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A8564C" w14:paraId="201A94B6" w14:textId="77777777" w:rsidTr="00361450">
        <w:tc>
          <w:tcPr>
            <w:tcW w:w="4513" w:type="dxa"/>
            <w:tcBorders>
              <w:bottom w:val="single" w:sz="4" w:space="0" w:color="auto"/>
            </w:tcBorders>
            <w:tcMar>
              <w:bottom w:w="170" w:type="dxa"/>
            </w:tcMar>
          </w:tcPr>
          <w:p w14:paraId="04A13527" w14:textId="77777777" w:rsidR="00EC4E49" w:rsidRPr="00A8564C" w:rsidRDefault="00EC4E49" w:rsidP="00916EE2">
            <w:pPr>
              <w:rPr>
                <w:lang w:val="es-ES"/>
              </w:rPr>
            </w:pPr>
          </w:p>
        </w:tc>
        <w:tc>
          <w:tcPr>
            <w:tcW w:w="4337" w:type="dxa"/>
            <w:tcBorders>
              <w:bottom w:val="single" w:sz="4" w:space="0" w:color="auto"/>
            </w:tcBorders>
            <w:tcMar>
              <w:left w:w="0" w:type="dxa"/>
              <w:right w:w="0" w:type="dxa"/>
            </w:tcMar>
          </w:tcPr>
          <w:p w14:paraId="3780D3FD" w14:textId="77777777" w:rsidR="00EC4E49" w:rsidRPr="00A8564C" w:rsidRDefault="00315BAC" w:rsidP="00916EE2">
            <w:pPr>
              <w:rPr>
                <w:lang w:val="es-ES"/>
              </w:rPr>
            </w:pPr>
            <w:r w:rsidRPr="00A8564C">
              <w:rPr>
                <w:noProof/>
                <w:lang w:eastAsia="en-US"/>
              </w:rPr>
              <w:drawing>
                <wp:inline distT="0" distB="0" distL="0" distR="0" wp14:anchorId="6F704FE8" wp14:editId="42B6777C">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64515AF0" w14:textId="77777777" w:rsidR="00EC4E49" w:rsidRPr="00A8564C" w:rsidRDefault="00315BAC" w:rsidP="00916EE2">
            <w:pPr>
              <w:jc w:val="right"/>
              <w:rPr>
                <w:lang w:val="es-ES"/>
              </w:rPr>
            </w:pPr>
            <w:r w:rsidRPr="00A8564C">
              <w:rPr>
                <w:b/>
                <w:sz w:val="40"/>
                <w:szCs w:val="40"/>
                <w:lang w:val="es-ES"/>
              </w:rPr>
              <w:t>S</w:t>
            </w:r>
          </w:p>
        </w:tc>
      </w:tr>
      <w:tr w:rsidR="008B2CC1" w:rsidRPr="00A8564C" w14:paraId="2B843691"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36C7D6B2" w14:textId="77777777" w:rsidR="008B2CC1" w:rsidRPr="00A8564C" w:rsidRDefault="00BD078D" w:rsidP="00BD078D">
            <w:pPr>
              <w:jc w:val="right"/>
              <w:rPr>
                <w:rFonts w:ascii="Arial Black" w:hAnsi="Arial Black"/>
                <w:caps/>
                <w:sz w:val="15"/>
                <w:lang w:val="es-ES"/>
              </w:rPr>
            </w:pPr>
            <w:r w:rsidRPr="00A8564C">
              <w:rPr>
                <w:rFonts w:ascii="Arial Black" w:hAnsi="Arial Black"/>
                <w:caps/>
                <w:sz w:val="15"/>
                <w:lang w:val="es-ES"/>
              </w:rPr>
              <w:t>PCT/CTC/30</w:t>
            </w:r>
            <w:r w:rsidR="00FE3058" w:rsidRPr="00A8564C">
              <w:rPr>
                <w:rFonts w:ascii="Arial Black" w:hAnsi="Arial Black"/>
                <w:caps/>
                <w:sz w:val="15"/>
                <w:lang w:val="es-ES"/>
              </w:rPr>
              <w:t>/13</w:t>
            </w:r>
          </w:p>
        </w:tc>
      </w:tr>
      <w:tr w:rsidR="008B2CC1" w:rsidRPr="00A8564C" w14:paraId="2957A37F" w14:textId="77777777" w:rsidTr="00916EE2">
        <w:trPr>
          <w:trHeight w:hRule="exact" w:val="170"/>
        </w:trPr>
        <w:tc>
          <w:tcPr>
            <w:tcW w:w="9356" w:type="dxa"/>
            <w:gridSpan w:val="3"/>
            <w:noWrap/>
            <w:tcMar>
              <w:left w:w="0" w:type="dxa"/>
              <w:right w:w="0" w:type="dxa"/>
            </w:tcMar>
            <w:vAlign w:val="bottom"/>
          </w:tcPr>
          <w:p w14:paraId="0A2E3298" w14:textId="2CC004E9" w:rsidR="008B2CC1" w:rsidRPr="00A8564C" w:rsidRDefault="008B2CC1" w:rsidP="00CD04F1">
            <w:pPr>
              <w:jc w:val="right"/>
              <w:rPr>
                <w:rFonts w:ascii="Arial Black" w:hAnsi="Arial Black"/>
                <w:caps/>
                <w:sz w:val="15"/>
                <w:lang w:val="es-ES"/>
              </w:rPr>
            </w:pPr>
            <w:r w:rsidRPr="00A8564C">
              <w:rPr>
                <w:rFonts w:ascii="Arial Black" w:hAnsi="Arial Black"/>
                <w:caps/>
                <w:sz w:val="15"/>
                <w:lang w:val="es-ES"/>
              </w:rPr>
              <w:t xml:space="preserve">ORIGINAL: </w:t>
            </w:r>
            <w:bookmarkStart w:id="0" w:name="Original"/>
            <w:bookmarkEnd w:id="0"/>
            <w:r w:rsidR="003C5C4F">
              <w:rPr>
                <w:rFonts w:ascii="Arial Black" w:hAnsi="Arial Black"/>
                <w:caps/>
                <w:sz w:val="15"/>
                <w:lang w:val="es-ES"/>
              </w:rPr>
              <w:t xml:space="preserve"> </w:t>
            </w:r>
            <w:r w:rsidR="00315BAC" w:rsidRPr="00A8564C">
              <w:rPr>
                <w:rFonts w:ascii="Arial Black" w:hAnsi="Arial Black"/>
                <w:caps/>
                <w:sz w:val="15"/>
                <w:lang w:val="es-ES"/>
              </w:rPr>
              <w:t>inglés</w:t>
            </w:r>
          </w:p>
        </w:tc>
      </w:tr>
      <w:tr w:rsidR="008B2CC1" w:rsidRPr="00A8564C" w14:paraId="76A3A861" w14:textId="77777777" w:rsidTr="00916EE2">
        <w:trPr>
          <w:trHeight w:hRule="exact" w:val="198"/>
        </w:trPr>
        <w:tc>
          <w:tcPr>
            <w:tcW w:w="9356" w:type="dxa"/>
            <w:gridSpan w:val="3"/>
            <w:tcMar>
              <w:left w:w="0" w:type="dxa"/>
              <w:right w:w="0" w:type="dxa"/>
            </w:tcMar>
            <w:vAlign w:val="bottom"/>
          </w:tcPr>
          <w:p w14:paraId="22281468" w14:textId="5D892467" w:rsidR="008B2CC1" w:rsidRPr="00A8564C" w:rsidRDefault="00315BAC" w:rsidP="00D0660F">
            <w:pPr>
              <w:jc w:val="right"/>
              <w:rPr>
                <w:rFonts w:ascii="Arial Black" w:hAnsi="Arial Black"/>
                <w:caps/>
                <w:sz w:val="15"/>
                <w:lang w:val="es-ES"/>
              </w:rPr>
            </w:pPr>
            <w:r w:rsidRPr="00A8564C">
              <w:rPr>
                <w:rFonts w:ascii="Arial Black" w:hAnsi="Arial Black"/>
                <w:caps/>
                <w:sz w:val="15"/>
                <w:lang w:val="es-ES"/>
              </w:rPr>
              <w:t>fecha</w:t>
            </w:r>
            <w:r w:rsidR="008B2CC1" w:rsidRPr="00A8564C">
              <w:rPr>
                <w:rFonts w:ascii="Arial Black" w:hAnsi="Arial Black"/>
                <w:caps/>
                <w:sz w:val="15"/>
                <w:lang w:val="es-ES"/>
              </w:rPr>
              <w:t xml:space="preserve">: </w:t>
            </w:r>
            <w:bookmarkStart w:id="1" w:name="Date"/>
            <w:bookmarkEnd w:id="1"/>
            <w:r w:rsidR="003C5C4F">
              <w:rPr>
                <w:rFonts w:ascii="Arial Black" w:hAnsi="Arial Black"/>
                <w:caps/>
                <w:sz w:val="15"/>
                <w:lang w:val="es-ES"/>
              </w:rPr>
              <w:t xml:space="preserve"> </w:t>
            </w:r>
            <w:r w:rsidR="00462E60" w:rsidRPr="00A8564C">
              <w:rPr>
                <w:rFonts w:ascii="Arial Black" w:hAnsi="Arial Black"/>
                <w:caps/>
                <w:sz w:val="15"/>
                <w:lang w:val="es-ES"/>
              </w:rPr>
              <w:t>1</w:t>
            </w:r>
            <w:r w:rsidRPr="00A8564C">
              <w:rPr>
                <w:rFonts w:ascii="Arial Black" w:hAnsi="Arial Black"/>
                <w:caps/>
                <w:sz w:val="15"/>
                <w:lang w:val="es-ES"/>
              </w:rPr>
              <w:t xml:space="preserve">6 de marzo de </w:t>
            </w:r>
            <w:r w:rsidR="00C650A4" w:rsidRPr="00A8564C">
              <w:rPr>
                <w:rFonts w:ascii="Arial Black" w:hAnsi="Arial Black"/>
                <w:caps/>
                <w:sz w:val="15"/>
                <w:lang w:val="es-ES"/>
              </w:rPr>
              <w:t>2017</w:t>
            </w:r>
          </w:p>
        </w:tc>
      </w:tr>
    </w:tbl>
    <w:p w14:paraId="7F7F7FD4" w14:textId="77777777" w:rsidR="008B2CC1" w:rsidRPr="00A8564C" w:rsidRDefault="008B2CC1" w:rsidP="008B2CC1">
      <w:pPr>
        <w:rPr>
          <w:lang w:val="es-ES"/>
        </w:rPr>
      </w:pPr>
    </w:p>
    <w:p w14:paraId="1D09F75E" w14:textId="459FB3FA" w:rsidR="008B2CC1" w:rsidRPr="00A8564C" w:rsidRDefault="008B2CC1" w:rsidP="008B2CC1">
      <w:pPr>
        <w:rPr>
          <w:lang w:val="es-ES"/>
        </w:rPr>
      </w:pPr>
    </w:p>
    <w:p w14:paraId="51199390" w14:textId="7E4B3596" w:rsidR="00462E60" w:rsidRPr="00A8564C" w:rsidRDefault="00462E60" w:rsidP="008B2CC1">
      <w:pPr>
        <w:rPr>
          <w:lang w:val="es-ES"/>
        </w:rPr>
      </w:pPr>
    </w:p>
    <w:p w14:paraId="623F3920" w14:textId="77777777" w:rsidR="008B2CC1" w:rsidRPr="00A8564C" w:rsidRDefault="008B2CC1" w:rsidP="008B2CC1">
      <w:pPr>
        <w:rPr>
          <w:lang w:val="es-ES"/>
        </w:rPr>
      </w:pPr>
    </w:p>
    <w:p w14:paraId="2E7F7BCF" w14:textId="2BECEAD0" w:rsidR="008B2CC1" w:rsidRPr="00A8564C" w:rsidRDefault="0005707D" w:rsidP="008B2CC1">
      <w:pPr>
        <w:rPr>
          <w:b/>
          <w:sz w:val="28"/>
          <w:szCs w:val="28"/>
          <w:lang w:val="es-ES"/>
        </w:rPr>
      </w:pPr>
      <w:r w:rsidRPr="00A8564C">
        <w:rPr>
          <w:b/>
          <w:sz w:val="28"/>
          <w:szCs w:val="28"/>
          <w:lang w:val="es-ES"/>
        </w:rPr>
        <w:t xml:space="preserve">Tratado de </w:t>
      </w:r>
      <w:r w:rsidR="00E71FAA" w:rsidRPr="00A8564C">
        <w:rPr>
          <w:b/>
          <w:sz w:val="28"/>
          <w:szCs w:val="28"/>
          <w:lang w:val="es-ES"/>
        </w:rPr>
        <w:t>Cooperación</w:t>
      </w:r>
      <w:r w:rsidR="00C244F3" w:rsidRPr="00A8564C">
        <w:rPr>
          <w:b/>
          <w:sz w:val="28"/>
          <w:szCs w:val="28"/>
          <w:lang w:val="es-ES"/>
        </w:rPr>
        <w:t xml:space="preserve"> en mate</w:t>
      </w:r>
      <w:r w:rsidRPr="00A8564C">
        <w:rPr>
          <w:b/>
          <w:sz w:val="28"/>
          <w:szCs w:val="28"/>
          <w:lang w:val="es-ES"/>
        </w:rPr>
        <w:t xml:space="preserve">ria de Patentes </w:t>
      </w:r>
      <w:r w:rsidR="00BD078D" w:rsidRPr="00A8564C">
        <w:rPr>
          <w:b/>
          <w:sz w:val="28"/>
          <w:szCs w:val="28"/>
          <w:lang w:val="es-ES"/>
        </w:rPr>
        <w:t>(PCT)</w:t>
      </w:r>
    </w:p>
    <w:p w14:paraId="6BBD7F5A" w14:textId="3162FBE3" w:rsidR="00BD078D" w:rsidRPr="00A8564C" w:rsidRDefault="00BD078D" w:rsidP="008B2CC1">
      <w:pPr>
        <w:rPr>
          <w:b/>
          <w:sz w:val="28"/>
          <w:szCs w:val="28"/>
          <w:lang w:val="es-ES"/>
        </w:rPr>
      </w:pPr>
      <w:r w:rsidRPr="00A8564C">
        <w:rPr>
          <w:b/>
          <w:sz w:val="28"/>
          <w:szCs w:val="28"/>
          <w:lang w:val="es-ES"/>
        </w:rPr>
        <w:t>Com</w:t>
      </w:r>
      <w:r w:rsidR="0005707D" w:rsidRPr="00A8564C">
        <w:rPr>
          <w:b/>
          <w:sz w:val="28"/>
          <w:szCs w:val="28"/>
          <w:lang w:val="es-ES"/>
        </w:rPr>
        <w:t xml:space="preserve">ité de </w:t>
      </w:r>
      <w:r w:rsidR="00E71FAA" w:rsidRPr="00A8564C">
        <w:rPr>
          <w:b/>
          <w:sz w:val="28"/>
          <w:szCs w:val="28"/>
          <w:lang w:val="es-ES"/>
        </w:rPr>
        <w:t>Cooperación</w:t>
      </w:r>
      <w:r w:rsidR="0005707D" w:rsidRPr="00A8564C">
        <w:rPr>
          <w:b/>
          <w:sz w:val="28"/>
          <w:szCs w:val="28"/>
          <w:lang w:val="es-ES"/>
        </w:rPr>
        <w:t xml:space="preserve"> Técnica</w:t>
      </w:r>
    </w:p>
    <w:p w14:paraId="5FCB80A7" w14:textId="77777777" w:rsidR="003845C1" w:rsidRPr="00A8564C" w:rsidRDefault="003845C1" w:rsidP="003845C1">
      <w:pPr>
        <w:rPr>
          <w:lang w:val="es-ES"/>
        </w:rPr>
      </w:pPr>
    </w:p>
    <w:p w14:paraId="1D13624F" w14:textId="77777777" w:rsidR="003845C1" w:rsidRPr="00A8564C" w:rsidRDefault="003845C1" w:rsidP="003845C1">
      <w:pPr>
        <w:rPr>
          <w:lang w:val="es-ES"/>
        </w:rPr>
      </w:pPr>
    </w:p>
    <w:p w14:paraId="0BAF29CC" w14:textId="0E014842" w:rsidR="008B2CC1" w:rsidRPr="00A8564C" w:rsidRDefault="00E71FAA" w:rsidP="008B2CC1">
      <w:pPr>
        <w:rPr>
          <w:b/>
          <w:sz w:val="24"/>
          <w:szCs w:val="24"/>
          <w:lang w:val="es-ES"/>
        </w:rPr>
      </w:pPr>
      <w:r w:rsidRPr="00A8564C">
        <w:rPr>
          <w:b/>
          <w:sz w:val="24"/>
          <w:szCs w:val="24"/>
          <w:lang w:val="es-ES"/>
        </w:rPr>
        <w:t>Trigésima</w:t>
      </w:r>
      <w:r w:rsidR="00C244F3" w:rsidRPr="00A8564C">
        <w:rPr>
          <w:b/>
          <w:sz w:val="24"/>
          <w:szCs w:val="24"/>
          <w:lang w:val="es-ES"/>
        </w:rPr>
        <w:t xml:space="preserve"> </w:t>
      </w:r>
      <w:r w:rsidRPr="00A8564C">
        <w:rPr>
          <w:b/>
          <w:sz w:val="24"/>
          <w:szCs w:val="24"/>
          <w:lang w:val="es-ES"/>
        </w:rPr>
        <w:t>sesión</w:t>
      </w:r>
    </w:p>
    <w:p w14:paraId="59E33A52" w14:textId="5A7BA2EA" w:rsidR="008B2CC1" w:rsidRPr="00A8564C" w:rsidRDefault="00BD078D" w:rsidP="008B2CC1">
      <w:pPr>
        <w:rPr>
          <w:b/>
          <w:sz w:val="24"/>
          <w:szCs w:val="24"/>
          <w:lang w:val="es-ES"/>
        </w:rPr>
      </w:pPr>
      <w:r w:rsidRPr="00A8564C">
        <w:rPr>
          <w:b/>
          <w:sz w:val="24"/>
          <w:szCs w:val="24"/>
          <w:lang w:val="es-ES"/>
        </w:rPr>
        <w:t>G</w:t>
      </w:r>
      <w:r w:rsidR="00C244F3" w:rsidRPr="00A8564C">
        <w:rPr>
          <w:b/>
          <w:sz w:val="24"/>
          <w:szCs w:val="24"/>
          <w:lang w:val="es-ES"/>
        </w:rPr>
        <w:t xml:space="preserve">inebra, 8 a 12 de mayo de </w:t>
      </w:r>
      <w:r w:rsidRPr="00A8564C">
        <w:rPr>
          <w:b/>
          <w:sz w:val="24"/>
          <w:szCs w:val="24"/>
          <w:lang w:val="es-ES"/>
        </w:rPr>
        <w:t>2017</w:t>
      </w:r>
    </w:p>
    <w:p w14:paraId="5425DE8C" w14:textId="5D4DCD6C" w:rsidR="00462E60" w:rsidRPr="00A8564C" w:rsidRDefault="00462E60" w:rsidP="008B2CC1">
      <w:pPr>
        <w:rPr>
          <w:b/>
          <w:sz w:val="24"/>
          <w:szCs w:val="24"/>
          <w:lang w:val="es-ES"/>
        </w:rPr>
      </w:pPr>
    </w:p>
    <w:p w14:paraId="0CCE8094" w14:textId="77777777" w:rsidR="00462E60" w:rsidRPr="00A8564C" w:rsidRDefault="00462E60" w:rsidP="008B2CC1">
      <w:pPr>
        <w:rPr>
          <w:b/>
          <w:sz w:val="24"/>
          <w:szCs w:val="24"/>
          <w:lang w:val="es-ES"/>
        </w:rPr>
      </w:pPr>
    </w:p>
    <w:p w14:paraId="671E0B2F" w14:textId="77777777" w:rsidR="008B2CC1" w:rsidRPr="00A8564C" w:rsidRDefault="008B2CC1" w:rsidP="008B2CC1">
      <w:pPr>
        <w:rPr>
          <w:lang w:val="es-ES"/>
        </w:rPr>
      </w:pPr>
    </w:p>
    <w:p w14:paraId="069FF886" w14:textId="2D462B2C" w:rsidR="008B2CC1" w:rsidRPr="00A8564C" w:rsidRDefault="00E71FAA" w:rsidP="008B2CC1">
      <w:pPr>
        <w:rPr>
          <w:caps/>
          <w:sz w:val="24"/>
          <w:lang w:val="es-ES"/>
        </w:rPr>
      </w:pPr>
      <w:bookmarkStart w:id="2" w:name="TitleOfDoc"/>
      <w:bookmarkEnd w:id="2"/>
      <w:r w:rsidRPr="00A8564C">
        <w:rPr>
          <w:caps/>
          <w:sz w:val="24"/>
          <w:lang w:val="es-ES"/>
        </w:rPr>
        <w:t>PRó</w:t>
      </w:r>
      <w:r w:rsidR="00C244F3" w:rsidRPr="00A8564C">
        <w:rPr>
          <w:caps/>
          <w:sz w:val="24"/>
          <w:lang w:val="es-ES"/>
        </w:rPr>
        <w:t xml:space="preserve">RROGA DE LA </w:t>
      </w:r>
      <w:r w:rsidR="00611FA5" w:rsidRPr="00A8564C">
        <w:rPr>
          <w:caps/>
          <w:sz w:val="24"/>
          <w:lang w:val="es-ES"/>
        </w:rPr>
        <w:t>DESIGNACIÓN</w:t>
      </w:r>
      <w:r w:rsidR="00C244F3" w:rsidRPr="00A8564C">
        <w:rPr>
          <w:caps/>
          <w:sz w:val="24"/>
          <w:lang w:val="es-ES"/>
        </w:rPr>
        <w:t xml:space="preserve"> DE LA OFICINA </w:t>
      </w:r>
      <w:r w:rsidR="00611FA5" w:rsidRPr="00A8564C">
        <w:rPr>
          <w:caps/>
          <w:sz w:val="24"/>
          <w:lang w:val="es-ES"/>
        </w:rPr>
        <w:t xml:space="preserve">Israelí </w:t>
      </w:r>
      <w:r w:rsidR="00C244F3" w:rsidRPr="00A8564C">
        <w:rPr>
          <w:caps/>
          <w:sz w:val="24"/>
          <w:lang w:val="es-ES"/>
        </w:rPr>
        <w:t>DE PATE</w:t>
      </w:r>
      <w:r w:rsidR="00BA299F" w:rsidRPr="00A8564C">
        <w:rPr>
          <w:caps/>
          <w:sz w:val="24"/>
          <w:lang w:val="es-ES"/>
        </w:rPr>
        <w:t>N</w:t>
      </w:r>
      <w:r w:rsidR="00C244F3" w:rsidRPr="00A8564C">
        <w:rPr>
          <w:caps/>
          <w:sz w:val="24"/>
          <w:lang w:val="es-ES"/>
        </w:rPr>
        <w:t xml:space="preserve">TES </w:t>
      </w:r>
      <w:r w:rsidR="00AC2355" w:rsidRPr="00A8564C">
        <w:rPr>
          <w:caps/>
          <w:sz w:val="24"/>
          <w:lang w:val="es-ES"/>
        </w:rPr>
        <w:t>como</w:t>
      </w:r>
      <w:r w:rsidR="00462E60" w:rsidRPr="00A8564C">
        <w:rPr>
          <w:caps/>
          <w:sz w:val="24"/>
          <w:lang w:val="es-ES"/>
        </w:rPr>
        <w:t xml:space="preserve"> </w:t>
      </w:r>
      <w:r w:rsidR="00C244F3" w:rsidRPr="00A8564C">
        <w:rPr>
          <w:caps/>
          <w:sz w:val="24"/>
          <w:lang w:val="es-ES"/>
        </w:rPr>
        <w:t xml:space="preserve">Administración encargada de la búsqueda y del </w:t>
      </w:r>
      <w:r w:rsidRPr="00A8564C">
        <w:rPr>
          <w:caps/>
          <w:sz w:val="24"/>
          <w:lang w:val="es-ES"/>
        </w:rPr>
        <w:t>examen preliminar internacional</w:t>
      </w:r>
      <w:r w:rsidR="00611FA5" w:rsidRPr="00A8564C">
        <w:rPr>
          <w:caps/>
          <w:sz w:val="24"/>
          <w:lang w:val="es-ES"/>
        </w:rPr>
        <w:t>es</w:t>
      </w:r>
      <w:r w:rsidR="00C244F3" w:rsidRPr="00A8564C">
        <w:rPr>
          <w:caps/>
          <w:sz w:val="24"/>
          <w:lang w:val="es-ES"/>
        </w:rPr>
        <w:t xml:space="preserve"> EN </w:t>
      </w:r>
      <w:r w:rsidRPr="00A8564C">
        <w:rPr>
          <w:caps/>
          <w:sz w:val="24"/>
          <w:lang w:val="es-ES"/>
        </w:rPr>
        <w:t>VIRTUD DE</w:t>
      </w:r>
      <w:r w:rsidR="00C244F3" w:rsidRPr="00A8564C">
        <w:rPr>
          <w:caps/>
          <w:sz w:val="24"/>
          <w:lang w:val="es-ES"/>
        </w:rPr>
        <w:t xml:space="preserve">L </w:t>
      </w:r>
      <w:r w:rsidR="00C650A4" w:rsidRPr="00A8564C">
        <w:rPr>
          <w:caps/>
          <w:sz w:val="24"/>
          <w:lang w:val="es-ES"/>
        </w:rPr>
        <w:t>PCT</w:t>
      </w:r>
    </w:p>
    <w:p w14:paraId="420DD61E" w14:textId="77777777" w:rsidR="008B2CC1" w:rsidRPr="00A8564C" w:rsidRDefault="008B2CC1" w:rsidP="008B2CC1">
      <w:pPr>
        <w:rPr>
          <w:lang w:val="es-ES"/>
        </w:rPr>
      </w:pPr>
    </w:p>
    <w:p w14:paraId="27DC0189" w14:textId="4739E969" w:rsidR="008B2CC1" w:rsidRPr="00A8564C" w:rsidRDefault="00E71FAA" w:rsidP="008B2CC1">
      <w:pPr>
        <w:rPr>
          <w:i/>
          <w:lang w:val="es-ES"/>
        </w:rPr>
      </w:pPr>
      <w:bookmarkStart w:id="3" w:name="Prepared"/>
      <w:bookmarkEnd w:id="3"/>
      <w:r w:rsidRPr="00A8564C">
        <w:rPr>
          <w:i/>
          <w:lang w:val="es-ES"/>
        </w:rPr>
        <w:t>Document</w:t>
      </w:r>
      <w:r w:rsidR="00C244F3" w:rsidRPr="00A8564C">
        <w:rPr>
          <w:i/>
          <w:lang w:val="es-ES"/>
        </w:rPr>
        <w:t xml:space="preserve">o preparado por la Oficina Internacional </w:t>
      </w:r>
    </w:p>
    <w:p w14:paraId="3E33A6EF" w14:textId="77777777" w:rsidR="00AC205C" w:rsidRPr="00A8564C" w:rsidRDefault="00AC205C">
      <w:pPr>
        <w:rPr>
          <w:lang w:val="es-ES"/>
        </w:rPr>
      </w:pPr>
    </w:p>
    <w:p w14:paraId="5E97E136" w14:textId="77777777" w:rsidR="000F5E56" w:rsidRPr="00A8564C" w:rsidRDefault="000F5E56">
      <w:pPr>
        <w:rPr>
          <w:lang w:val="es-ES"/>
        </w:rPr>
      </w:pPr>
    </w:p>
    <w:p w14:paraId="03A7ABEA" w14:textId="77777777" w:rsidR="002928D3" w:rsidRPr="00A8564C" w:rsidRDefault="002928D3">
      <w:pPr>
        <w:rPr>
          <w:lang w:val="es-ES"/>
        </w:rPr>
      </w:pPr>
    </w:p>
    <w:p w14:paraId="527AD492" w14:textId="77777777" w:rsidR="002928D3" w:rsidRPr="00A8564C" w:rsidRDefault="002928D3" w:rsidP="0053057A">
      <w:pPr>
        <w:rPr>
          <w:lang w:val="es-ES"/>
        </w:rPr>
      </w:pPr>
    </w:p>
    <w:p w14:paraId="17DFE9DB" w14:textId="18D1C3AE" w:rsidR="00611FA5" w:rsidRPr="00A8564C" w:rsidRDefault="00611FA5" w:rsidP="00611FA5">
      <w:pPr>
        <w:pStyle w:val="ONUMFS"/>
        <w:rPr>
          <w:lang w:val="es-ES"/>
        </w:rPr>
      </w:pPr>
      <w:r w:rsidRPr="00A8564C">
        <w:rPr>
          <w:lang w:val="es-ES"/>
        </w:rPr>
        <w:t>Todas las Administraciones internacionales existentes fueron designadas por la Asamblea de la Unión del PCT por un plazo que expirará el 31 de diciembre de 2017.  Por consiguiente, en 2017 la Asamblea estará llamada a adoptar una decisión con respecto a la prórroga de la designación de cada una de las Administraciones internacionales existentes que aspiren a una prórroga de su designación, teniendo en cuenta la recomendación previamente solicitada a este Comité (véanse los Artículos 16.3)e) y 32.3) del PCT).  El documento PCT/CTC/30/INF/1 contiene más información sobre este proceso y sobre la función del Comité en el marco del mismo.</w:t>
      </w:r>
    </w:p>
    <w:p w14:paraId="3F0B64FE" w14:textId="0E72D884" w:rsidR="005C40A3" w:rsidRPr="00A8564C" w:rsidRDefault="00A41B96" w:rsidP="00A41B96">
      <w:pPr>
        <w:pStyle w:val="ONUME"/>
        <w:numPr>
          <w:ilvl w:val="0"/>
          <w:numId w:val="0"/>
        </w:numPr>
        <w:tabs>
          <w:tab w:val="left" w:pos="567"/>
        </w:tabs>
        <w:rPr>
          <w:lang w:val="es-ES"/>
        </w:rPr>
      </w:pPr>
      <w:r w:rsidRPr="00A8564C">
        <w:rPr>
          <w:lang w:val="es-ES"/>
        </w:rPr>
        <w:t>2.</w:t>
      </w:r>
      <w:r w:rsidRPr="00A8564C">
        <w:rPr>
          <w:lang w:val="es-ES"/>
        </w:rPr>
        <w:tab/>
      </w:r>
      <w:r w:rsidR="00894565" w:rsidRPr="00A8564C">
        <w:rPr>
          <w:lang w:val="es-ES"/>
        </w:rPr>
        <w:t xml:space="preserve">El 5 de marzo de 2017, la </w:t>
      </w:r>
      <w:r w:rsidR="00611FA5" w:rsidRPr="00A8564C">
        <w:rPr>
          <w:lang w:val="es-ES"/>
        </w:rPr>
        <w:t>Oficina Israelí de Patentes</w:t>
      </w:r>
      <w:r w:rsidR="00894565" w:rsidRPr="00A8564C">
        <w:rPr>
          <w:lang w:val="es-ES"/>
        </w:rPr>
        <w:t xml:space="preserve"> present</w:t>
      </w:r>
      <w:r w:rsidR="00E71FAA" w:rsidRPr="00A8564C">
        <w:rPr>
          <w:lang w:val="es-ES"/>
        </w:rPr>
        <w:t>ó</w:t>
      </w:r>
      <w:r w:rsidR="00894565" w:rsidRPr="00A8564C">
        <w:rPr>
          <w:lang w:val="es-ES"/>
        </w:rPr>
        <w:t xml:space="preserve"> una solicitud para prorrogar su </w:t>
      </w:r>
      <w:r w:rsidR="00E71FAA" w:rsidRPr="00A8564C">
        <w:rPr>
          <w:lang w:val="es-ES"/>
        </w:rPr>
        <w:t>designación</w:t>
      </w:r>
      <w:r w:rsidR="00894565" w:rsidRPr="00A8564C">
        <w:rPr>
          <w:lang w:val="es-ES"/>
        </w:rPr>
        <w:t xml:space="preserve"> como </w:t>
      </w:r>
      <w:r w:rsidR="00E71FAA" w:rsidRPr="00A8564C">
        <w:rPr>
          <w:lang w:val="es-ES"/>
        </w:rPr>
        <w:t>Administración encargada de la búsqueda y del examen preliminar internacional</w:t>
      </w:r>
      <w:r w:rsidR="00611FA5" w:rsidRPr="00A8564C">
        <w:rPr>
          <w:lang w:val="es-ES"/>
        </w:rPr>
        <w:t>es</w:t>
      </w:r>
      <w:r w:rsidR="00E71FAA" w:rsidRPr="00A8564C">
        <w:rPr>
          <w:lang w:val="es-ES"/>
        </w:rPr>
        <w:t xml:space="preserve"> en virtud del PCT</w:t>
      </w:r>
      <w:r w:rsidR="00894565" w:rsidRPr="00A8564C">
        <w:rPr>
          <w:lang w:val="es-ES"/>
        </w:rPr>
        <w:t>.  Esa solicitud se reproduce en el A</w:t>
      </w:r>
      <w:r w:rsidR="00184BCD" w:rsidRPr="00A8564C">
        <w:rPr>
          <w:lang w:val="es-ES"/>
        </w:rPr>
        <w:t>nexo</w:t>
      </w:r>
      <w:r w:rsidR="00894565" w:rsidRPr="00A8564C">
        <w:rPr>
          <w:lang w:val="es-ES"/>
        </w:rPr>
        <w:t xml:space="preserve"> </w:t>
      </w:r>
      <w:r w:rsidR="00611FA5" w:rsidRPr="00A8564C">
        <w:rPr>
          <w:lang w:val="es-ES"/>
        </w:rPr>
        <w:t>de</w:t>
      </w:r>
      <w:r w:rsidR="00894565" w:rsidRPr="00A8564C">
        <w:rPr>
          <w:lang w:val="es-ES"/>
        </w:rPr>
        <w:t>l presente documento</w:t>
      </w:r>
      <w:r w:rsidR="00AA5F79" w:rsidRPr="00A8564C">
        <w:rPr>
          <w:lang w:val="es-ES"/>
        </w:rPr>
        <w:t>.</w:t>
      </w:r>
    </w:p>
    <w:p w14:paraId="332E34AC" w14:textId="6FBD25F3" w:rsidR="005C40A3" w:rsidRPr="00A8564C" w:rsidRDefault="00A41B96" w:rsidP="00A41B96">
      <w:pPr>
        <w:pStyle w:val="ONUME"/>
        <w:numPr>
          <w:ilvl w:val="0"/>
          <w:numId w:val="0"/>
        </w:numPr>
        <w:tabs>
          <w:tab w:val="left" w:pos="567"/>
          <w:tab w:val="left" w:pos="6096"/>
        </w:tabs>
        <w:ind w:left="5533"/>
        <w:rPr>
          <w:i/>
          <w:lang w:val="es-ES"/>
        </w:rPr>
      </w:pPr>
      <w:r w:rsidRPr="00A8564C">
        <w:rPr>
          <w:i/>
          <w:lang w:val="es-ES"/>
        </w:rPr>
        <w:t>3.</w:t>
      </w:r>
      <w:r w:rsidRPr="00A8564C">
        <w:rPr>
          <w:i/>
          <w:lang w:val="es-ES"/>
        </w:rPr>
        <w:tab/>
      </w:r>
      <w:r w:rsidR="00894565" w:rsidRPr="00A8564C">
        <w:rPr>
          <w:i/>
          <w:lang w:val="es-ES"/>
        </w:rPr>
        <w:t xml:space="preserve">Se invita al </w:t>
      </w:r>
      <w:r w:rsidR="00184BCD" w:rsidRPr="00A8564C">
        <w:rPr>
          <w:i/>
          <w:lang w:val="es-ES"/>
        </w:rPr>
        <w:t>Comité</w:t>
      </w:r>
      <w:r w:rsidR="00894565" w:rsidRPr="00A8564C">
        <w:rPr>
          <w:i/>
          <w:lang w:val="es-ES"/>
        </w:rPr>
        <w:t xml:space="preserve"> a </w:t>
      </w:r>
      <w:r w:rsidR="00DE0C96" w:rsidRPr="00A8564C">
        <w:rPr>
          <w:i/>
          <w:lang w:val="es-ES"/>
        </w:rPr>
        <w:t xml:space="preserve">dar su </w:t>
      </w:r>
      <w:r w:rsidR="003F2783" w:rsidRPr="00A8564C">
        <w:rPr>
          <w:i/>
          <w:lang w:val="es-ES"/>
        </w:rPr>
        <w:t xml:space="preserve">opinión </w:t>
      </w:r>
      <w:r w:rsidR="00894565" w:rsidRPr="00A8564C">
        <w:rPr>
          <w:i/>
          <w:lang w:val="es-ES"/>
        </w:rPr>
        <w:t>sobre est</w:t>
      </w:r>
      <w:r w:rsidR="003F2783" w:rsidRPr="00A8564C">
        <w:rPr>
          <w:i/>
          <w:lang w:val="es-ES"/>
        </w:rPr>
        <w:t>e asunto</w:t>
      </w:r>
      <w:r w:rsidR="00AA5F79" w:rsidRPr="00A8564C">
        <w:rPr>
          <w:i/>
          <w:lang w:val="es-ES"/>
        </w:rPr>
        <w:t>.</w:t>
      </w:r>
    </w:p>
    <w:p w14:paraId="0EA78081" w14:textId="77777777" w:rsidR="00AA5F79" w:rsidRPr="00A8564C" w:rsidRDefault="00AA5F79" w:rsidP="00AA5F79">
      <w:pPr>
        <w:pStyle w:val="ONUME"/>
        <w:numPr>
          <w:ilvl w:val="0"/>
          <w:numId w:val="0"/>
        </w:numPr>
        <w:rPr>
          <w:lang w:val="es-ES"/>
        </w:rPr>
      </w:pPr>
    </w:p>
    <w:p w14:paraId="4AF99C6B" w14:textId="39D75574" w:rsidR="00AA5F79" w:rsidRPr="00A8564C" w:rsidRDefault="00AA5F79" w:rsidP="00AA5F79">
      <w:pPr>
        <w:pStyle w:val="ONUME"/>
        <w:numPr>
          <w:ilvl w:val="0"/>
          <w:numId w:val="0"/>
        </w:numPr>
        <w:ind w:left="5533"/>
        <w:rPr>
          <w:lang w:val="es-ES"/>
        </w:rPr>
        <w:sectPr w:rsidR="00AA5F79" w:rsidRPr="00A8564C" w:rsidSect="00C650A4">
          <w:headerReference w:type="default" r:id="rId10"/>
          <w:endnotePr>
            <w:numFmt w:val="decimal"/>
          </w:endnotePr>
          <w:pgSz w:w="11907" w:h="16840" w:code="9"/>
          <w:pgMar w:top="567" w:right="1134" w:bottom="1418" w:left="1418" w:header="510" w:footer="1021" w:gutter="0"/>
          <w:cols w:space="720"/>
          <w:titlePg/>
          <w:docGrid w:linePitch="299"/>
        </w:sectPr>
      </w:pPr>
      <w:r w:rsidRPr="00A8564C">
        <w:rPr>
          <w:lang w:val="es-ES"/>
        </w:rPr>
        <w:t>[</w:t>
      </w:r>
      <w:r w:rsidR="00611FA5" w:rsidRPr="00A8564C">
        <w:rPr>
          <w:lang w:val="es-ES"/>
        </w:rPr>
        <w:t xml:space="preserve">Sigue </w:t>
      </w:r>
      <w:r w:rsidR="00894565" w:rsidRPr="00A8564C">
        <w:rPr>
          <w:lang w:val="es-ES"/>
        </w:rPr>
        <w:t xml:space="preserve">el </w:t>
      </w:r>
      <w:r w:rsidR="00184BCD" w:rsidRPr="00A8564C">
        <w:rPr>
          <w:lang w:val="es-ES"/>
        </w:rPr>
        <w:t>Anexo</w:t>
      </w:r>
      <w:r w:rsidRPr="00A8564C">
        <w:rPr>
          <w:lang w:val="es-ES"/>
        </w:rPr>
        <w:t>]</w:t>
      </w:r>
    </w:p>
    <w:p w14:paraId="4B08AEE1" w14:textId="4342488D" w:rsidR="00AA5F79" w:rsidRPr="00A8564C" w:rsidRDefault="00894565" w:rsidP="00894565">
      <w:pPr>
        <w:pStyle w:val="ONUME"/>
        <w:numPr>
          <w:ilvl w:val="0"/>
          <w:numId w:val="0"/>
        </w:numPr>
        <w:jc w:val="center"/>
        <w:rPr>
          <w:caps/>
          <w:lang w:val="es-ES"/>
        </w:rPr>
      </w:pPr>
      <w:r w:rsidRPr="00A8564C">
        <w:rPr>
          <w:caps/>
          <w:lang w:val="es-ES"/>
        </w:rPr>
        <w:lastRenderedPageBreak/>
        <w:t>SOLICITUD DE PRÓRROGA DE LA DESIGN</w:t>
      </w:r>
      <w:r w:rsidR="00BE67ED" w:rsidRPr="00A8564C">
        <w:rPr>
          <w:caps/>
          <w:lang w:val="es-ES"/>
        </w:rPr>
        <w:t>ACIÓ</w:t>
      </w:r>
      <w:r w:rsidRPr="00A8564C">
        <w:rPr>
          <w:caps/>
          <w:lang w:val="es-ES"/>
        </w:rPr>
        <w:t xml:space="preserve">N DE LA OFICINA </w:t>
      </w:r>
      <w:r w:rsidR="00611FA5" w:rsidRPr="00A8564C">
        <w:rPr>
          <w:caps/>
          <w:lang w:val="es-ES"/>
        </w:rPr>
        <w:t xml:space="preserve">Israelí </w:t>
      </w:r>
      <w:r w:rsidRPr="00A8564C">
        <w:rPr>
          <w:caps/>
          <w:lang w:val="es-ES"/>
        </w:rPr>
        <w:t xml:space="preserve">DE PATEnTES </w:t>
      </w:r>
      <w:r w:rsidR="00AC2355" w:rsidRPr="00A8564C">
        <w:rPr>
          <w:caps/>
          <w:lang w:val="es-ES"/>
        </w:rPr>
        <w:t xml:space="preserve">como </w:t>
      </w:r>
      <w:r w:rsidRPr="00A8564C">
        <w:rPr>
          <w:caps/>
          <w:lang w:val="es-ES"/>
        </w:rPr>
        <w:t xml:space="preserve">Administración </w:t>
      </w:r>
      <w:r w:rsidR="00E71FAA" w:rsidRPr="00A8564C">
        <w:rPr>
          <w:caps/>
          <w:lang w:val="es-ES"/>
        </w:rPr>
        <w:t>ENCARGADA DE la búsqueda y del examen preliminar internacional</w:t>
      </w:r>
      <w:r w:rsidR="00611FA5" w:rsidRPr="00A8564C">
        <w:rPr>
          <w:caps/>
          <w:lang w:val="es-ES"/>
        </w:rPr>
        <w:t>es</w:t>
      </w:r>
      <w:r w:rsidR="00E71FAA" w:rsidRPr="00A8564C">
        <w:rPr>
          <w:caps/>
          <w:lang w:val="es-ES"/>
        </w:rPr>
        <w:t xml:space="preserve"> en virtud del PCT </w:t>
      </w:r>
      <w:r w:rsidRPr="00A8564C">
        <w:rPr>
          <w:caps/>
          <w:lang w:val="es-ES"/>
        </w:rPr>
        <w:t xml:space="preserve"> </w:t>
      </w:r>
    </w:p>
    <w:p w14:paraId="2729D3A5" w14:textId="77777777" w:rsidR="002C70DB" w:rsidRPr="00A8564C" w:rsidRDefault="002C70DB" w:rsidP="00A41B96">
      <w:pPr>
        <w:pStyle w:val="SectionHeading"/>
        <w:rPr>
          <w:lang w:val="es-ES"/>
        </w:rPr>
      </w:pPr>
      <w:r w:rsidRPr="00A8564C">
        <w:rPr>
          <w:lang w:val="es-ES"/>
        </w:rPr>
        <w:t>1.</w:t>
      </w:r>
      <w:r w:rsidR="009E7E5E" w:rsidRPr="00A8564C">
        <w:rPr>
          <w:lang w:val="es-ES"/>
        </w:rPr>
        <w:t xml:space="preserve"> </w:t>
      </w:r>
      <w:r w:rsidRPr="00A8564C">
        <w:rPr>
          <w:lang w:val="es-ES"/>
        </w:rPr>
        <w:t xml:space="preserve"> General</w:t>
      </w:r>
    </w:p>
    <w:p w14:paraId="0AA9159F" w14:textId="5D25062D" w:rsidR="002C70DB" w:rsidRPr="00A8564C" w:rsidRDefault="00894565" w:rsidP="00A8564C">
      <w:pPr>
        <w:widowControl w:val="0"/>
        <w:spacing w:before="120" w:after="120"/>
        <w:rPr>
          <w:lang w:val="es-ES"/>
        </w:rPr>
      </w:pPr>
      <w:r w:rsidRPr="00A8564C">
        <w:rPr>
          <w:lang w:val="es-ES"/>
        </w:rPr>
        <w:t xml:space="preserve">La </w:t>
      </w:r>
      <w:r w:rsidR="00184BCD" w:rsidRPr="00A8564C">
        <w:rPr>
          <w:lang w:val="es-ES"/>
        </w:rPr>
        <w:t xml:space="preserve">Oficina </w:t>
      </w:r>
      <w:r w:rsidR="00611FA5" w:rsidRPr="00A8564C">
        <w:rPr>
          <w:lang w:val="es-ES"/>
        </w:rPr>
        <w:t xml:space="preserve">Israelí </w:t>
      </w:r>
      <w:r w:rsidR="00184BCD" w:rsidRPr="00A8564C">
        <w:rPr>
          <w:lang w:val="es-ES"/>
        </w:rPr>
        <w:t>de Patentes</w:t>
      </w:r>
      <w:r w:rsidRPr="00A8564C">
        <w:rPr>
          <w:lang w:val="es-ES"/>
        </w:rPr>
        <w:t xml:space="preserve"> </w:t>
      </w:r>
      <w:r w:rsidR="002C70DB" w:rsidRPr="00A8564C">
        <w:rPr>
          <w:lang w:val="es-ES"/>
        </w:rPr>
        <w:t xml:space="preserve">(ILPO) </w:t>
      </w:r>
      <w:r w:rsidRPr="00A8564C">
        <w:rPr>
          <w:lang w:val="es-ES"/>
        </w:rPr>
        <w:t xml:space="preserve">tiene </w:t>
      </w:r>
      <w:r w:rsidR="00B62D5B" w:rsidRPr="00A8564C">
        <w:rPr>
          <w:lang w:val="es-ES"/>
        </w:rPr>
        <w:t>la intención de</w:t>
      </w:r>
      <w:r w:rsidRPr="00A8564C">
        <w:rPr>
          <w:lang w:val="es-ES"/>
        </w:rPr>
        <w:t xml:space="preserve"> </w:t>
      </w:r>
      <w:r w:rsidR="00CB3A56" w:rsidRPr="00A8564C">
        <w:rPr>
          <w:lang w:val="es-ES"/>
        </w:rPr>
        <w:t>solicitar</w:t>
      </w:r>
      <w:r w:rsidR="00AD5660" w:rsidRPr="00A8564C">
        <w:rPr>
          <w:lang w:val="es-ES"/>
        </w:rPr>
        <w:t>,</w:t>
      </w:r>
      <w:r w:rsidR="00B62D5B" w:rsidRPr="00A8564C">
        <w:rPr>
          <w:lang w:val="es-ES"/>
        </w:rPr>
        <w:t xml:space="preserve"> en</w:t>
      </w:r>
      <w:r w:rsidRPr="00A8564C">
        <w:rPr>
          <w:lang w:val="es-ES"/>
        </w:rPr>
        <w:t xml:space="preserve"> el cuadrag</w:t>
      </w:r>
      <w:r w:rsidR="00CB3A56" w:rsidRPr="00A8564C">
        <w:rPr>
          <w:lang w:val="es-ES"/>
        </w:rPr>
        <w:t>é</w:t>
      </w:r>
      <w:r w:rsidRPr="00A8564C">
        <w:rPr>
          <w:lang w:val="es-ES"/>
        </w:rPr>
        <w:t>simo</w:t>
      </w:r>
      <w:r w:rsidR="00CB3A56" w:rsidRPr="00A8564C">
        <w:rPr>
          <w:lang w:val="es-ES"/>
        </w:rPr>
        <w:t xml:space="preserve"> </w:t>
      </w:r>
      <w:r w:rsidRPr="00A8564C">
        <w:rPr>
          <w:lang w:val="es-ES"/>
        </w:rPr>
        <w:t xml:space="preserve">noveno periodo de sesiones de la Asamblea de la </w:t>
      </w:r>
      <w:r w:rsidRPr="00A8564C">
        <w:rPr>
          <w:bCs/>
          <w:lang w:val="es-ES"/>
        </w:rPr>
        <w:t>Unión</w:t>
      </w:r>
      <w:r w:rsidRPr="00A8564C">
        <w:rPr>
          <w:lang w:val="es-ES"/>
        </w:rPr>
        <w:t xml:space="preserve"> Internacional de </w:t>
      </w:r>
      <w:r w:rsidRPr="00A8564C">
        <w:rPr>
          <w:bCs/>
          <w:lang w:val="es-ES"/>
        </w:rPr>
        <w:t>Cooperación</w:t>
      </w:r>
      <w:r w:rsidRPr="00A8564C">
        <w:rPr>
          <w:lang w:val="es-ES"/>
        </w:rPr>
        <w:t xml:space="preserve"> en materia de </w:t>
      </w:r>
      <w:r w:rsidRPr="00A8564C">
        <w:rPr>
          <w:bCs/>
          <w:lang w:val="es-ES"/>
        </w:rPr>
        <w:t>Patentes</w:t>
      </w:r>
      <w:r w:rsidR="00CB3A56" w:rsidRPr="00A8564C">
        <w:rPr>
          <w:bCs/>
          <w:lang w:val="es-ES"/>
        </w:rPr>
        <w:t xml:space="preserve">, </w:t>
      </w:r>
      <w:r w:rsidR="009043F7" w:rsidRPr="00A8564C">
        <w:rPr>
          <w:bCs/>
          <w:lang w:val="es-ES"/>
        </w:rPr>
        <w:t>la</w:t>
      </w:r>
      <w:r w:rsidR="00CB3A56" w:rsidRPr="00A8564C">
        <w:rPr>
          <w:bCs/>
          <w:lang w:val="es-ES"/>
        </w:rPr>
        <w:t xml:space="preserve"> prórroga de </w:t>
      </w:r>
      <w:r w:rsidR="009043F7" w:rsidRPr="00A8564C">
        <w:rPr>
          <w:bCs/>
          <w:lang w:val="es-ES"/>
        </w:rPr>
        <w:t>su</w:t>
      </w:r>
      <w:r w:rsidR="00CB3A56" w:rsidRPr="00A8564C">
        <w:rPr>
          <w:bCs/>
          <w:lang w:val="es-ES"/>
        </w:rPr>
        <w:t xml:space="preserve"> designación</w:t>
      </w:r>
      <w:r w:rsidR="00AC2355" w:rsidRPr="00A8564C">
        <w:rPr>
          <w:bCs/>
          <w:lang w:val="es-ES"/>
        </w:rPr>
        <w:t xml:space="preserve"> actual </w:t>
      </w:r>
      <w:r w:rsidR="00CB3A56" w:rsidRPr="00A8564C">
        <w:rPr>
          <w:bCs/>
          <w:lang w:val="es-ES"/>
        </w:rPr>
        <w:t>como</w:t>
      </w:r>
      <w:r w:rsidR="00CB3A56" w:rsidRPr="00A8564C">
        <w:rPr>
          <w:caps/>
          <w:lang w:val="es-ES"/>
        </w:rPr>
        <w:t xml:space="preserve"> </w:t>
      </w:r>
      <w:r w:rsidR="00CB3A56" w:rsidRPr="00A8564C">
        <w:rPr>
          <w:bCs/>
          <w:lang w:val="es-ES"/>
        </w:rPr>
        <w:t>Administración</w:t>
      </w:r>
      <w:r w:rsidR="00E71FAA" w:rsidRPr="00A8564C">
        <w:rPr>
          <w:bCs/>
          <w:lang w:val="es-ES"/>
        </w:rPr>
        <w:t xml:space="preserve"> </w:t>
      </w:r>
      <w:r w:rsidR="00E71FAA" w:rsidRPr="00A8564C">
        <w:rPr>
          <w:lang w:val="es-ES"/>
        </w:rPr>
        <w:t>encarga</w:t>
      </w:r>
      <w:r w:rsidR="00D256FF" w:rsidRPr="00A8564C">
        <w:rPr>
          <w:lang w:val="es-ES"/>
        </w:rPr>
        <w:t xml:space="preserve">da de la búsqueda  </w:t>
      </w:r>
      <w:r w:rsidR="00E71FAA" w:rsidRPr="00A8564C">
        <w:rPr>
          <w:lang w:val="es-ES"/>
        </w:rPr>
        <w:t>y del examen preliminar internacional</w:t>
      </w:r>
      <w:r w:rsidR="00D256FF" w:rsidRPr="00A8564C">
        <w:rPr>
          <w:lang w:val="es-ES"/>
        </w:rPr>
        <w:t xml:space="preserve">es </w:t>
      </w:r>
      <w:r w:rsidR="00E71FAA" w:rsidRPr="00A8564C">
        <w:rPr>
          <w:lang w:val="es-ES"/>
        </w:rPr>
        <w:t xml:space="preserve">en virtud del PCT </w:t>
      </w:r>
      <w:r w:rsidR="002C70DB" w:rsidRPr="00A8564C">
        <w:rPr>
          <w:lang w:val="es-ES"/>
        </w:rPr>
        <w:t>(“</w:t>
      </w:r>
      <w:r w:rsidR="00E71FAA" w:rsidRPr="00A8564C">
        <w:rPr>
          <w:lang w:val="es-ES"/>
        </w:rPr>
        <w:t>Administración</w:t>
      </w:r>
      <w:r w:rsidR="00CB3A56" w:rsidRPr="00A8564C">
        <w:rPr>
          <w:lang w:val="es-ES"/>
        </w:rPr>
        <w:t xml:space="preserve"> </w:t>
      </w:r>
      <w:r w:rsidR="00E71FAA" w:rsidRPr="00A8564C">
        <w:rPr>
          <w:lang w:val="es-ES"/>
        </w:rPr>
        <w:t>internacional</w:t>
      </w:r>
      <w:r w:rsidR="002C70DB" w:rsidRPr="00A8564C">
        <w:rPr>
          <w:lang w:val="es-ES"/>
        </w:rPr>
        <w:t>”)</w:t>
      </w:r>
      <w:r w:rsidR="00CB3A56" w:rsidRPr="00A8564C">
        <w:rPr>
          <w:lang w:val="es-ES"/>
        </w:rPr>
        <w:t xml:space="preserve"> e invita al </w:t>
      </w:r>
      <w:r w:rsidR="00184BCD" w:rsidRPr="00A8564C">
        <w:rPr>
          <w:lang w:val="es-ES"/>
        </w:rPr>
        <w:t xml:space="preserve">Comité </w:t>
      </w:r>
      <w:r w:rsidR="00CB3A56" w:rsidRPr="00A8564C">
        <w:rPr>
          <w:lang w:val="es-ES"/>
        </w:rPr>
        <w:t xml:space="preserve">a </w:t>
      </w:r>
      <w:r w:rsidR="000E12F6" w:rsidRPr="00A8564C">
        <w:rPr>
          <w:lang w:val="es-ES"/>
        </w:rPr>
        <w:t>dar</w:t>
      </w:r>
      <w:r w:rsidR="00CB3A56" w:rsidRPr="00A8564C">
        <w:rPr>
          <w:lang w:val="es-ES"/>
        </w:rPr>
        <w:t xml:space="preserve"> un</w:t>
      </w:r>
      <w:r w:rsidR="00640AFC" w:rsidRPr="00A8564C">
        <w:rPr>
          <w:lang w:val="es-ES"/>
        </w:rPr>
        <w:t xml:space="preserve">a opinión </w:t>
      </w:r>
      <w:r w:rsidR="00CB3A56" w:rsidRPr="00A8564C">
        <w:rPr>
          <w:lang w:val="es-ES"/>
        </w:rPr>
        <w:t xml:space="preserve">favorable a la </w:t>
      </w:r>
      <w:r w:rsidR="000E12F6" w:rsidRPr="00A8564C">
        <w:rPr>
          <w:lang w:val="es-ES"/>
        </w:rPr>
        <w:t xml:space="preserve">Asamblea de la Unión del PCT </w:t>
      </w:r>
      <w:r w:rsidR="00CB3A56" w:rsidRPr="00A8564C">
        <w:rPr>
          <w:lang w:val="es-ES"/>
        </w:rPr>
        <w:t>a ese respecto</w:t>
      </w:r>
      <w:r w:rsidR="002C70DB" w:rsidRPr="00A8564C">
        <w:rPr>
          <w:lang w:val="es-ES"/>
        </w:rPr>
        <w:t>.</w:t>
      </w:r>
      <w:r w:rsidR="002C70DB" w:rsidRPr="00A8564C" w:rsidDel="005A5D9C">
        <w:rPr>
          <w:lang w:val="es-ES"/>
        </w:rPr>
        <w:t xml:space="preserve"> </w:t>
      </w:r>
    </w:p>
    <w:p w14:paraId="3FE43223" w14:textId="4ADF0C49" w:rsidR="002C70DB" w:rsidRPr="00A8564C" w:rsidRDefault="00CB3A56" w:rsidP="00A41B96">
      <w:pPr>
        <w:rPr>
          <w:lang w:val="es-ES"/>
        </w:rPr>
      </w:pPr>
      <w:r w:rsidRPr="00A8564C">
        <w:rPr>
          <w:lang w:val="es-ES"/>
        </w:rPr>
        <w:t xml:space="preserve">La </w:t>
      </w:r>
      <w:r w:rsidR="002C70DB" w:rsidRPr="00A8564C">
        <w:rPr>
          <w:lang w:val="es-ES"/>
        </w:rPr>
        <w:t xml:space="preserve">ILPO </w:t>
      </w:r>
      <w:r w:rsidR="000E12F6" w:rsidRPr="00A8564C">
        <w:rPr>
          <w:lang w:val="es-ES"/>
        </w:rPr>
        <w:t>transmitió un</w:t>
      </w:r>
      <w:r w:rsidR="00640AFC" w:rsidRPr="00A8564C">
        <w:rPr>
          <w:lang w:val="es-ES"/>
        </w:rPr>
        <w:t xml:space="preserve"> p</w:t>
      </w:r>
      <w:r w:rsidRPr="00A8564C">
        <w:rPr>
          <w:lang w:val="es-ES"/>
        </w:rPr>
        <w:t xml:space="preserve">royecto de </w:t>
      </w:r>
      <w:r w:rsidR="00640AFC" w:rsidRPr="00A8564C">
        <w:rPr>
          <w:lang w:val="es-ES"/>
        </w:rPr>
        <w:t>la presente</w:t>
      </w:r>
      <w:r w:rsidRPr="00A8564C">
        <w:rPr>
          <w:lang w:val="es-ES"/>
        </w:rPr>
        <w:t xml:space="preserve"> </w:t>
      </w:r>
      <w:r w:rsidR="00E71FAA" w:rsidRPr="00A8564C">
        <w:rPr>
          <w:lang w:val="es-ES"/>
        </w:rPr>
        <w:t>solicitud</w:t>
      </w:r>
      <w:r w:rsidRPr="00A8564C">
        <w:rPr>
          <w:lang w:val="es-ES"/>
        </w:rPr>
        <w:t xml:space="preserve"> a la </w:t>
      </w:r>
      <w:r w:rsidR="00E71FAA" w:rsidRPr="00A8564C">
        <w:rPr>
          <w:lang w:val="es-ES"/>
        </w:rPr>
        <w:t>Oficina</w:t>
      </w:r>
      <w:r w:rsidRPr="00A8564C">
        <w:rPr>
          <w:lang w:val="es-ES"/>
        </w:rPr>
        <w:t xml:space="preserve"> Internacional para </w:t>
      </w:r>
      <w:r w:rsidR="00640AFC" w:rsidRPr="00A8564C">
        <w:rPr>
          <w:lang w:val="es-ES"/>
        </w:rPr>
        <w:t>que lo evaluara y formulara comentarios al respecto.  Los comentarios recibidos se valoraron positivamente</w:t>
      </w:r>
      <w:r w:rsidRPr="00A8564C">
        <w:rPr>
          <w:lang w:val="es-ES"/>
        </w:rPr>
        <w:t xml:space="preserve"> y </w:t>
      </w:r>
      <w:r w:rsidR="00640AFC" w:rsidRPr="00A8564C">
        <w:rPr>
          <w:lang w:val="es-ES"/>
        </w:rPr>
        <w:t xml:space="preserve">se tuvieron </w:t>
      </w:r>
      <w:r w:rsidR="000E12F6" w:rsidRPr="00A8564C">
        <w:rPr>
          <w:lang w:val="es-ES"/>
        </w:rPr>
        <w:t xml:space="preserve">debidamente </w:t>
      </w:r>
      <w:r w:rsidR="00640AFC" w:rsidRPr="00A8564C">
        <w:rPr>
          <w:lang w:val="es-ES"/>
        </w:rPr>
        <w:t>en cuenta</w:t>
      </w:r>
      <w:r w:rsidR="002C70DB" w:rsidRPr="00A8564C">
        <w:rPr>
          <w:lang w:val="es-ES"/>
        </w:rPr>
        <w:t xml:space="preserve">. </w:t>
      </w:r>
    </w:p>
    <w:p w14:paraId="30643CEF" w14:textId="77777777" w:rsidR="002C70DB" w:rsidRPr="00A8564C" w:rsidRDefault="002C70DB" w:rsidP="00A41B96">
      <w:pPr>
        <w:rPr>
          <w:lang w:val="es-ES"/>
        </w:rPr>
      </w:pPr>
    </w:p>
    <w:p w14:paraId="10827CF6" w14:textId="23593BD6" w:rsidR="002C70DB" w:rsidRPr="00A8564C" w:rsidRDefault="002C70DB" w:rsidP="00A41B96">
      <w:pPr>
        <w:pStyle w:val="Heading2"/>
        <w:rPr>
          <w:lang w:val="es-ES"/>
        </w:rPr>
      </w:pPr>
      <w:r w:rsidRPr="00A8564C">
        <w:rPr>
          <w:lang w:val="es-ES"/>
        </w:rPr>
        <w:t>1.1</w:t>
      </w:r>
      <w:r w:rsidR="009E7E5E" w:rsidRPr="00A8564C">
        <w:rPr>
          <w:lang w:val="es-ES"/>
        </w:rPr>
        <w:t xml:space="preserve">.  </w:t>
      </w:r>
      <w:r w:rsidR="00E71FAA" w:rsidRPr="00A8564C">
        <w:rPr>
          <w:lang w:val="es-ES"/>
        </w:rPr>
        <w:t>Información</w:t>
      </w:r>
      <w:r w:rsidR="00CB3A56" w:rsidRPr="00A8564C">
        <w:rPr>
          <w:lang w:val="es-ES"/>
        </w:rPr>
        <w:t xml:space="preserve"> sobre la </w:t>
      </w:r>
      <w:r w:rsidR="00611FA5" w:rsidRPr="00A8564C">
        <w:rPr>
          <w:lang w:val="es-ES"/>
        </w:rPr>
        <w:t>Oficina Israelí de Patentes</w:t>
      </w:r>
      <w:r w:rsidR="00CB3A56" w:rsidRPr="00A8564C">
        <w:rPr>
          <w:lang w:val="es-ES"/>
        </w:rPr>
        <w:t xml:space="preserve"> </w:t>
      </w:r>
      <w:r w:rsidRPr="00A8564C">
        <w:rPr>
          <w:lang w:val="es-ES"/>
        </w:rPr>
        <w:t>(ILPO)</w:t>
      </w:r>
    </w:p>
    <w:p w14:paraId="79009E90" w14:textId="77777777" w:rsidR="00A41B96" w:rsidRPr="00A8564C" w:rsidRDefault="00A41B96" w:rsidP="00A41B96">
      <w:pPr>
        <w:rPr>
          <w:lang w:val="es-ES"/>
        </w:rPr>
      </w:pPr>
    </w:p>
    <w:p w14:paraId="27CFF92B" w14:textId="2C36FE85" w:rsidR="002C70DB" w:rsidRPr="00A8564C" w:rsidRDefault="00A41B96" w:rsidP="00A41B96">
      <w:pPr>
        <w:pStyle w:val="Heading3"/>
        <w:rPr>
          <w:lang w:val="es-ES"/>
        </w:rPr>
      </w:pPr>
      <w:r w:rsidRPr="00A8564C">
        <w:rPr>
          <w:lang w:val="es-ES"/>
        </w:rPr>
        <w:t>1.1.1.</w:t>
      </w:r>
      <w:r w:rsidRPr="00A8564C">
        <w:rPr>
          <w:lang w:val="es-ES"/>
        </w:rPr>
        <w:tab/>
      </w:r>
      <w:r w:rsidR="003A0916">
        <w:rPr>
          <w:lang w:val="es-ES"/>
        </w:rPr>
        <w:t>F</w:t>
      </w:r>
      <w:r w:rsidR="00E71FAA" w:rsidRPr="00A8564C">
        <w:rPr>
          <w:lang w:val="es-ES"/>
        </w:rPr>
        <w:t>unción</w:t>
      </w:r>
      <w:r w:rsidR="00CB3A56" w:rsidRPr="00A8564C">
        <w:rPr>
          <w:lang w:val="es-ES"/>
        </w:rPr>
        <w:t xml:space="preserve"> de la ILPO como </w:t>
      </w:r>
      <w:r w:rsidR="00E71FAA" w:rsidRPr="00A8564C">
        <w:rPr>
          <w:lang w:val="es-ES"/>
        </w:rPr>
        <w:t>Administración</w:t>
      </w:r>
      <w:r w:rsidR="00CB3A56" w:rsidRPr="00A8564C">
        <w:rPr>
          <w:lang w:val="es-ES"/>
        </w:rPr>
        <w:t xml:space="preserve"> </w:t>
      </w:r>
      <w:r w:rsidR="00E71FAA" w:rsidRPr="00A8564C">
        <w:rPr>
          <w:lang w:val="es-ES"/>
        </w:rPr>
        <w:t>internacional</w:t>
      </w:r>
    </w:p>
    <w:p w14:paraId="7096AE06" w14:textId="77777777" w:rsidR="002C70DB" w:rsidRPr="00A8564C" w:rsidRDefault="002C70DB" w:rsidP="00A41B96">
      <w:pPr>
        <w:rPr>
          <w:lang w:val="es-ES"/>
        </w:rPr>
      </w:pPr>
    </w:p>
    <w:p w14:paraId="5F9F205A" w14:textId="3B0C5450" w:rsidR="002C70DB" w:rsidRPr="00A8564C" w:rsidRDefault="00067F2A" w:rsidP="00A41B96">
      <w:pPr>
        <w:rPr>
          <w:lang w:val="es-ES"/>
        </w:rPr>
      </w:pPr>
      <w:r w:rsidRPr="00A8564C">
        <w:rPr>
          <w:lang w:val="es-ES"/>
        </w:rPr>
        <w:t>L</w:t>
      </w:r>
      <w:r w:rsidR="0037799C" w:rsidRPr="00A8564C">
        <w:rPr>
          <w:lang w:val="es-ES"/>
        </w:rPr>
        <w:t xml:space="preserve">a ILPO </w:t>
      </w:r>
      <w:r w:rsidR="005D2A4B" w:rsidRPr="00A8564C">
        <w:rPr>
          <w:lang w:val="es-ES"/>
        </w:rPr>
        <w:t xml:space="preserve">es plenamente operativa </w:t>
      </w:r>
      <w:r w:rsidR="0073538C" w:rsidRPr="00A8564C">
        <w:rPr>
          <w:lang w:val="es-ES"/>
        </w:rPr>
        <w:t>como Administración encargada de la búsqueda internacional (ISA) y como Administración encargada del examen preliminar internacional (IPEA) desde el 1 de junio de 2012</w:t>
      </w:r>
      <w:r w:rsidR="005D2A4B" w:rsidRPr="00A8564C">
        <w:rPr>
          <w:lang w:val="es-ES"/>
        </w:rPr>
        <w:t xml:space="preserve">, </w:t>
      </w:r>
      <w:r w:rsidR="00A8564C" w:rsidRPr="00A8564C">
        <w:rPr>
          <w:lang w:val="es-ES"/>
        </w:rPr>
        <w:t>tras</w:t>
      </w:r>
      <w:r w:rsidRPr="00A8564C">
        <w:rPr>
          <w:lang w:val="es-ES"/>
        </w:rPr>
        <w:t xml:space="preserve"> </w:t>
      </w:r>
      <w:r w:rsidR="00FC71E4" w:rsidRPr="00A8564C">
        <w:rPr>
          <w:lang w:val="es-ES"/>
        </w:rPr>
        <w:t xml:space="preserve">su designación </w:t>
      </w:r>
      <w:r w:rsidR="00A8564C" w:rsidRPr="00A8564C">
        <w:rPr>
          <w:lang w:val="es-ES"/>
        </w:rPr>
        <w:t xml:space="preserve">como tal </w:t>
      </w:r>
      <w:r w:rsidR="00FC71E4" w:rsidRPr="00A8564C">
        <w:rPr>
          <w:lang w:val="es-ES"/>
        </w:rPr>
        <w:t>en</w:t>
      </w:r>
      <w:r w:rsidRPr="00A8564C">
        <w:rPr>
          <w:lang w:val="es-ES"/>
        </w:rPr>
        <w:t xml:space="preserve"> octubre de 2009</w:t>
      </w:r>
      <w:r w:rsidR="009E7E5E" w:rsidRPr="00A8564C">
        <w:rPr>
          <w:lang w:val="es-ES"/>
        </w:rPr>
        <w:t xml:space="preserve">.  </w:t>
      </w:r>
      <w:r w:rsidR="00A8564C" w:rsidRPr="00A8564C">
        <w:rPr>
          <w:lang w:val="es-ES"/>
        </w:rPr>
        <w:t>Aunque</w:t>
      </w:r>
      <w:r w:rsidR="0078162C" w:rsidRPr="00A8564C">
        <w:rPr>
          <w:lang w:val="es-ES"/>
        </w:rPr>
        <w:t xml:space="preserve"> los solicitantes </w:t>
      </w:r>
      <w:r w:rsidR="002C70DB" w:rsidRPr="00A8564C">
        <w:rPr>
          <w:lang w:val="es-ES"/>
        </w:rPr>
        <w:t xml:space="preserve">PCT </w:t>
      </w:r>
      <w:r w:rsidR="005D2A4B" w:rsidRPr="00A8564C">
        <w:rPr>
          <w:lang w:val="es-ES"/>
        </w:rPr>
        <w:t>israelíes tienen la posibilidad de</w:t>
      </w:r>
      <w:r w:rsidR="0078162C" w:rsidRPr="00A8564C">
        <w:rPr>
          <w:lang w:val="es-ES"/>
        </w:rPr>
        <w:t xml:space="preserve"> desi</w:t>
      </w:r>
      <w:r w:rsidR="00543BC5" w:rsidRPr="00A8564C">
        <w:rPr>
          <w:lang w:val="es-ES"/>
        </w:rPr>
        <w:t>g</w:t>
      </w:r>
      <w:r w:rsidR="0078162C" w:rsidRPr="00A8564C">
        <w:rPr>
          <w:lang w:val="es-ES"/>
        </w:rPr>
        <w:t xml:space="preserve">nar </w:t>
      </w:r>
      <w:r w:rsidR="00FC71E4" w:rsidRPr="00A8564C">
        <w:rPr>
          <w:lang w:val="es-ES"/>
        </w:rPr>
        <w:t xml:space="preserve">sea </w:t>
      </w:r>
      <w:r w:rsidR="0078162C" w:rsidRPr="00A8564C">
        <w:rPr>
          <w:lang w:val="es-ES"/>
        </w:rPr>
        <w:t xml:space="preserve">a la </w:t>
      </w:r>
      <w:r w:rsidR="002C70DB" w:rsidRPr="00A8564C">
        <w:rPr>
          <w:lang w:val="es-ES"/>
        </w:rPr>
        <w:t xml:space="preserve">ILPO, </w:t>
      </w:r>
      <w:r w:rsidR="0078162C" w:rsidRPr="00A8564C">
        <w:rPr>
          <w:lang w:val="es-ES"/>
        </w:rPr>
        <w:t xml:space="preserve">la USPTO o la </w:t>
      </w:r>
      <w:r w:rsidR="00543BC5" w:rsidRPr="00A8564C">
        <w:rPr>
          <w:lang w:val="es-ES"/>
        </w:rPr>
        <w:t>OEP</w:t>
      </w:r>
      <w:r w:rsidR="0078162C" w:rsidRPr="00A8564C">
        <w:rPr>
          <w:lang w:val="es-ES"/>
        </w:rPr>
        <w:t xml:space="preserve"> como su ISA/IPEA, desde </w:t>
      </w:r>
      <w:r w:rsidR="00B27E24" w:rsidRPr="00A8564C">
        <w:rPr>
          <w:lang w:val="es-ES"/>
        </w:rPr>
        <w:t>que comenzó a funcionar</w:t>
      </w:r>
      <w:r w:rsidR="0078162C" w:rsidRPr="00A8564C">
        <w:rPr>
          <w:lang w:val="es-ES"/>
        </w:rPr>
        <w:t xml:space="preserve"> como </w:t>
      </w:r>
      <w:r w:rsidR="00E71FAA" w:rsidRPr="00A8564C">
        <w:rPr>
          <w:lang w:val="es-ES"/>
        </w:rPr>
        <w:t>Administración</w:t>
      </w:r>
      <w:r w:rsidR="0078162C" w:rsidRPr="00A8564C">
        <w:rPr>
          <w:lang w:val="es-ES"/>
        </w:rPr>
        <w:t xml:space="preserve"> internacional</w:t>
      </w:r>
      <w:r w:rsidR="002C70DB" w:rsidRPr="00A8564C">
        <w:rPr>
          <w:lang w:val="es-ES"/>
        </w:rPr>
        <w:t xml:space="preserve">, </w:t>
      </w:r>
      <w:r w:rsidR="0078162C" w:rsidRPr="00A8564C">
        <w:rPr>
          <w:lang w:val="es-ES"/>
        </w:rPr>
        <w:t>la</w:t>
      </w:r>
      <w:r w:rsidR="002C70DB" w:rsidRPr="00A8564C">
        <w:rPr>
          <w:lang w:val="es-ES"/>
        </w:rPr>
        <w:t xml:space="preserve"> ILPO </w:t>
      </w:r>
      <w:r w:rsidR="0078162C" w:rsidRPr="00A8564C">
        <w:rPr>
          <w:lang w:val="es-ES"/>
        </w:rPr>
        <w:t xml:space="preserve">ha </w:t>
      </w:r>
      <w:r w:rsidR="00543BC5" w:rsidRPr="00A8564C">
        <w:rPr>
          <w:lang w:val="es-ES"/>
        </w:rPr>
        <w:t>constatado</w:t>
      </w:r>
      <w:r w:rsidR="0078162C" w:rsidRPr="00A8564C">
        <w:rPr>
          <w:lang w:val="es-ES"/>
        </w:rPr>
        <w:t xml:space="preserve"> un </w:t>
      </w:r>
      <w:r w:rsidR="00FC71E4" w:rsidRPr="00A8564C">
        <w:rPr>
          <w:lang w:val="es-ES"/>
        </w:rPr>
        <w:t>crecimiento</w:t>
      </w:r>
      <w:r w:rsidR="0078162C" w:rsidRPr="00A8564C">
        <w:rPr>
          <w:lang w:val="es-ES"/>
        </w:rPr>
        <w:t xml:space="preserve"> constante de</w:t>
      </w:r>
      <w:r w:rsidR="00543BC5" w:rsidRPr="00A8564C">
        <w:rPr>
          <w:lang w:val="es-ES"/>
        </w:rPr>
        <w:t>l número d</w:t>
      </w:r>
      <w:r w:rsidR="0078162C" w:rsidRPr="00A8564C">
        <w:rPr>
          <w:lang w:val="es-ES"/>
        </w:rPr>
        <w:t xml:space="preserve">e solicitudes </w:t>
      </w:r>
      <w:r w:rsidR="002C70DB" w:rsidRPr="00A8564C">
        <w:rPr>
          <w:lang w:val="es-ES"/>
        </w:rPr>
        <w:t xml:space="preserve">PCT </w:t>
      </w:r>
      <w:r w:rsidR="0078162C" w:rsidRPr="00A8564C">
        <w:rPr>
          <w:lang w:val="es-ES"/>
        </w:rPr>
        <w:t xml:space="preserve">que </w:t>
      </w:r>
      <w:r w:rsidR="00543BC5" w:rsidRPr="00A8564C">
        <w:rPr>
          <w:lang w:val="es-ES"/>
        </w:rPr>
        <w:t xml:space="preserve">la </w:t>
      </w:r>
      <w:r w:rsidR="0078162C" w:rsidRPr="00A8564C">
        <w:rPr>
          <w:lang w:val="es-ES"/>
        </w:rPr>
        <w:t>designan como</w:t>
      </w:r>
      <w:r w:rsidR="002C70DB" w:rsidRPr="00A8564C">
        <w:rPr>
          <w:lang w:val="es-ES"/>
        </w:rPr>
        <w:t xml:space="preserve"> ISA/IPEA</w:t>
      </w:r>
      <w:r w:rsidR="002C70DB" w:rsidRPr="00A8564C">
        <w:rPr>
          <w:vertAlign w:val="superscript"/>
          <w:lang w:val="es-ES"/>
        </w:rPr>
        <w:footnoteReference w:id="2"/>
      </w:r>
      <w:r w:rsidR="009E7E5E" w:rsidRPr="00A8564C">
        <w:rPr>
          <w:lang w:val="es-ES"/>
        </w:rPr>
        <w:t xml:space="preserve">.  </w:t>
      </w:r>
      <w:r w:rsidR="0078162C" w:rsidRPr="00A8564C">
        <w:rPr>
          <w:lang w:val="es-ES"/>
        </w:rPr>
        <w:t xml:space="preserve">Desde </w:t>
      </w:r>
      <w:r w:rsidR="00B27E24" w:rsidRPr="00A8564C">
        <w:rPr>
          <w:lang w:val="es-ES"/>
        </w:rPr>
        <w:t>el inicio de sus</w:t>
      </w:r>
      <w:r w:rsidR="0078162C" w:rsidRPr="00A8564C">
        <w:rPr>
          <w:lang w:val="es-ES"/>
        </w:rPr>
        <w:t xml:space="preserve"> actividades, la </w:t>
      </w:r>
      <w:r w:rsidR="002C70DB" w:rsidRPr="00A8564C">
        <w:rPr>
          <w:lang w:val="es-ES"/>
        </w:rPr>
        <w:t>ILPO ha</w:t>
      </w:r>
      <w:r w:rsidR="0078162C" w:rsidRPr="00A8564C">
        <w:rPr>
          <w:lang w:val="es-ES"/>
        </w:rPr>
        <w:t xml:space="preserve"> e</w:t>
      </w:r>
      <w:r w:rsidR="00543BC5" w:rsidRPr="00A8564C">
        <w:rPr>
          <w:lang w:val="es-ES"/>
        </w:rPr>
        <w:t>laborado</w:t>
      </w:r>
      <w:r w:rsidR="0078162C" w:rsidRPr="00A8564C">
        <w:rPr>
          <w:lang w:val="es-ES"/>
        </w:rPr>
        <w:t xml:space="preserve"> </w:t>
      </w:r>
      <w:r w:rsidR="00E71FAA" w:rsidRPr="00A8564C">
        <w:rPr>
          <w:lang w:val="es-ES"/>
        </w:rPr>
        <w:t>informes</w:t>
      </w:r>
      <w:r w:rsidR="0078162C" w:rsidRPr="00A8564C">
        <w:rPr>
          <w:lang w:val="es-ES"/>
        </w:rPr>
        <w:t xml:space="preserve"> internacionales </w:t>
      </w:r>
      <w:r w:rsidR="002C70DB" w:rsidRPr="00A8564C">
        <w:rPr>
          <w:lang w:val="es-ES"/>
        </w:rPr>
        <w:t>(</w:t>
      </w:r>
      <w:r w:rsidR="00B1507E" w:rsidRPr="00A8564C">
        <w:rPr>
          <w:lang w:val="es-ES"/>
        </w:rPr>
        <w:t>informe</w:t>
      </w:r>
      <w:r w:rsidR="00AC6584" w:rsidRPr="00A8564C">
        <w:rPr>
          <w:lang w:val="es-ES"/>
        </w:rPr>
        <w:t>s</w:t>
      </w:r>
      <w:r w:rsidR="00664CBD" w:rsidRPr="00A8564C">
        <w:rPr>
          <w:lang w:val="es-ES"/>
        </w:rPr>
        <w:t xml:space="preserve"> internacional</w:t>
      </w:r>
      <w:r w:rsidR="00AC6584" w:rsidRPr="00A8564C">
        <w:rPr>
          <w:lang w:val="es-ES"/>
        </w:rPr>
        <w:t>es</w:t>
      </w:r>
      <w:r w:rsidR="00B1507E" w:rsidRPr="00A8564C">
        <w:rPr>
          <w:lang w:val="es-ES"/>
        </w:rPr>
        <w:t xml:space="preserve"> de búsqueda,</w:t>
      </w:r>
      <w:r w:rsidR="00543BC5" w:rsidRPr="00A8564C">
        <w:rPr>
          <w:lang w:val="es-ES"/>
        </w:rPr>
        <w:t xml:space="preserve"> </w:t>
      </w:r>
      <w:r w:rsidR="00AC6584" w:rsidRPr="00A8564C">
        <w:rPr>
          <w:lang w:val="es-ES"/>
        </w:rPr>
        <w:t xml:space="preserve">informes preliminares internacionales de patentabilidad y opiniones escritas </w:t>
      </w:r>
      <w:r w:rsidR="00B27E24" w:rsidRPr="00A8564C">
        <w:rPr>
          <w:lang w:val="es-ES"/>
        </w:rPr>
        <w:t xml:space="preserve">con arreglo a </w:t>
      </w:r>
      <w:r w:rsidR="001B4847" w:rsidRPr="00A8564C">
        <w:rPr>
          <w:lang w:val="es-ES"/>
        </w:rPr>
        <w:t xml:space="preserve">los </w:t>
      </w:r>
      <w:r w:rsidR="00AC6584" w:rsidRPr="00A8564C">
        <w:rPr>
          <w:lang w:val="es-ES"/>
        </w:rPr>
        <w:t>capítulos I y II del PCT</w:t>
      </w:r>
      <w:r w:rsidR="002C70DB" w:rsidRPr="00A8564C">
        <w:rPr>
          <w:lang w:val="es-ES"/>
        </w:rPr>
        <w:t>)</w:t>
      </w:r>
      <w:r w:rsidR="00A8564C" w:rsidRPr="00A8564C">
        <w:rPr>
          <w:lang w:val="es-ES"/>
        </w:rPr>
        <w:t xml:space="preserve"> respecto de</w:t>
      </w:r>
      <w:r w:rsidR="0078162C" w:rsidRPr="00A8564C">
        <w:rPr>
          <w:lang w:val="es-ES"/>
        </w:rPr>
        <w:t xml:space="preserve"> </w:t>
      </w:r>
      <w:r w:rsidR="00742E82" w:rsidRPr="00A8564C">
        <w:rPr>
          <w:lang w:val="es-ES"/>
        </w:rPr>
        <w:t>más</w:t>
      </w:r>
      <w:r w:rsidR="0078162C" w:rsidRPr="00A8564C">
        <w:rPr>
          <w:lang w:val="es-ES"/>
        </w:rPr>
        <w:t xml:space="preserve"> de </w:t>
      </w:r>
      <w:r w:rsidR="002C70DB" w:rsidRPr="00A8564C">
        <w:rPr>
          <w:lang w:val="es-ES"/>
        </w:rPr>
        <w:t>4</w:t>
      </w:r>
      <w:r w:rsidR="0078162C" w:rsidRPr="00A8564C">
        <w:rPr>
          <w:lang w:val="es-ES"/>
        </w:rPr>
        <w:t>.</w:t>
      </w:r>
      <w:r w:rsidR="002C70DB" w:rsidRPr="00A8564C">
        <w:rPr>
          <w:lang w:val="es-ES"/>
        </w:rPr>
        <w:t xml:space="preserve">500 </w:t>
      </w:r>
      <w:r w:rsidR="0078162C" w:rsidRPr="00A8564C">
        <w:rPr>
          <w:lang w:val="es-ES"/>
        </w:rPr>
        <w:t>s</w:t>
      </w:r>
      <w:r w:rsidR="00184BCD" w:rsidRPr="00A8564C">
        <w:rPr>
          <w:lang w:val="es-ES"/>
        </w:rPr>
        <w:t xml:space="preserve">olicitudes </w:t>
      </w:r>
      <w:r w:rsidR="0078162C" w:rsidRPr="00A8564C">
        <w:rPr>
          <w:lang w:val="es-ES"/>
        </w:rPr>
        <w:t xml:space="preserve">internacionales.  </w:t>
      </w:r>
      <w:r w:rsidR="00A8564C" w:rsidRPr="00A8564C">
        <w:rPr>
          <w:lang w:val="es-ES"/>
        </w:rPr>
        <w:t>Aunque,</w:t>
      </w:r>
      <w:r w:rsidR="00FC71E4" w:rsidRPr="00A8564C">
        <w:rPr>
          <w:lang w:val="es-ES"/>
        </w:rPr>
        <w:t xml:space="preserve"> inicialmente, la Oficina</w:t>
      </w:r>
      <w:r w:rsidR="00543BC5" w:rsidRPr="00A8564C">
        <w:rPr>
          <w:lang w:val="es-ES"/>
        </w:rPr>
        <w:t xml:space="preserve"> </w:t>
      </w:r>
      <w:r w:rsidR="00FC71E4" w:rsidRPr="00A8564C">
        <w:rPr>
          <w:lang w:val="es-ES"/>
        </w:rPr>
        <w:t xml:space="preserve">solo </w:t>
      </w:r>
      <w:r w:rsidR="00AC6584" w:rsidRPr="00A8564C">
        <w:rPr>
          <w:lang w:val="es-ES"/>
        </w:rPr>
        <w:t xml:space="preserve">prestaba </w:t>
      </w:r>
      <w:r w:rsidR="0078162C" w:rsidRPr="00A8564C">
        <w:rPr>
          <w:lang w:val="es-ES"/>
        </w:rPr>
        <w:t>servicios</w:t>
      </w:r>
      <w:r w:rsidR="00A8564C" w:rsidRPr="00A8564C">
        <w:rPr>
          <w:lang w:val="es-ES"/>
        </w:rPr>
        <w:t xml:space="preserve"> como ISA/IPEA </w:t>
      </w:r>
      <w:r w:rsidR="0078162C" w:rsidRPr="00A8564C">
        <w:rPr>
          <w:lang w:val="es-ES"/>
        </w:rPr>
        <w:t xml:space="preserve">a </w:t>
      </w:r>
      <w:r w:rsidR="00E71FAA" w:rsidRPr="00A8564C">
        <w:rPr>
          <w:lang w:val="es-ES"/>
        </w:rPr>
        <w:t>solicitantes</w:t>
      </w:r>
      <w:r w:rsidR="0078162C" w:rsidRPr="00A8564C">
        <w:rPr>
          <w:lang w:val="es-ES"/>
        </w:rPr>
        <w:t xml:space="preserve"> </w:t>
      </w:r>
      <w:r w:rsidR="00E71FAA" w:rsidRPr="00A8564C">
        <w:rPr>
          <w:lang w:val="es-ES"/>
        </w:rPr>
        <w:t>israelíes</w:t>
      </w:r>
      <w:r w:rsidR="0078162C" w:rsidRPr="00A8564C">
        <w:rPr>
          <w:lang w:val="es-ES"/>
        </w:rPr>
        <w:t xml:space="preserve">, </w:t>
      </w:r>
      <w:r w:rsidR="001B4847" w:rsidRPr="00A8564C">
        <w:rPr>
          <w:lang w:val="es-ES"/>
        </w:rPr>
        <w:t xml:space="preserve">posteriormente </w:t>
      </w:r>
      <w:r w:rsidR="00FC71E4" w:rsidRPr="00A8564C">
        <w:rPr>
          <w:lang w:val="es-ES"/>
        </w:rPr>
        <w:t xml:space="preserve">comenzó también a atender solicitudes </w:t>
      </w:r>
      <w:r w:rsidR="001B4847" w:rsidRPr="00A8564C">
        <w:rPr>
          <w:lang w:val="es-ES"/>
        </w:rPr>
        <w:t>d</w:t>
      </w:r>
      <w:r w:rsidR="0078162C" w:rsidRPr="00A8564C">
        <w:rPr>
          <w:lang w:val="es-ES"/>
        </w:rPr>
        <w:t xml:space="preserve">e </w:t>
      </w:r>
      <w:r w:rsidR="00E71FAA" w:rsidRPr="00A8564C">
        <w:rPr>
          <w:lang w:val="es-ES"/>
        </w:rPr>
        <w:t>Estados</w:t>
      </w:r>
      <w:r w:rsidR="0078162C" w:rsidRPr="00A8564C">
        <w:rPr>
          <w:lang w:val="es-ES"/>
        </w:rPr>
        <w:t xml:space="preserve"> Unidos y Georgia</w:t>
      </w:r>
      <w:r w:rsidR="009E7E5E" w:rsidRPr="00A8564C">
        <w:rPr>
          <w:lang w:val="es-ES"/>
        </w:rPr>
        <w:t xml:space="preserve">.  </w:t>
      </w:r>
      <w:r w:rsidR="00E71FAA" w:rsidRPr="00A8564C">
        <w:rPr>
          <w:lang w:val="es-ES"/>
        </w:rPr>
        <w:t>A</w:t>
      </w:r>
      <w:r w:rsidR="00AC6584" w:rsidRPr="00A8564C">
        <w:rPr>
          <w:lang w:val="es-ES"/>
        </w:rPr>
        <w:t xml:space="preserve"> pesar de</w:t>
      </w:r>
      <w:r w:rsidR="00627733" w:rsidRPr="00A8564C">
        <w:rPr>
          <w:lang w:val="es-ES"/>
        </w:rPr>
        <w:t xml:space="preserve">l aumento constante del </w:t>
      </w:r>
      <w:r w:rsidR="00E71FAA" w:rsidRPr="00A8564C">
        <w:rPr>
          <w:lang w:val="es-ES"/>
        </w:rPr>
        <w:t>número</w:t>
      </w:r>
      <w:r w:rsidR="0078162C" w:rsidRPr="00A8564C">
        <w:rPr>
          <w:lang w:val="es-ES"/>
        </w:rPr>
        <w:t xml:space="preserve"> de solicitudes que designan a la </w:t>
      </w:r>
      <w:r w:rsidR="002C70DB" w:rsidRPr="00A8564C">
        <w:rPr>
          <w:lang w:val="es-ES"/>
        </w:rPr>
        <w:t xml:space="preserve">ILPO </w:t>
      </w:r>
      <w:r w:rsidR="0078162C" w:rsidRPr="00A8564C">
        <w:rPr>
          <w:lang w:val="es-ES"/>
        </w:rPr>
        <w:t xml:space="preserve">como </w:t>
      </w:r>
      <w:r w:rsidR="00AC6584" w:rsidRPr="00A8564C">
        <w:rPr>
          <w:lang w:val="es-ES"/>
        </w:rPr>
        <w:t xml:space="preserve">ISA/IPEA, </w:t>
      </w:r>
      <w:r w:rsidR="0078162C" w:rsidRPr="00A8564C">
        <w:rPr>
          <w:lang w:val="es-ES"/>
        </w:rPr>
        <w:t xml:space="preserve">la </w:t>
      </w:r>
      <w:r w:rsidR="00AC6584" w:rsidRPr="00A8564C">
        <w:rPr>
          <w:lang w:val="es-ES"/>
        </w:rPr>
        <w:t xml:space="preserve">Oficina </w:t>
      </w:r>
      <w:r w:rsidR="0078162C" w:rsidRPr="00A8564C">
        <w:rPr>
          <w:lang w:val="es-ES"/>
        </w:rPr>
        <w:t>ha logrado</w:t>
      </w:r>
      <w:r w:rsidR="001B4847" w:rsidRPr="00A8564C">
        <w:rPr>
          <w:lang w:val="es-ES"/>
        </w:rPr>
        <w:t>,</w:t>
      </w:r>
      <w:r w:rsidR="0078162C" w:rsidRPr="00A8564C">
        <w:rPr>
          <w:lang w:val="es-ES"/>
        </w:rPr>
        <w:t xml:space="preserve"> </w:t>
      </w:r>
      <w:r w:rsidR="001B4847" w:rsidRPr="00A8564C">
        <w:rPr>
          <w:lang w:val="es-ES"/>
        </w:rPr>
        <w:t xml:space="preserve">en general, producir los documentos y materiales </w:t>
      </w:r>
      <w:r w:rsidR="00627733" w:rsidRPr="00A8564C">
        <w:rPr>
          <w:lang w:val="es-ES"/>
        </w:rPr>
        <w:t xml:space="preserve">resultantes de </w:t>
      </w:r>
      <w:r w:rsidR="001B4847" w:rsidRPr="00A8564C">
        <w:rPr>
          <w:lang w:val="es-ES"/>
        </w:rPr>
        <w:t xml:space="preserve">la </w:t>
      </w:r>
      <w:r w:rsidR="00627733" w:rsidRPr="00A8564C">
        <w:rPr>
          <w:lang w:val="es-ES"/>
        </w:rPr>
        <w:t xml:space="preserve">labor </w:t>
      </w:r>
      <w:r w:rsidR="001B4847" w:rsidRPr="00A8564C">
        <w:rPr>
          <w:lang w:val="es-ES"/>
        </w:rPr>
        <w:t xml:space="preserve">internacional </w:t>
      </w:r>
      <w:r w:rsidR="0078162C" w:rsidRPr="00A8564C">
        <w:rPr>
          <w:lang w:val="es-ES"/>
        </w:rPr>
        <w:t xml:space="preserve">dentro de los plazos </w:t>
      </w:r>
      <w:r w:rsidR="007D287E" w:rsidRPr="00A8564C">
        <w:rPr>
          <w:lang w:val="es-ES"/>
        </w:rPr>
        <w:t>prescritos</w:t>
      </w:r>
      <w:r w:rsidR="0078162C" w:rsidRPr="00A8564C">
        <w:rPr>
          <w:lang w:val="es-ES"/>
        </w:rPr>
        <w:t xml:space="preserve"> en el marco del </w:t>
      </w:r>
      <w:r w:rsidR="002C70DB" w:rsidRPr="00A8564C">
        <w:rPr>
          <w:lang w:val="es-ES"/>
        </w:rPr>
        <w:t>PCT</w:t>
      </w:r>
      <w:r w:rsidR="0078162C" w:rsidRPr="00A8564C">
        <w:rPr>
          <w:lang w:val="es-ES"/>
        </w:rPr>
        <w:t xml:space="preserve">.  </w:t>
      </w:r>
      <w:r w:rsidR="007D66D3" w:rsidRPr="00A8564C">
        <w:rPr>
          <w:lang w:val="es-ES"/>
        </w:rPr>
        <w:t xml:space="preserve">El </w:t>
      </w:r>
      <w:r w:rsidRPr="00A8564C">
        <w:rPr>
          <w:lang w:val="es-ES"/>
        </w:rPr>
        <w:t xml:space="preserve">alto </w:t>
      </w:r>
      <w:r w:rsidR="007D66D3" w:rsidRPr="00A8564C">
        <w:rPr>
          <w:lang w:val="es-ES"/>
        </w:rPr>
        <w:t xml:space="preserve">grado de </w:t>
      </w:r>
      <w:r w:rsidR="00E71FAA" w:rsidRPr="00A8564C">
        <w:rPr>
          <w:lang w:val="es-ES"/>
        </w:rPr>
        <w:t>satisfacción</w:t>
      </w:r>
      <w:r w:rsidR="007D66D3" w:rsidRPr="00A8564C">
        <w:rPr>
          <w:lang w:val="es-ES"/>
        </w:rPr>
        <w:t xml:space="preserve"> </w:t>
      </w:r>
      <w:r w:rsidR="00E71FAA" w:rsidRPr="00A8564C">
        <w:rPr>
          <w:lang w:val="es-ES"/>
        </w:rPr>
        <w:t>manifestado</w:t>
      </w:r>
      <w:r w:rsidR="007D66D3" w:rsidRPr="00A8564C">
        <w:rPr>
          <w:lang w:val="es-ES"/>
        </w:rPr>
        <w:t xml:space="preserve"> </w:t>
      </w:r>
      <w:r w:rsidR="007D287E" w:rsidRPr="00A8564C">
        <w:rPr>
          <w:lang w:val="es-ES"/>
        </w:rPr>
        <w:t xml:space="preserve">por los solicitantes PCT </w:t>
      </w:r>
      <w:r w:rsidR="007D66D3" w:rsidRPr="00A8564C">
        <w:rPr>
          <w:lang w:val="es-ES"/>
        </w:rPr>
        <w:t>en l</w:t>
      </w:r>
      <w:r w:rsidR="007D287E" w:rsidRPr="00A8564C">
        <w:rPr>
          <w:lang w:val="es-ES"/>
        </w:rPr>
        <w:t>as encuestas</w:t>
      </w:r>
      <w:r w:rsidR="007D66D3" w:rsidRPr="00A8564C">
        <w:rPr>
          <w:lang w:val="es-ES"/>
        </w:rPr>
        <w:t xml:space="preserve"> </w:t>
      </w:r>
      <w:r w:rsidRPr="00A8564C">
        <w:rPr>
          <w:lang w:val="es-ES"/>
        </w:rPr>
        <w:t xml:space="preserve">realizadas </w:t>
      </w:r>
      <w:r w:rsidR="007D66D3" w:rsidRPr="00A8564C">
        <w:rPr>
          <w:lang w:val="es-ES"/>
        </w:rPr>
        <w:t xml:space="preserve">y </w:t>
      </w:r>
      <w:r w:rsidR="00E12EF3" w:rsidRPr="00A8564C">
        <w:rPr>
          <w:lang w:val="es-ES"/>
        </w:rPr>
        <w:t>la</w:t>
      </w:r>
      <w:r w:rsidR="007D66D3" w:rsidRPr="00A8564C">
        <w:rPr>
          <w:lang w:val="es-ES"/>
        </w:rPr>
        <w:t xml:space="preserve"> </w:t>
      </w:r>
      <w:r w:rsidR="00B27E24" w:rsidRPr="00A8564C">
        <w:rPr>
          <w:lang w:val="es-ES"/>
        </w:rPr>
        <w:t>elevad</w:t>
      </w:r>
      <w:r w:rsidR="00E12EF3" w:rsidRPr="00A8564C">
        <w:rPr>
          <w:lang w:val="es-ES"/>
        </w:rPr>
        <w:t xml:space="preserve">a </w:t>
      </w:r>
      <w:r w:rsidR="00FF04EF" w:rsidRPr="00A8564C">
        <w:rPr>
          <w:lang w:val="es-ES"/>
        </w:rPr>
        <w:t xml:space="preserve">tasa de reutilización de </w:t>
      </w:r>
      <w:r w:rsidR="00E12EF3" w:rsidRPr="00A8564C">
        <w:rPr>
          <w:lang w:val="es-ES"/>
        </w:rPr>
        <w:t xml:space="preserve">citas de la </w:t>
      </w:r>
      <w:r w:rsidR="002C70DB" w:rsidRPr="00A8564C">
        <w:rPr>
          <w:lang w:val="es-ES"/>
        </w:rPr>
        <w:t xml:space="preserve">ISA/IL </w:t>
      </w:r>
      <w:r w:rsidR="00933CB2" w:rsidRPr="00A8564C">
        <w:rPr>
          <w:lang w:val="es-ES"/>
        </w:rPr>
        <w:t>en la entrada</w:t>
      </w:r>
      <w:r w:rsidR="00E86729" w:rsidRPr="00A8564C">
        <w:rPr>
          <w:lang w:val="es-ES"/>
        </w:rPr>
        <w:t xml:space="preserve"> en la fase nacional </w:t>
      </w:r>
      <w:r w:rsidR="00627733" w:rsidRPr="00A8564C">
        <w:rPr>
          <w:lang w:val="es-ES"/>
        </w:rPr>
        <w:t xml:space="preserve">son el testimonio de </w:t>
      </w:r>
      <w:r w:rsidR="007D66D3" w:rsidRPr="00A8564C">
        <w:rPr>
          <w:lang w:val="es-ES"/>
        </w:rPr>
        <w:t xml:space="preserve">la </w:t>
      </w:r>
      <w:r w:rsidR="00933CB2" w:rsidRPr="00A8564C">
        <w:rPr>
          <w:lang w:val="es-ES"/>
        </w:rPr>
        <w:t>óptima</w:t>
      </w:r>
      <w:r w:rsidR="007D66D3" w:rsidRPr="00A8564C">
        <w:rPr>
          <w:lang w:val="es-ES"/>
        </w:rPr>
        <w:t xml:space="preserve"> calidad de los </w:t>
      </w:r>
      <w:r w:rsidR="00E71FAA" w:rsidRPr="00A8564C">
        <w:rPr>
          <w:lang w:val="es-ES"/>
        </w:rPr>
        <w:t>servicios</w:t>
      </w:r>
      <w:r w:rsidR="007D66D3" w:rsidRPr="00A8564C">
        <w:rPr>
          <w:lang w:val="es-ES"/>
        </w:rPr>
        <w:t xml:space="preserve"> prestados por la </w:t>
      </w:r>
      <w:r w:rsidR="002C70DB" w:rsidRPr="00A8564C">
        <w:rPr>
          <w:lang w:val="es-ES"/>
        </w:rPr>
        <w:t>ILPO</w:t>
      </w:r>
      <w:r w:rsidR="00E12EF3" w:rsidRPr="00A8564C">
        <w:rPr>
          <w:lang w:val="es-ES"/>
        </w:rPr>
        <w:t>,</w:t>
      </w:r>
      <w:r w:rsidR="002C70DB" w:rsidRPr="00A8564C">
        <w:rPr>
          <w:lang w:val="es-ES"/>
        </w:rPr>
        <w:t xml:space="preserve"> </w:t>
      </w:r>
      <w:r w:rsidR="007D66D3" w:rsidRPr="00A8564C">
        <w:rPr>
          <w:lang w:val="es-ES"/>
        </w:rPr>
        <w:t xml:space="preserve">en su calidad de </w:t>
      </w:r>
      <w:r w:rsidR="002C70DB" w:rsidRPr="00A8564C">
        <w:rPr>
          <w:lang w:val="es-ES"/>
        </w:rPr>
        <w:t xml:space="preserve">ISA/IPEA. </w:t>
      </w:r>
    </w:p>
    <w:p w14:paraId="76A9066B" w14:textId="77777777" w:rsidR="002C70DB" w:rsidRPr="00A8564C" w:rsidRDefault="002C70DB" w:rsidP="00A41B96">
      <w:pPr>
        <w:rPr>
          <w:lang w:val="es-ES"/>
        </w:rPr>
      </w:pPr>
    </w:p>
    <w:p w14:paraId="4D681C06" w14:textId="484C3FC1" w:rsidR="002C70DB" w:rsidRPr="00A8564C" w:rsidRDefault="007D66D3" w:rsidP="0078162C">
      <w:pPr>
        <w:tabs>
          <w:tab w:val="decimal" w:pos="993"/>
        </w:tabs>
        <w:rPr>
          <w:lang w:val="es-ES"/>
        </w:rPr>
      </w:pPr>
      <w:r w:rsidRPr="00A8564C">
        <w:rPr>
          <w:lang w:val="es-ES"/>
        </w:rPr>
        <w:t xml:space="preserve">El </w:t>
      </w:r>
      <w:r w:rsidR="00E12EF3" w:rsidRPr="00A8564C">
        <w:rPr>
          <w:lang w:val="es-ES"/>
        </w:rPr>
        <w:t>porcentaje cada vez mayor de</w:t>
      </w:r>
      <w:r w:rsidRPr="00A8564C">
        <w:rPr>
          <w:lang w:val="es-ES"/>
        </w:rPr>
        <w:t xml:space="preserve"> solicit</w:t>
      </w:r>
      <w:r w:rsidR="00184BCD" w:rsidRPr="00A8564C">
        <w:rPr>
          <w:lang w:val="es-ES"/>
        </w:rPr>
        <w:t xml:space="preserve">udes </w:t>
      </w:r>
      <w:r w:rsidRPr="00A8564C">
        <w:rPr>
          <w:lang w:val="es-ES"/>
        </w:rPr>
        <w:t>inter</w:t>
      </w:r>
      <w:r w:rsidR="00184BCD" w:rsidRPr="00A8564C">
        <w:rPr>
          <w:lang w:val="es-ES"/>
        </w:rPr>
        <w:t>nacionales</w:t>
      </w:r>
      <w:r w:rsidRPr="00A8564C">
        <w:rPr>
          <w:lang w:val="es-ES"/>
        </w:rPr>
        <w:t xml:space="preserve"> que </w:t>
      </w:r>
      <w:r w:rsidR="00E71FAA" w:rsidRPr="00A8564C">
        <w:rPr>
          <w:lang w:val="es-ES"/>
        </w:rPr>
        <w:t>designan</w:t>
      </w:r>
      <w:r w:rsidRPr="00A8564C">
        <w:rPr>
          <w:lang w:val="es-ES"/>
        </w:rPr>
        <w:t xml:space="preserve"> a la </w:t>
      </w:r>
      <w:r w:rsidR="002C70DB" w:rsidRPr="00A8564C">
        <w:rPr>
          <w:lang w:val="es-ES"/>
        </w:rPr>
        <w:t>ILPO</w:t>
      </w:r>
      <w:r w:rsidRPr="00A8564C">
        <w:rPr>
          <w:lang w:val="es-ES"/>
        </w:rPr>
        <w:t xml:space="preserve"> como</w:t>
      </w:r>
      <w:r w:rsidR="002C70DB" w:rsidRPr="00A8564C">
        <w:rPr>
          <w:lang w:val="es-ES"/>
        </w:rPr>
        <w:t xml:space="preserve"> ISA/IPEA </w:t>
      </w:r>
      <w:r w:rsidR="00E12EF3" w:rsidRPr="00A8564C">
        <w:rPr>
          <w:lang w:val="es-ES"/>
        </w:rPr>
        <w:t>es comparable al</w:t>
      </w:r>
      <w:r w:rsidRPr="00A8564C">
        <w:rPr>
          <w:lang w:val="es-ES"/>
        </w:rPr>
        <w:t xml:space="preserve"> </w:t>
      </w:r>
      <w:r w:rsidR="00E71FAA" w:rsidRPr="00A8564C">
        <w:rPr>
          <w:lang w:val="es-ES"/>
        </w:rPr>
        <w:t>número</w:t>
      </w:r>
      <w:r w:rsidRPr="00A8564C">
        <w:rPr>
          <w:lang w:val="es-ES"/>
        </w:rPr>
        <w:t xml:space="preserve"> </w:t>
      </w:r>
      <w:r w:rsidR="00E71FAA" w:rsidRPr="00A8564C">
        <w:rPr>
          <w:lang w:val="es-ES"/>
        </w:rPr>
        <w:t>igualmente</w:t>
      </w:r>
      <w:r w:rsidRPr="00A8564C">
        <w:rPr>
          <w:lang w:val="es-ES"/>
        </w:rPr>
        <w:t xml:space="preserve"> </w:t>
      </w:r>
      <w:r w:rsidR="00E71FAA" w:rsidRPr="00A8564C">
        <w:rPr>
          <w:lang w:val="es-ES"/>
        </w:rPr>
        <w:t>creciente</w:t>
      </w:r>
      <w:r w:rsidRPr="00A8564C">
        <w:rPr>
          <w:lang w:val="es-ES"/>
        </w:rPr>
        <w:t xml:space="preserve"> de solicitudes </w:t>
      </w:r>
      <w:r w:rsidR="009043F7" w:rsidRPr="00A8564C">
        <w:rPr>
          <w:lang w:val="es-ES"/>
        </w:rPr>
        <w:t>PCT</w:t>
      </w:r>
      <w:r w:rsidR="002C70DB" w:rsidRPr="00A8564C">
        <w:rPr>
          <w:lang w:val="es-ES"/>
        </w:rPr>
        <w:t xml:space="preserve"> </w:t>
      </w:r>
      <w:r w:rsidR="003A0916">
        <w:rPr>
          <w:lang w:val="es-ES"/>
        </w:rPr>
        <w:t>que llegan a</w:t>
      </w:r>
      <w:r w:rsidRPr="00A8564C">
        <w:rPr>
          <w:lang w:val="es-ES"/>
        </w:rPr>
        <w:t xml:space="preserve"> la </w:t>
      </w:r>
      <w:r w:rsidR="00E71FAA" w:rsidRPr="00A8564C">
        <w:rPr>
          <w:lang w:val="es-ES"/>
        </w:rPr>
        <w:t>Oficina</w:t>
      </w:r>
      <w:r w:rsidR="009043F7" w:rsidRPr="00A8564C">
        <w:rPr>
          <w:lang w:val="es-ES"/>
        </w:rPr>
        <w:t xml:space="preserve"> </w:t>
      </w:r>
      <w:r w:rsidR="007D287E" w:rsidRPr="00A8564C">
        <w:rPr>
          <w:lang w:val="es-ES"/>
        </w:rPr>
        <w:t>r</w:t>
      </w:r>
      <w:r w:rsidR="009043F7" w:rsidRPr="00A8564C">
        <w:rPr>
          <w:lang w:val="es-ES"/>
        </w:rPr>
        <w:t>eceptora</w:t>
      </w:r>
      <w:r w:rsidRPr="00A8564C">
        <w:rPr>
          <w:lang w:val="es-ES"/>
        </w:rPr>
        <w:t xml:space="preserve"> </w:t>
      </w:r>
      <w:r w:rsidR="00E71FAA" w:rsidRPr="00A8564C">
        <w:rPr>
          <w:lang w:val="es-ES"/>
        </w:rPr>
        <w:t>de la</w:t>
      </w:r>
      <w:r w:rsidRPr="00A8564C">
        <w:rPr>
          <w:lang w:val="es-ES"/>
        </w:rPr>
        <w:t xml:space="preserve"> ILPO (RO/IL) (</w:t>
      </w:r>
      <w:r w:rsidR="007D287E" w:rsidRPr="00A8564C">
        <w:rPr>
          <w:lang w:val="es-ES"/>
        </w:rPr>
        <w:t xml:space="preserve">que ha pasado </w:t>
      </w:r>
      <w:r w:rsidRPr="00A8564C">
        <w:rPr>
          <w:lang w:val="es-ES"/>
        </w:rPr>
        <w:t xml:space="preserve">de </w:t>
      </w:r>
      <w:r w:rsidR="002C70DB" w:rsidRPr="00A8564C">
        <w:rPr>
          <w:lang w:val="es-ES"/>
        </w:rPr>
        <w:t xml:space="preserve">967 </w:t>
      </w:r>
      <w:r w:rsidRPr="00A8564C">
        <w:rPr>
          <w:lang w:val="es-ES"/>
        </w:rPr>
        <w:t>solicitudes</w:t>
      </w:r>
      <w:r w:rsidR="002C70DB" w:rsidRPr="00A8564C">
        <w:rPr>
          <w:lang w:val="es-ES"/>
        </w:rPr>
        <w:t xml:space="preserve"> </w:t>
      </w:r>
      <w:r w:rsidRPr="00A8564C">
        <w:rPr>
          <w:lang w:val="es-ES"/>
        </w:rPr>
        <w:t xml:space="preserve">en </w:t>
      </w:r>
      <w:r w:rsidR="002C70DB" w:rsidRPr="00A8564C">
        <w:rPr>
          <w:lang w:val="es-ES"/>
        </w:rPr>
        <w:t xml:space="preserve">2012 </w:t>
      </w:r>
      <w:r w:rsidRPr="00A8564C">
        <w:rPr>
          <w:lang w:val="es-ES"/>
        </w:rPr>
        <w:t xml:space="preserve">a </w:t>
      </w:r>
      <w:r w:rsidR="002C70DB" w:rsidRPr="00A8564C">
        <w:rPr>
          <w:lang w:val="es-ES"/>
        </w:rPr>
        <w:t>1</w:t>
      </w:r>
      <w:r w:rsidR="007D287E" w:rsidRPr="00A8564C">
        <w:rPr>
          <w:lang w:val="es-ES"/>
        </w:rPr>
        <w:t>.</w:t>
      </w:r>
      <w:r w:rsidR="002C70DB" w:rsidRPr="00A8564C">
        <w:rPr>
          <w:lang w:val="es-ES"/>
        </w:rPr>
        <w:t xml:space="preserve">429 </w:t>
      </w:r>
      <w:r w:rsidR="003C5C4F">
        <w:rPr>
          <w:lang w:val="es-ES"/>
        </w:rPr>
        <w:t>en </w:t>
      </w:r>
      <w:r w:rsidR="002C70DB" w:rsidRPr="00A8564C">
        <w:rPr>
          <w:lang w:val="es-ES"/>
        </w:rPr>
        <w:t>2016)</w:t>
      </w:r>
      <w:r w:rsidR="007D287E" w:rsidRPr="00A8564C">
        <w:rPr>
          <w:lang w:val="es-ES"/>
        </w:rPr>
        <w:t xml:space="preserve">.  </w:t>
      </w:r>
      <w:r w:rsidRPr="00A8564C">
        <w:rPr>
          <w:lang w:val="es-ES"/>
        </w:rPr>
        <w:t>A ese respecto</w:t>
      </w:r>
      <w:r w:rsidR="002C70DB" w:rsidRPr="00A8564C">
        <w:rPr>
          <w:lang w:val="es-ES"/>
        </w:rPr>
        <w:t xml:space="preserve">, </w:t>
      </w:r>
      <w:r w:rsidRPr="00A8564C">
        <w:rPr>
          <w:lang w:val="es-ES"/>
        </w:rPr>
        <w:t xml:space="preserve">cabe mencionar que la RO/IL, que </w:t>
      </w:r>
      <w:r w:rsidR="00E12EF3" w:rsidRPr="00A8564C">
        <w:rPr>
          <w:lang w:val="es-ES"/>
        </w:rPr>
        <w:t xml:space="preserve">forma parte del Departamento </w:t>
      </w:r>
      <w:r w:rsidRPr="00A8564C">
        <w:rPr>
          <w:lang w:val="es-ES"/>
        </w:rPr>
        <w:t xml:space="preserve">PCT de la ILPO, fue clasificada como la primera del </w:t>
      </w:r>
      <w:r w:rsidR="00E71FAA" w:rsidRPr="00A8564C">
        <w:rPr>
          <w:lang w:val="es-ES"/>
        </w:rPr>
        <w:t>mundo</w:t>
      </w:r>
      <w:r w:rsidR="007D287E" w:rsidRPr="00A8564C">
        <w:rPr>
          <w:lang w:val="es-ES"/>
        </w:rPr>
        <w:t>,</w:t>
      </w:r>
      <w:r w:rsidR="002C70DB" w:rsidRPr="00A8564C">
        <w:rPr>
          <w:lang w:val="es-ES"/>
        </w:rPr>
        <w:t xml:space="preserve"> </w:t>
      </w:r>
      <w:r w:rsidRPr="00A8564C">
        <w:rPr>
          <w:lang w:val="es-ES"/>
        </w:rPr>
        <w:t xml:space="preserve">en lo que atañe a la puntualidad en la </w:t>
      </w:r>
      <w:r w:rsidR="00E71FAA" w:rsidRPr="00A8564C">
        <w:rPr>
          <w:lang w:val="es-ES"/>
        </w:rPr>
        <w:t>tramitación</w:t>
      </w:r>
      <w:r w:rsidRPr="00A8564C">
        <w:rPr>
          <w:lang w:val="es-ES"/>
        </w:rPr>
        <w:t xml:space="preserve"> de solicitudes </w:t>
      </w:r>
      <w:r w:rsidR="002C70DB" w:rsidRPr="00A8564C">
        <w:rPr>
          <w:lang w:val="es-ES"/>
        </w:rPr>
        <w:t xml:space="preserve">PCT </w:t>
      </w:r>
      <w:r w:rsidR="007D287E" w:rsidRPr="00A8564C">
        <w:rPr>
          <w:lang w:val="es-ES"/>
        </w:rPr>
        <w:t>en el periodo 2013-2015</w:t>
      </w:r>
      <w:r w:rsidR="009E7E5E" w:rsidRPr="00A8564C">
        <w:rPr>
          <w:lang w:val="es-ES"/>
        </w:rPr>
        <w:t xml:space="preserve">.  </w:t>
      </w:r>
      <w:r w:rsidRPr="00A8564C">
        <w:rPr>
          <w:lang w:val="es-ES"/>
        </w:rPr>
        <w:t xml:space="preserve">La </w:t>
      </w:r>
      <w:r w:rsidR="007D287E" w:rsidRPr="00A8564C">
        <w:rPr>
          <w:lang w:val="es-ES"/>
        </w:rPr>
        <w:t>excelente</w:t>
      </w:r>
      <w:r w:rsidRPr="00A8564C">
        <w:rPr>
          <w:lang w:val="es-ES"/>
        </w:rPr>
        <w:t xml:space="preserve"> calidad de los </w:t>
      </w:r>
      <w:r w:rsidR="00E71FAA" w:rsidRPr="00A8564C">
        <w:rPr>
          <w:lang w:val="es-ES"/>
        </w:rPr>
        <w:t>servicios</w:t>
      </w:r>
      <w:r w:rsidRPr="00A8564C">
        <w:rPr>
          <w:lang w:val="es-ES"/>
        </w:rPr>
        <w:t xml:space="preserve"> de la </w:t>
      </w:r>
      <w:r w:rsidR="002C70DB" w:rsidRPr="00A8564C">
        <w:rPr>
          <w:lang w:val="es-ES"/>
        </w:rPr>
        <w:t xml:space="preserve">RO/IL </w:t>
      </w:r>
      <w:r w:rsidR="00627733" w:rsidRPr="00A8564C">
        <w:rPr>
          <w:lang w:val="es-ES"/>
        </w:rPr>
        <w:t>resulta</w:t>
      </w:r>
      <w:r w:rsidR="007D287E" w:rsidRPr="00A8564C">
        <w:rPr>
          <w:lang w:val="es-ES"/>
        </w:rPr>
        <w:t xml:space="preserve"> de la </w:t>
      </w:r>
      <w:r w:rsidR="00640155" w:rsidRPr="00A8564C">
        <w:rPr>
          <w:lang w:val="es-ES"/>
        </w:rPr>
        <w:t xml:space="preserve">amplia </w:t>
      </w:r>
      <w:r w:rsidR="0066167E" w:rsidRPr="00A8564C">
        <w:rPr>
          <w:lang w:val="es-ES"/>
        </w:rPr>
        <w:t xml:space="preserve">experiencia </w:t>
      </w:r>
      <w:r w:rsidR="00E71FAA" w:rsidRPr="00A8564C">
        <w:rPr>
          <w:lang w:val="es-ES"/>
        </w:rPr>
        <w:t>adquirid</w:t>
      </w:r>
      <w:r w:rsidR="007D287E" w:rsidRPr="00A8564C">
        <w:rPr>
          <w:lang w:val="es-ES"/>
        </w:rPr>
        <w:t>a</w:t>
      </w:r>
      <w:r w:rsidR="0066167E" w:rsidRPr="00A8564C">
        <w:rPr>
          <w:lang w:val="es-ES"/>
        </w:rPr>
        <w:t xml:space="preserve"> </w:t>
      </w:r>
      <w:r w:rsidR="008654C1" w:rsidRPr="00A8564C">
        <w:rPr>
          <w:lang w:val="es-ES"/>
        </w:rPr>
        <w:t xml:space="preserve">por la Oficina </w:t>
      </w:r>
      <w:r w:rsidR="00640155" w:rsidRPr="00A8564C">
        <w:rPr>
          <w:lang w:val="es-ES"/>
        </w:rPr>
        <w:t xml:space="preserve">desde que </w:t>
      </w:r>
      <w:r w:rsidR="002C70DB" w:rsidRPr="00A8564C">
        <w:rPr>
          <w:lang w:val="es-ES"/>
        </w:rPr>
        <w:t xml:space="preserve">Israel </w:t>
      </w:r>
      <w:r w:rsidR="00640155" w:rsidRPr="00A8564C">
        <w:rPr>
          <w:lang w:val="es-ES"/>
        </w:rPr>
        <w:t>pasara a convertirse en Estado contratante del P</w:t>
      </w:r>
      <w:r w:rsidR="00D0660F" w:rsidRPr="00A8564C">
        <w:rPr>
          <w:lang w:val="es-ES"/>
        </w:rPr>
        <w:t>CT</w:t>
      </w:r>
      <w:r w:rsidR="0066167E" w:rsidRPr="00A8564C">
        <w:rPr>
          <w:lang w:val="es-ES"/>
        </w:rPr>
        <w:t xml:space="preserve">, el 1 de junio de </w:t>
      </w:r>
      <w:r w:rsidR="002C70DB" w:rsidRPr="00A8564C">
        <w:rPr>
          <w:lang w:val="es-ES"/>
        </w:rPr>
        <w:t>1996</w:t>
      </w:r>
      <w:r w:rsidR="009E7E5E" w:rsidRPr="00A8564C">
        <w:rPr>
          <w:lang w:val="es-ES"/>
        </w:rPr>
        <w:t xml:space="preserve">.  </w:t>
      </w:r>
      <w:r w:rsidR="0066167E" w:rsidRPr="00A8564C">
        <w:rPr>
          <w:lang w:val="es-ES"/>
        </w:rPr>
        <w:t xml:space="preserve">Los servicios </w:t>
      </w:r>
      <w:r w:rsidR="00640155" w:rsidRPr="00A8564C">
        <w:rPr>
          <w:lang w:val="es-ES"/>
        </w:rPr>
        <w:t xml:space="preserve">que presta </w:t>
      </w:r>
      <w:r w:rsidR="0066167E" w:rsidRPr="00A8564C">
        <w:rPr>
          <w:lang w:val="es-ES"/>
        </w:rPr>
        <w:t>la I</w:t>
      </w:r>
      <w:r w:rsidR="002C70DB" w:rsidRPr="00A8564C">
        <w:rPr>
          <w:lang w:val="es-ES"/>
        </w:rPr>
        <w:t xml:space="preserve">LPO </w:t>
      </w:r>
      <w:r w:rsidR="0066167E" w:rsidRPr="00A8564C">
        <w:rPr>
          <w:lang w:val="es-ES"/>
        </w:rPr>
        <w:t xml:space="preserve">como ISA/IPEA </w:t>
      </w:r>
      <w:r w:rsidR="00640155" w:rsidRPr="00A8564C">
        <w:rPr>
          <w:lang w:val="es-ES"/>
        </w:rPr>
        <w:t xml:space="preserve">están a cargo del </w:t>
      </w:r>
      <w:r w:rsidR="00E71FAA" w:rsidRPr="00A8564C">
        <w:rPr>
          <w:lang w:val="es-ES"/>
        </w:rPr>
        <w:t>Departamento</w:t>
      </w:r>
      <w:r w:rsidR="0066167E" w:rsidRPr="00A8564C">
        <w:rPr>
          <w:lang w:val="es-ES"/>
        </w:rPr>
        <w:t xml:space="preserve"> PCT, que se encarga de</w:t>
      </w:r>
      <w:r w:rsidR="008A5B94" w:rsidRPr="00A8564C">
        <w:rPr>
          <w:lang w:val="es-ES"/>
        </w:rPr>
        <w:t xml:space="preserve">l examen </w:t>
      </w:r>
      <w:r w:rsidR="00371573">
        <w:rPr>
          <w:lang w:val="es-ES"/>
        </w:rPr>
        <w:t>de fo</w:t>
      </w:r>
      <w:r w:rsidR="006E75E0" w:rsidRPr="00A8564C">
        <w:rPr>
          <w:lang w:val="es-ES"/>
        </w:rPr>
        <w:t xml:space="preserve">rma </w:t>
      </w:r>
      <w:r w:rsidR="0066167E" w:rsidRPr="00A8564C">
        <w:rPr>
          <w:lang w:val="es-ES"/>
        </w:rPr>
        <w:t xml:space="preserve">de las </w:t>
      </w:r>
      <w:r w:rsidR="00184BCD" w:rsidRPr="00A8564C">
        <w:rPr>
          <w:lang w:val="es-ES"/>
        </w:rPr>
        <w:t xml:space="preserve">solicitudes </w:t>
      </w:r>
      <w:r w:rsidR="0066167E" w:rsidRPr="00A8564C">
        <w:rPr>
          <w:lang w:val="es-ES"/>
        </w:rPr>
        <w:t>inter</w:t>
      </w:r>
      <w:r w:rsidR="00184BCD" w:rsidRPr="00A8564C">
        <w:rPr>
          <w:lang w:val="es-ES"/>
        </w:rPr>
        <w:t>nacionales</w:t>
      </w:r>
      <w:r w:rsidR="00640155" w:rsidRPr="00A8564C">
        <w:rPr>
          <w:lang w:val="es-ES"/>
        </w:rPr>
        <w:t>,</w:t>
      </w:r>
      <w:r w:rsidR="0066167E" w:rsidRPr="00A8564C">
        <w:rPr>
          <w:lang w:val="es-ES"/>
        </w:rPr>
        <w:t xml:space="preserve"> y </w:t>
      </w:r>
      <w:r w:rsidR="00640155" w:rsidRPr="00A8564C">
        <w:rPr>
          <w:lang w:val="es-ES"/>
        </w:rPr>
        <w:t>d</w:t>
      </w:r>
      <w:r w:rsidR="0066167E" w:rsidRPr="00A8564C">
        <w:rPr>
          <w:lang w:val="es-ES"/>
        </w:rPr>
        <w:t xml:space="preserve">el </w:t>
      </w:r>
      <w:r w:rsidR="00E71FAA" w:rsidRPr="00A8564C">
        <w:rPr>
          <w:lang w:val="es-ES"/>
        </w:rPr>
        <w:t>Departamento</w:t>
      </w:r>
      <w:r w:rsidR="0066167E" w:rsidRPr="00A8564C">
        <w:rPr>
          <w:lang w:val="es-ES"/>
        </w:rPr>
        <w:t xml:space="preserve"> de Patentes</w:t>
      </w:r>
      <w:r w:rsidR="002C70DB" w:rsidRPr="00A8564C">
        <w:rPr>
          <w:lang w:val="es-ES"/>
        </w:rPr>
        <w:t>,</w:t>
      </w:r>
      <w:r w:rsidR="0066167E" w:rsidRPr="00A8564C">
        <w:rPr>
          <w:lang w:val="es-ES"/>
        </w:rPr>
        <w:t xml:space="preserve"> que se ocupa del examen </w:t>
      </w:r>
      <w:r w:rsidR="00E71FAA" w:rsidRPr="00A8564C">
        <w:rPr>
          <w:lang w:val="es-ES"/>
        </w:rPr>
        <w:t xml:space="preserve">sustantivo </w:t>
      </w:r>
      <w:r w:rsidR="0066167E" w:rsidRPr="00A8564C">
        <w:rPr>
          <w:lang w:val="es-ES"/>
        </w:rPr>
        <w:t xml:space="preserve">de las </w:t>
      </w:r>
      <w:r w:rsidR="00184BCD" w:rsidRPr="00A8564C">
        <w:rPr>
          <w:lang w:val="es-ES"/>
        </w:rPr>
        <w:t>solicitudes nacionales</w:t>
      </w:r>
      <w:r w:rsidR="0066167E" w:rsidRPr="00A8564C">
        <w:rPr>
          <w:lang w:val="es-ES"/>
        </w:rPr>
        <w:t xml:space="preserve"> e </w:t>
      </w:r>
      <w:r w:rsidR="00E71FAA" w:rsidRPr="00A8564C">
        <w:rPr>
          <w:lang w:val="es-ES"/>
        </w:rPr>
        <w:t>internacionales</w:t>
      </w:r>
      <w:r w:rsidR="009E7E5E" w:rsidRPr="00A8564C">
        <w:rPr>
          <w:lang w:val="es-ES"/>
        </w:rPr>
        <w:t xml:space="preserve">.  </w:t>
      </w:r>
      <w:r w:rsidR="0066167E" w:rsidRPr="00A8564C">
        <w:rPr>
          <w:lang w:val="es-ES"/>
        </w:rPr>
        <w:t>El moderno</w:t>
      </w:r>
      <w:r w:rsidR="00ED5334" w:rsidRPr="00A8564C">
        <w:rPr>
          <w:lang w:val="es-ES"/>
        </w:rPr>
        <w:t xml:space="preserve"> y</w:t>
      </w:r>
      <w:r w:rsidR="0066167E" w:rsidRPr="00A8564C">
        <w:rPr>
          <w:lang w:val="es-ES"/>
        </w:rPr>
        <w:t xml:space="preserve"> avanzado siste</w:t>
      </w:r>
      <w:r w:rsidR="00184BCD" w:rsidRPr="00A8564C">
        <w:rPr>
          <w:lang w:val="es-ES"/>
        </w:rPr>
        <w:t xml:space="preserve">ma </w:t>
      </w:r>
      <w:r w:rsidR="008A5B94" w:rsidRPr="00A8564C">
        <w:rPr>
          <w:lang w:val="es-ES"/>
        </w:rPr>
        <w:t xml:space="preserve">automatizado de </w:t>
      </w:r>
      <w:r w:rsidR="00184BCD" w:rsidRPr="00A8564C">
        <w:rPr>
          <w:lang w:val="es-ES"/>
        </w:rPr>
        <w:t>información</w:t>
      </w:r>
      <w:r w:rsidR="00D76B9E" w:rsidRPr="00A8564C">
        <w:rPr>
          <w:lang w:val="es-ES"/>
        </w:rPr>
        <w:t xml:space="preserve"> </w:t>
      </w:r>
      <w:r w:rsidR="008A5B94" w:rsidRPr="00A8564C">
        <w:rPr>
          <w:lang w:val="es-ES"/>
        </w:rPr>
        <w:t>y e</w:t>
      </w:r>
      <w:r w:rsidR="00ED5334" w:rsidRPr="00A8564C">
        <w:rPr>
          <w:lang w:val="es-ES"/>
        </w:rPr>
        <w:t>l s</w:t>
      </w:r>
      <w:r w:rsidR="0066167E" w:rsidRPr="00A8564C">
        <w:rPr>
          <w:lang w:val="es-ES"/>
        </w:rPr>
        <w:t xml:space="preserve">istema de </w:t>
      </w:r>
      <w:r w:rsidR="00E71FAA" w:rsidRPr="00A8564C">
        <w:rPr>
          <w:lang w:val="es-ES"/>
        </w:rPr>
        <w:t>gestión</w:t>
      </w:r>
      <w:r w:rsidR="0066167E" w:rsidRPr="00A8564C">
        <w:rPr>
          <w:lang w:val="es-ES"/>
        </w:rPr>
        <w:t xml:space="preserve"> de la calidad</w:t>
      </w:r>
      <w:r w:rsidR="00ED5334" w:rsidRPr="00A8564C">
        <w:rPr>
          <w:lang w:val="es-ES"/>
        </w:rPr>
        <w:t>,</w:t>
      </w:r>
      <w:r w:rsidR="0066167E" w:rsidRPr="00A8564C">
        <w:rPr>
          <w:lang w:val="es-ES"/>
        </w:rPr>
        <w:t xml:space="preserve"> que </w:t>
      </w:r>
      <w:r w:rsidR="00D76B9E" w:rsidRPr="00A8564C">
        <w:rPr>
          <w:lang w:val="es-ES"/>
        </w:rPr>
        <w:t>responden a los criterios</w:t>
      </w:r>
      <w:r w:rsidR="008A5B94" w:rsidRPr="00A8564C">
        <w:rPr>
          <w:lang w:val="es-ES"/>
        </w:rPr>
        <w:t xml:space="preserve"> </w:t>
      </w:r>
      <w:r w:rsidR="00E71FAA" w:rsidRPr="00A8564C">
        <w:rPr>
          <w:lang w:val="es-ES"/>
        </w:rPr>
        <w:t>internacionales</w:t>
      </w:r>
      <w:r w:rsidR="00ED5334" w:rsidRPr="00A8564C">
        <w:rPr>
          <w:lang w:val="es-ES"/>
        </w:rPr>
        <w:t>,</w:t>
      </w:r>
      <w:r w:rsidR="0066167E" w:rsidRPr="00A8564C">
        <w:rPr>
          <w:lang w:val="es-ES"/>
        </w:rPr>
        <w:t xml:space="preserve"> </w:t>
      </w:r>
      <w:r w:rsidR="00D76B9E" w:rsidRPr="00A8564C">
        <w:rPr>
          <w:lang w:val="es-ES"/>
        </w:rPr>
        <w:t xml:space="preserve">permiten a la Oficina cumplir </w:t>
      </w:r>
      <w:r w:rsidR="0066167E" w:rsidRPr="00A8564C">
        <w:rPr>
          <w:lang w:val="es-ES"/>
        </w:rPr>
        <w:t>l</w:t>
      </w:r>
      <w:r w:rsidR="00D76B9E" w:rsidRPr="00A8564C">
        <w:rPr>
          <w:lang w:val="es-ES"/>
        </w:rPr>
        <w:t>as estrictas normas exigidas</w:t>
      </w:r>
      <w:r w:rsidR="0066167E" w:rsidRPr="00A8564C">
        <w:rPr>
          <w:lang w:val="es-ES"/>
        </w:rPr>
        <w:t xml:space="preserve"> por el </w:t>
      </w:r>
      <w:r w:rsidR="002C70DB" w:rsidRPr="00A8564C">
        <w:rPr>
          <w:lang w:val="es-ES"/>
        </w:rPr>
        <w:t xml:space="preserve">PCT </w:t>
      </w:r>
      <w:r w:rsidR="00E71FAA" w:rsidRPr="00A8564C">
        <w:rPr>
          <w:lang w:val="es-ES"/>
        </w:rPr>
        <w:t>y sus</w:t>
      </w:r>
      <w:r w:rsidR="0066167E" w:rsidRPr="00A8564C">
        <w:rPr>
          <w:lang w:val="es-ES"/>
        </w:rPr>
        <w:t xml:space="preserve"> usuarios</w:t>
      </w:r>
      <w:r w:rsidR="002C70DB" w:rsidRPr="00A8564C">
        <w:rPr>
          <w:lang w:val="es-ES"/>
        </w:rPr>
        <w:t xml:space="preserve">. </w:t>
      </w:r>
    </w:p>
    <w:p w14:paraId="2E07F469" w14:textId="77777777" w:rsidR="002C70DB" w:rsidRPr="00A8564C" w:rsidRDefault="002C70DB" w:rsidP="00A41B96">
      <w:pPr>
        <w:rPr>
          <w:lang w:val="es-ES"/>
        </w:rPr>
      </w:pPr>
    </w:p>
    <w:p w14:paraId="02383F02" w14:textId="1C8D0610" w:rsidR="002C70DB" w:rsidRPr="00A8564C" w:rsidRDefault="00A41B96" w:rsidP="00A41B96">
      <w:pPr>
        <w:pStyle w:val="Heading3"/>
        <w:rPr>
          <w:lang w:val="es-ES"/>
        </w:rPr>
      </w:pPr>
      <w:r w:rsidRPr="00A8564C">
        <w:rPr>
          <w:lang w:val="es-ES"/>
        </w:rPr>
        <w:t>1.1.2.</w:t>
      </w:r>
      <w:r w:rsidRPr="00A8564C">
        <w:rPr>
          <w:lang w:val="es-ES"/>
        </w:rPr>
        <w:tab/>
      </w:r>
      <w:r w:rsidR="00371573">
        <w:rPr>
          <w:lang w:val="es-ES"/>
        </w:rPr>
        <w:t>F</w:t>
      </w:r>
      <w:r w:rsidR="00E71FAA" w:rsidRPr="00A8564C">
        <w:rPr>
          <w:lang w:val="es-ES"/>
        </w:rPr>
        <w:t>unción</w:t>
      </w:r>
      <w:r w:rsidR="00BA299F" w:rsidRPr="00A8564C">
        <w:rPr>
          <w:lang w:val="es-ES"/>
        </w:rPr>
        <w:t xml:space="preserve"> de la </w:t>
      </w:r>
      <w:r w:rsidR="002C70DB" w:rsidRPr="00A8564C">
        <w:rPr>
          <w:lang w:val="es-ES"/>
        </w:rPr>
        <w:t xml:space="preserve">ILPO </w:t>
      </w:r>
      <w:r w:rsidR="00BA299F" w:rsidRPr="00A8564C">
        <w:rPr>
          <w:lang w:val="es-ES"/>
        </w:rPr>
        <w:t xml:space="preserve">como </w:t>
      </w:r>
      <w:r w:rsidR="00371573" w:rsidRPr="00A8564C">
        <w:rPr>
          <w:lang w:val="es-ES"/>
        </w:rPr>
        <w:t>Oficina nacional</w:t>
      </w:r>
      <w:r w:rsidR="00184BCD" w:rsidRPr="00A8564C">
        <w:rPr>
          <w:lang w:val="es-ES"/>
        </w:rPr>
        <w:t xml:space="preserve"> </w:t>
      </w:r>
    </w:p>
    <w:p w14:paraId="42D5E18E" w14:textId="77777777" w:rsidR="002C70DB" w:rsidRPr="00A8564C" w:rsidRDefault="002C70DB" w:rsidP="00A41B96">
      <w:pPr>
        <w:keepNext/>
        <w:keepLines/>
        <w:rPr>
          <w:lang w:val="es-ES"/>
        </w:rPr>
      </w:pPr>
    </w:p>
    <w:p w14:paraId="223AD66A" w14:textId="79A4C272" w:rsidR="002C70DB" w:rsidRPr="00A8564C" w:rsidRDefault="00BA299F" w:rsidP="00A41B96">
      <w:pPr>
        <w:rPr>
          <w:lang w:val="es-ES"/>
        </w:rPr>
      </w:pPr>
      <w:r w:rsidRPr="00A8564C">
        <w:rPr>
          <w:lang w:val="es-ES"/>
        </w:rPr>
        <w:t xml:space="preserve">La </w:t>
      </w:r>
      <w:r w:rsidR="002C70DB" w:rsidRPr="00A8564C">
        <w:rPr>
          <w:lang w:val="es-ES"/>
        </w:rPr>
        <w:t xml:space="preserve">ILPO </w:t>
      </w:r>
      <w:r w:rsidRPr="00A8564C">
        <w:rPr>
          <w:lang w:val="es-ES"/>
        </w:rPr>
        <w:t xml:space="preserve">ha venido </w:t>
      </w:r>
      <w:r w:rsidR="00E71FAA" w:rsidRPr="00A8564C">
        <w:rPr>
          <w:lang w:val="es-ES"/>
        </w:rPr>
        <w:t>prestando</w:t>
      </w:r>
      <w:r w:rsidRPr="00A8564C">
        <w:rPr>
          <w:lang w:val="es-ES"/>
        </w:rPr>
        <w:t xml:space="preserve"> servicios </w:t>
      </w:r>
      <w:r w:rsidR="00371573">
        <w:rPr>
          <w:lang w:val="es-ES"/>
        </w:rPr>
        <w:t xml:space="preserve">en materia </w:t>
      </w:r>
      <w:r w:rsidRPr="00A8564C">
        <w:rPr>
          <w:lang w:val="es-ES"/>
        </w:rPr>
        <w:t>de propiedad industrial desde</w:t>
      </w:r>
      <w:r w:rsidR="002C70DB" w:rsidRPr="00A8564C">
        <w:rPr>
          <w:lang w:val="es-ES"/>
        </w:rPr>
        <w:t xml:space="preserve"> 1921</w:t>
      </w:r>
      <w:r w:rsidRPr="00A8564C">
        <w:rPr>
          <w:lang w:val="es-ES"/>
        </w:rPr>
        <w:t xml:space="preserve">, bajo </w:t>
      </w:r>
      <w:r w:rsidR="00E71FAA" w:rsidRPr="00A8564C">
        <w:rPr>
          <w:lang w:val="es-ES"/>
        </w:rPr>
        <w:t>mandato</w:t>
      </w:r>
      <w:r w:rsidRPr="00A8564C">
        <w:rPr>
          <w:lang w:val="es-ES"/>
        </w:rPr>
        <w:t xml:space="preserve"> </w:t>
      </w:r>
      <w:r w:rsidR="00E71FAA" w:rsidRPr="00A8564C">
        <w:rPr>
          <w:lang w:val="es-ES"/>
        </w:rPr>
        <w:t>británico</w:t>
      </w:r>
      <w:r w:rsidRPr="00A8564C">
        <w:rPr>
          <w:lang w:val="es-ES"/>
        </w:rPr>
        <w:t>.</w:t>
      </w:r>
      <w:r w:rsidR="009E7E5E" w:rsidRPr="00A8564C">
        <w:rPr>
          <w:lang w:val="es-ES"/>
        </w:rPr>
        <w:t xml:space="preserve">  </w:t>
      </w:r>
      <w:r w:rsidR="00C30A75" w:rsidRPr="00A8564C">
        <w:rPr>
          <w:lang w:val="es-ES"/>
        </w:rPr>
        <w:t xml:space="preserve">La ILPO </w:t>
      </w:r>
      <w:r w:rsidRPr="00A8564C">
        <w:rPr>
          <w:lang w:val="es-ES"/>
        </w:rPr>
        <w:t xml:space="preserve">se estableció </w:t>
      </w:r>
      <w:r w:rsidR="00C30A75" w:rsidRPr="00A8564C">
        <w:rPr>
          <w:lang w:val="es-ES"/>
        </w:rPr>
        <w:t xml:space="preserve">en 1948 </w:t>
      </w:r>
      <w:r w:rsidRPr="00A8564C">
        <w:rPr>
          <w:lang w:val="es-ES"/>
        </w:rPr>
        <w:t xml:space="preserve">como </w:t>
      </w:r>
      <w:r w:rsidR="00D76B9E" w:rsidRPr="00A8564C">
        <w:rPr>
          <w:lang w:val="es-ES"/>
        </w:rPr>
        <w:t xml:space="preserve">dependencia </w:t>
      </w:r>
      <w:r w:rsidRPr="00A8564C">
        <w:rPr>
          <w:lang w:val="es-ES"/>
        </w:rPr>
        <w:t xml:space="preserve">gubernamental dependiente del </w:t>
      </w:r>
      <w:r w:rsidR="00E71FAA" w:rsidRPr="00A8564C">
        <w:rPr>
          <w:lang w:val="es-ES"/>
        </w:rPr>
        <w:t>Ministerio</w:t>
      </w:r>
      <w:r w:rsidRPr="00A8564C">
        <w:rPr>
          <w:lang w:val="es-ES"/>
        </w:rPr>
        <w:t xml:space="preserve"> de Justicia de Israel</w:t>
      </w:r>
      <w:r w:rsidR="00C30A75" w:rsidRPr="00A8564C">
        <w:rPr>
          <w:lang w:val="es-ES"/>
        </w:rPr>
        <w:t xml:space="preserve">, </w:t>
      </w:r>
      <w:r w:rsidR="009743FE" w:rsidRPr="00A8564C">
        <w:rPr>
          <w:lang w:val="es-ES"/>
        </w:rPr>
        <w:t xml:space="preserve">y fue </w:t>
      </w:r>
      <w:r w:rsidR="00C30A75" w:rsidRPr="00A8564C">
        <w:rPr>
          <w:lang w:val="es-ES"/>
        </w:rPr>
        <w:t xml:space="preserve">asumiendo progresivamente la función de </w:t>
      </w:r>
      <w:r w:rsidR="009743FE" w:rsidRPr="00A8564C">
        <w:rPr>
          <w:lang w:val="es-ES"/>
        </w:rPr>
        <w:t>reguladora, prestataria de ser</w:t>
      </w:r>
      <w:r w:rsidRPr="00A8564C">
        <w:rPr>
          <w:lang w:val="es-ES"/>
        </w:rPr>
        <w:t>vicios</w:t>
      </w:r>
      <w:r w:rsidR="00C30A75" w:rsidRPr="00A8564C">
        <w:rPr>
          <w:lang w:val="es-ES"/>
        </w:rPr>
        <w:t>,</w:t>
      </w:r>
      <w:r w:rsidRPr="00A8564C">
        <w:rPr>
          <w:lang w:val="es-ES"/>
        </w:rPr>
        <w:t xml:space="preserve"> encargada del examen, registro y </w:t>
      </w:r>
      <w:r w:rsidR="00E71FAA" w:rsidRPr="00A8564C">
        <w:rPr>
          <w:lang w:val="es-ES"/>
        </w:rPr>
        <w:t>concesión</w:t>
      </w:r>
      <w:r w:rsidRPr="00A8564C">
        <w:rPr>
          <w:lang w:val="es-ES"/>
        </w:rPr>
        <w:t xml:space="preserve"> de </w:t>
      </w:r>
      <w:r w:rsidR="00184BCD" w:rsidRPr="00A8564C">
        <w:rPr>
          <w:lang w:val="es-ES"/>
        </w:rPr>
        <w:t>patentes</w:t>
      </w:r>
      <w:r w:rsidRPr="00A8564C">
        <w:rPr>
          <w:lang w:val="es-ES"/>
        </w:rPr>
        <w:t xml:space="preserve">, dibujos y </w:t>
      </w:r>
      <w:r w:rsidR="00113BB5" w:rsidRPr="00A8564C">
        <w:rPr>
          <w:lang w:val="es-ES"/>
        </w:rPr>
        <w:t>modelos</w:t>
      </w:r>
      <w:r w:rsidRPr="00A8564C">
        <w:rPr>
          <w:lang w:val="es-ES"/>
        </w:rPr>
        <w:t xml:space="preserve"> industriales, marcas y apelaciones de origen</w:t>
      </w:r>
      <w:r w:rsidR="009743FE" w:rsidRPr="00A8564C">
        <w:rPr>
          <w:lang w:val="es-ES"/>
        </w:rPr>
        <w:t>, que desempeña actualmente</w:t>
      </w:r>
      <w:r w:rsidR="002C70DB" w:rsidRPr="00A8564C">
        <w:rPr>
          <w:lang w:val="es-ES"/>
        </w:rPr>
        <w:t>.</w:t>
      </w:r>
    </w:p>
    <w:p w14:paraId="4640521C" w14:textId="77777777" w:rsidR="002C70DB" w:rsidRPr="00A8564C" w:rsidRDefault="002C70DB" w:rsidP="00A41B96">
      <w:pPr>
        <w:rPr>
          <w:lang w:val="es-ES"/>
        </w:rPr>
      </w:pPr>
    </w:p>
    <w:p w14:paraId="2C9ADF74" w14:textId="2F7EDC4D" w:rsidR="002C70DB" w:rsidRPr="00A8564C" w:rsidRDefault="00BA299F" w:rsidP="00A41B96">
      <w:pPr>
        <w:rPr>
          <w:lang w:val="es-ES"/>
        </w:rPr>
      </w:pPr>
      <w:r w:rsidRPr="00A8564C">
        <w:rPr>
          <w:lang w:val="es-ES"/>
        </w:rPr>
        <w:t>Desde 2006, la</w:t>
      </w:r>
      <w:r w:rsidR="002C70DB" w:rsidRPr="00A8564C">
        <w:rPr>
          <w:lang w:val="es-ES"/>
        </w:rPr>
        <w:t xml:space="preserve"> ILPO ha</w:t>
      </w:r>
      <w:r w:rsidR="00107C28" w:rsidRPr="00A8564C">
        <w:rPr>
          <w:lang w:val="es-ES"/>
        </w:rPr>
        <w:t xml:space="preserve"> </w:t>
      </w:r>
      <w:r w:rsidR="009743FE" w:rsidRPr="00A8564C">
        <w:rPr>
          <w:lang w:val="es-ES"/>
        </w:rPr>
        <w:t xml:space="preserve">venido </w:t>
      </w:r>
      <w:r w:rsidR="00107C28" w:rsidRPr="00A8564C">
        <w:rPr>
          <w:lang w:val="es-ES"/>
        </w:rPr>
        <w:t>funciona</w:t>
      </w:r>
      <w:r w:rsidR="009743FE" w:rsidRPr="00A8564C">
        <w:rPr>
          <w:lang w:val="es-ES"/>
        </w:rPr>
        <w:t>n</w:t>
      </w:r>
      <w:r w:rsidR="00107C28" w:rsidRPr="00A8564C">
        <w:rPr>
          <w:lang w:val="es-ES"/>
        </w:rPr>
        <w:t>do</w:t>
      </w:r>
      <w:r w:rsidRPr="00A8564C">
        <w:rPr>
          <w:lang w:val="es-ES"/>
        </w:rPr>
        <w:t xml:space="preserve"> como </w:t>
      </w:r>
      <w:r w:rsidR="009743FE" w:rsidRPr="00A8564C">
        <w:rPr>
          <w:lang w:val="es-ES"/>
        </w:rPr>
        <w:t>Organismo e</w:t>
      </w:r>
      <w:r w:rsidRPr="00A8564C">
        <w:rPr>
          <w:lang w:val="es-ES"/>
        </w:rPr>
        <w:t>jecutivo</w:t>
      </w:r>
      <w:r w:rsidR="009743FE" w:rsidRPr="00A8564C">
        <w:rPr>
          <w:lang w:val="es-ES"/>
        </w:rPr>
        <w:t xml:space="preserve">, </w:t>
      </w:r>
      <w:r w:rsidR="00AF6549">
        <w:rPr>
          <w:lang w:val="es-ES"/>
        </w:rPr>
        <w:t>es decir, para</w:t>
      </w:r>
      <w:r w:rsidR="00107C28" w:rsidRPr="00A8564C">
        <w:rPr>
          <w:lang w:val="es-ES"/>
        </w:rPr>
        <w:t xml:space="preserve"> lograr </w:t>
      </w:r>
      <w:r w:rsidR="00B917FE" w:rsidRPr="00A8564C">
        <w:rPr>
          <w:lang w:val="es-ES"/>
        </w:rPr>
        <w:t>mayores</w:t>
      </w:r>
      <w:r w:rsidR="00107C28" w:rsidRPr="00A8564C">
        <w:rPr>
          <w:lang w:val="es-ES"/>
        </w:rPr>
        <w:t xml:space="preserve"> </w:t>
      </w:r>
      <w:r w:rsidR="00B917FE" w:rsidRPr="00A8564C">
        <w:rPr>
          <w:lang w:val="es-ES"/>
        </w:rPr>
        <w:t>flexibilidades</w:t>
      </w:r>
      <w:r w:rsidR="00107C28" w:rsidRPr="00A8564C">
        <w:rPr>
          <w:lang w:val="es-ES"/>
        </w:rPr>
        <w:t xml:space="preserve"> en </w:t>
      </w:r>
      <w:r w:rsidR="009743FE" w:rsidRPr="00A8564C">
        <w:rPr>
          <w:lang w:val="es-ES"/>
        </w:rPr>
        <w:t xml:space="preserve">materia de </w:t>
      </w:r>
      <w:r w:rsidR="00B917FE" w:rsidRPr="00A8564C">
        <w:rPr>
          <w:lang w:val="es-ES"/>
        </w:rPr>
        <w:t>gestión</w:t>
      </w:r>
      <w:r w:rsidR="009743FE" w:rsidRPr="00A8564C">
        <w:rPr>
          <w:lang w:val="es-ES"/>
        </w:rPr>
        <w:t xml:space="preserve">, </w:t>
      </w:r>
      <w:r w:rsidR="00B917FE" w:rsidRPr="00A8564C">
        <w:rPr>
          <w:lang w:val="es-ES"/>
        </w:rPr>
        <w:t>recursos</w:t>
      </w:r>
      <w:r w:rsidR="00107C28" w:rsidRPr="00A8564C">
        <w:rPr>
          <w:lang w:val="es-ES"/>
        </w:rPr>
        <w:t xml:space="preserve"> humanos y funcionamiento.</w:t>
      </w:r>
    </w:p>
    <w:p w14:paraId="4C7B3277" w14:textId="77777777" w:rsidR="002C70DB" w:rsidRPr="00A8564C" w:rsidRDefault="002C70DB" w:rsidP="00A41B96">
      <w:pPr>
        <w:rPr>
          <w:lang w:val="es-ES"/>
        </w:rPr>
      </w:pPr>
    </w:p>
    <w:p w14:paraId="2D4BEA74" w14:textId="2681CA1A" w:rsidR="002C70DB" w:rsidRPr="00A8564C" w:rsidRDefault="00107C28" w:rsidP="00A41B96">
      <w:pPr>
        <w:rPr>
          <w:lang w:val="es-ES"/>
        </w:rPr>
      </w:pPr>
      <w:r w:rsidRPr="00A8564C">
        <w:rPr>
          <w:lang w:val="es-ES"/>
        </w:rPr>
        <w:t xml:space="preserve">Las </w:t>
      </w:r>
      <w:r w:rsidR="001A0509" w:rsidRPr="00A8564C">
        <w:rPr>
          <w:lang w:val="es-ES"/>
        </w:rPr>
        <w:t>dependencias</w:t>
      </w:r>
      <w:r w:rsidRPr="00A8564C">
        <w:rPr>
          <w:lang w:val="es-ES"/>
        </w:rPr>
        <w:t xml:space="preserve"> de la </w:t>
      </w:r>
      <w:r w:rsidR="002C70DB" w:rsidRPr="00A8564C">
        <w:rPr>
          <w:lang w:val="es-ES"/>
        </w:rPr>
        <w:t>ILPO inclu</w:t>
      </w:r>
      <w:r w:rsidRPr="00A8564C">
        <w:rPr>
          <w:lang w:val="es-ES"/>
        </w:rPr>
        <w:t xml:space="preserve">yen el </w:t>
      </w:r>
      <w:r w:rsidR="001A0509" w:rsidRPr="00A8564C">
        <w:rPr>
          <w:lang w:val="es-ES"/>
        </w:rPr>
        <w:t>Departamento</w:t>
      </w:r>
      <w:r w:rsidRPr="00A8564C">
        <w:rPr>
          <w:lang w:val="es-ES"/>
        </w:rPr>
        <w:t xml:space="preserve"> de Patentes (encargado del examen </w:t>
      </w:r>
      <w:r w:rsidR="001A0509" w:rsidRPr="00A8564C">
        <w:rPr>
          <w:lang w:val="es-ES"/>
        </w:rPr>
        <w:t>sustantivo</w:t>
      </w:r>
      <w:r w:rsidRPr="00A8564C">
        <w:rPr>
          <w:lang w:val="es-ES"/>
        </w:rPr>
        <w:t xml:space="preserve"> de las solicitudes </w:t>
      </w:r>
      <w:r w:rsidR="001A0509" w:rsidRPr="00A8564C">
        <w:rPr>
          <w:lang w:val="es-ES"/>
        </w:rPr>
        <w:t>nacionales</w:t>
      </w:r>
      <w:r w:rsidRPr="00A8564C">
        <w:rPr>
          <w:lang w:val="es-ES"/>
        </w:rPr>
        <w:t xml:space="preserve"> y </w:t>
      </w:r>
      <w:r w:rsidR="009743FE" w:rsidRPr="00A8564C">
        <w:rPr>
          <w:lang w:val="es-ES"/>
        </w:rPr>
        <w:t xml:space="preserve">solicitudes </w:t>
      </w:r>
      <w:r w:rsidRPr="00A8564C">
        <w:rPr>
          <w:lang w:val="es-ES"/>
        </w:rPr>
        <w:t>PCT</w:t>
      </w:r>
      <w:r w:rsidR="002C70DB" w:rsidRPr="00A8564C">
        <w:rPr>
          <w:lang w:val="es-ES"/>
        </w:rPr>
        <w:t>)</w:t>
      </w:r>
      <w:r w:rsidR="009743FE" w:rsidRPr="00A8564C">
        <w:rPr>
          <w:lang w:val="es-ES"/>
        </w:rPr>
        <w:t>,</w:t>
      </w:r>
      <w:r w:rsidR="002C70DB" w:rsidRPr="00A8564C">
        <w:rPr>
          <w:lang w:val="es-ES"/>
        </w:rPr>
        <w:t xml:space="preserve"> </w:t>
      </w:r>
      <w:r w:rsidR="009743FE" w:rsidRPr="00A8564C">
        <w:rPr>
          <w:lang w:val="es-ES"/>
        </w:rPr>
        <w:t>respaldado por u</w:t>
      </w:r>
      <w:r w:rsidRPr="00A8564C">
        <w:rPr>
          <w:lang w:val="es-ES"/>
        </w:rPr>
        <w:t xml:space="preserve">na </w:t>
      </w:r>
      <w:r w:rsidR="001A0509" w:rsidRPr="00A8564C">
        <w:rPr>
          <w:lang w:val="es-ES"/>
        </w:rPr>
        <w:t>dependencia</w:t>
      </w:r>
      <w:r w:rsidRPr="00A8564C">
        <w:rPr>
          <w:lang w:val="es-ES"/>
        </w:rPr>
        <w:t xml:space="preserve"> administrativa</w:t>
      </w:r>
      <w:r w:rsidR="002C70DB" w:rsidRPr="00A8564C">
        <w:rPr>
          <w:lang w:val="es-ES"/>
        </w:rPr>
        <w:t xml:space="preserve">, </w:t>
      </w:r>
      <w:r w:rsidRPr="00A8564C">
        <w:rPr>
          <w:lang w:val="es-ES"/>
        </w:rPr>
        <w:t xml:space="preserve">el </w:t>
      </w:r>
      <w:r w:rsidR="001A0509" w:rsidRPr="00A8564C">
        <w:rPr>
          <w:lang w:val="es-ES"/>
        </w:rPr>
        <w:t>Departamento</w:t>
      </w:r>
      <w:r w:rsidRPr="00A8564C">
        <w:rPr>
          <w:lang w:val="es-ES"/>
        </w:rPr>
        <w:t xml:space="preserve"> de</w:t>
      </w:r>
      <w:r w:rsidR="009743FE" w:rsidRPr="00A8564C">
        <w:rPr>
          <w:lang w:val="es-ES"/>
        </w:rPr>
        <w:t xml:space="preserve"> M</w:t>
      </w:r>
      <w:r w:rsidRPr="00A8564C">
        <w:rPr>
          <w:lang w:val="es-ES"/>
        </w:rPr>
        <w:t xml:space="preserve">arcas y </w:t>
      </w:r>
      <w:r w:rsidR="009743FE" w:rsidRPr="00A8564C">
        <w:rPr>
          <w:lang w:val="es-ES"/>
        </w:rPr>
        <w:t>Denominaciones</w:t>
      </w:r>
      <w:r w:rsidRPr="00A8564C">
        <w:rPr>
          <w:lang w:val="es-ES"/>
        </w:rPr>
        <w:t xml:space="preserve"> de </w:t>
      </w:r>
      <w:r w:rsidR="00AF6549" w:rsidRPr="00A8564C">
        <w:rPr>
          <w:lang w:val="es-ES"/>
        </w:rPr>
        <w:t>Origen</w:t>
      </w:r>
      <w:r w:rsidR="009743FE" w:rsidRPr="00A8564C">
        <w:rPr>
          <w:lang w:val="es-ES"/>
        </w:rPr>
        <w:t xml:space="preserve">, el Departamento de </w:t>
      </w:r>
      <w:r w:rsidRPr="00A8564C">
        <w:rPr>
          <w:lang w:val="es-ES"/>
        </w:rPr>
        <w:t xml:space="preserve">Diseños </w:t>
      </w:r>
      <w:r w:rsidR="001A0509" w:rsidRPr="00A8564C">
        <w:rPr>
          <w:lang w:val="es-ES"/>
        </w:rPr>
        <w:t>Industriales</w:t>
      </w:r>
      <w:r w:rsidRPr="00A8564C">
        <w:rPr>
          <w:lang w:val="es-ES"/>
        </w:rPr>
        <w:t xml:space="preserve"> y el </w:t>
      </w:r>
      <w:r w:rsidR="001A0509" w:rsidRPr="00A8564C">
        <w:rPr>
          <w:lang w:val="es-ES"/>
        </w:rPr>
        <w:t>Departamento</w:t>
      </w:r>
      <w:r w:rsidRPr="00A8564C">
        <w:rPr>
          <w:lang w:val="es-ES"/>
        </w:rPr>
        <w:t xml:space="preserve"> </w:t>
      </w:r>
      <w:r w:rsidR="002C70DB" w:rsidRPr="00A8564C">
        <w:rPr>
          <w:lang w:val="es-ES"/>
        </w:rPr>
        <w:t>PCT</w:t>
      </w:r>
      <w:r w:rsidRPr="00A8564C">
        <w:rPr>
          <w:lang w:val="es-ES"/>
        </w:rPr>
        <w:t xml:space="preserve">.  Todas las actividades de la </w:t>
      </w:r>
      <w:r w:rsidR="002C70DB" w:rsidRPr="00A8564C">
        <w:rPr>
          <w:lang w:val="es-ES"/>
        </w:rPr>
        <w:t xml:space="preserve">ILPO </w:t>
      </w:r>
      <w:r w:rsidR="009743FE" w:rsidRPr="00A8564C">
        <w:rPr>
          <w:lang w:val="es-ES"/>
        </w:rPr>
        <w:t>son respaldadas por su</w:t>
      </w:r>
      <w:r w:rsidRPr="00A8564C">
        <w:rPr>
          <w:lang w:val="es-ES"/>
        </w:rPr>
        <w:t xml:space="preserve"> departamento </w:t>
      </w:r>
      <w:r w:rsidR="001A0509" w:rsidRPr="00A8564C">
        <w:rPr>
          <w:lang w:val="es-ES"/>
        </w:rPr>
        <w:t>jurídico</w:t>
      </w:r>
      <w:r w:rsidRPr="00A8564C">
        <w:rPr>
          <w:lang w:val="es-ES"/>
        </w:rPr>
        <w:t>.</w:t>
      </w:r>
      <w:r w:rsidR="009E7E5E" w:rsidRPr="00A8564C">
        <w:rPr>
          <w:lang w:val="es-ES"/>
        </w:rPr>
        <w:t xml:space="preserve">  </w:t>
      </w:r>
      <w:r w:rsidRPr="00A8564C">
        <w:rPr>
          <w:lang w:val="es-ES"/>
        </w:rPr>
        <w:t xml:space="preserve">La </w:t>
      </w:r>
      <w:r w:rsidR="002C70DB" w:rsidRPr="00A8564C">
        <w:rPr>
          <w:lang w:val="es-ES"/>
        </w:rPr>
        <w:t xml:space="preserve">ILPO </w:t>
      </w:r>
      <w:r w:rsidRPr="00A8564C">
        <w:rPr>
          <w:lang w:val="es-ES"/>
        </w:rPr>
        <w:t>cuenta actualmente con 200 empleados</w:t>
      </w:r>
      <w:r w:rsidR="002C70DB" w:rsidRPr="00A8564C">
        <w:rPr>
          <w:lang w:val="es-ES"/>
        </w:rPr>
        <w:t>.</w:t>
      </w:r>
    </w:p>
    <w:p w14:paraId="546E3B35" w14:textId="2D88A21C" w:rsidR="002C70DB" w:rsidRPr="00A8564C" w:rsidRDefault="00AF6549" w:rsidP="00A41B96">
      <w:pPr>
        <w:rPr>
          <w:lang w:val="es-ES"/>
        </w:rPr>
      </w:pPr>
      <w:r>
        <w:rPr>
          <w:lang w:val="es-ES"/>
        </w:rPr>
        <w:t>Es</w:t>
      </w:r>
      <w:r w:rsidR="00107C28" w:rsidRPr="00A8564C">
        <w:rPr>
          <w:lang w:val="es-ES"/>
        </w:rPr>
        <w:t xml:space="preserve">os departamentos </w:t>
      </w:r>
      <w:r w:rsidR="009743FE" w:rsidRPr="00A8564C">
        <w:rPr>
          <w:lang w:val="es-ES"/>
        </w:rPr>
        <w:t>están sujetos a</w:t>
      </w:r>
      <w:r w:rsidR="00920B5B" w:rsidRPr="00A8564C">
        <w:rPr>
          <w:lang w:val="es-ES"/>
        </w:rPr>
        <w:t xml:space="preserve"> una </w:t>
      </w:r>
      <w:r w:rsidR="00867B34" w:rsidRPr="00A8564C">
        <w:rPr>
          <w:lang w:val="es-ES"/>
        </w:rPr>
        <w:t xml:space="preserve">estricta </w:t>
      </w:r>
      <w:r w:rsidR="00920B5B" w:rsidRPr="00A8564C">
        <w:rPr>
          <w:lang w:val="es-ES"/>
        </w:rPr>
        <w:t xml:space="preserve">coordinación basada </w:t>
      </w:r>
      <w:r w:rsidR="009743FE" w:rsidRPr="00A8564C">
        <w:rPr>
          <w:lang w:val="es-ES"/>
        </w:rPr>
        <w:t xml:space="preserve">en </w:t>
      </w:r>
      <w:r w:rsidR="00867B34" w:rsidRPr="00A8564C">
        <w:rPr>
          <w:lang w:val="es-ES"/>
        </w:rPr>
        <w:t>t</w:t>
      </w:r>
      <w:r w:rsidR="00107C28" w:rsidRPr="00A8564C">
        <w:rPr>
          <w:lang w:val="es-ES"/>
        </w:rPr>
        <w:t>areas</w:t>
      </w:r>
      <w:r w:rsidR="00867B34" w:rsidRPr="00A8564C">
        <w:rPr>
          <w:lang w:val="es-ES"/>
        </w:rPr>
        <w:t xml:space="preserve"> y</w:t>
      </w:r>
      <w:r w:rsidR="00107C28" w:rsidRPr="00A8564C">
        <w:rPr>
          <w:lang w:val="es-ES"/>
        </w:rPr>
        <w:t xml:space="preserve"> operan en un entorno de trabajo sin papel, en cumplimiento de las </w:t>
      </w:r>
      <w:r w:rsidR="001A0509" w:rsidRPr="00A8564C">
        <w:rPr>
          <w:lang w:val="es-ES"/>
        </w:rPr>
        <w:t>exigencias</w:t>
      </w:r>
      <w:r w:rsidR="00107C28" w:rsidRPr="00A8564C">
        <w:rPr>
          <w:lang w:val="es-ES"/>
        </w:rPr>
        <w:t xml:space="preserve"> de la </w:t>
      </w:r>
      <w:r w:rsidR="00ED5334" w:rsidRPr="00A8564C">
        <w:rPr>
          <w:lang w:val="es-ES"/>
        </w:rPr>
        <w:t xml:space="preserve">norma </w:t>
      </w:r>
      <w:r w:rsidR="002C70DB" w:rsidRPr="00A8564C">
        <w:rPr>
          <w:lang w:val="es-ES"/>
        </w:rPr>
        <w:t xml:space="preserve">ISO 9001. </w:t>
      </w:r>
    </w:p>
    <w:p w14:paraId="23E23CA4" w14:textId="77777777" w:rsidR="002C70DB" w:rsidRPr="00A8564C" w:rsidRDefault="002C70DB" w:rsidP="00A41B96">
      <w:pPr>
        <w:rPr>
          <w:lang w:val="es-ES"/>
        </w:rPr>
      </w:pPr>
    </w:p>
    <w:p w14:paraId="393D37FF" w14:textId="4D9739DB" w:rsidR="002C70DB" w:rsidRPr="00A8564C" w:rsidRDefault="001A0509" w:rsidP="00A41B96">
      <w:pPr>
        <w:rPr>
          <w:lang w:val="es-ES"/>
        </w:rPr>
      </w:pPr>
      <w:r w:rsidRPr="00A8564C">
        <w:rPr>
          <w:lang w:val="es-ES"/>
        </w:rPr>
        <w:t>La</w:t>
      </w:r>
      <w:r w:rsidR="002C70DB" w:rsidRPr="00A8564C">
        <w:rPr>
          <w:lang w:val="es-ES"/>
        </w:rPr>
        <w:t xml:space="preserve"> ILPO </w:t>
      </w:r>
      <w:r w:rsidR="00712DD3" w:rsidRPr="00A8564C">
        <w:rPr>
          <w:lang w:val="es-ES"/>
        </w:rPr>
        <w:t xml:space="preserve">se ha fijado como </w:t>
      </w:r>
      <w:r w:rsidR="00B917FE" w:rsidRPr="00A8564C">
        <w:rPr>
          <w:lang w:val="es-ES"/>
        </w:rPr>
        <w:t>objetivo</w:t>
      </w:r>
      <w:r w:rsidR="00712DD3" w:rsidRPr="00A8564C">
        <w:rPr>
          <w:lang w:val="es-ES"/>
        </w:rPr>
        <w:t xml:space="preserve"> prestar servicios modernos, de </w:t>
      </w:r>
      <w:r w:rsidR="00867B34" w:rsidRPr="00A8564C">
        <w:rPr>
          <w:lang w:val="es-ES"/>
        </w:rPr>
        <w:t xml:space="preserve">alta </w:t>
      </w:r>
      <w:r w:rsidR="00712DD3" w:rsidRPr="00A8564C">
        <w:rPr>
          <w:lang w:val="es-ES"/>
        </w:rPr>
        <w:t>calidad, orientados al usuario y que cumplan los plazos establecidos</w:t>
      </w:r>
      <w:r w:rsidR="009E7E5E" w:rsidRPr="00A8564C">
        <w:rPr>
          <w:lang w:val="es-ES"/>
        </w:rPr>
        <w:t xml:space="preserve">.  </w:t>
      </w:r>
      <w:r w:rsidR="00712DD3" w:rsidRPr="00A8564C">
        <w:rPr>
          <w:lang w:val="es-ES"/>
        </w:rPr>
        <w:t xml:space="preserve">La ILPO aspira a </w:t>
      </w:r>
      <w:r w:rsidR="00B917FE" w:rsidRPr="00A8564C">
        <w:rPr>
          <w:lang w:val="es-ES"/>
        </w:rPr>
        <w:t>cumplir</w:t>
      </w:r>
      <w:r w:rsidR="00712DD3" w:rsidRPr="00A8564C">
        <w:rPr>
          <w:lang w:val="es-ES"/>
        </w:rPr>
        <w:t xml:space="preserve"> las siguientes </w:t>
      </w:r>
      <w:r w:rsidR="00B917FE" w:rsidRPr="00A8564C">
        <w:rPr>
          <w:lang w:val="es-ES"/>
        </w:rPr>
        <w:t>normas</w:t>
      </w:r>
      <w:r w:rsidR="002C70DB" w:rsidRPr="00A8564C">
        <w:rPr>
          <w:lang w:val="es-ES"/>
        </w:rPr>
        <w:t>:</w:t>
      </w:r>
    </w:p>
    <w:p w14:paraId="7C99F1FF" w14:textId="6AC32AEF" w:rsidR="002C70DB" w:rsidRPr="00A8564C" w:rsidRDefault="00A41B96" w:rsidP="00A41B96">
      <w:pPr>
        <w:ind w:left="1134" w:hanging="567"/>
        <w:rPr>
          <w:lang w:val="es-ES"/>
        </w:rPr>
      </w:pPr>
      <w:r w:rsidRPr="00A8564C">
        <w:rPr>
          <w:rFonts w:ascii="Wingdings" w:hAnsi="Wingdings"/>
          <w:lang w:val="es-ES"/>
        </w:rPr>
        <w:t></w:t>
      </w:r>
      <w:r w:rsidRPr="00A8564C">
        <w:rPr>
          <w:lang w:val="es-ES"/>
        </w:rPr>
        <w:tab/>
      </w:r>
      <w:r w:rsidR="00B917FE" w:rsidRPr="00A8564C">
        <w:rPr>
          <w:lang w:val="es-ES"/>
        </w:rPr>
        <w:t>Mantener</w:t>
      </w:r>
      <w:r w:rsidR="00712DD3" w:rsidRPr="00A8564C">
        <w:rPr>
          <w:lang w:val="es-ES"/>
        </w:rPr>
        <w:t xml:space="preserve"> la </w:t>
      </w:r>
      <w:r w:rsidR="00B917FE" w:rsidRPr="00A8564C">
        <w:rPr>
          <w:lang w:val="es-ES"/>
        </w:rPr>
        <w:t>máxima</w:t>
      </w:r>
      <w:r w:rsidR="00712DD3" w:rsidRPr="00A8564C">
        <w:rPr>
          <w:lang w:val="es-ES"/>
        </w:rPr>
        <w:t xml:space="preserve"> transparencia </w:t>
      </w:r>
      <w:r w:rsidR="00867B34" w:rsidRPr="00A8564C">
        <w:rPr>
          <w:lang w:val="es-ES"/>
        </w:rPr>
        <w:t xml:space="preserve">de cara a sus </w:t>
      </w:r>
      <w:r w:rsidR="00712DD3" w:rsidRPr="00A8564C">
        <w:rPr>
          <w:lang w:val="es-ES"/>
        </w:rPr>
        <w:t xml:space="preserve">partes interesadas en lo </w:t>
      </w:r>
      <w:r w:rsidR="00867B34" w:rsidRPr="00A8564C">
        <w:rPr>
          <w:lang w:val="es-ES"/>
        </w:rPr>
        <w:t>referente</w:t>
      </w:r>
      <w:r w:rsidR="00712DD3" w:rsidRPr="00A8564C">
        <w:rPr>
          <w:lang w:val="es-ES"/>
        </w:rPr>
        <w:t xml:space="preserve"> a los </w:t>
      </w:r>
      <w:r w:rsidR="00B917FE" w:rsidRPr="00A8564C">
        <w:rPr>
          <w:lang w:val="es-ES"/>
        </w:rPr>
        <w:t>procedimientos</w:t>
      </w:r>
      <w:r w:rsidR="00712DD3" w:rsidRPr="00A8564C">
        <w:rPr>
          <w:lang w:val="es-ES"/>
        </w:rPr>
        <w:t>, actividades y retos</w:t>
      </w:r>
      <w:r w:rsidR="002C70DB" w:rsidRPr="00A8564C">
        <w:rPr>
          <w:lang w:val="es-ES"/>
        </w:rPr>
        <w:t>;</w:t>
      </w:r>
    </w:p>
    <w:p w14:paraId="38E5C4F7" w14:textId="3B4D854B" w:rsidR="002C70DB" w:rsidRPr="00A8564C" w:rsidRDefault="00A41B96" w:rsidP="00A41B96">
      <w:pPr>
        <w:ind w:left="1134" w:hanging="567"/>
        <w:rPr>
          <w:lang w:val="es-ES"/>
        </w:rPr>
      </w:pPr>
      <w:r w:rsidRPr="00A8564C">
        <w:rPr>
          <w:rFonts w:ascii="Wingdings" w:hAnsi="Wingdings"/>
          <w:lang w:val="es-ES"/>
        </w:rPr>
        <w:t></w:t>
      </w:r>
      <w:r w:rsidRPr="00A8564C">
        <w:rPr>
          <w:lang w:val="es-ES"/>
        </w:rPr>
        <w:tab/>
      </w:r>
      <w:r w:rsidR="00712DD3" w:rsidRPr="00A8564C">
        <w:rPr>
          <w:lang w:val="es-ES"/>
        </w:rPr>
        <w:t>Mejorar los ser</w:t>
      </w:r>
      <w:r w:rsidR="00B917FE" w:rsidRPr="00A8564C">
        <w:rPr>
          <w:lang w:val="es-ES"/>
        </w:rPr>
        <w:t>vicios</w:t>
      </w:r>
      <w:r w:rsidR="00712DD3" w:rsidRPr="00A8564C">
        <w:rPr>
          <w:lang w:val="es-ES"/>
        </w:rPr>
        <w:t xml:space="preserve"> prestados a los usuarios</w:t>
      </w:r>
      <w:r w:rsidR="00867B34" w:rsidRPr="00A8564C">
        <w:rPr>
          <w:lang w:val="es-ES"/>
        </w:rPr>
        <w:t xml:space="preserve"> de forma constante</w:t>
      </w:r>
      <w:r w:rsidR="00712DD3" w:rsidRPr="00A8564C">
        <w:rPr>
          <w:lang w:val="es-ES"/>
        </w:rPr>
        <w:t xml:space="preserve"> y potenciar la </w:t>
      </w:r>
      <w:r w:rsidR="00B917FE" w:rsidRPr="00A8564C">
        <w:rPr>
          <w:lang w:val="es-ES"/>
        </w:rPr>
        <w:t>comunicación</w:t>
      </w:r>
      <w:r w:rsidR="00712DD3" w:rsidRPr="00A8564C">
        <w:rPr>
          <w:lang w:val="es-ES"/>
        </w:rPr>
        <w:t xml:space="preserve"> con el </w:t>
      </w:r>
      <w:r w:rsidR="00B917FE" w:rsidRPr="00A8564C">
        <w:rPr>
          <w:lang w:val="es-ES"/>
        </w:rPr>
        <w:t>público</w:t>
      </w:r>
      <w:r w:rsidR="00712DD3" w:rsidRPr="00A8564C">
        <w:rPr>
          <w:lang w:val="es-ES"/>
        </w:rPr>
        <w:t xml:space="preserve"> y con todas las partes </w:t>
      </w:r>
      <w:r w:rsidR="00B917FE" w:rsidRPr="00A8564C">
        <w:rPr>
          <w:lang w:val="es-ES"/>
        </w:rPr>
        <w:t>interesadas</w:t>
      </w:r>
      <w:r w:rsidR="00712DD3" w:rsidRPr="00A8564C">
        <w:rPr>
          <w:lang w:val="es-ES"/>
        </w:rPr>
        <w:t xml:space="preserve"> del PCT</w:t>
      </w:r>
      <w:r w:rsidR="002C70DB" w:rsidRPr="00A8564C">
        <w:rPr>
          <w:lang w:val="es-ES"/>
        </w:rPr>
        <w:t>;</w:t>
      </w:r>
      <w:r w:rsidR="00712DD3" w:rsidRPr="00A8564C">
        <w:rPr>
          <w:lang w:val="es-ES"/>
        </w:rPr>
        <w:t xml:space="preserve"> y</w:t>
      </w:r>
    </w:p>
    <w:p w14:paraId="61C1FEFC" w14:textId="51858471" w:rsidR="002C70DB" w:rsidRPr="00A8564C" w:rsidRDefault="00A41B96" w:rsidP="00A41B96">
      <w:pPr>
        <w:ind w:left="1134" w:hanging="567"/>
        <w:rPr>
          <w:lang w:val="es-ES"/>
        </w:rPr>
      </w:pPr>
      <w:r w:rsidRPr="00A8564C">
        <w:rPr>
          <w:rFonts w:ascii="Wingdings" w:hAnsi="Wingdings"/>
          <w:lang w:val="es-ES"/>
        </w:rPr>
        <w:t></w:t>
      </w:r>
      <w:r w:rsidRPr="00A8564C">
        <w:rPr>
          <w:lang w:val="es-ES"/>
        </w:rPr>
        <w:tab/>
      </w:r>
      <w:r w:rsidR="002C70DB" w:rsidRPr="00A8564C">
        <w:rPr>
          <w:lang w:val="es-ES"/>
        </w:rPr>
        <w:t>C</w:t>
      </w:r>
      <w:r w:rsidR="00712DD3" w:rsidRPr="00A8564C">
        <w:rPr>
          <w:lang w:val="es-ES"/>
        </w:rPr>
        <w:t xml:space="preserve">rear una </w:t>
      </w:r>
      <w:r w:rsidR="00B917FE" w:rsidRPr="00A8564C">
        <w:rPr>
          <w:lang w:val="es-ES"/>
        </w:rPr>
        <w:t>mejor</w:t>
      </w:r>
      <w:r w:rsidR="00712DD3" w:rsidRPr="00A8564C">
        <w:rPr>
          <w:lang w:val="es-ES"/>
        </w:rPr>
        <w:t xml:space="preserve"> plataforma </w:t>
      </w:r>
      <w:r w:rsidR="00867B34" w:rsidRPr="00A8564C">
        <w:rPr>
          <w:lang w:val="es-ES"/>
        </w:rPr>
        <w:t>de</w:t>
      </w:r>
      <w:r w:rsidR="00712DD3" w:rsidRPr="00A8564C">
        <w:rPr>
          <w:lang w:val="es-ES"/>
        </w:rPr>
        <w:t xml:space="preserve"> </w:t>
      </w:r>
      <w:r w:rsidR="00B917FE" w:rsidRPr="00A8564C">
        <w:rPr>
          <w:lang w:val="es-ES"/>
        </w:rPr>
        <w:t>colaboración</w:t>
      </w:r>
      <w:r w:rsidR="00712DD3" w:rsidRPr="00A8564C">
        <w:rPr>
          <w:lang w:val="es-ES"/>
        </w:rPr>
        <w:t xml:space="preserve"> </w:t>
      </w:r>
      <w:r w:rsidR="00867B34" w:rsidRPr="00A8564C">
        <w:rPr>
          <w:lang w:val="es-ES"/>
        </w:rPr>
        <w:t>para</w:t>
      </w:r>
      <w:r w:rsidR="00712DD3" w:rsidRPr="00A8564C">
        <w:rPr>
          <w:lang w:val="es-ES"/>
        </w:rPr>
        <w:t xml:space="preserve"> las cuestiones </w:t>
      </w:r>
      <w:r w:rsidR="00B917FE" w:rsidRPr="00A8564C">
        <w:rPr>
          <w:lang w:val="es-ES"/>
        </w:rPr>
        <w:t>relacionadas</w:t>
      </w:r>
      <w:r w:rsidR="00712DD3" w:rsidRPr="00A8564C">
        <w:rPr>
          <w:lang w:val="es-ES"/>
        </w:rPr>
        <w:t xml:space="preserve"> con la </w:t>
      </w:r>
      <w:r w:rsidR="00184BCD" w:rsidRPr="00A8564C">
        <w:rPr>
          <w:lang w:val="es-ES"/>
        </w:rPr>
        <w:t xml:space="preserve">P.I. </w:t>
      </w:r>
      <w:r w:rsidR="00712DD3" w:rsidRPr="00A8564C">
        <w:rPr>
          <w:lang w:val="es-ES"/>
        </w:rPr>
        <w:t xml:space="preserve">y aumentar el </w:t>
      </w:r>
      <w:r w:rsidR="00867B34" w:rsidRPr="00A8564C">
        <w:rPr>
          <w:lang w:val="es-ES"/>
        </w:rPr>
        <w:t xml:space="preserve">uso y el conocimiento de la P.I. </w:t>
      </w:r>
      <w:r w:rsidR="00B917FE" w:rsidRPr="00A8564C">
        <w:rPr>
          <w:lang w:val="es-ES"/>
        </w:rPr>
        <w:t>a niv</w:t>
      </w:r>
      <w:r w:rsidR="00712DD3" w:rsidRPr="00A8564C">
        <w:rPr>
          <w:lang w:val="es-ES"/>
        </w:rPr>
        <w:t>el nacional e internacional</w:t>
      </w:r>
      <w:r w:rsidR="002C70DB" w:rsidRPr="00A8564C">
        <w:rPr>
          <w:lang w:val="es-ES"/>
        </w:rPr>
        <w:t xml:space="preserve">. </w:t>
      </w:r>
    </w:p>
    <w:p w14:paraId="6A5FFFC8" w14:textId="77777777" w:rsidR="002C70DB" w:rsidRPr="00A8564C" w:rsidRDefault="002C70DB" w:rsidP="00957557">
      <w:pPr>
        <w:rPr>
          <w:lang w:val="es-ES"/>
        </w:rPr>
      </w:pPr>
    </w:p>
    <w:p w14:paraId="7FE48D9E" w14:textId="77419B7E" w:rsidR="002C70DB" w:rsidRPr="00A8564C" w:rsidRDefault="00A41B96" w:rsidP="001A0509">
      <w:pPr>
        <w:pStyle w:val="Heading2"/>
        <w:tabs>
          <w:tab w:val="left" w:pos="567"/>
          <w:tab w:val="left" w:pos="1134"/>
          <w:tab w:val="left" w:pos="1701"/>
          <w:tab w:val="left" w:pos="2268"/>
          <w:tab w:val="left" w:pos="2835"/>
          <w:tab w:val="left" w:pos="3402"/>
          <w:tab w:val="left" w:pos="5354"/>
        </w:tabs>
        <w:rPr>
          <w:lang w:val="es-ES"/>
        </w:rPr>
      </w:pPr>
      <w:r w:rsidRPr="00A8564C">
        <w:rPr>
          <w:lang w:val="es-ES"/>
        </w:rPr>
        <w:t>1.2</w:t>
      </w:r>
      <w:r w:rsidRPr="00A8564C">
        <w:rPr>
          <w:lang w:val="es-ES"/>
        </w:rPr>
        <w:tab/>
      </w:r>
      <w:r w:rsidR="001A0509" w:rsidRPr="00A8564C">
        <w:rPr>
          <w:lang w:val="es-ES"/>
        </w:rPr>
        <w:t xml:space="preserve">El sistema de </w:t>
      </w:r>
      <w:r w:rsidR="00184BCD" w:rsidRPr="00A8564C">
        <w:rPr>
          <w:lang w:val="es-ES"/>
        </w:rPr>
        <w:t xml:space="preserve">la P.I. </w:t>
      </w:r>
      <w:r w:rsidR="001A0509" w:rsidRPr="00A8564C">
        <w:rPr>
          <w:lang w:val="es-ES"/>
        </w:rPr>
        <w:t>e</w:t>
      </w:r>
      <w:r w:rsidR="002C70DB" w:rsidRPr="00A8564C">
        <w:rPr>
          <w:lang w:val="es-ES"/>
        </w:rPr>
        <w:t xml:space="preserve">n Israel </w:t>
      </w:r>
    </w:p>
    <w:p w14:paraId="7E19F12A" w14:textId="77777777" w:rsidR="002C70DB" w:rsidRPr="00A8564C" w:rsidRDefault="002C70DB" w:rsidP="00A41B96">
      <w:pPr>
        <w:rPr>
          <w:lang w:val="es-ES"/>
        </w:rPr>
      </w:pPr>
    </w:p>
    <w:p w14:paraId="4445C162" w14:textId="6ECF5457" w:rsidR="002C70DB" w:rsidRPr="00A8564C" w:rsidRDefault="00A41B96" w:rsidP="00A41B96">
      <w:pPr>
        <w:pStyle w:val="Heading3"/>
        <w:rPr>
          <w:lang w:val="es-ES"/>
        </w:rPr>
      </w:pPr>
      <w:r w:rsidRPr="00A8564C">
        <w:rPr>
          <w:lang w:val="es-ES"/>
        </w:rPr>
        <w:t>1.2.1.</w:t>
      </w:r>
      <w:r w:rsidRPr="00A8564C">
        <w:rPr>
          <w:lang w:val="es-ES"/>
        </w:rPr>
        <w:tab/>
      </w:r>
      <w:r w:rsidR="00B917FE" w:rsidRPr="00A8564C">
        <w:rPr>
          <w:lang w:val="es-ES"/>
        </w:rPr>
        <w:t xml:space="preserve">El marco de la </w:t>
      </w:r>
      <w:r w:rsidR="00184BCD" w:rsidRPr="00A8564C">
        <w:rPr>
          <w:lang w:val="es-ES"/>
        </w:rPr>
        <w:t xml:space="preserve">P.I. </w:t>
      </w:r>
      <w:r w:rsidR="00B917FE" w:rsidRPr="00A8564C">
        <w:rPr>
          <w:lang w:val="es-ES"/>
        </w:rPr>
        <w:t xml:space="preserve">en </w:t>
      </w:r>
      <w:r w:rsidR="002C70DB" w:rsidRPr="00A8564C">
        <w:rPr>
          <w:lang w:val="es-ES"/>
        </w:rPr>
        <w:t>Israel</w:t>
      </w:r>
    </w:p>
    <w:p w14:paraId="4318A072" w14:textId="77777777" w:rsidR="002C70DB" w:rsidRPr="00A8564C" w:rsidRDefault="002C70DB" w:rsidP="00A41B96">
      <w:pPr>
        <w:rPr>
          <w:lang w:val="es-ES"/>
        </w:rPr>
      </w:pPr>
    </w:p>
    <w:p w14:paraId="22D01912" w14:textId="5D9A50DA" w:rsidR="002C70DB" w:rsidRPr="00A8564C" w:rsidRDefault="002C70DB" w:rsidP="00A41B96">
      <w:pPr>
        <w:rPr>
          <w:lang w:val="es-ES"/>
        </w:rPr>
      </w:pPr>
      <w:r w:rsidRPr="00A8564C">
        <w:rPr>
          <w:lang w:val="es-ES"/>
        </w:rPr>
        <w:t xml:space="preserve">Israel </w:t>
      </w:r>
      <w:r w:rsidR="00920B5B" w:rsidRPr="00A8564C">
        <w:rPr>
          <w:lang w:val="es-ES"/>
        </w:rPr>
        <w:t xml:space="preserve">cuenta con un </w:t>
      </w:r>
      <w:r w:rsidR="00867B34" w:rsidRPr="00A8564C">
        <w:rPr>
          <w:lang w:val="es-ES"/>
        </w:rPr>
        <w:t xml:space="preserve">eficaz </w:t>
      </w:r>
      <w:r w:rsidR="00920B5B" w:rsidRPr="00A8564C">
        <w:rPr>
          <w:lang w:val="es-ES"/>
        </w:rPr>
        <w:t>s</w:t>
      </w:r>
      <w:r w:rsidR="00712DD3" w:rsidRPr="00A8564C">
        <w:rPr>
          <w:lang w:val="es-ES"/>
        </w:rPr>
        <w:t>istema de P.I.</w:t>
      </w:r>
      <w:r w:rsidR="00867B34" w:rsidRPr="00A8564C">
        <w:rPr>
          <w:lang w:val="es-ES"/>
        </w:rPr>
        <w:t>,</w:t>
      </w:r>
      <w:r w:rsidR="00712DD3" w:rsidRPr="00A8564C">
        <w:rPr>
          <w:lang w:val="es-ES"/>
        </w:rPr>
        <w:t xml:space="preserve"> que </w:t>
      </w:r>
      <w:r w:rsidR="00867B34" w:rsidRPr="00A8564C">
        <w:rPr>
          <w:lang w:val="es-ES"/>
        </w:rPr>
        <w:t>es objeto de constantes modificaciones</w:t>
      </w:r>
      <w:r w:rsidR="005741CB" w:rsidRPr="00A8564C">
        <w:rPr>
          <w:lang w:val="es-ES"/>
        </w:rPr>
        <w:t xml:space="preserve"> y adaptaciones.</w:t>
      </w:r>
      <w:r w:rsidRPr="00A8564C">
        <w:rPr>
          <w:rStyle w:val="FootnoteReference"/>
          <w:sz w:val="24"/>
          <w:szCs w:val="24"/>
          <w:lang w:val="es-ES"/>
        </w:rPr>
        <w:footnoteReference w:id="3"/>
      </w:r>
      <w:r w:rsidRPr="00A8564C">
        <w:rPr>
          <w:lang w:val="es-ES"/>
        </w:rPr>
        <w:t xml:space="preserve"> </w:t>
      </w:r>
    </w:p>
    <w:p w14:paraId="245E9158" w14:textId="77777777" w:rsidR="002C70DB" w:rsidRPr="00A8564C" w:rsidRDefault="002C70DB" w:rsidP="00A41B96">
      <w:pPr>
        <w:rPr>
          <w:lang w:val="es-ES"/>
        </w:rPr>
      </w:pPr>
    </w:p>
    <w:p w14:paraId="5AFAB396" w14:textId="609BC4BD" w:rsidR="002C70DB" w:rsidRPr="00A8564C" w:rsidRDefault="00DA5AF1" w:rsidP="00A41B96">
      <w:pPr>
        <w:rPr>
          <w:lang w:val="es-ES"/>
        </w:rPr>
      </w:pPr>
      <w:r w:rsidRPr="00A8564C">
        <w:rPr>
          <w:lang w:val="es-ES"/>
        </w:rPr>
        <w:t>E</w:t>
      </w:r>
      <w:r w:rsidR="005741CB" w:rsidRPr="00A8564C">
        <w:rPr>
          <w:lang w:val="es-ES"/>
        </w:rPr>
        <w:t xml:space="preserve">l </w:t>
      </w:r>
      <w:r w:rsidR="009043F7" w:rsidRPr="00A8564C">
        <w:rPr>
          <w:lang w:val="es-ES"/>
        </w:rPr>
        <w:t>s</w:t>
      </w:r>
      <w:r w:rsidR="005741CB" w:rsidRPr="00A8564C">
        <w:rPr>
          <w:lang w:val="es-ES"/>
        </w:rPr>
        <w:t>istema judicial israelí es</w:t>
      </w:r>
      <w:r w:rsidR="000B3FA9" w:rsidRPr="00A8564C">
        <w:rPr>
          <w:lang w:val="es-ES"/>
        </w:rPr>
        <w:t xml:space="preserve"> </w:t>
      </w:r>
      <w:r w:rsidR="009603D1" w:rsidRPr="00A8564C">
        <w:rPr>
          <w:lang w:val="es-ES"/>
        </w:rPr>
        <w:t xml:space="preserve">de tipo </w:t>
      </w:r>
      <w:r w:rsidR="009043F7" w:rsidRPr="00A8564C">
        <w:rPr>
          <w:lang w:val="es-ES"/>
        </w:rPr>
        <w:t>acusatorio</w:t>
      </w:r>
      <w:r w:rsidR="00063848" w:rsidRPr="00A8564C">
        <w:rPr>
          <w:lang w:val="es-ES"/>
        </w:rPr>
        <w:t xml:space="preserve"> generalista</w:t>
      </w:r>
      <w:r w:rsidR="005741CB" w:rsidRPr="00A8564C">
        <w:rPr>
          <w:lang w:val="es-ES"/>
        </w:rPr>
        <w:t>.</w:t>
      </w:r>
      <w:r w:rsidR="009E7E5E" w:rsidRPr="00A8564C">
        <w:rPr>
          <w:lang w:val="es-ES"/>
        </w:rPr>
        <w:t xml:space="preserve">  </w:t>
      </w:r>
      <w:r w:rsidR="005741CB" w:rsidRPr="00A8564C">
        <w:rPr>
          <w:lang w:val="es-ES"/>
        </w:rPr>
        <w:t xml:space="preserve">Las demandas judiciales por </w:t>
      </w:r>
      <w:r w:rsidR="00B917FE" w:rsidRPr="00A8564C">
        <w:rPr>
          <w:lang w:val="es-ES"/>
        </w:rPr>
        <w:t>infracción</w:t>
      </w:r>
      <w:r w:rsidR="005741CB" w:rsidRPr="00A8564C">
        <w:rPr>
          <w:lang w:val="es-ES"/>
        </w:rPr>
        <w:t xml:space="preserve"> de la </w:t>
      </w:r>
      <w:r w:rsidR="00184BCD" w:rsidRPr="00A8564C">
        <w:rPr>
          <w:lang w:val="es-ES"/>
        </w:rPr>
        <w:t xml:space="preserve">P.I. </w:t>
      </w:r>
      <w:r w:rsidR="005741CB" w:rsidRPr="00A8564C">
        <w:rPr>
          <w:lang w:val="es-ES"/>
        </w:rPr>
        <w:t xml:space="preserve">se </w:t>
      </w:r>
      <w:r w:rsidR="009603D1" w:rsidRPr="00A8564C">
        <w:rPr>
          <w:lang w:val="es-ES"/>
        </w:rPr>
        <w:t>interponen</w:t>
      </w:r>
      <w:r w:rsidR="005741CB" w:rsidRPr="00A8564C">
        <w:rPr>
          <w:lang w:val="es-ES"/>
        </w:rPr>
        <w:t xml:space="preserve"> ante los tribunales de distrito de Israel</w:t>
      </w:r>
      <w:r w:rsidR="009E7E5E" w:rsidRPr="00A8564C">
        <w:rPr>
          <w:lang w:val="es-ES"/>
        </w:rPr>
        <w:t xml:space="preserve">.  </w:t>
      </w:r>
      <w:r w:rsidR="005741CB" w:rsidRPr="00A8564C">
        <w:rPr>
          <w:lang w:val="es-ES"/>
        </w:rPr>
        <w:t xml:space="preserve">El acusado puede </w:t>
      </w:r>
      <w:r w:rsidR="00704A83" w:rsidRPr="00A8564C">
        <w:rPr>
          <w:lang w:val="es-ES"/>
        </w:rPr>
        <w:t>plantear</w:t>
      </w:r>
      <w:r w:rsidR="005741CB" w:rsidRPr="00A8564C">
        <w:rPr>
          <w:lang w:val="es-ES"/>
        </w:rPr>
        <w:t xml:space="preserve"> una </w:t>
      </w:r>
      <w:r w:rsidR="00B917FE" w:rsidRPr="00A8564C">
        <w:rPr>
          <w:lang w:val="es-ES"/>
        </w:rPr>
        <w:t>cuestión</w:t>
      </w:r>
      <w:r w:rsidR="005741CB" w:rsidRPr="00A8564C">
        <w:rPr>
          <w:lang w:val="es-ES"/>
        </w:rPr>
        <w:t xml:space="preserve"> </w:t>
      </w:r>
      <w:r w:rsidR="00B917FE" w:rsidRPr="00A8564C">
        <w:rPr>
          <w:lang w:val="es-ES"/>
        </w:rPr>
        <w:t>relativa</w:t>
      </w:r>
      <w:r w:rsidR="005741CB" w:rsidRPr="00A8564C">
        <w:rPr>
          <w:lang w:val="es-ES"/>
        </w:rPr>
        <w:t xml:space="preserve"> a la validez de un registro ante un tribunal judicial, que </w:t>
      </w:r>
      <w:r w:rsidR="00704A83" w:rsidRPr="00A8564C">
        <w:rPr>
          <w:lang w:val="es-ES"/>
        </w:rPr>
        <w:t xml:space="preserve">puede </w:t>
      </w:r>
      <w:r w:rsidR="00920B5B" w:rsidRPr="00A8564C">
        <w:rPr>
          <w:lang w:val="es-ES"/>
        </w:rPr>
        <w:t>remitir</w:t>
      </w:r>
      <w:r w:rsidR="005741CB" w:rsidRPr="00A8564C">
        <w:rPr>
          <w:lang w:val="es-ES"/>
        </w:rPr>
        <w:t xml:space="preserve"> el asunto al </w:t>
      </w:r>
      <w:r w:rsidR="00B917FE" w:rsidRPr="00A8564C">
        <w:rPr>
          <w:lang w:val="es-ES"/>
        </w:rPr>
        <w:t>Comisio</w:t>
      </w:r>
      <w:r w:rsidR="0052153D">
        <w:rPr>
          <w:lang w:val="es-ES"/>
        </w:rPr>
        <w:t>nado</w:t>
      </w:r>
      <w:r w:rsidR="00704A83" w:rsidRPr="00A8564C">
        <w:rPr>
          <w:lang w:val="es-ES"/>
        </w:rPr>
        <w:t xml:space="preserve"> para que a</w:t>
      </w:r>
      <w:r w:rsidR="005741CB" w:rsidRPr="00A8564C">
        <w:rPr>
          <w:lang w:val="es-ES"/>
        </w:rPr>
        <w:t>dopt</w:t>
      </w:r>
      <w:r w:rsidR="00704A83" w:rsidRPr="00A8564C">
        <w:rPr>
          <w:lang w:val="es-ES"/>
        </w:rPr>
        <w:t>e</w:t>
      </w:r>
      <w:r w:rsidR="005741CB" w:rsidRPr="00A8564C">
        <w:rPr>
          <w:lang w:val="es-ES"/>
        </w:rPr>
        <w:t xml:space="preserve"> una </w:t>
      </w:r>
      <w:r w:rsidR="00B917FE" w:rsidRPr="00A8564C">
        <w:rPr>
          <w:lang w:val="es-ES"/>
        </w:rPr>
        <w:t>decisión</w:t>
      </w:r>
      <w:r w:rsidR="005741CB" w:rsidRPr="00A8564C">
        <w:rPr>
          <w:lang w:val="es-ES"/>
        </w:rPr>
        <w:t xml:space="preserve"> al respecto</w:t>
      </w:r>
      <w:r w:rsidR="009E7E5E" w:rsidRPr="00A8564C">
        <w:rPr>
          <w:lang w:val="es-ES"/>
        </w:rPr>
        <w:t xml:space="preserve">.  </w:t>
      </w:r>
      <w:r w:rsidR="000B3FA9" w:rsidRPr="00A8564C">
        <w:rPr>
          <w:lang w:val="es-ES"/>
        </w:rPr>
        <w:t>Se puede recurrir</w:t>
      </w:r>
      <w:r w:rsidR="00704A83" w:rsidRPr="00A8564C">
        <w:rPr>
          <w:lang w:val="es-ES"/>
        </w:rPr>
        <w:t xml:space="preserve"> el fallo </w:t>
      </w:r>
      <w:r w:rsidR="000B3FA9" w:rsidRPr="00A8564C">
        <w:rPr>
          <w:lang w:val="es-ES"/>
        </w:rPr>
        <w:t>de l</w:t>
      </w:r>
      <w:r w:rsidR="005741CB" w:rsidRPr="00A8564C">
        <w:rPr>
          <w:lang w:val="es-ES"/>
        </w:rPr>
        <w:t>os tribunal</w:t>
      </w:r>
      <w:r w:rsidR="009043F7" w:rsidRPr="00A8564C">
        <w:rPr>
          <w:lang w:val="es-ES"/>
        </w:rPr>
        <w:t>e</w:t>
      </w:r>
      <w:r w:rsidR="000B3FA9" w:rsidRPr="00A8564C">
        <w:rPr>
          <w:lang w:val="es-ES"/>
        </w:rPr>
        <w:t xml:space="preserve">s de distrito, previa autorización, ante el </w:t>
      </w:r>
      <w:r w:rsidR="005741CB" w:rsidRPr="00A8564C">
        <w:rPr>
          <w:lang w:val="es-ES"/>
        </w:rPr>
        <w:t>Tribunal Supremo</w:t>
      </w:r>
      <w:r w:rsidR="002C70DB" w:rsidRPr="00A8564C">
        <w:rPr>
          <w:lang w:val="es-ES"/>
        </w:rPr>
        <w:t>.</w:t>
      </w:r>
    </w:p>
    <w:p w14:paraId="5EC85A6E" w14:textId="77777777" w:rsidR="002C70DB" w:rsidRPr="00A8564C" w:rsidRDefault="002C70DB" w:rsidP="00A41B96">
      <w:pPr>
        <w:rPr>
          <w:lang w:val="es-ES"/>
        </w:rPr>
      </w:pPr>
    </w:p>
    <w:p w14:paraId="47421F1A" w14:textId="01AC1F36" w:rsidR="002C70DB" w:rsidRPr="00A8564C" w:rsidRDefault="00B917FE" w:rsidP="00A41B96">
      <w:pPr>
        <w:rPr>
          <w:lang w:val="es-ES"/>
        </w:rPr>
      </w:pPr>
      <w:r w:rsidRPr="00A8564C">
        <w:rPr>
          <w:lang w:val="es-ES"/>
        </w:rPr>
        <w:t>Además</w:t>
      </w:r>
      <w:r w:rsidR="005741CB" w:rsidRPr="00A8564C">
        <w:rPr>
          <w:lang w:val="es-ES"/>
        </w:rPr>
        <w:t xml:space="preserve"> del proceso de examen y de </w:t>
      </w:r>
      <w:r w:rsidRPr="00A8564C">
        <w:rPr>
          <w:lang w:val="es-ES"/>
        </w:rPr>
        <w:t>registro</w:t>
      </w:r>
      <w:r w:rsidR="005741CB" w:rsidRPr="00A8564C">
        <w:rPr>
          <w:lang w:val="es-ES"/>
        </w:rPr>
        <w:t xml:space="preserve"> ante la I</w:t>
      </w:r>
      <w:r w:rsidR="002C70DB" w:rsidRPr="00A8564C">
        <w:rPr>
          <w:lang w:val="es-ES"/>
        </w:rPr>
        <w:t xml:space="preserve">LPO, </w:t>
      </w:r>
      <w:r w:rsidR="005741CB" w:rsidRPr="00A8564C">
        <w:rPr>
          <w:lang w:val="es-ES"/>
        </w:rPr>
        <w:t xml:space="preserve">el </w:t>
      </w:r>
      <w:r w:rsidRPr="00A8564C">
        <w:rPr>
          <w:lang w:val="es-ES"/>
        </w:rPr>
        <w:t>Comisio</w:t>
      </w:r>
      <w:r w:rsidR="0052153D">
        <w:rPr>
          <w:lang w:val="es-ES"/>
        </w:rPr>
        <w:t>nado</w:t>
      </w:r>
      <w:r w:rsidR="005741CB" w:rsidRPr="00A8564C">
        <w:rPr>
          <w:lang w:val="es-ES"/>
        </w:rPr>
        <w:t xml:space="preserve"> de </w:t>
      </w:r>
      <w:r w:rsidR="00184BCD" w:rsidRPr="00A8564C">
        <w:rPr>
          <w:lang w:val="es-ES"/>
        </w:rPr>
        <w:t>Patentes</w:t>
      </w:r>
      <w:r w:rsidR="005741CB" w:rsidRPr="00A8564C">
        <w:rPr>
          <w:lang w:val="es-ES"/>
        </w:rPr>
        <w:t xml:space="preserve">, </w:t>
      </w:r>
      <w:r w:rsidRPr="00A8564C">
        <w:rPr>
          <w:lang w:val="es-ES"/>
        </w:rPr>
        <w:t>Di</w:t>
      </w:r>
      <w:r w:rsidR="00704A83" w:rsidRPr="00A8564C">
        <w:rPr>
          <w:lang w:val="es-ES"/>
        </w:rPr>
        <w:t>seños</w:t>
      </w:r>
      <w:r w:rsidR="005741CB" w:rsidRPr="00A8564C">
        <w:rPr>
          <w:lang w:val="es-ES"/>
        </w:rPr>
        <w:t xml:space="preserve"> Industriales y Marcas tiene </w:t>
      </w:r>
      <w:r w:rsidR="00704A83" w:rsidRPr="00A8564C">
        <w:rPr>
          <w:lang w:val="es-ES"/>
        </w:rPr>
        <w:t>facultades</w:t>
      </w:r>
      <w:r w:rsidR="005741CB" w:rsidRPr="00A8564C">
        <w:rPr>
          <w:lang w:val="es-ES"/>
        </w:rPr>
        <w:t xml:space="preserve"> judicial</w:t>
      </w:r>
      <w:r w:rsidR="00704A83" w:rsidRPr="00A8564C">
        <w:rPr>
          <w:lang w:val="es-ES"/>
        </w:rPr>
        <w:t>es</w:t>
      </w:r>
      <w:r w:rsidR="00627733" w:rsidRPr="00A8564C">
        <w:rPr>
          <w:lang w:val="es-ES"/>
        </w:rPr>
        <w:t xml:space="preserve">, </w:t>
      </w:r>
      <w:r w:rsidR="00D34E02" w:rsidRPr="00A8564C">
        <w:rPr>
          <w:lang w:val="es-ES"/>
        </w:rPr>
        <w:t xml:space="preserve">con arreglo a </w:t>
      </w:r>
      <w:r w:rsidR="00627733" w:rsidRPr="00A8564C">
        <w:rPr>
          <w:lang w:val="es-ES"/>
        </w:rPr>
        <w:t>las</w:t>
      </w:r>
      <w:r w:rsidR="005741CB" w:rsidRPr="00A8564C">
        <w:rPr>
          <w:lang w:val="es-ES"/>
        </w:rPr>
        <w:t xml:space="preserve"> leyes y </w:t>
      </w:r>
      <w:r w:rsidR="0052153D">
        <w:rPr>
          <w:lang w:val="es-ES"/>
        </w:rPr>
        <w:t>o</w:t>
      </w:r>
      <w:r w:rsidR="00704A83" w:rsidRPr="00A8564C">
        <w:rPr>
          <w:lang w:val="es-ES"/>
        </w:rPr>
        <w:t>rden</w:t>
      </w:r>
      <w:r w:rsidR="0052153D">
        <w:rPr>
          <w:lang w:val="es-ES"/>
        </w:rPr>
        <w:t>anzas</w:t>
      </w:r>
      <w:r w:rsidR="005741CB" w:rsidRPr="00A8564C">
        <w:rPr>
          <w:lang w:val="es-ES"/>
        </w:rPr>
        <w:t xml:space="preserve"> pertinentes</w:t>
      </w:r>
      <w:r w:rsidR="00627733" w:rsidRPr="00A8564C">
        <w:rPr>
          <w:lang w:val="es-ES"/>
        </w:rPr>
        <w:t xml:space="preserve">, </w:t>
      </w:r>
      <w:r w:rsidR="00D34E02" w:rsidRPr="00A8564C">
        <w:rPr>
          <w:lang w:val="es-ES"/>
        </w:rPr>
        <w:t xml:space="preserve">que atañen al </w:t>
      </w:r>
      <w:r w:rsidR="00E86729" w:rsidRPr="00A8564C">
        <w:rPr>
          <w:lang w:val="es-ES"/>
        </w:rPr>
        <w:t>proceso de ex</w:t>
      </w:r>
      <w:r w:rsidR="005741CB" w:rsidRPr="00A8564C">
        <w:rPr>
          <w:lang w:val="es-ES"/>
        </w:rPr>
        <w:t>amen administrativo</w:t>
      </w:r>
      <w:r w:rsidR="007922DF" w:rsidRPr="00A8564C">
        <w:rPr>
          <w:lang w:val="es-ES"/>
        </w:rPr>
        <w:t xml:space="preserve"> y </w:t>
      </w:r>
      <w:r w:rsidR="00D34E02" w:rsidRPr="00A8564C">
        <w:rPr>
          <w:lang w:val="es-ES"/>
        </w:rPr>
        <w:t>lo completan</w:t>
      </w:r>
      <w:r w:rsidR="009E7E5E" w:rsidRPr="00A8564C">
        <w:rPr>
          <w:lang w:val="es-ES"/>
        </w:rPr>
        <w:t xml:space="preserve">.  </w:t>
      </w:r>
      <w:r w:rsidR="00645740" w:rsidRPr="00A8564C">
        <w:rPr>
          <w:lang w:val="es-ES"/>
        </w:rPr>
        <w:t>L</w:t>
      </w:r>
      <w:r w:rsidR="00E86729" w:rsidRPr="00A8564C">
        <w:rPr>
          <w:lang w:val="es-ES"/>
        </w:rPr>
        <w:t xml:space="preserve">os procedimientos de oposición </w:t>
      </w:r>
      <w:r w:rsidR="009C7054" w:rsidRPr="00A8564C">
        <w:rPr>
          <w:lang w:val="es-ES"/>
        </w:rPr>
        <w:t>previos</w:t>
      </w:r>
      <w:r w:rsidR="00E86729" w:rsidRPr="00A8564C">
        <w:rPr>
          <w:lang w:val="es-ES"/>
        </w:rPr>
        <w:t xml:space="preserve"> al otorgamiento de </w:t>
      </w:r>
      <w:r w:rsidR="009C7054" w:rsidRPr="00A8564C">
        <w:rPr>
          <w:lang w:val="es-ES"/>
        </w:rPr>
        <w:t>una</w:t>
      </w:r>
      <w:r w:rsidR="00E86729" w:rsidRPr="00A8564C">
        <w:rPr>
          <w:lang w:val="es-ES"/>
        </w:rPr>
        <w:t xml:space="preserve"> patente </w:t>
      </w:r>
      <w:r w:rsidR="009C7054" w:rsidRPr="00A8564C">
        <w:rPr>
          <w:lang w:val="es-ES"/>
        </w:rPr>
        <w:t>o</w:t>
      </w:r>
      <w:r w:rsidR="0052153D">
        <w:rPr>
          <w:lang w:val="es-ES"/>
        </w:rPr>
        <w:t xml:space="preserve"> del registro de una</w:t>
      </w:r>
      <w:r w:rsidR="009C7054" w:rsidRPr="00A8564C">
        <w:rPr>
          <w:lang w:val="es-ES"/>
        </w:rPr>
        <w:t xml:space="preserve"> marca</w:t>
      </w:r>
      <w:r w:rsidR="00645740" w:rsidRPr="00A8564C">
        <w:rPr>
          <w:lang w:val="es-ES"/>
        </w:rPr>
        <w:t>, y l</w:t>
      </w:r>
      <w:r w:rsidR="00E86729" w:rsidRPr="00A8564C">
        <w:rPr>
          <w:lang w:val="es-ES"/>
        </w:rPr>
        <w:t xml:space="preserve">os procedimientos de </w:t>
      </w:r>
      <w:r w:rsidRPr="00A8564C">
        <w:rPr>
          <w:lang w:val="es-ES"/>
        </w:rPr>
        <w:t>cancelación</w:t>
      </w:r>
      <w:r w:rsidR="00E86729" w:rsidRPr="00A8564C">
        <w:rPr>
          <w:lang w:val="es-ES"/>
        </w:rPr>
        <w:t xml:space="preserve"> </w:t>
      </w:r>
      <w:r w:rsidR="009C7054" w:rsidRPr="00A8564C">
        <w:rPr>
          <w:lang w:val="es-ES"/>
        </w:rPr>
        <w:t xml:space="preserve">relativos a </w:t>
      </w:r>
      <w:r w:rsidR="00645740" w:rsidRPr="00A8564C">
        <w:rPr>
          <w:lang w:val="es-ES"/>
        </w:rPr>
        <w:t xml:space="preserve">patentes, </w:t>
      </w:r>
      <w:r w:rsidR="009C7054" w:rsidRPr="00A8564C">
        <w:rPr>
          <w:lang w:val="es-ES"/>
        </w:rPr>
        <w:t>diseños</w:t>
      </w:r>
      <w:r w:rsidR="00113BB5" w:rsidRPr="00A8564C">
        <w:rPr>
          <w:lang w:val="es-ES"/>
        </w:rPr>
        <w:t xml:space="preserve"> </w:t>
      </w:r>
      <w:r w:rsidRPr="00A8564C">
        <w:rPr>
          <w:lang w:val="es-ES"/>
        </w:rPr>
        <w:t>industriales</w:t>
      </w:r>
      <w:r w:rsidR="00645740" w:rsidRPr="00A8564C">
        <w:rPr>
          <w:lang w:val="es-ES"/>
        </w:rPr>
        <w:t xml:space="preserve"> y marcas tienen lugar en la </w:t>
      </w:r>
      <w:r w:rsidR="002C70DB" w:rsidRPr="00A8564C">
        <w:rPr>
          <w:lang w:val="es-ES"/>
        </w:rPr>
        <w:t>ILPO</w:t>
      </w:r>
      <w:r w:rsidR="00645740" w:rsidRPr="00A8564C">
        <w:rPr>
          <w:lang w:val="es-ES"/>
        </w:rPr>
        <w:t xml:space="preserve">.  El </w:t>
      </w:r>
      <w:r w:rsidR="0052153D">
        <w:rPr>
          <w:lang w:val="es-ES"/>
        </w:rPr>
        <w:t>Comisionado</w:t>
      </w:r>
      <w:r w:rsidR="00645740" w:rsidRPr="00A8564C">
        <w:rPr>
          <w:lang w:val="es-ES"/>
        </w:rPr>
        <w:t xml:space="preserve"> </w:t>
      </w:r>
      <w:r w:rsidRPr="00A8564C">
        <w:rPr>
          <w:lang w:val="es-ES"/>
        </w:rPr>
        <w:t>también</w:t>
      </w:r>
      <w:r w:rsidR="00645740" w:rsidRPr="00A8564C">
        <w:rPr>
          <w:lang w:val="es-ES"/>
        </w:rPr>
        <w:t xml:space="preserve"> preside </w:t>
      </w:r>
      <w:r w:rsidR="00F424D6">
        <w:rPr>
          <w:lang w:val="es-ES"/>
        </w:rPr>
        <w:t xml:space="preserve">los procedimientos de recurso </w:t>
      </w:r>
      <w:r w:rsidR="00F424D6" w:rsidRPr="00F424D6">
        <w:rPr>
          <w:i/>
          <w:lang w:val="es-ES"/>
        </w:rPr>
        <w:t xml:space="preserve">ex </w:t>
      </w:r>
      <w:r w:rsidR="00F424D6" w:rsidRPr="00F424D6">
        <w:rPr>
          <w:i/>
          <w:lang w:val="es-ES"/>
        </w:rPr>
        <w:lastRenderedPageBreak/>
        <w:t>parte</w:t>
      </w:r>
      <w:r w:rsidR="00F424D6">
        <w:rPr>
          <w:lang w:val="es-ES"/>
        </w:rPr>
        <w:t xml:space="preserve"> de</w:t>
      </w:r>
      <w:r w:rsidR="00645740" w:rsidRPr="00A8564C">
        <w:rPr>
          <w:lang w:val="es-ES"/>
        </w:rPr>
        <w:t xml:space="preserve"> </w:t>
      </w:r>
      <w:r w:rsidRPr="00A8564C">
        <w:rPr>
          <w:lang w:val="es-ES"/>
        </w:rPr>
        <w:t>decisiones</w:t>
      </w:r>
      <w:r w:rsidR="00645740" w:rsidRPr="00A8564C">
        <w:rPr>
          <w:lang w:val="es-ES"/>
        </w:rPr>
        <w:t xml:space="preserve"> </w:t>
      </w:r>
      <w:r w:rsidR="00F424D6">
        <w:rPr>
          <w:lang w:val="es-ES"/>
        </w:rPr>
        <w:t>adoptadas por</w:t>
      </w:r>
      <w:r w:rsidR="00645740" w:rsidRPr="00A8564C">
        <w:rPr>
          <w:lang w:val="es-ES"/>
        </w:rPr>
        <w:t xml:space="preserve"> los examinadores</w:t>
      </w:r>
      <w:r w:rsidR="009E7E5E" w:rsidRPr="00A8564C">
        <w:rPr>
          <w:lang w:val="es-ES"/>
        </w:rPr>
        <w:t xml:space="preserve">.  </w:t>
      </w:r>
      <w:r w:rsidR="00645740" w:rsidRPr="00A8564C">
        <w:rPr>
          <w:lang w:val="es-ES"/>
        </w:rPr>
        <w:t xml:space="preserve">Las decisiones </w:t>
      </w:r>
      <w:r w:rsidR="009C7054" w:rsidRPr="00A8564C">
        <w:rPr>
          <w:lang w:val="es-ES"/>
        </w:rPr>
        <w:t>emitidas</w:t>
      </w:r>
      <w:r w:rsidR="00645740" w:rsidRPr="00A8564C">
        <w:rPr>
          <w:lang w:val="es-ES"/>
        </w:rPr>
        <w:t xml:space="preserve"> por el </w:t>
      </w:r>
      <w:r w:rsidR="0052153D">
        <w:rPr>
          <w:lang w:val="es-ES"/>
        </w:rPr>
        <w:t>Comisionado</w:t>
      </w:r>
      <w:r w:rsidR="00645740" w:rsidRPr="00A8564C">
        <w:rPr>
          <w:lang w:val="es-ES"/>
        </w:rPr>
        <w:t xml:space="preserve"> pueden ser </w:t>
      </w:r>
      <w:r w:rsidRPr="00A8564C">
        <w:rPr>
          <w:lang w:val="es-ES"/>
        </w:rPr>
        <w:t>recurridas</w:t>
      </w:r>
      <w:r w:rsidR="00645740" w:rsidRPr="00A8564C">
        <w:rPr>
          <w:lang w:val="es-ES"/>
        </w:rPr>
        <w:t xml:space="preserve"> ante el tribunal de distrito</w:t>
      </w:r>
      <w:r w:rsidR="002C70DB" w:rsidRPr="00A8564C">
        <w:rPr>
          <w:lang w:val="es-ES"/>
        </w:rPr>
        <w:t>.</w:t>
      </w:r>
    </w:p>
    <w:p w14:paraId="4EB00CEC" w14:textId="77777777" w:rsidR="002C70DB" w:rsidRPr="00A8564C" w:rsidRDefault="002C70DB" w:rsidP="00A41B96">
      <w:pPr>
        <w:rPr>
          <w:lang w:val="es-ES"/>
        </w:rPr>
      </w:pPr>
    </w:p>
    <w:p w14:paraId="52ECA9D4" w14:textId="595B2BF3" w:rsidR="002C70DB" w:rsidRPr="00A8564C" w:rsidRDefault="002C70DB" w:rsidP="00A41B96">
      <w:pPr>
        <w:rPr>
          <w:lang w:val="es-ES"/>
        </w:rPr>
      </w:pPr>
      <w:r w:rsidRPr="00A8564C">
        <w:rPr>
          <w:lang w:val="es-ES"/>
        </w:rPr>
        <w:t xml:space="preserve">Israel </w:t>
      </w:r>
      <w:r w:rsidR="00B917FE" w:rsidRPr="00A8564C">
        <w:rPr>
          <w:lang w:val="es-ES"/>
        </w:rPr>
        <w:t>también</w:t>
      </w:r>
      <w:r w:rsidR="00F8354E" w:rsidRPr="00A8564C">
        <w:rPr>
          <w:lang w:val="es-ES"/>
        </w:rPr>
        <w:t xml:space="preserve"> cuenta con un eficaz </w:t>
      </w:r>
      <w:r w:rsidR="009C7054" w:rsidRPr="00A8564C">
        <w:rPr>
          <w:lang w:val="es-ES"/>
        </w:rPr>
        <w:t>mecanismo</w:t>
      </w:r>
      <w:r w:rsidR="00F8354E" w:rsidRPr="00A8564C">
        <w:rPr>
          <w:lang w:val="es-ES"/>
        </w:rPr>
        <w:t xml:space="preserve"> de </w:t>
      </w:r>
      <w:r w:rsidR="00B917FE" w:rsidRPr="00A8564C">
        <w:rPr>
          <w:lang w:val="es-ES"/>
        </w:rPr>
        <w:t>observancia</w:t>
      </w:r>
      <w:r w:rsidR="00F8354E" w:rsidRPr="00A8564C">
        <w:rPr>
          <w:lang w:val="es-ES"/>
        </w:rPr>
        <w:t xml:space="preserve"> </w:t>
      </w:r>
      <w:r w:rsidR="00E86729" w:rsidRPr="00A8564C">
        <w:rPr>
          <w:lang w:val="es-ES"/>
        </w:rPr>
        <w:t xml:space="preserve">en </w:t>
      </w:r>
      <w:r w:rsidR="009C7054" w:rsidRPr="00A8564C">
        <w:rPr>
          <w:lang w:val="es-ES"/>
        </w:rPr>
        <w:t xml:space="preserve">el </w:t>
      </w:r>
      <w:r w:rsidR="00025911" w:rsidRPr="00A8564C">
        <w:rPr>
          <w:lang w:val="es-ES"/>
        </w:rPr>
        <w:t>ámbito</w:t>
      </w:r>
      <w:r w:rsidR="00E86729" w:rsidRPr="00A8564C">
        <w:rPr>
          <w:lang w:val="es-ES"/>
        </w:rPr>
        <w:t xml:space="preserve"> de</w:t>
      </w:r>
      <w:r w:rsidR="00F8354E" w:rsidRPr="00A8564C">
        <w:rPr>
          <w:lang w:val="es-ES"/>
        </w:rPr>
        <w:t xml:space="preserve">l </w:t>
      </w:r>
      <w:r w:rsidR="00B917FE" w:rsidRPr="00A8564C">
        <w:rPr>
          <w:lang w:val="es-ES"/>
        </w:rPr>
        <w:t>derecho</w:t>
      </w:r>
      <w:r w:rsidR="00F8354E" w:rsidRPr="00A8564C">
        <w:rPr>
          <w:lang w:val="es-ES"/>
        </w:rPr>
        <w:t xml:space="preserve"> de autor.  En la Ley de Derecho de Autor de </w:t>
      </w:r>
      <w:r w:rsidRPr="00A8564C">
        <w:rPr>
          <w:lang w:val="es-ES"/>
        </w:rPr>
        <w:t xml:space="preserve">2007 </w:t>
      </w:r>
      <w:r w:rsidR="00F8354E" w:rsidRPr="00A8564C">
        <w:rPr>
          <w:lang w:val="es-ES"/>
        </w:rPr>
        <w:t xml:space="preserve">se establece la </w:t>
      </w:r>
      <w:r w:rsidR="00B917FE" w:rsidRPr="00A8564C">
        <w:rPr>
          <w:lang w:val="es-ES"/>
        </w:rPr>
        <w:t>responsabilidad</w:t>
      </w:r>
      <w:r w:rsidR="00F8354E" w:rsidRPr="00A8564C">
        <w:rPr>
          <w:lang w:val="es-ES"/>
        </w:rPr>
        <w:t xml:space="preserve"> penal</w:t>
      </w:r>
      <w:r w:rsidRPr="00A8564C">
        <w:rPr>
          <w:rStyle w:val="FootnoteReference"/>
          <w:sz w:val="24"/>
          <w:szCs w:val="24"/>
          <w:lang w:val="es-ES"/>
        </w:rPr>
        <w:footnoteReference w:id="4"/>
      </w:r>
      <w:r w:rsidRPr="00A8564C">
        <w:rPr>
          <w:lang w:val="es-ES"/>
        </w:rPr>
        <w:t xml:space="preserve"> </w:t>
      </w:r>
      <w:r w:rsidR="00F8354E" w:rsidRPr="00A8564C">
        <w:rPr>
          <w:lang w:val="es-ES"/>
        </w:rPr>
        <w:t>respect</w:t>
      </w:r>
      <w:r w:rsidR="00E86729" w:rsidRPr="00A8564C">
        <w:rPr>
          <w:lang w:val="es-ES"/>
        </w:rPr>
        <w:t>o</w:t>
      </w:r>
      <w:r w:rsidR="00F8354E" w:rsidRPr="00A8564C">
        <w:rPr>
          <w:lang w:val="es-ES"/>
        </w:rPr>
        <w:t xml:space="preserve"> de diversos delitos previstos en la ley</w:t>
      </w:r>
      <w:r w:rsidR="00025911" w:rsidRPr="00A8564C">
        <w:rPr>
          <w:lang w:val="es-ES"/>
        </w:rPr>
        <w:t xml:space="preserve"> relacionados </w:t>
      </w:r>
      <w:r w:rsidR="00F8354E" w:rsidRPr="00A8564C">
        <w:rPr>
          <w:lang w:val="es-ES"/>
        </w:rPr>
        <w:t xml:space="preserve">con la </w:t>
      </w:r>
      <w:r w:rsidR="00025911" w:rsidRPr="00A8564C">
        <w:rPr>
          <w:lang w:val="es-ES"/>
        </w:rPr>
        <w:t>vulneración</w:t>
      </w:r>
      <w:r w:rsidR="00F8354E" w:rsidRPr="00A8564C">
        <w:rPr>
          <w:lang w:val="es-ES"/>
        </w:rPr>
        <w:t xml:space="preserve"> deliberada del derecho de autor en </w:t>
      </w:r>
      <w:r w:rsidR="00025911" w:rsidRPr="00A8564C">
        <w:rPr>
          <w:lang w:val="es-ES"/>
        </w:rPr>
        <w:t>la esfera comercial</w:t>
      </w:r>
      <w:r w:rsidRPr="00A8564C">
        <w:rPr>
          <w:rtl/>
          <w:lang w:val="es-ES"/>
        </w:rPr>
        <w:t>.</w:t>
      </w:r>
      <w:r w:rsidRPr="00A8564C">
        <w:rPr>
          <w:lang w:val="es-ES"/>
        </w:rPr>
        <w:t xml:space="preserve"> </w:t>
      </w:r>
    </w:p>
    <w:p w14:paraId="5C3BF9AA" w14:textId="77777777" w:rsidR="002C70DB" w:rsidRPr="00A8564C" w:rsidRDefault="002C70DB" w:rsidP="00A41B96">
      <w:pPr>
        <w:rPr>
          <w:lang w:val="es-ES"/>
        </w:rPr>
      </w:pPr>
    </w:p>
    <w:p w14:paraId="03E5CBD3" w14:textId="0E05DCB1" w:rsidR="002C70DB" w:rsidRPr="00A8564C" w:rsidRDefault="00A41B96" w:rsidP="00A41B96">
      <w:pPr>
        <w:pStyle w:val="Heading3"/>
        <w:rPr>
          <w:lang w:val="es-ES"/>
        </w:rPr>
      </w:pPr>
      <w:r w:rsidRPr="00A8564C">
        <w:rPr>
          <w:lang w:val="es-ES"/>
        </w:rPr>
        <w:t>1.2.2.</w:t>
      </w:r>
      <w:r w:rsidRPr="00A8564C">
        <w:rPr>
          <w:lang w:val="es-ES"/>
        </w:rPr>
        <w:tab/>
      </w:r>
      <w:r w:rsidR="00170975">
        <w:rPr>
          <w:lang w:val="es-ES"/>
        </w:rPr>
        <w:t>F</w:t>
      </w:r>
      <w:r w:rsidR="00025911" w:rsidRPr="00A8564C">
        <w:rPr>
          <w:lang w:val="es-ES"/>
        </w:rPr>
        <w:t xml:space="preserve">unción de </w:t>
      </w:r>
      <w:r w:rsidR="002C70DB" w:rsidRPr="00A8564C">
        <w:rPr>
          <w:lang w:val="es-ES"/>
        </w:rPr>
        <w:t xml:space="preserve">Israel </w:t>
      </w:r>
      <w:r w:rsidR="00025911" w:rsidRPr="00A8564C">
        <w:rPr>
          <w:lang w:val="es-ES"/>
        </w:rPr>
        <w:t>como Estado c</w:t>
      </w:r>
      <w:r w:rsidR="00F8354E" w:rsidRPr="00A8564C">
        <w:rPr>
          <w:lang w:val="es-ES"/>
        </w:rPr>
        <w:t>on</w:t>
      </w:r>
      <w:r w:rsidR="00BF6E62" w:rsidRPr="00A8564C">
        <w:rPr>
          <w:lang w:val="es-ES"/>
        </w:rPr>
        <w:t>tratante</w:t>
      </w:r>
      <w:r w:rsidR="00F8354E" w:rsidRPr="00A8564C">
        <w:rPr>
          <w:lang w:val="es-ES"/>
        </w:rPr>
        <w:t xml:space="preserve"> de tr</w:t>
      </w:r>
      <w:r w:rsidR="00E86729" w:rsidRPr="00A8564C">
        <w:rPr>
          <w:lang w:val="es-ES"/>
        </w:rPr>
        <w:t>atados</w:t>
      </w:r>
      <w:r w:rsidR="00F8354E" w:rsidRPr="00A8564C">
        <w:rPr>
          <w:lang w:val="es-ES"/>
        </w:rPr>
        <w:t xml:space="preserve"> internacionales en materia de </w:t>
      </w:r>
      <w:r w:rsidR="00184BCD" w:rsidRPr="00A8564C">
        <w:rPr>
          <w:lang w:val="es-ES"/>
        </w:rPr>
        <w:t>P.I.</w:t>
      </w:r>
    </w:p>
    <w:p w14:paraId="21C901B2" w14:textId="77777777" w:rsidR="002C70DB" w:rsidRPr="00A8564C" w:rsidRDefault="002C70DB" w:rsidP="00A41B96">
      <w:pPr>
        <w:rPr>
          <w:lang w:val="es-ES"/>
        </w:rPr>
      </w:pPr>
    </w:p>
    <w:p w14:paraId="3752CB4D" w14:textId="36C70329" w:rsidR="002C70DB" w:rsidRPr="00A8564C" w:rsidRDefault="001571A7" w:rsidP="00A41B96">
      <w:pPr>
        <w:rPr>
          <w:lang w:val="es-ES"/>
        </w:rPr>
      </w:pPr>
      <w:r w:rsidRPr="00A8564C">
        <w:rPr>
          <w:lang w:val="es-ES"/>
        </w:rPr>
        <w:t>Con el</w:t>
      </w:r>
      <w:r w:rsidR="00F8354E" w:rsidRPr="00A8564C">
        <w:rPr>
          <w:lang w:val="es-ES"/>
        </w:rPr>
        <w:t xml:space="preserve"> fin de ampliar y mejorar los servicios prestados por la </w:t>
      </w:r>
      <w:r w:rsidR="002C70DB" w:rsidRPr="00A8564C">
        <w:rPr>
          <w:lang w:val="es-ES"/>
        </w:rPr>
        <w:t xml:space="preserve">ILPO </w:t>
      </w:r>
      <w:r w:rsidR="00F8354E" w:rsidRPr="00A8564C">
        <w:rPr>
          <w:lang w:val="es-ES"/>
        </w:rPr>
        <w:t>a los u</w:t>
      </w:r>
      <w:r w:rsidR="00184BCD" w:rsidRPr="00A8564C">
        <w:rPr>
          <w:lang w:val="es-ES"/>
        </w:rPr>
        <w:t>suarios de la P.I.</w:t>
      </w:r>
      <w:r w:rsidR="00F8354E" w:rsidRPr="00A8564C">
        <w:rPr>
          <w:lang w:val="es-ES"/>
        </w:rPr>
        <w:t xml:space="preserve"> y </w:t>
      </w:r>
      <w:r w:rsidR="002C70DB" w:rsidRPr="00A8564C">
        <w:rPr>
          <w:lang w:val="es-ES"/>
        </w:rPr>
        <w:t xml:space="preserve"> </w:t>
      </w:r>
      <w:r w:rsidRPr="00A8564C">
        <w:rPr>
          <w:lang w:val="es-ES"/>
        </w:rPr>
        <w:t>ser un socio act</w:t>
      </w:r>
      <w:r w:rsidR="00C95BCC" w:rsidRPr="00A8564C">
        <w:rPr>
          <w:lang w:val="es-ES"/>
        </w:rPr>
        <w:t xml:space="preserve">ivo </w:t>
      </w:r>
      <w:r w:rsidRPr="00A8564C">
        <w:rPr>
          <w:lang w:val="es-ES"/>
        </w:rPr>
        <w:t xml:space="preserve">de la comunidad </w:t>
      </w:r>
      <w:r w:rsidR="00BF6E62" w:rsidRPr="00A8564C">
        <w:rPr>
          <w:lang w:val="es-ES"/>
        </w:rPr>
        <w:t>internacional</w:t>
      </w:r>
      <w:r w:rsidRPr="00A8564C">
        <w:rPr>
          <w:lang w:val="es-ES"/>
        </w:rPr>
        <w:t xml:space="preserve"> </w:t>
      </w:r>
      <w:r w:rsidR="00025911" w:rsidRPr="00A8564C">
        <w:rPr>
          <w:lang w:val="es-ES"/>
        </w:rPr>
        <w:t xml:space="preserve">en </w:t>
      </w:r>
      <w:r w:rsidRPr="00A8564C">
        <w:rPr>
          <w:lang w:val="es-ES"/>
        </w:rPr>
        <w:t xml:space="preserve">el </w:t>
      </w:r>
      <w:r w:rsidR="00672F4E" w:rsidRPr="00A8564C">
        <w:rPr>
          <w:lang w:val="es-ES"/>
        </w:rPr>
        <w:t xml:space="preserve">sistema </w:t>
      </w:r>
      <w:r w:rsidRPr="00A8564C">
        <w:rPr>
          <w:lang w:val="es-ES"/>
        </w:rPr>
        <w:t xml:space="preserve">de la </w:t>
      </w:r>
      <w:r w:rsidR="00184BCD" w:rsidRPr="00A8564C">
        <w:rPr>
          <w:lang w:val="es-ES"/>
        </w:rPr>
        <w:t>P.I.</w:t>
      </w:r>
      <w:r w:rsidR="002C70DB" w:rsidRPr="00A8564C">
        <w:rPr>
          <w:lang w:val="es-ES"/>
        </w:rPr>
        <w:t xml:space="preserve">, Israel </w:t>
      </w:r>
      <w:r w:rsidRPr="00A8564C">
        <w:rPr>
          <w:lang w:val="es-ES"/>
        </w:rPr>
        <w:t xml:space="preserve">se ha adherido a </w:t>
      </w:r>
      <w:r w:rsidR="00BF6E62" w:rsidRPr="00A8564C">
        <w:rPr>
          <w:lang w:val="es-ES"/>
        </w:rPr>
        <w:t>diversos</w:t>
      </w:r>
      <w:r w:rsidRPr="00A8564C">
        <w:rPr>
          <w:lang w:val="es-ES"/>
        </w:rPr>
        <w:t xml:space="preserve"> tratados in</w:t>
      </w:r>
      <w:r w:rsidR="00BF6E62" w:rsidRPr="00A8564C">
        <w:rPr>
          <w:lang w:val="es-ES"/>
        </w:rPr>
        <w:t>ternacionales</w:t>
      </w:r>
      <w:r w:rsidRPr="00A8564C">
        <w:rPr>
          <w:lang w:val="es-ES"/>
        </w:rPr>
        <w:t xml:space="preserve"> relativos a la </w:t>
      </w:r>
      <w:r w:rsidR="00184BCD" w:rsidRPr="00A8564C">
        <w:rPr>
          <w:lang w:val="es-ES"/>
        </w:rPr>
        <w:t>P.I.</w:t>
      </w:r>
      <w:r w:rsidRPr="00A8564C">
        <w:rPr>
          <w:lang w:val="es-ES"/>
        </w:rPr>
        <w:t>,</w:t>
      </w:r>
      <w:r w:rsidR="002C70DB" w:rsidRPr="00A8564C">
        <w:rPr>
          <w:rStyle w:val="FootnoteReference"/>
          <w:sz w:val="24"/>
          <w:szCs w:val="24"/>
          <w:lang w:val="es-ES"/>
        </w:rPr>
        <w:footnoteReference w:id="5"/>
      </w:r>
      <w:r w:rsidRPr="00A8564C">
        <w:rPr>
          <w:lang w:val="es-ES"/>
        </w:rPr>
        <w:t xml:space="preserve"> </w:t>
      </w:r>
      <w:r w:rsidR="00025911" w:rsidRPr="00A8564C">
        <w:rPr>
          <w:lang w:val="es-ES"/>
        </w:rPr>
        <w:t xml:space="preserve">a saber, </w:t>
      </w:r>
      <w:r w:rsidRPr="00A8564C">
        <w:rPr>
          <w:lang w:val="es-ES"/>
        </w:rPr>
        <w:t xml:space="preserve">el Convenio de </w:t>
      </w:r>
      <w:r w:rsidR="002C70DB" w:rsidRPr="00A8564C">
        <w:rPr>
          <w:lang w:val="es-ES"/>
        </w:rPr>
        <w:t>Par</w:t>
      </w:r>
      <w:r w:rsidRPr="00A8564C">
        <w:rPr>
          <w:lang w:val="es-ES"/>
        </w:rPr>
        <w:t>ís</w:t>
      </w:r>
      <w:r w:rsidR="002C70DB" w:rsidRPr="00A8564C">
        <w:rPr>
          <w:lang w:val="es-ES"/>
        </w:rPr>
        <w:t>,</w:t>
      </w:r>
      <w:r w:rsidR="002C70DB" w:rsidRPr="00A8564C" w:rsidDel="001B7092">
        <w:rPr>
          <w:lang w:val="es-ES"/>
        </w:rPr>
        <w:t xml:space="preserve"> </w:t>
      </w:r>
      <w:r w:rsidRPr="00A8564C">
        <w:rPr>
          <w:lang w:val="es-ES"/>
        </w:rPr>
        <w:t xml:space="preserve">el </w:t>
      </w:r>
      <w:r w:rsidR="002C70DB" w:rsidRPr="00A8564C">
        <w:rPr>
          <w:lang w:val="es-ES"/>
        </w:rPr>
        <w:t xml:space="preserve">PCT, </w:t>
      </w:r>
      <w:r w:rsidR="007B1505" w:rsidRPr="00A8564C">
        <w:rPr>
          <w:lang w:val="es-ES"/>
        </w:rPr>
        <w:t>el Arreglo de Estrasburgo relativo a la Clasificación Internacional de Patentes, el Acuerdo sobre</w:t>
      </w:r>
      <w:r w:rsidR="002C70DB" w:rsidRPr="00A8564C">
        <w:rPr>
          <w:lang w:val="es-ES"/>
        </w:rPr>
        <w:t xml:space="preserve"> </w:t>
      </w:r>
      <w:r w:rsidR="00025911" w:rsidRPr="00A8564C">
        <w:rPr>
          <w:lang w:val="es-ES"/>
        </w:rPr>
        <w:t>los Aspectos de los Derechos de Propiedad Intelectual relacionados con el C</w:t>
      </w:r>
      <w:r w:rsidR="007B1505" w:rsidRPr="00A8564C">
        <w:rPr>
          <w:lang w:val="es-ES"/>
        </w:rPr>
        <w:t>omercio (</w:t>
      </w:r>
      <w:r w:rsidRPr="00A8564C">
        <w:rPr>
          <w:lang w:val="es-ES"/>
        </w:rPr>
        <w:t xml:space="preserve">Acuerdo </w:t>
      </w:r>
      <w:r w:rsidR="007B1505" w:rsidRPr="00A8564C">
        <w:rPr>
          <w:lang w:val="es-ES"/>
        </w:rPr>
        <w:t xml:space="preserve">sobre </w:t>
      </w:r>
      <w:r w:rsidRPr="00A8564C">
        <w:rPr>
          <w:lang w:val="es-ES"/>
        </w:rPr>
        <w:t xml:space="preserve">los ADPIC) de la </w:t>
      </w:r>
      <w:r w:rsidR="00BF6E62" w:rsidRPr="00A8564C">
        <w:rPr>
          <w:lang w:val="es-ES"/>
        </w:rPr>
        <w:t>Organización</w:t>
      </w:r>
      <w:r w:rsidRPr="00A8564C">
        <w:rPr>
          <w:lang w:val="es-ES"/>
        </w:rPr>
        <w:t xml:space="preserve"> Mundial del Comercio</w:t>
      </w:r>
      <w:r w:rsidR="002C70DB" w:rsidRPr="00A8564C">
        <w:rPr>
          <w:lang w:val="es-ES"/>
        </w:rPr>
        <w:t xml:space="preserve"> (</w:t>
      </w:r>
      <w:r w:rsidRPr="00A8564C">
        <w:rPr>
          <w:lang w:val="es-ES"/>
        </w:rPr>
        <w:t xml:space="preserve">OMC), el </w:t>
      </w:r>
      <w:r w:rsidR="007B1505" w:rsidRPr="00A8564C">
        <w:rPr>
          <w:lang w:val="es-ES"/>
        </w:rPr>
        <w:t>Tratado de Budapest sobre el Reconocimiento Internacional del Depósito de Microorganismos a los fines del Procedimiento en materia de Patentes</w:t>
      </w:r>
      <w:r w:rsidR="002C70DB" w:rsidRPr="00A8564C">
        <w:rPr>
          <w:lang w:val="es-ES"/>
        </w:rPr>
        <w:t xml:space="preserve">, </w:t>
      </w:r>
      <w:r w:rsidR="007B1505" w:rsidRPr="00A8564C">
        <w:rPr>
          <w:lang w:val="es-ES"/>
        </w:rPr>
        <w:t xml:space="preserve">el Arreglo de Madrid y del Protocolo de Madrid, </w:t>
      </w:r>
      <w:r w:rsidR="002C70DB" w:rsidRPr="00A8564C">
        <w:rPr>
          <w:lang w:val="es-ES"/>
        </w:rPr>
        <w:t xml:space="preserve"> </w:t>
      </w:r>
      <w:r w:rsidR="007B1505" w:rsidRPr="00A8564C">
        <w:rPr>
          <w:lang w:val="es-ES"/>
        </w:rPr>
        <w:t>el Arreglo de Lisboa relativo a la Protección de las Denominaciones de Origen</w:t>
      </w:r>
      <w:r w:rsidR="009E7E5E" w:rsidRPr="00A8564C">
        <w:rPr>
          <w:lang w:val="es-ES"/>
        </w:rPr>
        <w:t xml:space="preserve">.  </w:t>
      </w:r>
      <w:r w:rsidRPr="00A8564C">
        <w:rPr>
          <w:lang w:val="es-ES"/>
        </w:rPr>
        <w:t xml:space="preserve">El año </w:t>
      </w:r>
      <w:r w:rsidR="00BF6E62" w:rsidRPr="00A8564C">
        <w:rPr>
          <w:lang w:val="es-ES"/>
        </w:rPr>
        <w:t>próximo</w:t>
      </w:r>
      <w:r w:rsidRPr="00A8564C">
        <w:rPr>
          <w:lang w:val="es-ES"/>
        </w:rPr>
        <w:t xml:space="preserve">, </w:t>
      </w:r>
      <w:r w:rsidR="002C70DB" w:rsidRPr="00A8564C">
        <w:rPr>
          <w:lang w:val="es-ES"/>
        </w:rPr>
        <w:t>Israel</w:t>
      </w:r>
      <w:r w:rsidRPr="00A8564C">
        <w:rPr>
          <w:lang w:val="es-ES"/>
        </w:rPr>
        <w:t xml:space="preserve"> tiene previsto adherirse al </w:t>
      </w:r>
      <w:r w:rsidR="00113BB5" w:rsidRPr="00A8564C">
        <w:rPr>
          <w:lang w:val="es-ES"/>
        </w:rPr>
        <w:t>Arreglo de La Haya relativo al registro internacional de dibujos y modelos industriales</w:t>
      </w:r>
      <w:r w:rsidR="002C70DB" w:rsidRPr="00A8564C">
        <w:rPr>
          <w:lang w:val="es-ES"/>
        </w:rPr>
        <w:t xml:space="preserve">. </w:t>
      </w:r>
    </w:p>
    <w:p w14:paraId="7E4E274E" w14:textId="77777777" w:rsidR="002C70DB" w:rsidRPr="00A8564C" w:rsidRDefault="002C70DB" w:rsidP="00A41B96">
      <w:pPr>
        <w:rPr>
          <w:lang w:val="es-ES"/>
        </w:rPr>
      </w:pPr>
    </w:p>
    <w:p w14:paraId="1746CF7A" w14:textId="7D057FA7" w:rsidR="002C70DB" w:rsidRPr="00A8564C" w:rsidRDefault="00A41B96" w:rsidP="00A41B96">
      <w:pPr>
        <w:pStyle w:val="Heading2"/>
        <w:rPr>
          <w:rFonts w:eastAsia="Times New Roman"/>
          <w:lang w:val="es-ES"/>
        </w:rPr>
      </w:pPr>
      <w:r w:rsidRPr="00A8564C">
        <w:rPr>
          <w:lang w:val="es-ES"/>
        </w:rPr>
        <w:t>1.3</w:t>
      </w:r>
      <w:r w:rsidRPr="00A8564C">
        <w:rPr>
          <w:lang w:val="es-ES"/>
        </w:rPr>
        <w:tab/>
        <w:t>I</w:t>
      </w:r>
      <w:r w:rsidR="002C70DB" w:rsidRPr="00A8564C">
        <w:rPr>
          <w:lang w:val="es-ES"/>
        </w:rPr>
        <w:t xml:space="preserve">srael </w:t>
      </w:r>
      <w:r w:rsidR="001571A7" w:rsidRPr="00A8564C">
        <w:rPr>
          <w:lang w:val="es-ES"/>
        </w:rPr>
        <w:t xml:space="preserve">como </w:t>
      </w:r>
      <w:r w:rsidR="00BF6E62" w:rsidRPr="00A8564C">
        <w:rPr>
          <w:lang w:val="es-ES"/>
        </w:rPr>
        <w:t>plataforma</w:t>
      </w:r>
      <w:r w:rsidR="001571A7" w:rsidRPr="00A8564C">
        <w:rPr>
          <w:lang w:val="es-ES"/>
        </w:rPr>
        <w:t xml:space="preserve"> de la </w:t>
      </w:r>
      <w:r w:rsidR="00BF6E62" w:rsidRPr="00A8564C">
        <w:rPr>
          <w:lang w:val="es-ES"/>
        </w:rPr>
        <w:t>innovación</w:t>
      </w:r>
      <w:r w:rsidR="002C70DB" w:rsidRPr="00A8564C">
        <w:rPr>
          <w:lang w:val="es-ES"/>
        </w:rPr>
        <w:t xml:space="preserve"> </w:t>
      </w:r>
    </w:p>
    <w:p w14:paraId="129243C7" w14:textId="77777777" w:rsidR="002C70DB" w:rsidRPr="00A8564C" w:rsidRDefault="002C70DB" w:rsidP="00A41B96">
      <w:pPr>
        <w:rPr>
          <w:lang w:val="es-ES"/>
        </w:rPr>
      </w:pPr>
    </w:p>
    <w:p w14:paraId="103EF593" w14:textId="79630F29" w:rsidR="002C70DB" w:rsidRPr="00A8564C" w:rsidRDefault="00A41B96" w:rsidP="00A41B96">
      <w:pPr>
        <w:pStyle w:val="Heading3"/>
        <w:rPr>
          <w:lang w:val="es-ES"/>
        </w:rPr>
      </w:pPr>
      <w:r w:rsidRPr="00A8564C">
        <w:rPr>
          <w:lang w:val="es-ES"/>
        </w:rPr>
        <w:t>1.3.1.</w:t>
      </w:r>
      <w:r w:rsidRPr="00A8564C">
        <w:rPr>
          <w:lang w:val="es-ES"/>
        </w:rPr>
        <w:tab/>
      </w:r>
      <w:r w:rsidR="001571A7" w:rsidRPr="00A8564C">
        <w:rPr>
          <w:lang w:val="es-ES"/>
        </w:rPr>
        <w:t xml:space="preserve">Aspectos </w:t>
      </w:r>
      <w:r w:rsidR="00BF6E62" w:rsidRPr="00A8564C">
        <w:rPr>
          <w:lang w:val="es-ES"/>
        </w:rPr>
        <w:t>económicos</w:t>
      </w:r>
      <w:r w:rsidR="001571A7" w:rsidRPr="00A8564C">
        <w:rPr>
          <w:lang w:val="es-ES"/>
        </w:rPr>
        <w:t xml:space="preserve"> </w:t>
      </w:r>
      <w:r w:rsidR="00BF6E62" w:rsidRPr="00A8564C">
        <w:rPr>
          <w:lang w:val="es-ES"/>
        </w:rPr>
        <w:t>relacionados</w:t>
      </w:r>
      <w:r w:rsidR="001571A7" w:rsidRPr="00A8564C">
        <w:rPr>
          <w:lang w:val="es-ES"/>
        </w:rPr>
        <w:t xml:space="preserve"> con la P.I. en Israel</w:t>
      </w:r>
    </w:p>
    <w:p w14:paraId="5A5FB86E" w14:textId="77777777" w:rsidR="002C70DB" w:rsidRPr="00A8564C" w:rsidRDefault="002C70DB" w:rsidP="00A41B96">
      <w:pPr>
        <w:rPr>
          <w:lang w:val="es-ES"/>
        </w:rPr>
      </w:pPr>
    </w:p>
    <w:p w14:paraId="25333E5C" w14:textId="31475632" w:rsidR="002C70DB" w:rsidRPr="00A8564C" w:rsidRDefault="00113BB5" w:rsidP="00A41B96">
      <w:pPr>
        <w:rPr>
          <w:lang w:val="es-ES"/>
        </w:rPr>
      </w:pPr>
      <w:r w:rsidRPr="00A8564C">
        <w:rPr>
          <w:lang w:val="es-ES"/>
        </w:rPr>
        <w:t xml:space="preserve">La economía de </w:t>
      </w:r>
      <w:r w:rsidR="002C70DB" w:rsidRPr="00A8564C">
        <w:rPr>
          <w:lang w:val="es-ES"/>
        </w:rPr>
        <w:t>Israel</w:t>
      </w:r>
      <w:r w:rsidR="00025911" w:rsidRPr="00A8564C">
        <w:rPr>
          <w:lang w:val="es-ES"/>
        </w:rPr>
        <w:t xml:space="preserve"> es</w:t>
      </w:r>
      <w:r w:rsidRPr="00A8564C">
        <w:rPr>
          <w:lang w:val="es-ES"/>
        </w:rPr>
        <w:t xml:space="preserve"> impulsada por la </w:t>
      </w:r>
      <w:r w:rsidR="00025911" w:rsidRPr="00A8564C">
        <w:rPr>
          <w:lang w:val="es-ES"/>
        </w:rPr>
        <w:t xml:space="preserve">innovación.  Israel </w:t>
      </w:r>
      <w:r w:rsidRPr="00A8564C">
        <w:rPr>
          <w:lang w:val="es-ES"/>
        </w:rPr>
        <w:t xml:space="preserve">es </w:t>
      </w:r>
      <w:r w:rsidR="00BF6E62" w:rsidRPr="00A8564C">
        <w:rPr>
          <w:lang w:val="es-ES"/>
        </w:rPr>
        <w:t>líder</w:t>
      </w:r>
      <w:r w:rsidR="001571A7" w:rsidRPr="00A8564C">
        <w:rPr>
          <w:lang w:val="es-ES"/>
        </w:rPr>
        <w:t xml:space="preserve"> mundial en los sectores de la </w:t>
      </w:r>
      <w:r w:rsidR="00BF6E62" w:rsidRPr="00A8564C">
        <w:rPr>
          <w:lang w:val="es-ES"/>
        </w:rPr>
        <w:t>tecnología</w:t>
      </w:r>
      <w:r w:rsidR="001571A7" w:rsidRPr="00A8564C">
        <w:rPr>
          <w:lang w:val="es-ES"/>
        </w:rPr>
        <w:t xml:space="preserve"> </w:t>
      </w:r>
      <w:r w:rsidRPr="00A8564C">
        <w:rPr>
          <w:lang w:val="es-ES"/>
        </w:rPr>
        <w:t xml:space="preserve">avanzada </w:t>
      </w:r>
      <w:r w:rsidR="001571A7" w:rsidRPr="00A8564C">
        <w:rPr>
          <w:lang w:val="es-ES"/>
        </w:rPr>
        <w:t xml:space="preserve">y las </w:t>
      </w:r>
      <w:r w:rsidR="00BF6E62" w:rsidRPr="00A8564C">
        <w:rPr>
          <w:lang w:val="es-ES"/>
        </w:rPr>
        <w:t>biotecnologías</w:t>
      </w:r>
      <w:r w:rsidR="009E7E5E" w:rsidRPr="00A8564C">
        <w:rPr>
          <w:lang w:val="es-ES"/>
        </w:rPr>
        <w:t xml:space="preserve">.  </w:t>
      </w:r>
      <w:r w:rsidR="00025911" w:rsidRPr="00A8564C">
        <w:rPr>
          <w:lang w:val="es-ES"/>
        </w:rPr>
        <w:t>Es</w:t>
      </w:r>
      <w:r w:rsidR="001571A7" w:rsidRPr="00A8564C">
        <w:rPr>
          <w:lang w:val="es-ES"/>
        </w:rPr>
        <w:t xml:space="preserve"> un </w:t>
      </w:r>
      <w:r w:rsidR="00BF6E62" w:rsidRPr="00A8564C">
        <w:rPr>
          <w:lang w:val="es-ES"/>
        </w:rPr>
        <w:t>país</w:t>
      </w:r>
      <w:r w:rsidR="001571A7" w:rsidRPr="00A8564C">
        <w:rPr>
          <w:lang w:val="es-ES"/>
        </w:rPr>
        <w:t xml:space="preserve"> desarrollado, </w:t>
      </w:r>
      <w:r w:rsidR="00025911" w:rsidRPr="00A8564C">
        <w:rPr>
          <w:lang w:val="es-ES"/>
        </w:rPr>
        <w:t>m</w:t>
      </w:r>
      <w:r w:rsidR="00BF6E62" w:rsidRPr="00A8564C">
        <w:rPr>
          <w:lang w:val="es-ES"/>
        </w:rPr>
        <w:t>iembro</w:t>
      </w:r>
      <w:r w:rsidR="001571A7" w:rsidRPr="00A8564C">
        <w:rPr>
          <w:lang w:val="es-ES"/>
        </w:rPr>
        <w:t xml:space="preserve"> de la OCDE</w:t>
      </w:r>
      <w:r w:rsidR="002C70DB" w:rsidRPr="00A8564C">
        <w:rPr>
          <w:lang w:val="es-ES"/>
        </w:rPr>
        <w:t xml:space="preserve">, </w:t>
      </w:r>
      <w:r w:rsidRPr="00A8564C">
        <w:rPr>
          <w:lang w:val="es-ES"/>
        </w:rPr>
        <w:t>y</w:t>
      </w:r>
      <w:r w:rsidR="00025911" w:rsidRPr="00A8564C">
        <w:rPr>
          <w:lang w:val="es-ES"/>
        </w:rPr>
        <w:t>,</w:t>
      </w:r>
      <w:r w:rsidRPr="00A8564C">
        <w:rPr>
          <w:lang w:val="es-ES"/>
        </w:rPr>
        <w:t xml:space="preserve"> desde 2015</w:t>
      </w:r>
      <w:r w:rsidR="00025911" w:rsidRPr="00A8564C">
        <w:rPr>
          <w:lang w:val="es-ES"/>
        </w:rPr>
        <w:t>,</w:t>
      </w:r>
      <w:r w:rsidRPr="00A8564C">
        <w:rPr>
          <w:lang w:val="es-ES"/>
        </w:rPr>
        <w:t xml:space="preserve"> es </w:t>
      </w:r>
      <w:r w:rsidR="001571A7" w:rsidRPr="00A8564C">
        <w:rPr>
          <w:lang w:val="es-ES"/>
        </w:rPr>
        <w:t xml:space="preserve">la 34ª </w:t>
      </w:r>
      <w:r w:rsidR="00BF6E62" w:rsidRPr="00A8564C">
        <w:rPr>
          <w:lang w:val="es-ES"/>
        </w:rPr>
        <w:t>economía</w:t>
      </w:r>
      <w:r w:rsidR="001571A7" w:rsidRPr="00A8564C">
        <w:rPr>
          <w:lang w:val="es-ES"/>
        </w:rPr>
        <w:t xml:space="preserve"> </w:t>
      </w:r>
      <w:r w:rsidR="00BF6E62" w:rsidRPr="00A8564C">
        <w:rPr>
          <w:lang w:val="es-ES"/>
        </w:rPr>
        <w:t>más</w:t>
      </w:r>
      <w:r w:rsidR="001571A7" w:rsidRPr="00A8564C">
        <w:rPr>
          <w:lang w:val="es-ES"/>
        </w:rPr>
        <w:t xml:space="preserve"> grande del mundo por producto interno bruto nominal.</w:t>
      </w:r>
      <w:r w:rsidR="002C70DB" w:rsidRPr="00A8564C">
        <w:rPr>
          <w:rStyle w:val="FootnoteReference"/>
          <w:rFonts w:eastAsia="Times New Roman"/>
          <w:sz w:val="24"/>
          <w:szCs w:val="24"/>
          <w:lang w:val="es-ES"/>
        </w:rPr>
        <w:footnoteReference w:id="6"/>
      </w:r>
      <w:r w:rsidR="002C70DB" w:rsidRPr="00A8564C">
        <w:rPr>
          <w:lang w:val="es-ES"/>
        </w:rPr>
        <w:t xml:space="preserve"> </w:t>
      </w:r>
    </w:p>
    <w:p w14:paraId="39EC2690" w14:textId="77777777" w:rsidR="002C70DB" w:rsidRPr="00A8564C" w:rsidRDefault="002C70DB" w:rsidP="00A41B96">
      <w:pPr>
        <w:rPr>
          <w:lang w:val="es-ES"/>
        </w:rPr>
      </w:pPr>
    </w:p>
    <w:p w14:paraId="27841A9C" w14:textId="217AF6E9" w:rsidR="002C70DB" w:rsidRPr="00A8564C" w:rsidRDefault="002C70DB" w:rsidP="00A41B96">
      <w:pPr>
        <w:rPr>
          <w:lang w:val="es-ES"/>
        </w:rPr>
      </w:pPr>
      <w:r w:rsidRPr="00A8564C">
        <w:rPr>
          <w:lang w:val="es-ES"/>
        </w:rPr>
        <w:t xml:space="preserve">Israel </w:t>
      </w:r>
      <w:r w:rsidR="001571A7" w:rsidRPr="00A8564C">
        <w:rPr>
          <w:lang w:val="es-ES"/>
        </w:rPr>
        <w:t>ocupa el 24º</w:t>
      </w:r>
      <w:r w:rsidR="00C86597" w:rsidRPr="00A8564C">
        <w:rPr>
          <w:lang w:val="es-ES"/>
        </w:rPr>
        <w:t xml:space="preserve"> puesto</w:t>
      </w:r>
      <w:r w:rsidR="001571A7" w:rsidRPr="00A8564C">
        <w:rPr>
          <w:lang w:val="es-ES"/>
        </w:rPr>
        <w:t xml:space="preserve"> en el </w:t>
      </w:r>
      <w:r w:rsidR="00BF6E62" w:rsidRPr="00A8564C">
        <w:rPr>
          <w:lang w:val="es-ES"/>
        </w:rPr>
        <w:t>Índice</w:t>
      </w:r>
      <w:r w:rsidR="001571A7" w:rsidRPr="00A8564C">
        <w:rPr>
          <w:lang w:val="es-ES"/>
        </w:rPr>
        <w:t xml:space="preserve"> </w:t>
      </w:r>
      <w:r w:rsidR="00113BB5" w:rsidRPr="00A8564C">
        <w:rPr>
          <w:lang w:val="es-ES"/>
        </w:rPr>
        <w:t xml:space="preserve">de </w:t>
      </w:r>
      <w:r w:rsidR="001571A7" w:rsidRPr="00A8564C">
        <w:rPr>
          <w:lang w:val="es-ES"/>
        </w:rPr>
        <w:t xml:space="preserve">Competitividad </w:t>
      </w:r>
      <w:r w:rsidR="00113BB5" w:rsidRPr="00A8564C">
        <w:rPr>
          <w:lang w:val="es-ES"/>
        </w:rPr>
        <w:t xml:space="preserve">Global 2016-2017, elaborado por </w:t>
      </w:r>
      <w:r w:rsidR="00BF6E62" w:rsidRPr="00A8564C">
        <w:rPr>
          <w:lang w:val="es-ES"/>
        </w:rPr>
        <w:t>el Foro</w:t>
      </w:r>
      <w:r w:rsidR="00113BB5" w:rsidRPr="00A8564C">
        <w:rPr>
          <w:lang w:val="es-ES"/>
        </w:rPr>
        <w:t xml:space="preserve"> Eco</w:t>
      </w:r>
      <w:r w:rsidR="00BF6E62" w:rsidRPr="00A8564C">
        <w:rPr>
          <w:lang w:val="es-ES"/>
        </w:rPr>
        <w:t>nó</w:t>
      </w:r>
      <w:r w:rsidR="00113BB5" w:rsidRPr="00A8564C">
        <w:rPr>
          <w:lang w:val="es-ES"/>
        </w:rPr>
        <w:t xml:space="preserve">mico </w:t>
      </w:r>
      <w:r w:rsidR="00BF6E62" w:rsidRPr="00A8564C">
        <w:rPr>
          <w:lang w:val="es-ES"/>
        </w:rPr>
        <w:t>Mundial</w:t>
      </w:r>
      <w:r w:rsidR="00C86597" w:rsidRPr="00A8564C">
        <w:rPr>
          <w:lang w:val="es-ES"/>
        </w:rPr>
        <w:t>.</w:t>
      </w:r>
      <w:r w:rsidRPr="00A8564C">
        <w:rPr>
          <w:rStyle w:val="FootnoteReference"/>
          <w:rFonts w:eastAsia="Times New Roman"/>
          <w:sz w:val="24"/>
          <w:szCs w:val="24"/>
          <w:lang w:val="es-ES"/>
        </w:rPr>
        <w:footnoteReference w:id="7"/>
      </w:r>
      <w:r w:rsidR="00C86597" w:rsidRPr="00A8564C">
        <w:rPr>
          <w:lang w:val="es-ES"/>
        </w:rPr>
        <w:t xml:space="preserve">  Ocupó el 18º puesto d</w:t>
      </w:r>
      <w:r w:rsidR="001571A7" w:rsidRPr="00A8564C">
        <w:rPr>
          <w:lang w:val="es-ES"/>
        </w:rPr>
        <w:t xml:space="preserve">e un total de </w:t>
      </w:r>
      <w:r w:rsidRPr="00A8564C">
        <w:rPr>
          <w:lang w:val="es-ES"/>
        </w:rPr>
        <w:t>188</w:t>
      </w:r>
      <w:r w:rsidR="00113BB5" w:rsidRPr="00A8564C">
        <w:rPr>
          <w:lang w:val="es-ES"/>
        </w:rPr>
        <w:t xml:space="preserve"> </w:t>
      </w:r>
      <w:r w:rsidR="00BF6E62" w:rsidRPr="00A8564C">
        <w:rPr>
          <w:lang w:val="es-ES"/>
        </w:rPr>
        <w:t>países</w:t>
      </w:r>
      <w:r w:rsidR="00113BB5" w:rsidRPr="00A8564C">
        <w:rPr>
          <w:lang w:val="es-ES"/>
        </w:rPr>
        <w:t xml:space="preserve"> </w:t>
      </w:r>
      <w:r w:rsidR="001571A7" w:rsidRPr="00A8564C">
        <w:rPr>
          <w:lang w:val="es-ES"/>
        </w:rPr>
        <w:t xml:space="preserve">en el </w:t>
      </w:r>
      <w:r w:rsidR="00BF6E62" w:rsidRPr="00A8564C">
        <w:rPr>
          <w:lang w:val="es-ES"/>
        </w:rPr>
        <w:t>Índice</w:t>
      </w:r>
      <w:r w:rsidR="001571A7" w:rsidRPr="00A8564C">
        <w:rPr>
          <w:lang w:val="es-ES"/>
        </w:rPr>
        <w:t xml:space="preserve"> de Desarrollo Humano de las Naciones Unidas</w:t>
      </w:r>
      <w:r w:rsidR="00113BB5" w:rsidRPr="00A8564C">
        <w:rPr>
          <w:lang w:val="es-ES"/>
        </w:rPr>
        <w:t xml:space="preserve"> </w:t>
      </w:r>
      <w:r w:rsidR="00C86597" w:rsidRPr="00A8564C">
        <w:rPr>
          <w:lang w:val="es-ES"/>
        </w:rPr>
        <w:t>de</w:t>
      </w:r>
      <w:r w:rsidR="00113BB5" w:rsidRPr="00A8564C">
        <w:rPr>
          <w:lang w:val="es-ES"/>
        </w:rPr>
        <w:t xml:space="preserve"> 2015</w:t>
      </w:r>
      <w:r w:rsidR="00E02485" w:rsidRPr="00A8564C">
        <w:rPr>
          <w:lang w:val="es-ES"/>
        </w:rPr>
        <w:t>,</w:t>
      </w:r>
      <w:r w:rsidRPr="00A8564C">
        <w:rPr>
          <w:rStyle w:val="FootnoteReference"/>
          <w:rFonts w:eastAsia="Times New Roman"/>
          <w:sz w:val="24"/>
          <w:szCs w:val="24"/>
          <w:lang w:val="es-ES"/>
        </w:rPr>
        <w:footnoteReference w:id="8"/>
      </w:r>
      <w:r w:rsidRPr="00A8564C">
        <w:rPr>
          <w:lang w:val="es-ES"/>
        </w:rPr>
        <w:t xml:space="preserve"> </w:t>
      </w:r>
      <w:r w:rsidR="00E20B40" w:rsidRPr="00A8564C">
        <w:rPr>
          <w:lang w:val="es-ES"/>
        </w:rPr>
        <w:t xml:space="preserve">que sitúa a Israel en la </w:t>
      </w:r>
      <w:r w:rsidR="00BF6E62" w:rsidRPr="00A8564C">
        <w:rPr>
          <w:lang w:val="es-ES"/>
        </w:rPr>
        <w:t>categoría</w:t>
      </w:r>
      <w:r w:rsidR="00E20B40" w:rsidRPr="00A8564C">
        <w:rPr>
          <w:lang w:val="es-ES"/>
        </w:rPr>
        <w:t xml:space="preserve"> de los </w:t>
      </w:r>
      <w:r w:rsidR="00BF6E62" w:rsidRPr="00A8564C">
        <w:rPr>
          <w:lang w:val="es-ES"/>
        </w:rPr>
        <w:t>países</w:t>
      </w:r>
      <w:r w:rsidR="00C86597" w:rsidRPr="00A8564C">
        <w:rPr>
          <w:lang w:val="es-ES"/>
        </w:rPr>
        <w:t xml:space="preserve"> de</w:t>
      </w:r>
      <w:r w:rsidR="00E20B40" w:rsidRPr="00A8564C">
        <w:rPr>
          <w:lang w:val="es-ES"/>
        </w:rPr>
        <w:t xml:space="preserve"> </w:t>
      </w:r>
      <w:r w:rsidRPr="00A8564C">
        <w:rPr>
          <w:lang w:val="es-ES"/>
        </w:rPr>
        <w:t>"</w:t>
      </w:r>
      <w:r w:rsidR="00C86597" w:rsidRPr="00A8564C">
        <w:rPr>
          <w:lang w:val="es-ES"/>
        </w:rPr>
        <w:t>Desarrollo Muy Alto</w:t>
      </w:r>
      <w:r w:rsidRPr="00A8564C">
        <w:rPr>
          <w:lang w:val="es-ES"/>
        </w:rPr>
        <w:t xml:space="preserve">"; </w:t>
      </w:r>
      <w:r w:rsidR="00E20B40" w:rsidRPr="00A8564C">
        <w:rPr>
          <w:lang w:val="es-ES"/>
        </w:rPr>
        <w:t xml:space="preserve">y la 21ª </w:t>
      </w:r>
      <w:r w:rsidR="00BF6E62" w:rsidRPr="00A8564C">
        <w:rPr>
          <w:lang w:val="es-ES"/>
        </w:rPr>
        <w:t>economía</w:t>
      </w:r>
      <w:r w:rsidR="00E20B40" w:rsidRPr="00A8564C">
        <w:rPr>
          <w:lang w:val="es-ES"/>
        </w:rPr>
        <w:t xml:space="preserve"> </w:t>
      </w:r>
      <w:r w:rsidR="00C86597" w:rsidRPr="00A8564C">
        <w:rPr>
          <w:lang w:val="es-ES"/>
        </w:rPr>
        <w:t>más</w:t>
      </w:r>
      <w:r w:rsidR="00E20B40" w:rsidRPr="00A8564C">
        <w:rPr>
          <w:lang w:val="es-ES"/>
        </w:rPr>
        <w:t xml:space="preserve"> </w:t>
      </w:r>
      <w:r w:rsidR="00BF6E62" w:rsidRPr="00A8564C">
        <w:rPr>
          <w:lang w:val="es-ES"/>
        </w:rPr>
        <w:t>competitiva</w:t>
      </w:r>
      <w:r w:rsidR="00E20B40" w:rsidRPr="00A8564C">
        <w:rPr>
          <w:lang w:val="es-ES"/>
        </w:rPr>
        <w:t xml:space="preserve"> </w:t>
      </w:r>
      <w:r w:rsidR="00C86597" w:rsidRPr="00A8564C">
        <w:rPr>
          <w:lang w:val="es-ES"/>
        </w:rPr>
        <w:t xml:space="preserve">del mundo </w:t>
      </w:r>
      <w:r w:rsidR="00BF6E62" w:rsidRPr="00A8564C">
        <w:rPr>
          <w:lang w:val="es-ES"/>
        </w:rPr>
        <w:t>según</w:t>
      </w:r>
      <w:r w:rsidR="00E20B40" w:rsidRPr="00A8564C">
        <w:rPr>
          <w:lang w:val="es-ES"/>
        </w:rPr>
        <w:t xml:space="preserve"> la </w:t>
      </w:r>
      <w:r w:rsidR="00814EF6" w:rsidRPr="00A8564C">
        <w:rPr>
          <w:lang w:val="es-ES"/>
        </w:rPr>
        <w:t xml:space="preserve">clasificación mundial de competitividad del IMD </w:t>
      </w:r>
      <w:r w:rsidR="00E20B40" w:rsidRPr="00A8564C">
        <w:rPr>
          <w:lang w:val="es-ES"/>
        </w:rPr>
        <w:t>para</w:t>
      </w:r>
      <w:r w:rsidRPr="00A8564C">
        <w:rPr>
          <w:lang w:val="es-ES"/>
        </w:rPr>
        <w:t xml:space="preserve"> 2016</w:t>
      </w:r>
      <w:r w:rsidR="00C86597" w:rsidRPr="00A8564C">
        <w:rPr>
          <w:lang w:val="es-ES"/>
        </w:rPr>
        <w:t>.</w:t>
      </w:r>
      <w:r w:rsidRPr="00A8564C">
        <w:rPr>
          <w:rStyle w:val="FootnoteReference"/>
          <w:rFonts w:eastAsia="Times New Roman"/>
          <w:sz w:val="24"/>
          <w:szCs w:val="24"/>
          <w:lang w:val="es-ES"/>
        </w:rPr>
        <w:footnoteReference w:id="9"/>
      </w:r>
      <w:r w:rsidRPr="00A8564C">
        <w:rPr>
          <w:lang w:val="es-ES"/>
        </w:rPr>
        <w:t xml:space="preserve"> </w:t>
      </w:r>
    </w:p>
    <w:p w14:paraId="11FDAA1E" w14:textId="77777777" w:rsidR="002C70DB" w:rsidRPr="00A8564C" w:rsidRDefault="002C70DB" w:rsidP="00A41B96">
      <w:pPr>
        <w:rPr>
          <w:lang w:val="es-ES"/>
        </w:rPr>
      </w:pPr>
    </w:p>
    <w:p w14:paraId="4B73F366" w14:textId="682E125B" w:rsidR="002C70DB" w:rsidRPr="00A8564C" w:rsidRDefault="00E20B40" w:rsidP="003259B1">
      <w:pPr>
        <w:pStyle w:val="Heading4"/>
        <w:rPr>
          <w:lang w:val="es-ES"/>
        </w:rPr>
      </w:pPr>
      <w:r w:rsidRPr="00A8564C">
        <w:rPr>
          <w:lang w:val="es-ES"/>
        </w:rPr>
        <w:t xml:space="preserve">El PIB </w:t>
      </w:r>
      <w:r w:rsidR="002C70DB" w:rsidRPr="00A8564C">
        <w:rPr>
          <w:lang w:val="es-ES"/>
        </w:rPr>
        <w:t xml:space="preserve">per </w:t>
      </w:r>
      <w:r w:rsidR="00BF6E62" w:rsidRPr="00A8564C">
        <w:rPr>
          <w:lang w:val="es-ES"/>
        </w:rPr>
        <w:t>cápita</w:t>
      </w:r>
      <w:r w:rsidR="002C70DB" w:rsidRPr="00A8564C">
        <w:rPr>
          <w:lang w:val="es-ES"/>
        </w:rPr>
        <w:t xml:space="preserve"> </w:t>
      </w:r>
      <w:r w:rsidRPr="00A8564C">
        <w:rPr>
          <w:lang w:val="es-ES"/>
        </w:rPr>
        <w:t>y el gasto nacional en I+D</w:t>
      </w:r>
      <w:r w:rsidR="002C70DB" w:rsidRPr="00A8564C">
        <w:rPr>
          <w:lang w:val="es-ES"/>
        </w:rPr>
        <w:t xml:space="preserve"> </w:t>
      </w:r>
      <w:r w:rsidR="00E02485" w:rsidRPr="00A8564C">
        <w:rPr>
          <w:lang w:val="es-ES"/>
        </w:rPr>
        <w:t xml:space="preserve">estimado </w:t>
      </w:r>
      <w:r w:rsidR="002C70DB" w:rsidRPr="00A8564C">
        <w:rPr>
          <w:lang w:val="es-ES"/>
        </w:rPr>
        <w:t xml:space="preserve">(% </w:t>
      </w:r>
      <w:r w:rsidRPr="00A8564C">
        <w:rPr>
          <w:lang w:val="es-ES"/>
        </w:rPr>
        <w:t>del PIB</w:t>
      </w:r>
      <w:r w:rsidR="002C70DB" w:rsidRPr="00A8564C">
        <w:rPr>
          <w:lang w:val="es-ES"/>
        </w:rPr>
        <w:t>):</w:t>
      </w:r>
    </w:p>
    <w:p w14:paraId="3A4D7A3B" w14:textId="2F5C9DC5" w:rsidR="002C70DB" w:rsidRPr="00A8564C" w:rsidRDefault="002C70DB" w:rsidP="00DE4453">
      <w:pPr>
        <w:rPr>
          <w:lang w:val="es-ES"/>
        </w:rPr>
      </w:pPr>
    </w:p>
    <w:p w14:paraId="4956EBAC" w14:textId="55886D98" w:rsidR="002C70DB" w:rsidRPr="00A8564C" w:rsidRDefault="006E73A7" w:rsidP="00DE4453">
      <w:pPr>
        <w:rPr>
          <w:i/>
          <w:iCs/>
          <w:lang w:val="es-ES"/>
        </w:rPr>
      </w:pPr>
      <w:r w:rsidRPr="00A8564C">
        <w:rPr>
          <w:lang w:val="es-ES"/>
        </w:rPr>
        <w:t xml:space="preserve">El Producto Interno Bruto </w:t>
      </w:r>
      <w:r w:rsidR="002C70DB" w:rsidRPr="00A8564C">
        <w:rPr>
          <w:lang w:val="es-ES"/>
        </w:rPr>
        <w:t>(</w:t>
      </w:r>
      <w:r w:rsidRPr="00A8564C">
        <w:rPr>
          <w:lang w:val="es-ES"/>
        </w:rPr>
        <w:t>PIB</w:t>
      </w:r>
      <w:r w:rsidR="002C70DB" w:rsidRPr="00A8564C">
        <w:rPr>
          <w:lang w:val="es-ES"/>
        </w:rPr>
        <w:t xml:space="preserve">) </w:t>
      </w:r>
      <w:r w:rsidR="00170975">
        <w:rPr>
          <w:lang w:val="es-ES"/>
        </w:rPr>
        <w:t>d</w:t>
      </w:r>
      <w:r w:rsidRPr="00A8564C">
        <w:rPr>
          <w:lang w:val="es-ES"/>
        </w:rPr>
        <w:t>e</w:t>
      </w:r>
      <w:r w:rsidR="002C70DB" w:rsidRPr="00A8564C">
        <w:rPr>
          <w:lang w:val="es-ES"/>
        </w:rPr>
        <w:t xml:space="preserve"> Israel </w:t>
      </w:r>
      <w:r w:rsidRPr="00A8564C">
        <w:rPr>
          <w:lang w:val="es-ES"/>
        </w:rPr>
        <w:t xml:space="preserve">ascendió a </w:t>
      </w:r>
      <w:r w:rsidR="002C70DB" w:rsidRPr="00A8564C">
        <w:rPr>
          <w:lang w:val="es-ES"/>
        </w:rPr>
        <w:t>299.4</w:t>
      </w:r>
      <w:r w:rsidRPr="00A8564C">
        <w:rPr>
          <w:lang w:val="es-ES"/>
        </w:rPr>
        <w:t xml:space="preserve">00 millones de </w:t>
      </w:r>
      <w:r w:rsidR="00BF6E62" w:rsidRPr="00A8564C">
        <w:rPr>
          <w:lang w:val="es-ES"/>
        </w:rPr>
        <w:t>dólares</w:t>
      </w:r>
      <w:r w:rsidR="00A759C3">
        <w:rPr>
          <w:lang w:val="es-ES"/>
        </w:rPr>
        <w:t xml:space="preserve"> de EE.UU. en </w:t>
      </w:r>
      <w:r w:rsidR="002C70DB" w:rsidRPr="00A8564C">
        <w:rPr>
          <w:lang w:val="es-ES"/>
        </w:rPr>
        <w:t>2015</w:t>
      </w:r>
      <w:r w:rsidR="002C70DB" w:rsidRPr="00A8564C">
        <w:rPr>
          <w:rStyle w:val="FootnoteReference"/>
          <w:sz w:val="24"/>
          <w:szCs w:val="24"/>
          <w:lang w:val="es-ES"/>
        </w:rPr>
        <w:footnoteReference w:id="10"/>
      </w:r>
      <w:r w:rsidRPr="00A8564C">
        <w:rPr>
          <w:lang w:val="es-ES"/>
        </w:rPr>
        <w:t>.  El valor por PIB</w:t>
      </w:r>
      <w:r w:rsidR="002C70DB" w:rsidRPr="00A8564C">
        <w:rPr>
          <w:lang w:val="es-ES"/>
        </w:rPr>
        <w:t xml:space="preserve"> </w:t>
      </w:r>
      <w:r w:rsidRPr="00A8564C">
        <w:rPr>
          <w:lang w:val="es-ES"/>
        </w:rPr>
        <w:t>de</w:t>
      </w:r>
      <w:r w:rsidR="002C70DB" w:rsidRPr="00A8564C">
        <w:rPr>
          <w:lang w:val="es-ES"/>
        </w:rPr>
        <w:t xml:space="preserve"> Israel represent</w:t>
      </w:r>
      <w:r w:rsidRPr="00A8564C">
        <w:rPr>
          <w:lang w:val="es-ES"/>
        </w:rPr>
        <w:t xml:space="preserve">a el </w:t>
      </w:r>
      <w:r w:rsidR="002C70DB" w:rsidRPr="00A8564C">
        <w:rPr>
          <w:lang w:val="es-ES"/>
        </w:rPr>
        <w:t>0</w:t>
      </w:r>
      <w:r w:rsidRPr="00A8564C">
        <w:rPr>
          <w:lang w:val="es-ES"/>
        </w:rPr>
        <w:t>,</w:t>
      </w:r>
      <w:r w:rsidR="002C70DB" w:rsidRPr="00A8564C">
        <w:rPr>
          <w:lang w:val="es-ES"/>
        </w:rPr>
        <w:t>48</w:t>
      </w:r>
      <w:r w:rsidR="00170975">
        <w:rPr>
          <w:lang w:val="es-ES"/>
        </w:rPr>
        <w:t>%</w:t>
      </w:r>
      <w:r w:rsidRPr="00A8564C">
        <w:rPr>
          <w:lang w:val="es-ES"/>
        </w:rPr>
        <w:t xml:space="preserve"> de la </w:t>
      </w:r>
      <w:r w:rsidR="00BF6E62" w:rsidRPr="00A8564C">
        <w:rPr>
          <w:lang w:val="es-ES"/>
        </w:rPr>
        <w:t>economía</w:t>
      </w:r>
      <w:r w:rsidRPr="00A8564C">
        <w:rPr>
          <w:lang w:val="es-ES"/>
        </w:rPr>
        <w:t xml:space="preserve"> mundial</w:t>
      </w:r>
      <w:r w:rsidR="002C70DB" w:rsidRPr="00A8564C">
        <w:rPr>
          <w:lang w:val="es-ES"/>
        </w:rPr>
        <w:t xml:space="preserve">. </w:t>
      </w:r>
    </w:p>
    <w:p w14:paraId="269BEED7" w14:textId="0F1D5ED1" w:rsidR="00DE4453" w:rsidRPr="00A8564C" w:rsidRDefault="00DE4453" w:rsidP="00814EF6">
      <w:pPr>
        <w:tabs>
          <w:tab w:val="left" w:pos="3260"/>
        </w:tabs>
        <w:rPr>
          <w:lang w:val="es-ES"/>
        </w:rPr>
      </w:pPr>
    </w:p>
    <w:p w14:paraId="47268147" w14:textId="74CB4001" w:rsidR="002C70DB" w:rsidRPr="00A8564C" w:rsidRDefault="0048294B" w:rsidP="00DE4453">
      <w:pPr>
        <w:rPr>
          <w:lang w:val="es-ES"/>
        </w:rPr>
      </w:pPr>
      <w:r w:rsidRPr="00A8564C">
        <w:rPr>
          <w:lang w:val="es-ES"/>
        </w:rPr>
        <w:t xml:space="preserve">Según el Banco Mundial, el PIB por habitante de </w:t>
      </w:r>
      <w:r w:rsidR="002C70DB" w:rsidRPr="00A8564C">
        <w:rPr>
          <w:lang w:val="es-ES"/>
        </w:rPr>
        <w:t>Israel</w:t>
      </w:r>
      <w:r w:rsidRPr="00A8564C">
        <w:rPr>
          <w:lang w:val="es-ES"/>
        </w:rPr>
        <w:t xml:space="preserve"> registrado en 2015 ascendió a </w:t>
      </w:r>
      <w:r w:rsidR="002C70DB" w:rsidRPr="00A8564C">
        <w:rPr>
          <w:lang w:val="es-ES"/>
        </w:rPr>
        <w:t>36</w:t>
      </w:r>
      <w:r w:rsidRPr="00A8564C">
        <w:rPr>
          <w:lang w:val="es-ES"/>
        </w:rPr>
        <w:t>.</w:t>
      </w:r>
      <w:r w:rsidR="002C70DB" w:rsidRPr="00A8564C">
        <w:rPr>
          <w:lang w:val="es-ES"/>
        </w:rPr>
        <w:t>575</w:t>
      </w:r>
      <w:r w:rsidRPr="00A8564C">
        <w:rPr>
          <w:lang w:val="es-ES"/>
        </w:rPr>
        <w:t>,</w:t>
      </w:r>
      <w:r w:rsidR="002C70DB" w:rsidRPr="00A8564C">
        <w:rPr>
          <w:lang w:val="es-ES"/>
        </w:rPr>
        <w:t xml:space="preserve">9 </w:t>
      </w:r>
      <w:r w:rsidR="00BF6E62" w:rsidRPr="00A8564C">
        <w:rPr>
          <w:lang w:val="es-ES"/>
        </w:rPr>
        <w:t>dólares</w:t>
      </w:r>
      <w:r w:rsidRPr="00A8564C">
        <w:rPr>
          <w:lang w:val="es-ES"/>
        </w:rPr>
        <w:t xml:space="preserve"> de EE.UU.</w:t>
      </w:r>
      <w:r w:rsidR="002C70DB" w:rsidRPr="00A8564C">
        <w:rPr>
          <w:rStyle w:val="FootnoteReference"/>
          <w:sz w:val="24"/>
          <w:szCs w:val="24"/>
          <w:lang w:val="es-ES"/>
        </w:rPr>
        <w:footnoteReference w:id="11"/>
      </w:r>
      <w:r w:rsidR="002C70DB" w:rsidRPr="00A8564C">
        <w:rPr>
          <w:lang w:val="es-ES"/>
        </w:rPr>
        <w:t xml:space="preserve"> </w:t>
      </w:r>
      <w:r w:rsidRPr="00A8564C">
        <w:rPr>
          <w:lang w:val="es-ES"/>
        </w:rPr>
        <w:t xml:space="preserve">y </w:t>
      </w:r>
      <w:r w:rsidR="00BF6E62" w:rsidRPr="00A8564C">
        <w:rPr>
          <w:lang w:val="es-ES"/>
        </w:rPr>
        <w:t>el</w:t>
      </w:r>
      <w:r w:rsidRPr="00A8564C">
        <w:rPr>
          <w:lang w:val="es-ES"/>
        </w:rPr>
        <w:t xml:space="preserve"> gasto en </w:t>
      </w:r>
      <w:r w:rsidR="00BF6E62" w:rsidRPr="00A8564C">
        <w:rPr>
          <w:lang w:val="es-ES"/>
        </w:rPr>
        <w:t>investigación</w:t>
      </w:r>
      <w:r w:rsidRPr="00A8564C">
        <w:rPr>
          <w:lang w:val="es-ES"/>
        </w:rPr>
        <w:t xml:space="preserve"> y desarrollo </w:t>
      </w:r>
      <w:r w:rsidR="002C70DB" w:rsidRPr="00A8564C">
        <w:rPr>
          <w:lang w:val="es-ES"/>
        </w:rPr>
        <w:t>(</w:t>
      </w:r>
      <w:r w:rsidR="00BF6E62" w:rsidRPr="00A8564C">
        <w:rPr>
          <w:lang w:val="es-ES"/>
        </w:rPr>
        <w:t>con</w:t>
      </w:r>
      <w:r w:rsidRPr="00A8564C">
        <w:rPr>
          <w:lang w:val="es-ES"/>
        </w:rPr>
        <w:t xml:space="preserve"> porcentaje del PIB</w:t>
      </w:r>
      <w:r w:rsidR="002C70DB" w:rsidRPr="00A8564C">
        <w:rPr>
          <w:lang w:val="es-ES"/>
        </w:rPr>
        <w:t xml:space="preserve">) </w:t>
      </w:r>
      <w:r w:rsidRPr="00A8564C">
        <w:rPr>
          <w:lang w:val="es-ES"/>
        </w:rPr>
        <w:t>e</w:t>
      </w:r>
      <w:r w:rsidR="002C70DB" w:rsidRPr="00A8564C">
        <w:rPr>
          <w:lang w:val="es-ES"/>
        </w:rPr>
        <w:t xml:space="preserve">n Israel </w:t>
      </w:r>
      <w:r w:rsidR="0058136D" w:rsidRPr="00A8564C">
        <w:rPr>
          <w:lang w:val="es-ES"/>
        </w:rPr>
        <w:t>registrado en 2014, represent</w:t>
      </w:r>
      <w:r w:rsidRPr="00A8564C">
        <w:rPr>
          <w:lang w:val="es-ES"/>
        </w:rPr>
        <w:t xml:space="preserve">ó el </w:t>
      </w:r>
      <w:r w:rsidR="002C70DB" w:rsidRPr="00A8564C">
        <w:rPr>
          <w:lang w:val="es-ES"/>
        </w:rPr>
        <w:t>4</w:t>
      </w:r>
      <w:r w:rsidRPr="00A8564C">
        <w:rPr>
          <w:lang w:val="es-ES"/>
        </w:rPr>
        <w:t>,</w:t>
      </w:r>
      <w:r w:rsidR="002C70DB" w:rsidRPr="00A8564C">
        <w:rPr>
          <w:lang w:val="es-ES"/>
        </w:rPr>
        <w:t>11</w:t>
      </w:r>
      <w:r w:rsidRPr="00A8564C">
        <w:rPr>
          <w:lang w:val="es-ES"/>
        </w:rPr>
        <w:t>%.</w:t>
      </w:r>
      <w:r w:rsidR="002C70DB" w:rsidRPr="00A8564C">
        <w:rPr>
          <w:rStyle w:val="FootnoteReference"/>
          <w:sz w:val="24"/>
          <w:szCs w:val="24"/>
          <w:lang w:val="es-ES"/>
        </w:rPr>
        <w:footnoteReference w:id="12"/>
      </w:r>
      <w:r w:rsidR="002C70DB" w:rsidRPr="00A8564C">
        <w:rPr>
          <w:lang w:val="es-ES"/>
        </w:rPr>
        <w:t xml:space="preserve"> </w:t>
      </w:r>
    </w:p>
    <w:p w14:paraId="2B3A4C19" w14:textId="77777777" w:rsidR="002C70DB" w:rsidRPr="00A8564C" w:rsidRDefault="002C70DB" w:rsidP="00957557">
      <w:pPr>
        <w:rPr>
          <w:lang w:val="es-ES"/>
        </w:rPr>
      </w:pPr>
    </w:p>
    <w:p w14:paraId="7686239C" w14:textId="312AEBB8" w:rsidR="002C70DB" w:rsidRPr="00A8564C" w:rsidRDefault="00A41B96" w:rsidP="00957557">
      <w:pPr>
        <w:pStyle w:val="Heading3"/>
        <w:rPr>
          <w:lang w:val="es-ES"/>
        </w:rPr>
      </w:pPr>
      <w:r w:rsidRPr="00A8564C">
        <w:rPr>
          <w:lang w:val="es-ES"/>
        </w:rPr>
        <w:t>1.3.2.</w:t>
      </w:r>
      <w:r w:rsidRPr="00A8564C">
        <w:rPr>
          <w:lang w:val="es-ES"/>
        </w:rPr>
        <w:tab/>
      </w:r>
      <w:r w:rsidR="0058136D" w:rsidRPr="00A8564C">
        <w:rPr>
          <w:lang w:val="es-ES"/>
        </w:rPr>
        <w:t xml:space="preserve">La </w:t>
      </w:r>
      <w:r w:rsidR="00BF6E62" w:rsidRPr="00A8564C">
        <w:rPr>
          <w:lang w:val="es-ES"/>
        </w:rPr>
        <w:t>innovación</w:t>
      </w:r>
      <w:r w:rsidR="0058136D" w:rsidRPr="00A8564C">
        <w:rPr>
          <w:lang w:val="es-ES"/>
        </w:rPr>
        <w:t xml:space="preserve"> en </w:t>
      </w:r>
      <w:r w:rsidR="002C70DB" w:rsidRPr="00A8564C">
        <w:rPr>
          <w:lang w:val="es-ES"/>
        </w:rPr>
        <w:t>Israel</w:t>
      </w:r>
    </w:p>
    <w:p w14:paraId="13111149" w14:textId="77777777" w:rsidR="002C70DB" w:rsidRPr="00A8564C" w:rsidRDefault="002C70DB" w:rsidP="00957557">
      <w:pPr>
        <w:keepNext/>
        <w:rPr>
          <w:lang w:val="es-ES"/>
        </w:rPr>
      </w:pPr>
    </w:p>
    <w:p w14:paraId="10D0C981" w14:textId="77800920" w:rsidR="002C70DB" w:rsidRPr="00A8564C" w:rsidRDefault="0058136D" w:rsidP="00DE4453">
      <w:pPr>
        <w:rPr>
          <w:lang w:val="es-ES"/>
        </w:rPr>
      </w:pPr>
      <w:r w:rsidRPr="00A8564C">
        <w:rPr>
          <w:lang w:val="es-ES"/>
        </w:rPr>
        <w:t xml:space="preserve">La propiedad </w:t>
      </w:r>
      <w:r w:rsidR="00BF6E62" w:rsidRPr="00A8564C">
        <w:rPr>
          <w:lang w:val="es-ES"/>
        </w:rPr>
        <w:t>intelectual</w:t>
      </w:r>
      <w:r w:rsidRPr="00A8564C">
        <w:rPr>
          <w:lang w:val="es-ES"/>
        </w:rPr>
        <w:t xml:space="preserve">, </w:t>
      </w:r>
      <w:r w:rsidR="00E02485" w:rsidRPr="00A8564C">
        <w:rPr>
          <w:lang w:val="es-ES"/>
        </w:rPr>
        <w:t xml:space="preserve">junto con </w:t>
      </w:r>
      <w:r w:rsidRPr="00A8564C">
        <w:rPr>
          <w:lang w:val="es-ES"/>
        </w:rPr>
        <w:t xml:space="preserve">la </w:t>
      </w:r>
      <w:r w:rsidR="00BF6E62" w:rsidRPr="00A8564C">
        <w:rPr>
          <w:lang w:val="es-ES"/>
        </w:rPr>
        <w:t>innovación</w:t>
      </w:r>
      <w:r w:rsidRPr="00A8564C">
        <w:rPr>
          <w:lang w:val="es-ES"/>
        </w:rPr>
        <w:t xml:space="preserve"> y la creatividad</w:t>
      </w:r>
      <w:r w:rsidR="00E02485" w:rsidRPr="00A8564C">
        <w:rPr>
          <w:lang w:val="es-ES"/>
        </w:rPr>
        <w:t>,</w:t>
      </w:r>
      <w:r w:rsidRPr="00A8564C">
        <w:rPr>
          <w:lang w:val="es-ES"/>
        </w:rPr>
        <w:t xml:space="preserve"> son los </w:t>
      </w:r>
      <w:r w:rsidR="00E02485" w:rsidRPr="00A8564C">
        <w:rPr>
          <w:lang w:val="es-ES"/>
        </w:rPr>
        <w:t>fundamentos</w:t>
      </w:r>
      <w:r w:rsidR="00DD1601" w:rsidRPr="00A8564C">
        <w:rPr>
          <w:lang w:val="es-ES"/>
        </w:rPr>
        <w:t xml:space="preserve"> de la </w:t>
      </w:r>
      <w:r w:rsidR="00BF6E62" w:rsidRPr="00A8564C">
        <w:rPr>
          <w:lang w:val="es-ES"/>
        </w:rPr>
        <w:t>economía</w:t>
      </w:r>
      <w:r w:rsidR="00DD1601" w:rsidRPr="00A8564C">
        <w:rPr>
          <w:lang w:val="es-ES"/>
        </w:rPr>
        <w:t xml:space="preserve"> mundial del siglo XXI basada en el conocimiento y son factores </w:t>
      </w:r>
      <w:r w:rsidR="00E02485" w:rsidRPr="00A8564C">
        <w:rPr>
          <w:lang w:val="es-ES"/>
        </w:rPr>
        <w:t>esenciales</w:t>
      </w:r>
      <w:r w:rsidR="00DD1601" w:rsidRPr="00A8564C">
        <w:rPr>
          <w:lang w:val="es-ES"/>
        </w:rPr>
        <w:t xml:space="preserve"> para estimular el crecimiento </w:t>
      </w:r>
      <w:r w:rsidR="00BF6E62" w:rsidRPr="00A8564C">
        <w:rPr>
          <w:lang w:val="es-ES"/>
        </w:rPr>
        <w:t>económico</w:t>
      </w:r>
      <w:r w:rsidR="00DD1601" w:rsidRPr="00A8564C">
        <w:rPr>
          <w:lang w:val="es-ES"/>
        </w:rPr>
        <w:t xml:space="preserve"> en todo el mundo.  </w:t>
      </w:r>
      <w:r w:rsidR="002C70DB" w:rsidRPr="00A8564C">
        <w:rPr>
          <w:lang w:val="es-ES"/>
        </w:rPr>
        <w:t xml:space="preserve">Israel </w:t>
      </w:r>
      <w:r w:rsidR="00DD1601" w:rsidRPr="00A8564C">
        <w:rPr>
          <w:lang w:val="es-ES"/>
        </w:rPr>
        <w:t xml:space="preserve">se sitúa en la vanguardia del desarrollo y </w:t>
      </w:r>
      <w:r w:rsidR="00E02485" w:rsidRPr="00A8564C">
        <w:rPr>
          <w:lang w:val="es-ES"/>
        </w:rPr>
        <w:t xml:space="preserve">los </w:t>
      </w:r>
      <w:r w:rsidR="00DD1601" w:rsidRPr="00A8564C">
        <w:rPr>
          <w:lang w:val="es-ES"/>
        </w:rPr>
        <w:t>avance</w:t>
      </w:r>
      <w:r w:rsidR="00E02485" w:rsidRPr="00A8564C">
        <w:rPr>
          <w:lang w:val="es-ES"/>
        </w:rPr>
        <w:t>s</w:t>
      </w:r>
      <w:r w:rsidR="00DD1601" w:rsidRPr="00A8564C">
        <w:rPr>
          <w:lang w:val="es-ES"/>
        </w:rPr>
        <w:t xml:space="preserve"> </w:t>
      </w:r>
      <w:r w:rsidR="00BF6E62" w:rsidRPr="00A8564C">
        <w:rPr>
          <w:lang w:val="es-ES"/>
        </w:rPr>
        <w:t>tecnológico</w:t>
      </w:r>
      <w:r w:rsidR="00E02485" w:rsidRPr="00A8564C">
        <w:rPr>
          <w:lang w:val="es-ES"/>
        </w:rPr>
        <w:t>s, a los que otorga máxima prioridad</w:t>
      </w:r>
      <w:r w:rsidR="00DD1601" w:rsidRPr="00A8564C">
        <w:rPr>
          <w:lang w:val="es-ES"/>
        </w:rPr>
        <w:t xml:space="preserve">: una </w:t>
      </w:r>
      <w:r w:rsidR="00BF6E62" w:rsidRPr="00A8564C">
        <w:rPr>
          <w:lang w:val="es-ES"/>
        </w:rPr>
        <w:t>posición</w:t>
      </w:r>
      <w:r w:rsidR="00DD1601" w:rsidRPr="00A8564C">
        <w:rPr>
          <w:lang w:val="es-ES"/>
        </w:rPr>
        <w:t xml:space="preserve"> que </w:t>
      </w:r>
      <w:r w:rsidR="009737C2" w:rsidRPr="00A8564C">
        <w:rPr>
          <w:lang w:val="es-ES"/>
        </w:rPr>
        <w:t xml:space="preserve">mantiene </w:t>
      </w:r>
      <w:r w:rsidR="00DD1601" w:rsidRPr="00A8564C">
        <w:rPr>
          <w:lang w:val="es-ES"/>
        </w:rPr>
        <w:t xml:space="preserve">con orgullo </w:t>
      </w:r>
      <w:r w:rsidR="009737C2" w:rsidRPr="00A8564C">
        <w:rPr>
          <w:lang w:val="es-ES"/>
        </w:rPr>
        <w:t>desde hace muchos</w:t>
      </w:r>
      <w:r w:rsidR="00DD1601" w:rsidRPr="00A8564C">
        <w:rPr>
          <w:lang w:val="es-ES"/>
        </w:rPr>
        <w:t xml:space="preserve"> años</w:t>
      </w:r>
      <w:r w:rsidR="009E7E5E" w:rsidRPr="00A8564C">
        <w:rPr>
          <w:lang w:val="es-ES"/>
        </w:rPr>
        <w:t xml:space="preserve">.  </w:t>
      </w:r>
      <w:r w:rsidR="00DD1601" w:rsidRPr="00A8564C">
        <w:rPr>
          <w:lang w:val="es-ES"/>
        </w:rPr>
        <w:t xml:space="preserve">A ese </w:t>
      </w:r>
      <w:r w:rsidR="00BF6E62" w:rsidRPr="00A8564C">
        <w:rPr>
          <w:lang w:val="es-ES"/>
        </w:rPr>
        <w:t>respecto</w:t>
      </w:r>
      <w:r w:rsidR="00DD1601" w:rsidRPr="00A8564C">
        <w:rPr>
          <w:lang w:val="es-ES"/>
        </w:rPr>
        <w:t xml:space="preserve">, </w:t>
      </w:r>
      <w:r w:rsidR="002C70DB" w:rsidRPr="00A8564C">
        <w:rPr>
          <w:lang w:val="es-ES"/>
        </w:rPr>
        <w:t xml:space="preserve">Israel </w:t>
      </w:r>
      <w:r w:rsidR="009737C2" w:rsidRPr="00A8564C">
        <w:rPr>
          <w:lang w:val="es-ES"/>
        </w:rPr>
        <w:t>posee</w:t>
      </w:r>
      <w:r w:rsidR="00DD1601" w:rsidRPr="00A8564C">
        <w:rPr>
          <w:lang w:val="es-ES"/>
        </w:rPr>
        <w:t xml:space="preserve"> un enorme potencial para fomentar la </w:t>
      </w:r>
      <w:r w:rsidR="00BF6E62" w:rsidRPr="00A8564C">
        <w:rPr>
          <w:lang w:val="es-ES"/>
        </w:rPr>
        <w:t>innovación</w:t>
      </w:r>
      <w:r w:rsidR="00DD1601" w:rsidRPr="00A8564C">
        <w:rPr>
          <w:lang w:val="es-ES"/>
        </w:rPr>
        <w:t xml:space="preserve"> y promover la </w:t>
      </w:r>
      <w:r w:rsidR="00BF6E62" w:rsidRPr="00A8564C">
        <w:rPr>
          <w:lang w:val="es-ES"/>
        </w:rPr>
        <w:t>investigación</w:t>
      </w:r>
      <w:r w:rsidR="00DD1601" w:rsidRPr="00A8564C">
        <w:rPr>
          <w:lang w:val="es-ES"/>
        </w:rPr>
        <w:t xml:space="preserve"> y el </w:t>
      </w:r>
      <w:r w:rsidR="00BF6E62" w:rsidRPr="00A8564C">
        <w:rPr>
          <w:lang w:val="es-ES"/>
        </w:rPr>
        <w:t>desarrollo</w:t>
      </w:r>
      <w:r w:rsidR="00DD1601" w:rsidRPr="00A8564C">
        <w:rPr>
          <w:lang w:val="es-ES"/>
        </w:rPr>
        <w:t xml:space="preserve"> </w:t>
      </w:r>
      <w:r w:rsidR="002C70DB" w:rsidRPr="00A8564C">
        <w:rPr>
          <w:lang w:val="es-ES"/>
        </w:rPr>
        <w:t>(</w:t>
      </w:r>
      <w:r w:rsidR="00DD1601" w:rsidRPr="00A8564C">
        <w:rPr>
          <w:lang w:val="es-ES"/>
        </w:rPr>
        <w:t>I+D</w:t>
      </w:r>
      <w:r w:rsidR="002C70DB" w:rsidRPr="00A8564C">
        <w:rPr>
          <w:lang w:val="es-ES"/>
        </w:rPr>
        <w:t>)</w:t>
      </w:r>
      <w:r w:rsidR="009737C2" w:rsidRPr="00A8564C">
        <w:rPr>
          <w:lang w:val="es-ES"/>
        </w:rPr>
        <w:t xml:space="preserve">, lo que ponen de manifiesto claramente </w:t>
      </w:r>
      <w:r w:rsidR="00DD1601" w:rsidRPr="00A8564C">
        <w:rPr>
          <w:lang w:val="es-ES"/>
        </w:rPr>
        <w:t xml:space="preserve">los datos </w:t>
      </w:r>
      <w:r w:rsidR="009737C2" w:rsidRPr="00A8564C">
        <w:rPr>
          <w:lang w:val="es-ES"/>
        </w:rPr>
        <w:t xml:space="preserve">expuestos en </w:t>
      </w:r>
      <w:r w:rsidR="00DD1601" w:rsidRPr="00A8564C">
        <w:rPr>
          <w:lang w:val="es-ES"/>
        </w:rPr>
        <w:t xml:space="preserve">el </w:t>
      </w:r>
      <w:r w:rsidR="00BF6E62" w:rsidRPr="00A8564C">
        <w:rPr>
          <w:lang w:val="es-ES"/>
        </w:rPr>
        <w:t>Índice</w:t>
      </w:r>
      <w:r w:rsidR="00DD1601" w:rsidRPr="00A8564C">
        <w:rPr>
          <w:lang w:val="es-ES"/>
        </w:rPr>
        <w:t xml:space="preserve"> Mundial de </w:t>
      </w:r>
      <w:r w:rsidR="00BF6E62" w:rsidRPr="00A8564C">
        <w:rPr>
          <w:lang w:val="es-ES"/>
        </w:rPr>
        <w:t>Innovación</w:t>
      </w:r>
      <w:r w:rsidR="002C70DB" w:rsidRPr="00A8564C">
        <w:rPr>
          <w:rStyle w:val="FootnoteReference"/>
          <w:sz w:val="24"/>
          <w:szCs w:val="24"/>
          <w:lang w:val="es-ES"/>
        </w:rPr>
        <w:footnoteReference w:id="13"/>
      </w:r>
      <w:r w:rsidR="002C70DB" w:rsidRPr="00A8564C">
        <w:rPr>
          <w:lang w:val="es-ES"/>
        </w:rPr>
        <w:t xml:space="preserve"> </w:t>
      </w:r>
      <w:r w:rsidR="00DD1601" w:rsidRPr="00A8564C">
        <w:rPr>
          <w:lang w:val="es-ES"/>
        </w:rPr>
        <w:t xml:space="preserve">y el </w:t>
      </w:r>
      <w:r w:rsidR="00BF6E62" w:rsidRPr="00A8564C">
        <w:rPr>
          <w:lang w:val="es-ES"/>
        </w:rPr>
        <w:t>Índice</w:t>
      </w:r>
      <w:r w:rsidR="00DD1601" w:rsidRPr="00A8564C">
        <w:rPr>
          <w:lang w:val="es-ES"/>
        </w:rPr>
        <w:t xml:space="preserve"> Mundial de </w:t>
      </w:r>
      <w:r w:rsidR="00BF6E62" w:rsidRPr="00A8564C">
        <w:rPr>
          <w:lang w:val="es-ES"/>
        </w:rPr>
        <w:t>Innovación</w:t>
      </w:r>
      <w:r w:rsidR="00DD1601" w:rsidRPr="00A8564C">
        <w:rPr>
          <w:lang w:val="es-ES"/>
        </w:rPr>
        <w:t xml:space="preserve"> de Bloomberg</w:t>
      </w:r>
      <w:r w:rsidR="009737C2" w:rsidRPr="00A8564C">
        <w:rPr>
          <w:lang w:val="es-ES"/>
        </w:rPr>
        <w:t>.</w:t>
      </w:r>
      <w:r w:rsidR="002C70DB" w:rsidRPr="00A8564C">
        <w:rPr>
          <w:rStyle w:val="FootnoteReference"/>
          <w:sz w:val="24"/>
          <w:szCs w:val="24"/>
          <w:lang w:val="es-ES"/>
        </w:rPr>
        <w:footnoteReference w:id="14"/>
      </w:r>
      <w:r w:rsidR="009E7E5E" w:rsidRPr="00A8564C">
        <w:rPr>
          <w:lang w:val="es-ES"/>
        </w:rPr>
        <w:t xml:space="preserve">  </w:t>
      </w:r>
      <w:r w:rsidR="00BF6E62" w:rsidRPr="00A8564C">
        <w:rPr>
          <w:lang w:val="es-ES"/>
        </w:rPr>
        <w:t>Según</w:t>
      </w:r>
      <w:r w:rsidR="00D378F7" w:rsidRPr="00A8564C">
        <w:rPr>
          <w:lang w:val="es-ES"/>
        </w:rPr>
        <w:t xml:space="preserve"> ese </w:t>
      </w:r>
      <w:r w:rsidR="00BF6E62" w:rsidRPr="00A8564C">
        <w:rPr>
          <w:lang w:val="es-ES"/>
        </w:rPr>
        <w:t>Índice</w:t>
      </w:r>
      <w:r w:rsidR="00D378F7" w:rsidRPr="00A8564C">
        <w:rPr>
          <w:lang w:val="es-ES"/>
        </w:rPr>
        <w:t xml:space="preserve"> Mundial</w:t>
      </w:r>
      <w:r w:rsidR="002C70DB" w:rsidRPr="00A8564C">
        <w:rPr>
          <w:lang w:val="es-ES"/>
        </w:rPr>
        <w:t xml:space="preserve">, Israel </w:t>
      </w:r>
      <w:r w:rsidR="00D378F7" w:rsidRPr="00A8564C">
        <w:rPr>
          <w:lang w:val="es-ES"/>
        </w:rPr>
        <w:t xml:space="preserve">ha sido clasificado como el </w:t>
      </w:r>
      <w:r w:rsidR="00BF6E62" w:rsidRPr="00A8564C">
        <w:rPr>
          <w:lang w:val="es-ES"/>
        </w:rPr>
        <w:t>décimo</w:t>
      </w:r>
      <w:r w:rsidR="00D378F7" w:rsidRPr="00A8564C">
        <w:rPr>
          <w:lang w:val="es-ES"/>
        </w:rPr>
        <w:t xml:space="preserve"> </w:t>
      </w:r>
      <w:r w:rsidR="00BF6E62" w:rsidRPr="00A8564C">
        <w:rPr>
          <w:lang w:val="es-ES"/>
        </w:rPr>
        <w:t>país</w:t>
      </w:r>
      <w:r w:rsidR="00D378F7" w:rsidRPr="00A8564C">
        <w:rPr>
          <w:lang w:val="es-ES"/>
        </w:rPr>
        <w:t xml:space="preserve"> </w:t>
      </w:r>
      <w:r w:rsidR="00BF6E62" w:rsidRPr="00A8564C">
        <w:rPr>
          <w:lang w:val="es-ES"/>
        </w:rPr>
        <w:t>más</w:t>
      </w:r>
      <w:r w:rsidR="00D378F7" w:rsidRPr="00A8564C">
        <w:rPr>
          <w:lang w:val="es-ES"/>
        </w:rPr>
        <w:t xml:space="preserve"> innovador del mundo, y ocupa el primer lugar en lo referente al </w:t>
      </w:r>
      <w:r w:rsidR="00BF6E62" w:rsidRPr="00A8564C">
        <w:rPr>
          <w:lang w:val="es-ES"/>
        </w:rPr>
        <w:t>número</w:t>
      </w:r>
      <w:r w:rsidR="00D378F7" w:rsidRPr="00A8564C">
        <w:rPr>
          <w:lang w:val="es-ES"/>
        </w:rPr>
        <w:t xml:space="preserve"> de investigadores</w:t>
      </w:r>
      <w:r w:rsidR="00920B5B" w:rsidRPr="00A8564C">
        <w:rPr>
          <w:lang w:val="es-ES"/>
        </w:rPr>
        <w:t xml:space="preserve"> por habitante, el s</w:t>
      </w:r>
      <w:r w:rsidR="00D378F7" w:rsidRPr="00A8564C">
        <w:rPr>
          <w:lang w:val="es-ES"/>
        </w:rPr>
        <w:t xml:space="preserve">egundo </w:t>
      </w:r>
      <w:r w:rsidR="00BF6E62" w:rsidRPr="00A8564C">
        <w:rPr>
          <w:lang w:val="es-ES"/>
        </w:rPr>
        <w:t>lugar</w:t>
      </w:r>
      <w:r w:rsidR="00D378F7" w:rsidRPr="00A8564C">
        <w:rPr>
          <w:lang w:val="es-ES"/>
        </w:rPr>
        <w:t xml:space="preserve"> en lo tocante a las </w:t>
      </w:r>
      <w:r w:rsidR="00BF6E62" w:rsidRPr="00A8564C">
        <w:rPr>
          <w:lang w:val="es-ES"/>
        </w:rPr>
        <w:t>inversiones</w:t>
      </w:r>
      <w:r w:rsidR="00D378F7" w:rsidRPr="00A8564C">
        <w:rPr>
          <w:lang w:val="es-ES"/>
        </w:rPr>
        <w:t xml:space="preserve"> en I+D </w:t>
      </w:r>
      <w:r w:rsidR="00BF6E62" w:rsidRPr="00A8564C">
        <w:rPr>
          <w:lang w:val="es-ES"/>
        </w:rPr>
        <w:t>respecto</w:t>
      </w:r>
      <w:r w:rsidR="00D378F7" w:rsidRPr="00A8564C">
        <w:rPr>
          <w:lang w:val="es-ES"/>
        </w:rPr>
        <w:t xml:space="preserve"> del PIB</w:t>
      </w:r>
      <w:r w:rsidR="009737C2" w:rsidRPr="00A8564C">
        <w:rPr>
          <w:lang w:val="es-ES"/>
        </w:rPr>
        <w:t>,</w:t>
      </w:r>
      <w:r w:rsidR="00D378F7" w:rsidRPr="00A8564C">
        <w:rPr>
          <w:lang w:val="es-ES"/>
        </w:rPr>
        <w:t xml:space="preserve"> el tercer lugar en </w:t>
      </w:r>
      <w:r w:rsidR="009C1A56" w:rsidRPr="00A8564C">
        <w:rPr>
          <w:lang w:val="es-ES"/>
        </w:rPr>
        <w:t xml:space="preserve">términos de </w:t>
      </w:r>
      <w:r w:rsidR="00BF6E62" w:rsidRPr="00A8564C">
        <w:rPr>
          <w:lang w:val="es-ES"/>
        </w:rPr>
        <w:t>concentración</w:t>
      </w:r>
      <w:r w:rsidR="00D378F7" w:rsidRPr="00A8564C">
        <w:rPr>
          <w:lang w:val="es-ES"/>
        </w:rPr>
        <w:t xml:space="preserve"> de alta </w:t>
      </w:r>
      <w:r w:rsidR="00BF6E62" w:rsidRPr="00A8564C">
        <w:rPr>
          <w:lang w:val="es-ES"/>
        </w:rPr>
        <w:t>tecnología</w:t>
      </w:r>
      <w:r w:rsidR="00D378F7" w:rsidRPr="00A8564C">
        <w:rPr>
          <w:lang w:val="es-ES"/>
        </w:rPr>
        <w:t xml:space="preserve"> y el cuarto lugar en </w:t>
      </w:r>
      <w:r w:rsidR="009C1A56" w:rsidRPr="00A8564C">
        <w:rPr>
          <w:lang w:val="es-ES"/>
        </w:rPr>
        <w:t>lo que hace al ni</w:t>
      </w:r>
      <w:r w:rsidR="009737C2" w:rsidRPr="00A8564C">
        <w:rPr>
          <w:lang w:val="es-ES"/>
        </w:rPr>
        <w:t>vel de</w:t>
      </w:r>
      <w:r w:rsidR="00D378F7" w:rsidRPr="00A8564C">
        <w:rPr>
          <w:lang w:val="es-ES"/>
        </w:rPr>
        <w:t xml:space="preserve"> </w:t>
      </w:r>
      <w:r w:rsidR="00BF6E62" w:rsidRPr="00A8564C">
        <w:rPr>
          <w:lang w:val="es-ES"/>
        </w:rPr>
        <w:t>educación</w:t>
      </w:r>
      <w:r w:rsidR="002C70DB" w:rsidRPr="00A8564C">
        <w:rPr>
          <w:lang w:val="es-ES"/>
        </w:rPr>
        <w:t>.</w:t>
      </w:r>
    </w:p>
    <w:p w14:paraId="34CF253E" w14:textId="77777777" w:rsidR="002C70DB" w:rsidRPr="00A8564C" w:rsidRDefault="002C70DB" w:rsidP="002C70DB">
      <w:pPr>
        <w:contextualSpacing/>
        <w:rPr>
          <w:i/>
          <w:iCs/>
          <w:lang w:val="es-ES"/>
        </w:rPr>
      </w:pPr>
    </w:p>
    <w:p w14:paraId="09D48B07" w14:textId="04AA0DF2" w:rsidR="002C70DB" w:rsidRPr="00A8564C" w:rsidRDefault="00A41B96" w:rsidP="00DE4453">
      <w:pPr>
        <w:pStyle w:val="Heading3"/>
        <w:rPr>
          <w:lang w:val="es-ES"/>
        </w:rPr>
      </w:pPr>
      <w:r w:rsidRPr="00A8564C">
        <w:rPr>
          <w:lang w:val="es-ES"/>
        </w:rPr>
        <w:t>1.3.3.</w:t>
      </w:r>
      <w:r w:rsidRPr="00A8564C">
        <w:rPr>
          <w:lang w:val="es-ES"/>
        </w:rPr>
        <w:tab/>
      </w:r>
      <w:r w:rsidR="00D378F7" w:rsidRPr="00A8564C">
        <w:rPr>
          <w:lang w:val="es-ES"/>
        </w:rPr>
        <w:t xml:space="preserve">Centros de </w:t>
      </w:r>
      <w:r w:rsidR="00BF6E62" w:rsidRPr="00A8564C">
        <w:rPr>
          <w:lang w:val="es-ES"/>
        </w:rPr>
        <w:t>investigación</w:t>
      </w:r>
      <w:r w:rsidR="00D378F7" w:rsidRPr="00A8564C">
        <w:rPr>
          <w:lang w:val="es-ES"/>
        </w:rPr>
        <w:t xml:space="preserve"> </w:t>
      </w:r>
      <w:r w:rsidR="00BF6E62" w:rsidRPr="00A8564C">
        <w:rPr>
          <w:lang w:val="es-ES"/>
        </w:rPr>
        <w:t>universitarios</w:t>
      </w:r>
      <w:r w:rsidR="00D378F7" w:rsidRPr="00A8564C">
        <w:rPr>
          <w:lang w:val="es-ES"/>
        </w:rPr>
        <w:t xml:space="preserve"> en </w:t>
      </w:r>
      <w:r w:rsidR="002C70DB" w:rsidRPr="00A8564C">
        <w:rPr>
          <w:lang w:val="es-ES"/>
        </w:rPr>
        <w:t xml:space="preserve">Israel: </w:t>
      </w:r>
    </w:p>
    <w:p w14:paraId="39E6344E" w14:textId="77777777" w:rsidR="002C70DB" w:rsidRPr="00A8564C" w:rsidRDefault="002C70DB" w:rsidP="00DE4453">
      <w:pPr>
        <w:rPr>
          <w:lang w:val="es-ES"/>
        </w:rPr>
      </w:pPr>
    </w:p>
    <w:p w14:paraId="4F7166FB" w14:textId="2DAD1185" w:rsidR="002C70DB" w:rsidRPr="00A8564C" w:rsidRDefault="002C70DB" w:rsidP="00DE4453">
      <w:pPr>
        <w:rPr>
          <w:lang w:val="es-ES"/>
        </w:rPr>
      </w:pPr>
      <w:r w:rsidRPr="00A8564C">
        <w:rPr>
          <w:lang w:val="es-ES"/>
        </w:rPr>
        <w:t xml:space="preserve">Israel </w:t>
      </w:r>
      <w:r w:rsidR="00D378F7" w:rsidRPr="00A8564C">
        <w:rPr>
          <w:lang w:val="es-ES"/>
        </w:rPr>
        <w:t xml:space="preserve">cuenta con nueve </w:t>
      </w:r>
      <w:r w:rsidR="00BF6E62" w:rsidRPr="00A8564C">
        <w:rPr>
          <w:lang w:val="es-ES"/>
        </w:rPr>
        <w:t>universidades</w:t>
      </w:r>
      <w:r w:rsidR="00D378F7" w:rsidRPr="00A8564C">
        <w:rPr>
          <w:lang w:val="es-ES"/>
        </w:rPr>
        <w:t xml:space="preserve"> y con unos 60 centros de estudios superiores y </w:t>
      </w:r>
      <w:r w:rsidR="00BF6E62" w:rsidRPr="00A8564C">
        <w:rPr>
          <w:lang w:val="es-ES"/>
        </w:rPr>
        <w:t>politécnicos</w:t>
      </w:r>
      <w:r w:rsidR="00D378F7" w:rsidRPr="00A8564C">
        <w:rPr>
          <w:lang w:val="es-ES"/>
        </w:rPr>
        <w:t>.</w:t>
      </w:r>
      <w:r w:rsidRPr="00A8564C">
        <w:rPr>
          <w:rStyle w:val="FootnoteReference"/>
          <w:rFonts w:eastAsia="Times New Roman"/>
          <w:sz w:val="24"/>
          <w:szCs w:val="24"/>
          <w:lang w:val="es-ES"/>
        </w:rPr>
        <w:footnoteReference w:id="15"/>
      </w:r>
      <w:r w:rsidR="009E7E5E" w:rsidRPr="00A8564C">
        <w:rPr>
          <w:lang w:val="es-ES"/>
        </w:rPr>
        <w:t xml:space="preserve">  </w:t>
      </w:r>
      <w:r w:rsidR="00D378F7" w:rsidRPr="00A8564C">
        <w:rPr>
          <w:lang w:val="es-ES"/>
        </w:rPr>
        <w:t xml:space="preserve">Las universidades </w:t>
      </w:r>
      <w:r w:rsidR="00BF6E62" w:rsidRPr="00A8564C">
        <w:rPr>
          <w:lang w:val="es-ES"/>
        </w:rPr>
        <w:t>israelíes</w:t>
      </w:r>
      <w:r w:rsidR="00D378F7" w:rsidRPr="00A8564C">
        <w:rPr>
          <w:lang w:val="es-ES"/>
        </w:rPr>
        <w:t xml:space="preserve"> han sido </w:t>
      </w:r>
      <w:r w:rsidR="00BF6E62" w:rsidRPr="00A8564C">
        <w:rPr>
          <w:lang w:val="es-ES"/>
        </w:rPr>
        <w:t>clasificadas</w:t>
      </w:r>
      <w:r w:rsidR="00D378F7" w:rsidRPr="00A8564C">
        <w:rPr>
          <w:lang w:val="es-ES"/>
        </w:rPr>
        <w:t xml:space="preserve"> entre las 100 mejores del mundo en </w:t>
      </w:r>
      <w:r w:rsidR="00BF6E62" w:rsidRPr="00A8564C">
        <w:rPr>
          <w:lang w:val="es-ES"/>
        </w:rPr>
        <w:t>matemáticas</w:t>
      </w:r>
      <w:r w:rsidR="00D378F7" w:rsidRPr="00A8564C">
        <w:rPr>
          <w:lang w:val="es-ES"/>
        </w:rPr>
        <w:t xml:space="preserve"> (Universidad Hebrea de </w:t>
      </w:r>
      <w:r w:rsidR="00BF6E62" w:rsidRPr="00A8564C">
        <w:rPr>
          <w:lang w:val="es-ES"/>
        </w:rPr>
        <w:t>Jerusalén</w:t>
      </w:r>
      <w:r w:rsidRPr="00A8564C">
        <w:rPr>
          <w:lang w:val="es-ES"/>
        </w:rPr>
        <w:t>,</w:t>
      </w:r>
      <w:r w:rsidR="009C1A56" w:rsidRPr="00A8564C">
        <w:rPr>
          <w:lang w:val="es-ES"/>
        </w:rPr>
        <w:t xml:space="preserve"> Universidad de </w:t>
      </w:r>
      <w:r w:rsidRPr="00A8564C">
        <w:rPr>
          <w:lang w:val="es-ES"/>
        </w:rPr>
        <w:t xml:space="preserve">Tel Aviv </w:t>
      </w:r>
      <w:r w:rsidR="00D378F7" w:rsidRPr="00A8564C">
        <w:rPr>
          <w:lang w:val="es-ES"/>
        </w:rPr>
        <w:t>–</w:t>
      </w:r>
      <w:r w:rsidRPr="00A8564C">
        <w:rPr>
          <w:lang w:val="es-ES"/>
        </w:rPr>
        <w:t xml:space="preserve"> TAU</w:t>
      </w:r>
      <w:r w:rsidR="00D378F7" w:rsidRPr="00A8564C">
        <w:rPr>
          <w:lang w:val="es-ES"/>
        </w:rPr>
        <w:t xml:space="preserve"> e </w:t>
      </w:r>
      <w:r w:rsidRPr="00A8564C">
        <w:rPr>
          <w:lang w:val="es-ES"/>
        </w:rPr>
        <w:t xml:space="preserve"> </w:t>
      </w:r>
      <w:r w:rsidR="00D378F7" w:rsidRPr="00A8564C">
        <w:rPr>
          <w:lang w:val="es-ES"/>
        </w:rPr>
        <w:t xml:space="preserve">Instituto </w:t>
      </w:r>
      <w:r w:rsidR="00BF6E62" w:rsidRPr="00A8564C">
        <w:rPr>
          <w:lang w:val="es-ES"/>
        </w:rPr>
        <w:t>Tecnológico</w:t>
      </w:r>
      <w:r w:rsidR="00D378F7" w:rsidRPr="00A8564C">
        <w:rPr>
          <w:lang w:val="es-ES"/>
        </w:rPr>
        <w:t xml:space="preserve"> de </w:t>
      </w:r>
      <w:r w:rsidRPr="00A8564C">
        <w:rPr>
          <w:lang w:val="es-ES"/>
        </w:rPr>
        <w:t>Israel</w:t>
      </w:r>
      <w:r w:rsidR="00D378F7" w:rsidRPr="00A8564C">
        <w:rPr>
          <w:lang w:val="es-ES"/>
        </w:rPr>
        <w:t xml:space="preserve"> </w:t>
      </w:r>
      <w:r w:rsidRPr="00A8564C">
        <w:rPr>
          <w:lang w:val="es-ES"/>
        </w:rPr>
        <w:t xml:space="preserve">- Technion), </w:t>
      </w:r>
      <w:r w:rsidR="00D378F7" w:rsidRPr="00A8564C">
        <w:rPr>
          <w:lang w:val="es-ES"/>
        </w:rPr>
        <w:t>física</w:t>
      </w:r>
      <w:r w:rsidRPr="00A8564C">
        <w:rPr>
          <w:lang w:val="es-ES"/>
        </w:rPr>
        <w:t xml:space="preserve"> (TAU, </w:t>
      </w:r>
      <w:r w:rsidR="00D378F7" w:rsidRPr="00A8564C">
        <w:rPr>
          <w:lang w:val="es-ES"/>
        </w:rPr>
        <w:t>Universidad Hebrea e Instituto Weizmann de Ciencias</w:t>
      </w:r>
      <w:r w:rsidRPr="00A8564C">
        <w:rPr>
          <w:lang w:val="es-ES"/>
        </w:rPr>
        <w:t xml:space="preserve">), </w:t>
      </w:r>
      <w:r w:rsidR="00BF6E62" w:rsidRPr="00A8564C">
        <w:rPr>
          <w:lang w:val="es-ES"/>
        </w:rPr>
        <w:t>química</w:t>
      </w:r>
      <w:r w:rsidR="00D378F7" w:rsidRPr="00A8564C">
        <w:rPr>
          <w:lang w:val="es-ES"/>
        </w:rPr>
        <w:t xml:space="preserve"> </w:t>
      </w:r>
      <w:r w:rsidRPr="00A8564C">
        <w:rPr>
          <w:lang w:val="es-ES"/>
        </w:rPr>
        <w:t xml:space="preserve">(Technion </w:t>
      </w:r>
      <w:r w:rsidR="00D378F7" w:rsidRPr="00A8564C">
        <w:rPr>
          <w:lang w:val="es-ES"/>
        </w:rPr>
        <w:t>e Instituto</w:t>
      </w:r>
      <w:r w:rsidRPr="00A8564C">
        <w:rPr>
          <w:lang w:val="es-ES"/>
        </w:rPr>
        <w:t xml:space="preserve"> Weizmann </w:t>
      </w:r>
      <w:r w:rsidR="00D378F7" w:rsidRPr="00A8564C">
        <w:rPr>
          <w:lang w:val="es-ES"/>
        </w:rPr>
        <w:t>de Ciencias)</w:t>
      </w:r>
      <w:r w:rsidRPr="00A8564C">
        <w:rPr>
          <w:lang w:val="es-ES"/>
        </w:rPr>
        <w:t xml:space="preserve">, </w:t>
      </w:r>
      <w:r w:rsidR="00D378F7" w:rsidRPr="00A8564C">
        <w:rPr>
          <w:lang w:val="es-ES"/>
        </w:rPr>
        <w:t>informática</w:t>
      </w:r>
      <w:r w:rsidRPr="00A8564C">
        <w:rPr>
          <w:lang w:val="es-ES"/>
        </w:rPr>
        <w:t xml:space="preserve"> (</w:t>
      </w:r>
      <w:r w:rsidR="00D378F7" w:rsidRPr="00A8564C">
        <w:rPr>
          <w:lang w:val="es-ES"/>
        </w:rPr>
        <w:t>Instituto Weizmann de Ciencias</w:t>
      </w:r>
      <w:r w:rsidRPr="00A8564C">
        <w:rPr>
          <w:lang w:val="es-ES"/>
        </w:rPr>
        <w:t xml:space="preserve">, Technion, </w:t>
      </w:r>
      <w:r w:rsidR="00D378F7" w:rsidRPr="00A8564C">
        <w:rPr>
          <w:lang w:val="es-ES"/>
        </w:rPr>
        <w:t>Universidad Hebrea</w:t>
      </w:r>
      <w:r w:rsidRPr="00A8564C">
        <w:rPr>
          <w:lang w:val="es-ES"/>
        </w:rPr>
        <w:t xml:space="preserve">, TAU </w:t>
      </w:r>
      <w:r w:rsidR="00D02D32" w:rsidRPr="00A8564C">
        <w:rPr>
          <w:lang w:val="es-ES"/>
        </w:rPr>
        <w:t xml:space="preserve">y </w:t>
      </w:r>
      <w:r w:rsidR="00BF6E62" w:rsidRPr="00A8564C">
        <w:rPr>
          <w:lang w:val="es-ES"/>
        </w:rPr>
        <w:t>Universidad</w:t>
      </w:r>
      <w:r w:rsidR="00D02D32" w:rsidRPr="00A8564C">
        <w:rPr>
          <w:lang w:val="es-ES"/>
        </w:rPr>
        <w:t xml:space="preserve"> </w:t>
      </w:r>
      <w:r w:rsidRPr="00A8564C">
        <w:rPr>
          <w:lang w:val="es-ES"/>
        </w:rPr>
        <w:t xml:space="preserve">Bar Ilan) </w:t>
      </w:r>
      <w:r w:rsidR="00D02D32" w:rsidRPr="00A8564C">
        <w:rPr>
          <w:lang w:val="es-ES"/>
        </w:rPr>
        <w:t xml:space="preserve">y </w:t>
      </w:r>
      <w:r w:rsidR="00BF6E62" w:rsidRPr="00A8564C">
        <w:rPr>
          <w:lang w:val="es-ES"/>
        </w:rPr>
        <w:t>economía</w:t>
      </w:r>
      <w:r w:rsidRPr="00A8564C">
        <w:rPr>
          <w:lang w:val="es-ES"/>
        </w:rPr>
        <w:t xml:space="preserve"> (</w:t>
      </w:r>
      <w:r w:rsidR="00D02D32" w:rsidRPr="00A8564C">
        <w:rPr>
          <w:lang w:val="es-ES"/>
        </w:rPr>
        <w:t>Universidad Hebrea  y</w:t>
      </w:r>
      <w:r w:rsidRPr="00A8564C">
        <w:rPr>
          <w:lang w:val="es-ES"/>
        </w:rPr>
        <w:t xml:space="preserve"> TAU)</w:t>
      </w:r>
      <w:r w:rsidR="009E7E5E" w:rsidRPr="00A8564C">
        <w:rPr>
          <w:lang w:val="es-ES"/>
        </w:rPr>
        <w:t xml:space="preserve">.  </w:t>
      </w:r>
      <w:r w:rsidR="00D02D32" w:rsidRPr="00A8564C">
        <w:rPr>
          <w:lang w:val="es-ES"/>
        </w:rPr>
        <w:t xml:space="preserve">Desde 2002, los investigadores </w:t>
      </w:r>
      <w:r w:rsidR="00BF6E62" w:rsidRPr="00A8564C">
        <w:rPr>
          <w:lang w:val="es-ES"/>
        </w:rPr>
        <w:t>israelíes</w:t>
      </w:r>
      <w:r w:rsidR="00D02D32" w:rsidRPr="00A8564C">
        <w:rPr>
          <w:lang w:val="es-ES"/>
        </w:rPr>
        <w:t xml:space="preserve"> han </w:t>
      </w:r>
      <w:r w:rsidR="009C1A56" w:rsidRPr="00A8564C">
        <w:rPr>
          <w:lang w:val="es-ES"/>
        </w:rPr>
        <w:t>recibido</w:t>
      </w:r>
      <w:r w:rsidR="00D02D32" w:rsidRPr="00A8564C">
        <w:rPr>
          <w:lang w:val="es-ES"/>
        </w:rPr>
        <w:t xml:space="preserve"> seis Premios Nobel</w:t>
      </w:r>
      <w:r w:rsidR="009E7E5E" w:rsidRPr="00A8564C">
        <w:rPr>
          <w:lang w:val="es-ES"/>
        </w:rPr>
        <w:t xml:space="preserve">.  </w:t>
      </w:r>
      <w:r w:rsidRPr="00A8564C">
        <w:rPr>
          <w:lang w:val="es-ES"/>
        </w:rPr>
        <w:t xml:space="preserve">Israel </w:t>
      </w:r>
      <w:r w:rsidR="009C1A56" w:rsidRPr="00A8564C">
        <w:rPr>
          <w:lang w:val="es-ES"/>
        </w:rPr>
        <w:t xml:space="preserve">ha sido a menudo clasificado </w:t>
      </w:r>
      <w:r w:rsidR="00D02D32" w:rsidRPr="00A8564C">
        <w:rPr>
          <w:lang w:val="es-ES"/>
        </w:rPr>
        <w:t xml:space="preserve">como uno de los </w:t>
      </w:r>
      <w:r w:rsidR="00BF6E62" w:rsidRPr="00A8564C">
        <w:rPr>
          <w:lang w:val="es-ES"/>
        </w:rPr>
        <w:t>países</w:t>
      </w:r>
      <w:r w:rsidR="00D02D32" w:rsidRPr="00A8564C">
        <w:rPr>
          <w:lang w:val="es-ES"/>
        </w:rPr>
        <w:t xml:space="preserve"> con </w:t>
      </w:r>
      <w:r w:rsidR="009C1A56" w:rsidRPr="00A8564C">
        <w:rPr>
          <w:lang w:val="es-ES"/>
        </w:rPr>
        <w:t>la mayor proporción de artículos</w:t>
      </w:r>
      <w:r w:rsidR="00D02D32" w:rsidRPr="00A8564C">
        <w:rPr>
          <w:lang w:val="es-ES"/>
        </w:rPr>
        <w:t xml:space="preserve"> </w:t>
      </w:r>
      <w:r w:rsidR="00BF6E62" w:rsidRPr="00A8564C">
        <w:rPr>
          <w:lang w:val="es-ES"/>
        </w:rPr>
        <w:t>científicos</w:t>
      </w:r>
      <w:r w:rsidR="00D02D32" w:rsidRPr="00A8564C">
        <w:rPr>
          <w:lang w:val="es-ES"/>
        </w:rPr>
        <w:t xml:space="preserve"> p</w:t>
      </w:r>
      <w:r w:rsidR="009C1A56" w:rsidRPr="00A8564C">
        <w:rPr>
          <w:lang w:val="es-ES"/>
        </w:rPr>
        <w:t>or</w:t>
      </w:r>
      <w:r w:rsidR="00D02D32" w:rsidRPr="00A8564C">
        <w:rPr>
          <w:lang w:val="es-ES"/>
        </w:rPr>
        <w:t xml:space="preserve"> </w:t>
      </w:r>
      <w:r w:rsidR="00BF6E62" w:rsidRPr="00A8564C">
        <w:rPr>
          <w:lang w:val="es-ES"/>
        </w:rPr>
        <w:t>habitante</w:t>
      </w:r>
      <w:r w:rsidR="00D02D32" w:rsidRPr="00A8564C">
        <w:rPr>
          <w:lang w:val="es-ES"/>
        </w:rPr>
        <w:t xml:space="preserve"> del </w:t>
      </w:r>
      <w:r w:rsidR="00BF6E62" w:rsidRPr="00A8564C">
        <w:rPr>
          <w:lang w:val="es-ES"/>
        </w:rPr>
        <w:t>mundo</w:t>
      </w:r>
      <w:r w:rsidR="009E7E5E" w:rsidRPr="00A8564C">
        <w:rPr>
          <w:lang w:val="es-ES"/>
        </w:rPr>
        <w:t xml:space="preserve">.  </w:t>
      </w:r>
      <w:r w:rsidR="00D02D32" w:rsidRPr="00A8564C">
        <w:rPr>
          <w:lang w:val="es-ES"/>
        </w:rPr>
        <w:t xml:space="preserve">Desde 2000, Israel </w:t>
      </w:r>
      <w:r w:rsidR="00A960AA" w:rsidRPr="00A8564C">
        <w:rPr>
          <w:lang w:val="es-ES"/>
        </w:rPr>
        <w:t>es líder mundial en cuanto al número de</w:t>
      </w:r>
      <w:r w:rsidR="009C1A56" w:rsidRPr="00A8564C">
        <w:rPr>
          <w:lang w:val="es-ES"/>
        </w:rPr>
        <w:t xml:space="preserve"> trabajos de investigación </w:t>
      </w:r>
      <w:r w:rsidR="00A960AA" w:rsidRPr="00A8564C">
        <w:rPr>
          <w:lang w:val="es-ES"/>
        </w:rPr>
        <w:t>sobre las</w:t>
      </w:r>
      <w:r w:rsidR="00D02D32" w:rsidRPr="00A8564C">
        <w:rPr>
          <w:lang w:val="es-ES"/>
        </w:rPr>
        <w:t xml:space="preserve"> </w:t>
      </w:r>
      <w:r w:rsidR="00BF6E62" w:rsidRPr="00A8564C">
        <w:rPr>
          <w:lang w:val="es-ES"/>
        </w:rPr>
        <w:t>células</w:t>
      </w:r>
      <w:r w:rsidR="00D02D32" w:rsidRPr="00A8564C">
        <w:rPr>
          <w:lang w:val="es-ES"/>
        </w:rPr>
        <w:t xml:space="preserve"> madre</w:t>
      </w:r>
      <w:r w:rsidR="008742D9" w:rsidRPr="00A8564C">
        <w:rPr>
          <w:lang w:val="es-ES"/>
        </w:rPr>
        <w:t xml:space="preserve"> </w:t>
      </w:r>
      <w:r w:rsidR="009C1A56" w:rsidRPr="00A8564C">
        <w:rPr>
          <w:lang w:val="es-ES"/>
        </w:rPr>
        <w:t>por habitante</w:t>
      </w:r>
      <w:r w:rsidRPr="00A8564C">
        <w:rPr>
          <w:lang w:val="es-ES"/>
        </w:rPr>
        <w:t xml:space="preserve">. </w:t>
      </w:r>
    </w:p>
    <w:p w14:paraId="4C88926F" w14:textId="77777777" w:rsidR="002C70DB" w:rsidRPr="00A8564C" w:rsidRDefault="002C70DB" w:rsidP="00DE4453">
      <w:pPr>
        <w:rPr>
          <w:lang w:val="es-ES"/>
        </w:rPr>
      </w:pPr>
    </w:p>
    <w:p w14:paraId="2E6691B4" w14:textId="67EEF315" w:rsidR="002C70DB" w:rsidRPr="00A8564C" w:rsidRDefault="00AB3F26" w:rsidP="00DE4453">
      <w:pPr>
        <w:rPr>
          <w:lang w:val="es-ES"/>
        </w:rPr>
      </w:pPr>
      <w:r w:rsidRPr="00A8564C">
        <w:rPr>
          <w:lang w:val="es-ES"/>
        </w:rPr>
        <w:t>Algunos u</w:t>
      </w:r>
      <w:r w:rsidR="008742D9" w:rsidRPr="00A8564C">
        <w:rPr>
          <w:lang w:val="es-ES"/>
        </w:rPr>
        <w:t xml:space="preserve">niversitarios locales </w:t>
      </w:r>
      <w:r w:rsidR="00B230E7" w:rsidRPr="00A8564C">
        <w:rPr>
          <w:lang w:val="es-ES"/>
        </w:rPr>
        <w:t>crearon</w:t>
      </w:r>
      <w:r w:rsidR="008742D9" w:rsidRPr="00A8564C">
        <w:rPr>
          <w:lang w:val="es-ES"/>
        </w:rPr>
        <w:t xml:space="preserve"> 1</w:t>
      </w:r>
      <w:r w:rsidR="002C70DB" w:rsidRPr="00A8564C">
        <w:rPr>
          <w:lang w:val="es-ES"/>
        </w:rPr>
        <w:t xml:space="preserve">6 </w:t>
      </w:r>
      <w:r w:rsidR="008742D9" w:rsidRPr="00A8564C">
        <w:rPr>
          <w:lang w:val="es-ES"/>
        </w:rPr>
        <w:t xml:space="preserve">empresas de transferencia </w:t>
      </w:r>
      <w:r w:rsidR="00BF6E62" w:rsidRPr="00A8564C">
        <w:rPr>
          <w:lang w:val="es-ES"/>
        </w:rPr>
        <w:t>tecnológica</w:t>
      </w:r>
      <w:r w:rsidR="00A960AA" w:rsidRPr="00A8564C">
        <w:rPr>
          <w:lang w:val="es-ES"/>
        </w:rPr>
        <w:t>,</w:t>
      </w:r>
      <w:r w:rsidR="002C70DB" w:rsidRPr="00A8564C">
        <w:rPr>
          <w:rStyle w:val="FootnoteReference"/>
          <w:sz w:val="24"/>
          <w:szCs w:val="24"/>
          <w:lang w:val="es-ES"/>
        </w:rPr>
        <w:footnoteReference w:id="16"/>
      </w:r>
      <w:r w:rsidR="00CB7E15">
        <w:rPr>
          <w:lang w:val="es-ES"/>
        </w:rPr>
        <w:t xml:space="preserve"> </w:t>
      </w:r>
      <w:r w:rsidR="00BF6E62" w:rsidRPr="00A8564C">
        <w:rPr>
          <w:lang w:val="es-ES"/>
        </w:rPr>
        <w:t>asociadas</w:t>
      </w:r>
      <w:r w:rsidR="008742D9" w:rsidRPr="00A8564C">
        <w:rPr>
          <w:lang w:val="es-ES"/>
        </w:rPr>
        <w:t xml:space="preserve"> a las </w:t>
      </w:r>
      <w:r w:rsidR="00BF6E62" w:rsidRPr="00A8564C">
        <w:rPr>
          <w:lang w:val="es-ES"/>
        </w:rPr>
        <w:t>universidades</w:t>
      </w:r>
      <w:r w:rsidR="00A960AA" w:rsidRPr="00A8564C">
        <w:rPr>
          <w:lang w:val="es-ES"/>
        </w:rPr>
        <w:t xml:space="preserve">, las </w:t>
      </w:r>
      <w:r w:rsidR="008742D9" w:rsidRPr="00A8564C">
        <w:rPr>
          <w:lang w:val="es-ES"/>
        </w:rPr>
        <w:t xml:space="preserve">instituciones de </w:t>
      </w:r>
      <w:r w:rsidR="00BF6E62" w:rsidRPr="00A8564C">
        <w:rPr>
          <w:lang w:val="es-ES"/>
        </w:rPr>
        <w:t>investigación</w:t>
      </w:r>
      <w:r w:rsidR="008742D9" w:rsidRPr="00A8564C">
        <w:rPr>
          <w:lang w:val="es-ES"/>
        </w:rPr>
        <w:t xml:space="preserve"> y </w:t>
      </w:r>
      <w:r w:rsidR="00A960AA" w:rsidRPr="00A8564C">
        <w:rPr>
          <w:lang w:val="es-ES"/>
        </w:rPr>
        <w:t xml:space="preserve">los </w:t>
      </w:r>
      <w:r w:rsidR="008742D9" w:rsidRPr="00A8564C">
        <w:rPr>
          <w:lang w:val="es-ES"/>
        </w:rPr>
        <w:t xml:space="preserve">centros </w:t>
      </w:r>
      <w:r w:rsidR="00BF6E62" w:rsidRPr="00A8564C">
        <w:rPr>
          <w:lang w:val="es-ES"/>
        </w:rPr>
        <w:t>médicos</w:t>
      </w:r>
      <w:r w:rsidR="008742D9" w:rsidRPr="00A8564C">
        <w:rPr>
          <w:lang w:val="es-ES"/>
        </w:rPr>
        <w:t xml:space="preserve"> </w:t>
      </w:r>
      <w:r w:rsidR="00A960AA" w:rsidRPr="00A8564C">
        <w:rPr>
          <w:lang w:val="es-ES"/>
        </w:rPr>
        <w:t xml:space="preserve">más prestigiosos </w:t>
      </w:r>
      <w:r w:rsidR="008742D9" w:rsidRPr="00A8564C">
        <w:rPr>
          <w:lang w:val="es-ES"/>
        </w:rPr>
        <w:t xml:space="preserve">del </w:t>
      </w:r>
      <w:r w:rsidR="00BF6E62" w:rsidRPr="00A8564C">
        <w:rPr>
          <w:lang w:val="es-ES"/>
        </w:rPr>
        <w:t>país</w:t>
      </w:r>
      <w:r w:rsidR="008742D9" w:rsidRPr="00A8564C">
        <w:rPr>
          <w:lang w:val="es-ES"/>
        </w:rPr>
        <w:t xml:space="preserve">.  Los modelos de </w:t>
      </w:r>
      <w:r w:rsidR="00BF6E62" w:rsidRPr="00A8564C">
        <w:rPr>
          <w:lang w:val="es-ES"/>
        </w:rPr>
        <w:t>transferencia</w:t>
      </w:r>
      <w:r w:rsidR="008742D9" w:rsidRPr="00A8564C">
        <w:rPr>
          <w:lang w:val="es-ES"/>
        </w:rPr>
        <w:t xml:space="preserve"> de </w:t>
      </w:r>
      <w:r w:rsidR="00BF6E62" w:rsidRPr="00A8564C">
        <w:rPr>
          <w:lang w:val="es-ES"/>
        </w:rPr>
        <w:t>tecnología</w:t>
      </w:r>
      <w:r w:rsidR="00CB7E15">
        <w:rPr>
          <w:lang w:val="es-ES"/>
        </w:rPr>
        <w:t xml:space="preserve"> creados por es</w:t>
      </w:r>
      <w:r w:rsidR="008742D9" w:rsidRPr="00A8564C">
        <w:rPr>
          <w:lang w:val="es-ES"/>
        </w:rPr>
        <w:t xml:space="preserve">as organizaciones son conocidos en </w:t>
      </w:r>
      <w:r w:rsidR="00BF6E62" w:rsidRPr="00A8564C">
        <w:rPr>
          <w:lang w:val="es-ES"/>
        </w:rPr>
        <w:t>el</w:t>
      </w:r>
      <w:r w:rsidR="008742D9" w:rsidRPr="00A8564C">
        <w:rPr>
          <w:lang w:val="es-ES"/>
        </w:rPr>
        <w:t xml:space="preserve"> mundo ent</w:t>
      </w:r>
      <w:r w:rsidR="00A960AA" w:rsidRPr="00A8564C">
        <w:rPr>
          <w:lang w:val="es-ES"/>
        </w:rPr>
        <w:t>ero.  Esas organizaciones son lo</w:t>
      </w:r>
      <w:r w:rsidR="008742D9" w:rsidRPr="00A8564C">
        <w:rPr>
          <w:lang w:val="es-ES"/>
        </w:rPr>
        <w:t>s pr</w:t>
      </w:r>
      <w:r w:rsidR="00BF6E62" w:rsidRPr="00A8564C">
        <w:rPr>
          <w:lang w:val="es-ES"/>
        </w:rPr>
        <w:t>incip</w:t>
      </w:r>
      <w:r w:rsidR="008742D9" w:rsidRPr="00A8564C">
        <w:rPr>
          <w:lang w:val="es-ES"/>
        </w:rPr>
        <w:t xml:space="preserve">ales </w:t>
      </w:r>
      <w:r w:rsidR="00BF6E62" w:rsidRPr="00A8564C">
        <w:rPr>
          <w:lang w:val="es-ES"/>
        </w:rPr>
        <w:t>solicitantes</w:t>
      </w:r>
      <w:r w:rsidR="008742D9" w:rsidRPr="00A8564C">
        <w:rPr>
          <w:lang w:val="es-ES"/>
        </w:rPr>
        <w:t xml:space="preserve"> </w:t>
      </w:r>
      <w:r w:rsidR="002C70DB" w:rsidRPr="00A8564C">
        <w:rPr>
          <w:lang w:val="es-ES"/>
        </w:rPr>
        <w:t xml:space="preserve">PCT </w:t>
      </w:r>
      <w:r w:rsidR="008742D9" w:rsidRPr="00A8564C">
        <w:rPr>
          <w:lang w:val="es-ES"/>
        </w:rPr>
        <w:t xml:space="preserve">en </w:t>
      </w:r>
      <w:r w:rsidR="002C70DB" w:rsidRPr="00A8564C">
        <w:rPr>
          <w:lang w:val="es-ES"/>
        </w:rPr>
        <w:t>Israel</w:t>
      </w:r>
      <w:r w:rsidR="008742D9" w:rsidRPr="00A8564C">
        <w:rPr>
          <w:lang w:val="es-ES"/>
        </w:rPr>
        <w:t>.</w:t>
      </w:r>
      <w:r w:rsidR="002C70DB" w:rsidRPr="00A8564C">
        <w:rPr>
          <w:rStyle w:val="FootnoteReference"/>
          <w:sz w:val="24"/>
          <w:szCs w:val="24"/>
          <w:lang w:val="es-ES"/>
        </w:rPr>
        <w:footnoteReference w:id="17"/>
      </w:r>
      <w:r w:rsidR="002C70DB" w:rsidRPr="00A8564C">
        <w:rPr>
          <w:lang w:val="es-ES"/>
        </w:rPr>
        <w:t xml:space="preserve"> </w:t>
      </w:r>
    </w:p>
    <w:p w14:paraId="2FF07704" w14:textId="77777777" w:rsidR="002C70DB" w:rsidRPr="00A8564C" w:rsidRDefault="002C70DB" w:rsidP="00DE4453">
      <w:pPr>
        <w:rPr>
          <w:lang w:val="es-ES"/>
        </w:rPr>
      </w:pPr>
    </w:p>
    <w:p w14:paraId="37129903" w14:textId="0D0D0FF6" w:rsidR="002C70DB" w:rsidRPr="00A8564C" w:rsidRDefault="00A41B96" w:rsidP="00D852EC">
      <w:pPr>
        <w:pStyle w:val="Heading3"/>
        <w:keepLines/>
        <w:rPr>
          <w:lang w:val="es-ES"/>
        </w:rPr>
      </w:pPr>
      <w:r w:rsidRPr="00A8564C">
        <w:rPr>
          <w:lang w:val="es-ES"/>
        </w:rPr>
        <w:lastRenderedPageBreak/>
        <w:t>1.3.4.</w:t>
      </w:r>
      <w:r w:rsidRPr="00A8564C">
        <w:rPr>
          <w:lang w:val="es-ES"/>
        </w:rPr>
        <w:tab/>
      </w:r>
      <w:r w:rsidR="003D2C06" w:rsidRPr="00A8564C">
        <w:rPr>
          <w:lang w:val="es-ES"/>
        </w:rPr>
        <w:t>La</w:t>
      </w:r>
      <w:r w:rsidR="00EA3C1A" w:rsidRPr="00A8564C">
        <w:rPr>
          <w:lang w:val="es-ES"/>
        </w:rPr>
        <w:t xml:space="preserve"> </w:t>
      </w:r>
      <w:r w:rsidR="00A960AA" w:rsidRPr="00A8564C">
        <w:rPr>
          <w:lang w:val="es-ES"/>
        </w:rPr>
        <w:t xml:space="preserve">alta </w:t>
      </w:r>
      <w:r w:rsidR="00BF6E62" w:rsidRPr="00A8564C">
        <w:rPr>
          <w:lang w:val="es-ES"/>
        </w:rPr>
        <w:t>tecnología</w:t>
      </w:r>
      <w:r w:rsidR="003D2C06" w:rsidRPr="00A8564C">
        <w:rPr>
          <w:lang w:val="es-ES"/>
        </w:rPr>
        <w:t xml:space="preserve"> en </w:t>
      </w:r>
      <w:r w:rsidR="002C70DB" w:rsidRPr="00A8564C">
        <w:rPr>
          <w:lang w:val="es-ES"/>
        </w:rPr>
        <w:t>Israel</w:t>
      </w:r>
    </w:p>
    <w:p w14:paraId="5F84E9A5" w14:textId="77777777" w:rsidR="002C70DB" w:rsidRPr="00A8564C" w:rsidRDefault="002C70DB" w:rsidP="00D852EC">
      <w:pPr>
        <w:keepNext/>
        <w:keepLines/>
        <w:rPr>
          <w:lang w:val="es-ES"/>
        </w:rPr>
      </w:pPr>
    </w:p>
    <w:p w14:paraId="09044BD1" w14:textId="61728B4B" w:rsidR="002C70DB" w:rsidRPr="00A8564C" w:rsidRDefault="00A960AA" w:rsidP="00D852EC">
      <w:pPr>
        <w:keepNext/>
        <w:keepLines/>
        <w:rPr>
          <w:lang w:val="es-ES"/>
        </w:rPr>
      </w:pPr>
      <w:r w:rsidRPr="00A8564C">
        <w:rPr>
          <w:lang w:val="es-ES"/>
        </w:rPr>
        <w:t>La só</w:t>
      </w:r>
      <w:r w:rsidR="003D2C06" w:rsidRPr="00A8564C">
        <w:rPr>
          <w:lang w:val="es-ES"/>
        </w:rPr>
        <w:t xml:space="preserve">lida infraestructura </w:t>
      </w:r>
      <w:r w:rsidR="00BF6E62" w:rsidRPr="00A8564C">
        <w:rPr>
          <w:lang w:val="es-ES"/>
        </w:rPr>
        <w:t>educativa</w:t>
      </w:r>
      <w:r w:rsidR="003D2C06" w:rsidRPr="00A8564C">
        <w:rPr>
          <w:lang w:val="es-ES"/>
        </w:rPr>
        <w:t xml:space="preserve"> y la </w:t>
      </w:r>
      <w:r w:rsidRPr="00A8564C">
        <w:rPr>
          <w:lang w:val="es-ES"/>
        </w:rPr>
        <w:t xml:space="preserve">excelente </w:t>
      </w:r>
      <w:r w:rsidR="003D2C06" w:rsidRPr="00A8564C">
        <w:rPr>
          <w:lang w:val="es-ES"/>
        </w:rPr>
        <w:t>calidad de los programas nacionales</w:t>
      </w:r>
      <w:r w:rsidRPr="00A8564C">
        <w:rPr>
          <w:lang w:val="es-ES"/>
        </w:rPr>
        <w:t xml:space="preserve"> administrados por el Gobierno</w:t>
      </w:r>
      <w:r w:rsidR="002C70DB" w:rsidRPr="00A8564C">
        <w:rPr>
          <w:lang w:val="es-ES"/>
        </w:rPr>
        <w:t xml:space="preserve">, </w:t>
      </w:r>
      <w:r w:rsidR="003D2C06" w:rsidRPr="00A8564C">
        <w:rPr>
          <w:lang w:val="es-ES"/>
        </w:rPr>
        <w:t xml:space="preserve">como el Programa de incubadoras </w:t>
      </w:r>
      <w:r w:rsidR="00BF6E62" w:rsidRPr="00A8564C">
        <w:rPr>
          <w:lang w:val="es-ES"/>
        </w:rPr>
        <w:t>tecnológicas</w:t>
      </w:r>
      <w:r w:rsidR="003D2C06" w:rsidRPr="00A8564C">
        <w:rPr>
          <w:lang w:val="es-ES"/>
        </w:rPr>
        <w:t xml:space="preserve"> para </w:t>
      </w:r>
      <w:r w:rsidRPr="00A8564C">
        <w:rPr>
          <w:lang w:val="es-ES"/>
        </w:rPr>
        <w:t xml:space="preserve">traducir </w:t>
      </w:r>
      <w:r w:rsidR="003D2C06" w:rsidRPr="00A8564C">
        <w:rPr>
          <w:lang w:val="es-ES"/>
        </w:rPr>
        <w:t xml:space="preserve">ideas </w:t>
      </w:r>
      <w:r w:rsidR="00BF6E62" w:rsidRPr="00A8564C">
        <w:rPr>
          <w:lang w:val="es-ES"/>
        </w:rPr>
        <w:t>tecnológicas</w:t>
      </w:r>
      <w:r w:rsidR="003D2C06" w:rsidRPr="00A8564C">
        <w:rPr>
          <w:lang w:val="es-ES"/>
        </w:rPr>
        <w:t xml:space="preserve"> innovadoras </w:t>
      </w:r>
      <w:r w:rsidR="00AB76FA" w:rsidRPr="00A8564C">
        <w:rPr>
          <w:lang w:val="es-ES"/>
        </w:rPr>
        <w:t xml:space="preserve">en empresas </w:t>
      </w:r>
      <w:r w:rsidR="00BF6E62" w:rsidRPr="00A8564C">
        <w:rPr>
          <w:lang w:val="es-ES"/>
        </w:rPr>
        <w:t>tecnológicas</w:t>
      </w:r>
      <w:r w:rsidR="00AB76FA" w:rsidRPr="00A8564C">
        <w:rPr>
          <w:lang w:val="es-ES"/>
        </w:rPr>
        <w:t xml:space="preserve"> </w:t>
      </w:r>
      <w:r w:rsidR="00BF6E62" w:rsidRPr="00A8564C">
        <w:rPr>
          <w:lang w:val="es-ES"/>
        </w:rPr>
        <w:t>viables</w:t>
      </w:r>
      <w:r w:rsidR="00AB76FA" w:rsidRPr="00A8564C">
        <w:rPr>
          <w:lang w:val="es-ES"/>
        </w:rPr>
        <w:t>,</w:t>
      </w:r>
      <w:r w:rsidR="002C70DB" w:rsidRPr="00A8564C">
        <w:rPr>
          <w:rStyle w:val="FootnoteReference"/>
          <w:sz w:val="24"/>
          <w:szCs w:val="24"/>
          <w:lang w:val="es-ES"/>
        </w:rPr>
        <w:footnoteReference w:id="18"/>
      </w:r>
      <w:r w:rsidR="002C70DB" w:rsidRPr="00A8564C">
        <w:rPr>
          <w:lang w:val="es-ES"/>
        </w:rPr>
        <w:t xml:space="preserve"> </w:t>
      </w:r>
      <w:r w:rsidR="00AB76FA" w:rsidRPr="00A8564C">
        <w:rPr>
          <w:lang w:val="es-ES"/>
        </w:rPr>
        <w:t xml:space="preserve">dio lugar a una elevada </w:t>
      </w:r>
      <w:r w:rsidR="00BF6E62" w:rsidRPr="00A8564C">
        <w:rPr>
          <w:lang w:val="es-ES"/>
        </w:rPr>
        <w:t>concentración</w:t>
      </w:r>
      <w:r w:rsidR="00AB76FA" w:rsidRPr="00A8564C">
        <w:rPr>
          <w:lang w:val="es-ES"/>
        </w:rPr>
        <w:t xml:space="preserve"> de empresas de alta </w:t>
      </w:r>
      <w:r w:rsidR="00BF6E62" w:rsidRPr="00A8564C">
        <w:rPr>
          <w:lang w:val="es-ES"/>
        </w:rPr>
        <w:t>tecnología</w:t>
      </w:r>
      <w:r w:rsidR="00AB76FA" w:rsidRPr="00A8564C">
        <w:rPr>
          <w:lang w:val="es-ES"/>
        </w:rPr>
        <w:t xml:space="preserve"> en todo el </w:t>
      </w:r>
      <w:r w:rsidR="00BF6E62" w:rsidRPr="00A8564C">
        <w:rPr>
          <w:lang w:val="es-ES"/>
        </w:rPr>
        <w:t>país</w:t>
      </w:r>
      <w:r w:rsidR="00AB76FA" w:rsidRPr="00A8564C">
        <w:rPr>
          <w:lang w:val="es-ES"/>
        </w:rPr>
        <w:t xml:space="preserve">, respaldadas por una </w:t>
      </w:r>
      <w:r w:rsidR="00BF6E62" w:rsidRPr="00A8564C">
        <w:rPr>
          <w:lang w:val="es-ES"/>
        </w:rPr>
        <w:t>sólida</w:t>
      </w:r>
      <w:r w:rsidR="00AB76FA" w:rsidRPr="00A8564C">
        <w:rPr>
          <w:lang w:val="es-ES"/>
        </w:rPr>
        <w:t xml:space="preserve"> infraestructura de capital de riesgo.  Su </w:t>
      </w:r>
      <w:r w:rsidR="003644D6" w:rsidRPr="00A8564C">
        <w:rPr>
          <w:lang w:val="es-ES"/>
        </w:rPr>
        <w:t xml:space="preserve">plataforma central </w:t>
      </w:r>
      <w:r w:rsidR="00AB76FA" w:rsidRPr="00A8564C">
        <w:rPr>
          <w:lang w:val="es-ES"/>
        </w:rPr>
        <w:t xml:space="preserve">de alta </w:t>
      </w:r>
      <w:r w:rsidR="00BF6E62" w:rsidRPr="00A8564C">
        <w:rPr>
          <w:lang w:val="es-ES"/>
        </w:rPr>
        <w:t>tecnología</w:t>
      </w:r>
      <w:r w:rsidR="002C70DB" w:rsidRPr="00A8564C">
        <w:rPr>
          <w:lang w:val="es-ES"/>
        </w:rPr>
        <w:t xml:space="preserve">, </w:t>
      </w:r>
      <w:r w:rsidR="00AB76FA" w:rsidRPr="00A8564C">
        <w:rPr>
          <w:lang w:val="es-ES"/>
        </w:rPr>
        <w:t>conocid</w:t>
      </w:r>
      <w:r w:rsidR="003644D6" w:rsidRPr="00A8564C">
        <w:rPr>
          <w:lang w:val="es-ES"/>
        </w:rPr>
        <w:t>a</w:t>
      </w:r>
      <w:r w:rsidR="00AB76FA" w:rsidRPr="00A8564C">
        <w:rPr>
          <w:lang w:val="es-ES"/>
        </w:rPr>
        <w:t xml:space="preserve"> como </w:t>
      </w:r>
      <w:r w:rsidR="00CB7E15">
        <w:rPr>
          <w:lang w:val="es-ES"/>
        </w:rPr>
        <w:t>“</w:t>
      </w:r>
      <w:r w:rsidR="002C70DB" w:rsidRPr="00A8564C">
        <w:rPr>
          <w:lang w:val="es-ES"/>
        </w:rPr>
        <w:t>Silicon Wadi</w:t>
      </w:r>
      <w:r w:rsidR="00CB7E15">
        <w:rPr>
          <w:lang w:val="es-ES"/>
        </w:rPr>
        <w:t>”</w:t>
      </w:r>
      <w:r w:rsidR="002C70DB" w:rsidRPr="00A8564C">
        <w:rPr>
          <w:lang w:val="es-ES"/>
        </w:rPr>
        <w:t xml:space="preserve">, </w:t>
      </w:r>
      <w:r w:rsidR="00AB76FA" w:rsidRPr="00A8564C">
        <w:rPr>
          <w:lang w:val="es-ES"/>
        </w:rPr>
        <w:t xml:space="preserve">es considerado el </w:t>
      </w:r>
      <w:r w:rsidR="00BF6E62" w:rsidRPr="00A8564C">
        <w:rPr>
          <w:lang w:val="es-ES"/>
        </w:rPr>
        <w:t>segundo</w:t>
      </w:r>
      <w:r w:rsidR="00AB76FA" w:rsidRPr="00A8564C">
        <w:rPr>
          <w:lang w:val="es-ES"/>
        </w:rPr>
        <w:t xml:space="preserve"> en importancia </w:t>
      </w:r>
      <w:r w:rsidR="00BF6E62" w:rsidRPr="00A8564C">
        <w:rPr>
          <w:lang w:val="es-ES"/>
        </w:rPr>
        <w:t>después</w:t>
      </w:r>
      <w:r w:rsidR="00AB76FA" w:rsidRPr="00A8564C">
        <w:rPr>
          <w:lang w:val="es-ES"/>
        </w:rPr>
        <w:t xml:space="preserve"> de su </w:t>
      </w:r>
      <w:r w:rsidR="003644D6" w:rsidRPr="00A8564C">
        <w:rPr>
          <w:lang w:val="es-ES"/>
        </w:rPr>
        <w:t>homólogo</w:t>
      </w:r>
      <w:r w:rsidR="00AB76FA" w:rsidRPr="00A8564C">
        <w:rPr>
          <w:lang w:val="es-ES"/>
        </w:rPr>
        <w:t xml:space="preserve"> californiano</w:t>
      </w:r>
      <w:r w:rsidR="003644D6" w:rsidRPr="00A8564C">
        <w:rPr>
          <w:lang w:val="es-ES"/>
        </w:rPr>
        <w:t>, el</w:t>
      </w:r>
      <w:r w:rsidR="00AB76FA" w:rsidRPr="00A8564C">
        <w:rPr>
          <w:lang w:val="es-ES"/>
        </w:rPr>
        <w:t xml:space="preserve"> S</w:t>
      </w:r>
      <w:r w:rsidR="002C70DB" w:rsidRPr="00A8564C">
        <w:rPr>
          <w:lang w:val="es-ES"/>
        </w:rPr>
        <w:t>ilicon Valley.</w:t>
      </w:r>
    </w:p>
    <w:p w14:paraId="04DD417C" w14:textId="77777777" w:rsidR="002C70DB" w:rsidRPr="00A8564C" w:rsidRDefault="002C70DB" w:rsidP="00DE4453">
      <w:pPr>
        <w:rPr>
          <w:lang w:val="es-ES"/>
        </w:rPr>
      </w:pPr>
    </w:p>
    <w:p w14:paraId="3725DA22" w14:textId="1BCB2B6D" w:rsidR="002C70DB" w:rsidRPr="00A8564C" w:rsidRDefault="00AB76FA" w:rsidP="00DE4453">
      <w:pPr>
        <w:rPr>
          <w:lang w:val="es-ES"/>
        </w:rPr>
      </w:pPr>
      <w:r w:rsidRPr="00A8564C">
        <w:rPr>
          <w:lang w:val="es-ES"/>
        </w:rPr>
        <w:t xml:space="preserve">En </w:t>
      </w:r>
      <w:r w:rsidR="002C70DB" w:rsidRPr="00A8564C">
        <w:rPr>
          <w:lang w:val="es-ES"/>
        </w:rPr>
        <w:t xml:space="preserve">2016, </w:t>
      </w:r>
      <w:r w:rsidRPr="00A8564C">
        <w:rPr>
          <w:lang w:val="es-ES"/>
        </w:rPr>
        <w:t xml:space="preserve">el sector de la alta </w:t>
      </w:r>
      <w:r w:rsidR="00BF6E62" w:rsidRPr="00A8564C">
        <w:rPr>
          <w:lang w:val="es-ES"/>
        </w:rPr>
        <w:t>tecnología</w:t>
      </w:r>
      <w:r w:rsidRPr="00A8564C">
        <w:rPr>
          <w:lang w:val="es-ES"/>
        </w:rPr>
        <w:t xml:space="preserve"> </w:t>
      </w:r>
      <w:r w:rsidR="00BF6E62" w:rsidRPr="00A8564C">
        <w:rPr>
          <w:lang w:val="es-ES"/>
        </w:rPr>
        <w:t>israelí</w:t>
      </w:r>
      <w:r w:rsidRPr="00A8564C">
        <w:rPr>
          <w:lang w:val="es-ES"/>
        </w:rPr>
        <w:t xml:space="preserve"> </w:t>
      </w:r>
      <w:r w:rsidR="004A6DF3" w:rsidRPr="00A8564C">
        <w:rPr>
          <w:lang w:val="es-ES"/>
        </w:rPr>
        <w:t xml:space="preserve">realizó operaciones de compra y venta de </w:t>
      </w:r>
      <w:r w:rsidR="00026310" w:rsidRPr="00A8564C">
        <w:rPr>
          <w:lang w:val="es-ES"/>
        </w:rPr>
        <w:t xml:space="preserve">empresas </w:t>
      </w:r>
      <w:r w:rsidR="00E07CEC" w:rsidRPr="00A8564C">
        <w:rPr>
          <w:lang w:val="es-ES"/>
        </w:rPr>
        <w:t>por valor de</w:t>
      </w:r>
      <w:r w:rsidRPr="00A8564C">
        <w:rPr>
          <w:lang w:val="es-ES"/>
        </w:rPr>
        <w:t xml:space="preserve"> 10.000 millones de </w:t>
      </w:r>
      <w:r w:rsidR="00BF6E62" w:rsidRPr="00A8564C">
        <w:rPr>
          <w:lang w:val="es-ES"/>
        </w:rPr>
        <w:t>dólares</w:t>
      </w:r>
      <w:r w:rsidRPr="00A8564C">
        <w:rPr>
          <w:lang w:val="es-ES"/>
        </w:rPr>
        <w:t xml:space="preserve"> </w:t>
      </w:r>
      <w:r w:rsidR="00BF6E62" w:rsidRPr="00A8564C">
        <w:rPr>
          <w:lang w:val="es-ES"/>
        </w:rPr>
        <w:t>EE. UU</w:t>
      </w:r>
      <w:r w:rsidR="002C70DB" w:rsidRPr="00A8564C">
        <w:rPr>
          <w:rStyle w:val="FootnoteReference"/>
          <w:sz w:val="24"/>
          <w:szCs w:val="24"/>
          <w:lang w:val="es-ES"/>
        </w:rPr>
        <w:footnoteReference w:id="19"/>
      </w:r>
      <w:r w:rsidRPr="00A8564C">
        <w:rPr>
          <w:lang w:val="es-ES"/>
        </w:rPr>
        <w:t xml:space="preserve">, mientras que </w:t>
      </w:r>
      <w:r w:rsidR="00BF6E62" w:rsidRPr="00A8564C">
        <w:rPr>
          <w:lang w:val="es-ES"/>
        </w:rPr>
        <w:t>la</w:t>
      </w:r>
      <w:r w:rsidR="00A35F8A" w:rsidRPr="00A8564C">
        <w:rPr>
          <w:lang w:val="es-ES"/>
        </w:rPr>
        <w:t xml:space="preserve">s </w:t>
      </w:r>
      <w:r w:rsidR="00BF6E62" w:rsidRPr="00A8564C">
        <w:rPr>
          <w:lang w:val="es-ES"/>
        </w:rPr>
        <w:t>actividad</w:t>
      </w:r>
      <w:r w:rsidR="00A35F8A" w:rsidRPr="00A8564C">
        <w:rPr>
          <w:lang w:val="es-ES"/>
        </w:rPr>
        <w:t xml:space="preserve">es </w:t>
      </w:r>
      <w:r w:rsidRPr="00A8564C">
        <w:rPr>
          <w:lang w:val="es-ES"/>
        </w:rPr>
        <w:t xml:space="preserve">de </w:t>
      </w:r>
      <w:r w:rsidR="00A35F8A" w:rsidRPr="00A8564C">
        <w:rPr>
          <w:lang w:val="es-ES"/>
        </w:rPr>
        <w:t>obten</w:t>
      </w:r>
      <w:r w:rsidR="00BF6E62" w:rsidRPr="00A8564C">
        <w:rPr>
          <w:lang w:val="es-ES"/>
        </w:rPr>
        <w:t>ción</w:t>
      </w:r>
      <w:r w:rsidRPr="00A8564C">
        <w:rPr>
          <w:lang w:val="es-ES"/>
        </w:rPr>
        <w:t xml:space="preserve"> de fondos de </w:t>
      </w:r>
      <w:r w:rsidR="00BF6E62" w:rsidRPr="00A8564C">
        <w:rPr>
          <w:lang w:val="es-ES"/>
        </w:rPr>
        <w:t>c</w:t>
      </w:r>
      <w:r w:rsidR="003644D6" w:rsidRPr="00A8564C">
        <w:rPr>
          <w:lang w:val="es-ES"/>
        </w:rPr>
        <w:t xml:space="preserve">apital </w:t>
      </w:r>
      <w:r w:rsidRPr="00A8564C">
        <w:rPr>
          <w:lang w:val="es-ES"/>
        </w:rPr>
        <w:t xml:space="preserve">de riesgo </w:t>
      </w:r>
      <w:r w:rsidR="00A35F8A" w:rsidRPr="00A8564C">
        <w:rPr>
          <w:lang w:val="es-ES"/>
        </w:rPr>
        <w:t>alcanzaron un total de</w:t>
      </w:r>
      <w:r w:rsidRPr="00A8564C">
        <w:rPr>
          <w:lang w:val="es-ES"/>
        </w:rPr>
        <w:t xml:space="preserve"> </w:t>
      </w:r>
      <w:r w:rsidR="002C70DB" w:rsidRPr="00A8564C">
        <w:rPr>
          <w:lang w:val="es-ES"/>
        </w:rPr>
        <w:t>1.4</w:t>
      </w:r>
      <w:r w:rsidRPr="00A8564C">
        <w:rPr>
          <w:lang w:val="es-ES"/>
        </w:rPr>
        <w:t xml:space="preserve">00 millones de </w:t>
      </w:r>
      <w:r w:rsidR="00BF6E62" w:rsidRPr="00A8564C">
        <w:rPr>
          <w:lang w:val="es-ES"/>
        </w:rPr>
        <w:t>dólares</w:t>
      </w:r>
      <w:r w:rsidRPr="00A8564C">
        <w:rPr>
          <w:lang w:val="es-ES"/>
        </w:rPr>
        <w:t>.</w:t>
      </w:r>
      <w:r w:rsidR="002C70DB" w:rsidRPr="00A8564C">
        <w:rPr>
          <w:rStyle w:val="FootnoteReference"/>
          <w:sz w:val="24"/>
          <w:szCs w:val="24"/>
          <w:lang w:val="es-ES"/>
        </w:rPr>
        <w:footnoteReference w:id="20"/>
      </w:r>
      <w:r w:rsidR="009E7E5E" w:rsidRPr="00A8564C">
        <w:rPr>
          <w:lang w:val="es-ES"/>
        </w:rPr>
        <w:t xml:space="preserve">  </w:t>
      </w:r>
      <w:r w:rsidRPr="00A8564C">
        <w:rPr>
          <w:lang w:val="es-ES"/>
        </w:rPr>
        <w:t xml:space="preserve">La mayor parte de las exportaciones </w:t>
      </w:r>
      <w:r w:rsidR="00BF6E62" w:rsidRPr="00A8564C">
        <w:rPr>
          <w:lang w:val="es-ES"/>
        </w:rPr>
        <w:t>israelíes</w:t>
      </w:r>
      <w:r w:rsidRPr="00A8564C">
        <w:rPr>
          <w:lang w:val="es-ES"/>
        </w:rPr>
        <w:t xml:space="preserve"> de productos </w:t>
      </w:r>
      <w:r w:rsidR="00BF6E62" w:rsidRPr="00A8564C">
        <w:rPr>
          <w:lang w:val="es-ES"/>
        </w:rPr>
        <w:t>manufacturados</w:t>
      </w:r>
      <w:r w:rsidRPr="00A8564C">
        <w:rPr>
          <w:lang w:val="es-ES"/>
        </w:rPr>
        <w:t xml:space="preserve"> </w:t>
      </w:r>
      <w:r w:rsidR="00A35F8A" w:rsidRPr="00A8564C">
        <w:rPr>
          <w:lang w:val="es-ES"/>
        </w:rPr>
        <w:t xml:space="preserve">se basan en </w:t>
      </w:r>
      <w:r w:rsidRPr="00A8564C">
        <w:rPr>
          <w:lang w:val="es-ES"/>
        </w:rPr>
        <w:t xml:space="preserve">productos de alta </w:t>
      </w:r>
      <w:r w:rsidR="00BF6E62" w:rsidRPr="00A8564C">
        <w:rPr>
          <w:lang w:val="es-ES"/>
        </w:rPr>
        <w:t>tecnología</w:t>
      </w:r>
      <w:r w:rsidRPr="00A8564C">
        <w:rPr>
          <w:lang w:val="es-ES"/>
        </w:rPr>
        <w:t>.</w:t>
      </w:r>
      <w:r w:rsidR="002C70DB" w:rsidRPr="00A8564C">
        <w:rPr>
          <w:rStyle w:val="FootnoteReference"/>
          <w:sz w:val="24"/>
          <w:szCs w:val="24"/>
          <w:lang w:val="es-ES"/>
        </w:rPr>
        <w:footnoteReference w:id="21"/>
      </w:r>
      <w:r w:rsidR="00026310" w:rsidRPr="00A8564C">
        <w:rPr>
          <w:lang w:val="es-ES"/>
        </w:rPr>
        <w:t xml:space="preserve"> </w:t>
      </w:r>
    </w:p>
    <w:p w14:paraId="422E2B02" w14:textId="77777777" w:rsidR="002C70DB" w:rsidRPr="00A8564C" w:rsidRDefault="002C70DB" w:rsidP="00DE4453">
      <w:pPr>
        <w:rPr>
          <w:lang w:val="es-ES"/>
        </w:rPr>
      </w:pPr>
    </w:p>
    <w:p w14:paraId="0034D1B5" w14:textId="776F0BDB" w:rsidR="002C70DB" w:rsidRPr="00A8564C" w:rsidRDefault="00A41B96" w:rsidP="00DE4453">
      <w:pPr>
        <w:pStyle w:val="Heading3"/>
        <w:rPr>
          <w:lang w:val="es-ES"/>
        </w:rPr>
      </w:pPr>
      <w:r w:rsidRPr="00A8564C">
        <w:rPr>
          <w:lang w:val="es-ES"/>
        </w:rPr>
        <w:t>1.3.5.</w:t>
      </w:r>
      <w:r w:rsidRPr="00A8564C">
        <w:rPr>
          <w:lang w:val="es-ES"/>
        </w:rPr>
        <w:tab/>
      </w:r>
      <w:r w:rsidR="00BF6E62" w:rsidRPr="00A8564C">
        <w:rPr>
          <w:lang w:val="es-ES"/>
        </w:rPr>
        <w:t>Ubica</w:t>
      </w:r>
      <w:r w:rsidR="00D34E02" w:rsidRPr="00A8564C">
        <w:rPr>
          <w:lang w:val="es-ES"/>
        </w:rPr>
        <w:t xml:space="preserve">ción </w:t>
      </w:r>
      <w:r w:rsidR="00AB76FA" w:rsidRPr="00A8564C">
        <w:rPr>
          <w:lang w:val="es-ES"/>
        </w:rPr>
        <w:t>regional</w:t>
      </w:r>
    </w:p>
    <w:p w14:paraId="055DC867" w14:textId="77777777" w:rsidR="002C70DB" w:rsidRPr="00A8564C" w:rsidRDefault="002C70DB" w:rsidP="00DE4453">
      <w:pPr>
        <w:rPr>
          <w:lang w:val="es-ES"/>
        </w:rPr>
      </w:pPr>
    </w:p>
    <w:p w14:paraId="79DDBB02" w14:textId="5F59D268" w:rsidR="002C70DB" w:rsidRPr="00A8564C" w:rsidRDefault="002C70DB" w:rsidP="00DE4453">
      <w:pPr>
        <w:rPr>
          <w:lang w:val="es-ES"/>
        </w:rPr>
      </w:pPr>
      <w:r w:rsidRPr="00A8564C">
        <w:rPr>
          <w:lang w:val="es-ES"/>
        </w:rPr>
        <w:t xml:space="preserve">Israel, </w:t>
      </w:r>
      <w:r w:rsidR="00C95BCC" w:rsidRPr="00A8564C">
        <w:rPr>
          <w:lang w:val="es-ES"/>
        </w:rPr>
        <w:t xml:space="preserve">conocido oficialmente como el </w:t>
      </w:r>
      <w:r w:rsidR="00BA7B96" w:rsidRPr="00A8564C">
        <w:rPr>
          <w:lang w:val="es-ES"/>
        </w:rPr>
        <w:t>Estado</w:t>
      </w:r>
      <w:r w:rsidR="00C95BCC" w:rsidRPr="00A8564C">
        <w:rPr>
          <w:lang w:val="es-ES"/>
        </w:rPr>
        <w:t xml:space="preserve"> de I</w:t>
      </w:r>
      <w:r w:rsidRPr="00A8564C">
        <w:rPr>
          <w:lang w:val="es-ES"/>
        </w:rPr>
        <w:t>srael,</w:t>
      </w:r>
      <w:r w:rsidR="00C95BCC" w:rsidRPr="00A8564C">
        <w:rPr>
          <w:lang w:val="es-ES"/>
        </w:rPr>
        <w:t xml:space="preserve"> </w:t>
      </w:r>
      <w:r w:rsidR="00BA7B96" w:rsidRPr="00A8564C">
        <w:rPr>
          <w:lang w:val="es-ES"/>
        </w:rPr>
        <w:t>está</w:t>
      </w:r>
      <w:r w:rsidR="00C95BCC" w:rsidRPr="00A8564C">
        <w:rPr>
          <w:lang w:val="es-ES"/>
        </w:rPr>
        <w:t xml:space="preserve"> situado en la </w:t>
      </w:r>
      <w:r w:rsidR="00BA7B96" w:rsidRPr="00A8564C">
        <w:rPr>
          <w:lang w:val="es-ES"/>
        </w:rPr>
        <w:t>intersección</w:t>
      </w:r>
      <w:r w:rsidR="00C95BCC" w:rsidRPr="00A8564C">
        <w:rPr>
          <w:lang w:val="es-ES"/>
        </w:rPr>
        <w:t xml:space="preserve"> entre tres </w:t>
      </w:r>
      <w:r w:rsidR="00BA7B96" w:rsidRPr="00A8564C">
        <w:rPr>
          <w:lang w:val="es-ES"/>
        </w:rPr>
        <w:t>continentes</w:t>
      </w:r>
      <w:proofErr w:type="gramStart"/>
      <w:r w:rsidR="00C95BCC" w:rsidRPr="00A8564C">
        <w:rPr>
          <w:lang w:val="es-ES"/>
        </w:rPr>
        <w:t>:</w:t>
      </w:r>
      <w:r w:rsidRPr="00A8564C">
        <w:rPr>
          <w:lang w:val="es-ES"/>
        </w:rPr>
        <w:t xml:space="preserve"> </w:t>
      </w:r>
      <w:r w:rsidR="00C95BCC" w:rsidRPr="00A8564C">
        <w:rPr>
          <w:lang w:val="es-ES"/>
        </w:rPr>
        <w:t xml:space="preserve"> </w:t>
      </w:r>
      <w:r w:rsidRPr="00A8564C">
        <w:rPr>
          <w:lang w:val="es-ES"/>
        </w:rPr>
        <w:t>Europ</w:t>
      </w:r>
      <w:r w:rsidR="00C95BCC" w:rsidRPr="00A8564C">
        <w:rPr>
          <w:lang w:val="es-ES"/>
        </w:rPr>
        <w:t>a</w:t>
      </w:r>
      <w:proofErr w:type="gramEnd"/>
      <w:r w:rsidRPr="00A8564C">
        <w:rPr>
          <w:lang w:val="es-ES"/>
        </w:rPr>
        <w:t xml:space="preserve">, Asia </w:t>
      </w:r>
      <w:r w:rsidR="00C95BCC" w:rsidRPr="00A8564C">
        <w:rPr>
          <w:lang w:val="es-ES"/>
        </w:rPr>
        <w:t>y</w:t>
      </w:r>
      <w:r w:rsidRPr="00A8564C">
        <w:rPr>
          <w:lang w:val="es-ES"/>
        </w:rPr>
        <w:t xml:space="preserve"> </w:t>
      </w:r>
      <w:r w:rsidR="00BA7B96" w:rsidRPr="00A8564C">
        <w:rPr>
          <w:lang w:val="es-ES"/>
        </w:rPr>
        <w:t>África</w:t>
      </w:r>
      <w:r w:rsidR="00C95BCC" w:rsidRPr="00A8564C">
        <w:rPr>
          <w:lang w:val="es-ES"/>
        </w:rPr>
        <w:t xml:space="preserve">, y es uno de los dos </w:t>
      </w:r>
      <w:r w:rsidR="00BA7B96" w:rsidRPr="00A8564C">
        <w:rPr>
          <w:lang w:val="es-ES"/>
        </w:rPr>
        <w:t>países</w:t>
      </w:r>
      <w:r w:rsidR="00C95BCC" w:rsidRPr="00A8564C">
        <w:rPr>
          <w:lang w:val="es-ES"/>
        </w:rPr>
        <w:t xml:space="preserve"> del mundo que </w:t>
      </w:r>
      <w:r w:rsidR="00A35F8A" w:rsidRPr="00A8564C">
        <w:rPr>
          <w:lang w:val="es-ES"/>
        </w:rPr>
        <w:t xml:space="preserve">tienen </w:t>
      </w:r>
      <w:r w:rsidR="00CB7E15">
        <w:rPr>
          <w:lang w:val="es-ES"/>
        </w:rPr>
        <w:t>costa tanto en</w:t>
      </w:r>
      <w:r w:rsidR="00A35F8A" w:rsidRPr="00A8564C">
        <w:rPr>
          <w:lang w:val="es-ES"/>
        </w:rPr>
        <w:t xml:space="preserve"> el</w:t>
      </w:r>
      <w:r w:rsidR="00C95BCC" w:rsidRPr="00A8564C">
        <w:rPr>
          <w:lang w:val="es-ES"/>
        </w:rPr>
        <w:t xml:space="preserve"> </w:t>
      </w:r>
      <w:r w:rsidR="00CB7E15" w:rsidRPr="00A8564C">
        <w:rPr>
          <w:lang w:val="es-ES"/>
        </w:rPr>
        <w:t xml:space="preserve">mar </w:t>
      </w:r>
      <w:r w:rsidR="00BA7B96" w:rsidRPr="00A8564C">
        <w:rPr>
          <w:lang w:val="es-ES"/>
        </w:rPr>
        <w:t>Mediterráneo</w:t>
      </w:r>
      <w:r w:rsidR="00C95BCC" w:rsidRPr="00A8564C">
        <w:rPr>
          <w:lang w:val="es-ES"/>
        </w:rPr>
        <w:t xml:space="preserve"> </w:t>
      </w:r>
      <w:r w:rsidR="00CB7E15">
        <w:rPr>
          <w:lang w:val="es-ES"/>
        </w:rPr>
        <w:t>como</w:t>
      </w:r>
      <w:r w:rsidR="00A35F8A" w:rsidRPr="00A8564C">
        <w:rPr>
          <w:lang w:val="es-ES"/>
        </w:rPr>
        <w:t xml:space="preserve"> </w:t>
      </w:r>
      <w:r w:rsidR="00CB7E15">
        <w:rPr>
          <w:lang w:val="es-ES"/>
        </w:rPr>
        <w:t xml:space="preserve">en </w:t>
      </w:r>
      <w:r w:rsidR="00A35F8A" w:rsidRPr="00A8564C">
        <w:rPr>
          <w:lang w:val="es-ES"/>
        </w:rPr>
        <w:t xml:space="preserve">el </w:t>
      </w:r>
      <w:r w:rsidR="00CB7E15" w:rsidRPr="00A8564C">
        <w:rPr>
          <w:lang w:val="es-ES"/>
        </w:rPr>
        <w:t xml:space="preserve">océano </w:t>
      </w:r>
      <w:r w:rsidR="00A35F8A" w:rsidRPr="00A8564C">
        <w:rPr>
          <w:lang w:val="es-ES"/>
        </w:rPr>
        <w:t>Í</w:t>
      </w:r>
      <w:r w:rsidR="00C95BCC" w:rsidRPr="00A8564C">
        <w:rPr>
          <w:lang w:val="es-ES"/>
        </w:rPr>
        <w:t>ndico</w:t>
      </w:r>
      <w:r w:rsidRPr="00A8564C">
        <w:rPr>
          <w:lang w:val="es-ES"/>
        </w:rPr>
        <w:t xml:space="preserve"> (</w:t>
      </w:r>
      <w:r w:rsidR="00A35F8A" w:rsidRPr="00A8564C">
        <w:rPr>
          <w:lang w:val="es-ES"/>
        </w:rPr>
        <w:t xml:space="preserve">por </w:t>
      </w:r>
      <w:r w:rsidR="00C95BCC" w:rsidRPr="00A8564C">
        <w:rPr>
          <w:lang w:val="es-ES"/>
        </w:rPr>
        <w:t>el Mar Rojo</w:t>
      </w:r>
      <w:r w:rsidRPr="00A8564C">
        <w:rPr>
          <w:lang w:val="es-ES"/>
        </w:rPr>
        <w:t>)</w:t>
      </w:r>
      <w:r w:rsidR="009E7E5E" w:rsidRPr="00A8564C">
        <w:rPr>
          <w:lang w:val="es-ES"/>
        </w:rPr>
        <w:t xml:space="preserve">.  </w:t>
      </w:r>
      <w:r w:rsidRPr="00A8564C">
        <w:rPr>
          <w:lang w:val="es-ES"/>
        </w:rPr>
        <w:t>A</w:t>
      </w:r>
      <w:r w:rsidR="00C95BCC" w:rsidRPr="00A8564C">
        <w:rPr>
          <w:lang w:val="es-ES"/>
        </w:rPr>
        <w:t xml:space="preserve">unque la superficie total de </w:t>
      </w:r>
      <w:r w:rsidRPr="00A8564C">
        <w:rPr>
          <w:lang w:val="es-ES"/>
        </w:rPr>
        <w:t>Israel</w:t>
      </w:r>
      <w:r w:rsidR="00C95BCC" w:rsidRPr="00A8564C">
        <w:rPr>
          <w:lang w:val="es-ES"/>
        </w:rPr>
        <w:t xml:space="preserve"> es solo de </w:t>
      </w:r>
      <w:r w:rsidRPr="00A8564C">
        <w:rPr>
          <w:lang w:val="es-ES"/>
        </w:rPr>
        <w:t>22</w:t>
      </w:r>
      <w:r w:rsidR="00C95BCC" w:rsidRPr="00A8564C">
        <w:rPr>
          <w:lang w:val="es-ES"/>
        </w:rPr>
        <w:t>.</w:t>
      </w:r>
      <w:r w:rsidRPr="00A8564C">
        <w:rPr>
          <w:lang w:val="es-ES"/>
        </w:rPr>
        <w:t xml:space="preserve">072 </w:t>
      </w:r>
      <w:r w:rsidR="00C95BCC" w:rsidRPr="00A8564C">
        <w:rPr>
          <w:lang w:val="es-ES"/>
        </w:rPr>
        <w:t>km</w:t>
      </w:r>
      <w:r w:rsidR="00C95BCC" w:rsidRPr="00A8564C">
        <w:rPr>
          <w:vertAlign w:val="superscript"/>
          <w:lang w:val="es-ES"/>
        </w:rPr>
        <w:t>2</w:t>
      </w:r>
      <w:r w:rsidR="00C95BCC" w:rsidRPr="00A8564C">
        <w:rPr>
          <w:lang w:val="es-ES"/>
        </w:rPr>
        <w:t xml:space="preserve">, </w:t>
      </w:r>
      <w:r w:rsidR="00A35F8A" w:rsidRPr="00A8564C">
        <w:rPr>
          <w:lang w:val="es-ES"/>
        </w:rPr>
        <w:t xml:space="preserve">se distingue </w:t>
      </w:r>
      <w:r w:rsidR="00C95BCC" w:rsidRPr="00A8564C">
        <w:rPr>
          <w:lang w:val="es-ES"/>
        </w:rPr>
        <w:t xml:space="preserve">por </w:t>
      </w:r>
      <w:r w:rsidR="00A35F8A" w:rsidRPr="00A8564C">
        <w:rPr>
          <w:lang w:val="es-ES"/>
        </w:rPr>
        <w:t>su</w:t>
      </w:r>
      <w:r w:rsidR="00C95BCC" w:rsidRPr="00A8564C">
        <w:rPr>
          <w:lang w:val="es-ES"/>
        </w:rPr>
        <w:t xml:space="preserve"> gran </w:t>
      </w:r>
      <w:r w:rsidR="00BA7B96" w:rsidRPr="00A8564C">
        <w:rPr>
          <w:lang w:val="es-ES"/>
        </w:rPr>
        <w:t>diversidad</w:t>
      </w:r>
      <w:r w:rsidR="00C95BCC" w:rsidRPr="00A8564C">
        <w:rPr>
          <w:lang w:val="es-ES"/>
        </w:rPr>
        <w:t xml:space="preserve"> de </w:t>
      </w:r>
      <w:r w:rsidR="00BA7B96" w:rsidRPr="00A8564C">
        <w:rPr>
          <w:lang w:val="es-ES"/>
        </w:rPr>
        <w:t>regiones</w:t>
      </w:r>
      <w:r w:rsidR="00C95BCC" w:rsidRPr="00A8564C">
        <w:rPr>
          <w:lang w:val="es-ES"/>
        </w:rPr>
        <w:t xml:space="preserve"> </w:t>
      </w:r>
      <w:r w:rsidR="00BA7B96" w:rsidRPr="00A8564C">
        <w:rPr>
          <w:lang w:val="es-ES"/>
        </w:rPr>
        <w:t>geográficas</w:t>
      </w:r>
      <w:r w:rsidR="009E7E5E" w:rsidRPr="00A8564C">
        <w:rPr>
          <w:lang w:val="es-ES"/>
        </w:rPr>
        <w:t xml:space="preserve">.  </w:t>
      </w:r>
      <w:r w:rsidR="00C95BCC" w:rsidRPr="00A8564C">
        <w:rPr>
          <w:lang w:val="es-ES"/>
        </w:rPr>
        <w:t xml:space="preserve">La </w:t>
      </w:r>
      <w:r w:rsidR="00A35F8A" w:rsidRPr="00A8564C">
        <w:rPr>
          <w:lang w:val="es-ES"/>
        </w:rPr>
        <w:t>existencia</w:t>
      </w:r>
      <w:r w:rsidR="00C95BCC" w:rsidRPr="00A8564C">
        <w:rPr>
          <w:lang w:val="es-ES"/>
        </w:rPr>
        <w:t xml:space="preserve"> de climas diferentes en una zona </w:t>
      </w:r>
      <w:r w:rsidR="00BA7B96" w:rsidRPr="00A8564C">
        <w:rPr>
          <w:lang w:val="es-ES"/>
        </w:rPr>
        <w:t>geográfica</w:t>
      </w:r>
      <w:r w:rsidR="00C95BCC" w:rsidRPr="00A8564C">
        <w:rPr>
          <w:lang w:val="es-ES"/>
        </w:rPr>
        <w:t xml:space="preserve"> reducida </w:t>
      </w:r>
      <w:r w:rsidR="00A35F8A" w:rsidRPr="00A8564C">
        <w:rPr>
          <w:lang w:val="es-ES"/>
        </w:rPr>
        <w:t>es crucial</w:t>
      </w:r>
      <w:proofErr w:type="gramStart"/>
      <w:r w:rsidR="009E7E5E" w:rsidRPr="00A8564C">
        <w:rPr>
          <w:lang w:val="es-ES"/>
        </w:rPr>
        <w:t xml:space="preserve">:  </w:t>
      </w:r>
      <w:r w:rsidR="001D4DAE" w:rsidRPr="00A8564C">
        <w:rPr>
          <w:lang w:val="es-ES"/>
        </w:rPr>
        <w:t>la</w:t>
      </w:r>
      <w:proofErr w:type="gramEnd"/>
      <w:r w:rsidR="00C95BCC" w:rsidRPr="00A8564C">
        <w:rPr>
          <w:lang w:val="es-ES"/>
        </w:rPr>
        <w:t xml:space="preserve"> diferencia </w:t>
      </w:r>
      <w:r w:rsidR="00A35F8A" w:rsidRPr="00A8564C">
        <w:rPr>
          <w:lang w:val="es-ES"/>
        </w:rPr>
        <w:t xml:space="preserve">de climas </w:t>
      </w:r>
      <w:r w:rsidR="001D4DAE" w:rsidRPr="00A8564C">
        <w:rPr>
          <w:lang w:val="es-ES"/>
        </w:rPr>
        <w:t xml:space="preserve">posibilita </w:t>
      </w:r>
      <w:r w:rsidR="00C95BCC" w:rsidRPr="00A8564C">
        <w:rPr>
          <w:lang w:val="es-ES"/>
        </w:rPr>
        <w:t xml:space="preserve">una agricultura rica y </w:t>
      </w:r>
      <w:r w:rsidR="00BA7B96" w:rsidRPr="00A8564C">
        <w:rPr>
          <w:lang w:val="es-ES"/>
        </w:rPr>
        <w:t>diversa, así</w:t>
      </w:r>
      <w:r w:rsidR="00C95BCC" w:rsidRPr="00A8564C">
        <w:rPr>
          <w:lang w:val="es-ES"/>
        </w:rPr>
        <w:t xml:space="preserve"> como </w:t>
      </w:r>
      <w:r w:rsidR="001D4DAE" w:rsidRPr="00A8564C">
        <w:rPr>
          <w:lang w:val="es-ES"/>
        </w:rPr>
        <w:t>la</w:t>
      </w:r>
      <w:r w:rsidR="00C95BCC" w:rsidRPr="00A8564C">
        <w:rPr>
          <w:lang w:val="es-ES"/>
        </w:rPr>
        <w:t xml:space="preserve"> gran </w:t>
      </w:r>
      <w:r w:rsidR="00BA7B96" w:rsidRPr="00A8564C">
        <w:rPr>
          <w:lang w:val="es-ES"/>
        </w:rPr>
        <w:t>diversidad</w:t>
      </w:r>
      <w:r w:rsidR="00C95BCC" w:rsidRPr="00A8564C">
        <w:rPr>
          <w:lang w:val="es-ES"/>
        </w:rPr>
        <w:t xml:space="preserve"> </w:t>
      </w:r>
      <w:r w:rsidR="001D4DAE" w:rsidRPr="00A8564C">
        <w:rPr>
          <w:lang w:val="es-ES"/>
        </w:rPr>
        <w:t>de</w:t>
      </w:r>
      <w:r w:rsidR="00C95BCC" w:rsidRPr="00A8564C">
        <w:rPr>
          <w:lang w:val="es-ES"/>
        </w:rPr>
        <w:t xml:space="preserve"> la flora y f</w:t>
      </w:r>
      <w:r w:rsidR="00BA7B96" w:rsidRPr="00A8564C">
        <w:rPr>
          <w:lang w:val="es-ES"/>
        </w:rPr>
        <w:t>auna</w:t>
      </w:r>
      <w:r w:rsidR="00C95BCC" w:rsidRPr="00A8564C">
        <w:rPr>
          <w:lang w:val="es-ES"/>
        </w:rPr>
        <w:t xml:space="preserve"> locales</w:t>
      </w:r>
      <w:r w:rsidR="009E7E5E" w:rsidRPr="00A8564C">
        <w:rPr>
          <w:lang w:val="es-ES"/>
        </w:rPr>
        <w:t xml:space="preserve">.  </w:t>
      </w:r>
      <w:r w:rsidRPr="00A8564C">
        <w:rPr>
          <w:lang w:val="es-ES"/>
        </w:rPr>
        <w:t xml:space="preserve">Israel </w:t>
      </w:r>
      <w:r w:rsidR="00C95BCC" w:rsidRPr="00A8564C">
        <w:rPr>
          <w:lang w:val="es-ES"/>
        </w:rPr>
        <w:t xml:space="preserve">alberga aproximadamente </w:t>
      </w:r>
      <w:r w:rsidRPr="00A8564C">
        <w:rPr>
          <w:lang w:val="es-ES"/>
        </w:rPr>
        <w:t>2</w:t>
      </w:r>
      <w:r w:rsidR="00C95BCC" w:rsidRPr="00A8564C">
        <w:rPr>
          <w:lang w:val="es-ES"/>
        </w:rPr>
        <w:t>.</w:t>
      </w:r>
      <w:r w:rsidRPr="00A8564C">
        <w:rPr>
          <w:lang w:val="es-ES"/>
        </w:rPr>
        <w:t xml:space="preserve">380 </w:t>
      </w:r>
      <w:r w:rsidR="00C95BCC" w:rsidRPr="00A8564C">
        <w:rPr>
          <w:lang w:val="es-ES"/>
        </w:rPr>
        <w:t>diferentes especies vegetales, de la</w:t>
      </w:r>
      <w:r w:rsidR="001D4DAE" w:rsidRPr="00A8564C">
        <w:rPr>
          <w:lang w:val="es-ES"/>
        </w:rPr>
        <w:t>s cuales unas 160 variedades</w:t>
      </w:r>
      <w:r w:rsidR="00C95BCC" w:rsidRPr="00A8564C">
        <w:rPr>
          <w:lang w:val="es-ES"/>
        </w:rPr>
        <w:t xml:space="preserve"> se encuentran </w:t>
      </w:r>
      <w:r w:rsidR="00FC71E4" w:rsidRPr="00A8564C">
        <w:rPr>
          <w:lang w:val="es-ES"/>
        </w:rPr>
        <w:t xml:space="preserve">solo </w:t>
      </w:r>
      <w:r w:rsidR="00C95BCC" w:rsidRPr="00A8564C">
        <w:rPr>
          <w:lang w:val="es-ES"/>
        </w:rPr>
        <w:t xml:space="preserve">en </w:t>
      </w:r>
      <w:r w:rsidRPr="00A8564C">
        <w:rPr>
          <w:lang w:val="es-ES"/>
        </w:rPr>
        <w:t>Israel.</w:t>
      </w:r>
    </w:p>
    <w:p w14:paraId="4A5C2EA7" w14:textId="77777777" w:rsidR="002C70DB" w:rsidRPr="00A8564C" w:rsidRDefault="002C70DB" w:rsidP="00DE4453">
      <w:pPr>
        <w:rPr>
          <w:lang w:val="es-ES"/>
        </w:rPr>
      </w:pPr>
    </w:p>
    <w:p w14:paraId="4D769828" w14:textId="25DE5A94" w:rsidR="002C70DB" w:rsidRPr="00A8564C" w:rsidRDefault="00A41B96" w:rsidP="00DE4453">
      <w:pPr>
        <w:pStyle w:val="Heading3"/>
        <w:rPr>
          <w:lang w:val="es-ES"/>
        </w:rPr>
      </w:pPr>
      <w:r w:rsidRPr="00A8564C">
        <w:rPr>
          <w:lang w:val="es-ES"/>
        </w:rPr>
        <w:t>1.3.6.</w:t>
      </w:r>
      <w:r w:rsidRPr="00A8564C">
        <w:rPr>
          <w:lang w:val="es-ES"/>
        </w:rPr>
        <w:tab/>
      </w:r>
      <w:r w:rsidR="00BA7B96" w:rsidRPr="00A8564C">
        <w:rPr>
          <w:lang w:val="es-ES"/>
        </w:rPr>
        <w:t>Población</w:t>
      </w:r>
    </w:p>
    <w:p w14:paraId="59B8080D" w14:textId="77777777" w:rsidR="002C70DB" w:rsidRPr="00A8564C" w:rsidRDefault="002C70DB" w:rsidP="00DE4453">
      <w:pPr>
        <w:rPr>
          <w:lang w:val="es-ES"/>
        </w:rPr>
      </w:pPr>
    </w:p>
    <w:p w14:paraId="0419CC8B" w14:textId="771E58B3" w:rsidR="002C70DB" w:rsidRPr="00A8564C" w:rsidRDefault="00C95BCC" w:rsidP="00DE4453">
      <w:pPr>
        <w:rPr>
          <w:lang w:val="es-ES"/>
        </w:rPr>
      </w:pPr>
      <w:r w:rsidRPr="00A8564C">
        <w:rPr>
          <w:lang w:val="es-ES"/>
        </w:rPr>
        <w:t xml:space="preserve">La </w:t>
      </w:r>
      <w:r w:rsidR="00BA7B96" w:rsidRPr="00A8564C">
        <w:rPr>
          <w:lang w:val="es-ES"/>
        </w:rPr>
        <w:t>población</w:t>
      </w:r>
      <w:r w:rsidRPr="00A8564C">
        <w:rPr>
          <w:lang w:val="es-ES"/>
        </w:rPr>
        <w:t xml:space="preserve"> de </w:t>
      </w:r>
      <w:r w:rsidR="002C70DB" w:rsidRPr="00A8564C">
        <w:rPr>
          <w:lang w:val="es-ES"/>
        </w:rPr>
        <w:t xml:space="preserve">Israel, </w:t>
      </w:r>
      <w:r w:rsidR="00BA7B96" w:rsidRPr="00A8564C">
        <w:rPr>
          <w:lang w:val="es-ES"/>
        </w:rPr>
        <w:t>según</w:t>
      </w:r>
      <w:r w:rsidRPr="00A8564C">
        <w:rPr>
          <w:lang w:val="es-ES"/>
        </w:rPr>
        <w:t xml:space="preserve"> </w:t>
      </w:r>
      <w:r w:rsidR="001D4DAE" w:rsidRPr="00A8564C">
        <w:rPr>
          <w:lang w:val="es-ES"/>
        </w:rPr>
        <w:t xml:space="preserve">datos de </w:t>
      </w:r>
      <w:r w:rsidRPr="00A8564C">
        <w:rPr>
          <w:lang w:val="es-ES"/>
        </w:rPr>
        <w:t xml:space="preserve">la </w:t>
      </w:r>
      <w:r w:rsidR="00BA7B96" w:rsidRPr="00A8564C">
        <w:rPr>
          <w:lang w:val="es-ES"/>
        </w:rPr>
        <w:t>Oficina</w:t>
      </w:r>
      <w:r w:rsidRPr="00A8564C">
        <w:rPr>
          <w:lang w:val="es-ES"/>
        </w:rPr>
        <w:t xml:space="preserve"> Central de Estad</w:t>
      </w:r>
      <w:r w:rsidR="001D4DAE" w:rsidRPr="00A8564C">
        <w:rPr>
          <w:lang w:val="es-ES"/>
        </w:rPr>
        <w:t>íst</w:t>
      </w:r>
      <w:r w:rsidRPr="00A8564C">
        <w:rPr>
          <w:lang w:val="es-ES"/>
        </w:rPr>
        <w:t xml:space="preserve">icas </w:t>
      </w:r>
      <w:r w:rsidR="001D4DAE" w:rsidRPr="00A8564C">
        <w:rPr>
          <w:lang w:val="es-ES"/>
        </w:rPr>
        <w:t>de</w:t>
      </w:r>
      <w:r w:rsidRPr="00A8564C">
        <w:rPr>
          <w:lang w:val="es-ES"/>
        </w:rPr>
        <w:t xml:space="preserve"> finales de diciembre de </w:t>
      </w:r>
      <w:r w:rsidR="002C70DB" w:rsidRPr="00A8564C">
        <w:rPr>
          <w:lang w:val="es-ES"/>
        </w:rPr>
        <w:t>2016</w:t>
      </w:r>
      <w:r w:rsidRPr="00A8564C">
        <w:rPr>
          <w:lang w:val="es-ES"/>
        </w:rPr>
        <w:t xml:space="preserve">, es </w:t>
      </w:r>
      <w:r w:rsidR="007B3CF6">
        <w:rPr>
          <w:lang w:val="es-ES"/>
        </w:rPr>
        <w:t xml:space="preserve">de </w:t>
      </w:r>
      <w:r w:rsidR="002C70DB" w:rsidRPr="00A8564C">
        <w:rPr>
          <w:lang w:val="es-ES"/>
        </w:rPr>
        <w:t>8</w:t>
      </w:r>
      <w:r w:rsidRPr="00A8564C">
        <w:rPr>
          <w:lang w:val="es-ES"/>
        </w:rPr>
        <w:t>.630.</w:t>
      </w:r>
      <w:r w:rsidR="002C70DB" w:rsidRPr="00A8564C">
        <w:rPr>
          <w:lang w:val="es-ES"/>
        </w:rPr>
        <w:t>800</w:t>
      </w:r>
      <w:r w:rsidRPr="00A8564C">
        <w:rPr>
          <w:lang w:val="es-ES"/>
        </w:rPr>
        <w:t> habitantes.</w:t>
      </w:r>
      <w:r w:rsidR="002C70DB" w:rsidRPr="00A8564C">
        <w:rPr>
          <w:rStyle w:val="FootnoteReference"/>
          <w:rFonts w:eastAsia="Times New Roman"/>
          <w:sz w:val="24"/>
          <w:szCs w:val="24"/>
          <w:lang w:val="es-ES"/>
        </w:rPr>
        <w:footnoteReference w:id="22"/>
      </w:r>
    </w:p>
    <w:p w14:paraId="6CC8A099" w14:textId="77777777" w:rsidR="002C70DB" w:rsidRPr="00A8564C" w:rsidRDefault="002C70DB" w:rsidP="00DE4453">
      <w:pPr>
        <w:rPr>
          <w:lang w:val="es-ES"/>
        </w:rPr>
      </w:pPr>
    </w:p>
    <w:p w14:paraId="67C5FEF2" w14:textId="3494435C" w:rsidR="002C70DB" w:rsidRPr="00A8564C" w:rsidRDefault="00C95BCC" w:rsidP="00DE4453">
      <w:pPr>
        <w:rPr>
          <w:lang w:val="es-ES"/>
        </w:rPr>
      </w:pPr>
      <w:r w:rsidRPr="00A8564C">
        <w:rPr>
          <w:lang w:val="es-ES"/>
        </w:rPr>
        <w:t>Los dos idiomas oficiales de Israel son el hebreo y el árabe</w:t>
      </w:r>
      <w:r w:rsidR="009E7E5E" w:rsidRPr="00A8564C">
        <w:rPr>
          <w:lang w:val="es-ES"/>
        </w:rPr>
        <w:t xml:space="preserve">.  </w:t>
      </w:r>
      <w:r w:rsidR="00BA7B96" w:rsidRPr="00A8564C">
        <w:rPr>
          <w:lang w:val="es-ES"/>
        </w:rPr>
        <w:t>Además</w:t>
      </w:r>
      <w:r w:rsidRPr="00A8564C">
        <w:rPr>
          <w:lang w:val="es-ES"/>
        </w:rPr>
        <w:t xml:space="preserve">, </w:t>
      </w:r>
      <w:r w:rsidR="00BA7B96" w:rsidRPr="00A8564C">
        <w:rPr>
          <w:lang w:val="es-ES"/>
        </w:rPr>
        <w:t>más</w:t>
      </w:r>
      <w:r w:rsidRPr="00A8564C">
        <w:rPr>
          <w:lang w:val="es-ES"/>
        </w:rPr>
        <w:t xml:space="preserve"> del 80% </w:t>
      </w:r>
      <w:r w:rsidR="00BA7B96" w:rsidRPr="00A8564C">
        <w:rPr>
          <w:lang w:val="es-ES"/>
        </w:rPr>
        <w:t>de</w:t>
      </w:r>
      <w:r w:rsidRPr="00A8564C">
        <w:rPr>
          <w:lang w:val="es-ES"/>
        </w:rPr>
        <w:t xml:space="preserve"> la </w:t>
      </w:r>
      <w:r w:rsidR="00BA7B96" w:rsidRPr="00A8564C">
        <w:rPr>
          <w:lang w:val="es-ES"/>
        </w:rPr>
        <w:t>población</w:t>
      </w:r>
      <w:r w:rsidRPr="00A8564C">
        <w:rPr>
          <w:lang w:val="es-ES"/>
        </w:rPr>
        <w:t xml:space="preserve"> israelí </w:t>
      </w:r>
      <w:r w:rsidR="001D4DAE" w:rsidRPr="00A8564C">
        <w:rPr>
          <w:lang w:val="es-ES"/>
        </w:rPr>
        <w:t>tiene un buen conocimiento del</w:t>
      </w:r>
      <w:r w:rsidRPr="00A8564C">
        <w:rPr>
          <w:lang w:val="es-ES"/>
        </w:rPr>
        <w:t xml:space="preserve"> inglés</w:t>
      </w:r>
      <w:r w:rsidR="002C70DB" w:rsidRPr="00A8564C">
        <w:rPr>
          <w:lang w:val="es-ES"/>
        </w:rPr>
        <w:t xml:space="preserve">, </w:t>
      </w:r>
      <w:r w:rsidRPr="00A8564C">
        <w:rPr>
          <w:lang w:val="es-ES"/>
        </w:rPr>
        <w:t xml:space="preserve">que es el idioma habitual </w:t>
      </w:r>
      <w:r w:rsidR="001D4DAE" w:rsidRPr="00A8564C">
        <w:rPr>
          <w:lang w:val="es-ES"/>
        </w:rPr>
        <w:t>de los negocios</w:t>
      </w:r>
      <w:r w:rsidRPr="00A8564C">
        <w:rPr>
          <w:lang w:val="es-ES"/>
        </w:rPr>
        <w:t xml:space="preserve">.  Muchos </w:t>
      </w:r>
      <w:r w:rsidR="00BA7B96" w:rsidRPr="00A8564C">
        <w:rPr>
          <w:lang w:val="es-ES"/>
        </w:rPr>
        <w:t>israelíes</w:t>
      </w:r>
      <w:r w:rsidRPr="00A8564C">
        <w:rPr>
          <w:lang w:val="es-ES"/>
        </w:rPr>
        <w:t xml:space="preserve"> hablan </w:t>
      </w:r>
      <w:r w:rsidR="00BA7B96" w:rsidRPr="00A8564C">
        <w:rPr>
          <w:lang w:val="es-ES"/>
        </w:rPr>
        <w:t xml:space="preserve">también </w:t>
      </w:r>
      <w:r w:rsidR="00C46076" w:rsidRPr="00A8564C">
        <w:rPr>
          <w:lang w:val="es-ES"/>
        </w:rPr>
        <w:t xml:space="preserve">ruso, </w:t>
      </w:r>
      <w:r w:rsidR="001D4DAE" w:rsidRPr="00A8564C">
        <w:rPr>
          <w:lang w:val="es-ES"/>
        </w:rPr>
        <w:t>francés</w:t>
      </w:r>
      <w:r w:rsidR="00C46076" w:rsidRPr="00A8564C">
        <w:rPr>
          <w:lang w:val="es-ES"/>
        </w:rPr>
        <w:t xml:space="preserve">, español, </w:t>
      </w:r>
      <w:r w:rsidR="00BA7B96" w:rsidRPr="00A8564C">
        <w:rPr>
          <w:lang w:val="es-ES"/>
        </w:rPr>
        <w:t>amhárico</w:t>
      </w:r>
      <w:r w:rsidR="00C46076" w:rsidRPr="00A8564C">
        <w:rPr>
          <w:lang w:val="es-ES"/>
        </w:rPr>
        <w:t xml:space="preserve"> y otros idiomas</w:t>
      </w:r>
      <w:r w:rsidR="002C70DB" w:rsidRPr="00A8564C">
        <w:rPr>
          <w:lang w:val="es-ES"/>
        </w:rPr>
        <w:t>.</w:t>
      </w:r>
    </w:p>
    <w:p w14:paraId="31D28360" w14:textId="77777777" w:rsidR="002C70DB" w:rsidRPr="00A8564C" w:rsidRDefault="002C70DB" w:rsidP="00DE4453">
      <w:pPr>
        <w:rPr>
          <w:lang w:val="es-ES"/>
        </w:rPr>
      </w:pPr>
    </w:p>
    <w:p w14:paraId="7406BE35" w14:textId="4C0F9C22" w:rsidR="002C70DB" w:rsidRPr="00A8564C" w:rsidRDefault="002C70DB" w:rsidP="00DE4453">
      <w:pPr>
        <w:rPr>
          <w:b/>
          <w:bCs/>
          <w:caps/>
          <w:kern w:val="32"/>
          <w:szCs w:val="36"/>
          <w:lang w:val="es-ES"/>
        </w:rPr>
      </w:pPr>
      <w:r w:rsidRPr="00A8564C">
        <w:rPr>
          <w:lang w:val="es-ES"/>
        </w:rPr>
        <w:t xml:space="preserve">Israel </w:t>
      </w:r>
      <w:r w:rsidR="00C46076" w:rsidRPr="00A8564C">
        <w:rPr>
          <w:lang w:val="es-ES"/>
        </w:rPr>
        <w:t xml:space="preserve">es una democracia parlamentaria.  Los </w:t>
      </w:r>
      <w:r w:rsidR="00BA7B96" w:rsidRPr="00A8564C">
        <w:rPr>
          <w:lang w:val="es-ES"/>
        </w:rPr>
        <w:t>ciudadanos</w:t>
      </w:r>
      <w:r w:rsidR="00C46076" w:rsidRPr="00A8564C">
        <w:rPr>
          <w:lang w:val="es-ES"/>
        </w:rPr>
        <w:t xml:space="preserve"> </w:t>
      </w:r>
      <w:r w:rsidR="00BA7B96" w:rsidRPr="00A8564C">
        <w:rPr>
          <w:lang w:val="es-ES"/>
        </w:rPr>
        <w:t>israelíes</w:t>
      </w:r>
      <w:r w:rsidR="00C46076" w:rsidRPr="00A8564C">
        <w:rPr>
          <w:lang w:val="es-ES"/>
        </w:rPr>
        <w:t xml:space="preserve"> votan por el </w:t>
      </w:r>
      <w:r w:rsidR="00BA7B96" w:rsidRPr="00A8564C">
        <w:rPr>
          <w:lang w:val="es-ES"/>
        </w:rPr>
        <w:t>partido de</w:t>
      </w:r>
      <w:r w:rsidR="00C46076" w:rsidRPr="00A8564C">
        <w:rPr>
          <w:lang w:val="es-ES"/>
        </w:rPr>
        <w:t xml:space="preserve"> su </w:t>
      </w:r>
      <w:r w:rsidR="00BA7B96" w:rsidRPr="00A8564C">
        <w:rPr>
          <w:lang w:val="es-ES"/>
        </w:rPr>
        <w:t>elección</w:t>
      </w:r>
      <w:r w:rsidR="00C46076" w:rsidRPr="00A8564C">
        <w:rPr>
          <w:lang w:val="es-ES"/>
        </w:rPr>
        <w:t xml:space="preserve"> en las elecciones nacionales</w:t>
      </w:r>
      <w:r w:rsidRPr="00A8564C">
        <w:rPr>
          <w:lang w:val="es-ES"/>
        </w:rPr>
        <w:t>,</w:t>
      </w:r>
      <w:r w:rsidR="00C46076" w:rsidRPr="00A8564C">
        <w:rPr>
          <w:lang w:val="es-ES"/>
        </w:rPr>
        <w:t xml:space="preserve"> con</w:t>
      </w:r>
      <w:r w:rsidR="009E1D81" w:rsidRPr="00A8564C">
        <w:rPr>
          <w:lang w:val="es-ES"/>
        </w:rPr>
        <w:t>firiendo s</w:t>
      </w:r>
      <w:r w:rsidR="00BA7B96" w:rsidRPr="00A8564C">
        <w:rPr>
          <w:lang w:val="es-ES"/>
        </w:rPr>
        <w:t>oberanía</w:t>
      </w:r>
      <w:r w:rsidR="00C46076" w:rsidRPr="00A8564C">
        <w:rPr>
          <w:lang w:val="es-ES"/>
        </w:rPr>
        <w:t xml:space="preserve"> </w:t>
      </w:r>
      <w:r w:rsidR="009E1D81" w:rsidRPr="00A8564C">
        <w:rPr>
          <w:lang w:val="es-ES"/>
        </w:rPr>
        <w:t>al</w:t>
      </w:r>
      <w:r w:rsidR="00C46076" w:rsidRPr="00A8564C">
        <w:rPr>
          <w:lang w:val="es-ES"/>
        </w:rPr>
        <w:t xml:space="preserve"> </w:t>
      </w:r>
      <w:r w:rsidRPr="00A8564C">
        <w:rPr>
          <w:lang w:val="es-ES"/>
        </w:rPr>
        <w:t xml:space="preserve">Knesset, </w:t>
      </w:r>
      <w:r w:rsidR="00C46076" w:rsidRPr="00A8564C">
        <w:rPr>
          <w:lang w:val="es-ES"/>
        </w:rPr>
        <w:t>el p</w:t>
      </w:r>
      <w:r w:rsidRPr="00A8564C">
        <w:rPr>
          <w:lang w:val="es-ES"/>
        </w:rPr>
        <w:t>arl</w:t>
      </w:r>
      <w:r w:rsidR="00C46076" w:rsidRPr="00A8564C">
        <w:rPr>
          <w:lang w:val="es-ES"/>
        </w:rPr>
        <w:t>amento israelí.</w:t>
      </w:r>
    </w:p>
    <w:p w14:paraId="41BBEA45" w14:textId="73F0131D" w:rsidR="002C70DB" w:rsidRPr="00A8564C" w:rsidRDefault="002C70DB" w:rsidP="00D852EC">
      <w:pPr>
        <w:pStyle w:val="SectionHeading"/>
        <w:pBdr>
          <w:top w:val="single" w:sz="4" w:space="0" w:color="auto"/>
        </w:pBdr>
        <w:rPr>
          <w:lang w:val="es-ES"/>
        </w:rPr>
      </w:pPr>
      <w:r w:rsidRPr="00A8564C">
        <w:rPr>
          <w:lang w:val="es-ES"/>
        </w:rPr>
        <w:lastRenderedPageBreak/>
        <w:t>2</w:t>
      </w:r>
      <w:r w:rsidR="009E7E5E" w:rsidRPr="00A8564C">
        <w:rPr>
          <w:lang w:val="es-ES"/>
        </w:rPr>
        <w:t xml:space="preserve">.  </w:t>
      </w:r>
      <w:r w:rsidR="007B3CF6">
        <w:rPr>
          <w:lang w:val="es-ES"/>
        </w:rPr>
        <w:t>criterios su</w:t>
      </w:r>
      <w:r w:rsidR="00C46076" w:rsidRPr="00A8564C">
        <w:rPr>
          <w:lang w:val="es-ES"/>
        </w:rPr>
        <w:t>stantivos</w:t>
      </w:r>
      <w:proofErr w:type="gramStart"/>
      <w:r w:rsidR="009E7E5E" w:rsidRPr="00A8564C">
        <w:rPr>
          <w:lang w:val="es-ES"/>
        </w:rPr>
        <w:t xml:space="preserve">:  </w:t>
      </w:r>
      <w:r w:rsidR="00C46076" w:rsidRPr="00A8564C">
        <w:rPr>
          <w:lang w:val="es-ES"/>
        </w:rPr>
        <w:t>requi</w:t>
      </w:r>
      <w:r w:rsidR="009E1D81" w:rsidRPr="00A8564C">
        <w:rPr>
          <w:lang w:val="es-ES"/>
        </w:rPr>
        <w:t>sitos</w:t>
      </w:r>
      <w:proofErr w:type="gramEnd"/>
      <w:r w:rsidR="009E1D81" w:rsidRPr="00A8564C">
        <w:rPr>
          <w:lang w:val="es-ES"/>
        </w:rPr>
        <w:t xml:space="preserve"> mínimos para la designaciÓ</w:t>
      </w:r>
      <w:r w:rsidR="00C46076" w:rsidRPr="00A8564C">
        <w:rPr>
          <w:lang w:val="es-ES"/>
        </w:rPr>
        <w:t>n</w:t>
      </w:r>
    </w:p>
    <w:p w14:paraId="61172C03" w14:textId="6F588DE7" w:rsidR="002C70DB" w:rsidRPr="00A8564C" w:rsidRDefault="00C46076" w:rsidP="00D852EC">
      <w:pPr>
        <w:pStyle w:val="Heading2"/>
        <w:rPr>
          <w:lang w:val="es-ES"/>
        </w:rPr>
      </w:pPr>
      <w:r w:rsidRPr="00A8564C">
        <w:rPr>
          <w:lang w:val="es-ES"/>
        </w:rPr>
        <w:t xml:space="preserve">2.1 Capacidad </w:t>
      </w:r>
      <w:r w:rsidR="00764B74" w:rsidRPr="00A8564C">
        <w:rPr>
          <w:lang w:val="es-ES"/>
        </w:rPr>
        <w:t>de</w:t>
      </w:r>
      <w:r w:rsidRPr="00A8564C">
        <w:rPr>
          <w:lang w:val="es-ES"/>
        </w:rPr>
        <w:t xml:space="preserve"> </w:t>
      </w:r>
      <w:r w:rsidR="00BA7B96" w:rsidRPr="00A8564C">
        <w:rPr>
          <w:lang w:val="es-ES"/>
        </w:rPr>
        <w:t>búsqueda</w:t>
      </w:r>
      <w:r w:rsidRPr="00A8564C">
        <w:rPr>
          <w:lang w:val="es-ES"/>
        </w:rPr>
        <w:t xml:space="preserve"> y examen</w:t>
      </w:r>
    </w:p>
    <w:p w14:paraId="51004BDA" w14:textId="77777777" w:rsidR="002C70DB" w:rsidRPr="00A8564C" w:rsidRDefault="002C70DB" w:rsidP="00D852EC">
      <w:pPr>
        <w:keepNext/>
        <w:rPr>
          <w:lang w:val="es-ES"/>
        </w:rPr>
      </w:pPr>
    </w:p>
    <w:p w14:paraId="136ABF18" w14:textId="70EC810E" w:rsidR="002C70DB" w:rsidRPr="00A8564C" w:rsidRDefault="00AA330B" w:rsidP="00D852EC">
      <w:pPr>
        <w:keepNext/>
        <w:rPr>
          <w:b/>
          <w:i/>
          <w:lang w:val="es-ES"/>
        </w:rPr>
      </w:pPr>
      <w:r w:rsidRPr="00A8564C">
        <w:rPr>
          <w:b/>
          <w:i/>
          <w:lang w:val="es-ES"/>
        </w:rPr>
        <w:t>Reglas 36.1</w:t>
      </w:r>
      <w:r w:rsidR="007B3CF6">
        <w:rPr>
          <w:b/>
          <w:i/>
          <w:lang w:val="es-ES"/>
        </w:rPr>
        <w:t>.</w:t>
      </w:r>
      <w:r w:rsidRPr="00A8564C">
        <w:rPr>
          <w:b/>
          <w:i/>
          <w:lang w:val="es-ES"/>
        </w:rPr>
        <w:t>i) y 63.1</w:t>
      </w:r>
      <w:r w:rsidR="007B3CF6">
        <w:rPr>
          <w:b/>
          <w:i/>
          <w:lang w:val="es-ES"/>
        </w:rPr>
        <w:t>.</w:t>
      </w:r>
      <w:r w:rsidRPr="00A8564C">
        <w:rPr>
          <w:b/>
          <w:i/>
          <w:lang w:val="es-ES"/>
        </w:rPr>
        <w:t>i)</w:t>
      </w:r>
      <w:proofErr w:type="gramStart"/>
      <w:r w:rsidRPr="00A8564C">
        <w:rPr>
          <w:b/>
          <w:i/>
          <w:lang w:val="es-ES"/>
        </w:rPr>
        <w:t>:  la</w:t>
      </w:r>
      <w:proofErr w:type="gramEnd"/>
      <w:r w:rsidRPr="00A8564C">
        <w:rPr>
          <w:b/>
          <w:i/>
          <w:lang w:val="es-ES"/>
        </w:rPr>
        <w:t xml:space="preserve"> Oficina nacional o la organización intergubernamental deberá tener, por lo menos, 100 empleados con plena dedicación, con calificaciones técnicas suficientes para efectuar las búsquedas y los exámenes. </w:t>
      </w:r>
    </w:p>
    <w:p w14:paraId="0131A77B" w14:textId="77777777" w:rsidR="002C70DB" w:rsidRPr="00A8564C" w:rsidRDefault="002C70DB" w:rsidP="00D852EC">
      <w:pPr>
        <w:keepNext/>
        <w:rPr>
          <w:b/>
          <w:i/>
          <w:lang w:val="es-ES"/>
        </w:rPr>
      </w:pPr>
    </w:p>
    <w:p w14:paraId="0530AF81" w14:textId="38EE7AA0" w:rsidR="001D3092" w:rsidRPr="00A8564C" w:rsidRDefault="001D3092" w:rsidP="00D852EC">
      <w:pPr>
        <w:keepNext/>
        <w:rPr>
          <w:b/>
          <w:i/>
          <w:lang w:val="es-ES"/>
        </w:rPr>
      </w:pPr>
      <w:r w:rsidRPr="00A8564C">
        <w:rPr>
          <w:b/>
          <w:i/>
          <w:lang w:val="es-ES"/>
        </w:rPr>
        <w:t>Reglas 36.1.iii) y 63.1.iii)</w:t>
      </w:r>
      <w:proofErr w:type="gramStart"/>
      <w:r w:rsidRPr="00A8564C">
        <w:rPr>
          <w:b/>
          <w:i/>
          <w:lang w:val="es-ES"/>
        </w:rPr>
        <w:t>:  esa</w:t>
      </w:r>
      <w:proofErr w:type="gramEnd"/>
      <w:r w:rsidRPr="00A8564C">
        <w:rPr>
          <w:b/>
          <w:i/>
          <w:lang w:val="es-ES"/>
        </w:rPr>
        <w:t xml:space="preserve"> Oficina u organización deberá disponer de un personal capacitado para proceder a la búsqueda y el examen en los sectores técnicos en los que deba realizarse la búsqueda y que posea los conocimientos lingüísticos necesarios para comprender, por lo menos, los idiomas en los que esté redactada o traducida la documentación mínima mencionada en la Regla 34.</w:t>
      </w:r>
    </w:p>
    <w:p w14:paraId="46286A65" w14:textId="77777777" w:rsidR="002C70DB" w:rsidRPr="006A0791" w:rsidRDefault="002C70DB" w:rsidP="002C70DB">
      <w:pPr>
        <w:keepNext/>
        <w:keepLines/>
        <w:rPr>
          <w:i/>
          <w:iCs/>
          <w:u w:val="single"/>
          <w:lang w:val="es-ES"/>
        </w:rPr>
      </w:pPr>
    </w:p>
    <w:p w14:paraId="17867E29" w14:textId="73B902D7" w:rsidR="002C70DB" w:rsidRPr="00A8564C" w:rsidRDefault="002C70DB" w:rsidP="00DE4453">
      <w:pPr>
        <w:pStyle w:val="Heading3"/>
        <w:rPr>
          <w:lang w:val="es-ES"/>
        </w:rPr>
      </w:pPr>
      <w:r w:rsidRPr="00A8564C">
        <w:rPr>
          <w:lang w:val="es-ES"/>
        </w:rPr>
        <w:t>2.1.1</w:t>
      </w:r>
      <w:r w:rsidR="009E7E5E" w:rsidRPr="00A8564C">
        <w:rPr>
          <w:lang w:val="es-ES"/>
        </w:rPr>
        <w:t xml:space="preserve">.  </w:t>
      </w:r>
      <w:r w:rsidR="00503FBD" w:rsidRPr="00A8564C">
        <w:rPr>
          <w:lang w:val="es-ES"/>
        </w:rPr>
        <w:t xml:space="preserve">Alcance </w:t>
      </w:r>
      <w:r w:rsidR="002C0CCE" w:rsidRPr="00A8564C">
        <w:rPr>
          <w:lang w:val="es-ES"/>
        </w:rPr>
        <w:t xml:space="preserve">de la </w:t>
      </w:r>
      <w:r w:rsidR="00530537" w:rsidRPr="00A8564C">
        <w:rPr>
          <w:lang w:val="es-ES"/>
        </w:rPr>
        <w:t>búsqueda</w:t>
      </w:r>
      <w:r w:rsidR="002C0CCE" w:rsidRPr="00A8564C">
        <w:rPr>
          <w:lang w:val="es-ES"/>
        </w:rPr>
        <w:t xml:space="preserve"> y el examen</w:t>
      </w:r>
    </w:p>
    <w:p w14:paraId="1DA299BA" w14:textId="77777777" w:rsidR="002C70DB" w:rsidRPr="00A8564C" w:rsidRDefault="002C70DB" w:rsidP="00DE4453">
      <w:pPr>
        <w:rPr>
          <w:lang w:val="es-ES"/>
        </w:rPr>
      </w:pPr>
    </w:p>
    <w:p w14:paraId="01F03C35" w14:textId="56E9CD58" w:rsidR="002C70DB" w:rsidRPr="00A8564C" w:rsidRDefault="00911A06" w:rsidP="00DE4453">
      <w:pPr>
        <w:rPr>
          <w:lang w:val="es-ES"/>
        </w:rPr>
      </w:pPr>
      <w:r w:rsidRPr="00A8564C">
        <w:rPr>
          <w:lang w:val="es-ES"/>
        </w:rPr>
        <w:t xml:space="preserve">En </w:t>
      </w:r>
      <w:r w:rsidR="002C0CCE" w:rsidRPr="00A8564C">
        <w:rPr>
          <w:lang w:val="es-ES"/>
        </w:rPr>
        <w:t xml:space="preserve">su calidad de </w:t>
      </w:r>
      <w:r w:rsidR="002C70DB" w:rsidRPr="00A8564C">
        <w:rPr>
          <w:lang w:val="es-ES"/>
        </w:rPr>
        <w:t xml:space="preserve">ISA/IPEA, </w:t>
      </w:r>
      <w:r w:rsidRPr="00A8564C">
        <w:rPr>
          <w:lang w:val="es-ES"/>
        </w:rPr>
        <w:t>la ILPO lleva a cabo</w:t>
      </w:r>
      <w:r w:rsidR="002C0CCE" w:rsidRPr="00A8564C">
        <w:rPr>
          <w:lang w:val="es-ES"/>
        </w:rPr>
        <w:t xml:space="preserve"> </w:t>
      </w:r>
      <w:r w:rsidR="00530537" w:rsidRPr="00A8564C">
        <w:rPr>
          <w:lang w:val="es-ES"/>
        </w:rPr>
        <w:t>búsqueda</w:t>
      </w:r>
      <w:r w:rsidRPr="00A8564C">
        <w:rPr>
          <w:lang w:val="es-ES"/>
        </w:rPr>
        <w:t>s</w:t>
      </w:r>
      <w:r w:rsidR="002C0CCE" w:rsidRPr="00A8564C">
        <w:rPr>
          <w:lang w:val="es-ES"/>
        </w:rPr>
        <w:t xml:space="preserve"> y ex</w:t>
      </w:r>
      <w:r w:rsidRPr="00A8564C">
        <w:rPr>
          <w:lang w:val="es-ES"/>
        </w:rPr>
        <w:t>á</w:t>
      </w:r>
      <w:r w:rsidR="002C0CCE" w:rsidRPr="00A8564C">
        <w:rPr>
          <w:lang w:val="es-ES"/>
        </w:rPr>
        <w:t>men</w:t>
      </w:r>
      <w:r w:rsidRPr="00A8564C">
        <w:rPr>
          <w:lang w:val="es-ES"/>
        </w:rPr>
        <w:t>es</w:t>
      </w:r>
      <w:r w:rsidR="002C0CCE" w:rsidRPr="00A8564C">
        <w:rPr>
          <w:lang w:val="es-ES"/>
        </w:rPr>
        <w:t xml:space="preserve"> en todos los campos </w:t>
      </w:r>
      <w:r w:rsidR="00530537" w:rsidRPr="00A8564C">
        <w:rPr>
          <w:lang w:val="es-ES"/>
        </w:rPr>
        <w:t>técnicos</w:t>
      </w:r>
      <w:r w:rsidR="002C0CCE" w:rsidRPr="00A8564C">
        <w:rPr>
          <w:lang w:val="es-ES"/>
        </w:rPr>
        <w:t xml:space="preserve"> de la manera </w:t>
      </w:r>
      <w:r w:rsidR="00530537" w:rsidRPr="00A8564C">
        <w:rPr>
          <w:lang w:val="es-ES"/>
        </w:rPr>
        <w:t>más</w:t>
      </w:r>
      <w:r w:rsidR="002C0CCE" w:rsidRPr="00A8564C">
        <w:rPr>
          <w:lang w:val="es-ES"/>
        </w:rPr>
        <w:t xml:space="preserve"> </w:t>
      </w:r>
      <w:r w:rsidR="00530537" w:rsidRPr="00A8564C">
        <w:rPr>
          <w:lang w:val="es-ES"/>
        </w:rPr>
        <w:t>exhaustiva</w:t>
      </w:r>
      <w:r w:rsidR="002C0CCE" w:rsidRPr="00A8564C">
        <w:rPr>
          <w:lang w:val="es-ES"/>
        </w:rPr>
        <w:t xml:space="preserve"> </w:t>
      </w:r>
      <w:r w:rsidRPr="00A8564C">
        <w:rPr>
          <w:lang w:val="es-ES"/>
        </w:rPr>
        <w:t>posible,</w:t>
      </w:r>
      <w:r w:rsidR="002C0CCE" w:rsidRPr="00A8564C">
        <w:rPr>
          <w:lang w:val="es-ES"/>
        </w:rPr>
        <w:t xml:space="preserve"> </w:t>
      </w:r>
      <w:r w:rsidRPr="00A8564C">
        <w:rPr>
          <w:lang w:val="es-ES"/>
        </w:rPr>
        <w:t xml:space="preserve">e incluye </w:t>
      </w:r>
      <w:r w:rsidR="002C0CCE" w:rsidRPr="00A8564C">
        <w:rPr>
          <w:lang w:val="es-ES"/>
        </w:rPr>
        <w:t xml:space="preserve">temas para los que </w:t>
      </w:r>
      <w:r w:rsidRPr="00A8564C">
        <w:rPr>
          <w:lang w:val="es-ES"/>
        </w:rPr>
        <w:t xml:space="preserve">no se exige que </w:t>
      </w:r>
      <w:r w:rsidR="002C0CCE" w:rsidRPr="00A8564C">
        <w:rPr>
          <w:lang w:val="es-ES"/>
        </w:rPr>
        <w:t xml:space="preserve">la </w:t>
      </w:r>
      <w:r w:rsidRPr="00A8564C">
        <w:rPr>
          <w:lang w:val="es-ES"/>
        </w:rPr>
        <w:t xml:space="preserve">Oficina </w:t>
      </w:r>
      <w:r w:rsidR="002C0CCE" w:rsidRPr="00A8564C">
        <w:rPr>
          <w:lang w:val="es-ES"/>
        </w:rPr>
        <w:t>reali</w:t>
      </w:r>
      <w:r w:rsidRPr="00A8564C">
        <w:rPr>
          <w:lang w:val="es-ES"/>
        </w:rPr>
        <w:t>ce</w:t>
      </w:r>
      <w:r w:rsidR="002C0CCE" w:rsidRPr="00A8564C">
        <w:rPr>
          <w:lang w:val="es-ES"/>
        </w:rPr>
        <w:t xml:space="preserve"> </w:t>
      </w:r>
      <w:r w:rsidR="00530537" w:rsidRPr="00A8564C">
        <w:rPr>
          <w:lang w:val="es-ES"/>
        </w:rPr>
        <w:t>búsquedas</w:t>
      </w:r>
      <w:r w:rsidRPr="00A8564C">
        <w:rPr>
          <w:lang w:val="es-ES"/>
        </w:rPr>
        <w:t xml:space="preserve"> y exámenes</w:t>
      </w:r>
      <w:r w:rsidR="002C0CCE" w:rsidRPr="00A8564C">
        <w:rPr>
          <w:lang w:val="es-ES"/>
        </w:rPr>
        <w:t xml:space="preserve"> en virtud de las </w:t>
      </w:r>
      <w:r w:rsidRPr="00A8564C">
        <w:rPr>
          <w:lang w:val="es-ES"/>
        </w:rPr>
        <w:t xml:space="preserve">Reglas </w:t>
      </w:r>
      <w:r w:rsidR="002C70DB" w:rsidRPr="00A8564C">
        <w:rPr>
          <w:lang w:val="es-ES"/>
        </w:rPr>
        <w:t xml:space="preserve">39 </w:t>
      </w:r>
      <w:r w:rsidR="002C0CCE" w:rsidRPr="00A8564C">
        <w:rPr>
          <w:lang w:val="es-ES"/>
        </w:rPr>
        <w:t>y</w:t>
      </w:r>
      <w:r w:rsidR="002C70DB" w:rsidRPr="00A8564C">
        <w:rPr>
          <w:lang w:val="es-ES"/>
        </w:rPr>
        <w:t xml:space="preserve"> 67.1</w:t>
      </w:r>
      <w:r w:rsidRPr="00A8564C">
        <w:rPr>
          <w:lang w:val="es-ES"/>
        </w:rPr>
        <w:t xml:space="preserve"> del PCT</w:t>
      </w:r>
      <w:r w:rsidR="002C70DB" w:rsidRPr="00A8564C">
        <w:rPr>
          <w:lang w:val="es-ES"/>
        </w:rPr>
        <w:t xml:space="preserve">, </w:t>
      </w:r>
      <w:r w:rsidR="002C0CCE" w:rsidRPr="00A8564C">
        <w:rPr>
          <w:lang w:val="es-ES"/>
        </w:rPr>
        <w:t xml:space="preserve">como los </w:t>
      </w:r>
      <w:r w:rsidR="00530537" w:rsidRPr="00A8564C">
        <w:rPr>
          <w:lang w:val="es-ES"/>
        </w:rPr>
        <w:t>métodos</w:t>
      </w:r>
      <w:r w:rsidR="002C0CCE" w:rsidRPr="00A8564C">
        <w:rPr>
          <w:lang w:val="es-ES"/>
        </w:rPr>
        <w:t xml:space="preserve"> para el tratamiento </w:t>
      </w:r>
      <w:r w:rsidR="00530537" w:rsidRPr="00A8564C">
        <w:rPr>
          <w:lang w:val="es-ES"/>
        </w:rPr>
        <w:t>terapéutico</w:t>
      </w:r>
      <w:r w:rsidR="002C0CCE" w:rsidRPr="00A8564C">
        <w:rPr>
          <w:lang w:val="es-ES"/>
        </w:rPr>
        <w:t xml:space="preserve"> del cuerpo humano y </w:t>
      </w:r>
      <w:r w:rsidR="00530537" w:rsidRPr="00A8564C">
        <w:rPr>
          <w:lang w:val="es-ES"/>
        </w:rPr>
        <w:t>métodos</w:t>
      </w:r>
      <w:r w:rsidR="002C0CCE" w:rsidRPr="00A8564C">
        <w:rPr>
          <w:lang w:val="es-ES"/>
        </w:rPr>
        <w:t xml:space="preserve"> para hacer negocios</w:t>
      </w:r>
      <w:r w:rsidR="002C70DB" w:rsidRPr="00A8564C">
        <w:rPr>
          <w:lang w:val="es-ES"/>
        </w:rPr>
        <w:t>.</w:t>
      </w:r>
    </w:p>
    <w:p w14:paraId="7842633D" w14:textId="77777777" w:rsidR="002C70DB" w:rsidRPr="00A8564C" w:rsidRDefault="002C70DB" w:rsidP="00DE4453">
      <w:pPr>
        <w:rPr>
          <w:lang w:val="es-ES"/>
        </w:rPr>
      </w:pPr>
    </w:p>
    <w:p w14:paraId="25E61EE3" w14:textId="3916F73A" w:rsidR="002C70DB" w:rsidRPr="00A8564C" w:rsidRDefault="002C0CCE" w:rsidP="00DE4453">
      <w:pPr>
        <w:rPr>
          <w:lang w:val="es-ES"/>
        </w:rPr>
      </w:pPr>
      <w:r w:rsidRPr="00A8564C">
        <w:rPr>
          <w:lang w:val="es-ES"/>
        </w:rPr>
        <w:t xml:space="preserve">A </w:t>
      </w:r>
      <w:r w:rsidR="00530537" w:rsidRPr="00A8564C">
        <w:rPr>
          <w:lang w:val="es-ES"/>
        </w:rPr>
        <w:t>raíz</w:t>
      </w:r>
      <w:r w:rsidRPr="00A8564C">
        <w:rPr>
          <w:lang w:val="es-ES"/>
        </w:rPr>
        <w:t xml:space="preserve"> de la puesta en marcha del servicio </w:t>
      </w:r>
      <w:r w:rsidR="007B3CF6">
        <w:rPr>
          <w:lang w:val="es-ES"/>
        </w:rPr>
        <w:t>“PCT Direct”</w:t>
      </w:r>
      <w:r w:rsidR="002C70DB" w:rsidRPr="00A8564C">
        <w:rPr>
          <w:lang w:val="es-ES"/>
        </w:rPr>
        <w:t xml:space="preserve"> </w:t>
      </w:r>
      <w:r w:rsidR="00911A06" w:rsidRPr="00A8564C">
        <w:rPr>
          <w:lang w:val="es-ES"/>
        </w:rPr>
        <w:t>por</w:t>
      </w:r>
      <w:r w:rsidRPr="00A8564C">
        <w:rPr>
          <w:lang w:val="es-ES"/>
        </w:rPr>
        <w:t xml:space="preserve"> la OEP en noviembre de </w:t>
      </w:r>
      <w:r w:rsidR="00911A06" w:rsidRPr="00A8564C">
        <w:rPr>
          <w:lang w:val="es-ES"/>
        </w:rPr>
        <w:t>2014</w:t>
      </w:r>
      <w:r w:rsidR="002C70DB" w:rsidRPr="00A8564C">
        <w:rPr>
          <w:lang w:val="es-ES"/>
        </w:rPr>
        <w:t xml:space="preserve"> </w:t>
      </w:r>
      <w:r w:rsidRPr="00A8564C">
        <w:rPr>
          <w:lang w:val="es-ES"/>
        </w:rPr>
        <w:t xml:space="preserve">y con objeto de mejorar la eficacia y calidad del examen de las solicitudes </w:t>
      </w:r>
      <w:r w:rsidR="002C70DB" w:rsidRPr="00A8564C">
        <w:rPr>
          <w:lang w:val="es-ES"/>
        </w:rPr>
        <w:t>PCT</w:t>
      </w:r>
      <w:r w:rsidRPr="00A8564C">
        <w:rPr>
          <w:lang w:val="es-ES"/>
        </w:rPr>
        <w:t>, la I</w:t>
      </w:r>
      <w:r w:rsidR="002C70DB" w:rsidRPr="00A8564C">
        <w:rPr>
          <w:lang w:val="es-ES"/>
        </w:rPr>
        <w:t xml:space="preserve">LPO </w:t>
      </w:r>
      <w:r w:rsidRPr="00A8564C">
        <w:rPr>
          <w:lang w:val="es-ES"/>
        </w:rPr>
        <w:t xml:space="preserve">puso en marcha un servicio similar en abril de </w:t>
      </w:r>
      <w:r w:rsidR="002C70DB" w:rsidRPr="00A8564C">
        <w:rPr>
          <w:lang w:val="es-ES"/>
        </w:rPr>
        <w:t xml:space="preserve">2015. </w:t>
      </w:r>
    </w:p>
    <w:p w14:paraId="083BC176" w14:textId="77777777" w:rsidR="002C70DB" w:rsidRPr="00A8564C" w:rsidRDefault="002C70DB" w:rsidP="00DE4453">
      <w:pPr>
        <w:rPr>
          <w:lang w:val="es-ES"/>
        </w:rPr>
      </w:pPr>
    </w:p>
    <w:p w14:paraId="77797AEB" w14:textId="19237EF0" w:rsidR="002C70DB" w:rsidRPr="00A8564C" w:rsidRDefault="00911A06" w:rsidP="00DE4453">
      <w:pPr>
        <w:rPr>
          <w:lang w:val="es-ES"/>
        </w:rPr>
      </w:pPr>
      <w:r w:rsidRPr="00A8564C">
        <w:rPr>
          <w:lang w:val="es-ES"/>
        </w:rPr>
        <w:t>Como</w:t>
      </w:r>
      <w:r w:rsidR="002C0CCE" w:rsidRPr="00A8564C">
        <w:rPr>
          <w:lang w:val="es-ES"/>
        </w:rPr>
        <w:t xml:space="preserve"> Oficina </w:t>
      </w:r>
      <w:r w:rsidRPr="00A8564C">
        <w:rPr>
          <w:lang w:val="es-ES"/>
        </w:rPr>
        <w:t>n</w:t>
      </w:r>
      <w:r w:rsidR="002C0CCE" w:rsidRPr="00A8564C">
        <w:rPr>
          <w:lang w:val="es-ES"/>
        </w:rPr>
        <w:t xml:space="preserve">acional, </w:t>
      </w:r>
      <w:r w:rsidRPr="00A8564C">
        <w:rPr>
          <w:lang w:val="es-ES"/>
        </w:rPr>
        <w:t xml:space="preserve">la ILPO </w:t>
      </w:r>
      <w:r w:rsidR="002C0CCE" w:rsidRPr="00A8564C">
        <w:rPr>
          <w:lang w:val="es-ES"/>
        </w:rPr>
        <w:t xml:space="preserve">realiza </w:t>
      </w:r>
      <w:r w:rsidR="00530537" w:rsidRPr="00A8564C">
        <w:rPr>
          <w:lang w:val="es-ES"/>
        </w:rPr>
        <w:t>exámenes</w:t>
      </w:r>
      <w:r w:rsidR="002C0CCE" w:rsidRPr="00A8564C">
        <w:rPr>
          <w:lang w:val="es-ES"/>
        </w:rPr>
        <w:t xml:space="preserve"> </w:t>
      </w:r>
      <w:r w:rsidR="00672F4E" w:rsidRPr="00A8564C">
        <w:rPr>
          <w:lang w:val="es-ES"/>
        </w:rPr>
        <w:t>acelerados</w:t>
      </w:r>
      <w:r w:rsidR="002C0CCE" w:rsidRPr="00A8564C">
        <w:rPr>
          <w:lang w:val="es-ES"/>
        </w:rPr>
        <w:t xml:space="preserve"> </w:t>
      </w:r>
      <w:r w:rsidR="00A033FE" w:rsidRPr="00A8564C">
        <w:rPr>
          <w:lang w:val="es-ES"/>
        </w:rPr>
        <w:t xml:space="preserve">en los </w:t>
      </w:r>
      <w:r w:rsidR="002C0CCE" w:rsidRPr="00A8564C">
        <w:rPr>
          <w:lang w:val="es-ES"/>
        </w:rPr>
        <w:t>casos que cumplen las disposiciones de</w:t>
      </w:r>
      <w:r w:rsidR="002C166D" w:rsidRPr="00A8564C">
        <w:rPr>
          <w:lang w:val="es-ES"/>
        </w:rPr>
        <w:t>l artí</w:t>
      </w:r>
      <w:r w:rsidR="002C0CCE" w:rsidRPr="00A8564C">
        <w:rPr>
          <w:lang w:val="es-ES"/>
        </w:rPr>
        <w:t>culo</w:t>
      </w:r>
      <w:r w:rsidR="002C70DB" w:rsidRPr="00A8564C">
        <w:rPr>
          <w:lang w:val="es-ES"/>
        </w:rPr>
        <w:t xml:space="preserve"> 19</w:t>
      </w:r>
      <w:r w:rsidR="002C0CCE" w:rsidRPr="00A8564C">
        <w:rPr>
          <w:lang w:val="es-ES"/>
        </w:rPr>
        <w:t>.</w:t>
      </w:r>
      <w:r w:rsidR="002C70DB" w:rsidRPr="00A8564C">
        <w:rPr>
          <w:lang w:val="es-ES"/>
        </w:rPr>
        <w:t xml:space="preserve">a </w:t>
      </w:r>
      <w:r w:rsidR="002C0CCE" w:rsidRPr="00A8564C">
        <w:rPr>
          <w:lang w:val="es-ES"/>
        </w:rPr>
        <w:t xml:space="preserve">de la Ley de Patentes de </w:t>
      </w:r>
      <w:r w:rsidR="002C70DB" w:rsidRPr="00A8564C">
        <w:rPr>
          <w:lang w:val="es-ES"/>
        </w:rPr>
        <w:t>Israel</w:t>
      </w:r>
      <w:r w:rsidR="009E7E5E" w:rsidRPr="00A8564C">
        <w:rPr>
          <w:lang w:val="es-ES"/>
        </w:rPr>
        <w:t xml:space="preserve">.  </w:t>
      </w:r>
      <w:r w:rsidR="002C0CCE" w:rsidRPr="00A8564C">
        <w:rPr>
          <w:lang w:val="es-ES"/>
        </w:rPr>
        <w:t>Uno de estos casos</w:t>
      </w:r>
      <w:r w:rsidR="00530537" w:rsidRPr="00A8564C">
        <w:rPr>
          <w:lang w:val="es-ES"/>
        </w:rPr>
        <w:t xml:space="preserve"> </w:t>
      </w:r>
      <w:r w:rsidR="00672F4E" w:rsidRPr="00A8564C">
        <w:rPr>
          <w:lang w:val="es-ES"/>
        </w:rPr>
        <w:t xml:space="preserve">son los </w:t>
      </w:r>
      <w:r w:rsidR="006B4201" w:rsidRPr="00A8564C">
        <w:rPr>
          <w:lang w:val="es-ES"/>
        </w:rPr>
        <w:t xml:space="preserve">exámenes acelerados previstos en los </w:t>
      </w:r>
      <w:r w:rsidR="00672F4E" w:rsidRPr="00A8564C">
        <w:rPr>
          <w:lang w:val="es-ES"/>
        </w:rPr>
        <w:t xml:space="preserve">acuerdos </w:t>
      </w:r>
      <w:r w:rsidR="006B4201" w:rsidRPr="00A8564C">
        <w:rPr>
          <w:lang w:val="es-ES"/>
        </w:rPr>
        <w:t>PPH (</w:t>
      </w:r>
      <w:r w:rsidR="00A033FE" w:rsidRPr="00A8564C">
        <w:rPr>
          <w:lang w:val="es-ES"/>
        </w:rPr>
        <w:t xml:space="preserve">procedimiento acelerado de examen de solitudes de patente (PPH), </w:t>
      </w:r>
      <w:r w:rsidR="00A033FE" w:rsidRPr="00A8564C">
        <w:rPr>
          <w:bCs/>
          <w:lang w:val="es-ES"/>
        </w:rPr>
        <w:t>procedimiento mundial acelerado de examen de solicitudes de patente (</w:t>
      </w:r>
      <w:r w:rsidR="00A033FE" w:rsidRPr="00A8564C">
        <w:rPr>
          <w:lang w:val="es-ES"/>
        </w:rPr>
        <w:t>GPPH) y</w:t>
      </w:r>
      <w:r w:rsidR="006B4201" w:rsidRPr="00A8564C">
        <w:rPr>
          <w:lang w:val="es-ES"/>
        </w:rPr>
        <w:t xml:space="preserve"> </w:t>
      </w:r>
      <w:r w:rsidR="00A033FE" w:rsidRPr="00A8564C">
        <w:rPr>
          <w:lang w:val="es-ES"/>
        </w:rPr>
        <w:t>procedimiento acelerado de examen de solitudes de patente PCT (PCT-PPH)</w:t>
      </w:r>
      <w:r w:rsidR="006B4201" w:rsidRPr="00A8564C">
        <w:rPr>
          <w:lang w:val="es-ES"/>
        </w:rPr>
        <w:t xml:space="preserve"> bilaterales)</w:t>
      </w:r>
      <w:r w:rsidR="009E7E5E" w:rsidRPr="00A8564C">
        <w:rPr>
          <w:lang w:val="es-ES"/>
        </w:rPr>
        <w:t xml:space="preserve">.  </w:t>
      </w:r>
      <w:r w:rsidR="002C166D" w:rsidRPr="00A8564C">
        <w:rPr>
          <w:lang w:val="es-ES"/>
        </w:rPr>
        <w:t>En el ca</w:t>
      </w:r>
      <w:r w:rsidR="00A033FE" w:rsidRPr="00A8564C">
        <w:rPr>
          <w:lang w:val="es-ES"/>
        </w:rPr>
        <w:t>so</w:t>
      </w:r>
      <w:r w:rsidR="002C166D" w:rsidRPr="00A8564C">
        <w:rPr>
          <w:lang w:val="es-ES"/>
        </w:rPr>
        <w:t xml:space="preserve"> de las solicitudes </w:t>
      </w:r>
      <w:r w:rsidR="00A033FE" w:rsidRPr="00A8564C">
        <w:rPr>
          <w:lang w:val="es-ES"/>
        </w:rPr>
        <w:t>cuyo</w:t>
      </w:r>
      <w:r w:rsidR="002C166D" w:rsidRPr="00A8564C">
        <w:rPr>
          <w:lang w:val="es-ES"/>
        </w:rPr>
        <w:t xml:space="preserve"> examen acelerado</w:t>
      </w:r>
      <w:r w:rsidR="00A033FE" w:rsidRPr="00A8564C">
        <w:rPr>
          <w:lang w:val="es-ES"/>
        </w:rPr>
        <w:t xml:space="preserve"> haya sido aprobado</w:t>
      </w:r>
      <w:r w:rsidR="002C70DB" w:rsidRPr="00A8564C">
        <w:rPr>
          <w:lang w:val="es-ES"/>
        </w:rPr>
        <w:t xml:space="preserve">, </w:t>
      </w:r>
      <w:r w:rsidR="00530537" w:rsidRPr="00A8564C">
        <w:rPr>
          <w:lang w:val="es-ES"/>
        </w:rPr>
        <w:t xml:space="preserve">se </w:t>
      </w:r>
      <w:r w:rsidR="00C02638" w:rsidRPr="00A8564C">
        <w:rPr>
          <w:lang w:val="es-ES"/>
        </w:rPr>
        <w:t>publica</w:t>
      </w:r>
      <w:r w:rsidR="002C166D" w:rsidRPr="00A8564C">
        <w:rPr>
          <w:lang w:val="es-ES"/>
        </w:rPr>
        <w:t xml:space="preserve"> un informe nacional de </w:t>
      </w:r>
      <w:r w:rsidR="00530537" w:rsidRPr="00A8564C">
        <w:rPr>
          <w:lang w:val="es-ES"/>
        </w:rPr>
        <w:t>búsqueda</w:t>
      </w:r>
      <w:r w:rsidR="002C70DB" w:rsidRPr="00A8564C">
        <w:rPr>
          <w:lang w:val="es-ES"/>
        </w:rPr>
        <w:t xml:space="preserve">, </w:t>
      </w:r>
      <w:r w:rsidR="002C166D" w:rsidRPr="00A8564C">
        <w:rPr>
          <w:lang w:val="es-ES"/>
        </w:rPr>
        <w:t xml:space="preserve">un informe de la estrategia de </w:t>
      </w:r>
      <w:r w:rsidR="00530537" w:rsidRPr="00A8564C">
        <w:rPr>
          <w:lang w:val="es-ES"/>
        </w:rPr>
        <w:t>búsqueda</w:t>
      </w:r>
      <w:r w:rsidR="002C166D" w:rsidRPr="00A8564C">
        <w:rPr>
          <w:lang w:val="es-ES"/>
        </w:rPr>
        <w:t xml:space="preserve"> y una </w:t>
      </w:r>
      <w:r w:rsidR="006B4201" w:rsidRPr="00A8564C">
        <w:rPr>
          <w:lang w:val="es-ES"/>
        </w:rPr>
        <w:t>decisión</w:t>
      </w:r>
      <w:r w:rsidR="00C02638" w:rsidRPr="00A8564C">
        <w:rPr>
          <w:lang w:val="es-ES"/>
        </w:rPr>
        <w:t xml:space="preserve"> de la oficina</w:t>
      </w:r>
      <w:r w:rsidR="002C166D" w:rsidRPr="00A8564C">
        <w:rPr>
          <w:lang w:val="es-ES"/>
        </w:rPr>
        <w:t xml:space="preserve"> en </w:t>
      </w:r>
      <w:r w:rsidR="00530537" w:rsidRPr="00A8564C">
        <w:rPr>
          <w:lang w:val="es-ES"/>
        </w:rPr>
        <w:t>los</w:t>
      </w:r>
      <w:r w:rsidR="002C166D" w:rsidRPr="00A8564C">
        <w:rPr>
          <w:lang w:val="es-ES"/>
        </w:rPr>
        <w:t xml:space="preserve"> </w:t>
      </w:r>
      <w:r w:rsidR="00BA7B96" w:rsidRPr="00A8564C">
        <w:rPr>
          <w:lang w:val="es-ES"/>
        </w:rPr>
        <w:t>tres</w:t>
      </w:r>
      <w:r w:rsidR="002C166D" w:rsidRPr="00A8564C">
        <w:rPr>
          <w:lang w:val="es-ES"/>
        </w:rPr>
        <w:t xml:space="preserve"> meses </w:t>
      </w:r>
      <w:r w:rsidR="00C02638" w:rsidRPr="00A8564C">
        <w:rPr>
          <w:lang w:val="es-ES"/>
        </w:rPr>
        <w:t xml:space="preserve">siguientes a </w:t>
      </w:r>
      <w:r w:rsidR="002C166D" w:rsidRPr="00A8564C">
        <w:rPr>
          <w:lang w:val="es-ES"/>
        </w:rPr>
        <w:t xml:space="preserve">la respuesta del solicitante al </w:t>
      </w:r>
      <w:r w:rsidR="00530537" w:rsidRPr="00A8564C">
        <w:rPr>
          <w:lang w:val="es-ES"/>
        </w:rPr>
        <w:t>requisito</w:t>
      </w:r>
      <w:r w:rsidR="002C166D" w:rsidRPr="00A8564C">
        <w:rPr>
          <w:lang w:val="es-ES"/>
        </w:rPr>
        <w:t xml:space="preserve"> de pr</w:t>
      </w:r>
      <w:r w:rsidR="00C02638" w:rsidRPr="00A8564C">
        <w:rPr>
          <w:lang w:val="es-ES"/>
        </w:rPr>
        <w:t>oporcionar el estado de la técnica correspondiente,</w:t>
      </w:r>
      <w:r w:rsidR="002C70DB" w:rsidRPr="00A8564C">
        <w:rPr>
          <w:lang w:val="es-ES"/>
        </w:rPr>
        <w:t xml:space="preserve"> </w:t>
      </w:r>
      <w:r w:rsidR="002C166D" w:rsidRPr="00A8564C">
        <w:rPr>
          <w:lang w:val="es-ES"/>
        </w:rPr>
        <w:t xml:space="preserve">en cumplimiento del artículo </w:t>
      </w:r>
      <w:r w:rsidR="002C70DB" w:rsidRPr="00A8564C">
        <w:rPr>
          <w:lang w:val="es-ES"/>
        </w:rPr>
        <w:t xml:space="preserve">18 </w:t>
      </w:r>
      <w:r w:rsidR="002C166D" w:rsidRPr="00A8564C">
        <w:rPr>
          <w:lang w:val="es-ES"/>
        </w:rPr>
        <w:t xml:space="preserve">de la Ley de Patentes de </w:t>
      </w:r>
      <w:r w:rsidR="002C70DB" w:rsidRPr="00A8564C">
        <w:rPr>
          <w:lang w:val="es-ES"/>
        </w:rPr>
        <w:t xml:space="preserve">Israel. </w:t>
      </w:r>
    </w:p>
    <w:p w14:paraId="0A6D8C46" w14:textId="77777777" w:rsidR="002C70DB" w:rsidRPr="00A8564C" w:rsidRDefault="002C70DB" w:rsidP="00DE4453">
      <w:pPr>
        <w:rPr>
          <w:lang w:val="es-ES"/>
        </w:rPr>
      </w:pPr>
    </w:p>
    <w:p w14:paraId="27AB197F" w14:textId="09C5DDE3" w:rsidR="002C70DB" w:rsidRPr="00A8564C" w:rsidRDefault="002C70DB" w:rsidP="00DE4453">
      <w:pPr>
        <w:pStyle w:val="Heading3"/>
        <w:rPr>
          <w:lang w:val="es-ES"/>
        </w:rPr>
      </w:pPr>
      <w:r w:rsidRPr="00A8564C">
        <w:rPr>
          <w:lang w:val="es-ES"/>
        </w:rPr>
        <w:t>2.1.2</w:t>
      </w:r>
      <w:r w:rsidR="009E7E5E" w:rsidRPr="00A8564C">
        <w:rPr>
          <w:lang w:val="es-ES"/>
        </w:rPr>
        <w:t xml:space="preserve">.  </w:t>
      </w:r>
      <w:r w:rsidR="002C166D" w:rsidRPr="00A8564C">
        <w:rPr>
          <w:lang w:val="es-ES"/>
        </w:rPr>
        <w:t xml:space="preserve">Recursos </w:t>
      </w:r>
      <w:r w:rsidR="007B3CF6" w:rsidRPr="00A8564C">
        <w:rPr>
          <w:lang w:val="es-ES"/>
        </w:rPr>
        <w:t xml:space="preserve">humanos </w:t>
      </w:r>
    </w:p>
    <w:p w14:paraId="69FDDC39" w14:textId="77777777" w:rsidR="002C70DB" w:rsidRPr="00A8564C" w:rsidRDefault="002C70DB" w:rsidP="00DE4453">
      <w:pPr>
        <w:rPr>
          <w:lang w:val="es-ES"/>
        </w:rPr>
      </w:pPr>
    </w:p>
    <w:p w14:paraId="4AF674A9" w14:textId="08979B0E" w:rsidR="002C70DB" w:rsidRPr="00A8564C" w:rsidRDefault="00D34E02" w:rsidP="00DE4453">
      <w:pPr>
        <w:rPr>
          <w:lang w:val="es-ES"/>
        </w:rPr>
      </w:pPr>
      <w:r w:rsidRPr="00A8564C">
        <w:rPr>
          <w:lang w:val="es-ES"/>
        </w:rPr>
        <w:t>Las c</w:t>
      </w:r>
      <w:r w:rsidR="001839ED" w:rsidRPr="00A8564C">
        <w:rPr>
          <w:lang w:val="es-ES"/>
        </w:rPr>
        <w:t xml:space="preserve">alificaciones </w:t>
      </w:r>
      <w:r w:rsidR="00530537" w:rsidRPr="00A8564C">
        <w:rPr>
          <w:lang w:val="es-ES"/>
        </w:rPr>
        <w:t>mínimas</w:t>
      </w:r>
      <w:r w:rsidR="001839ED" w:rsidRPr="00A8564C">
        <w:rPr>
          <w:lang w:val="es-ES"/>
        </w:rPr>
        <w:t xml:space="preserve"> exigidas a los candidatos examinadores de paten</w:t>
      </w:r>
      <w:r w:rsidR="00530537" w:rsidRPr="00A8564C">
        <w:rPr>
          <w:lang w:val="es-ES"/>
        </w:rPr>
        <w:t>te</w:t>
      </w:r>
      <w:r w:rsidR="001839ED" w:rsidRPr="00A8564C">
        <w:rPr>
          <w:lang w:val="es-ES"/>
        </w:rPr>
        <w:t>s incluyen un</w:t>
      </w:r>
      <w:r w:rsidR="000B2A2F" w:rsidRPr="00A8564C">
        <w:rPr>
          <w:lang w:val="es-ES"/>
        </w:rPr>
        <w:t>a</w:t>
      </w:r>
      <w:r w:rsidR="006B4201" w:rsidRPr="00A8564C">
        <w:rPr>
          <w:lang w:val="es-ES"/>
        </w:rPr>
        <w:t xml:space="preserve"> licenciatura </w:t>
      </w:r>
      <w:r w:rsidR="001839ED" w:rsidRPr="00A8564C">
        <w:rPr>
          <w:lang w:val="es-ES"/>
        </w:rPr>
        <w:t xml:space="preserve">en ciencias, ingeniería o medicina, y </w:t>
      </w:r>
      <w:r w:rsidR="00C02638" w:rsidRPr="00A8564C">
        <w:rPr>
          <w:lang w:val="es-ES"/>
        </w:rPr>
        <w:t>sólidos conocimientos de hebreo e</w:t>
      </w:r>
      <w:r w:rsidR="001839ED" w:rsidRPr="00A8564C">
        <w:rPr>
          <w:lang w:val="es-ES"/>
        </w:rPr>
        <w:t xml:space="preserve"> </w:t>
      </w:r>
      <w:r w:rsidR="00530537" w:rsidRPr="00A8564C">
        <w:rPr>
          <w:lang w:val="es-ES"/>
        </w:rPr>
        <w:t>inglés</w:t>
      </w:r>
      <w:r w:rsidR="009E7E5E" w:rsidRPr="00A8564C">
        <w:rPr>
          <w:lang w:val="es-ES"/>
        </w:rPr>
        <w:t xml:space="preserve">.  </w:t>
      </w:r>
      <w:r w:rsidR="001839ED" w:rsidRPr="00A8564C">
        <w:rPr>
          <w:lang w:val="es-ES"/>
        </w:rPr>
        <w:t xml:space="preserve">Se valora positivamente el </w:t>
      </w:r>
      <w:r w:rsidR="00530537" w:rsidRPr="00A8564C">
        <w:rPr>
          <w:lang w:val="es-ES"/>
        </w:rPr>
        <w:t>conocimiento</w:t>
      </w:r>
      <w:r w:rsidR="001839ED" w:rsidRPr="00A8564C">
        <w:rPr>
          <w:lang w:val="es-ES"/>
        </w:rPr>
        <w:t xml:space="preserve"> de un tercer </w:t>
      </w:r>
      <w:r w:rsidR="00530537" w:rsidRPr="00A8564C">
        <w:rPr>
          <w:lang w:val="es-ES"/>
        </w:rPr>
        <w:t>idioma</w:t>
      </w:r>
      <w:r w:rsidR="001839ED" w:rsidRPr="00A8564C">
        <w:rPr>
          <w:lang w:val="es-ES"/>
        </w:rPr>
        <w:t xml:space="preserve">. </w:t>
      </w:r>
    </w:p>
    <w:p w14:paraId="6BE65E32" w14:textId="77777777" w:rsidR="002C70DB" w:rsidRPr="00A8564C" w:rsidRDefault="002C70DB" w:rsidP="00DE4453">
      <w:pPr>
        <w:rPr>
          <w:lang w:val="es-ES"/>
        </w:rPr>
      </w:pPr>
    </w:p>
    <w:p w14:paraId="7FB88617" w14:textId="7B0135DF" w:rsidR="002C70DB" w:rsidRPr="00A8564C" w:rsidRDefault="000B2A2F" w:rsidP="00DE4453">
      <w:pPr>
        <w:rPr>
          <w:lang w:val="es-ES"/>
        </w:rPr>
      </w:pPr>
      <w:r w:rsidRPr="00A8564C">
        <w:rPr>
          <w:lang w:val="es-ES"/>
        </w:rPr>
        <w:t xml:space="preserve">Los </w:t>
      </w:r>
      <w:r w:rsidR="00530537" w:rsidRPr="00A8564C">
        <w:rPr>
          <w:lang w:val="es-ES"/>
        </w:rPr>
        <w:t>examinador</w:t>
      </w:r>
      <w:r w:rsidRPr="00A8564C">
        <w:rPr>
          <w:lang w:val="es-ES"/>
        </w:rPr>
        <w:t>es</w:t>
      </w:r>
      <w:r w:rsidR="001839ED" w:rsidRPr="00A8564C">
        <w:rPr>
          <w:lang w:val="es-ES"/>
        </w:rPr>
        <w:t xml:space="preserve"> sustantivo</w:t>
      </w:r>
      <w:r w:rsidRPr="00A8564C">
        <w:rPr>
          <w:lang w:val="es-ES"/>
        </w:rPr>
        <w:t>s</w:t>
      </w:r>
      <w:r w:rsidR="002C70DB" w:rsidRPr="00A8564C">
        <w:rPr>
          <w:lang w:val="es-ES"/>
        </w:rPr>
        <w:t xml:space="preserve"> </w:t>
      </w:r>
      <w:r w:rsidR="001839ED" w:rsidRPr="00A8564C">
        <w:rPr>
          <w:lang w:val="es-ES"/>
        </w:rPr>
        <w:t xml:space="preserve">se </w:t>
      </w:r>
      <w:r w:rsidRPr="00A8564C">
        <w:rPr>
          <w:lang w:val="es-ES"/>
        </w:rPr>
        <w:t>encargan de l</w:t>
      </w:r>
      <w:r w:rsidR="001839ED" w:rsidRPr="00A8564C">
        <w:rPr>
          <w:lang w:val="es-ES"/>
        </w:rPr>
        <w:t xml:space="preserve">a </w:t>
      </w:r>
      <w:r w:rsidR="00530537" w:rsidRPr="00A8564C">
        <w:rPr>
          <w:lang w:val="es-ES"/>
        </w:rPr>
        <w:t>clasificación</w:t>
      </w:r>
      <w:r w:rsidR="001839ED" w:rsidRPr="00A8564C">
        <w:rPr>
          <w:lang w:val="es-ES"/>
        </w:rPr>
        <w:t xml:space="preserve"> de los temas </w:t>
      </w:r>
      <w:r w:rsidRPr="00A8564C">
        <w:rPr>
          <w:lang w:val="es-ES"/>
        </w:rPr>
        <w:t xml:space="preserve">objeto de las </w:t>
      </w:r>
      <w:r w:rsidR="001839ED" w:rsidRPr="00A8564C">
        <w:rPr>
          <w:lang w:val="es-ES"/>
        </w:rPr>
        <w:t>solicitudes nacionales y PCT</w:t>
      </w:r>
      <w:r w:rsidR="002C70DB" w:rsidRPr="00A8564C">
        <w:rPr>
          <w:lang w:val="es-ES"/>
        </w:rPr>
        <w:t xml:space="preserve">, </w:t>
      </w:r>
      <w:r w:rsidRPr="00A8564C">
        <w:rPr>
          <w:lang w:val="es-ES"/>
        </w:rPr>
        <w:t xml:space="preserve">de </w:t>
      </w:r>
      <w:r w:rsidR="001839ED" w:rsidRPr="00A8564C">
        <w:rPr>
          <w:lang w:val="es-ES"/>
        </w:rPr>
        <w:t xml:space="preserve">la </w:t>
      </w:r>
      <w:r w:rsidR="00530537" w:rsidRPr="00A8564C">
        <w:rPr>
          <w:lang w:val="es-ES"/>
        </w:rPr>
        <w:t>búsqueda</w:t>
      </w:r>
      <w:r w:rsidR="001839ED" w:rsidRPr="00A8564C">
        <w:rPr>
          <w:lang w:val="es-ES"/>
        </w:rPr>
        <w:t xml:space="preserve">, el registro de las peticiones de </w:t>
      </w:r>
      <w:r w:rsidR="00530537" w:rsidRPr="00A8564C">
        <w:rPr>
          <w:lang w:val="es-ES"/>
        </w:rPr>
        <w:t>búsqueda</w:t>
      </w:r>
      <w:r w:rsidR="001839ED" w:rsidRPr="00A8564C">
        <w:rPr>
          <w:lang w:val="es-ES"/>
        </w:rPr>
        <w:t xml:space="preserve"> en un informe de estrategia de </w:t>
      </w:r>
      <w:r w:rsidR="00530537" w:rsidRPr="00A8564C">
        <w:rPr>
          <w:lang w:val="es-ES"/>
        </w:rPr>
        <w:t>búsqueda</w:t>
      </w:r>
      <w:r w:rsidR="002C70DB" w:rsidRPr="00A8564C">
        <w:rPr>
          <w:lang w:val="es-ES"/>
        </w:rPr>
        <w:t xml:space="preserve">, </w:t>
      </w:r>
      <w:r w:rsidR="001839ED" w:rsidRPr="00A8564C">
        <w:rPr>
          <w:lang w:val="es-ES"/>
        </w:rPr>
        <w:t xml:space="preserve">la </w:t>
      </w:r>
      <w:r w:rsidR="00530537" w:rsidRPr="00A8564C">
        <w:rPr>
          <w:lang w:val="es-ES"/>
        </w:rPr>
        <w:t>elaboración</w:t>
      </w:r>
      <w:r w:rsidR="001839ED" w:rsidRPr="00A8564C">
        <w:rPr>
          <w:lang w:val="es-ES"/>
        </w:rPr>
        <w:t xml:space="preserve"> del informe de examen </w:t>
      </w:r>
      <w:r w:rsidR="002C70DB" w:rsidRPr="00A8564C">
        <w:rPr>
          <w:lang w:val="es-ES"/>
        </w:rPr>
        <w:t>(</w:t>
      </w:r>
      <w:r w:rsidRPr="00A8564C">
        <w:rPr>
          <w:lang w:val="es-ES"/>
        </w:rPr>
        <w:t xml:space="preserve">decisión de la </w:t>
      </w:r>
      <w:r w:rsidR="00C02638" w:rsidRPr="00A8564C">
        <w:rPr>
          <w:lang w:val="es-ES"/>
        </w:rPr>
        <w:t xml:space="preserve">Oficina </w:t>
      </w:r>
      <w:r w:rsidR="001839ED" w:rsidRPr="00A8564C">
        <w:rPr>
          <w:lang w:val="es-ES"/>
        </w:rPr>
        <w:t xml:space="preserve">para </w:t>
      </w:r>
      <w:r w:rsidRPr="00A8564C">
        <w:rPr>
          <w:lang w:val="es-ES"/>
        </w:rPr>
        <w:t xml:space="preserve">las </w:t>
      </w:r>
      <w:r w:rsidR="001839ED" w:rsidRPr="00A8564C">
        <w:rPr>
          <w:lang w:val="es-ES"/>
        </w:rPr>
        <w:t xml:space="preserve">solicitudes </w:t>
      </w:r>
      <w:r w:rsidR="00530537" w:rsidRPr="00A8564C">
        <w:rPr>
          <w:lang w:val="es-ES"/>
        </w:rPr>
        <w:t>nacionales; opinión</w:t>
      </w:r>
      <w:r w:rsidR="001839ED" w:rsidRPr="00A8564C">
        <w:rPr>
          <w:lang w:val="es-ES"/>
        </w:rPr>
        <w:t xml:space="preserve"> escrita para las </w:t>
      </w:r>
      <w:r w:rsidR="00530537" w:rsidRPr="00A8564C">
        <w:rPr>
          <w:lang w:val="es-ES"/>
        </w:rPr>
        <w:t>solicitudes</w:t>
      </w:r>
      <w:r w:rsidR="001839ED" w:rsidRPr="00A8564C">
        <w:rPr>
          <w:lang w:val="es-ES"/>
        </w:rPr>
        <w:t xml:space="preserve"> PCT</w:t>
      </w:r>
      <w:r w:rsidR="002C70DB" w:rsidRPr="00A8564C">
        <w:rPr>
          <w:lang w:val="es-ES"/>
        </w:rPr>
        <w:t xml:space="preserve">) </w:t>
      </w:r>
      <w:r w:rsidR="001839ED" w:rsidRPr="00A8564C">
        <w:rPr>
          <w:lang w:val="es-ES"/>
        </w:rPr>
        <w:t xml:space="preserve">en el que se </w:t>
      </w:r>
      <w:r w:rsidR="00530537" w:rsidRPr="00A8564C">
        <w:rPr>
          <w:lang w:val="es-ES"/>
        </w:rPr>
        <w:t>plantean</w:t>
      </w:r>
      <w:r w:rsidRPr="00A8564C">
        <w:rPr>
          <w:lang w:val="es-ES"/>
        </w:rPr>
        <w:t xml:space="preserve"> objeciones con arreglo a la disposición reglamentaria </w:t>
      </w:r>
      <w:r w:rsidR="001839ED" w:rsidRPr="00A8564C">
        <w:rPr>
          <w:lang w:val="es-ES"/>
        </w:rPr>
        <w:t xml:space="preserve">nacional </w:t>
      </w:r>
      <w:r w:rsidRPr="00A8564C">
        <w:rPr>
          <w:lang w:val="es-ES"/>
        </w:rPr>
        <w:t xml:space="preserve">o del </w:t>
      </w:r>
      <w:r w:rsidR="002C70DB" w:rsidRPr="00A8564C">
        <w:rPr>
          <w:lang w:val="es-ES"/>
        </w:rPr>
        <w:t>PCT</w:t>
      </w:r>
      <w:r w:rsidRPr="00A8564C">
        <w:rPr>
          <w:lang w:val="es-ES"/>
        </w:rPr>
        <w:t xml:space="preserve"> pertinente</w:t>
      </w:r>
      <w:r w:rsidR="002C70DB" w:rsidRPr="00A8564C">
        <w:rPr>
          <w:lang w:val="es-ES"/>
        </w:rPr>
        <w:t xml:space="preserve">. </w:t>
      </w:r>
    </w:p>
    <w:p w14:paraId="64FD3024" w14:textId="77777777" w:rsidR="002C70DB" w:rsidRPr="00A8564C" w:rsidRDefault="002C70DB" w:rsidP="00DE4453">
      <w:pPr>
        <w:rPr>
          <w:lang w:val="es-ES"/>
        </w:rPr>
      </w:pPr>
    </w:p>
    <w:p w14:paraId="602CC4CB" w14:textId="07F14BD3" w:rsidR="002C70DB" w:rsidRPr="00A8564C" w:rsidRDefault="001839ED" w:rsidP="00DE4453">
      <w:pPr>
        <w:rPr>
          <w:lang w:val="es-ES"/>
        </w:rPr>
      </w:pPr>
      <w:r w:rsidRPr="00A8564C">
        <w:rPr>
          <w:lang w:val="es-ES"/>
        </w:rPr>
        <w:t>Se establece un objetivo anu</w:t>
      </w:r>
      <w:r w:rsidR="000B2A2F" w:rsidRPr="00A8564C">
        <w:rPr>
          <w:lang w:val="es-ES"/>
        </w:rPr>
        <w:t>al</w:t>
      </w:r>
      <w:r w:rsidRPr="00A8564C">
        <w:rPr>
          <w:lang w:val="es-ES"/>
        </w:rPr>
        <w:t xml:space="preserve"> para cada examinador (por ej., el </w:t>
      </w:r>
      <w:r w:rsidR="00530537" w:rsidRPr="00A8564C">
        <w:rPr>
          <w:lang w:val="es-ES"/>
        </w:rPr>
        <w:t>número</w:t>
      </w:r>
      <w:r w:rsidRPr="00A8564C">
        <w:rPr>
          <w:lang w:val="es-ES"/>
        </w:rPr>
        <w:t xml:space="preserve"> de </w:t>
      </w:r>
      <w:r w:rsidR="000B2A2F" w:rsidRPr="00A8564C">
        <w:rPr>
          <w:lang w:val="es-ES"/>
        </w:rPr>
        <w:t>solicitudes de patente que debe tratar</w:t>
      </w:r>
      <w:r w:rsidRPr="00A8564C">
        <w:rPr>
          <w:lang w:val="es-ES"/>
        </w:rPr>
        <w:t>)</w:t>
      </w:r>
      <w:r w:rsidR="002C70DB" w:rsidRPr="00A8564C">
        <w:rPr>
          <w:lang w:val="es-ES"/>
        </w:rPr>
        <w:t xml:space="preserve">, </w:t>
      </w:r>
      <w:r w:rsidRPr="00A8564C">
        <w:rPr>
          <w:lang w:val="es-ES"/>
        </w:rPr>
        <w:t>dependiendo de</w:t>
      </w:r>
      <w:r w:rsidR="009D640E" w:rsidRPr="00A8564C">
        <w:rPr>
          <w:lang w:val="es-ES"/>
        </w:rPr>
        <w:t xml:space="preserve"> su nivel </w:t>
      </w:r>
      <w:r w:rsidR="000B2A2F" w:rsidRPr="00A8564C">
        <w:rPr>
          <w:lang w:val="es-ES"/>
        </w:rPr>
        <w:t>profesional</w:t>
      </w:r>
      <w:r w:rsidR="009E7E5E" w:rsidRPr="00A8564C">
        <w:rPr>
          <w:lang w:val="es-ES"/>
        </w:rPr>
        <w:t xml:space="preserve">.  </w:t>
      </w:r>
      <w:r w:rsidRPr="00A8564C">
        <w:rPr>
          <w:lang w:val="es-ES"/>
        </w:rPr>
        <w:t xml:space="preserve">Por otra parte, </w:t>
      </w:r>
      <w:r w:rsidR="009D640E" w:rsidRPr="00A8564C">
        <w:rPr>
          <w:lang w:val="es-ES"/>
        </w:rPr>
        <w:t>el trabajo realizado trimestralmente</w:t>
      </w:r>
      <w:r w:rsidR="00174852" w:rsidRPr="00A8564C">
        <w:rPr>
          <w:lang w:val="es-ES"/>
        </w:rPr>
        <w:t xml:space="preserve"> se refleja en el </w:t>
      </w:r>
      <w:r w:rsidR="00C02638" w:rsidRPr="00A8564C">
        <w:rPr>
          <w:lang w:val="es-ES"/>
        </w:rPr>
        <w:t>régimen de i</w:t>
      </w:r>
      <w:r w:rsidR="00174852" w:rsidRPr="00A8564C">
        <w:rPr>
          <w:lang w:val="es-ES"/>
        </w:rPr>
        <w:t>ncentivos</w:t>
      </w:r>
      <w:r w:rsidR="00530537" w:rsidRPr="00A8564C">
        <w:rPr>
          <w:lang w:val="es-ES"/>
        </w:rPr>
        <w:t>.</w:t>
      </w:r>
    </w:p>
    <w:p w14:paraId="30869948" w14:textId="77777777" w:rsidR="002C70DB" w:rsidRPr="00A8564C" w:rsidRDefault="002C70DB" w:rsidP="00DE4453">
      <w:pPr>
        <w:rPr>
          <w:lang w:val="es-ES"/>
        </w:rPr>
      </w:pPr>
    </w:p>
    <w:p w14:paraId="36B32A76" w14:textId="4A9EA9C3" w:rsidR="002C70DB" w:rsidRPr="00A8564C" w:rsidRDefault="00174852" w:rsidP="00DE4453">
      <w:pPr>
        <w:rPr>
          <w:lang w:val="es-ES"/>
        </w:rPr>
      </w:pPr>
      <w:r w:rsidRPr="00A8564C">
        <w:rPr>
          <w:lang w:val="es-ES"/>
        </w:rPr>
        <w:t xml:space="preserve">Los examinadores que </w:t>
      </w:r>
      <w:r w:rsidR="00530537" w:rsidRPr="00A8564C">
        <w:rPr>
          <w:lang w:val="es-ES"/>
        </w:rPr>
        <w:t>participan</w:t>
      </w:r>
      <w:r w:rsidRPr="00A8564C">
        <w:rPr>
          <w:lang w:val="es-ES"/>
        </w:rPr>
        <w:t xml:space="preserve"> en el examen sustantivo de las solicitudes </w:t>
      </w:r>
      <w:r w:rsidR="009D640E" w:rsidRPr="00A8564C">
        <w:rPr>
          <w:lang w:val="es-ES"/>
        </w:rPr>
        <w:t xml:space="preserve">PCT </w:t>
      </w:r>
      <w:r w:rsidRPr="00A8564C">
        <w:rPr>
          <w:lang w:val="es-ES"/>
        </w:rPr>
        <w:t xml:space="preserve">son los </w:t>
      </w:r>
      <w:r w:rsidR="00530537" w:rsidRPr="00A8564C">
        <w:rPr>
          <w:lang w:val="es-ES"/>
        </w:rPr>
        <w:t>siguientes</w:t>
      </w:r>
      <w:r w:rsidR="002C70DB" w:rsidRPr="00A8564C">
        <w:rPr>
          <w:lang w:val="es-ES"/>
        </w:rPr>
        <w:t>:</w:t>
      </w:r>
    </w:p>
    <w:p w14:paraId="1270B967" w14:textId="169A942E" w:rsidR="002C70DB" w:rsidRPr="00A8564C" w:rsidRDefault="00DE4453" w:rsidP="00DE4453">
      <w:pPr>
        <w:ind w:left="1134" w:hanging="567"/>
        <w:rPr>
          <w:lang w:val="es-ES"/>
        </w:rPr>
      </w:pPr>
      <w:r w:rsidRPr="00A8564C">
        <w:rPr>
          <w:lang w:val="es-ES"/>
        </w:rPr>
        <w:lastRenderedPageBreak/>
        <w:t>–</w:t>
      </w:r>
      <w:r w:rsidR="00A41B96" w:rsidRPr="00A8564C">
        <w:rPr>
          <w:lang w:val="es-ES"/>
        </w:rPr>
        <w:tab/>
      </w:r>
      <w:r w:rsidR="00174852" w:rsidRPr="00A8564C">
        <w:rPr>
          <w:lang w:val="es-ES"/>
        </w:rPr>
        <w:t>Examinador sustantivo</w:t>
      </w:r>
      <w:r w:rsidR="002C70DB" w:rsidRPr="00A8564C">
        <w:rPr>
          <w:lang w:val="es-ES"/>
        </w:rPr>
        <w:t xml:space="preserve">, </w:t>
      </w:r>
      <w:r w:rsidR="00174852" w:rsidRPr="00A8564C">
        <w:rPr>
          <w:lang w:val="es-ES"/>
        </w:rPr>
        <w:t xml:space="preserve">que se encarga de la </w:t>
      </w:r>
      <w:r w:rsidR="00530537" w:rsidRPr="00A8564C">
        <w:rPr>
          <w:lang w:val="es-ES"/>
        </w:rPr>
        <w:t>búsqueda</w:t>
      </w:r>
      <w:r w:rsidR="00174852" w:rsidRPr="00A8564C">
        <w:rPr>
          <w:lang w:val="es-ES"/>
        </w:rPr>
        <w:t xml:space="preserve"> y el examen sustantivo</w:t>
      </w:r>
      <w:r w:rsidR="009D640E" w:rsidRPr="00A8564C">
        <w:rPr>
          <w:lang w:val="es-ES"/>
        </w:rPr>
        <w:t>, como se indicó más arriba</w:t>
      </w:r>
      <w:r w:rsidR="002C70DB" w:rsidRPr="00A8564C">
        <w:rPr>
          <w:lang w:val="es-ES"/>
        </w:rPr>
        <w:t>;</w:t>
      </w:r>
    </w:p>
    <w:p w14:paraId="0985514E" w14:textId="3D6BE913" w:rsidR="002C70DB" w:rsidRPr="00A8564C" w:rsidRDefault="00DE4453" w:rsidP="00DE4453">
      <w:pPr>
        <w:ind w:left="1134" w:hanging="567"/>
        <w:rPr>
          <w:lang w:val="es-ES"/>
        </w:rPr>
      </w:pPr>
      <w:r w:rsidRPr="00A8564C">
        <w:rPr>
          <w:lang w:val="es-ES"/>
        </w:rPr>
        <w:t>–</w:t>
      </w:r>
      <w:r w:rsidR="00A41B96" w:rsidRPr="00A8564C">
        <w:rPr>
          <w:lang w:val="es-ES"/>
        </w:rPr>
        <w:tab/>
      </w:r>
      <w:r w:rsidR="002C70DB" w:rsidRPr="00A8564C">
        <w:rPr>
          <w:lang w:val="es-ES"/>
        </w:rPr>
        <w:t>Op</w:t>
      </w:r>
      <w:r w:rsidR="00174852" w:rsidRPr="00A8564C">
        <w:rPr>
          <w:lang w:val="es-ES"/>
        </w:rPr>
        <w:t>cionalmente, un examinador experto</w:t>
      </w:r>
      <w:r w:rsidR="002C70DB" w:rsidRPr="00A8564C">
        <w:rPr>
          <w:lang w:val="es-ES"/>
        </w:rPr>
        <w:t xml:space="preserve">, </w:t>
      </w:r>
      <w:r w:rsidR="00174852" w:rsidRPr="00A8564C">
        <w:rPr>
          <w:lang w:val="es-ES"/>
        </w:rPr>
        <w:t xml:space="preserve">que colabora con el examinador </w:t>
      </w:r>
      <w:r w:rsidR="00530537" w:rsidRPr="00A8564C">
        <w:rPr>
          <w:lang w:val="es-ES"/>
        </w:rPr>
        <w:t>sustantivo</w:t>
      </w:r>
      <w:r w:rsidR="00174852" w:rsidRPr="00A8564C">
        <w:rPr>
          <w:lang w:val="es-ES"/>
        </w:rPr>
        <w:t xml:space="preserve">, especialmente en los casos </w:t>
      </w:r>
      <w:r w:rsidR="009D640E" w:rsidRPr="00A8564C">
        <w:rPr>
          <w:lang w:val="es-ES"/>
        </w:rPr>
        <w:t>en los que se aborden cuestiones multidisciplinarias</w:t>
      </w:r>
      <w:r w:rsidR="002C70DB" w:rsidRPr="00A8564C">
        <w:rPr>
          <w:lang w:val="es-ES"/>
        </w:rPr>
        <w:t xml:space="preserve">; </w:t>
      </w:r>
      <w:r w:rsidR="00174852" w:rsidRPr="00A8564C">
        <w:rPr>
          <w:lang w:val="es-ES"/>
        </w:rPr>
        <w:t>y</w:t>
      </w:r>
    </w:p>
    <w:p w14:paraId="5A8CC93E" w14:textId="01CF88E5" w:rsidR="002C70DB" w:rsidRPr="00A8564C" w:rsidRDefault="00DE4453" w:rsidP="00DE4453">
      <w:pPr>
        <w:ind w:left="1134" w:hanging="567"/>
        <w:rPr>
          <w:lang w:val="es-ES"/>
        </w:rPr>
      </w:pPr>
      <w:r w:rsidRPr="00A8564C">
        <w:rPr>
          <w:lang w:val="es-ES"/>
        </w:rPr>
        <w:t>–</w:t>
      </w:r>
      <w:r w:rsidR="00A41B96" w:rsidRPr="00A8564C">
        <w:rPr>
          <w:lang w:val="es-ES"/>
        </w:rPr>
        <w:tab/>
      </w:r>
      <w:r w:rsidR="002A2B1F" w:rsidRPr="00A8564C">
        <w:rPr>
          <w:lang w:val="es-ES"/>
        </w:rPr>
        <w:t xml:space="preserve">Jefe de equipo, que </w:t>
      </w:r>
      <w:r w:rsidR="00530537" w:rsidRPr="00A8564C">
        <w:rPr>
          <w:lang w:val="es-ES"/>
        </w:rPr>
        <w:t>actúa</w:t>
      </w:r>
      <w:r w:rsidR="002A2B1F" w:rsidRPr="00A8564C">
        <w:rPr>
          <w:lang w:val="es-ES"/>
        </w:rPr>
        <w:t xml:space="preserve"> como controlador de la calidad de los informes internacional</w:t>
      </w:r>
      <w:r w:rsidR="001E237C">
        <w:rPr>
          <w:lang w:val="es-ES"/>
        </w:rPr>
        <w:t>es que publica</w:t>
      </w:r>
      <w:r w:rsidR="007B3CF6">
        <w:rPr>
          <w:lang w:val="es-ES"/>
        </w:rPr>
        <w:t xml:space="preserve"> la ILPO en calidad</w:t>
      </w:r>
      <w:r w:rsidR="002A2B1F" w:rsidRPr="00A8564C">
        <w:rPr>
          <w:lang w:val="es-ES"/>
        </w:rPr>
        <w:t xml:space="preserve"> de</w:t>
      </w:r>
      <w:r w:rsidR="002C70DB" w:rsidRPr="00A8564C">
        <w:rPr>
          <w:lang w:val="es-ES"/>
        </w:rPr>
        <w:t xml:space="preserve"> ISA (</w:t>
      </w:r>
      <w:r w:rsidR="009D640E" w:rsidRPr="00A8564C">
        <w:rPr>
          <w:lang w:val="es-ES"/>
        </w:rPr>
        <w:t xml:space="preserve">los </w:t>
      </w:r>
      <w:r w:rsidR="002A2B1F" w:rsidRPr="00A8564C">
        <w:rPr>
          <w:lang w:val="es-ES"/>
        </w:rPr>
        <w:t>informes</w:t>
      </w:r>
      <w:r w:rsidR="001E237C">
        <w:rPr>
          <w:lang w:val="es-ES"/>
        </w:rPr>
        <w:t xml:space="preserve"> de la búsqueda internacional</w:t>
      </w:r>
      <w:r w:rsidR="002A2B1F" w:rsidRPr="00A8564C">
        <w:rPr>
          <w:lang w:val="es-ES"/>
        </w:rPr>
        <w:t xml:space="preserve">, las </w:t>
      </w:r>
      <w:r w:rsidR="00530537" w:rsidRPr="00A8564C">
        <w:rPr>
          <w:lang w:val="es-ES"/>
        </w:rPr>
        <w:t>opiniones</w:t>
      </w:r>
      <w:r w:rsidR="002A2B1F" w:rsidRPr="00A8564C">
        <w:rPr>
          <w:lang w:val="es-ES"/>
        </w:rPr>
        <w:t xml:space="preserve"> escritas, </w:t>
      </w:r>
      <w:r w:rsidR="00D95D86" w:rsidRPr="00A8564C">
        <w:rPr>
          <w:lang w:val="es-ES"/>
        </w:rPr>
        <w:t>los requerimientos de pago de tasas adicionales</w:t>
      </w:r>
      <w:r w:rsidR="00530537" w:rsidRPr="00A8564C">
        <w:rPr>
          <w:lang w:val="es-ES"/>
        </w:rPr>
        <w:t>),</w:t>
      </w:r>
      <w:r w:rsidR="002A2B1F" w:rsidRPr="00A8564C">
        <w:rPr>
          <w:lang w:val="es-ES"/>
        </w:rPr>
        <w:t xml:space="preserve"> </w:t>
      </w:r>
      <w:r w:rsidR="00530537" w:rsidRPr="00A8564C">
        <w:rPr>
          <w:lang w:val="es-ES"/>
        </w:rPr>
        <w:t>así</w:t>
      </w:r>
      <w:r w:rsidR="002A2B1F" w:rsidRPr="00A8564C">
        <w:rPr>
          <w:lang w:val="es-ES"/>
        </w:rPr>
        <w:t xml:space="preserve"> como </w:t>
      </w:r>
      <w:r w:rsidR="001E237C">
        <w:rPr>
          <w:lang w:val="es-ES"/>
        </w:rPr>
        <w:t xml:space="preserve">en calidad de </w:t>
      </w:r>
      <w:r w:rsidR="00530537" w:rsidRPr="00A8564C">
        <w:rPr>
          <w:lang w:val="es-ES"/>
        </w:rPr>
        <w:t>IPEA</w:t>
      </w:r>
      <w:r w:rsidR="002C70DB" w:rsidRPr="00A8564C">
        <w:rPr>
          <w:lang w:val="es-ES"/>
        </w:rPr>
        <w:t xml:space="preserve"> (</w:t>
      </w:r>
      <w:r w:rsidR="00C02638" w:rsidRPr="00A8564C">
        <w:rPr>
          <w:lang w:val="es-ES"/>
        </w:rPr>
        <w:t>Informe preliminar internacional sobre la patentabilidad</w:t>
      </w:r>
      <w:r w:rsidR="009D640E" w:rsidRPr="00A8564C">
        <w:rPr>
          <w:lang w:val="es-ES"/>
        </w:rPr>
        <w:t xml:space="preserve"> - </w:t>
      </w:r>
      <w:r w:rsidR="00C02638" w:rsidRPr="00A8564C">
        <w:rPr>
          <w:lang w:val="es-ES"/>
        </w:rPr>
        <w:t>capítulo</w:t>
      </w:r>
      <w:r w:rsidR="002C70DB" w:rsidRPr="00A8564C">
        <w:rPr>
          <w:lang w:val="es-ES"/>
        </w:rPr>
        <w:t xml:space="preserve"> II, </w:t>
      </w:r>
      <w:r w:rsidR="00D95D86" w:rsidRPr="00A8564C">
        <w:rPr>
          <w:lang w:val="es-ES"/>
        </w:rPr>
        <w:t>requerimientos de</w:t>
      </w:r>
      <w:r w:rsidR="001E237C">
        <w:rPr>
          <w:lang w:val="es-ES"/>
        </w:rPr>
        <w:t>l</w:t>
      </w:r>
      <w:r w:rsidR="00D95D86" w:rsidRPr="00A8564C">
        <w:rPr>
          <w:lang w:val="es-ES"/>
        </w:rPr>
        <w:t xml:space="preserve"> pago de tasas adicionales</w:t>
      </w:r>
      <w:r w:rsidR="002C70DB" w:rsidRPr="00A8564C">
        <w:rPr>
          <w:lang w:val="es-ES"/>
        </w:rPr>
        <w:t>).</w:t>
      </w:r>
    </w:p>
    <w:p w14:paraId="66113A4B" w14:textId="77777777" w:rsidR="002C70DB" w:rsidRPr="00A8564C" w:rsidRDefault="002C70DB" w:rsidP="00DE4453">
      <w:pPr>
        <w:rPr>
          <w:lang w:val="es-ES"/>
        </w:rPr>
      </w:pPr>
    </w:p>
    <w:p w14:paraId="3DF6493B" w14:textId="4082647C" w:rsidR="002C70DB" w:rsidRPr="00A8564C" w:rsidRDefault="00B7139A" w:rsidP="00DE4453">
      <w:pPr>
        <w:rPr>
          <w:lang w:val="es-ES"/>
        </w:rPr>
      </w:pPr>
      <w:r w:rsidRPr="00A8564C">
        <w:rPr>
          <w:lang w:val="es-ES"/>
        </w:rPr>
        <w:t xml:space="preserve">A </w:t>
      </w:r>
      <w:r w:rsidR="002A2B1F" w:rsidRPr="00A8564C">
        <w:rPr>
          <w:lang w:val="es-ES"/>
        </w:rPr>
        <w:t xml:space="preserve">finales de </w:t>
      </w:r>
      <w:r w:rsidR="002C70DB" w:rsidRPr="00A8564C">
        <w:rPr>
          <w:lang w:val="es-ES"/>
        </w:rPr>
        <w:t>2016</w:t>
      </w:r>
      <w:r w:rsidR="002A2B1F" w:rsidRPr="00A8564C">
        <w:rPr>
          <w:lang w:val="es-ES"/>
        </w:rPr>
        <w:t>, la ILPO c</w:t>
      </w:r>
      <w:r w:rsidR="009D640E" w:rsidRPr="00A8564C">
        <w:rPr>
          <w:lang w:val="es-ES"/>
        </w:rPr>
        <w:t>ontaba</w:t>
      </w:r>
      <w:r w:rsidR="002A2B1F" w:rsidRPr="00A8564C">
        <w:rPr>
          <w:lang w:val="es-ES"/>
        </w:rPr>
        <w:t xml:space="preserve"> con una plantilla de </w:t>
      </w:r>
      <w:r w:rsidR="002C70DB" w:rsidRPr="00A8564C">
        <w:rPr>
          <w:lang w:val="es-ES"/>
        </w:rPr>
        <w:t xml:space="preserve">116 </w:t>
      </w:r>
      <w:r w:rsidR="00530537" w:rsidRPr="00A8564C">
        <w:rPr>
          <w:lang w:val="es-ES"/>
        </w:rPr>
        <w:t>examinadores</w:t>
      </w:r>
      <w:r w:rsidR="002A2B1F" w:rsidRPr="00A8564C">
        <w:rPr>
          <w:lang w:val="es-ES"/>
        </w:rPr>
        <w:t xml:space="preserve"> de patentes </w:t>
      </w:r>
      <w:r w:rsidR="00530537" w:rsidRPr="00A8564C">
        <w:rPr>
          <w:lang w:val="es-ES"/>
        </w:rPr>
        <w:t>sustantivos</w:t>
      </w:r>
      <w:r w:rsidR="001E237C">
        <w:rPr>
          <w:lang w:val="es-ES"/>
        </w:rPr>
        <w:t>, trabajando a tiempo completo,</w:t>
      </w:r>
      <w:r w:rsidR="002A2B1F" w:rsidRPr="00A8564C">
        <w:rPr>
          <w:lang w:val="es-ES"/>
        </w:rPr>
        <w:t xml:space="preserve"> en el Departamento de Patentes</w:t>
      </w:r>
      <w:r w:rsidR="009D640E" w:rsidRPr="00A8564C">
        <w:rPr>
          <w:lang w:val="es-ES"/>
        </w:rPr>
        <w:t>,</w:t>
      </w:r>
      <w:r w:rsidR="002A2B1F" w:rsidRPr="00A8564C">
        <w:rPr>
          <w:lang w:val="es-ES"/>
        </w:rPr>
        <w:t xml:space="preserve"> y ha</w:t>
      </w:r>
      <w:r w:rsidR="009D640E" w:rsidRPr="00A8564C">
        <w:rPr>
          <w:lang w:val="es-ES"/>
        </w:rPr>
        <w:t>bía iniciado</w:t>
      </w:r>
      <w:r w:rsidR="002A2B1F" w:rsidRPr="00A8564C">
        <w:rPr>
          <w:lang w:val="es-ES"/>
        </w:rPr>
        <w:t xml:space="preserve"> el proceso de </w:t>
      </w:r>
      <w:r w:rsidR="00530537" w:rsidRPr="00A8564C">
        <w:rPr>
          <w:lang w:val="es-ES"/>
        </w:rPr>
        <w:t>contratación</w:t>
      </w:r>
      <w:r w:rsidR="002A2B1F" w:rsidRPr="00A8564C">
        <w:rPr>
          <w:lang w:val="es-ES"/>
        </w:rPr>
        <w:t xml:space="preserve"> de </w:t>
      </w:r>
      <w:r w:rsidR="009D640E" w:rsidRPr="00A8564C">
        <w:rPr>
          <w:lang w:val="es-ES"/>
        </w:rPr>
        <w:t xml:space="preserve">otros </w:t>
      </w:r>
      <w:r w:rsidR="002C70DB" w:rsidRPr="00A8564C">
        <w:rPr>
          <w:lang w:val="es-ES"/>
        </w:rPr>
        <w:t xml:space="preserve">20 </w:t>
      </w:r>
      <w:r w:rsidR="002A2B1F" w:rsidRPr="00A8564C">
        <w:rPr>
          <w:lang w:val="es-ES"/>
        </w:rPr>
        <w:t>examinadores sustantivos que se incorporar</w:t>
      </w:r>
      <w:r w:rsidR="009D640E" w:rsidRPr="00A8564C">
        <w:rPr>
          <w:lang w:val="es-ES"/>
        </w:rPr>
        <w:t>ían</w:t>
      </w:r>
      <w:r w:rsidR="002A2B1F" w:rsidRPr="00A8564C">
        <w:rPr>
          <w:lang w:val="es-ES"/>
        </w:rPr>
        <w:t xml:space="preserve"> antes del fin de </w:t>
      </w:r>
      <w:r w:rsidR="002C70DB" w:rsidRPr="00A8564C">
        <w:rPr>
          <w:lang w:val="es-ES"/>
        </w:rPr>
        <w:t xml:space="preserve">2018, </w:t>
      </w:r>
      <w:r w:rsidR="002A2B1F" w:rsidRPr="00A8564C">
        <w:rPr>
          <w:lang w:val="es-ES"/>
        </w:rPr>
        <w:t xml:space="preserve">de </w:t>
      </w:r>
      <w:r w:rsidR="00530537" w:rsidRPr="00A8564C">
        <w:rPr>
          <w:lang w:val="es-ES"/>
        </w:rPr>
        <w:t>conformidad</w:t>
      </w:r>
      <w:r w:rsidR="002A2B1F" w:rsidRPr="00A8564C">
        <w:rPr>
          <w:lang w:val="es-ES"/>
        </w:rPr>
        <w:t xml:space="preserve"> con lo establecido en su plan de trabajo para el bienio </w:t>
      </w:r>
      <w:r w:rsidR="002C70DB" w:rsidRPr="00A8564C">
        <w:rPr>
          <w:lang w:val="es-ES"/>
        </w:rPr>
        <w:t>2017-2018</w:t>
      </w:r>
      <w:r w:rsidR="009E7E5E" w:rsidRPr="00A8564C">
        <w:rPr>
          <w:lang w:val="es-ES"/>
        </w:rPr>
        <w:t xml:space="preserve">.  </w:t>
      </w:r>
      <w:r w:rsidR="002A2B1F" w:rsidRPr="00A8564C">
        <w:rPr>
          <w:lang w:val="es-ES"/>
        </w:rPr>
        <w:t>Los examinadores de</w:t>
      </w:r>
      <w:r w:rsidR="007E1122" w:rsidRPr="00A8564C">
        <w:rPr>
          <w:lang w:val="es-ES"/>
        </w:rPr>
        <w:t xml:space="preserve"> patentes son </w:t>
      </w:r>
      <w:r w:rsidR="001E237C">
        <w:rPr>
          <w:lang w:val="es-ES"/>
        </w:rPr>
        <w:t>empleados d</w:t>
      </w:r>
      <w:r w:rsidR="007E1122" w:rsidRPr="00A8564C">
        <w:rPr>
          <w:lang w:val="es-ES"/>
        </w:rPr>
        <w:t xml:space="preserve">el Estado de </w:t>
      </w:r>
      <w:r w:rsidR="002C70DB" w:rsidRPr="00A8564C">
        <w:rPr>
          <w:lang w:val="es-ES"/>
        </w:rPr>
        <w:t>Israel (</w:t>
      </w:r>
      <w:r w:rsidR="007E1122" w:rsidRPr="00A8564C">
        <w:rPr>
          <w:lang w:val="es-ES"/>
        </w:rPr>
        <w:t xml:space="preserve">son </w:t>
      </w:r>
      <w:r w:rsidR="00530537" w:rsidRPr="00A8564C">
        <w:rPr>
          <w:lang w:val="es-ES"/>
        </w:rPr>
        <w:t>funcionarios</w:t>
      </w:r>
      <w:r w:rsidR="007E1122" w:rsidRPr="00A8564C">
        <w:rPr>
          <w:lang w:val="es-ES"/>
        </w:rPr>
        <w:t xml:space="preserve"> </w:t>
      </w:r>
      <w:r w:rsidR="00530537" w:rsidRPr="00A8564C">
        <w:rPr>
          <w:lang w:val="es-ES"/>
        </w:rPr>
        <w:t>públicos</w:t>
      </w:r>
      <w:r w:rsidR="002C70DB" w:rsidRPr="00A8564C">
        <w:rPr>
          <w:lang w:val="es-ES"/>
        </w:rPr>
        <w:t>)</w:t>
      </w:r>
      <w:r w:rsidR="007E1122" w:rsidRPr="00A8564C">
        <w:rPr>
          <w:lang w:val="es-ES"/>
        </w:rPr>
        <w:t xml:space="preserve"> </w:t>
      </w:r>
      <w:r w:rsidR="009D640E" w:rsidRPr="00A8564C">
        <w:rPr>
          <w:lang w:val="es-ES"/>
        </w:rPr>
        <w:t>a</w:t>
      </w:r>
      <w:r w:rsidR="007E1122" w:rsidRPr="00A8564C">
        <w:rPr>
          <w:lang w:val="es-ES"/>
        </w:rPr>
        <w:t xml:space="preserve"> tiempo complet</w:t>
      </w:r>
      <w:r w:rsidR="009D640E" w:rsidRPr="00A8564C">
        <w:rPr>
          <w:lang w:val="es-ES"/>
        </w:rPr>
        <w:t>o</w:t>
      </w:r>
      <w:r w:rsidR="007E1122" w:rsidRPr="00A8564C">
        <w:rPr>
          <w:lang w:val="es-ES"/>
        </w:rPr>
        <w:t xml:space="preserve"> y se </w:t>
      </w:r>
      <w:r w:rsidR="00530537" w:rsidRPr="00A8564C">
        <w:rPr>
          <w:lang w:val="es-ES"/>
        </w:rPr>
        <w:t>dedican</w:t>
      </w:r>
      <w:r w:rsidR="007E1122" w:rsidRPr="00A8564C">
        <w:rPr>
          <w:lang w:val="es-ES"/>
        </w:rPr>
        <w:t xml:space="preserve"> exclusivamente a la </w:t>
      </w:r>
      <w:r w:rsidR="00530537" w:rsidRPr="00A8564C">
        <w:rPr>
          <w:lang w:val="es-ES"/>
        </w:rPr>
        <w:t>búsqueda</w:t>
      </w:r>
      <w:r w:rsidR="007E1122" w:rsidRPr="00A8564C">
        <w:rPr>
          <w:lang w:val="es-ES"/>
        </w:rPr>
        <w:t xml:space="preserve"> y el examen de </w:t>
      </w:r>
      <w:r w:rsidR="00530537" w:rsidRPr="00A8564C">
        <w:rPr>
          <w:lang w:val="es-ES"/>
        </w:rPr>
        <w:t>patentes</w:t>
      </w:r>
      <w:r w:rsidR="002C70DB" w:rsidRPr="00A8564C">
        <w:rPr>
          <w:lang w:val="es-ES"/>
        </w:rPr>
        <w:t xml:space="preserve">. </w:t>
      </w:r>
    </w:p>
    <w:p w14:paraId="2C642B2F" w14:textId="77777777" w:rsidR="002C70DB" w:rsidRPr="00A8564C" w:rsidRDefault="002C70DB" w:rsidP="00DE4453">
      <w:pPr>
        <w:rPr>
          <w:lang w:val="es-ES"/>
        </w:rPr>
      </w:pPr>
    </w:p>
    <w:p w14:paraId="19D9803F" w14:textId="3F024D33" w:rsidR="002C70DB" w:rsidRPr="00A8564C" w:rsidRDefault="007E1122" w:rsidP="00957557">
      <w:pPr>
        <w:rPr>
          <w:lang w:val="es-ES"/>
        </w:rPr>
      </w:pPr>
      <w:r w:rsidRPr="00A8564C">
        <w:rPr>
          <w:lang w:val="es-ES"/>
        </w:rPr>
        <w:t xml:space="preserve">Los examinadores tienen </w:t>
      </w:r>
      <w:r w:rsidR="001C37BC" w:rsidRPr="00A8564C">
        <w:rPr>
          <w:lang w:val="es-ES"/>
        </w:rPr>
        <w:t>titulación</w:t>
      </w:r>
      <w:r w:rsidRPr="00A8564C">
        <w:rPr>
          <w:lang w:val="es-ES"/>
        </w:rPr>
        <w:t xml:space="preserve"> </w:t>
      </w:r>
      <w:r w:rsidR="001C37BC" w:rsidRPr="00A8564C">
        <w:rPr>
          <w:lang w:val="es-ES"/>
        </w:rPr>
        <w:t xml:space="preserve">universitaria </w:t>
      </w:r>
      <w:r w:rsidRPr="00A8564C">
        <w:rPr>
          <w:lang w:val="es-ES"/>
        </w:rPr>
        <w:t xml:space="preserve">en ciencias, ingeniería, medicina y </w:t>
      </w:r>
      <w:r w:rsidR="00530537" w:rsidRPr="00A8564C">
        <w:rPr>
          <w:lang w:val="es-ES"/>
        </w:rPr>
        <w:t>veterinaria</w:t>
      </w:r>
      <w:r w:rsidR="009E7E5E" w:rsidRPr="00A8564C">
        <w:rPr>
          <w:lang w:val="es-ES"/>
        </w:rPr>
        <w:t xml:space="preserve">.  </w:t>
      </w:r>
      <w:r w:rsidRPr="00A8564C">
        <w:rPr>
          <w:lang w:val="es-ES"/>
        </w:rPr>
        <w:t xml:space="preserve">Un 30% de los examinadores de patentes tienen </w:t>
      </w:r>
      <w:r w:rsidR="00530537" w:rsidRPr="00A8564C">
        <w:rPr>
          <w:lang w:val="es-ES"/>
        </w:rPr>
        <w:t>más</w:t>
      </w:r>
      <w:r w:rsidRPr="00A8564C">
        <w:rPr>
          <w:lang w:val="es-ES"/>
        </w:rPr>
        <w:t xml:space="preserve"> de </w:t>
      </w:r>
      <w:r w:rsidR="002C70DB" w:rsidRPr="00A8564C">
        <w:rPr>
          <w:lang w:val="es-ES"/>
        </w:rPr>
        <w:t>10</w:t>
      </w:r>
      <w:r w:rsidRPr="00A8564C">
        <w:rPr>
          <w:lang w:val="es-ES"/>
        </w:rPr>
        <w:t xml:space="preserve"> años de experiencia en su especialidad </w:t>
      </w:r>
      <w:r w:rsidR="00530537" w:rsidRPr="00A8564C">
        <w:rPr>
          <w:lang w:val="es-ES"/>
        </w:rPr>
        <w:t>técnica</w:t>
      </w:r>
      <w:r w:rsidRPr="00A8564C">
        <w:rPr>
          <w:lang w:val="es-ES"/>
        </w:rPr>
        <w:t xml:space="preserve"> respectiva.  La </w:t>
      </w:r>
      <w:r w:rsidR="00530537" w:rsidRPr="00A8564C">
        <w:rPr>
          <w:lang w:val="es-ES"/>
        </w:rPr>
        <w:t>mayoría</w:t>
      </w:r>
      <w:r w:rsidRPr="00A8564C">
        <w:rPr>
          <w:lang w:val="es-ES"/>
        </w:rPr>
        <w:t xml:space="preserve"> de </w:t>
      </w:r>
      <w:r w:rsidR="00530537" w:rsidRPr="00A8564C">
        <w:rPr>
          <w:lang w:val="es-ES"/>
        </w:rPr>
        <w:t>los</w:t>
      </w:r>
      <w:r w:rsidRPr="00A8564C">
        <w:rPr>
          <w:lang w:val="es-ES"/>
        </w:rPr>
        <w:t xml:space="preserve"> examinadores </w:t>
      </w:r>
      <w:r w:rsidR="00E946CB" w:rsidRPr="00A8564C">
        <w:rPr>
          <w:lang w:val="es-ES"/>
        </w:rPr>
        <w:t xml:space="preserve">han </w:t>
      </w:r>
      <w:r w:rsidR="001C37BC" w:rsidRPr="00A8564C">
        <w:rPr>
          <w:lang w:val="es-ES"/>
        </w:rPr>
        <w:t>obtenido</w:t>
      </w:r>
      <w:r w:rsidR="00E946CB" w:rsidRPr="00A8564C">
        <w:rPr>
          <w:lang w:val="es-ES"/>
        </w:rPr>
        <w:t xml:space="preserve"> una</w:t>
      </w:r>
      <w:r w:rsidRPr="00A8564C">
        <w:rPr>
          <w:lang w:val="es-ES"/>
        </w:rPr>
        <w:t xml:space="preserve"> </w:t>
      </w:r>
      <w:r w:rsidR="00530537" w:rsidRPr="00A8564C">
        <w:rPr>
          <w:lang w:val="es-ES"/>
        </w:rPr>
        <w:t>maestría</w:t>
      </w:r>
      <w:r w:rsidRPr="00A8564C">
        <w:rPr>
          <w:lang w:val="es-ES"/>
        </w:rPr>
        <w:t xml:space="preserve"> y un 24% tienen un do</w:t>
      </w:r>
      <w:r w:rsidR="00E946CB" w:rsidRPr="00A8564C">
        <w:rPr>
          <w:lang w:val="es-ES"/>
        </w:rPr>
        <w:t>ctorado</w:t>
      </w:r>
      <w:r w:rsidR="009E7E5E" w:rsidRPr="00A8564C">
        <w:rPr>
          <w:lang w:val="es-ES"/>
        </w:rPr>
        <w:t xml:space="preserve">.  </w:t>
      </w:r>
      <w:r w:rsidR="00E946CB" w:rsidRPr="00A8564C">
        <w:rPr>
          <w:lang w:val="es-ES"/>
        </w:rPr>
        <w:t xml:space="preserve">Se alienta </w:t>
      </w:r>
      <w:r w:rsidR="00530537" w:rsidRPr="00A8564C">
        <w:rPr>
          <w:lang w:val="es-ES"/>
        </w:rPr>
        <w:t>también</w:t>
      </w:r>
      <w:r w:rsidR="00E946CB" w:rsidRPr="00A8564C">
        <w:rPr>
          <w:lang w:val="es-ES"/>
        </w:rPr>
        <w:t xml:space="preserve"> a los </w:t>
      </w:r>
      <w:r w:rsidR="00530537" w:rsidRPr="00A8564C">
        <w:rPr>
          <w:lang w:val="es-ES"/>
        </w:rPr>
        <w:t>examinadores</w:t>
      </w:r>
      <w:r w:rsidR="00E946CB" w:rsidRPr="00A8564C">
        <w:rPr>
          <w:lang w:val="es-ES"/>
        </w:rPr>
        <w:t xml:space="preserve"> </w:t>
      </w:r>
      <w:r w:rsidR="00530537" w:rsidRPr="00A8564C">
        <w:rPr>
          <w:lang w:val="es-ES"/>
        </w:rPr>
        <w:t>a participar</w:t>
      </w:r>
      <w:r w:rsidR="00E946CB" w:rsidRPr="00A8564C">
        <w:rPr>
          <w:lang w:val="es-ES"/>
        </w:rPr>
        <w:t xml:space="preserve"> en </w:t>
      </w:r>
      <w:r w:rsidR="00530537" w:rsidRPr="00A8564C">
        <w:rPr>
          <w:lang w:val="es-ES"/>
        </w:rPr>
        <w:t>seminarios</w:t>
      </w:r>
      <w:r w:rsidR="00E946CB" w:rsidRPr="00A8564C">
        <w:rPr>
          <w:lang w:val="es-ES"/>
        </w:rPr>
        <w:t xml:space="preserve"> y cursos en sus </w:t>
      </w:r>
      <w:r w:rsidR="001C37BC" w:rsidRPr="00A8564C">
        <w:rPr>
          <w:lang w:val="es-ES"/>
        </w:rPr>
        <w:t>campos</w:t>
      </w:r>
      <w:r w:rsidR="00E946CB" w:rsidRPr="00A8564C">
        <w:rPr>
          <w:lang w:val="es-ES"/>
        </w:rPr>
        <w:t xml:space="preserve"> </w:t>
      </w:r>
      <w:r w:rsidR="00530537" w:rsidRPr="00A8564C">
        <w:rPr>
          <w:lang w:val="es-ES"/>
        </w:rPr>
        <w:t>tecnológicos</w:t>
      </w:r>
      <w:r w:rsidR="00E946CB" w:rsidRPr="00A8564C">
        <w:rPr>
          <w:lang w:val="es-ES"/>
        </w:rPr>
        <w:t xml:space="preserve"> </w:t>
      </w:r>
      <w:r w:rsidR="00530537" w:rsidRPr="00A8564C">
        <w:rPr>
          <w:lang w:val="es-ES"/>
        </w:rPr>
        <w:t>respectivos</w:t>
      </w:r>
      <w:r w:rsidR="00E946CB" w:rsidRPr="00A8564C">
        <w:rPr>
          <w:lang w:val="es-ES"/>
        </w:rPr>
        <w:t>, con el fin de actualizar y mantener sus competencias a un alto nivel</w:t>
      </w:r>
      <w:r w:rsidR="009E7E5E" w:rsidRPr="00A8564C">
        <w:rPr>
          <w:lang w:val="es-ES"/>
        </w:rPr>
        <w:t xml:space="preserve">.  </w:t>
      </w:r>
      <w:r w:rsidR="008854B9" w:rsidRPr="00A8564C">
        <w:rPr>
          <w:lang w:val="es-ES"/>
        </w:rPr>
        <w:t xml:space="preserve">Por </w:t>
      </w:r>
      <w:r w:rsidR="00E946CB" w:rsidRPr="00A8564C">
        <w:rPr>
          <w:lang w:val="es-ES"/>
        </w:rPr>
        <w:t xml:space="preserve">otra parte, una gran parte de los examinadores </w:t>
      </w:r>
      <w:r w:rsidR="00530537" w:rsidRPr="00A8564C">
        <w:rPr>
          <w:lang w:val="es-ES"/>
        </w:rPr>
        <w:t>han</w:t>
      </w:r>
      <w:r w:rsidR="00E946CB" w:rsidRPr="00A8564C">
        <w:rPr>
          <w:lang w:val="es-ES"/>
        </w:rPr>
        <w:t xml:space="preserve"> trabajado </w:t>
      </w:r>
      <w:r w:rsidR="001C37BC" w:rsidRPr="00A8564C">
        <w:rPr>
          <w:lang w:val="es-ES"/>
        </w:rPr>
        <w:t xml:space="preserve">en el sector empresarial </w:t>
      </w:r>
      <w:r w:rsidR="00E946CB" w:rsidRPr="00A8564C">
        <w:rPr>
          <w:lang w:val="es-ES"/>
        </w:rPr>
        <w:t xml:space="preserve">antes de ser </w:t>
      </w:r>
      <w:r w:rsidR="00530537" w:rsidRPr="00A8564C">
        <w:rPr>
          <w:lang w:val="es-ES"/>
        </w:rPr>
        <w:t>contratados</w:t>
      </w:r>
      <w:r w:rsidR="00E946CB" w:rsidRPr="00A8564C">
        <w:rPr>
          <w:lang w:val="es-ES"/>
        </w:rPr>
        <w:t xml:space="preserve"> </w:t>
      </w:r>
      <w:r w:rsidR="00530537" w:rsidRPr="00A8564C">
        <w:rPr>
          <w:lang w:val="es-ES"/>
        </w:rPr>
        <w:t>por</w:t>
      </w:r>
      <w:r w:rsidR="00E946CB" w:rsidRPr="00A8564C">
        <w:rPr>
          <w:lang w:val="es-ES"/>
        </w:rPr>
        <w:t xml:space="preserve"> la </w:t>
      </w:r>
      <w:r w:rsidR="002C70DB" w:rsidRPr="00A8564C">
        <w:rPr>
          <w:lang w:val="es-ES"/>
        </w:rPr>
        <w:t xml:space="preserve">ILPO, </w:t>
      </w:r>
      <w:r w:rsidR="00E946CB" w:rsidRPr="00A8564C">
        <w:rPr>
          <w:lang w:val="es-ES"/>
        </w:rPr>
        <w:t xml:space="preserve">lo que ha </w:t>
      </w:r>
      <w:r w:rsidR="001C37BC" w:rsidRPr="00A8564C">
        <w:rPr>
          <w:lang w:val="es-ES"/>
        </w:rPr>
        <w:t xml:space="preserve">contribuido a mejorar </w:t>
      </w:r>
      <w:r w:rsidR="00E946CB" w:rsidRPr="00A8564C">
        <w:rPr>
          <w:lang w:val="es-ES"/>
        </w:rPr>
        <w:t xml:space="preserve">sus competencias y </w:t>
      </w:r>
      <w:r w:rsidR="001C37BC" w:rsidRPr="00A8564C">
        <w:rPr>
          <w:lang w:val="es-ES"/>
        </w:rPr>
        <w:t>aptitudes</w:t>
      </w:r>
      <w:r w:rsidR="00E946CB" w:rsidRPr="00A8564C">
        <w:rPr>
          <w:lang w:val="es-ES"/>
        </w:rPr>
        <w:t xml:space="preserve"> profesionales como examinadores de patentes en sus</w:t>
      </w:r>
      <w:r w:rsidR="002C70DB" w:rsidRPr="00A8564C">
        <w:rPr>
          <w:lang w:val="es-ES"/>
        </w:rPr>
        <w:t xml:space="preserve"> </w:t>
      </w:r>
      <w:r w:rsidR="00E946CB" w:rsidRPr="00A8564C">
        <w:rPr>
          <w:lang w:val="es-ES"/>
        </w:rPr>
        <w:t xml:space="preserve">respectivas </w:t>
      </w:r>
      <w:r w:rsidR="00530537" w:rsidRPr="00A8564C">
        <w:rPr>
          <w:lang w:val="es-ES"/>
        </w:rPr>
        <w:t>especialidades</w:t>
      </w:r>
      <w:r w:rsidR="00E946CB" w:rsidRPr="00A8564C">
        <w:rPr>
          <w:lang w:val="es-ES"/>
        </w:rPr>
        <w:t xml:space="preserve"> </w:t>
      </w:r>
      <w:r w:rsidR="00530537" w:rsidRPr="00A8564C">
        <w:rPr>
          <w:lang w:val="es-ES"/>
        </w:rPr>
        <w:t>técnicas</w:t>
      </w:r>
      <w:r w:rsidR="002C70DB" w:rsidRPr="00A8564C">
        <w:rPr>
          <w:lang w:val="es-ES"/>
        </w:rPr>
        <w:t>.</w:t>
      </w:r>
    </w:p>
    <w:p w14:paraId="4819A004" w14:textId="77777777" w:rsidR="002C70DB" w:rsidRPr="00A8564C" w:rsidRDefault="002C70DB" w:rsidP="00DE4453">
      <w:pPr>
        <w:rPr>
          <w:lang w:val="es-ES"/>
        </w:rPr>
      </w:pPr>
    </w:p>
    <w:p w14:paraId="1A1C9CF6" w14:textId="1497F6F8" w:rsidR="002C70DB" w:rsidRPr="00A8564C" w:rsidRDefault="00E946CB" w:rsidP="00DE4453">
      <w:pPr>
        <w:rPr>
          <w:lang w:val="es-ES"/>
        </w:rPr>
      </w:pPr>
      <w:r w:rsidRPr="00A8564C">
        <w:rPr>
          <w:lang w:val="es-ES"/>
        </w:rPr>
        <w:t xml:space="preserve">En el </w:t>
      </w:r>
      <w:r w:rsidR="00530537" w:rsidRPr="00A8564C">
        <w:rPr>
          <w:lang w:val="es-ES"/>
        </w:rPr>
        <w:t>siguiente</w:t>
      </w:r>
      <w:r w:rsidRPr="00A8564C">
        <w:rPr>
          <w:lang w:val="es-ES"/>
        </w:rPr>
        <w:t xml:space="preserve"> cuadro se expone la </w:t>
      </w:r>
      <w:r w:rsidR="00530537" w:rsidRPr="00A8564C">
        <w:rPr>
          <w:lang w:val="es-ES"/>
        </w:rPr>
        <w:t>distribución</w:t>
      </w:r>
      <w:r w:rsidRPr="00A8564C">
        <w:rPr>
          <w:lang w:val="es-ES"/>
        </w:rPr>
        <w:t xml:space="preserve"> de los examinadores de patentes </w:t>
      </w:r>
      <w:r w:rsidR="00530537" w:rsidRPr="00A8564C">
        <w:rPr>
          <w:lang w:val="es-ES"/>
        </w:rPr>
        <w:t>según</w:t>
      </w:r>
      <w:r w:rsidRPr="00A8564C">
        <w:rPr>
          <w:lang w:val="es-ES"/>
        </w:rPr>
        <w:t xml:space="preserve"> el </w:t>
      </w:r>
      <w:r w:rsidR="001C37BC" w:rsidRPr="00A8564C">
        <w:rPr>
          <w:lang w:val="es-ES"/>
        </w:rPr>
        <w:t xml:space="preserve">campo técnico </w:t>
      </w:r>
      <w:r w:rsidRPr="00A8564C">
        <w:rPr>
          <w:lang w:val="es-ES"/>
        </w:rPr>
        <w:t>a</w:t>
      </w:r>
      <w:r w:rsidR="001C37BC" w:rsidRPr="00A8564C">
        <w:rPr>
          <w:lang w:val="es-ES"/>
        </w:rPr>
        <w:t>l</w:t>
      </w:r>
      <w:r w:rsidRPr="00A8564C">
        <w:rPr>
          <w:lang w:val="es-ES"/>
        </w:rPr>
        <w:t xml:space="preserve"> que se les ha asignado</w:t>
      </w:r>
      <w:r w:rsidR="002C70DB" w:rsidRPr="00A8564C">
        <w:rPr>
          <w:lang w:val="es-ES"/>
        </w:rPr>
        <w:t xml:space="preserve">. </w:t>
      </w:r>
    </w:p>
    <w:p w14:paraId="56BE453C" w14:textId="77777777" w:rsidR="002C70DB" w:rsidRPr="00A8564C" w:rsidRDefault="002C70DB" w:rsidP="00DE4453">
      <w:pPr>
        <w:rPr>
          <w:lang w:val="es-ES"/>
        </w:rPr>
      </w:pPr>
    </w:p>
    <w:p w14:paraId="5C72EDA8" w14:textId="03C2C9F0" w:rsidR="002C70DB" w:rsidRPr="00A8564C" w:rsidRDefault="002C70DB" w:rsidP="00DE4453">
      <w:pPr>
        <w:keepNext/>
        <w:keepLines/>
        <w:rPr>
          <w:b/>
          <w:lang w:val="es-ES"/>
        </w:rPr>
      </w:pPr>
      <w:r w:rsidRPr="00A8564C">
        <w:rPr>
          <w:b/>
          <w:lang w:val="es-ES"/>
        </w:rPr>
        <w:t>Emp</w:t>
      </w:r>
      <w:r w:rsidR="00E946CB" w:rsidRPr="00A8564C">
        <w:rPr>
          <w:b/>
          <w:lang w:val="es-ES"/>
        </w:rPr>
        <w:t xml:space="preserve">leados calificados para lleva a cabo las </w:t>
      </w:r>
      <w:r w:rsidR="00530537" w:rsidRPr="00A8564C">
        <w:rPr>
          <w:b/>
          <w:lang w:val="es-ES"/>
        </w:rPr>
        <w:t>funciones</w:t>
      </w:r>
      <w:r w:rsidR="00E946CB" w:rsidRPr="00A8564C">
        <w:rPr>
          <w:b/>
          <w:lang w:val="es-ES"/>
        </w:rPr>
        <w:t xml:space="preserve"> de </w:t>
      </w:r>
      <w:r w:rsidR="00530537" w:rsidRPr="00A8564C">
        <w:rPr>
          <w:b/>
          <w:lang w:val="es-ES"/>
        </w:rPr>
        <w:t>búsqueda</w:t>
      </w:r>
      <w:r w:rsidR="00E946CB" w:rsidRPr="00A8564C">
        <w:rPr>
          <w:b/>
          <w:lang w:val="es-ES"/>
        </w:rPr>
        <w:t xml:space="preserve"> y </w:t>
      </w:r>
      <w:r w:rsidR="00530537" w:rsidRPr="00A8564C">
        <w:rPr>
          <w:b/>
          <w:lang w:val="es-ES"/>
        </w:rPr>
        <w:t>examen</w:t>
      </w:r>
      <w:r w:rsidRPr="00A8564C">
        <w:rPr>
          <w:b/>
          <w:lang w:val="es-ES"/>
        </w:rPr>
        <w:t xml:space="preserve">:  </w:t>
      </w:r>
    </w:p>
    <w:p w14:paraId="40141E39" w14:textId="77777777" w:rsidR="002C70DB" w:rsidRPr="00A8564C" w:rsidRDefault="002C70DB" w:rsidP="00DE4453">
      <w:pPr>
        <w:keepNext/>
        <w:keepLines/>
        <w:rPr>
          <w:lang w:val="es-ES"/>
        </w:rPr>
      </w:pPr>
    </w:p>
    <w:tbl>
      <w:tblPr>
        <w:tblW w:w="8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9"/>
        <w:gridCol w:w="1500"/>
        <w:gridCol w:w="1889"/>
        <w:gridCol w:w="2711"/>
      </w:tblGrid>
      <w:tr w:rsidR="00B7139A" w:rsidRPr="00A8564C" w14:paraId="33223845" w14:textId="77777777" w:rsidTr="00E826DF">
        <w:trPr>
          <w:cantSplit/>
        </w:trPr>
        <w:tc>
          <w:tcPr>
            <w:tcW w:w="1988" w:type="dxa"/>
            <w:shd w:val="clear" w:color="auto" w:fill="auto"/>
          </w:tcPr>
          <w:p w14:paraId="5ED84287" w14:textId="41098903" w:rsidR="002C70DB" w:rsidRPr="00A8564C" w:rsidRDefault="001C37BC" w:rsidP="003259B1">
            <w:pPr>
              <w:keepNext/>
              <w:rPr>
                <w:b/>
                <w:lang w:val="es-ES"/>
              </w:rPr>
            </w:pPr>
            <w:r w:rsidRPr="00A8564C">
              <w:rPr>
                <w:b/>
                <w:lang w:val="es-ES"/>
              </w:rPr>
              <w:t>Campo técnico</w:t>
            </w:r>
          </w:p>
        </w:tc>
        <w:tc>
          <w:tcPr>
            <w:tcW w:w="1381" w:type="dxa"/>
            <w:shd w:val="clear" w:color="auto" w:fill="auto"/>
          </w:tcPr>
          <w:p w14:paraId="297D1C5F" w14:textId="6703AA14" w:rsidR="002C70DB" w:rsidRPr="00A8564C" w:rsidRDefault="002C70DB" w:rsidP="003259B1">
            <w:pPr>
              <w:keepNext/>
              <w:rPr>
                <w:b/>
                <w:lang w:val="es-ES"/>
              </w:rPr>
            </w:pPr>
            <w:r w:rsidRPr="00A8564C">
              <w:rPr>
                <w:b/>
                <w:lang w:val="es-ES"/>
              </w:rPr>
              <w:t>N</w:t>
            </w:r>
            <w:r w:rsidR="00E946CB" w:rsidRPr="00A8564C">
              <w:rPr>
                <w:b/>
                <w:lang w:val="es-ES"/>
              </w:rPr>
              <w:t>úmero</w:t>
            </w:r>
            <w:r w:rsidRPr="00A8564C">
              <w:rPr>
                <w:b/>
                <w:lang w:val="es-ES"/>
              </w:rPr>
              <w:t xml:space="preserve"> (</w:t>
            </w:r>
            <w:r w:rsidR="00E946CB" w:rsidRPr="00A8564C">
              <w:rPr>
                <w:b/>
                <w:lang w:val="es-ES"/>
              </w:rPr>
              <w:t>en tiempo completo</w:t>
            </w:r>
            <w:r w:rsidR="001C37BC" w:rsidRPr="00A8564C">
              <w:rPr>
                <w:b/>
                <w:lang w:val="es-ES"/>
              </w:rPr>
              <w:t xml:space="preserve"> equivalente</w:t>
            </w:r>
            <w:r w:rsidRPr="00A8564C">
              <w:rPr>
                <w:b/>
                <w:lang w:val="es-ES"/>
              </w:rPr>
              <w:t>)</w:t>
            </w:r>
          </w:p>
        </w:tc>
        <w:tc>
          <w:tcPr>
            <w:tcW w:w="1984" w:type="dxa"/>
          </w:tcPr>
          <w:p w14:paraId="2E7936DD" w14:textId="77777777" w:rsidR="001C37BC" w:rsidRPr="00A8564C" w:rsidRDefault="001C37BC" w:rsidP="003259B1">
            <w:pPr>
              <w:keepNext/>
              <w:rPr>
                <w:b/>
                <w:lang w:val="es-ES"/>
              </w:rPr>
            </w:pPr>
            <w:r w:rsidRPr="00A8564C">
              <w:rPr>
                <w:b/>
                <w:lang w:val="es-ES"/>
              </w:rPr>
              <w:t xml:space="preserve">Experiencia media </w:t>
            </w:r>
            <w:r w:rsidR="00E946CB" w:rsidRPr="00A8564C">
              <w:rPr>
                <w:b/>
                <w:lang w:val="es-ES"/>
              </w:rPr>
              <w:t xml:space="preserve">como </w:t>
            </w:r>
            <w:r w:rsidR="00530537" w:rsidRPr="00A8564C">
              <w:rPr>
                <w:b/>
                <w:lang w:val="es-ES"/>
              </w:rPr>
              <w:t>examinadores</w:t>
            </w:r>
          </w:p>
          <w:p w14:paraId="3FB62E7F" w14:textId="3C35E4D4" w:rsidR="002C70DB" w:rsidRPr="00A8564C" w:rsidRDefault="001C37BC" w:rsidP="003259B1">
            <w:pPr>
              <w:keepNext/>
              <w:rPr>
                <w:b/>
                <w:lang w:val="es-ES"/>
              </w:rPr>
            </w:pPr>
            <w:r w:rsidRPr="00A8564C">
              <w:rPr>
                <w:b/>
                <w:lang w:val="es-ES"/>
              </w:rPr>
              <w:t>(años)</w:t>
            </w:r>
            <w:r w:rsidR="00E946CB" w:rsidRPr="00A8564C">
              <w:rPr>
                <w:b/>
                <w:lang w:val="es-ES"/>
              </w:rPr>
              <w:t xml:space="preserve"> </w:t>
            </w:r>
          </w:p>
        </w:tc>
        <w:tc>
          <w:tcPr>
            <w:tcW w:w="3226" w:type="dxa"/>
          </w:tcPr>
          <w:p w14:paraId="4B228AA3" w14:textId="38D94CED" w:rsidR="002C70DB" w:rsidRPr="00A8564C" w:rsidRDefault="008854B9" w:rsidP="003259B1">
            <w:pPr>
              <w:keepNext/>
              <w:rPr>
                <w:b/>
                <w:lang w:val="es-ES"/>
              </w:rPr>
            </w:pPr>
            <w:r w:rsidRPr="00A8564C">
              <w:rPr>
                <w:b/>
                <w:lang w:val="es-ES"/>
              </w:rPr>
              <w:t>Desglose de c</w:t>
            </w:r>
            <w:r w:rsidR="00B7139A" w:rsidRPr="00A8564C">
              <w:rPr>
                <w:b/>
                <w:lang w:val="es-ES"/>
              </w:rPr>
              <w:t>alificaciones</w:t>
            </w:r>
          </w:p>
          <w:p w14:paraId="072D7A84" w14:textId="1D90382C" w:rsidR="002C70DB" w:rsidRPr="00A8564C" w:rsidRDefault="00B7139A" w:rsidP="003259B1">
            <w:pPr>
              <w:keepNext/>
              <w:rPr>
                <w:lang w:val="es-ES"/>
              </w:rPr>
            </w:pPr>
            <w:r w:rsidRPr="00A8564C">
              <w:rPr>
                <w:lang w:val="es-ES"/>
              </w:rPr>
              <w:t>Doctorado</w:t>
            </w:r>
            <w:r w:rsidR="002C70DB" w:rsidRPr="00A8564C">
              <w:rPr>
                <w:lang w:val="es-ES"/>
              </w:rPr>
              <w:t>: [</w:t>
            </w:r>
            <w:r w:rsidRPr="00A8564C">
              <w:rPr>
                <w:lang w:val="es-ES"/>
              </w:rPr>
              <w:t>D</w:t>
            </w:r>
            <w:r w:rsidR="002C70DB" w:rsidRPr="00A8564C">
              <w:rPr>
                <w:lang w:val="es-ES"/>
              </w:rPr>
              <w:t>]</w:t>
            </w:r>
          </w:p>
          <w:p w14:paraId="76C1D19F" w14:textId="02FB5FA7" w:rsidR="002C70DB" w:rsidRPr="00A8564C" w:rsidRDefault="00530537" w:rsidP="003259B1">
            <w:pPr>
              <w:keepNext/>
              <w:rPr>
                <w:lang w:val="es-ES"/>
              </w:rPr>
            </w:pPr>
            <w:r w:rsidRPr="00A8564C">
              <w:rPr>
                <w:lang w:val="es-ES"/>
              </w:rPr>
              <w:t>Maestría</w:t>
            </w:r>
            <w:r w:rsidR="002C70DB" w:rsidRPr="00A8564C">
              <w:rPr>
                <w:lang w:val="es-ES"/>
              </w:rPr>
              <w:t>: [M]</w:t>
            </w:r>
          </w:p>
          <w:p w14:paraId="0493BF65" w14:textId="0D61A170" w:rsidR="002C70DB" w:rsidRPr="00A8564C" w:rsidRDefault="00B7139A" w:rsidP="003259B1">
            <w:pPr>
              <w:keepNext/>
              <w:rPr>
                <w:lang w:val="es-ES"/>
              </w:rPr>
            </w:pPr>
            <w:r w:rsidRPr="00A8564C">
              <w:rPr>
                <w:lang w:val="es-ES"/>
              </w:rPr>
              <w:t>Licenciatura: [L</w:t>
            </w:r>
            <w:r w:rsidR="002C70DB" w:rsidRPr="00A8564C">
              <w:rPr>
                <w:lang w:val="es-ES"/>
              </w:rPr>
              <w:t>]</w:t>
            </w:r>
          </w:p>
        </w:tc>
      </w:tr>
      <w:tr w:rsidR="00B7139A" w:rsidRPr="00A8564C" w14:paraId="377552F0" w14:textId="77777777" w:rsidTr="00E826DF">
        <w:trPr>
          <w:cantSplit/>
        </w:trPr>
        <w:tc>
          <w:tcPr>
            <w:tcW w:w="1988" w:type="dxa"/>
            <w:shd w:val="clear" w:color="auto" w:fill="auto"/>
          </w:tcPr>
          <w:p w14:paraId="42D579D8" w14:textId="567824C7" w:rsidR="002C70DB" w:rsidRPr="00A8564C" w:rsidRDefault="00530537" w:rsidP="003259B1">
            <w:pPr>
              <w:keepNext/>
              <w:rPr>
                <w:lang w:val="es-ES"/>
              </w:rPr>
            </w:pPr>
            <w:r w:rsidRPr="00A8564C">
              <w:rPr>
                <w:lang w:val="es-ES"/>
              </w:rPr>
              <w:t>Mecánica</w:t>
            </w:r>
          </w:p>
        </w:tc>
        <w:tc>
          <w:tcPr>
            <w:tcW w:w="1381" w:type="dxa"/>
            <w:shd w:val="clear" w:color="auto" w:fill="auto"/>
          </w:tcPr>
          <w:p w14:paraId="12B037F3" w14:textId="77777777" w:rsidR="002C70DB" w:rsidRPr="00A8564C" w:rsidRDefault="002C70DB" w:rsidP="003259B1">
            <w:pPr>
              <w:keepNext/>
              <w:rPr>
                <w:lang w:val="es-ES"/>
              </w:rPr>
            </w:pPr>
            <w:r w:rsidRPr="00A8564C">
              <w:rPr>
                <w:lang w:val="es-ES"/>
              </w:rPr>
              <w:t>28</w:t>
            </w:r>
          </w:p>
        </w:tc>
        <w:tc>
          <w:tcPr>
            <w:tcW w:w="1984" w:type="dxa"/>
          </w:tcPr>
          <w:p w14:paraId="0D5F2F03" w14:textId="77777777" w:rsidR="002C70DB" w:rsidRPr="00A8564C" w:rsidRDefault="002C70DB" w:rsidP="003259B1">
            <w:pPr>
              <w:keepNext/>
              <w:rPr>
                <w:lang w:val="es-ES"/>
              </w:rPr>
            </w:pPr>
            <w:r w:rsidRPr="00A8564C">
              <w:rPr>
                <w:lang w:val="es-ES"/>
              </w:rPr>
              <w:t>5</w:t>
            </w:r>
          </w:p>
        </w:tc>
        <w:tc>
          <w:tcPr>
            <w:tcW w:w="3226" w:type="dxa"/>
          </w:tcPr>
          <w:p w14:paraId="179B2F61" w14:textId="7BE1E0CB" w:rsidR="002C70DB" w:rsidRPr="00A8564C" w:rsidRDefault="002C70DB" w:rsidP="003259B1">
            <w:pPr>
              <w:keepNext/>
              <w:rPr>
                <w:lang w:val="es-ES"/>
              </w:rPr>
            </w:pPr>
            <w:r w:rsidRPr="00A8564C">
              <w:rPr>
                <w:lang w:val="es-ES"/>
              </w:rPr>
              <w:t xml:space="preserve">11% </w:t>
            </w:r>
            <w:r w:rsidR="00B7139A" w:rsidRPr="00A8564C">
              <w:rPr>
                <w:lang w:val="es-ES"/>
              </w:rPr>
              <w:t>D</w:t>
            </w:r>
            <w:r w:rsidRPr="00A8564C">
              <w:rPr>
                <w:lang w:val="es-ES"/>
              </w:rPr>
              <w:t xml:space="preserve">, 72% M, 17% </w:t>
            </w:r>
            <w:r w:rsidR="00B7139A" w:rsidRPr="00A8564C">
              <w:rPr>
                <w:lang w:val="es-ES"/>
              </w:rPr>
              <w:t>L</w:t>
            </w:r>
          </w:p>
        </w:tc>
      </w:tr>
      <w:tr w:rsidR="00B7139A" w:rsidRPr="00A8564C" w14:paraId="2A106267" w14:textId="77777777" w:rsidTr="00E826DF">
        <w:trPr>
          <w:cantSplit/>
        </w:trPr>
        <w:tc>
          <w:tcPr>
            <w:tcW w:w="1988" w:type="dxa"/>
            <w:shd w:val="clear" w:color="auto" w:fill="auto"/>
          </w:tcPr>
          <w:p w14:paraId="2AFB8B98" w14:textId="1ABEBE25" w:rsidR="002C70DB" w:rsidRPr="00A8564C" w:rsidRDefault="002C70DB" w:rsidP="003259B1">
            <w:pPr>
              <w:keepNext/>
              <w:rPr>
                <w:lang w:val="es-ES"/>
              </w:rPr>
            </w:pPr>
            <w:r w:rsidRPr="00A8564C">
              <w:rPr>
                <w:lang w:val="es-ES"/>
              </w:rPr>
              <w:t>Electric</w:t>
            </w:r>
            <w:r w:rsidR="00B7139A" w:rsidRPr="00A8564C">
              <w:rPr>
                <w:lang w:val="es-ES"/>
              </w:rPr>
              <w:t>idad</w:t>
            </w:r>
            <w:r w:rsidRPr="00A8564C">
              <w:rPr>
                <w:lang w:val="es-ES"/>
              </w:rPr>
              <w:t>/</w:t>
            </w:r>
            <w:r w:rsidR="00530537" w:rsidRPr="00A8564C">
              <w:rPr>
                <w:lang w:val="es-ES"/>
              </w:rPr>
              <w:t>electrónica</w:t>
            </w:r>
          </w:p>
        </w:tc>
        <w:tc>
          <w:tcPr>
            <w:tcW w:w="1381" w:type="dxa"/>
            <w:shd w:val="clear" w:color="auto" w:fill="auto"/>
          </w:tcPr>
          <w:p w14:paraId="0F2707DC" w14:textId="77777777" w:rsidR="002C70DB" w:rsidRPr="00A8564C" w:rsidRDefault="002C70DB" w:rsidP="003259B1">
            <w:pPr>
              <w:keepNext/>
              <w:rPr>
                <w:lang w:val="es-ES"/>
              </w:rPr>
            </w:pPr>
            <w:r w:rsidRPr="00A8564C">
              <w:rPr>
                <w:lang w:val="es-ES"/>
              </w:rPr>
              <w:t>34</w:t>
            </w:r>
          </w:p>
        </w:tc>
        <w:tc>
          <w:tcPr>
            <w:tcW w:w="1984" w:type="dxa"/>
          </w:tcPr>
          <w:p w14:paraId="67653AE4" w14:textId="77777777" w:rsidR="002C70DB" w:rsidRPr="00A8564C" w:rsidRDefault="002C70DB" w:rsidP="003259B1">
            <w:pPr>
              <w:keepNext/>
              <w:rPr>
                <w:lang w:val="es-ES"/>
              </w:rPr>
            </w:pPr>
            <w:r w:rsidRPr="00A8564C">
              <w:rPr>
                <w:lang w:val="es-ES"/>
              </w:rPr>
              <w:t>6</w:t>
            </w:r>
          </w:p>
        </w:tc>
        <w:tc>
          <w:tcPr>
            <w:tcW w:w="3226" w:type="dxa"/>
          </w:tcPr>
          <w:p w14:paraId="319130F8" w14:textId="7AE15060" w:rsidR="002C70DB" w:rsidRPr="00A8564C" w:rsidRDefault="002C70DB" w:rsidP="003259B1">
            <w:pPr>
              <w:keepNext/>
              <w:rPr>
                <w:lang w:val="es-ES"/>
              </w:rPr>
            </w:pPr>
            <w:r w:rsidRPr="00A8564C">
              <w:rPr>
                <w:lang w:val="es-ES"/>
              </w:rPr>
              <w:t xml:space="preserve">12% </w:t>
            </w:r>
            <w:r w:rsidR="00B7139A" w:rsidRPr="00A8564C">
              <w:rPr>
                <w:lang w:val="es-ES"/>
              </w:rPr>
              <w:t>D</w:t>
            </w:r>
            <w:r w:rsidRPr="00A8564C">
              <w:rPr>
                <w:lang w:val="es-ES"/>
              </w:rPr>
              <w:t xml:space="preserve">, 73% M, 15% </w:t>
            </w:r>
            <w:r w:rsidR="00B7139A" w:rsidRPr="00A8564C">
              <w:rPr>
                <w:lang w:val="es-ES"/>
              </w:rPr>
              <w:t>L</w:t>
            </w:r>
          </w:p>
        </w:tc>
      </w:tr>
      <w:tr w:rsidR="00B7139A" w:rsidRPr="00A8564C" w14:paraId="31B3A529" w14:textId="77777777" w:rsidTr="00E826DF">
        <w:trPr>
          <w:cantSplit/>
        </w:trPr>
        <w:tc>
          <w:tcPr>
            <w:tcW w:w="1988" w:type="dxa"/>
            <w:shd w:val="clear" w:color="auto" w:fill="auto"/>
          </w:tcPr>
          <w:p w14:paraId="519BC7C2" w14:textId="201FE5B0" w:rsidR="002C70DB" w:rsidRPr="00A8564C" w:rsidRDefault="00B7139A" w:rsidP="003259B1">
            <w:pPr>
              <w:keepNext/>
              <w:rPr>
                <w:lang w:val="es-ES"/>
              </w:rPr>
            </w:pPr>
            <w:r w:rsidRPr="00A8564C">
              <w:rPr>
                <w:lang w:val="es-ES"/>
              </w:rPr>
              <w:t>Química</w:t>
            </w:r>
          </w:p>
        </w:tc>
        <w:tc>
          <w:tcPr>
            <w:tcW w:w="1381" w:type="dxa"/>
            <w:shd w:val="clear" w:color="auto" w:fill="auto"/>
          </w:tcPr>
          <w:p w14:paraId="604B3C1C" w14:textId="77777777" w:rsidR="002C70DB" w:rsidRPr="00A8564C" w:rsidRDefault="002C70DB" w:rsidP="003259B1">
            <w:pPr>
              <w:keepNext/>
              <w:rPr>
                <w:lang w:val="es-ES"/>
              </w:rPr>
            </w:pPr>
            <w:r w:rsidRPr="00A8564C">
              <w:rPr>
                <w:lang w:val="es-ES"/>
              </w:rPr>
              <w:t>37</w:t>
            </w:r>
          </w:p>
        </w:tc>
        <w:tc>
          <w:tcPr>
            <w:tcW w:w="1984" w:type="dxa"/>
          </w:tcPr>
          <w:p w14:paraId="414DE7D2" w14:textId="77777777" w:rsidR="002C70DB" w:rsidRPr="00A8564C" w:rsidRDefault="002C70DB" w:rsidP="003259B1">
            <w:pPr>
              <w:keepNext/>
              <w:rPr>
                <w:lang w:val="es-ES"/>
              </w:rPr>
            </w:pPr>
            <w:r w:rsidRPr="00A8564C">
              <w:rPr>
                <w:lang w:val="es-ES"/>
              </w:rPr>
              <w:t>10</w:t>
            </w:r>
          </w:p>
        </w:tc>
        <w:tc>
          <w:tcPr>
            <w:tcW w:w="3226" w:type="dxa"/>
          </w:tcPr>
          <w:p w14:paraId="64C34179" w14:textId="1BF33C25" w:rsidR="002C70DB" w:rsidRPr="00A8564C" w:rsidRDefault="002C70DB" w:rsidP="003259B1">
            <w:pPr>
              <w:keepNext/>
              <w:rPr>
                <w:lang w:val="es-ES"/>
              </w:rPr>
            </w:pPr>
            <w:r w:rsidRPr="00A8564C">
              <w:rPr>
                <w:lang w:val="es-ES"/>
              </w:rPr>
              <w:t xml:space="preserve">38% </w:t>
            </w:r>
            <w:r w:rsidR="00B7139A" w:rsidRPr="00A8564C">
              <w:rPr>
                <w:lang w:val="es-ES"/>
              </w:rPr>
              <w:t>D</w:t>
            </w:r>
            <w:r w:rsidRPr="00A8564C">
              <w:rPr>
                <w:lang w:val="es-ES"/>
              </w:rPr>
              <w:t>, 62% M</w:t>
            </w:r>
          </w:p>
        </w:tc>
      </w:tr>
      <w:tr w:rsidR="00B7139A" w:rsidRPr="00A8564C" w14:paraId="1567706F" w14:textId="77777777" w:rsidTr="00E826DF">
        <w:trPr>
          <w:cantSplit/>
        </w:trPr>
        <w:tc>
          <w:tcPr>
            <w:tcW w:w="1988" w:type="dxa"/>
            <w:shd w:val="clear" w:color="auto" w:fill="auto"/>
          </w:tcPr>
          <w:p w14:paraId="53D3E671" w14:textId="23CFD4E0" w:rsidR="002C70DB" w:rsidRPr="00A8564C" w:rsidRDefault="002C70DB" w:rsidP="003259B1">
            <w:pPr>
              <w:keepNext/>
              <w:rPr>
                <w:lang w:val="es-ES"/>
              </w:rPr>
            </w:pPr>
            <w:r w:rsidRPr="00A8564C">
              <w:rPr>
                <w:lang w:val="es-ES"/>
              </w:rPr>
              <w:t>Biotec</w:t>
            </w:r>
            <w:r w:rsidR="00B7139A" w:rsidRPr="00A8564C">
              <w:rPr>
                <w:lang w:val="es-ES"/>
              </w:rPr>
              <w:t>nología</w:t>
            </w:r>
          </w:p>
        </w:tc>
        <w:tc>
          <w:tcPr>
            <w:tcW w:w="1381" w:type="dxa"/>
            <w:shd w:val="clear" w:color="auto" w:fill="auto"/>
          </w:tcPr>
          <w:p w14:paraId="033C6102" w14:textId="77777777" w:rsidR="002C70DB" w:rsidRPr="00A8564C" w:rsidRDefault="002C70DB" w:rsidP="003259B1">
            <w:pPr>
              <w:keepNext/>
              <w:rPr>
                <w:lang w:val="es-ES"/>
              </w:rPr>
            </w:pPr>
            <w:r w:rsidRPr="00A8564C">
              <w:rPr>
                <w:lang w:val="es-ES"/>
              </w:rPr>
              <w:t>17</w:t>
            </w:r>
          </w:p>
        </w:tc>
        <w:tc>
          <w:tcPr>
            <w:tcW w:w="1984" w:type="dxa"/>
          </w:tcPr>
          <w:p w14:paraId="3E62490B" w14:textId="77777777" w:rsidR="002C70DB" w:rsidRPr="00A8564C" w:rsidRDefault="002C70DB" w:rsidP="003259B1">
            <w:pPr>
              <w:keepNext/>
              <w:rPr>
                <w:lang w:val="es-ES"/>
              </w:rPr>
            </w:pPr>
            <w:r w:rsidRPr="00A8564C">
              <w:rPr>
                <w:lang w:val="es-ES"/>
              </w:rPr>
              <w:t>10</w:t>
            </w:r>
          </w:p>
        </w:tc>
        <w:tc>
          <w:tcPr>
            <w:tcW w:w="3226" w:type="dxa"/>
          </w:tcPr>
          <w:p w14:paraId="5B98F121" w14:textId="77167A4A" w:rsidR="002C70DB" w:rsidRPr="00A8564C" w:rsidRDefault="002C70DB" w:rsidP="003259B1">
            <w:pPr>
              <w:keepNext/>
              <w:rPr>
                <w:lang w:val="es-ES"/>
              </w:rPr>
            </w:pPr>
            <w:r w:rsidRPr="00A8564C">
              <w:rPr>
                <w:lang w:val="es-ES"/>
              </w:rPr>
              <w:t xml:space="preserve">41% </w:t>
            </w:r>
            <w:r w:rsidR="00B7139A" w:rsidRPr="00A8564C">
              <w:rPr>
                <w:lang w:val="es-ES"/>
              </w:rPr>
              <w:t>D</w:t>
            </w:r>
            <w:r w:rsidRPr="00A8564C">
              <w:rPr>
                <w:lang w:val="es-ES"/>
              </w:rPr>
              <w:t>, 59% M</w:t>
            </w:r>
          </w:p>
        </w:tc>
      </w:tr>
      <w:tr w:rsidR="00B7139A" w:rsidRPr="00A8564C" w14:paraId="5D3134CC" w14:textId="77777777" w:rsidTr="00E826DF">
        <w:trPr>
          <w:cantSplit/>
        </w:trPr>
        <w:tc>
          <w:tcPr>
            <w:tcW w:w="1988" w:type="dxa"/>
            <w:shd w:val="clear" w:color="auto" w:fill="auto"/>
          </w:tcPr>
          <w:p w14:paraId="3C5105F3" w14:textId="77777777" w:rsidR="002C70DB" w:rsidRPr="00A8564C" w:rsidRDefault="002C70DB" w:rsidP="003259B1">
            <w:pPr>
              <w:rPr>
                <w:i/>
                <w:lang w:val="es-ES"/>
              </w:rPr>
            </w:pPr>
            <w:r w:rsidRPr="00A8564C">
              <w:rPr>
                <w:i/>
                <w:lang w:val="es-ES"/>
              </w:rPr>
              <w:t>Total</w:t>
            </w:r>
          </w:p>
        </w:tc>
        <w:tc>
          <w:tcPr>
            <w:tcW w:w="1381" w:type="dxa"/>
            <w:shd w:val="clear" w:color="auto" w:fill="auto"/>
          </w:tcPr>
          <w:p w14:paraId="0B5E1AE4" w14:textId="77777777" w:rsidR="002C70DB" w:rsidRPr="00A8564C" w:rsidRDefault="002C70DB" w:rsidP="003259B1">
            <w:pPr>
              <w:rPr>
                <w:i/>
                <w:highlight w:val="yellow"/>
                <w:lang w:val="es-ES"/>
              </w:rPr>
            </w:pPr>
            <w:r w:rsidRPr="00A8564C">
              <w:rPr>
                <w:i/>
                <w:lang w:val="es-ES"/>
              </w:rPr>
              <w:t>116</w:t>
            </w:r>
          </w:p>
        </w:tc>
        <w:tc>
          <w:tcPr>
            <w:tcW w:w="1984" w:type="dxa"/>
          </w:tcPr>
          <w:p w14:paraId="343A479D" w14:textId="77777777" w:rsidR="002C70DB" w:rsidRPr="00A8564C" w:rsidRDefault="002C70DB" w:rsidP="003259B1">
            <w:pPr>
              <w:rPr>
                <w:i/>
                <w:lang w:val="es-ES"/>
              </w:rPr>
            </w:pPr>
            <w:r w:rsidRPr="00A8564C">
              <w:rPr>
                <w:i/>
                <w:lang w:val="es-ES"/>
              </w:rPr>
              <w:t>7.62</w:t>
            </w:r>
          </w:p>
        </w:tc>
        <w:tc>
          <w:tcPr>
            <w:tcW w:w="3226" w:type="dxa"/>
          </w:tcPr>
          <w:p w14:paraId="3ADA2103" w14:textId="749E6873" w:rsidR="002C70DB" w:rsidRPr="00A8564C" w:rsidRDefault="002C70DB" w:rsidP="003259B1">
            <w:pPr>
              <w:rPr>
                <w:i/>
                <w:lang w:val="es-ES"/>
              </w:rPr>
            </w:pPr>
            <w:r w:rsidRPr="00A8564C">
              <w:rPr>
                <w:i/>
                <w:lang w:val="es-ES"/>
              </w:rPr>
              <w:t xml:space="preserve">24% </w:t>
            </w:r>
            <w:r w:rsidR="00B7139A" w:rsidRPr="00A8564C">
              <w:rPr>
                <w:i/>
                <w:lang w:val="es-ES"/>
              </w:rPr>
              <w:t>D</w:t>
            </w:r>
            <w:r w:rsidRPr="00A8564C">
              <w:rPr>
                <w:i/>
                <w:lang w:val="es-ES"/>
              </w:rPr>
              <w:t xml:space="preserve">, 67% M, 9% </w:t>
            </w:r>
            <w:r w:rsidR="00B7139A" w:rsidRPr="00A8564C">
              <w:rPr>
                <w:i/>
                <w:lang w:val="es-ES"/>
              </w:rPr>
              <w:t>L</w:t>
            </w:r>
          </w:p>
        </w:tc>
      </w:tr>
    </w:tbl>
    <w:p w14:paraId="43C3659A" w14:textId="77777777" w:rsidR="002C70DB" w:rsidRPr="00A8564C" w:rsidRDefault="002C70DB" w:rsidP="003259B1">
      <w:pPr>
        <w:rPr>
          <w:lang w:val="es-ES"/>
        </w:rPr>
      </w:pPr>
    </w:p>
    <w:p w14:paraId="3A1DA993" w14:textId="61FF6399" w:rsidR="002C70DB" w:rsidRPr="00A8564C" w:rsidRDefault="00B7139A" w:rsidP="003259B1">
      <w:pPr>
        <w:rPr>
          <w:lang w:val="es-ES"/>
        </w:rPr>
      </w:pPr>
      <w:r w:rsidRPr="00A8564C">
        <w:rPr>
          <w:lang w:val="es-ES"/>
        </w:rPr>
        <w:t xml:space="preserve">En </w:t>
      </w:r>
      <w:r w:rsidR="002C70DB" w:rsidRPr="00A8564C">
        <w:rPr>
          <w:lang w:val="es-ES"/>
        </w:rPr>
        <w:t xml:space="preserve">2015, </w:t>
      </w:r>
      <w:r w:rsidRPr="00A8564C">
        <w:rPr>
          <w:lang w:val="es-ES"/>
        </w:rPr>
        <w:t xml:space="preserve">se </w:t>
      </w:r>
      <w:r w:rsidR="001C37BC" w:rsidRPr="00A8564C">
        <w:rPr>
          <w:lang w:val="es-ES"/>
        </w:rPr>
        <w:t xml:space="preserve">emprendieron </w:t>
      </w:r>
      <w:r w:rsidRPr="00A8564C">
        <w:rPr>
          <w:lang w:val="es-ES"/>
        </w:rPr>
        <w:t xml:space="preserve">importantes cambios organizativos en el </w:t>
      </w:r>
      <w:r w:rsidR="00530537" w:rsidRPr="00A8564C">
        <w:rPr>
          <w:lang w:val="es-ES"/>
        </w:rPr>
        <w:t>Departamento</w:t>
      </w:r>
      <w:r w:rsidRPr="00A8564C">
        <w:rPr>
          <w:lang w:val="es-ES"/>
        </w:rPr>
        <w:t xml:space="preserve"> de Patentes</w:t>
      </w:r>
      <w:r w:rsidR="002C70DB" w:rsidRPr="00A8564C">
        <w:rPr>
          <w:lang w:val="es-ES"/>
        </w:rPr>
        <w:t xml:space="preserve">, </w:t>
      </w:r>
      <w:r w:rsidRPr="00A8564C">
        <w:rPr>
          <w:lang w:val="es-ES"/>
        </w:rPr>
        <w:t xml:space="preserve">que </w:t>
      </w:r>
      <w:r w:rsidR="00336487" w:rsidRPr="00A8564C">
        <w:rPr>
          <w:lang w:val="es-ES"/>
        </w:rPr>
        <w:t xml:space="preserve">culminaron con el cierre del </w:t>
      </w:r>
      <w:r w:rsidRPr="00A8564C">
        <w:rPr>
          <w:lang w:val="es-ES"/>
        </w:rPr>
        <w:t xml:space="preserve">proceso de </w:t>
      </w:r>
      <w:r w:rsidR="00530537" w:rsidRPr="00A8564C">
        <w:rPr>
          <w:lang w:val="es-ES"/>
        </w:rPr>
        <w:t>contratación</w:t>
      </w:r>
      <w:r w:rsidRPr="00A8564C">
        <w:rPr>
          <w:lang w:val="es-ES"/>
        </w:rPr>
        <w:t xml:space="preserve"> de los directivos </w:t>
      </w:r>
      <w:r w:rsidR="00C02638" w:rsidRPr="00A8564C">
        <w:rPr>
          <w:lang w:val="es-ES"/>
        </w:rPr>
        <w:t>de nivel intermedio</w:t>
      </w:r>
      <w:r w:rsidR="002C70DB" w:rsidRPr="00A8564C">
        <w:rPr>
          <w:lang w:val="es-ES"/>
        </w:rPr>
        <w:t xml:space="preserve"> (</w:t>
      </w:r>
      <w:r w:rsidRPr="00A8564C">
        <w:rPr>
          <w:lang w:val="es-ES"/>
        </w:rPr>
        <w:t>jefes de equipo</w:t>
      </w:r>
      <w:r w:rsidR="002C70DB" w:rsidRPr="00A8564C">
        <w:rPr>
          <w:lang w:val="es-ES"/>
        </w:rPr>
        <w:t xml:space="preserve">) </w:t>
      </w:r>
      <w:r w:rsidRPr="00A8564C">
        <w:rPr>
          <w:lang w:val="es-ES"/>
        </w:rPr>
        <w:t xml:space="preserve">que se </w:t>
      </w:r>
      <w:r w:rsidR="00530537" w:rsidRPr="00A8564C">
        <w:rPr>
          <w:lang w:val="es-ES"/>
        </w:rPr>
        <w:t>había</w:t>
      </w:r>
      <w:r w:rsidRPr="00A8564C">
        <w:rPr>
          <w:lang w:val="es-ES"/>
        </w:rPr>
        <w:t xml:space="preserve"> iniciado en </w:t>
      </w:r>
      <w:r w:rsidR="002C70DB" w:rsidRPr="00A8564C">
        <w:rPr>
          <w:lang w:val="es-ES"/>
        </w:rPr>
        <w:t>2013</w:t>
      </w:r>
      <w:r w:rsidR="009E7E5E" w:rsidRPr="00A8564C">
        <w:rPr>
          <w:lang w:val="es-ES"/>
        </w:rPr>
        <w:t xml:space="preserve">.  </w:t>
      </w:r>
      <w:r w:rsidRPr="00A8564C">
        <w:rPr>
          <w:lang w:val="es-ES"/>
        </w:rPr>
        <w:t xml:space="preserve">Se </w:t>
      </w:r>
      <w:r w:rsidR="00336487" w:rsidRPr="00A8564C">
        <w:rPr>
          <w:lang w:val="es-ES"/>
        </w:rPr>
        <w:t>establecieron</w:t>
      </w:r>
      <w:r w:rsidRPr="00A8564C">
        <w:rPr>
          <w:lang w:val="es-ES"/>
        </w:rPr>
        <w:t xml:space="preserve"> nuevas </w:t>
      </w:r>
      <w:r w:rsidR="00336487" w:rsidRPr="00A8564C">
        <w:rPr>
          <w:lang w:val="es-ES"/>
        </w:rPr>
        <w:t xml:space="preserve">competencias </w:t>
      </w:r>
      <w:r w:rsidRPr="00A8564C">
        <w:rPr>
          <w:lang w:val="es-ES"/>
        </w:rPr>
        <w:t xml:space="preserve">profesionales y de </w:t>
      </w:r>
      <w:r w:rsidR="00530537" w:rsidRPr="00A8564C">
        <w:rPr>
          <w:lang w:val="es-ES"/>
        </w:rPr>
        <w:t>gestión</w:t>
      </w:r>
      <w:r w:rsidRPr="00A8564C">
        <w:rPr>
          <w:lang w:val="es-ES"/>
        </w:rPr>
        <w:t xml:space="preserve"> para los jefes de equipo, en particular la responsabilidad directa por la calidad de la </w:t>
      </w:r>
      <w:r w:rsidR="00530537" w:rsidRPr="00A8564C">
        <w:rPr>
          <w:lang w:val="es-ES"/>
        </w:rPr>
        <w:t>búsqueda</w:t>
      </w:r>
      <w:r w:rsidRPr="00A8564C">
        <w:rPr>
          <w:lang w:val="es-ES"/>
        </w:rPr>
        <w:t xml:space="preserve"> y el examen</w:t>
      </w:r>
      <w:r w:rsidR="002C70DB" w:rsidRPr="00A8564C">
        <w:rPr>
          <w:lang w:val="es-ES"/>
        </w:rPr>
        <w:t xml:space="preserve">.  </w:t>
      </w:r>
    </w:p>
    <w:p w14:paraId="1EFF4412" w14:textId="77777777" w:rsidR="002C70DB" w:rsidRPr="00A8564C" w:rsidRDefault="002C70DB" w:rsidP="003259B1">
      <w:pPr>
        <w:rPr>
          <w:lang w:val="es-ES"/>
        </w:rPr>
      </w:pPr>
    </w:p>
    <w:p w14:paraId="41E32DF2" w14:textId="477C900D" w:rsidR="002C70DB" w:rsidRPr="00A8564C" w:rsidRDefault="009B2256" w:rsidP="003259B1">
      <w:pPr>
        <w:rPr>
          <w:b/>
          <w:bCs/>
          <w:i/>
          <w:iCs/>
          <w:color w:val="0000FF"/>
          <w:u w:val="single"/>
          <w:lang w:val="es-ES"/>
        </w:rPr>
      </w:pPr>
      <w:r w:rsidRPr="00A8564C">
        <w:rPr>
          <w:lang w:val="es-ES"/>
        </w:rPr>
        <w:t xml:space="preserve">Sujeta al cumplimiento de </w:t>
      </w:r>
      <w:r w:rsidR="00B06CD7" w:rsidRPr="00A8564C">
        <w:rPr>
          <w:lang w:val="es-ES"/>
        </w:rPr>
        <w:t xml:space="preserve">las </w:t>
      </w:r>
      <w:r w:rsidR="00530537" w:rsidRPr="00A8564C">
        <w:rPr>
          <w:lang w:val="es-ES"/>
        </w:rPr>
        <w:t>obligaciones</w:t>
      </w:r>
      <w:r w:rsidR="00B06CD7" w:rsidRPr="00A8564C">
        <w:rPr>
          <w:lang w:val="es-ES"/>
        </w:rPr>
        <w:t xml:space="preserve"> y </w:t>
      </w:r>
      <w:r w:rsidR="00530537" w:rsidRPr="00A8564C">
        <w:rPr>
          <w:lang w:val="es-ES"/>
        </w:rPr>
        <w:t>limitaciones</w:t>
      </w:r>
      <w:r w:rsidR="00B06CD7" w:rsidRPr="00A8564C">
        <w:rPr>
          <w:lang w:val="es-ES"/>
        </w:rPr>
        <w:t xml:space="preserve"> que establece la ley</w:t>
      </w:r>
      <w:r w:rsidR="002C70DB" w:rsidRPr="00A8564C">
        <w:rPr>
          <w:lang w:val="es-ES"/>
        </w:rPr>
        <w:t xml:space="preserve">, </w:t>
      </w:r>
      <w:r w:rsidR="00B06CD7" w:rsidRPr="00A8564C">
        <w:rPr>
          <w:lang w:val="es-ES"/>
        </w:rPr>
        <w:t xml:space="preserve">la </w:t>
      </w:r>
      <w:r w:rsidR="00530537" w:rsidRPr="00A8564C">
        <w:rPr>
          <w:lang w:val="es-ES"/>
        </w:rPr>
        <w:t>práctica</w:t>
      </w:r>
      <w:r w:rsidR="00B06CD7" w:rsidRPr="00A8564C">
        <w:rPr>
          <w:lang w:val="es-ES"/>
        </w:rPr>
        <w:t xml:space="preserve"> </w:t>
      </w:r>
      <w:r w:rsidR="00530537" w:rsidRPr="00A8564C">
        <w:rPr>
          <w:lang w:val="es-ES"/>
        </w:rPr>
        <w:t>israelí</w:t>
      </w:r>
      <w:r w:rsidR="00B06CD7" w:rsidRPr="00A8564C">
        <w:rPr>
          <w:lang w:val="es-ES"/>
        </w:rPr>
        <w:t xml:space="preserve"> en la esfera de la </w:t>
      </w:r>
      <w:r w:rsidR="00530537" w:rsidRPr="00A8564C">
        <w:rPr>
          <w:lang w:val="es-ES"/>
        </w:rPr>
        <w:t>búsqueda</w:t>
      </w:r>
      <w:r w:rsidR="00B06CD7" w:rsidRPr="00A8564C">
        <w:rPr>
          <w:lang w:val="es-ES"/>
        </w:rPr>
        <w:t xml:space="preserve"> y el examen </w:t>
      </w:r>
      <w:r w:rsidR="00530537" w:rsidRPr="00A8564C">
        <w:rPr>
          <w:lang w:val="es-ES"/>
        </w:rPr>
        <w:t>sustantivo</w:t>
      </w:r>
      <w:r w:rsidR="00B06CD7" w:rsidRPr="00A8564C">
        <w:rPr>
          <w:lang w:val="es-ES"/>
        </w:rPr>
        <w:t xml:space="preserve"> de </w:t>
      </w:r>
      <w:r w:rsidRPr="00A8564C">
        <w:rPr>
          <w:lang w:val="es-ES"/>
        </w:rPr>
        <w:t xml:space="preserve">las </w:t>
      </w:r>
      <w:r w:rsidR="00B06CD7" w:rsidRPr="00A8564C">
        <w:rPr>
          <w:lang w:val="es-ES"/>
        </w:rPr>
        <w:t>solicitudes de patente nacionales</w:t>
      </w:r>
      <w:r w:rsidR="002C70DB" w:rsidRPr="00A8564C">
        <w:rPr>
          <w:lang w:val="es-ES"/>
        </w:rPr>
        <w:t xml:space="preserve"> </w:t>
      </w:r>
      <w:r w:rsidR="00530537" w:rsidRPr="00A8564C">
        <w:rPr>
          <w:lang w:val="es-ES"/>
        </w:rPr>
        <w:t>es bastante similar a l</w:t>
      </w:r>
      <w:r w:rsidRPr="00A8564C">
        <w:rPr>
          <w:lang w:val="es-ES"/>
        </w:rPr>
        <w:t xml:space="preserve">o que establecen </w:t>
      </w:r>
      <w:r w:rsidR="00530537" w:rsidRPr="00A8564C">
        <w:rPr>
          <w:lang w:val="es-ES"/>
        </w:rPr>
        <w:t xml:space="preserve">las </w:t>
      </w:r>
      <w:r w:rsidR="00CB2D1F" w:rsidRPr="00A8564C">
        <w:rPr>
          <w:lang w:val="es-ES"/>
        </w:rPr>
        <w:t>Directrices de búsqueda internacional y de examen preliminar internacional del PCT para la tramitación de las solicitudes internacionales</w:t>
      </w:r>
      <w:r w:rsidR="00530537" w:rsidRPr="00A8564C">
        <w:rPr>
          <w:lang w:val="es-ES"/>
        </w:rPr>
        <w:t>.</w:t>
      </w:r>
      <w:r w:rsidR="002C70DB" w:rsidRPr="00A8564C">
        <w:rPr>
          <w:lang w:val="es-ES"/>
        </w:rPr>
        <w:t xml:space="preserve"> </w:t>
      </w:r>
    </w:p>
    <w:p w14:paraId="43667AB9" w14:textId="77777777" w:rsidR="002C70DB" w:rsidRPr="00A8564C" w:rsidRDefault="002C70DB" w:rsidP="003259B1">
      <w:pPr>
        <w:rPr>
          <w:lang w:val="es-ES"/>
        </w:rPr>
      </w:pPr>
    </w:p>
    <w:p w14:paraId="4D7EF4EE" w14:textId="7AC07A0F" w:rsidR="002C70DB" w:rsidRPr="00A8564C" w:rsidRDefault="00530537" w:rsidP="003259B1">
      <w:pPr>
        <w:rPr>
          <w:lang w:val="es-ES"/>
        </w:rPr>
      </w:pPr>
      <w:r w:rsidRPr="00A8564C">
        <w:rPr>
          <w:lang w:val="es-ES"/>
        </w:rPr>
        <w:lastRenderedPageBreak/>
        <w:t>Dado que el Depa</w:t>
      </w:r>
      <w:r w:rsidR="00B06CD7" w:rsidRPr="00A8564C">
        <w:rPr>
          <w:lang w:val="es-ES"/>
        </w:rPr>
        <w:t xml:space="preserve">rtamento de Patentes </w:t>
      </w:r>
      <w:r w:rsidR="009B2256" w:rsidRPr="00A8564C">
        <w:rPr>
          <w:lang w:val="es-ES"/>
        </w:rPr>
        <w:t>realiza el exam</w:t>
      </w:r>
      <w:r w:rsidRPr="00A8564C">
        <w:rPr>
          <w:lang w:val="es-ES"/>
        </w:rPr>
        <w:t>en sustantivo de las solicitudes nacionales y PCT</w:t>
      </w:r>
      <w:r w:rsidR="002C70DB" w:rsidRPr="00A8564C">
        <w:rPr>
          <w:lang w:val="es-ES"/>
        </w:rPr>
        <w:t xml:space="preserve">, </w:t>
      </w:r>
      <w:r w:rsidRPr="00A8564C">
        <w:rPr>
          <w:lang w:val="es-ES"/>
        </w:rPr>
        <w:t>las</w:t>
      </w:r>
      <w:r w:rsidR="002C70DB" w:rsidRPr="00A8564C">
        <w:rPr>
          <w:lang w:val="es-ES"/>
        </w:rPr>
        <w:t xml:space="preserve"> </w:t>
      </w:r>
      <w:r w:rsidR="00184BCD" w:rsidRPr="00A8564C">
        <w:rPr>
          <w:lang w:val="es-ES"/>
        </w:rPr>
        <w:t xml:space="preserve">solicitudes nacionales </w:t>
      </w:r>
      <w:r w:rsidRPr="00A8564C">
        <w:rPr>
          <w:lang w:val="es-ES"/>
        </w:rPr>
        <w:t xml:space="preserve">relativas a la misma invención que la de las solicitudes </w:t>
      </w:r>
      <w:r w:rsidR="002C70DB" w:rsidRPr="00A8564C">
        <w:rPr>
          <w:lang w:val="es-ES"/>
        </w:rPr>
        <w:t>PCT</w:t>
      </w:r>
      <w:r w:rsidRPr="00A8564C">
        <w:rPr>
          <w:lang w:val="es-ES"/>
        </w:rPr>
        <w:t>, se asignan generalmente al mismo examinador</w:t>
      </w:r>
      <w:r w:rsidR="009E7E5E" w:rsidRPr="00A8564C">
        <w:rPr>
          <w:lang w:val="es-ES"/>
        </w:rPr>
        <w:t xml:space="preserve">.  </w:t>
      </w:r>
      <w:r w:rsidRPr="00A8564C">
        <w:rPr>
          <w:lang w:val="es-ES"/>
        </w:rPr>
        <w:t>Esta medida tiene por objeto contribuir a mejorar la eficacia del examen sustantivo y</w:t>
      </w:r>
      <w:r w:rsidR="009B2256" w:rsidRPr="00A8564C">
        <w:rPr>
          <w:lang w:val="es-ES"/>
        </w:rPr>
        <w:t xml:space="preserve"> a</w:t>
      </w:r>
      <w:r w:rsidRPr="00A8564C">
        <w:rPr>
          <w:lang w:val="es-ES"/>
        </w:rPr>
        <w:t xml:space="preserve"> la armonización de la práctica de examen en la </w:t>
      </w:r>
      <w:r w:rsidR="00B06CD7" w:rsidRPr="00A8564C">
        <w:rPr>
          <w:lang w:val="es-ES"/>
        </w:rPr>
        <w:t xml:space="preserve">ILPO </w:t>
      </w:r>
      <w:r w:rsidRPr="00A8564C">
        <w:rPr>
          <w:lang w:val="es-ES"/>
        </w:rPr>
        <w:t xml:space="preserve">con la del </w:t>
      </w:r>
      <w:r w:rsidR="002C70DB" w:rsidRPr="00A8564C">
        <w:rPr>
          <w:lang w:val="es-ES"/>
        </w:rPr>
        <w:t>PCT</w:t>
      </w:r>
      <w:r w:rsidRPr="00A8564C">
        <w:rPr>
          <w:lang w:val="es-ES"/>
        </w:rPr>
        <w:t xml:space="preserve"> y la de otras oficinas.</w:t>
      </w:r>
      <w:r w:rsidR="002C70DB" w:rsidRPr="00A8564C">
        <w:rPr>
          <w:lang w:val="es-ES"/>
        </w:rPr>
        <w:t xml:space="preserve">  </w:t>
      </w:r>
    </w:p>
    <w:p w14:paraId="1A87339E" w14:textId="77777777" w:rsidR="002C70DB" w:rsidRPr="00A8564C" w:rsidRDefault="002C70DB" w:rsidP="003259B1">
      <w:pPr>
        <w:rPr>
          <w:lang w:val="es-ES"/>
        </w:rPr>
      </w:pPr>
    </w:p>
    <w:p w14:paraId="4FD3F01E" w14:textId="52EDCFF4" w:rsidR="002C70DB" w:rsidRPr="00A8564C" w:rsidRDefault="00C313DF" w:rsidP="003259B1">
      <w:pPr>
        <w:rPr>
          <w:lang w:val="es-ES"/>
        </w:rPr>
      </w:pPr>
      <w:r w:rsidRPr="00A8564C">
        <w:rPr>
          <w:lang w:val="es-ES"/>
        </w:rPr>
        <w:t xml:space="preserve">Los funcionarios de la </w:t>
      </w:r>
      <w:r w:rsidR="00BA7B96" w:rsidRPr="00A8564C">
        <w:rPr>
          <w:lang w:val="es-ES"/>
        </w:rPr>
        <w:t>División</w:t>
      </w:r>
      <w:r w:rsidRPr="00A8564C">
        <w:rPr>
          <w:lang w:val="es-ES"/>
        </w:rPr>
        <w:t xml:space="preserve"> PCT desempeñan las tareas administrativas que </w:t>
      </w:r>
      <w:r w:rsidR="00BA7B96" w:rsidRPr="00A8564C">
        <w:rPr>
          <w:lang w:val="es-ES"/>
        </w:rPr>
        <w:t>incumben</w:t>
      </w:r>
      <w:r w:rsidRPr="00A8564C">
        <w:rPr>
          <w:lang w:val="es-ES"/>
        </w:rPr>
        <w:t xml:space="preserve"> a la</w:t>
      </w:r>
      <w:r w:rsidR="00B06CD7" w:rsidRPr="00A8564C">
        <w:rPr>
          <w:lang w:val="es-ES"/>
        </w:rPr>
        <w:t xml:space="preserve"> ILPO</w:t>
      </w:r>
      <w:r w:rsidRPr="00A8564C">
        <w:rPr>
          <w:lang w:val="es-ES"/>
        </w:rPr>
        <w:t xml:space="preserve"> como </w:t>
      </w:r>
      <w:r w:rsidR="009B56A2" w:rsidRPr="00A8564C">
        <w:rPr>
          <w:lang w:val="es-ES"/>
        </w:rPr>
        <w:t>A</w:t>
      </w:r>
      <w:r w:rsidR="00BA7B96" w:rsidRPr="00A8564C">
        <w:rPr>
          <w:lang w:val="es-ES"/>
        </w:rPr>
        <w:t>dministración</w:t>
      </w:r>
      <w:r w:rsidRPr="00A8564C">
        <w:rPr>
          <w:lang w:val="es-ES"/>
        </w:rPr>
        <w:t xml:space="preserve"> internacional encargada de la </w:t>
      </w:r>
      <w:r w:rsidR="00BA7B96" w:rsidRPr="00A8564C">
        <w:rPr>
          <w:lang w:val="es-ES"/>
        </w:rPr>
        <w:t>búsqueda</w:t>
      </w:r>
      <w:r w:rsidRPr="00A8564C">
        <w:rPr>
          <w:lang w:val="es-ES"/>
        </w:rPr>
        <w:t xml:space="preserve"> y el examen</w:t>
      </w:r>
      <w:r w:rsidR="009E7E5E" w:rsidRPr="00A8564C">
        <w:rPr>
          <w:lang w:val="es-ES"/>
        </w:rPr>
        <w:t xml:space="preserve">.  </w:t>
      </w:r>
      <w:r w:rsidRPr="00A8564C">
        <w:rPr>
          <w:lang w:val="es-ES"/>
        </w:rPr>
        <w:t xml:space="preserve">Esas tareas comprenden la </w:t>
      </w:r>
      <w:r w:rsidR="00BA7B96" w:rsidRPr="00A8564C">
        <w:rPr>
          <w:lang w:val="es-ES"/>
        </w:rPr>
        <w:t>tramitación</w:t>
      </w:r>
      <w:r w:rsidRPr="00A8564C">
        <w:rPr>
          <w:lang w:val="es-ES"/>
        </w:rPr>
        <w:t xml:space="preserve"> de todas las </w:t>
      </w:r>
      <w:r w:rsidR="00184BCD" w:rsidRPr="00A8564C">
        <w:rPr>
          <w:lang w:val="es-ES"/>
        </w:rPr>
        <w:t xml:space="preserve">solicitudes </w:t>
      </w:r>
      <w:r w:rsidRPr="00A8564C">
        <w:rPr>
          <w:lang w:val="es-ES"/>
        </w:rPr>
        <w:t>inter</w:t>
      </w:r>
      <w:r w:rsidR="00184BCD" w:rsidRPr="00A8564C">
        <w:rPr>
          <w:lang w:val="es-ES"/>
        </w:rPr>
        <w:t xml:space="preserve">nacionales </w:t>
      </w:r>
      <w:r w:rsidR="00BA7B96" w:rsidRPr="00A8564C">
        <w:rPr>
          <w:lang w:val="es-ES"/>
        </w:rPr>
        <w:t>respecto</w:t>
      </w:r>
      <w:r w:rsidRPr="00A8564C">
        <w:rPr>
          <w:lang w:val="es-ES"/>
        </w:rPr>
        <w:t xml:space="preserve"> de las cuales la </w:t>
      </w:r>
      <w:r w:rsidR="00B06CD7" w:rsidRPr="00A8564C">
        <w:rPr>
          <w:lang w:val="es-ES"/>
        </w:rPr>
        <w:t>ILPO</w:t>
      </w:r>
      <w:r w:rsidRPr="00A8564C">
        <w:rPr>
          <w:lang w:val="es-ES"/>
        </w:rPr>
        <w:t xml:space="preserve"> actúa </w:t>
      </w:r>
      <w:r w:rsidR="00CB2D1F" w:rsidRPr="00A8564C">
        <w:rPr>
          <w:lang w:val="es-ES"/>
        </w:rPr>
        <w:t>en calidad de</w:t>
      </w:r>
      <w:r w:rsidRPr="00A8564C">
        <w:rPr>
          <w:lang w:val="es-ES"/>
        </w:rPr>
        <w:t xml:space="preserve"> </w:t>
      </w:r>
      <w:r w:rsidR="002C70DB" w:rsidRPr="00A8564C">
        <w:rPr>
          <w:lang w:val="es-ES"/>
        </w:rPr>
        <w:t xml:space="preserve">ISA, </w:t>
      </w:r>
      <w:r w:rsidRPr="00A8564C">
        <w:rPr>
          <w:lang w:val="es-ES"/>
        </w:rPr>
        <w:t xml:space="preserve">la </w:t>
      </w:r>
      <w:r w:rsidR="00BA7B96" w:rsidRPr="00A8564C">
        <w:rPr>
          <w:lang w:val="es-ES"/>
        </w:rPr>
        <w:t>tramitación</w:t>
      </w:r>
      <w:r w:rsidRPr="00A8564C">
        <w:rPr>
          <w:lang w:val="es-ES"/>
        </w:rPr>
        <w:t xml:space="preserve"> de</w:t>
      </w:r>
      <w:r w:rsidR="009B2256" w:rsidRPr="00A8564C">
        <w:rPr>
          <w:lang w:val="es-ES"/>
        </w:rPr>
        <w:t xml:space="preserve"> </w:t>
      </w:r>
      <w:r w:rsidR="00CB2D1F" w:rsidRPr="00A8564C">
        <w:rPr>
          <w:lang w:val="es-ES"/>
        </w:rPr>
        <w:t xml:space="preserve">las </w:t>
      </w:r>
      <w:r w:rsidR="00BA7B96" w:rsidRPr="00A8564C">
        <w:rPr>
          <w:lang w:val="es-ES"/>
        </w:rPr>
        <w:t>solicitudes</w:t>
      </w:r>
      <w:r w:rsidR="00CB2D1F" w:rsidRPr="00A8564C">
        <w:rPr>
          <w:lang w:val="es-ES"/>
        </w:rPr>
        <w:t xml:space="preserve"> de </w:t>
      </w:r>
      <w:r w:rsidR="00BA7B96" w:rsidRPr="00A8564C">
        <w:rPr>
          <w:lang w:val="es-ES"/>
        </w:rPr>
        <w:t>examen</w:t>
      </w:r>
      <w:r w:rsidR="00CB2D1F" w:rsidRPr="00A8564C">
        <w:rPr>
          <w:lang w:val="es-ES"/>
        </w:rPr>
        <w:t xml:space="preserve"> preliminar internacional</w:t>
      </w:r>
      <w:r w:rsidR="002C70DB" w:rsidRPr="00A8564C">
        <w:rPr>
          <w:lang w:val="es-ES"/>
        </w:rPr>
        <w:t xml:space="preserve">, </w:t>
      </w:r>
      <w:r w:rsidRPr="00A8564C">
        <w:rPr>
          <w:lang w:val="es-ES"/>
        </w:rPr>
        <w:t>el envío de avisos e informes</w:t>
      </w:r>
      <w:r w:rsidR="002C70DB" w:rsidRPr="00A8564C">
        <w:rPr>
          <w:lang w:val="es-ES"/>
        </w:rPr>
        <w:t xml:space="preserve">, </w:t>
      </w:r>
      <w:r w:rsidRPr="00A8564C">
        <w:rPr>
          <w:lang w:val="es-ES"/>
        </w:rPr>
        <w:t xml:space="preserve">la </w:t>
      </w:r>
      <w:r w:rsidR="00BA7B96" w:rsidRPr="00A8564C">
        <w:rPr>
          <w:lang w:val="es-ES"/>
        </w:rPr>
        <w:t>supervisión</w:t>
      </w:r>
      <w:r w:rsidR="00DE6522" w:rsidRPr="00A8564C">
        <w:rPr>
          <w:lang w:val="es-ES"/>
        </w:rPr>
        <w:t xml:space="preserve"> de la puntualidad y de l</w:t>
      </w:r>
      <w:r w:rsidRPr="00A8564C">
        <w:rPr>
          <w:lang w:val="es-ES"/>
        </w:rPr>
        <w:t xml:space="preserve">os plazos </w:t>
      </w:r>
      <w:r w:rsidR="00DE6522" w:rsidRPr="00A8564C">
        <w:rPr>
          <w:lang w:val="es-ES"/>
        </w:rPr>
        <w:t xml:space="preserve">de </w:t>
      </w:r>
      <w:r w:rsidRPr="00A8564C">
        <w:rPr>
          <w:lang w:val="es-ES"/>
        </w:rPr>
        <w:t xml:space="preserve">los informes de </w:t>
      </w:r>
      <w:r w:rsidR="00BA7B96" w:rsidRPr="00A8564C">
        <w:rPr>
          <w:lang w:val="es-ES"/>
        </w:rPr>
        <w:t>búsqueda</w:t>
      </w:r>
      <w:r w:rsidRPr="00A8564C">
        <w:rPr>
          <w:lang w:val="es-ES"/>
        </w:rPr>
        <w:t xml:space="preserve"> y examen </w:t>
      </w:r>
      <w:r w:rsidR="00DE6522" w:rsidRPr="00A8564C">
        <w:rPr>
          <w:lang w:val="es-ES"/>
        </w:rPr>
        <w:t xml:space="preserve">de las solicitudes </w:t>
      </w:r>
      <w:r w:rsidR="002C70DB" w:rsidRPr="00A8564C">
        <w:rPr>
          <w:lang w:val="es-ES"/>
        </w:rPr>
        <w:t>PCT</w:t>
      </w:r>
      <w:r w:rsidRPr="00A8564C">
        <w:rPr>
          <w:lang w:val="es-ES"/>
        </w:rPr>
        <w:t xml:space="preserve">, mediante </w:t>
      </w:r>
      <w:r w:rsidR="00DE6522" w:rsidRPr="00A8564C">
        <w:rPr>
          <w:lang w:val="es-ES"/>
        </w:rPr>
        <w:t xml:space="preserve">la puesta en marcha de </w:t>
      </w:r>
      <w:r w:rsidR="00184BCD" w:rsidRPr="00A8564C">
        <w:rPr>
          <w:lang w:val="es-ES"/>
        </w:rPr>
        <w:t>sistema</w:t>
      </w:r>
      <w:r w:rsidR="002C70DB" w:rsidRPr="00A8564C">
        <w:rPr>
          <w:lang w:val="es-ES"/>
        </w:rPr>
        <w:t xml:space="preserve">s </w:t>
      </w:r>
      <w:r w:rsidR="00DE6522" w:rsidRPr="00A8564C">
        <w:rPr>
          <w:lang w:val="es-ES"/>
        </w:rPr>
        <w:t xml:space="preserve">que facilitan </w:t>
      </w:r>
      <w:r w:rsidRPr="00A8564C">
        <w:rPr>
          <w:lang w:val="es-ES"/>
        </w:rPr>
        <w:t>el seguimiento de</w:t>
      </w:r>
      <w:r w:rsidR="00DE6522" w:rsidRPr="00A8564C">
        <w:rPr>
          <w:lang w:val="es-ES"/>
        </w:rPr>
        <w:t xml:space="preserve">l avance de las </w:t>
      </w:r>
      <w:r w:rsidRPr="00A8564C">
        <w:rPr>
          <w:lang w:val="es-ES"/>
        </w:rPr>
        <w:t xml:space="preserve">solicitudes y </w:t>
      </w:r>
      <w:r w:rsidR="00BA7B96" w:rsidRPr="00A8564C">
        <w:rPr>
          <w:lang w:val="es-ES"/>
        </w:rPr>
        <w:t>del flujo de trabajo</w:t>
      </w:r>
      <w:r w:rsidR="002C70DB" w:rsidRPr="00A8564C">
        <w:rPr>
          <w:lang w:val="es-ES"/>
        </w:rPr>
        <w:t xml:space="preserve">, </w:t>
      </w:r>
      <w:r w:rsidR="00BA7B96" w:rsidRPr="00A8564C">
        <w:rPr>
          <w:lang w:val="es-ES"/>
        </w:rPr>
        <w:t>así</w:t>
      </w:r>
      <w:r w:rsidRPr="00A8564C">
        <w:rPr>
          <w:lang w:val="es-ES"/>
        </w:rPr>
        <w:t xml:space="preserve"> como otras fun</w:t>
      </w:r>
      <w:r w:rsidR="00BA7B96" w:rsidRPr="00A8564C">
        <w:rPr>
          <w:lang w:val="es-ES"/>
        </w:rPr>
        <w:t>cio</w:t>
      </w:r>
      <w:r w:rsidRPr="00A8564C">
        <w:rPr>
          <w:lang w:val="es-ES"/>
        </w:rPr>
        <w:t>nes administrativas</w:t>
      </w:r>
      <w:r w:rsidR="002C70DB" w:rsidRPr="00A8564C">
        <w:rPr>
          <w:lang w:val="es-ES"/>
        </w:rPr>
        <w:t>.</w:t>
      </w:r>
      <w:r w:rsidR="002C70DB" w:rsidRPr="00A8564C">
        <w:rPr>
          <w:rtl/>
          <w:lang w:val="es-ES"/>
        </w:rPr>
        <w:t xml:space="preserve"> </w:t>
      </w:r>
    </w:p>
    <w:p w14:paraId="10AF7FD3" w14:textId="77777777" w:rsidR="002C70DB" w:rsidRPr="00A8564C" w:rsidRDefault="002C70DB" w:rsidP="003259B1">
      <w:pPr>
        <w:rPr>
          <w:lang w:val="es-ES"/>
        </w:rPr>
      </w:pPr>
    </w:p>
    <w:p w14:paraId="37C77BB9" w14:textId="5C3C5D86" w:rsidR="002C70DB" w:rsidRPr="00A8564C" w:rsidRDefault="00C313DF" w:rsidP="003259B1">
      <w:pPr>
        <w:rPr>
          <w:lang w:val="es-ES"/>
        </w:rPr>
      </w:pPr>
      <w:r w:rsidRPr="00A8564C">
        <w:rPr>
          <w:lang w:val="es-ES"/>
        </w:rPr>
        <w:t xml:space="preserve">La </w:t>
      </w:r>
      <w:r w:rsidR="00BA7B96" w:rsidRPr="00A8564C">
        <w:rPr>
          <w:lang w:val="es-ES"/>
        </w:rPr>
        <w:t>División</w:t>
      </w:r>
      <w:r w:rsidRPr="00A8564C">
        <w:rPr>
          <w:lang w:val="es-ES"/>
        </w:rPr>
        <w:t xml:space="preserve"> </w:t>
      </w:r>
      <w:r w:rsidR="002C70DB" w:rsidRPr="00A8564C">
        <w:rPr>
          <w:lang w:val="es-ES"/>
        </w:rPr>
        <w:t xml:space="preserve">PCT </w:t>
      </w:r>
      <w:r w:rsidR="00DE6522" w:rsidRPr="00A8564C">
        <w:rPr>
          <w:lang w:val="es-ES"/>
        </w:rPr>
        <w:t>cuenta con un</w:t>
      </w:r>
      <w:r w:rsidRPr="00A8564C">
        <w:rPr>
          <w:lang w:val="es-ES"/>
        </w:rPr>
        <w:t xml:space="preserve"> personal </w:t>
      </w:r>
      <w:r w:rsidR="00BA7B96" w:rsidRPr="00A8564C">
        <w:rPr>
          <w:lang w:val="es-ES"/>
        </w:rPr>
        <w:t>administrativo</w:t>
      </w:r>
      <w:r w:rsidRPr="00A8564C">
        <w:rPr>
          <w:lang w:val="es-ES"/>
        </w:rPr>
        <w:t xml:space="preserve"> muy calificado y competente que </w:t>
      </w:r>
      <w:r w:rsidR="00DE6522" w:rsidRPr="00A8564C">
        <w:rPr>
          <w:lang w:val="es-ES"/>
        </w:rPr>
        <w:t>posee</w:t>
      </w:r>
      <w:r w:rsidRPr="00A8564C">
        <w:rPr>
          <w:lang w:val="es-ES"/>
        </w:rPr>
        <w:t xml:space="preserve"> una amplia experiencia en el </w:t>
      </w:r>
      <w:r w:rsidR="00BA7B96" w:rsidRPr="00A8564C">
        <w:rPr>
          <w:lang w:val="es-ES"/>
        </w:rPr>
        <w:t>desempeño</w:t>
      </w:r>
      <w:r w:rsidRPr="00A8564C">
        <w:rPr>
          <w:lang w:val="es-ES"/>
        </w:rPr>
        <w:t xml:space="preserve"> de las tareas relativas al </w:t>
      </w:r>
      <w:r w:rsidR="002C70DB" w:rsidRPr="00A8564C">
        <w:rPr>
          <w:lang w:val="es-ES"/>
        </w:rPr>
        <w:t xml:space="preserve">PCT, </w:t>
      </w:r>
      <w:r w:rsidRPr="00A8564C">
        <w:rPr>
          <w:lang w:val="es-ES"/>
        </w:rPr>
        <w:t xml:space="preserve">que </w:t>
      </w:r>
      <w:r w:rsidR="00BA7B96" w:rsidRPr="00A8564C">
        <w:rPr>
          <w:lang w:val="es-ES"/>
        </w:rPr>
        <w:t>incluye</w:t>
      </w:r>
      <w:r w:rsidRPr="00A8564C">
        <w:rPr>
          <w:lang w:val="es-ES"/>
        </w:rPr>
        <w:t xml:space="preserve"> al Director de la </w:t>
      </w:r>
      <w:r w:rsidR="00BA7B96" w:rsidRPr="00A8564C">
        <w:rPr>
          <w:lang w:val="es-ES"/>
        </w:rPr>
        <w:t>División</w:t>
      </w:r>
      <w:r w:rsidR="002C70DB" w:rsidRPr="00A8564C">
        <w:rPr>
          <w:lang w:val="es-ES"/>
        </w:rPr>
        <w:t xml:space="preserve">, </w:t>
      </w:r>
      <w:r w:rsidRPr="00A8564C">
        <w:rPr>
          <w:lang w:val="es-ES"/>
        </w:rPr>
        <w:t xml:space="preserve">un empleado </w:t>
      </w:r>
      <w:r w:rsidR="00BA7B96" w:rsidRPr="00A8564C">
        <w:rPr>
          <w:lang w:val="es-ES"/>
        </w:rPr>
        <w:t>administrativo</w:t>
      </w:r>
      <w:r w:rsidRPr="00A8564C">
        <w:rPr>
          <w:lang w:val="es-ES"/>
        </w:rPr>
        <w:t xml:space="preserve"> y ocho </w:t>
      </w:r>
      <w:r w:rsidR="0009396D" w:rsidRPr="00A8564C">
        <w:rPr>
          <w:lang w:val="es-ES"/>
        </w:rPr>
        <w:t xml:space="preserve">responsables del examen </w:t>
      </w:r>
      <w:r w:rsidR="006E75E0" w:rsidRPr="00A8564C">
        <w:rPr>
          <w:lang w:val="es-ES"/>
        </w:rPr>
        <w:t>formal</w:t>
      </w:r>
      <w:r w:rsidR="0009396D" w:rsidRPr="00A8564C">
        <w:rPr>
          <w:lang w:val="es-ES"/>
        </w:rPr>
        <w:t xml:space="preserve"> de las solicitudes </w:t>
      </w:r>
      <w:r w:rsidRPr="00A8564C">
        <w:rPr>
          <w:lang w:val="es-ES"/>
        </w:rPr>
        <w:t xml:space="preserve">PCT que se encargan de las actividades relativas al </w:t>
      </w:r>
      <w:r w:rsidR="002C70DB" w:rsidRPr="00A8564C">
        <w:rPr>
          <w:lang w:val="es-ES"/>
        </w:rPr>
        <w:t xml:space="preserve">PCT </w:t>
      </w:r>
      <w:r w:rsidRPr="00A8564C">
        <w:rPr>
          <w:lang w:val="es-ES"/>
        </w:rPr>
        <w:t>en la Oficina receptora</w:t>
      </w:r>
      <w:r w:rsidR="002C70DB" w:rsidRPr="00A8564C">
        <w:rPr>
          <w:lang w:val="es-ES"/>
        </w:rPr>
        <w:t xml:space="preserve">, </w:t>
      </w:r>
      <w:r w:rsidRPr="00A8564C">
        <w:rPr>
          <w:lang w:val="es-ES"/>
        </w:rPr>
        <w:t>la</w:t>
      </w:r>
      <w:r w:rsidR="002C70DB" w:rsidRPr="00A8564C">
        <w:rPr>
          <w:lang w:val="es-ES"/>
        </w:rPr>
        <w:t xml:space="preserve"> ISA/IPEA </w:t>
      </w:r>
      <w:r w:rsidRPr="00A8564C">
        <w:rPr>
          <w:lang w:val="es-ES"/>
        </w:rPr>
        <w:t>y la oficina designada/elegida</w:t>
      </w:r>
      <w:r w:rsidR="009E7E5E" w:rsidRPr="00A8564C">
        <w:rPr>
          <w:lang w:val="es-ES"/>
        </w:rPr>
        <w:t xml:space="preserve">.  </w:t>
      </w:r>
      <w:r w:rsidRPr="00A8564C">
        <w:rPr>
          <w:lang w:val="es-ES"/>
        </w:rPr>
        <w:t>Tod</w:t>
      </w:r>
      <w:r w:rsidR="001A2860" w:rsidRPr="00A8564C">
        <w:rPr>
          <w:lang w:val="es-ES"/>
        </w:rPr>
        <w:t xml:space="preserve">os los </w:t>
      </w:r>
      <w:r w:rsidR="0009396D" w:rsidRPr="00A8564C">
        <w:rPr>
          <w:lang w:val="es-ES"/>
        </w:rPr>
        <w:t xml:space="preserve">que realizan los exámenes </w:t>
      </w:r>
      <w:r w:rsidR="006E75E0" w:rsidRPr="00A8564C">
        <w:rPr>
          <w:lang w:val="es-ES"/>
        </w:rPr>
        <w:t>formales</w:t>
      </w:r>
      <w:r w:rsidR="001A2860" w:rsidRPr="00A8564C">
        <w:rPr>
          <w:lang w:val="es-ES"/>
        </w:rPr>
        <w:t xml:space="preserve"> tienen por lo menos una licenciatura </w:t>
      </w:r>
      <w:r w:rsidR="0009396D" w:rsidRPr="00A8564C">
        <w:rPr>
          <w:lang w:val="es-ES"/>
        </w:rPr>
        <w:t xml:space="preserve">universitaria </w:t>
      </w:r>
      <w:r w:rsidR="001A2860" w:rsidRPr="00A8564C">
        <w:rPr>
          <w:lang w:val="es-ES"/>
        </w:rPr>
        <w:t xml:space="preserve">y la </w:t>
      </w:r>
      <w:r w:rsidR="00BA7B96" w:rsidRPr="00A8564C">
        <w:rPr>
          <w:lang w:val="es-ES"/>
        </w:rPr>
        <w:t>mayoría</w:t>
      </w:r>
      <w:r w:rsidR="001A2860" w:rsidRPr="00A8564C">
        <w:rPr>
          <w:lang w:val="es-ES"/>
        </w:rPr>
        <w:t xml:space="preserve"> de ellos tiene </w:t>
      </w:r>
      <w:r w:rsidR="0009396D" w:rsidRPr="00A8564C">
        <w:rPr>
          <w:lang w:val="es-ES"/>
        </w:rPr>
        <w:t>una</w:t>
      </w:r>
      <w:r w:rsidR="001A2860" w:rsidRPr="00A8564C">
        <w:rPr>
          <w:lang w:val="es-ES"/>
        </w:rPr>
        <w:t xml:space="preserve"> </w:t>
      </w:r>
      <w:r w:rsidR="00BA7B96" w:rsidRPr="00A8564C">
        <w:rPr>
          <w:lang w:val="es-ES"/>
        </w:rPr>
        <w:t>maestría</w:t>
      </w:r>
      <w:r w:rsidR="001A2860" w:rsidRPr="00A8564C">
        <w:rPr>
          <w:lang w:val="es-ES"/>
        </w:rPr>
        <w:t xml:space="preserve"> en ciencias e </w:t>
      </w:r>
      <w:r w:rsidR="00BA7B96" w:rsidRPr="00A8564C">
        <w:rPr>
          <w:lang w:val="es-ES"/>
        </w:rPr>
        <w:t>ingeniería</w:t>
      </w:r>
      <w:r w:rsidR="002C70DB" w:rsidRPr="00A8564C">
        <w:rPr>
          <w:lang w:val="es-ES"/>
        </w:rPr>
        <w:t xml:space="preserve">. </w:t>
      </w:r>
    </w:p>
    <w:p w14:paraId="7AE23947" w14:textId="77777777" w:rsidR="002C70DB" w:rsidRPr="00A8564C" w:rsidRDefault="002C70DB" w:rsidP="003259B1">
      <w:pPr>
        <w:rPr>
          <w:lang w:val="es-ES"/>
        </w:rPr>
      </w:pPr>
    </w:p>
    <w:p w14:paraId="53BC4729" w14:textId="06EFE0C9" w:rsidR="002C70DB" w:rsidRPr="00A8564C" w:rsidRDefault="001A2860" w:rsidP="003259B1">
      <w:pPr>
        <w:rPr>
          <w:lang w:val="es-ES"/>
        </w:rPr>
      </w:pPr>
      <w:r w:rsidRPr="00A8564C">
        <w:rPr>
          <w:lang w:val="es-ES"/>
        </w:rPr>
        <w:t>En 2014</w:t>
      </w:r>
      <w:r w:rsidR="004C7BB6" w:rsidRPr="00A8564C">
        <w:rPr>
          <w:lang w:val="es-ES"/>
        </w:rPr>
        <w:t>,</w:t>
      </w:r>
      <w:r w:rsidRPr="00A8564C">
        <w:rPr>
          <w:lang w:val="es-ES"/>
        </w:rPr>
        <w:t xml:space="preserve"> se </w:t>
      </w:r>
      <w:r w:rsidR="0009396D" w:rsidRPr="00A8564C">
        <w:rPr>
          <w:lang w:val="es-ES"/>
        </w:rPr>
        <w:t>nombró a un</w:t>
      </w:r>
      <w:r w:rsidR="004C7BB6" w:rsidRPr="00A8564C">
        <w:rPr>
          <w:lang w:val="es-ES"/>
        </w:rPr>
        <w:t xml:space="preserve"> </w:t>
      </w:r>
      <w:r w:rsidR="00F620B9" w:rsidRPr="00A8564C">
        <w:rPr>
          <w:lang w:val="es-ES"/>
        </w:rPr>
        <w:t xml:space="preserve">director </w:t>
      </w:r>
      <w:r w:rsidR="004C7BB6" w:rsidRPr="00A8564C">
        <w:rPr>
          <w:lang w:val="es-ES"/>
        </w:rPr>
        <w:t>de calidad interna, al que se asignó la puesta</w:t>
      </w:r>
      <w:r w:rsidRPr="00A8564C">
        <w:rPr>
          <w:lang w:val="es-ES"/>
        </w:rPr>
        <w:t xml:space="preserve"> en marcha y mejora continua del </w:t>
      </w:r>
      <w:r w:rsidR="004C7BB6" w:rsidRPr="00A8564C">
        <w:rPr>
          <w:lang w:val="es-ES"/>
        </w:rPr>
        <w:t>s</w:t>
      </w:r>
      <w:r w:rsidRPr="00A8564C">
        <w:rPr>
          <w:lang w:val="es-ES"/>
        </w:rPr>
        <w:t xml:space="preserve">istema de </w:t>
      </w:r>
      <w:r w:rsidR="00BA7B96" w:rsidRPr="00A8564C">
        <w:rPr>
          <w:lang w:val="es-ES"/>
        </w:rPr>
        <w:t>gestión</w:t>
      </w:r>
      <w:r w:rsidRPr="00A8564C">
        <w:rPr>
          <w:lang w:val="es-ES"/>
        </w:rPr>
        <w:t xml:space="preserve"> de la calidad de la ILPO, </w:t>
      </w:r>
      <w:r w:rsidR="004C7BB6" w:rsidRPr="00A8564C">
        <w:rPr>
          <w:lang w:val="es-ES"/>
        </w:rPr>
        <w:t>con arreglo a la norma</w:t>
      </w:r>
      <w:r w:rsidR="00266403">
        <w:rPr>
          <w:lang w:val="es-ES"/>
        </w:rPr>
        <w:t xml:space="preserve"> ISO </w:t>
      </w:r>
      <w:r w:rsidR="002C70DB" w:rsidRPr="00A8564C">
        <w:rPr>
          <w:lang w:val="es-ES"/>
        </w:rPr>
        <w:t>9001:2015.</w:t>
      </w:r>
    </w:p>
    <w:p w14:paraId="7902DF29" w14:textId="77777777" w:rsidR="002C70DB" w:rsidRPr="00A8564C" w:rsidRDefault="002C70DB" w:rsidP="003259B1">
      <w:pPr>
        <w:rPr>
          <w:rtl/>
          <w:lang w:val="es-ES"/>
        </w:rPr>
      </w:pPr>
    </w:p>
    <w:p w14:paraId="7E381DFA" w14:textId="6972AB7B" w:rsidR="002C70DB" w:rsidRPr="00A8564C" w:rsidRDefault="004C7BB6" w:rsidP="003259B1">
      <w:pPr>
        <w:rPr>
          <w:lang w:val="es-ES"/>
        </w:rPr>
      </w:pPr>
      <w:r w:rsidRPr="00A8564C">
        <w:rPr>
          <w:lang w:val="es-ES"/>
        </w:rPr>
        <w:t xml:space="preserve">En 2013, se creó la </w:t>
      </w:r>
      <w:r w:rsidR="00BA7B96" w:rsidRPr="00A8564C">
        <w:rPr>
          <w:lang w:val="es-ES"/>
        </w:rPr>
        <w:t>función</w:t>
      </w:r>
      <w:r w:rsidRPr="00A8564C">
        <w:rPr>
          <w:lang w:val="es-ES"/>
        </w:rPr>
        <w:t xml:space="preserve"> de </w:t>
      </w:r>
      <w:r w:rsidR="00F620B9" w:rsidRPr="00A8564C">
        <w:rPr>
          <w:lang w:val="es-ES"/>
        </w:rPr>
        <w:t xml:space="preserve">administrador </w:t>
      </w:r>
      <w:r w:rsidRPr="00A8564C">
        <w:rPr>
          <w:lang w:val="es-ES"/>
        </w:rPr>
        <w:t xml:space="preserve">de bases de datos e </w:t>
      </w:r>
      <w:r w:rsidR="00BA7B96" w:rsidRPr="00A8564C">
        <w:rPr>
          <w:lang w:val="es-ES"/>
        </w:rPr>
        <w:t>información</w:t>
      </w:r>
      <w:r w:rsidRPr="00A8564C">
        <w:rPr>
          <w:lang w:val="es-ES"/>
        </w:rPr>
        <w:t xml:space="preserve"> interna, </w:t>
      </w:r>
      <w:r w:rsidR="00B25942">
        <w:rPr>
          <w:lang w:val="es-ES"/>
        </w:rPr>
        <w:t>para encargarse del mantenimiento de</w:t>
      </w:r>
      <w:r w:rsidRPr="00A8564C">
        <w:rPr>
          <w:lang w:val="es-ES"/>
        </w:rPr>
        <w:t xml:space="preserve"> las bases de datos de </w:t>
      </w:r>
      <w:r w:rsidR="00BA7B96" w:rsidRPr="00A8564C">
        <w:rPr>
          <w:lang w:val="es-ES"/>
        </w:rPr>
        <w:t>búsqueda</w:t>
      </w:r>
      <w:r w:rsidRPr="00A8564C">
        <w:rPr>
          <w:lang w:val="es-ES"/>
        </w:rPr>
        <w:t xml:space="preserve"> disponibles en la </w:t>
      </w:r>
      <w:r w:rsidR="00B06CD7" w:rsidRPr="00A8564C">
        <w:rPr>
          <w:lang w:val="es-ES"/>
        </w:rPr>
        <w:t>ILPO</w:t>
      </w:r>
      <w:r w:rsidR="009E7E5E" w:rsidRPr="00A8564C">
        <w:rPr>
          <w:lang w:val="es-ES"/>
        </w:rPr>
        <w:t xml:space="preserve">.  </w:t>
      </w:r>
      <w:r w:rsidRPr="00A8564C">
        <w:rPr>
          <w:lang w:val="es-ES"/>
        </w:rPr>
        <w:t xml:space="preserve">Sus </w:t>
      </w:r>
      <w:r w:rsidR="00BA7B96" w:rsidRPr="00A8564C">
        <w:rPr>
          <w:lang w:val="es-ES"/>
        </w:rPr>
        <w:t>responsabilidades</w:t>
      </w:r>
      <w:r w:rsidRPr="00A8564C">
        <w:rPr>
          <w:lang w:val="es-ES"/>
        </w:rPr>
        <w:t xml:space="preserve"> incluyen la </w:t>
      </w:r>
      <w:r w:rsidR="00BA7B96" w:rsidRPr="00A8564C">
        <w:rPr>
          <w:lang w:val="es-ES"/>
        </w:rPr>
        <w:t>capacitación</w:t>
      </w:r>
      <w:r w:rsidRPr="00A8564C">
        <w:rPr>
          <w:lang w:val="es-ES"/>
        </w:rPr>
        <w:t xml:space="preserve"> continua de los </w:t>
      </w:r>
      <w:r w:rsidR="00B06CD7" w:rsidRPr="00A8564C">
        <w:rPr>
          <w:lang w:val="es-ES"/>
        </w:rPr>
        <w:t>examinadores</w:t>
      </w:r>
      <w:r w:rsidRPr="00A8564C">
        <w:rPr>
          <w:lang w:val="es-ES"/>
        </w:rPr>
        <w:t xml:space="preserve"> de patentes</w:t>
      </w:r>
      <w:r w:rsidR="002C70DB" w:rsidRPr="00A8564C">
        <w:rPr>
          <w:lang w:val="es-ES"/>
        </w:rPr>
        <w:t>;</w:t>
      </w:r>
      <w:r w:rsidR="00B25942">
        <w:rPr>
          <w:lang w:val="es-ES"/>
        </w:rPr>
        <w:t xml:space="preserve"> </w:t>
      </w:r>
      <w:r w:rsidRPr="00A8564C">
        <w:rPr>
          <w:lang w:val="es-ES"/>
        </w:rPr>
        <w:t xml:space="preserve"> la </w:t>
      </w:r>
      <w:r w:rsidR="00BA7B96" w:rsidRPr="00A8564C">
        <w:rPr>
          <w:lang w:val="es-ES"/>
        </w:rPr>
        <w:t>realización</w:t>
      </w:r>
      <w:r w:rsidRPr="00A8564C">
        <w:rPr>
          <w:lang w:val="es-ES"/>
        </w:rPr>
        <w:t xml:space="preserve"> de las actualizaciones</w:t>
      </w:r>
      <w:r w:rsidR="002C70DB" w:rsidRPr="00A8564C">
        <w:rPr>
          <w:lang w:val="es-ES"/>
        </w:rPr>
        <w:t xml:space="preserve">, </w:t>
      </w:r>
      <w:r w:rsidR="0009396D" w:rsidRPr="00A8564C">
        <w:rPr>
          <w:lang w:val="es-ES"/>
        </w:rPr>
        <w:t xml:space="preserve">las novedades técnicas y los </w:t>
      </w:r>
      <w:r w:rsidRPr="00A8564C">
        <w:rPr>
          <w:lang w:val="es-ES"/>
        </w:rPr>
        <w:t xml:space="preserve">cursos de </w:t>
      </w:r>
      <w:r w:rsidR="00BA7B96" w:rsidRPr="00A8564C">
        <w:rPr>
          <w:lang w:val="es-ES"/>
        </w:rPr>
        <w:t>capacitación</w:t>
      </w:r>
      <w:r w:rsidRPr="00A8564C">
        <w:rPr>
          <w:lang w:val="es-ES"/>
        </w:rPr>
        <w:t xml:space="preserve">, que imparten los proveedores de servicios </w:t>
      </w:r>
      <w:r w:rsidR="0009396D" w:rsidRPr="00A8564C">
        <w:rPr>
          <w:lang w:val="es-ES"/>
        </w:rPr>
        <w:t>de</w:t>
      </w:r>
      <w:r w:rsidRPr="00A8564C">
        <w:rPr>
          <w:lang w:val="es-ES"/>
        </w:rPr>
        <w:t xml:space="preserve"> las bases de datos</w:t>
      </w:r>
      <w:r w:rsidR="002C70DB" w:rsidRPr="00A8564C">
        <w:rPr>
          <w:lang w:val="es-ES"/>
        </w:rPr>
        <w:t xml:space="preserve">; </w:t>
      </w:r>
      <w:r w:rsidR="00B25942">
        <w:rPr>
          <w:lang w:val="es-ES"/>
        </w:rPr>
        <w:t xml:space="preserve"> </w:t>
      </w:r>
      <w:r w:rsidR="0009396D" w:rsidRPr="00A8564C">
        <w:rPr>
          <w:lang w:val="es-ES"/>
        </w:rPr>
        <w:t xml:space="preserve">el </w:t>
      </w:r>
      <w:r w:rsidRPr="00A8564C">
        <w:rPr>
          <w:lang w:val="es-ES"/>
        </w:rPr>
        <w:t xml:space="preserve">mantenimiento y </w:t>
      </w:r>
      <w:r w:rsidR="0009396D" w:rsidRPr="00A8564C">
        <w:rPr>
          <w:lang w:val="es-ES"/>
        </w:rPr>
        <w:t xml:space="preserve">la </w:t>
      </w:r>
      <w:r w:rsidR="00BA7B96" w:rsidRPr="00A8564C">
        <w:rPr>
          <w:lang w:val="es-ES"/>
        </w:rPr>
        <w:t>solución</w:t>
      </w:r>
      <w:r w:rsidRPr="00A8564C">
        <w:rPr>
          <w:lang w:val="es-ES"/>
        </w:rPr>
        <w:t xml:space="preserve"> de problemas </w:t>
      </w:r>
      <w:r w:rsidR="00BA7B96" w:rsidRPr="00A8564C">
        <w:rPr>
          <w:lang w:val="es-ES"/>
        </w:rPr>
        <w:t>técnicos</w:t>
      </w:r>
      <w:r w:rsidR="002C70DB" w:rsidRPr="00A8564C">
        <w:rPr>
          <w:lang w:val="es-ES"/>
        </w:rPr>
        <w:t>.</w:t>
      </w:r>
    </w:p>
    <w:p w14:paraId="49E30A36" w14:textId="77777777" w:rsidR="002C70DB" w:rsidRPr="00A8564C" w:rsidRDefault="002C70DB" w:rsidP="003259B1">
      <w:pPr>
        <w:rPr>
          <w:lang w:val="es-ES"/>
        </w:rPr>
      </w:pPr>
    </w:p>
    <w:p w14:paraId="260BA657" w14:textId="565A63A6" w:rsidR="002C70DB" w:rsidRPr="00A8564C" w:rsidRDefault="002C70DB" w:rsidP="003259B1">
      <w:pPr>
        <w:pStyle w:val="Heading3"/>
        <w:rPr>
          <w:rFonts w:eastAsia="Times New Roman"/>
          <w:sz w:val="28"/>
          <w:szCs w:val="28"/>
          <w:lang w:val="es-ES"/>
        </w:rPr>
      </w:pPr>
      <w:r w:rsidRPr="00A8564C">
        <w:rPr>
          <w:lang w:val="es-ES"/>
        </w:rPr>
        <w:t>2.1.3</w:t>
      </w:r>
      <w:r w:rsidR="009E7E5E" w:rsidRPr="00A8564C">
        <w:rPr>
          <w:lang w:val="es-ES"/>
        </w:rPr>
        <w:t xml:space="preserve">.  </w:t>
      </w:r>
      <w:r w:rsidR="004C7BB6" w:rsidRPr="00A8564C">
        <w:rPr>
          <w:lang w:val="es-ES"/>
        </w:rPr>
        <w:t>Recursos m</w:t>
      </w:r>
      <w:r w:rsidRPr="00A8564C">
        <w:rPr>
          <w:lang w:val="es-ES"/>
        </w:rPr>
        <w:t>aterial</w:t>
      </w:r>
      <w:r w:rsidR="004C7BB6" w:rsidRPr="00A8564C">
        <w:rPr>
          <w:lang w:val="es-ES"/>
        </w:rPr>
        <w:t>es</w:t>
      </w:r>
      <w:r w:rsidRPr="00A8564C">
        <w:rPr>
          <w:lang w:val="es-ES"/>
        </w:rPr>
        <w:t xml:space="preserve"> </w:t>
      </w:r>
    </w:p>
    <w:p w14:paraId="27F92096" w14:textId="77777777" w:rsidR="002C70DB" w:rsidRPr="00A8564C" w:rsidRDefault="002C70DB" w:rsidP="003259B1">
      <w:pPr>
        <w:keepNext/>
        <w:rPr>
          <w:lang w:val="es-ES"/>
        </w:rPr>
      </w:pPr>
    </w:p>
    <w:p w14:paraId="1B63F130" w14:textId="45D32A98" w:rsidR="002C70DB" w:rsidRPr="00A8564C" w:rsidRDefault="002C70DB" w:rsidP="003259B1">
      <w:pPr>
        <w:pStyle w:val="Heading4"/>
        <w:rPr>
          <w:lang w:val="es-ES"/>
        </w:rPr>
      </w:pPr>
      <w:r w:rsidRPr="00A8564C">
        <w:rPr>
          <w:lang w:val="es-ES"/>
        </w:rPr>
        <w:t>2.1.3.1</w:t>
      </w:r>
      <w:r w:rsidR="009E7E5E" w:rsidRPr="00A8564C">
        <w:rPr>
          <w:lang w:val="es-ES"/>
        </w:rPr>
        <w:t xml:space="preserve">.  </w:t>
      </w:r>
      <w:r w:rsidR="0066576B" w:rsidRPr="00A8564C">
        <w:rPr>
          <w:lang w:val="es-ES"/>
        </w:rPr>
        <w:t>S</w:t>
      </w:r>
      <w:r w:rsidR="00672F4E" w:rsidRPr="00A8564C">
        <w:rPr>
          <w:lang w:val="es-ES"/>
        </w:rPr>
        <w:t xml:space="preserve">istema </w:t>
      </w:r>
      <w:r w:rsidR="004C7BB6" w:rsidRPr="00A8564C">
        <w:rPr>
          <w:lang w:val="es-ES"/>
        </w:rPr>
        <w:t>automatizado para</w:t>
      </w:r>
      <w:r w:rsidR="008854B9" w:rsidRPr="00A8564C">
        <w:rPr>
          <w:lang w:val="es-ES"/>
        </w:rPr>
        <w:t xml:space="preserve"> </w:t>
      </w:r>
      <w:r w:rsidR="004C7BB6" w:rsidRPr="00A8564C">
        <w:rPr>
          <w:lang w:val="es-ES"/>
        </w:rPr>
        <w:t xml:space="preserve">la </w:t>
      </w:r>
      <w:r w:rsidR="00BA7B96" w:rsidRPr="00A8564C">
        <w:rPr>
          <w:lang w:val="es-ES"/>
        </w:rPr>
        <w:t>tramitación</w:t>
      </w:r>
      <w:r w:rsidR="004C7BB6" w:rsidRPr="00A8564C">
        <w:rPr>
          <w:lang w:val="es-ES"/>
        </w:rPr>
        <w:t xml:space="preserve"> de las </w:t>
      </w:r>
      <w:r w:rsidR="00B06CD7" w:rsidRPr="00A8564C">
        <w:rPr>
          <w:lang w:val="es-ES"/>
        </w:rPr>
        <w:t xml:space="preserve">solicitudes </w:t>
      </w:r>
      <w:r w:rsidR="004C7BB6" w:rsidRPr="00A8564C">
        <w:rPr>
          <w:lang w:val="es-ES"/>
        </w:rPr>
        <w:t xml:space="preserve">nacionales </w:t>
      </w:r>
      <w:r w:rsidR="00B06CD7" w:rsidRPr="00A8564C">
        <w:rPr>
          <w:lang w:val="es-ES"/>
        </w:rPr>
        <w:t>de patente</w:t>
      </w:r>
    </w:p>
    <w:p w14:paraId="642877FB" w14:textId="77777777" w:rsidR="003259B1" w:rsidRPr="00A8564C" w:rsidRDefault="003259B1" w:rsidP="003259B1">
      <w:pPr>
        <w:keepNext/>
        <w:rPr>
          <w:lang w:val="es-ES"/>
        </w:rPr>
      </w:pPr>
    </w:p>
    <w:p w14:paraId="7F8FC533" w14:textId="1F7EC327" w:rsidR="002C70DB" w:rsidRPr="00A8564C" w:rsidRDefault="00B06CD7" w:rsidP="003259B1">
      <w:pPr>
        <w:rPr>
          <w:lang w:val="es-ES"/>
        </w:rPr>
      </w:pPr>
      <w:r w:rsidRPr="00A8564C">
        <w:rPr>
          <w:lang w:val="es-ES"/>
        </w:rPr>
        <w:t xml:space="preserve">La ILPO </w:t>
      </w:r>
      <w:r w:rsidR="0066576B" w:rsidRPr="00A8564C">
        <w:rPr>
          <w:lang w:val="es-ES"/>
        </w:rPr>
        <w:t>ha creado un</w:t>
      </w:r>
      <w:r w:rsidR="008854B9" w:rsidRPr="00A8564C">
        <w:rPr>
          <w:lang w:val="es-ES"/>
        </w:rPr>
        <w:t xml:space="preserve"> entor</w:t>
      </w:r>
      <w:r w:rsidR="004C7BB6" w:rsidRPr="00A8564C">
        <w:rPr>
          <w:lang w:val="es-ES"/>
        </w:rPr>
        <w:t>no de trabajo tot</w:t>
      </w:r>
      <w:r w:rsidR="008854B9" w:rsidRPr="00A8564C">
        <w:rPr>
          <w:lang w:val="es-ES"/>
        </w:rPr>
        <w:t>al</w:t>
      </w:r>
      <w:r w:rsidR="004C7BB6" w:rsidRPr="00A8564C">
        <w:rPr>
          <w:lang w:val="es-ES"/>
        </w:rPr>
        <w:t xml:space="preserve">mente exento </w:t>
      </w:r>
      <w:r w:rsidR="008854B9" w:rsidRPr="00A8564C">
        <w:rPr>
          <w:lang w:val="es-ES"/>
        </w:rPr>
        <w:t>de</w:t>
      </w:r>
      <w:r w:rsidR="004C7BB6" w:rsidRPr="00A8564C">
        <w:rPr>
          <w:lang w:val="es-ES"/>
        </w:rPr>
        <w:t xml:space="preserve"> papel para la </w:t>
      </w:r>
      <w:r w:rsidR="00BA7B96" w:rsidRPr="00A8564C">
        <w:rPr>
          <w:lang w:val="es-ES"/>
        </w:rPr>
        <w:t>tramitación</w:t>
      </w:r>
      <w:r w:rsidR="004C7BB6" w:rsidRPr="00A8564C">
        <w:rPr>
          <w:lang w:val="es-ES"/>
        </w:rPr>
        <w:t xml:space="preserve"> de </w:t>
      </w:r>
      <w:r w:rsidR="00184BCD" w:rsidRPr="00A8564C">
        <w:rPr>
          <w:lang w:val="es-ES"/>
        </w:rPr>
        <w:t>solicitudes nacionales</w:t>
      </w:r>
      <w:r w:rsidR="004C7BB6" w:rsidRPr="00A8564C">
        <w:rPr>
          <w:lang w:val="es-ES"/>
        </w:rPr>
        <w:t xml:space="preserve"> y </w:t>
      </w:r>
      <w:r w:rsidR="008854B9" w:rsidRPr="00A8564C">
        <w:rPr>
          <w:lang w:val="es-ES"/>
        </w:rPr>
        <w:t xml:space="preserve">cuenta con </w:t>
      </w:r>
      <w:r w:rsidR="004C7BB6" w:rsidRPr="00A8564C">
        <w:rPr>
          <w:lang w:val="es-ES"/>
        </w:rPr>
        <w:t xml:space="preserve">un sitio web </w:t>
      </w:r>
      <w:r w:rsidR="00BA7B96" w:rsidRPr="00A8564C">
        <w:rPr>
          <w:lang w:val="es-ES"/>
        </w:rPr>
        <w:t>público</w:t>
      </w:r>
      <w:r w:rsidR="004C7BB6" w:rsidRPr="00A8564C">
        <w:rPr>
          <w:lang w:val="es-ES"/>
        </w:rPr>
        <w:t xml:space="preserve"> para la </w:t>
      </w:r>
      <w:r w:rsidR="00BA7B96" w:rsidRPr="00A8564C">
        <w:rPr>
          <w:lang w:val="es-ES"/>
        </w:rPr>
        <w:t>presentación</w:t>
      </w:r>
      <w:r w:rsidR="004C7BB6" w:rsidRPr="00A8564C">
        <w:rPr>
          <w:lang w:val="es-ES"/>
        </w:rPr>
        <w:t xml:space="preserve"> </w:t>
      </w:r>
      <w:r w:rsidR="00BA7B96" w:rsidRPr="00A8564C">
        <w:rPr>
          <w:lang w:val="es-ES"/>
        </w:rPr>
        <w:t>electrónica</w:t>
      </w:r>
      <w:r w:rsidR="004C7BB6" w:rsidRPr="00A8564C">
        <w:rPr>
          <w:lang w:val="es-ES"/>
        </w:rPr>
        <w:t xml:space="preserve"> de </w:t>
      </w:r>
      <w:r w:rsidR="00BA7B96" w:rsidRPr="00A8564C">
        <w:rPr>
          <w:lang w:val="es-ES"/>
        </w:rPr>
        <w:t>las solicitudes</w:t>
      </w:r>
      <w:r w:rsidRPr="00A8564C">
        <w:rPr>
          <w:lang w:val="es-ES"/>
        </w:rPr>
        <w:t xml:space="preserve"> </w:t>
      </w:r>
      <w:r w:rsidR="00BA7B96" w:rsidRPr="00A8564C">
        <w:rPr>
          <w:lang w:val="es-ES"/>
        </w:rPr>
        <w:t>nacionales</w:t>
      </w:r>
      <w:r w:rsidR="004C7BB6" w:rsidRPr="00A8564C">
        <w:rPr>
          <w:lang w:val="es-ES"/>
        </w:rPr>
        <w:t xml:space="preserve"> </w:t>
      </w:r>
      <w:r w:rsidRPr="00A8564C">
        <w:rPr>
          <w:lang w:val="es-ES"/>
        </w:rPr>
        <w:t>de patente</w:t>
      </w:r>
      <w:r w:rsidR="008854B9" w:rsidRPr="00A8564C">
        <w:rPr>
          <w:lang w:val="es-ES"/>
        </w:rPr>
        <w:t xml:space="preserve">, </w:t>
      </w:r>
      <w:r w:rsidR="004C7BB6" w:rsidRPr="00A8564C">
        <w:rPr>
          <w:lang w:val="es-ES"/>
        </w:rPr>
        <w:t xml:space="preserve">un acceso privado seguro para la correspondencia y </w:t>
      </w:r>
      <w:r w:rsidR="008854B9" w:rsidRPr="00A8564C">
        <w:rPr>
          <w:lang w:val="es-ES"/>
        </w:rPr>
        <w:t xml:space="preserve">los </w:t>
      </w:r>
      <w:r w:rsidR="004C7BB6" w:rsidRPr="00A8564C">
        <w:rPr>
          <w:lang w:val="es-ES"/>
        </w:rPr>
        <w:t xml:space="preserve">pagos </w:t>
      </w:r>
      <w:r w:rsidR="00BA7B96" w:rsidRPr="00A8564C">
        <w:rPr>
          <w:lang w:val="es-ES"/>
        </w:rPr>
        <w:t>electrónicos</w:t>
      </w:r>
      <w:r w:rsidR="004C7BB6" w:rsidRPr="00A8564C">
        <w:rPr>
          <w:lang w:val="es-ES"/>
        </w:rPr>
        <w:t xml:space="preserve"> en </w:t>
      </w:r>
      <w:r w:rsidR="00BA7B96" w:rsidRPr="00A8564C">
        <w:rPr>
          <w:lang w:val="es-ES"/>
        </w:rPr>
        <w:t>línea</w:t>
      </w:r>
      <w:r w:rsidR="008854B9" w:rsidRPr="00A8564C">
        <w:rPr>
          <w:lang w:val="es-ES"/>
        </w:rPr>
        <w:t>,</w:t>
      </w:r>
      <w:r w:rsidR="002C70DB" w:rsidRPr="00A8564C">
        <w:rPr>
          <w:lang w:val="es-ES"/>
        </w:rPr>
        <w:t xml:space="preserve"> </w:t>
      </w:r>
      <w:r w:rsidR="004C7BB6" w:rsidRPr="00A8564C">
        <w:rPr>
          <w:lang w:val="es-ES"/>
        </w:rPr>
        <w:t xml:space="preserve">la </w:t>
      </w:r>
      <w:r w:rsidR="00BA7B96" w:rsidRPr="00A8564C">
        <w:rPr>
          <w:lang w:val="es-ES"/>
        </w:rPr>
        <w:t>búsqueda</w:t>
      </w:r>
      <w:r w:rsidR="004C7BB6" w:rsidRPr="00A8564C">
        <w:rPr>
          <w:lang w:val="es-ES"/>
        </w:rPr>
        <w:t xml:space="preserve"> e </w:t>
      </w:r>
      <w:r w:rsidR="00BA7B96" w:rsidRPr="00A8564C">
        <w:rPr>
          <w:lang w:val="es-ES"/>
        </w:rPr>
        <w:t>inspección</w:t>
      </w:r>
      <w:r w:rsidR="004C7BB6" w:rsidRPr="00A8564C">
        <w:rPr>
          <w:lang w:val="es-ES"/>
        </w:rPr>
        <w:t xml:space="preserve"> de </w:t>
      </w:r>
      <w:r w:rsidR="008854B9" w:rsidRPr="00A8564C">
        <w:rPr>
          <w:lang w:val="es-ES"/>
        </w:rPr>
        <w:t xml:space="preserve">las solicitudes publicadas mediante el </w:t>
      </w:r>
      <w:r w:rsidR="00BA7B96" w:rsidRPr="00A8564C">
        <w:rPr>
          <w:lang w:val="es-ES"/>
        </w:rPr>
        <w:t xml:space="preserve">sistema </w:t>
      </w:r>
      <w:r w:rsidR="00933CB2" w:rsidRPr="00A8564C">
        <w:rPr>
          <w:lang w:val="es-ES"/>
        </w:rPr>
        <w:t>P</w:t>
      </w:r>
      <w:r w:rsidR="00BA7B96" w:rsidRPr="00A8564C">
        <w:rPr>
          <w:lang w:val="es-ES"/>
        </w:rPr>
        <w:t>atent</w:t>
      </w:r>
      <w:r w:rsidR="002C70DB" w:rsidRPr="00A8564C">
        <w:rPr>
          <w:lang w:val="es-ES"/>
        </w:rPr>
        <w:t xml:space="preserve"> </w:t>
      </w:r>
      <w:r w:rsidR="00933CB2" w:rsidRPr="00A8564C">
        <w:rPr>
          <w:lang w:val="es-ES"/>
        </w:rPr>
        <w:t>F</w:t>
      </w:r>
      <w:r w:rsidR="002C70DB" w:rsidRPr="00A8564C">
        <w:rPr>
          <w:lang w:val="es-ES"/>
        </w:rPr>
        <w:t xml:space="preserve">ile </w:t>
      </w:r>
      <w:r w:rsidR="00933CB2" w:rsidRPr="00A8564C">
        <w:rPr>
          <w:lang w:val="es-ES"/>
        </w:rPr>
        <w:t>W</w:t>
      </w:r>
      <w:r w:rsidR="002C70DB" w:rsidRPr="00A8564C">
        <w:rPr>
          <w:lang w:val="es-ES"/>
        </w:rPr>
        <w:t>rapper</w:t>
      </w:r>
      <w:r w:rsidR="008854B9" w:rsidRPr="00A8564C">
        <w:rPr>
          <w:lang w:val="es-ES"/>
        </w:rPr>
        <w:t xml:space="preserve">, </w:t>
      </w:r>
      <w:r w:rsidR="00BA7B96" w:rsidRPr="00A8564C">
        <w:rPr>
          <w:lang w:val="es-ES"/>
        </w:rPr>
        <w:t>además</w:t>
      </w:r>
      <w:r w:rsidR="008854B9" w:rsidRPr="00A8564C">
        <w:rPr>
          <w:lang w:val="es-ES"/>
        </w:rPr>
        <w:t xml:space="preserve"> de </w:t>
      </w:r>
      <w:r w:rsidR="00BA7B96" w:rsidRPr="00A8564C">
        <w:rPr>
          <w:lang w:val="es-ES"/>
        </w:rPr>
        <w:t>información</w:t>
      </w:r>
      <w:r w:rsidR="004C7BB6" w:rsidRPr="00A8564C">
        <w:rPr>
          <w:lang w:val="es-ES"/>
        </w:rPr>
        <w:t xml:space="preserve"> general</w:t>
      </w:r>
      <w:r w:rsidR="002C70DB" w:rsidRPr="00A8564C">
        <w:rPr>
          <w:lang w:val="es-ES"/>
        </w:rPr>
        <w:t xml:space="preserve">. </w:t>
      </w:r>
    </w:p>
    <w:p w14:paraId="498D40BE" w14:textId="77777777" w:rsidR="002C70DB" w:rsidRPr="00A8564C" w:rsidRDefault="002C70DB" w:rsidP="003259B1">
      <w:pPr>
        <w:rPr>
          <w:lang w:val="es-ES"/>
        </w:rPr>
      </w:pPr>
    </w:p>
    <w:p w14:paraId="4AF9A5BE" w14:textId="33738226" w:rsidR="002C70DB" w:rsidRPr="00A8564C" w:rsidRDefault="00ED1252" w:rsidP="003259B1">
      <w:pPr>
        <w:rPr>
          <w:lang w:val="es-ES"/>
        </w:rPr>
      </w:pPr>
      <w:r w:rsidRPr="00A8564C">
        <w:rPr>
          <w:lang w:val="es-ES"/>
        </w:rPr>
        <w:t xml:space="preserve">El </w:t>
      </w:r>
      <w:r w:rsidR="00184BCD" w:rsidRPr="00A8564C">
        <w:rPr>
          <w:lang w:val="es-ES"/>
        </w:rPr>
        <w:t xml:space="preserve">sistema </w:t>
      </w:r>
      <w:r w:rsidRPr="00A8564C">
        <w:rPr>
          <w:lang w:val="es-ES"/>
        </w:rPr>
        <w:t xml:space="preserve">interno </w:t>
      </w:r>
      <w:r w:rsidR="00184BCD" w:rsidRPr="00A8564C">
        <w:rPr>
          <w:lang w:val="es-ES"/>
        </w:rPr>
        <w:t>de información</w:t>
      </w:r>
      <w:r w:rsidRPr="00A8564C">
        <w:rPr>
          <w:lang w:val="es-ES"/>
        </w:rPr>
        <w:t xml:space="preserve"> sobre patentes mejorado </w:t>
      </w:r>
      <w:r w:rsidR="002C70DB" w:rsidRPr="00A8564C">
        <w:rPr>
          <w:lang w:val="es-ES"/>
        </w:rPr>
        <w:t xml:space="preserve">(PARSIL) </w:t>
      </w:r>
      <w:r w:rsidR="00A61AD2" w:rsidRPr="00A8564C">
        <w:rPr>
          <w:lang w:val="es-ES"/>
        </w:rPr>
        <w:t>comprende</w:t>
      </w:r>
      <w:r w:rsidR="004D6564" w:rsidRPr="00A8564C">
        <w:rPr>
          <w:lang w:val="es-ES"/>
        </w:rPr>
        <w:t xml:space="preserve"> </w:t>
      </w:r>
      <w:r w:rsidR="00D46156" w:rsidRPr="00A8564C">
        <w:rPr>
          <w:lang w:val="es-ES"/>
        </w:rPr>
        <w:t xml:space="preserve">una </w:t>
      </w:r>
      <w:r w:rsidR="004D6564" w:rsidRPr="00A8564C">
        <w:rPr>
          <w:lang w:val="es-ES"/>
        </w:rPr>
        <w:t xml:space="preserve">amplia </w:t>
      </w:r>
      <w:r w:rsidR="00D46156" w:rsidRPr="00A8564C">
        <w:rPr>
          <w:lang w:val="es-ES"/>
        </w:rPr>
        <w:t>serie de controles</w:t>
      </w:r>
      <w:r w:rsidR="002C70DB" w:rsidRPr="00A8564C">
        <w:rPr>
          <w:lang w:val="es-ES"/>
        </w:rPr>
        <w:t xml:space="preserve">, </w:t>
      </w:r>
      <w:r w:rsidR="00BA7B96" w:rsidRPr="00A8564C">
        <w:rPr>
          <w:lang w:val="es-ES"/>
        </w:rPr>
        <w:t>verificaciones</w:t>
      </w:r>
      <w:r w:rsidR="00D46156" w:rsidRPr="00A8564C">
        <w:rPr>
          <w:lang w:val="es-ES"/>
        </w:rPr>
        <w:t xml:space="preserve"> y mecanismos que facilitan la </w:t>
      </w:r>
      <w:r w:rsidR="00BA7B96" w:rsidRPr="00A8564C">
        <w:rPr>
          <w:lang w:val="es-ES"/>
        </w:rPr>
        <w:t>tramitación</w:t>
      </w:r>
      <w:r w:rsidR="00D46156" w:rsidRPr="00A8564C">
        <w:rPr>
          <w:lang w:val="es-ES"/>
        </w:rPr>
        <w:t xml:space="preserve"> y el mantenimiento de las solicitudes </w:t>
      </w:r>
      <w:r w:rsidR="00B06CD7" w:rsidRPr="00A8564C">
        <w:rPr>
          <w:lang w:val="es-ES"/>
        </w:rPr>
        <w:t>de patente</w:t>
      </w:r>
      <w:r w:rsidR="002C70DB" w:rsidRPr="00A8564C">
        <w:rPr>
          <w:lang w:val="es-ES"/>
        </w:rPr>
        <w:t xml:space="preserve"> </w:t>
      </w:r>
      <w:r w:rsidR="00D46156" w:rsidRPr="00A8564C">
        <w:rPr>
          <w:lang w:val="es-ES"/>
        </w:rPr>
        <w:t>y las</w:t>
      </w:r>
      <w:r w:rsidR="002C70DB" w:rsidRPr="00A8564C">
        <w:rPr>
          <w:lang w:val="es-ES"/>
        </w:rPr>
        <w:t xml:space="preserve"> </w:t>
      </w:r>
      <w:r w:rsidR="00184BCD" w:rsidRPr="00A8564C">
        <w:rPr>
          <w:lang w:val="es-ES"/>
        </w:rPr>
        <w:t>patentes</w:t>
      </w:r>
      <w:r w:rsidR="002C70DB" w:rsidRPr="00A8564C">
        <w:rPr>
          <w:lang w:val="es-ES"/>
        </w:rPr>
        <w:t xml:space="preserve">. </w:t>
      </w:r>
    </w:p>
    <w:p w14:paraId="6658595D" w14:textId="77777777" w:rsidR="002C70DB" w:rsidRPr="00A8564C" w:rsidRDefault="002C70DB" w:rsidP="003259B1">
      <w:pPr>
        <w:rPr>
          <w:lang w:val="es-ES"/>
        </w:rPr>
      </w:pPr>
    </w:p>
    <w:p w14:paraId="666941D7" w14:textId="186E0344" w:rsidR="002C70DB" w:rsidRPr="00A8564C" w:rsidRDefault="00B06CD7" w:rsidP="003259B1">
      <w:pPr>
        <w:rPr>
          <w:lang w:val="es-ES"/>
        </w:rPr>
      </w:pPr>
      <w:r w:rsidRPr="00A8564C">
        <w:rPr>
          <w:lang w:val="es-ES"/>
        </w:rPr>
        <w:t>La ILPO</w:t>
      </w:r>
      <w:r w:rsidR="00D46156" w:rsidRPr="00A8564C">
        <w:rPr>
          <w:lang w:val="es-ES"/>
        </w:rPr>
        <w:t xml:space="preserve"> ha puesto en marcha el sistema </w:t>
      </w:r>
      <w:r w:rsidR="00A61AD2" w:rsidRPr="00A8564C">
        <w:rPr>
          <w:lang w:val="es-ES"/>
        </w:rPr>
        <w:t>de la Clasificación de Patentes Cooperativa (CPC)</w:t>
      </w:r>
      <w:r w:rsidR="002C70DB" w:rsidRPr="00A8564C">
        <w:rPr>
          <w:lang w:val="es-ES"/>
        </w:rPr>
        <w:t xml:space="preserve"> </w:t>
      </w:r>
      <w:r w:rsidR="00B815C3" w:rsidRPr="00A8564C">
        <w:rPr>
          <w:lang w:val="es-ES"/>
        </w:rPr>
        <w:t xml:space="preserve">como parte de </w:t>
      </w:r>
      <w:r w:rsidR="00D46156" w:rsidRPr="00A8564C">
        <w:rPr>
          <w:lang w:val="es-ES"/>
        </w:rPr>
        <w:t xml:space="preserve">su </w:t>
      </w:r>
      <w:r w:rsidR="00672F4E" w:rsidRPr="00A8564C">
        <w:rPr>
          <w:lang w:val="es-ES"/>
        </w:rPr>
        <w:t xml:space="preserve">sistema </w:t>
      </w:r>
      <w:r w:rsidR="00D46156" w:rsidRPr="00A8564C">
        <w:rPr>
          <w:lang w:val="es-ES"/>
        </w:rPr>
        <w:t xml:space="preserve">nacional de </w:t>
      </w:r>
      <w:r w:rsidR="00BA7B96" w:rsidRPr="00A8564C">
        <w:rPr>
          <w:lang w:val="es-ES"/>
        </w:rPr>
        <w:t>clasificación</w:t>
      </w:r>
      <w:r w:rsidR="00D46156" w:rsidRPr="00A8564C">
        <w:rPr>
          <w:lang w:val="es-ES"/>
        </w:rPr>
        <w:t xml:space="preserve"> y como </w:t>
      </w:r>
      <w:r w:rsidR="00BA7B96" w:rsidRPr="00A8564C">
        <w:rPr>
          <w:lang w:val="es-ES"/>
        </w:rPr>
        <w:t>complemento</w:t>
      </w:r>
      <w:r w:rsidR="00D46156" w:rsidRPr="00A8564C">
        <w:rPr>
          <w:lang w:val="es-ES"/>
        </w:rPr>
        <w:t xml:space="preserve"> </w:t>
      </w:r>
      <w:r w:rsidR="00B815C3" w:rsidRPr="00A8564C">
        <w:rPr>
          <w:lang w:val="es-ES"/>
        </w:rPr>
        <w:t xml:space="preserve">de la Clasificación Internacional de Patentes (CIP) </w:t>
      </w:r>
      <w:r w:rsidR="00D46156" w:rsidRPr="00A8564C">
        <w:rPr>
          <w:lang w:val="es-ES"/>
        </w:rPr>
        <w:t>y</w:t>
      </w:r>
      <w:r w:rsidR="004D6564" w:rsidRPr="00A8564C">
        <w:rPr>
          <w:lang w:val="es-ES"/>
        </w:rPr>
        <w:t>,</w:t>
      </w:r>
      <w:r w:rsidR="00D46156" w:rsidRPr="00A8564C">
        <w:rPr>
          <w:lang w:val="es-ES"/>
        </w:rPr>
        <w:t xml:space="preserve"> desde septiembre de 2016</w:t>
      </w:r>
      <w:r w:rsidR="004D6564" w:rsidRPr="00A8564C">
        <w:rPr>
          <w:lang w:val="es-ES"/>
        </w:rPr>
        <w:t>,</w:t>
      </w:r>
      <w:r w:rsidR="00D46156" w:rsidRPr="00A8564C">
        <w:rPr>
          <w:lang w:val="es-ES"/>
        </w:rPr>
        <w:t xml:space="preserve"> ha comenzado a clasifica</w:t>
      </w:r>
      <w:r w:rsidR="00B815C3" w:rsidRPr="00A8564C">
        <w:rPr>
          <w:lang w:val="es-ES"/>
        </w:rPr>
        <w:t>r</w:t>
      </w:r>
      <w:r w:rsidR="00D46156" w:rsidRPr="00A8564C">
        <w:rPr>
          <w:lang w:val="es-ES"/>
        </w:rPr>
        <w:t xml:space="preserve"> las solicitudes nacionales que se han presentado primero en </w:t>
      </w:r>
      <w:r w:rsidR="002C70DB" w:rsidRPr="00A8564C">
        <w:rPr>
          <w:lang w:val="es-ES"/>
        </w:rPr>
        <w:t>Israel</w:t>
      </w:r>
      <w:r w:rsidR="00BA7B96" w:rsidRPr="00A8564C">
        <w:rPr>
          <w:lang w:val="es-ES"/>
        </w:rPr>
        <w:t>.  El s</w:t>
      </w:r>
      <w:r w:rsidR="00D46156" w:rsidRPr="00A8564C">
        <w:rPr>
          <w:lang w:val="es-ES"/>
        </w:rPr>
        <w:t xml:space="preserve">istema automatizado </w:t>
      </w:r>
      <w:r w:rsidR="004D6564" w:rsidRPr="00A8564C">
        <w:rPr>
          <w:lang w:val="es-ES"/>
        </w:rPr>
        <w:t xml:space="preserve">interno </w:t>
      </w:r>
      <w:r w:rsidR="00D46156" w:rsidRPr="00A8564C">
        <w:rPr>
          <w:lang w:val="es-ES"/>
        </w:rPr>
        <w:t xml:space="preserve">para la </w:t>
      </w:r>
      <w:r w:rsidR="00BA7B96" w:rsidRPr="00A8564C">
        <w:rPr>
          <w:lang w:val="es-ES"/>
        </w:rPr>
        <w:t>tramitación</w:t>
      </w:r>
      <w:r w:rsidR="00D46156" w:rsidRPr="00A8564C">
        <w:rPr>
          <w:lang w:val="es-ES"/>
        </w:rPr>
        <w:t xml:space="preserve"> de las s</w:t>
      </w:r>
      <w:r w:rsidR="00184BCD" w:rsidRPr="00A8564C">
        <w:rPr>
          <w:lang w:val="es-ES"/>
        </w:rPr>
        <w:t xml:space="preserve">olicitudes nacionales </w:t>
      </w:r>
      <w:r w:rsidR="00A61AD2" w:rsidRPr="00A8564C">
        <w:rPr>
          <w:lang w:val="es-ES"/>
        </w:rPr>
        <w:t xml:space="preserve">admite </w:t>
      </w:r>
      <w:r w:rsidR="00C02638" w:rsidRPr="00A8564C">
        <w:rPr>
          <w:lang w:val="es-ES"/>
        </w:rPr>
        <w:t>información</w:t>
      </w:r>
      <w:r w:rsidR="00D46156" w:rsidRPr="00A8564C">
        <w:rPr>
          <w:lang w:val="es-ES"/>
        </w:rPr>
        <w:t xml:space="preserve"> </w:t>
      </w:r>
      <w:r w:rsidR="00A61AD2" w:rsidRPr="00A8564C">
        <w:rPr>
          <w:lang w:val="es-ES"/>
        </w:rPr>
        <w:t>tanto de la CIP como</w:t>
      </w:r>
      <w:r w:rsidR="00D46156" w:rsidRPr="00A8564C">
        <w:rPr>
          <w:lang w:val="es-ES"/>
        </w:rPr>
        <w:t xml:space="preserve"> de</w:t>
      </w:r>
      <w:r w:rsidR="00A61AD2" w:rsidRPr="00A8564C">
        <w:rPr>
          <w:lang w:val="es-ES"/>
        </w:rPr>
        <w:t xml:space="preserve"> la</w:t>
      </w:r>
      <w:r w:rsidR="00D46156" w:rsidRPr="00A8564C">
        <w:rPr>
          <w:lang w:val="es-ES"/>
        </w:rPr>
        <w:t xml:space="preserve"> CPC</w:t>
      </w:r>
      <w:r w:rsidR="002C70DB" w:rsidRPr="00A8564C">
        <w:rPr>
          <w:lang w:val="es-ES"/>
        </w:rPr>
        <w:t>.</w:t>
      </w:r>
    </w:p>
    <w:p w14:paraId="6F0FB503" w14:textId="77777777" w:rsidR="002C70DB" w:rsidRPr="00A8564C" w:rsidRDefault="002C70DB" w:rsidP="003259B1">
      <w:pPr>
        <w:rPr>
          <w:lang w:val="es-ES"/>
        </w:rPr>
      </w:pPr>
    </w:p>
    <w:p w14:paraId="48A0211C" w14:textId="7FDDEBA0" w:rsidR="002C70DB" w:rsidRPr="00A8564C" w:rsidRDefault="00B06CD7" w:rsidP="003259B1">
      <w:pPr>
        <w:rPr>
          <w:lang w:val="es-ES"/>
        </w:rPr>
      </w:pPr>
      <w:r w:rsidRPr="00A8564C">
        <w:rPr>
          <w:lang w:val="es-ES"/>
        </w:rPr>
        <w:lastRenderedPageBreak/>
        <w:t>La ILPO</w:t>
      </w:r>
      <w:r w:rsidR="00D46156" w:rsidRPr="00A8564C">
        <w:rPr>
          <w:lang w:val="es-ES"/>
        </w:rPr>
        <w:t xml:space="preserve"> com</w:t>
      </w:r>
      <w:r w:rsidR="00770A01" w:rsidRPr="00A8564C">
        <w:rPr>
          <w:lang w:val="es-ES"/>
        </w:rPr>
        <w:t>p</w:t>
      </w:r>
      <w:r w:rsidR="00D46156" w:rsidRPr="00A8564C">
        <w:rPr>
          <w:lang w:val="es-ES"/>
        </w:rPr>
        <w:t xml:space="preserve">arte </w:t>
      </w:r>
      <w:r w:rsidR="004D6564" w:rsidRPr="00A8564C">
        <w:rPr>
          <w:lang w:val="es-ES"/>
        </w:rPr>
        <w:t xml:space="preserve">los </w:t>
      </w:r>
      <w:r w:rsidR="00D46156" w:rsidRPr="00A8564C">
        <w:rPr>
          <w:lang w:val="es-ES"/>
        </w:rPr>
        <w:t xml:space="preserve">datos relativos a las patentes nacionales </w:t>
      </w:r>
      <w:r w:rsidR="004D6564" w:rsidRPr="00A8564C">
        <w:rPr>
          <w:lang w:val="es-ES"/>
        </w:rPr>
        <w:t xml:space="preserve">de que dispone </w:t>
      </w:r>
      <w:r w:rsidR="00D46156" w:rsidRPr="00A8564C">
        <w:rPr>
          <w:lang w:val="es-ES"/>
        </w:rPr>
        <w:t xml:space="preserve">con la </w:t>
      </w:r>
      <w:r w:rsidRPr="00A8564C">
        <w:rPr>
          <w:lang w:val="es-ES"/>
        </w:rPr>
        <w:t>OMPI</w:t>
      </w:r>
      <w:r w:rsidR="00D46156" w:rsidRPr="00A8564C">
        <w:rPr>
          <w:lang w:val="es-ES"/>
        </w:rPr>
        <w:t xml:space="preserve"> y la OEP</w:t>
      </w:r>
      <w:r w:rsidR="004D6564" w:rsidRPr="00A8564C">
        <w:rPr>
          <w:lang w:val="es-ES"/>
        </w:rPr>
        <w:t>,</w:t>
      </w:r>
      <w:r w:rsidR="002C70DB" w:rsidRPr="00A8564C">
        <w:rPr>
          <w:lang w:val="es-ES"/>
        </w:rPr>
        <w:t xml:space="preserve"> </w:t>
      </w:r>
      <w:r w:rsidR="00D46156" w:rsidRPr="00A8564C">
        <w:rPr>
          <w:lang w:val="es-ES"/>
        </w:rPr>
        <w:t xml:space="preserve">que se publican en </w:t>
      </w:r>
      <w:r w:rsidR="00BA7B96" w:rsidRPr="00A8564C">
        <w:rPr>
          <w:lang w:val="es-ES"/>
        </w:rPr>
        <w:t>Patents</w:t>
      </w:r>
      <w:r w:rsidR="002C70DB" w:rsidRPr="00A8564C">
        <w:rPr>
          <w:lang w:val="es-ES"/>
        </w:rPr>
        <w:t xml:space="preserve">cope </w:t>
      </w:r>
      <w:r w:rsidR="00D46156" w:rsidRPr="00A8564C">
        <w:rPr>
          <w:lang w:val="es-ES"/>
        </w:rPr>
        <w:t>y</w:t>
      </w:r>
      <w:r w:rsidR="002C70DB" w:rsidRPr="00A8564C">
        <w:rPr>
          <w:lang w:val="es-ES"/>
        </w:rPr>
        <w:t xml:space="preserve"> Espacenet</w:t>
      </w:r>
      <w:r w:rsidR="009E7E5E" w:rsidRPr="00A8564C">
        <w:rPr>
          <w:lang w:val="es-ES"/>
        </w:rPr>
        <w:t xml:space="preserve">.  </w:t>
      </w:r>
      <w:r w:rsidR="00BA7B96" w:rsidRPr="00A8564C">
        <w:rPr>
          <w:lang w:val="es-ES"/>
        </w:rPr>
        <w:t>Asimismo</w:t>
      </w:r>
      <w:r w:rsidR="00D46156" w:rsidRPr="00A8564C">
        <w:rPr>
          <w:lang w:val="es-ES"/>
        </w:rPr>
        <w:t xml:space="preserve">, </w:t>
      </w:r>
      <w:r w:rsidRPr="00A8564C">
        <w:rPr>
          <w:lang w:val="es-ES"/>
        </w:rPr>
        <w:t xml:space="preserve">la </w:t>
      </w:r>
      <w:r w:rsidR="00200C6A" w:rsidRPr="00A8564C">
        <w:rPr>
          <w:lang w:val="es-ES"/>
        </w:rPr>
        <w:t xml:space="preserve">Oficina </w:t>
      </w:r>
      <w:r w:rsidR="00D46156" w:rsidRPr="00A8564C">
        <w:rPr>
          <w:lang w:val="es-ES"/>
        </w:rPr>
        <w:t>facilita datos nacionales al sistema</w:t>
      </w:r>
      <w:r w:rsidR="002C70DB" w:rsidRPr="00A8564C">
        <w:rPr>
          <w:lang w:val="es-ES"/>
        </w:rPr>
        <w:t xml:space="preserve"> </w:t>
      </w:r>
      <w:r w:rsidR="00BA7B96" w:rsidRPr="00A8564C">
        <w:rPr>
          <w:lang w:val="es-ES"/>
        </w:rPr>
        <w:t>WIPO</w:t>
      </w:r>
      <w:r w:rsidR="0073717E" w:rsidRPr="00A8564C">
        <w:rPr>
          <w:lang w:val="es-ES"/>
        </w:rPr>
        <w:t xml:space="preserve"> </w:t>
      </w:r>
      <w:r w:rsidR="004D6564" w:rsidRPr="00A8564C">
        <w:rPr>
          <w:lang w:val="es-ES"/>
        </w:rPr>
        <w:t xml:space="preserve">CASE y a una serie de </w:t>
      </w:r>
      <w:r w:rsidR="00BA7B96" w:rsidRPr="00A8564C">
        <w:rPr>
          <w:lang w:val="es-ES"/>
        </w:rPr>
        <w:t>oficinas</w:t>
      </w:r>
      <w:r w:rsidR="00F96BB2" w:rsidRPr="00A8564C">
        <w:rPr>
          <w:lang w:val="es-ES"/>
        </w:rPr>
        <w:t xml:space="preserve"> nacionales de patentes</w:t>
      </w:r>
      <w:r w:rsidR="002C70DB" w:rsidRPr="00A8564C">
        <w:rPr>
          <w:lang w:val="es-ES"/>
        </w:rPr>
        <w:t xml:space="preserve"> </w:t>
      </w:r>
      <w:r w:rsidR="00770A01" w:rsidRPr="00A8564C">
        <w:rPr>
          <w:lang w:val="es-ES"/>
        </w:rPr>
        <w:t xml:space="preserve">que </w:t>
      </w:r>
      <w:r w:rsidR="004D6564" w:rsidRPr="00A8564C">
        <w:rPr>
          <w:lang w:val="es-ES"/>
        </w:rPr>
        <w:t xml:space="preserve">los han </w:t>
      </w:r>
      <w:r w:rsidR="00770A01" w:rsidRPr="00A8564C">
        <w:rPr>
          <w:lang w:val="es-ES"/>
        </w:rPr>
        <w:t>solicita</w:t>
      </w:r>
      <w:r w:rsidR="004D6564" w:rsidRPr="00A8564C">
        <w:rPr>
          <w:lang w:val="es-ES"/>
        </w:rPr>
        <w:t>do</w:t>
      </w:r>
      <w:r w:rsidR="002C70DB" w:rsidRPr="00A8564C">
        <w:rPr>
          <w:lang w:val="es-ES"/>
        </w:rPr>
        <w:t>.</w:t>
      </w:r>
    </w:p>
    <w:p w14:paraId="4223141A" w14:textId="77777777" w:rsidR="002C70DB" w:rsidRPr="00A8564C" w:rsidRDefault="002C70DB" w:rsidP="003259B1">
      <w:pPr>
        <w:rPr>
          <w:lang w:val="es-ES"/>
        </w:rPr>
      </w:pPr>
    </w:p>
    <w:p w14:paraId="56C6F69F" w14:textId="23895BF1" w:rsidR="002C70DB" w:rsidRPr="00A8564C" w:rsidRDefault="002C70DB" w:rsidP="003259B1">
      <w:pPr>
        <w:pStyle w:val="Heading4"/>
        <w:rPr>
          <w:lang w:val="es-ES"/>
        </w:rPr>
      </w:pPr>
      <w:r w:rsidRPr="00A8564C">
        <w:rPr>
          <w:lang w:val="es-ES"/>
        </w:rPr>
        <w:t>2.1.3.2</w:t>
      </w:r>
      <w:r w:rsidR="009E7E5E" w:rsidRPr="00A8564C">
        <w:rPr>
          <w:lang w:val="es-ES"/>
        </w:rPr>
        <w:t xml:space="preserve">.  </w:t>
      </w:r>
      <w:r w:rsidR="0073717E" w:rsidRPr="00A8564C">
        <w:rPr>
          <w:lang w:val="es-ES"/>
        </w:rPr>
        <w:t>S</w:t>
      </w:r>
      <w:r w:rsidR="00672F4E" w:rsidRPr="00A8564C">
        <w:rPr>
          <w:lang w:val="es-ES"/>
        </w:rPr>
        <w:t xml:space="preserve">istema </w:t>
      </w:r>
      <w:r w:rsidR="00770A01" w:rsidRPr="00A8564C">
        <w:rPr>
          <w:lang w:val="es-ES"/>
        </w:rPr>
        <w:t xml:space="preserve">automatizado para la </w:t>
      </w:r>
      <w:r w:rsidR="00BA7B96" w:rsidRPr="00A8564C">
        <w:rPr>
          <w:lang w:val="es-ES"/>
        </w:rPr>
        <w:t>tramitación</w:t>
      </w:r>
      <w:r w:rsidR="00770A01" w:rsidRPr="00A8564C">
        <w:rPr>
          <w:lang w:val="es-ES"/>
        </w:rPr>
        <w:t xml:space="preserve"> de las </w:t>
      </w:r>
      <w:r w:rsidR="00B06CD7" w:rsidRPr="00A8564C">
        <w:rPr>
          <w:lang w:val="es-ES"/>
        </w:rPr>
        <w:t xml:space="preserve">solicitudes </w:t>
      </w:r>
      <w:r w:rsidR="00770A01" w:rsidRPr="00A8564C">
        <w:rPr>
          <w:lang w:val="es-ES"/>
        </w:rPr>
        <w:t>internacionales</w:t>
      </w:r>
      <w:r w:rsidR="00B25942">
        <w:rPr>
          <w:lang w:val="es-ES"/>
        </w:rPr>
        <w:t xml:space="preserve"> de patente</w:t>
      </w:r>
    </w:p>
    <w:p w14:paraId="29F00F0D" w14:textId="77777777" w:rsidR="002C70DB" w:rsidRPr="00A8564C" w:rsidRDefault="002C70DB" w:rsidP="003259B1">
      <w:pPr>
        <w:rPr>
          <w:lang w:val="es-ES"/>
        </w:rPr>
      </w:pPr>
    </w:p>
    <w:p w14:paraId="797E1EAA" w14:textId="1F43D521" w:rsidR="002C70DB" w:rsidRPr="00A8564C" w:rsidRDefault="00B06CD7" w:rsidP="003259B1">
      <w:pPr>
        <w:rPr>
          <w:lang w:val="es-ES"/>
        </w:rPr>
      </w:pPr>
      <w:r w:rsidRPr="00A8564C">
        <w:rPr>
          <w:lang w:val="es-ES"/>
        </w:rPr>
        <w:t xml:space="preserve">La ILPO </w:t>
      </w:r>
      <w:r w:rsidR="00770A01" w:rsidRPr="00A8564C">
        <w:rPr>
          <w:lang w:val="es-ES"/>
        </w:rPr>
        <w:t xml:space="preserve">ha creado un </w:t>
      </w:r>
      <w:r w:rsidR="00672F4E" w:rsidRPr="00A8564C">
        <w:rPr>
          <w:lang w:val="es-ES"/>
        </w:rPr>
        <w:t xml:space="preserve">sistema </w:t>
      </w:r>
      <w:r w:rsidR="00770A01" w:rsidRPr="00A8564C">
        <w:rPr>
          <w:lang w:val="es-ES"/>
        </w:rPr>
        <w:t xml:space="preserve">automatizado </w:t>
      </w:r>
      <w:r w:rsidR="00BA7B96" w:rsidRPr="00A8564C">
        <w:rPr>
          <w:lang w:val="es-ES"/>
        </w:rPr>
        <w:t>moderno</w:t>
      </w:r>
      <w:r w:rsidR="00770A01" w:rsidRPr="00A8564C">
        <w:rPr>
          <w:lang w:val="es-ES"/>
        </w:rPr>
        <w:t xml:space="preserve"> y eficaz para </w:t>
      </w:r>
      <w:r w:rsidR="00200C6A" w:rsidRPr="00A8564C">
        <w:rPr>
          <w:lang w:val="es-ES"/>
        </w:rPr>
        <w:t xml:space="preserve">la tramitación de las solicitudes </w:t>
      </w:r>
      <w:r w:rsidR="00770A01" w:rsidRPr="00A8564C">
        <w:rPr>
          <w:lang w:val="es-ES"/>
        </w:rPr>
        <w:t>PCT</w:t>
      </w:r>
      <w:r w:rsidR="002C70DB" w:rsidRPr="00A8564C">
        <w:rPr>
          <w:lang w:val="es-ES"/>
        </w:rPr>
        <w:t xml:space="preserve">, </w:t>
      </w:r>
      <w:r w:rsidR="00770A01" w:rsidRPr="00A8564C">
        <w:rPr>
          <w:lang w:val="es-ES"/>
        </w:rPr>
        <w:t xml:space="preserve">denominado </w:t>
      </w:r>
      <w:r w:rsidR="002C70DB" w:rsidRPr="00A8564C">
        <w:rPr>
          <w:lang w:val="es-ES"/>
        </w:rPr>
        <w:t>PCT-SAPIA (</w:t>
      </w:r>
      <w:r w:rsidR="00672F4E" w:rsidRPr="00A8564C">
        <w:rPr>
          <w:lang w:val="es-ES"/>
        </w:rPr>
        <w:t xml:space="preserve">sistema </w:t>
      </w:r>
      <w:r w:rsidR="00770A01" w:rsidRPr="00A8564C">
        <w:rPr>
          <w:lang w:val="es-ES"/>
        </w:rPr>
        <w:t xml:space="preserve">para la </w:t>
      </w:r>
      <w:r w:rsidR="00BA7B96" w:rsidRPr="00A8564C">
        <w:rPr>
          <w:lang w:val="es-ES"/>
        </w:rPr>
        <w:t>administración</w:t>
      </w:r>
      <w:r w:rsidR="00770A01" w:rsidRPr="00A8564C">
        <w:rPr>
          <w:lang w:val="es-ES"/>
        </w:rPr>
        <w:t xml:space="preserve"> y </w:t>
      </w:r>
      <w:r w:rsidR="00BA7B96" w:rsidRPr="00A8564C">
        <w:rPr>
          <w:lang w:val="es-ES"/>
        </w:rPr>
        <w:t>tramitación</w:t>
      </w:r>
      <w:r w:rsidR="00770A01" w:rsidRPr="00A8564C">
        <w:rPr>
          <w:lang w:val="es-ES"/>
        </w:rPr>
        <w:t xml:space="preserve"> de las </w:t>
      </w:r>
      <w:r w:rsidR="00184BCD" w:rsidRPr="00A8564C">
        <w:rPr>
          <w:lang w:val="es-ES"/>
        </w:rPr>
        <w:t xml:space="preserve">solicitudes </w:t>
      </w:r>
      <w:r w:rsidR="00BA7B96" w:rsidRPr="00A8564C">
        <w:rPr>
          <w:lang w:val="es-ES"/>
        </w:rPr>
        <w:t>internacionales)</w:t>
      </w:r>
      <w:r w:rsidR="00200C6A" w:rsidRPr="00A8564C">
        <w:rPr>
          <w:lang w:val="es-ES"/>
        </w:rPr>
        <w:t>,</w:t>
      </w:r>
      <w:r w:rsidR="002C70DB" w:rsidRPr="00A8564C">
        <w:rPr>
          <w:lang w:val="es-ES"/>
        </w:rPr>
        <w:t xml:space="preserve"> </w:t>
      </w:r>
      <w:r w:rsidR="00770A01" w:rsidRPr="00A8564C">
        <w:rPr>
          <w:lang w:val="es-ES"/>
        </w:rPr>
        <w:t xml:space="preserve">con </w:t>
      </w:r>
      <w:r w:rsidR="00200C6A" w:rsidRPr="00A8564C">
        <w:rPr>
          <w:lang w:val="es-ES"/>
        </w:rPr>
        <w:t>objeto</w:t>
      </w:r>
      <w:r w:rsidR="00770A01" w:rsidRPr="00A8564C">
        <w:rPr>
          <w:lang w:val="es-ES"/>
        </w:rPr>
        <w:t xml:space="preserve"> de crear un entorno de trabajo </w:t>
      </w:r>
      <w:r w:rsidR="004D6564" w:rsidRPr="00A8564C">
        <w:rPr>
          <w:lang w:val="es-ES"/>
        </w:rPr>
        <w:t>sin</w:t>
      </w:r>
      <w:r w:rsidR="00770A01" w:rsidRPr="00A8564C">
        <w:rPr>
          <w:lang w:val="es-ES"/>
        </w:rPr>
        <w:t xml:space="preserve"> papel para la </w:t>
      </w:r>
      <w:r w:rsidR="00BA7B96" w:rsidRPr="00A8564C">
        <w:rPr>
          <w:lang w:val="es-ES"/>
        </w:rPr>
        <w:t>tramitación</w:t>
      </w:r>
      <w:r w:rsidR="00770A01" w:rsidRPr="00A8564C">
        <w:rPr>
          <w:lang w:val="es-ES"/>
        </w:rPr>
        <w:t xml:space="preserve"> de las s</w:t>
      </w:r>
      <w:r w:rsidRPr="00A8564C">
        <w:rPr>
          <w:lang w:val="es-ES"/>
        </w:rPr>
        <w:t>olicitudes de patente</w:t>
      </w:r>
      <w:r w:rsidR="00770A01" w:rsidRPr="00A8564C">
        <w:rPr>
          <w:lang w:val="es-ES"/>
        </w:rPr>
        <w:t xml:space="preserve"> </w:t>
      </w:r>
      <w:r w:rsidRPr="00A8564C">
        <w:rPr>
          <w:lang w:val="es-ES"/>
        </w:rPr>
        <w:t xml:space="preserve">internacionales </w:t>
      </w:r>
      <w:r w:rsidR="004D6564" w:rsidRPr="00A8564C">
        <w:rPr>
          <w:lang w:val="es-ES"/>
        </w:rPr>
        <w:t xml:space="preserve">en </w:t>
      </w:r>
      <w:r w:rsidR="0073717E" w:rsidRPr="00A8564C">
        <w:rPr>
          <w:lang w:val="es-ES"/>
        </w:rPr>
        <w:t>la Oficina receptora,</w:t>
      </w:r>
      <w:r w:rsidR="002C70DB" w:rsidRPr="00A8564C">
        <w:rPr>
          <w:lang w:val="es-ES"/>
        </w:rPr>
        <w:t xml:space="preserve"> </w:t>
      </w:r>
      <w:r w:rsidR="0073717E" w:rsidRPr="00A8564C">
        <w:rPr>
          <w:lang w:val="es-ES"/>
        </w:rPr>
        <w:t xml:space="preserve">la </w:t>
      </w:r>
      <w:r w:rsidR="002C70DB" w:rsidRPr="00A8564C">
        <w:rPr>
          <w:lang w:val="es-ES"/>
        </w:rPr>
        <w:t xml:space="preserve">ISA </w:t>
      </w:r>
      <w:r w:rsidR="0073717E" w:rsidRPr="00A8564C">
        <w:rPr>
          <w:lang w:val="es-ES"/>
        </w:rPr>
        <w:t>y la</w:t>
      </w:r>
      <w:r w:rsidR="00770A01" w:rsidRPr="00A8564C">
        <w:rPr>
          <w:lang w:val="es-ES"/>
        </w:rPr>
        <w:t xml:space="preserve"> IPEA</w:t>
      </w:r>
      <w:r w:rsidR="002C70DB" w:rsidRPr="00A8564C">
        <w:rPr>
          <w:lang w:val="es-ES"/>
        </w:rPr>
        <w:t xml:space="preserve">. </w:t>
      </w:r>
    </w:p>
    <w:p w14:paraId="766B61C1" w14:textId="77777777" w:rsidR="002C70DB" w:rsidRPr="00A8564C" w:rsidRDefault="002C70DB" w:rsidP="003259B1">
      <w:pPr>
        <w:rPr>
          <w:lang w:val="es-ES"/>
        </w:rPr>
      </w:pPr>
    </w:p>
    <w:p w14:paraId="10922F03" w14:textId="6798F0F5" w:rsidR="002C70DB" w:rsidRPr="00A8564C" w:rsidRDefault="00770A01" w:rsidP="003259B1">
      <w:pPr>
        <w:rPr>
          <w:lang w:val="es-ES"/>
        </w:rPr>
      </w:pPr>
      <w:r w:rsidRPr="00A8564C">
        <w:rPr>
          <w:lang w:val="es-ES"/>
        </w:rPr>
        <w:t xml:space="preserve">Ese nuevo </w:t>
      </w:r>
      <w:r w:rsidR="00672F4E" w:rsidRPr="00A8564C">
        <w:rPr>
          <w:lang w:val="es-ES"/>
        </w:rPr>
        <w:t xml:space="preserve">sistema </w:t>
      </w:r>
      <w:r w:rsidR="00B73B40" w:rsidRPr="00A8564C">
        <w:rPr>
          <w:lang w:val="es-ES"/>
        </w:rPr>
        <w:t xml:space="preserve">realiza </w:t>
      </w:r>
      <w:r w:rsidRPr="00A8564C">
        <w:rPr>
          <w:lang w:val="es-ES"/>
        </w:rPr>
        <w:t>un</w:t>
      </w:r>
      <w:r w:rsidR="00C36092" w:rsidRPr="00A8564C">
        <w:rPr>
          <w:lang w:val="es-ES"/>
        </w:rPr>
        <w:t xml:space="preserve">a </w:t>
      </w:r>
      <w:r w:rsidR="0058295C" w:rsidRPr="00A8564C">
        <w:rPr>
          <w:lang w:val="es-ES"/>
        </w:rPr>
        <w:t>gran</w:t>
      </w:r>
      <w:r w:rsidR="00C36092" w:rsidRPr="00A8564C">
        <w:rPr>
          <w:lang w:val="es-ES"/>
        </w:rPr>
        <w:t xml:space="preserve"> cantidad </w:t>
      </w:r>
      <w:r w:rsidRPr="00A8564C">
        <w:rPr>
          <w:lang w:val="es-ES"/>
        </w:rPr>
        <w:t>de validaciones</w:t>
      </w:r>
      <w:r w:rsidR="0058295C" w:rsidRPr="00A8564C">
        <w:rPr>
          <w:lang w:val="es-ES"/>
        </w:rPr>
        <w:t xml:space="preserve"> automáticas </w:t>
      </w:r>
      <w:r w:rsidR="002C70DB" w:rsidRPr="00A8564C">
        <w:rPr>
          <w:lang w:val="es-ES"/>
        </w:rPr>
        <w:t>(</w:t>
      </w:r>
      <w:r w:rsidRPr="00A8564C">
        <w:rPr>
          <w:lang w:val="es-ES"/>
        </w:rPr>
        <w:t>incluidas las tasas</w:t>
      </w:r>
      <w:r w:rsidR="002C70DB" w:rsidRPr="00A8564C">
        <w:rPr>
          <w:lang w:val="es-ES"/>
        </w:rPr>
        <w:t xml:space="preserve">) </w:t>
      </w:r>
      <w:r w:rsidRPr="00A8564C">
        <w:rPr>
          <w:lang w:val="es-ES"/>
        </w:rPr>
        <w:t xml:space="preserve">y </w:t>
      </w:r>
      <w:r w:rsidR="00C36092" w:rsidRPr="00A8564C">
        <w:rPr>
          <w:lang w:val="es-ES"/>
        </w:rPr>
        <w:t xml:space="preserve">una </w:t>
      </w:r>
      <w:r w:rsidR="0058295C" w:rsidRPr="00A8564C">
        <w:rPr>
          <w:lang w:val="es-ES"/>
        </w:rPr>
        <w:t xml:space="preserve">multitud de </w:t>
      </w:r>
      <w:r w:rsidRPr="00A8564C">
        <w:rPr>
          <w:lang w:val="es-ES"/>
        </w:rPr>
        <w:t xml:space="preserve">comunicaciones </w:t>
      </w:r>
      <w:r w:rsidR="00BA7B96" w:rsidRPr="00A8564C">
        <w:rPr>
          <w:lang w:val="es-ES"/>
        </w:rPr>
        <w:t>autom</w:t>
      </w:r>
      <w:r w:rsidR="0058295C" w:rsidRPr="00A8564C">
        <w:rPr>
          <w:lang w:val="es-ES"/>
        </w:rPr>
        <w:t>áticas,</w:t>
      </w:r>
      <w:r w:rsidRPr="00A8564C">
        <w:rPr>
          <w:lang w:val="es-ES"/>
        </w:rPr>
        <w:t xml:space="preserve"> en </w:t>
      </w:r>
      <w:r w:rsidR="00BA7B96" w:rsidRPr="00A8564C">
        <w:rPr>
          <w:lang w:val="es-ES"/>
        </w:rPr>
        <w:t>línea</w:t>
      </w:r>
      <w:r w:rsidR="0058295C" w:rsidRPr="00A8564C">
        <w:rPr>
          <w:lang w:val="es-ES"/>
        </w:rPr>
        <w:t>, seguras</w:t>
      </w:r>
      <w:r w:rsidRPr="00A8564C">
        <w:rPr>
          <w:lang w:val="es-ES"/>
        </w:rPr>
        <w:t xml:space="preserve"> con los </w:t>
      </w:r>
      <w:r w:rsidR="00B06CD7" w:rsidRPr="00A8564C">
        <w:rPr>
          <w:lang w:val="es-ES"/>
        </w:rPr>
        <w:t>solicitantes</w:t>
      </w:r>
      <w:r w:rsidR="002C70DB" w:rsidRPr="00A8564C">
        <w:rPr>
          <w:lang w:val="es-ES"/>
        </w:rPr>
        <w:t xml:space="preserve"> </w:t>
      </w:r>
      <w:r w:rsidRPr="00A8564C">
        <w:rPr>
          <w:lang w:val="es-ES"/>
        </w:rPr>
        <w:t xml:space="preserve">y la Oficina Internacional de la </w:t>
      </w:r>
      <w:r w:rsidR="00B06CD7" w:rsidRPr="00A8564C">
        <w:rPr>
          <w:lang w:val="es-ES"/>
        </w:rPr>
        <w:t xml:space="preserve">OMPI </w:t>
      </w:r>
      <w:r w:rsidR="00C36092" w:rsidRPr="00A8564C">
        <w:rPr>
          <w:lang w:val="es-ES"/>
        </w:rPr>
        <w:t>a través de</w:t>
      </w:r>
      <w:r w:rsidR="0058295C" w:rsidRPr="00A8564C">
        <w:rPr>
          <w:lang w:val="es-ES"/>
        </w:rPr>
        <w:t>l</w:t>
      </w:r>
      <w:r w:rsidR="00C36092" w:rsidRPr="00A8564C">
        <w:rPr>
          <w:lang w:val="es-ES"/>
        </w:rPr>
        <w:t xml:space="preserve"> sistema de intercambio electrónico de datos (</w:t>
      </w:r>
      <w:r w:rsidR="002C70DB" w:rsidRPr="00A8564C">
        <w:rPr>
          <w:lang w:val="es-ES"/>
        </w:rPr>
        <w:t>EDI</w:t>
      </w:r>
      <w:r w:rsidR="00C36092" w:rsidRPr="00A8564C">
        <w:rPr>
          <w:lang w:val="es-ES"/>
        </w:rPr>
        <w:t>)</w:t>
      </w:r>
      <w:r w:rsidR="002C70DB" w:rsidRPr="00A8564C">
        <w:rPr>
          <w:lang w:val="es-ES"/>
        </w:rPr>
        <w:t>.</w:t>
      </w:r>
    </w:p>
    <w:p w14:paraId="53225058" w14:textId="77777777" w:rsidR="002C70DB" w:rsidRPr="00A8564C" w:rsidRDefault="002C70DB" w:rsidP="003259B1">
      <w:pPr>
        <w:rPr>
          <w:lang w:val="es-ES"/>
        </w:rPr>
      </w:pPr>
    </w:p>
    <w:p w14:paraId="66711A08" w14:textId="1FD997B0" w:rsidR="002C70DB" w:rsidRPr="00A8564C" w:rsidRDefault="00770A01" w:rsidP="003259B1">
      <w:pPr>
        <w:rPr>
          <w:lang w:val="es-ES"/>
        </w:rPr>
      </w:pPr>
      <w:r w:rsidRPr="00A8564C">
        <w:rPr>
          <w:lang w:val="es-ES"/>
        </w:rPr>
        <w:t xml:space="preserve">El </w:t>
      </w:r>
      <w:r w:rsidR="00BB50F0" w:rsidRPr="00A8564C">
        <w:rPr>
          <w:lang w:val="es-ES"/>
        </w:rPr>
        <w:t>s</w:t>
      </w:r>
      <w:r w:rsidRPr="00A8564C">
        <w:rPr>
          <w:lang w:val="es-ES"/>
        </w:rPr>
        <w:t>istema incluye una lista de tareas para los examinadores</w:t>
      </w:r>
      <w:r w:rsidR="00F0612A">
        <w:rPr>
          <w:lang w:val="es-ES"/>
        </w:rPr>
        <w:t xml:space="preserve"> que se ocupan del examen</w:t>
      </w:r>
      <w:r w:rsidRPr="00A8564C">
        <w:rPr>
          <w:lang w:val="es-ES"/>
        </w:rPr>
        <w:t xml:space="preserve"> </w:t>
      </w:r>
      <w:r w:rsidR="0058295C" w:rsidRPr="00A8564C">
        <w:rPr>
          <w:lang w:val="es-ES"/>
        </w:rPr>
        <w:t>sustantivo,</w:t>
      </w:r>
      <w:r w:rsidR="00F0612A">
        <w:rPr>
          <w:lang w:val="es-ES"/>
        </w:rPr>
        <w:t xml:space="preserve"> el examen de</w:t>
      </w:r>
      <w:r w:rsidR="0058295C" w:rsidRPr="00A8564C">
        <w:rPr>
          <w:lang w:val="es-ES"/>
        </w:rPr>
        <w:t xml:space="preserve"> </w:t>
      </w:r>
      <w:r w:rsidR="006E75E0" w:rsidRPr="00A8564C">
        <w:rPr>
          <w:lang w:val="es-ES"/>
        </w:rPr>
        <w:t>forma</w:t>
      </w:r>
      <w:r w:rsidR="00C36092" w:rsidRPr="00A8564C">
        <w:rPr>
          <w:lang w:val="es-ES"/>
        </w:rPr>
        <w:t xml:space="preserve"> y e</w:t>
      </w:r>
      <w:r w:rsidR="00F0612A">
        <w:rPr>
          <w:lang w:val="es-ES"/>
        </w:rPr>
        <w:t>l</w:t>
      </w:r>
      <w:r w:rsidR="00C36092" w:rsidRPr="00A8564C">
        <w:rPr>
          <w:lang w:val="es-ES"/>
        </w:rPr>
        <w:t xml:space="preserve"> </w:t>
      </w:r>
      <w:r w:rsidRPr="00A8564C">
        <w:rPr>
          <w:lang w:val="es-ES"/>
        </w:rPr>
        <w:t>control de calidad</w:t>
      </w:r>
      <w:r w:rsidR="00C36092" w:rsidRPr="00A8564C">
        <w:rPr>
          <w:lang w:val="es-ES"/>
        </w:rPr>
        <w:t>,</w:t>
      </w:r>
      <w:r w:rsidR="002C70DB" w:rsidRPr="00A8564C">
        <w:rPr>
          <w:lang w:val="es-ES"/>
        </w:rPr>
        <w:t xml:space="preserve"> </w:t>
      </w:r>
      <w:r w:rsidRPr="00A8564C">
        <w:rPr>
          <w:lang w:val="es-ES"/>
        </w:rPr>
        <w:t xml:space="preserve">y </w:t>
      </w:r>
      <w:r w:rsidR="00C36092" w:rsidRPr="00A8564C">
        <w:rPr>
          <w:lang w:val="es-ES"/>
        </w:rPr>
        <w:t xml:space="preserve">para </w:t>
      </w:r>
      <w:r w:rsidRPr="00A8564C">
        <w:rPr>
          <w:lang w:val="es-ES"/>
        </w:rPr>
        <w:t>el coordinador de los pagos</w:t>
      </w:r>
      <w:r w:rsidR="001C3666" w:rsidRPr="00A8564C">
        <w:rPr>
          <w:lang w:val="es-ES"/>
        </w:rPr>
        <w:t>,</w:t>
      </w:r>
      <w:r w:rsidRPr="00A8564C">
        <w:rPr>
          <w:lang w:val="es-ES"/>
        </w:rPr>
        <w:t xml:space="preserve"> con recordatorios </w:t>
      </w:r>
      <w:r w:rsidR="00BA7B96" w:rsidRPr="00A8564C">
        <w:rPr>
          <w:lang w:val="es-ES"/>
        </w:rPr>
        <w:t>automáticos</w:t>
      </w:r>
      <w:r w:rsidRPr="00A8564C">
        <w:rPr>
          <w:lang w:val="es-ES"/>
        </w:rPr>
        <w:t xml:space="preserve"> que </w:t>
      </w:r>
      <w:r w:rsidR="001C3666" w:rsidRPr="00A8564C">
        <w:rPr>
          <w:lang w:val="es-ES"/>
        </w:rPr>
        <w:t>alertan sobre</w:t>
      </w:r>
      <w:r w:rsidRPr="00A8564C">
        <w:rPr>
          <w:lang w:val="es-ES"/>
        </w:rPr>
        <w:t xml:space="preserve"> el vencimiento de los plazos</w:t>
      </w:r>
      <w:r w:rsidR="002C70DB" w:rsidRPr="00A8564C">
        <w:rPr>
          <w:lang w:val="es-ES"/>
        </w:rPr>
        <w:t>.</w:t>
      </w:r>
    </w:p>
    <w:p w14:paraId="1C008B7C" w14:textId="77777777" w:rsidR="002C70DB" w:rsidRPr="00A8564C" w:rsidRDefault="002C70DB" w:rsidP="003259B1">
      <w:pPr>
        <w:rPr>
          <w:lang w:val="es-ES"/>
        </w:rPr>
      </w:pPr>
    </w:p>
    <w:p w14:paraId="5BF3E112" w14:textId="380B0E68" w:rsidR="002C70DB" w:rsidRPr="00A8564C" w:rsidRDefault="00835AB7" w:rsidP="003259B1">
      <w:pPr>
        <w:rPr>
          <w:lang w:val="es-ES"/>
        </w:rPr>
      </w:pPr>
      <w:r w:rsidRPr="00A8564C">
        <w:rPr>
          <w:lang w:val="es-ES"/>
        </w:rPr>
        <w:t xml:space="preserve">Se ha puesto en marcha un </w:t>
      </w:r>
      <w:r w:rsidR="00184BCD" w:rsidRPr="00A8564C">
        <w:rPr>
          <w:lang w:val="es-ES"/>
        </w:rPr>
        <w:t xml:space="preserve">sistema </w:t>
      </w:r>
      <w:r w:rsidRPr="00A8564C">
        <w:rPr>
          <w:lang w:val="es-ES"/>
        </w:rPr>
        <w:t xml:space="preserve">automatizado </w:t>
      </w:r>
      <w:r w:rsidR="00184BCD" w:rsidRPr="00A8564C">
        <w:rPr>
          <w:lang w:val="es-ES"/>
        </w:rPr>
        <w:t>de información</w:t>
      </w:r>
      <w:r w:rsidRPr="00A8564C">
        <w:rPr>
          <w:lang w:val="es-ES"/>
        </w:rPr>
        <w:t xml:space="preserve"> que </w:t>
      </w:r>
      <w:r w:rsidR="0058295C" w:rsidRPr="00A8564C">
        <w:rPr>
          <w:lang w:val="es-ES"/>
        </w:rPr>
        <w:t xml:space="preserve">integra </w:t>
      </w:r>
      <w:r w:rsidRPr="00A8564C">
        <w:rPr>
          <w:lang w:val="es-ES"/>
        </w:rPr>
        <w:t xml:space="preserve">la tecnología de </w:t>
      </w:r>
      <w:r w:rsidR="003D3996" w:rsidRPr="00A8564C">
        <w:rPr>
          <w:lang w:val="es-ES"/>
        </w:rPr>
        <w:t>la inteligencia instituciona</w:t>
      </w:r>
      <w:r w:rsidR="0058295C" w:rsidRPr="00A8564C">
        <w:rPr>
          <w:lang w:val="es-ES"/>
        </w:rPr>
        <w:t>l</w:t>
      </w:r>
      <w:r w:rsidR="00073787" w:rsidRPr="00A8564C">
        <w:rPr>
          <w:lang w:val="es-ES"/>
        </w:rPr>
        <w:t xml:space="preserve"> y</w:t>
      </w:r>
      <w:r w:rsidR="0058295C" w:rsidRPr="00A8564C">
        <w:rPr>
          <w:lang w:val="es-ES"/>
        </w:rPr>
        <w:t xml:space="preserve"> que p</w:t>
      </w:r>
      <w:r w:rsidR="00073787" w:rsidRPr="00A8564C">
        <w:rPr>
          <w:lang w:val="es-ES"/>
        </w:rPr>
        <w:t>osibilita</w:t>
      </w:r>
      <w:r w:rsidR="0058295C" w:rsidRPr="00A8564C">
        <w:rPr>
          <w:lang w:val="es-ES"/>
        </w:rPr>
        <w:t xml:space="preserve"> e</w:t>
      </w:r>
      <w:r w:rsidR="003D3996" w:rsidRPr="00A8564C">
        <w:rPr>
          <w:lang w:val="es-ES"/>
        </w:rPr>
        <w:t>l</w:t>
      </w:r>
      <w:r w:rsidRPr="00A8564C">
        <w:rPr>
          <w:lang w:val="es-ES"/>
        </w:rPr>
        <w:t xml:space="preserve"> seguimiento y </w:t>
      </w:r>
      <w:r w:rsidR="00CE696D" w:rsidRPr="00A8564C">
        <w:rPr>
          <w:lang w:val="es-ES"/>
        </w:rPr>
        <w:t xml:space="preserve">la vigilancia </w:t>
      </w:r>
      <w:r w:rsidR="0058295C" w:rsidRPr="00A8564C">
        <w:rPr>
          <w:lang w:val="es-ES"/>
        </w:rPr>
        <w:t xml:space="preserve">de los </w:t>
      </w:r>
      <w:r w:rsidRPr="00A8564C">
        <w:rPr>
          <w:lang w:val="es-ES"/>
        </w:rPr>
        <w:t xml:space="preserve">plazos </w:t>
      </w:r>
      <w:r w:rsidR="00073787" w:rsidRPr="00A8564C">
        <w:rPr>
          <w:lang w:val="es-ES"/>
        </w:rPr>
        <w:t>que han de cumplirse en</w:t>
      </w:r>
      <w:r w:rsidRPr="00A8564C">
        <w:rPr>
          <w:lang w:val="es-ES"/>
        </w:rPr>
        <w:t xml:space="preserve"> las diferentes fases de la </w:t>
      </w:r>
      <w:r w:rsidR="00BA7B96" w:rsidRPr="00A8564C">
        <w:rPr>
          <w:lang w:val="es-ES"/>
        </w:rPr>
        <w:t>tramitación</w:t>
      </w:r>
      <w:r w:rsidRPr="00A8564C">
        <w:rPr>
          <w:lang w:val="es-ES"/>
        </w:rPr>
        <w:t xml:space="preserve"> de las solicitudes </w:t>
      </w:r>
      <w:r w:rsidR="002C70DB" w:rsidRPr="00A8564C">
        <w:rPr>
          <w:lang w:val="es-ES"/>
        </w:rPr>
        <w:t>interna</w:t>
      </w:r>
      <w:r w:rsidRPr="00A8564C">
        <w:rPr>
          <w:lang w:val="es-ES"/>
        </w:rPr>
        <w:t>cionales</w:t>
      </w:r>
      <w:r w:rsidR="002C70DB" w:rsidRPr="00A8564C">
        <w:rPr>
          <w:lang w:val="es-ES"/>
        </w:rPr>
        <w:t>.</w:t>
      </w:r>
    </w:p>
    <w:p w14:paraId="2CF05EB8" w14:textId="77777777" w:rsidR="00835AB7" w:rsidRPr="00A8564C" w:rsidRDefault="00835AB7" w:rsidP="003259B1">
      <w:pPr>
        <w:rPr>
          <w:lang w:val="es-ES"/>
        </w:rPr>
      </w:pPr>
    </w:p>
    <w:p w14:paraId="614F2FCD" w14:textId="7409351B" w:rsidR="002C70DB" w:rsidRPr="00A8564C" w:rsidRDefault="00835AB7" w:rsidP="003259B1">
      <w:pPr>
        <w:rPr>
          <w:lang w:val="es-ES"/>
        </w:rPr>
      </w:pPr>
      <w:r w:rsidRPr="00A8564C">
        <w:rPr>
          <w:lang w:val="es-ES"/>
        </w:rPr>
        <w:t xml:space="preserve">El equipo </w:t>
      </w:r>
      <w:r w:rsidR="00BA7B96" w:rsidRPr="00A8564C">
        <w:rPr>
          <w:lang w:val="es-ES"/>
        </w:rPr>
        <w:t>directivo</w:t>
      </w:r>
      <w:r w:rsidRPr="00A8564C">
        <w:rPr>
          <w:lang w:val="es-ES"/>
        </w:rPr>
        <w:t xml:space="preserve"> </w:t>
      </w:r>
      <w:r w:rsidR="00BA7B96" w:rsidRPr="00A8564C">
        <w:rPr>
          <w:lang w:val="es-ES"/>
        </w:rPr>
        <w:t xml:space="preserve">superior </w:t>
      </w:r>
      <w:r w:rsidRPr="00A8564C">
        <w:rPr>
          <w:lang w:val="es-ES"/>
        </w:rPr>
        <w:t xml:space="preserve">de </w:t>
      </w:r>
      <w:r w:rsidR="00B06CD7" w:rsidRPr="00A8564C">
        <w:rPr>
          <w:lang w:val="es-ES"/>
        </w:rPr>
        <w:t xml:space="preserve">la ILPO </w:t>
      </w:r>
      <w:r w:rsidRPr="00A8564C">
        <w:rPr>
          <w:lang w:val="es-ES"/>
        </w:rPr>
        <w:t xml:space="preserve">tiene acceso a </w:t>
      </w:r>
      <w:r w:rsidR="001C3666" w:rsidRPr="00A8564C">
        <w:rPr>
          <w:lang w:val="es-ES"/>
        </w:rPr>
        <w:t xml:space="preserve">herramientas </w:t>
      </w:r>
      <w:r w:rsidR="00BA7B96" w:rsidRPr="00A8564C">
        <w:rPr>
          <w:lang w:val="es-ES"/>
        </w:rPr>
        <w:t>estadístic</w:t>
      </w:r>
      <w:r w:rsidR="001C3666" w:rsidRPr="00A8564C">
        <w:rPr>
          <w:lang w:val="es-ES"/>
        </w:rPr>
        <w:t>a</w:t>
      </w:r>
      <w:r w:rsidR="00BA7B96" w:rsidRPr="00A8564C">
        <w:rPr>
          <w:lang w:val="es-ES"/>
        </w:rPr>
        <w:t>s</w:t>
      </w:r>
      <w:r w:rsidRPr="00A8564C">
        <w:rPr>
          <w:lang w:val="es-ES"/>
        </w:rPr>
        <w:t xml:space="preserve"> que permiten </w:t>
      </w:r>
      <w:r w:rsidR="00BA7B96" w:rsidRPr="00A8564C">
        <w:rPr>
          <w:lang w:val="es-ES"/>
        </w:rPr>
        <w:t xml:space="preserve">calcular </w:t>
      </w:r>
      <w:r w:rsidRPr="00A8564C">
        <w:rPr>
          <w:lang w:val="es-ES"/>
        </w:rPr>
        <w:t xml:space="preserve">la carga de trabajo de cada examinador y </w:t>
      </w:r>
      <w:r w:rsidR="00BA7B96" w:rsidRPr="00A8564C">
        <w:rPr>
          <w:lang w:val="es-ES"/>
        </w:rPr>
        <w:t>división</w:t>
      </w:r>
      <w:r w:rsidR="002C70DB" w:rsidRPr="00A8564C">
        <w:rPr>
          <w:lang w:val="es-ES"/>
        </w:rPr>
        <w:t xml:space="preserve">, </w:t>
      </w:r>
      <w:r w:rsidRPr="00A8564C">
        <w:rPr>
          <w:lang w:val="es-ES"/>
        </w:rPr>
        <w:t xml:space="preserve">y </w:t>
      </w:r>
      <w:r w:rsidR="001C3666" w:rsidRPr="00A8564C">
        <w:rPr>
          <w:lang w:val="es-ES"/>
        </w:rPr>
        <w:t>vigilar</w:t>
      </w:r>
      <w:r w:rsidRPr="00A8564C">
        <w:rPr>
          <w:lang w:val="es-ES"/>
        </w:rPr>
        <w:t xml:space="preserve"> las fluctuaciones </w:t>
      </w:r>
      <w:r w:rsidR="001C3666" w:rsidRPr="00A8564C">
        <w:rPr>
          <w:lang w:val="es-ES"/>
        </w:rPr>
        <w:t>de</w:t>
      </w:r>
      <w:r w:rsidRPr="00A8564C">
        <w:rPr>
          <w:lang w:val="es-ES"/>
        </w:rPr>
        <w:t xml:space="preserve"> la demanda y la carga de trabajo </w:t>
      </w:r>
      <w:r w:rsidR="001C3666" w:rsidRPr="00A8564C">
        <w:rPr>
          <w:lang w:val="es-ES"/>
        </w:rPr>
        <w:t xml:space="preserve">con total </w:t>
      </w:r>
      <w:r w:rsidRPr="00A8564C">
        <w:rPr>
          <w:lang w:val="es-ES"/>
        </w:rPr>
        <w:t>transparen</w:t>
      </w:r>
      <w:r w:rsidR="001C3666" w:rsidRPr="00A8564C">
        <w:rPr>
          <w:lang w:val="es-ES"/>
        </w:rPr>
        <w:t>cia</w:t>
      </w:r>
      <w:r w:rsidR="002C70DB" w:rsidRPr="00A8564C">
        <w:rPr>
          <w:lang w:val="es-ES"/>
        </w:rPr>
        <w:t>.</w:t>
      </w:r>
    </w:p>
    <w:p w14:paraId="35E9A65D" w14:textId="77777777" w:rsidR="002C70DB" w:rsidRPr="00A8564C" w:rsidRDefault="002C70DB" w:rsidP="003259B1">
      <w:pPr>
        <w:rPr>
          <w:lang w:val="es-ES"/>
        </w:rPr>
      </w:pPr>
    </w:p>
    <w:p w14:paraId="5F9FFDEC" w14:textId="4D1A98A2" w:rsidR="002C70DB" w:rsidRPr="00A8564C" w:rsidRDefault="00073787" w:rsidP="003259B1">
      <w:pPr>
        <w:rPr>
          <w:lang w:val="es-ES"/>
        </w:rPr>
      </w:pPr>
      <w:r w:rsidRPr="00A8564C">
        <w:rPr>
          <w:lang w:val="es-ES"/>
        </w:rPr>
        <w:t xml:space="preserve">En el marco </w:t>
      </w:r>
      <w:r w:rsidR="00835AB7" w:rsidRPr="00A8564C">
        <w:rPr>
          <w:lang w:val="es-ES"/>
        </w:rPr>
        <w:t>de</w:t>
      </w:r>
      <w:r w:rsidRPr="00A8564C">
        <w:rPr>
          <w:lang w:val="es-ES"/>
        </w:rPr>
        <w:t xml:space="preserve">l compromiso adquirido por </w:t>
      </w:r>
      <w:r w:rsidR="00835AB7" w:rsidRPr="00A8564C">
        <w:rPr>
          <w:lang w:val="es-ES"/>
        </w:rPr>
        <w:t>la I</w:t>
      </w:r>
      <w:r w:rsidR="00B06CD7" w:rsidRPr="00A8564C">
        <w:rPr>
          <w:lang w:val="es-ES"/>
        </w:rPr>
        <w:t>LPO</w:t>
      </w:r>
      <w:r w:rsidR="00835AB7" w:rsidRPr="00A8564C">
        <w:rPr>
          <w:lang w:val="es-ES"/>
        </w:rPr>
        <w:t xml:space="preserve"> </w:t>
      </w:r>
      <w:r w:rsidR="00CE696D" w:rsidRPr="00A8564C">
        <w:rPr>
          <w:lang w:val="es-ES"/>
        </w:rPr>
        <w:t>de</w:t>
      </w:r>
      <w:r w:rsidR="00835AB7" w:rsidRPr="00A8564C">
        <w:rPr>
          <w:lang w:val="es-ES"/>
        </w:rPr>
        <w:t xml:space="preserve"> mejorar sus servicios y </w:t>
      </w:r>
      <w:r w:rsidR="00BA7B96" w:rsidRPr="00A8564C">
        <w:rPr>
          <w:lang w:val="es-ES"/>
        </w:rPr>
        <w:t>mantener</w:t>
      </w:r>
      <w:r w:rsidR="00835AB7" w:rsidRPr="00A8564C">
        <w:rPr>
          <w:lang w:val="es-ES"/>
        </w:rPr>
        <w:t xml:space="preserve"> un </w:t>
      </w:r>
      <w:r w:rsidR="001C3666" w:rsidRPr="00A8564C">
        <w:rPr>
          <w:lang w:val="es-ES"/>
        </w:rPr>
        <w:t>alto</w:t>
      </w:r>
      <w:r w:rsidR="00835AB7" w:rsidRPr="00A8564C">
        <w:rPr>
          <w:lang w:val="es-ES"/>
        </w:rPr>
        <w:t xml:space="preserve"> </w:t>
      </w:r>
      <w:r w:rsidRPr="00A8564C">
        <w:rPr>
          <w:lang w:val="es-ES"/>
        </w:rPr>
        <w:t>nivel</w:t>
      </w:r>
      <w:r w:rsidR="00835AB7" w:rsidRPr="00A8564C">
        <w:rPr>
          <w:lang w:val="es-ES"/>
        </w:rPr>
        <w:t xml:space="preserve"> de </w:t>
      </w:r>
      <w:r w:rsidR="00BA7B96" w:rsidRPr="00A8564C">
        <w:rPr>
          <w:lang w:val="es-ES"/>
        </w:rPr>
        <w:t>satisfacción</w:t>
      </w:r>
      <w:r w:rsidR="00835AB7" w:rsidRPr="00A8564C">
        <w:rPr>
          <w:lang w:val="es-ES"/>
        </w:rPr>
        <w:t xml:space="preserve"> </w:t>
      </w:r>
      <w:r w:rsidRPr="00A8564C">
        <w:rPr>
          <w:lang w:val="es-ES"/>
        </w:rPr>
        <w:t>entre</w:t>
      </w:r>
      <w:r w:rsidR="00835AB7" w:rsidRPr="00A8564C">
        <w:rPr>
          <w:lang w:val="es-ES"/>
        </w:rPr>
        <w:t xml:space="preserve"> </w:t>
      </w:r>
      <w:r w:rsidR="00BA7B96" w:rsidRPr="00A8564C">
        <w:rPr>
          <w:lang w:val="es-ES"/>
        </w:rPr>
        <w:t>los</w:t>
      </w:r>
      <w:r w:rsidR="00835AB7" w:rsidRPr="00A8564C">
        <w:rPr>
          <w:lang w:val="es-ES"/>
        </w:rPr>
        <w:t xml:space="preserve"> usuarios, el 1 de julio de 2012 se </w:t>
      </w:r>
      <w:r w:rsidR="001C3666" w:rsidRPr="00A8564C">
        <w:rPr>
          <w:lang w:val="es-ES"/>
        </w:rPr>
        <w:t>puso en marcha un</w:t>
      </w:r>
      <w:r w:rsidR="00835AB7" w:rsidRPr="00A8564C">
        <w:rPr>
          <w:lang w:val="es-ES"/>
        </w:rPr>
        <w:t xml:space="preserve"> </w:t>
      </w:r>
      <w:r w:rsidR="00CB4DDA" w:rsidRPr="00A8564C">
        <w:rPr>
          <w:lang w:val="es-ES"/>
        </w:rPr>
        <w:t>s</w:t>
      </w:r>
      <w:r w:rsidR="00835AB7" w:rsidRPr="00A8564C">
        <w:rPr>
          <w:lang w:val="es-ES"/>
        </w:rPr>
        <w:t xml:space="preserve">istema de </w:t>
      </w:r>
      <w:r w:rsidR="00BA7B96" w:rsidRPr="00A8564C">
        <w:rPr>
          <w:lang w:val="es-ES"/>
        </w:rPr>
        <w:t>presentación</w:t>
      </w:r>
      <w:r w:rsidR="00835AB7" w:rsidRPr="00A8564C">
        <w:rPr>
          <w:lang w:val="es-ES"/>
        </w:rPr>
        <w:t xml:space="preserve"> </w:t>
      </w:r>
      <w:r w:rsidR="00BA7B96" w:rsidRPr="00A8564C">
        <w:rPr>
          <w:lang w:val="es-ES"/>
        </w:rPr>
        <w:t>electrónica</w:t>
      </w:r>
      <w:r w:rsidR="00835AB7" w:rsidRPr="00A8564C">
        <w:rPr>
          <w:lang w:val="es-ES"/>
        </w:rPr>
        <w:t xml:space="preserve"> de solicitudes </w:t>
      </w:r>
      <w:r w:rsidR="00CB4DDA" w:rsidRPr="00A8564C">
        <w:rPr>
          <w:lang w:val="es-ES"/>
        </w:rPr>
        <w:t>PCT</w:t>
      </w:r>
      <w:r w:rsidR="002C70DB" w:rsidRPr="00A8564C">
        <w:rPr>
          <w:lang w:val="es-ES"/>
        </w:rPr>
        <w:t xml:space="preserve">, </w:t>
      </w:r>
      <w:r w:rsidR="00835AB7" w:rsidRPr="00A8564C">
        <w:rPr>
          <w:lang w:val="es-ES"/>
        </w:rPr>
        <w:t xml:space="preserve">que permite a los </w:t>
      </w:r>
      <w:r w:rsidR="00B06CD7" w:rsidRPr="00A8564C">
        <w:rPr>
          <w:lang w:val="es-ES"/>
        </w:rPr>
        <w:t>solicitantes</w:t>
      </w:r>
      <w:r w:rsidR="002C70DB" w:rsidRPr="00A8564C">
        <w:rPr>
          <w:lang w:val="es-ES"/>
        </w:rPr>
        <w:t xml:space="preserve"> </w:t>
      </w:r>
      <w:r w:rsidR="00835AB7" w:rsidRPr="00A8564C">
        <w:rPr>
          <w:lang w:val="es-ES"/>
        </w:rPr>
        <w:t xml:space="preserve">presentar </w:t>
      </w:r>
      <w:r w:rsidR="00184BCD" w:rsidRPr="00A8564C">
        <w:rPr>
          <w:lang w:val="es-ES"/>
        </w:rPr>
        <w:t xml:space="preserve">solicitudes </w:t>
      </w:r>
      <w:r w:rsidR="00835AB7" w:rsidRPr="00A8564C">
        <w:rPr>
          <w:lang w:val="es-ES"/>
        </w:rPr>
        <w:t>inter</w:t>
      </w:r>
      <w:r w:rsidR="00184BCD" w:rsidRPr="00A8564C">
        <w:rPr>
          <w:lang w:val="es-ES"/>
        </w:rPr>
        <w:t>nacionales</w:t>
      </w:r>
      <w:r w:rsidR="00835AB7" w:rsidRPr="00A8564C">
        <w:rPr>
          <w:lang w:val="es-ES"/>
        </w:rPr>
        <w:t xml:space="preserve"> </w:t>
      </w:r>
      <w:r w:rsidR="001C3666" w:rsidRPr="00A8564C">
        <w:rPr>
          <w:lang w:val="es-ES"/>
        </w:rPr>
        <w:t xml:space="preserve">por vía </w:t>
      </w:r>
      <w:r w:rsidR="00CB4DDA" w:rsidRPr="00A8564C">
        <w:rPr>
          <w:lang w:val="es-ES"/>
        </w:rPr>
        <w:t>electrónic</w:t>
      </w:r>
      <w:r w:rsidR="001C3666" w:rsidRPr="00A8564C">
        <w:rPr>
          <w:lang w:val="es-ES"/>
        </w:rPr>
        <w:t>a</w:t>
      </w:r>
      <w:r w:rsidR="00835AB7" w:rsidRPr="00A8564C">
        <w:rPr>
          <w:lang w:val="es-ES"/>
        </w:rPr>
        <w:t xml:space="preserve"> y pagar en </w:t>
      </w:r>
      <w:r w:rsidR="00CB4DDA" w:rsidRPr="00A8564C">
        <w:rPr>
          <w:lang w:val="es-ES"/>
        </w:rPr>
        <w:t>línea</w:t>
      </w:r>
      <w:r w:rsidR="00835AB7" w:rsidRPr="00A8564C">
        <w:rPr>
          <w:lang w:val="es-ES"/>
        </w:rPr>
        <w:t xml:space="preserve"> las tasas correspondientes</w:t>
      </w:r>
      <w:r w:rsidR="002C70DB" w:rsidRPr="00A8564C">
        <w:rPr>
          <w:lang w:val="es-ES"/>
        </w:rPr>
        <w:t>.</w:t>
      </w:r>
    </w:p>
    <w:p w14:paraId="17DD3329" w14:textId="77777777" w:rsidR="002C70DB" w:rsidRPr="00A8564C" w:rsidRDefault="002C70DB" w:rsidP="003259B1">
      <w:pPr>
        <w:rPr>
          <w:lang w:val="es-ES"/>
        </w:rPr>
      </w:pPr>
    </w:p>
    <w:p w14:paraId="1C005901" w14:textId="23E253BF" w:rsidR="002C70DB" w:rsidRPr="00A8564C" w:rsidRDefault="00835AB7" w:rsidP="003259B1">
      <w:pPr>
        <w:rPr>
          <w:lang w:val="es-ES"/>
        </w:rPr>
      </w:pPr>
      <w:r w:rsidRPr="00A8564C">
        <w:rPr>
          <w:lang w:val="es-ES"/>
        </w:rPr>
        <w:t xml:space="preserve">En julio de </w:t>
      </w:r>
      <w:r w:rsidR="002C70DB" w:rsidRPr="00A8564C">
        <w:rPr>
          <w:lang w:val="es-ES"/>
        </w:rPr>
        <w:t xml:space="preserve">2016, </w:t>
      </w:r>
      <w:r w:rsidR="00C703AA" w:rsidRPr="00A8564C">
        <w:rPr>
          <w:lang w:val="es-ES"/>
        </w:rPr>
        <w:t xml:space="preserve">se mejoró </w:t>
      </w:r>
      <w:r w:rsidRPr="00A8564C">
        <w:rPr>
          <w:lang w:val="es-ES"/>
        </w:rPr>
        <w:t xml:space="preserve">el </w:t>
      </w:r>
      <w:r w:rsidR="00672F4E" w:rsidRPr="00A8564C">
        <w:rPr>
          <w:lang w:val="es-ES"/>
        </w:rPr>
        <w:t xml:space="preserve">sistema </w:t>
      </w:r>
      <w:r w:rsidRPr="00A8564C">
        <w:rPr>
          <w:lang w:val="es-ES"/>
        </w:rPr>
        <w:t xml:space="preserve">de </w:t>
      </w:r>
      <w:r w:rsidR="00CB4DDA" w:rsidRPr="00A8564C">
        <w:rPr>
          <w:lang w:val="es-ES"/>
        </w:rPr>
        <w:t>presentación</w:t>
      </w:r>
      <w:r w:rsidRPr="00A8564C">
        <w:rPr>
          <w:lang w:val="es-ES"/>
        </w:rPr>
        <w:t xml:space="preserve"> </w:t>
      </w:r>
      <w:r w:rsidR="00CB4DDA" w:rsidRPr="00A8564C">
        <w:rPr>
          <w:lang w:val="es-ES"/>
        </w:rPr>
        <w:t>electrónica</w:t>
      </w:r>
      <w:r w:rsidRPr="00A8564C">
        <w:rPr>
          <w:lang w:val="es-ES"/>
        </w:rPr>
        <w:t xml:space="preserve"> de </w:t>
      </w:r>
      <w:r w:rsidR="00CB4DDA" w:rsidRPr="00A8564C">
        <w:rPr>
          <w:lang w:val="es-ES"/>
        </w:rPr>
        <w:t>solicitudes</w:t>
      </w:r>
      <w:r w:rsidRPr="00A8564C">
        <w:rPr>
          <w:lang w:val="es-ES"/>
        </w:rPr>
        <w:t xml:space="preserve"> </w:t>
      </w:r>
      <w:r w:rsidR="002C70DB" w:rsidRPr="00A8564C">
        <w:rPr>
          <w:lang w:val="es-ES"/>
        </w:rPr>
        <w:t xml:space="preserve">PCT </w:t>
      </w:r>
      <w:r w:rsidRPr="00A8564C">
        <w:rPr>
          <w:lang w:val="es-ES"/>
        </w:rPr>
        <w:t xml:space="preserve">para </w:t>
      </w:r>
      <w:r w:rsidR="001C3666" w:rsidRPr="00A8564C">
        <w:rPr>
          <w:lang w:val="es-ES"/>
        </w:rPr>
        <w:t>permitir</w:t>
      </w:r>
      <w:r w:rsidR="00E61E1F" w:rsidRPr="00A8564C">
        <w:rPr>
          <w:lang w:val="es-ES"/>
        </w:rPr>
        <w:t xml:space="preserve"> el acceso</w:t>
      </w:r>
      <w:r w:rsidR="00CB4DDA" w:rsidRPr="00A8564C">
        <w:rPr>
          <w:lang w:val="es-ES"/>
        </w:rPr>
        <w:t xml:space="preserve"> seguro</w:t>
      </w:r>
      <w:r w:rsidR="00F0612A">
        <w:rPr>
          <w:lang w:val="es-ES"/>
        </w:rPr>
        <w:t xml:space="preserve"> </w:t>
      </w:r>
      <w:r w:rsidR="00F0612A" w:rsidRPr="00A8564C">
        <w:rPr>
          <w:lang w:val="es-ES"/>
        </w:rPr>
        <w:t>(</w:t>
      </w:r>
      <w:r w:rsidR="00F0612A">
        <w:rPr>
          <w:lang w:val="es-ES"/>
        </w:rPr>
        <w:t>mediante tarjeta inteligente</w:t>
      </w:r>
      <w:r w:rsidR="00F0612A" w:rsidRPr="00A8564C">
        <w:rPr>
          <w:lang w:val="es-ES"/>
        </w:rPr>
        <w:t>)</w:t>
      </w:r>
      <w:r w:rsidR="002C70DB" w:rsidRPr="00A8564C">
        <w:rPr>
          <w:lang w:val="es-ES"/>
        </w:rPr>
        <w:t xml:space="preserve"> </w:t>
      </w:r>
      <w:r w:rsidR="001C3666" w:rsidRPr="00A8564C">
        <w:rPr>
          <w:lang w:val="es-ES"/>
        </w:rPr>
        <w:t>de los solicitantes</w:t>
      </w:r>
      <w:r w:rsidR="00F0612A">
        <w:rPr>
          <w:lang w:val="es-ES"/>
        </w:rPr>
        <w:t xml:space="preserve"> y </w:t>
      </w:r>
      <w:r w:rsidR="001C3666" w:rsidRPr="00A8564C">
        <w:rPr>
          <w:lang w:val="es-ES"/>
        </w:rPr>
        <w:t>agentes</w:t>
      </w:r>
      <w:r w:rsidR="00F0612A">
        <w:rPr>
          <w:lang w:val="es-ES"/>
        </w:rPr>
        <w:t xml:space="preserve"> con cuenta abierta en la Oficina</w:t>
      </w:r>
      <w:r w:rsidR="001C3666" w:rsidRPr="00A8564C">
        <w:rPr>
          <w:lang w:val="es-ES"/>
        </w:rPr>
        <w:t xml:space="preserve"> </w:t>
      </w:r>
      <w:r w:rsidR="00E61E1F" w:rsidRPr="00A8564C">
        <w:rPr>
          <w:lang w:val="es-ES"/>
        </w:rPr>
        <w:t xml:space="preserve">a todos los documentos </w:t>
      </w:r>
      <w:r w:rsidR="00C703AA" w:rsidRPr="00A8564C">
        <w:rPr>
          <w:lang w:val="es-ES"/>
        </w:rPr>
        <w:t>correspondientes a</w:t>
      </w:r>
      <w:r w:rsidR="00E61E1F" w:rsidRPr="00A8564C">
        <w:rPr>
          <w:lang w:val="es-ES"/>
        </w:rPr>
        <w:t xml:space="preserve"> la solicitud</w:t>
      </w:r>
      <w:r w:rsidR="002C70DB" w:rsidRPr="00A8564C">
        <w:rPr>
          <w:lang w:val="es-ES"/>
        </w:rPr>
        <w:t xml:space="preserve"> (</w:t>
      </w:r>
      <w:r w:rsidR="001C3666" w:rsidRPr="00A8564C">
        <w:rPr>
          <w:lang w:val="es-ES"/>
        </w:rPr>
        <w:t>en la</w:t>
      </w:r>
      <w:r w:rsidR="005F2DC3" w:rsidRPr="00A8564C">
        <w:rPr>
          <w:lang w:val="es-ES"/>
        </w:rPr>
        <w:t>s fases de tramitación</w:t>
      </w:r>
      <w:r w:rsidR="00C703AA" w:rsidRPr="00A8564C">
        <w:rPr>
          <w:lang w:val="es-ES"/>
        </w:rPr>
        <w:t xml:space="preserve"> en que intervienen </w:t>
      </w:r>
      <w:r w:rsidR="005F2DC3" w:rsidRPr="00A8564C">
        <w:rPr>
          <w:lang w:val="es-ES"/>
        </w:rPr>
        <w:t>la</w:t>
      </w:r>
      <w:r w:rsidR="001C3666" w:rsidRPr="00A8564C">
        <w:rPr>
          <w:lang w:val="es-ES"/>
        </w:rPr>
        <w:t xml:space="preserve"> Oficina receptora</w:t>
      </w:r>
      <w:r w:rsidR="002C70DB" w:rsidRPr="00A8564C">
        <w:rPr>
          <w:lang w:val="es-ES"/>
        </w:rPr>
        <w:t xml:space="preserve">, </w:t>
      </w:r>
      <w:r w:rsidR="00C703AA" w:rsidRPr="00A8564C">
        <w:rPr>
          <w:lang w:val="es-ES"/>
        </w:rPr>
        <w:t xml:space="preserve">la </w:t>
      </w:r>
      <w:r w:rsidR="002C70DB" w:rsidRPr="00A8564C">
        <w:rPr>
          <w:lang w:val="es-ES"/>
        </w:rPr>
        <w:t xml:space="preserve">ISA </w:t>
      </w:r>
      <w:r w:rsidR="00C703AA" w:rsidRPr="00A8564C">
        <w:rPr>
          <w:lang w:val="es-ES"/>
        </w:rPr>
        <w:t>y la</w:t>
      </w:r>
      <w:r w:rsidR="002C70DB" w:rsidRPr="00A8564C">
        <w:rPr>
          <w:lang w:val="es-ES"/>
        </w:rPr>
        <w:t xml:space="preserve"> IPEA) </w:t>
      </w:r>
      <w:r w:rsidR="00E61E1F" w:rsidRPr="00A8564C">
        <w:rPr>
          <w:lang w:val="es-ES"/>
        </w:rPr>
        <w:t xml:space="preserve">y </w:t>
      </w:r>
      <w:r w:rsidR="00C703AA" w:rsidRPr="00A8564C">
        <w:rPr>
          <w:lang w:val="es-ES"/>
        </w:rPr>
        <w:t>facilitar</w:t>
      </w:r>
      <w:r w:rsidR="00E61E1F" w:rsidRPr="00A8564C">
        <w:rPr>
          <w:lang w:val="es-ES"/>
        </w:rPr>
        <w:t xml:space="preserve"> la </w:t>
      </w:r>
      <w:r w:rsidR="00260743" w:rsidRPr="00A8564C">
        <w:rPr>
          <w:lang w:val="es-ES"/>
        </w:rPr>
        <w:t>presentación</w:t>
      </w:r>
      <w:r w:rsidR="005F2DC3" w:rsidRPr="00A8564C">
        <w:rPr>
          <w:lang w:val="es-ES"/>
        </w:rPr>
        <w:t xml:space="preserve"> </w:t>
      </w:r>
      <w:r w:rsidR="00260743" w:rsidRPr="00A8564C">
        <w:rPr>
          <w:lang w:val="es-ES"/>
        </w:rPr>
        <w:t xml:space="preserve">electrónica </w:t>
      </w:r>
      <w:r w:rsidR="005F2DC3" w:rsidRPr="00A8564C">
        <w:rPr>
          <w:lang w:val="es-ES"/>
        </w:rPr>
        <w:t>de</w:t>
      </w:r>
      <w:r w:rsidR="00260743" w:rsidRPr="00A8564C">
        <w:rPr>
          <w:lang w:val="es-ES"/>
        </w:rPr>
        <w:t xml:space="preserve"> </w:t>
      </w:r>
      <w:r w:rsidR="00184BCD" w:rsidRPr="00A8564C">
        <w:rPr>
          <w:lang w:val="es-ES"/>
        </w:rPr>
        <w:t>documento</w:t>
      </w:r>
      <w:r w:rsidR="002C70DB" w:rsidRPr="00A8564C">
        <w:rPr>
          <w:lang w:val="es-ES"/>
        </w:rPr>
        <w:t>s</w:t>
      </w:r>
      <w:r w:rsidR="00260743" w:rsidRPr="00A8564C">
        <w:rPr>
          <w:lang w:val="es-ES"/>
        </w:rPr>
        <w:t xml:space="preserve">, con posterioridad a la </w:t>
      </w:r>
      <w:r w:rsidR="008C137B" w:rsidRPr="00A8564C">
        <w:rPr>
          <w:lang w:val="es-ES"/>
        </w:rPr>
        <w:t xml:space="preserve">presentación de la </w:t>
      </w:r>
      <w:r w:rsidR="005F2DC3" w:rsidRPr="00A8564C">
        <w:rPr>
          <w:lang w:val="es-ES"/>
        </w:rPr>
        <w:t>s</w:t>
      </w:r>
      <w:r w:rsidR="00260743" w:rsidRPr="00A8564C">
        <w:rPr>
          <w:lang w:val="es-ES"/>
        </w:rPr>
        <w:t>olicitud</w:t>
      </w:r>
      <w:r w:rsidR="002C70DB" w:rsidRPr="00A8564C">
        <w:rPr>
          <w:lang w:val="es-ES"/>
        </w:rPr>
        <w:t xml:space="preserve">. </w:t>
      </w:r>
    </w:p>
    <w:p w14:paraId="54633C2D" w14:textId="59D10AF5" w:rsidR="002C70DB" w:rsidRPr="00A8564C" w:rsidRDefault="002C70DB" w:rsidP="003259B1">
      <w:pPr>
        <w:rPr>
          <w:lang w:val="es-ES"/>
        </w:rPr>
      </w:pPr>
    </w:p>
    <w:p w14:paraId="7E0868C1" w14:textId="4773E26B" w:rsidR="002C70DB" w:rsidRPr="00A8564C" w:rsidRDefault="00E61E1F" w:rsidP="002F4BA8">
      <w:pPr>
        <w:keepLines/>
        <w:rPr>
          <w:lang w:val="es-ES"/>
        </w:rPr>
      </w:pPr>
      <w:r w:rsidRPr="00A8564C">
        <w:rPr>
          <w:lang w:val="es-ES"/>
        </w:rPr>
        <w:t xml:space="preserve">La ILPO </w:t>
      </w:r>
      <w:r w:rsidR="00025BE1" w:rsidRPr="00A8564C">
        <w:rPr>
          <w:lang w:val="es-ES"/>
        </w:rPr>
        <w:t xml:space="preserve">administra programas </w:t>
      </w:r>
      <w:r w:rsidR="000B646E" w:rsidRPr="00A8564C">
        <w:rPr>
          <w:lang w:val="es-ES"/>
        </w:rPr>
        <w:t xml:space="preserve">de </w:t>
      </w:r>
      <w:r w:rsidR="00260743" w:rsidRPr="00A8564C">
        <w:rPr>
          <w:lang w:val="es-ES"/>
        </w:rPr>
        <w:t xml:space="preserve">automatización en estrecha </w:t>
      </w:r>
      <w:r w:rsidR="00CB4DDA" w:rsidRPr="00A8564C">
        <w:rPr>
          <w:lang w:val="es-ES"/>
        </w:rPr>
        <w:t>colaboración</w:t>
      </w:r>
      <w:r w:rsidR="00025BE1" w:rsidRPr="00A8564C">
        <w:rPr>
          <w:lang w:val="es-ES"/>
        </w:rPr>
        <w:t xml:space="preserve"> con la </w:t>
      </w:r>
      <w:r w:rsidR="00B06CD7" w:rsidRPr="00A8564C">
        <w:rPr>
          <w:lang w:val="es-ES"/>
        </w:rPr>
        <w:t>OMPI</w:t>
      </w:r>
      <w:r w:rsidR="00025BE1" w:rsidRPr="00A8564C">
        <w:rPr>
          <w:lang w:val="es-ES"/>
        </w:rPr>
        <w:t xml:space="preserve"> y con las </w:t>
      </w:r>
      <w:r w:rsidR="00CB4DDA" w:rsidRPr="00A8564C">
        <w:rPr>
          <w:lang w:val="es-ES"/>
        </w:rPr>
        <w:t>principales</w:t>
      </w:r>
      <w:r w:rsidR="00025BE1" w:rsidRPr="00A8564C">
        <w:rPr>
          <w:lang w:val="es-ES"/>
        </w:rPr>
        <w:t xml:space="preserve"> oficinas de propiedad </w:t>
      </w:r>
      <w:r w:rsidR="00CB4DDA" w:rsidRPr="00A8564C">
        <w:rPr>
          <w:lang w:val="es-ES"/>
        </w:rPr>
        <w:t>intelectual del</w:t>
      </w:r>
      <w:r w:rsidR="00025BE1" w:rsidRPr="00A8564C">
        <w:rPr>
          <w:lang w:val="es-ES"/>
        </w:rPr>
        <w:t xml:space="preserve"> mundo.  Entre las iniciativas de </w:t>
      </w:r>
      <w:r w:rsidR="00CB4DDA" w:rsidRPr="00A8564C">
        <w:rPr>
          <w:lang w:val="es-ES"/>
        </w:rPr>
        <w:t>automatización</w:t>
      </w:r>
      <w:r w:rsidR="00025BE1" w:rsidRPr="00A8564C">
        <w:rPr>
          <w:lang w:val="es-ES"/>
        </w:rPr>
        <w:t xml:space="preserve"> </w:t>
      </w:r>
      <w:r w:rsidR="00CB4DDA" w:rsidRPr="00A8564C">
        <w:rPr>
          <w:lang w:val="es-ES"/>
        </w:rPr>
        <w:t>emprendidas</w:t>
      </w:r>
      <w:r w:rsidR="00025BE1" w:rsidRPr="00A8564C">
        <w:rPr>
          <w:lang w:val="es-ES"/>
        </w:rPr>
        <w:t xml:space="preserve"> conjuntamente con la </w:t>
      </w:r>
      <w:r w:rsidR="00B06CD7" w:rsidRPr="00A8564C">
        <w:rPr>
          <w:lang w:val="es-ES"/>
        </w:rPr>
        <w:t>OMPI</w:t>
      </w:r>
      <w:r w:rsidR="00025BE1" w:rsidRPr="00A8564C">
        <w:rPr>
          <w:lang w:val="es-ES"/>
        </w:rPr>
        <w:t xml:space="preserve"> están los sistemas </w:t>
      </w:r>
      <w:r w:rsidR="002C70DB" w:rsidRPr="00A8564C">
        <w:rPr>
          <w:lang w:val="es-ES"/>
        </w:rPr>
        <w:t xml:space="preserve">PCT-EDI </w:t>
      </w:r>
      <w:r w:rsidR="00025BE1" w:rsidRPr="00A8564C">
        <w:rPr>
          <w:lang w:val="es-ES"/>
        </w:rPr>
        <w:t xml:space="preserve">y </w:t>
      </w:r>
      <w:r w:rsidR="002C70DB" w:rsidRPr="00A8564C">
        <w:rPr>
          <w:lang w:val="es-ES"/>
        </w:rPr>
        <w:t>eSearchCopy</w:t>
      </w:r>
      <w:r w:rsidR="00997352" w:rsidRPr="00A8564C">
        <w:rPr>
          <w:lang w:val="es-ES"/>
        </w:rPr>
        <w:t>,</w:t>
      </w:r>
      <w:r w:rsidR="002C70DB" w:rsidRPr="00A8564C">
        <w:rPr>
          <w:lang w:val="es-ES"/>
        </w:rPr>
        <w:t xml:space="preserve"> </w:t>
      </w:r>
      <w:r w:rsidR="00CB4DDA" w:rsidRPr="00A8564C">
        <w:rPr>
          <w:lang w:val="es-ES"/>
        </w:rPr>
        <w:t>además</w:t>
      </w:r>
      <w:r w:rsidR="00025BE1" w:rsidRPr="00A8564C">
        <w:rPr>
          <w:lang w:val="es-ES"/>
        </w:rPr>
        <w:t xml:space="preserve"> del </w:t>
      </w:r>
      <w:r w:rsidR="00CB4DDA" w:rsidRPr="00A8564C">
        <w:rPr>
          <w:lang w:val="es-ES"/>
        </w:rPr>
        <w:t>s</w:t>
      </w:r>
      <w:r w:rsidR="00025BE1" w:rsidRPr="00A8564C">
        <w:rPr>
          <w:lang w:val="es-ES"/>
        </w:rPr>
        <w:t>istema WIPO</w:t>
      </w:r>
      <w:r w:rsidR="0073717E" w:rsidRPr="00A8564C">
        <w:rPr>
          <w:lang w:val="es-ES"/>
        </w:rPr>
        <w:t xml:space="preserve"> </w:t>
      </w:r>
      <w:r w:rsidR="00025BE1" w:rsidRPr="00A8564C">
        <w:rPr>
          <w:lang w:val="es-ES"/>
        </w:rPr>
        <w:t>C</w:t>
      </w:r>
      <w:r w:rsidR="002C70DB" w:rsidRPr="00A8564C">
        <w:rPr>
          <w:lang w:val="es-ES"/>
        </w:rPr>
        <w:t xml:space="preserve">ASE </w:t>
      </w:r>
      <w:r w:rsidR="00025BE1" w:rsidRPr="00A8564C">
        <w:rPr>
          <w:lang w:val="es-ES"/>
        </w:rPr>
        <w:t>mencionado antes.</w:t>
      </w:r>
      <w:r w:rsidR="009E7E5E" w:rsidRPr="00A8564C">
        <w:rPr>
          <w:lang w:val="es-ES"/>
        </w:rPr>
        <w:t xml:space="preserve">  </w:t>
      </w:r>
      <w:r w:rsidR="00C1783C">
        <w:rPr>
          <w:lang w:val="es-ES"/>
        </w:rPr>
        <w:t>Desde el 20 de julio de </w:t>
      </w:r>
      <w:r w:rsidR="002C70DB" w:rsidRPr="00A8564C">
        <w:rPr>
          <w:rFonts w:eastAsia="Times New Roman"/>
          <w:lang w:val="es-ES"/>
        </w:rPr>
        <w:t xml:space="preserve">2016, </w:t>
      </w:r>
      <w:r w:rsidR="00B06CD7" w:rsidRPr="00A8564C">
        <w:rPr>
          <w:rFonts w:eastAsia="Times New Roman"/>
          <w:lang w:val="es-ES"/>
        </w:rPr>
        <w:t>l</w:t>
      </w:r>
      <w:r w:rsidR="00025BE1" w:rsidRPr="00A8564C">
        <w:rPr>
          <w:rFonts w:eastAsia="Times New Roman"/>
          <w:lang w:val="es-ES"/>
        </w:rPr>
        <w:t xml:space="preserve">a ILPO, </w:t>
      </w:r>
      <w:r w:rsidR="00F0612A">
        <w:rPr>
          <w:rFonts w:eastAsia="Times New Roman"/>
          <w:lang w:val="es-ES"/>
        </w:rPr>
        <w:t>actuando en calidad de</w:t>
      </w:r>
      <w:r w:rsidR="00025BE1" w:rsidRPr="00A8564C">
        <w:rPr>
          <w:rFonts w:eastAsia="Times New Roman"/>
          <w:lang w:val="es-ES"/>
        </w:rPr>
        <w:t xml:space="preserve"> Oficina receptora</w:t>
      </w:r>
      <w:r w:rsidR="002C70DB" w:rsidRPr="00A8564C">
        <w:rPr>
          <w:rFonts w:eastAsia="Times New Roman"/>
          <w:lang w:val="es-ES"/>
        </w:rPr>
        <w:t xml:space="preserve"> (RO/IL)</w:t>
      </w:r>
      <w:r w:rsidR="00CE696D" w:rsidRPr="00A8564C">
        <w:rPr>
          <w:rFonts w:eastAsia="Times New Roman"/>
          <w:lang w:val="es-ES"/>
        </w:rPr>
        <w:t>,</w:t>
      </w:r>
      <w:r w:rsidR="002F4BA8" w:rsidRPr="00A8564C">
        <w:rPr>
          <w:rFonts w:eastAsia="Times New Roman"/>
          <w:lang w:val="es-ES"/>
        </w:rPr>
        <w:t xml:space="preserve"> </w:t>
      </w:r>
      <w:r w:rsidR="00025BE1" w:rsidRPr="00A8564C">
        <w:rPr>
          <w:rFonts w:eastAsia="Times New Roman"/>
          <w:lang w:val="es-ES"/>
        </w:rPr>
        <w:t xml:space="preserve">comenzó a recibir y tramitar solicitudes </w:t>
      </w:r>
      <w:r w:rsidR="002C70DB" w:rsidRPr="00A8564C">
        <w:rPr>
          <w:rFonts w:eastAsia="Times New Roman"/>
          <w:lang w:val="es-ES"/>
        </w:rPr>
        <w:t xml:space="preserve">PCT </w:t>
      </w:r>
      <w:r w:rsidR="00CB4DDA" w:rsidRPr="00A8564C">
        <w:rPr>
          <w:rFonts w:eastAsia="Times New Roman"/>
          <w:lang w:val="es-ES"/>
        </w:rPr>
        <w:t>presentadas mediante el s</w:t>
      </w:r>
      <w:r w:rsidR="00025BE1" w:rsidRPr="00A8564C">
        <w:rPr>
          <w:rFonts w:eastAsia="Times New Roman"/>
          <w:lang w:val="es-ES"/>
        </w:rPr>
        <w:t xml:space="preserve">istema de </w:t>
      </w:r>
      <w:r w:rsidR="00CB4DDA" w:rsidRPr="00A8564C">
        <w:rPr>
          <w:rFonts w:eastAsia="Times New Roman"/>
          <w:lang w:val="es-ES"/>
        </w:rPr>
        <w:t>presentación</w:t>
      </w:r>
      <w:r w:rsidR="00025BE1" w:rsidRPr="00A8564C">
        <w:rPr>
          <w:rFonts w:eastAsia="Times New Roman"/>
          <w:lang w:val="es-ES"/>
        </w:rPr>
        <w:t xml:space="preserve"> </w:t>
      </w:r>
      <w:r w:rsidR="00CB4DDA" w:rsidRPr="00A8564C">
        <w:rPr>
          <w:rFonts w:eastAsia="Times New Roman"/>
          <w:lang w:val="es-ES"/>
        </w:rPr>
        <w:t>electrónica</w:t>
      </w:r>
      <w:r w:rsidR="00025BE1" w:rsidRPr="00A8564C">
        <w:rPr>
          <w:rFonts w:eastAsia="Times New Roman"/>
          <w:lang w:val="es-ES"/>
        </w:rPr>
        <w:t xml:space="preserve"> </w:t>
      </w:r>
      <w:r w:rsidR="00CB4DDA" w:rsidRPr="00A8564C">
        <w:rPr>
          <w:rFonts w:eastAsia="Times New Roman"/>
          <w:lang w:val="es-ES"/>
        </w:rPr>
        <w:t xml:space="preserve">de solicitudes </w:t>
      </w:r>
      <w:r w:rsidR="002C70DB" w:rsidRPr="00A8564C">
        <w:rPr>
          <w:rFonts w:eastAsia="Times New Roman"/>
          <w:lang w:val="es-ES"/>
        </w:rPr>
        <w:t>PCT (</w:t>
      </w:r>
      <w:r w:rsidR="00CB4DDA" w:rsidRPr="00A8564C">
        <w:rPr>
          <w:rFonts w:eastAsia="Times New Roman"/>
          <w:lang w:val="es-ES"/>
        </w:rPr>
        <w:t>además</w:t>
      </w:r>
      <w:r w:rsidR="00025BE1" w:rsidRPr="00A8564C">
        <w:rPr>
          <w:rFonts w:eastAsia="Times New Roman"/>
          <w:lang w:val="es-ES"/>
        </w:rPr>
        <w:t xml:space="preserve"> del programa </w:t>
      </w:r>
      <w:r w:rsidR="00CB4DDA" w:rsidRPr="00A8564C">
        <w:rPr>
          <w:rFonts w:eastAsia="Times New Roman"/>
          <w:lang w:val="es-ES"/>
        </w:rPr>
        <w:t>informático</w:t>
      </w:r>
      <w:r w:rsidR="00025BE1" w:rsidRPr="00A8564C">
        <w:rPr>
          <w:rFonts w:eastAsia="Times New Roman"/>
          <w:lang w:val="es-ES"/>
        </w:rPr>
        <w:t xml:space="preserve"> </w:t>
      </w:r>
      <w:r w:rsidR="002C70DB" w:rsidRPr="00A8564C">
        <w:rPr>
          <w:rFonts w:eastAsia="Times New Roman"/>
          <w:lang w:val="es-ES"/>
        </w:rPr>
        <w:t>PCT-SAFE)</w:t>
      </w:r>
      <w:r w:rsidR="00997352" w:rsidRPr="00A8564C">
        <w:rPr>
          <w:rFonts w:eastAsia="Times New Roman"/>
          <w:lang w:val="es-ES"/>
        </w:rPr>
        <w:t xml:space="preserve">.  </w:t>
      </w:r>
      <w:r w:rsidR="00CE696D" w:rsidRPr="00A8564C">
        <w:rPr>
          <w:rFonts w:eastAsia="Times New Roman"/>
          <w:lang w:val="es-ES"/>
        </w:rPr>
        <w:t>C</w:t>
      </w:r>
      <w:r w:rsidR="00CE696D" w:rsidRPr="00A8564C">
        <w:rPr>
          <w:lang w:val="es-ES"/>
        </w:rPr>
        <w:t>onsidera que</w:t>
      </w:r>
      <w:r w:rsidR="00997352" w:rsidRPr="00A8564C">
        <w:rPr>
          <w:lang w:val="es-ES"/>
        </w:rPr>
        <w:t xml:space="preserve"> </w:t>
      </w:r>
      <w:r w:rsidR="00025BE1" w:rsidRPr="00A8564C">
        <w:rPr>
          <w:lang w:val="es-ES"/>
        </w:rPr>
        <w:t xml:space="preserve">la </w:t>
      </w:r>
      <w:r w:rsidR="00CB4DDA" w:rsidRPr="00A8564C">
        <w:rPr>
          <w:lang w:val="es-ES"/>
        </w:rPr>
        <w:t>cooperación</w:t>
      </w:r>
      <w:r w:rsidR="00025BE1" w:rsidRPr="00A8564C">
        <w:rPr>
          <w:lang w:val="es-ES"/>
        </w:rPr>
        <w:t xml:space="preserve"> entablada con la OMPI pone de </w:t>
      </w:r>
      <w:r w:rsidR="00CB4DDA" w:rsidRPr="00A8564C">
        <w:rPr>
          <w:lang w:val="es-ES"/>
        </w:rPr>
        <w:t>manifiesto</w:t>
      </w:r>
      <w:r w:rsidR="00025BE1" w:rsidRPr="00A8564C">
        <w:rPr>
          <w:lang w:val="es-ES"/>
        </w:rPr>
        <w:t xml:space="preserve"> la confianza que inspira </w:t>
      </w:r>
      <w:r w:rsidR="00997352" w:rsidRPr="00A8564C">
        <w:rPr>
          <w:lang w:val="es-ES"/>
        </w:rPr>
        <w:t>el</w:t>
      </w:r>
      <w:r w:rsidR="00025BE1" w:rsidRPr="00A8564C">
        <w:rPr>
          <w:lang w:val="es-ES"/>
        </w:rPr>
        <w:t xml:space="preserve"> sistema </w:t>
      </w:r>
      <w:r w:rsidR="00CB4DDA" w:rsidRPr="00A8564C">
        <w:rPr>
          <w:lang w:val="es-ES"/>
        </w:rPr>
        <w:t>informático</w:t>
      </w:r>
      <w:r w:rsidR="00997352" w:rsidRPr="00A8564C">
        <w:rPr>
          <w:lang w:val="es-ES"/>
        </w:rPr>
        <w:t xml:space="preserve"> de la Oficina</w:t>
      </w:r>
      <w:r w:rsidR="002C70DB" w:rsidRPr="00A8564C">
        <w:rPr>
          <w:lang w:val="es-ES"/>
        </w:rPr>
        <w:t>.</w:t>
      </w:r>
    </w:p>
    <w:p w14:paraId="23A7AF39" w14:textId="77777777" w:rsidR="002C70DB" w:rsidRPr="00A8564C" w:rsidRDefault="002C70DB" w:rsidP="003259B1">
      <w:pPr>
        <w:rPr>
          <w:lang w:val="es-ES"/>
        </w:rPr>
      </w:pPr>
    </w:p>
    <w:p w14:paraId="5593F77C" w14:textId="77777777" w:rsidR="00CE1883" w:rsidRDefault="00FC68C6" w:rsidP="00D852EC">
      <w:pPr>
        <w:keepNext/>
        <w:keepLines/>
        <w:rPr>
          <w:lang w:val="es-ES"/>
        </w:rPr>
      </w:pPr>
      <w:r w:rsidRPr="00A8564C">
        <w:rPr>
          <w:lang w:val="es-ES"/>
        </w:rPr>
        <w:lastRenderedPageBreak/>
        <w:t xml:space="preserve">Con </w:t>
      </w:r>
      <w:r w:rsidR="00CB4DDA" w:rsidRPr="00A8564C">
        <w:rPr>
          <w:lang w:val="es-ES"/>
        </w:rPr>
        <w:t>objeto</w:t>
      </w:r>
      <w:r w:rsidRPr="00A8564C">
        <w:rPr>
          <w:lang w:val="es-ES"/>
        </w:rPr>
        <w:t xml:space="preserve"> de ofrecer al </w:t>
      </w:r>
      <w:r w:rsidR="00CB4DDA" w:rsidRPr="00A8564C">
        <w:rPr>
          <w:lang w:val="es-ES"/>
        </w:rPr>
        <w:t>público</w:t>
      </w:r>
      <w:r w:rsidRPr="00A8564C">
        <w:rPr>
          <w:lang w:val="es-ES"/>
        </w:rPr>
        <w:t xml:space="preserve"> la posibilidad de </w:t>
      </w:r>
      <w:r w:rsidR="00997352" w:rsidRPr="00A8564C">
        <w:rPr>
          <w:lang w:val="es-ES"/>
        </w:rPr>
        <w:t>vigilar</w:t>
      </w:r>
      <w:r w:rsidRPr="00A8564C">
        <w:rPr>
          <w:lang w:val="es-ES"/>
        </w:rPr>
        <w:t xml:space="preserve"> el cumplimiento de la </w:t>
      </w:r>
      <w:r w:rsidR="00CB4DDA" w:rsidRPr="00A8564C">
        <w:rPr>
          <w:lang w:val="es-ES"/>
        </w:rPr>
        <w:t>restricción</w:t>
      </w:r>
      <w:r w:rsidRPr="00A8564C">
        <w:rPr>
          <w:lang w:val="es-ES"/>
        </w:rPr>
        <w:t xml:space="preserve"> cuantitativa </w:t>
      </w:r>
      <w:r w:rsidR="00997352" w:rsidRPr="00A8564C">
        <w:rPr>
          <w:lang w:val="es-ES"/>
        </w:rPr>
        <w:t>impuesta a</w:t>
      </w:r>
      <w:r w:rsidRPr="00A8564C">
        <w:rPr>
          <w:lang w:val="es-ES"/>
        </w:rPr>
        <w:t xml:space="preserve"> los s</w:t>
      </w:r>
      <w:r w:rsidR="00B06CD7" w:rsidRPr="00A8564C">
        <w:rPr>
          <w:lang w:val="es-ES"/>
        </w:rPr>
        <w:t>olicitantes</w:t>
      </w:r>
      <w:r w:rsidR="002C70DB" w:rsidRPr="00A8564C">
        <w:rPr>
          <w:lang w:val="es-ES"/>
        </w:rPr>
        <w:t xml:space="preserve"> </w:t>
      </w:r>
      <w:r w:rsidRPr="00A8564C">
        <w:rPr>
          <w:lang w:val="es-ES"/>
        </w:rPr>
        <w:t xml:space="preserve">estadounidenses que han designado a la </w:t>
      </w:r>
      <w:r w:rsidR="002C70DB" w:rsidRPr="00A8564C">
        <w:rPr>
          <w:lang w:val="es-ES"/>
        </w:rPr>
        <w:t xml:space="preserve">ILPO </w:t>
      </w:r>
      <w:r w:rsidRPr="00A8564C">
        <w:rPr>
          <w:lang w:val="es-ES"/>
        </w:rPr>
        <w:t xml:space="preserve">como </w:t>
      </w:r>
    </w:p>
    <w:p w14:paraId="72F9E1F7" w14:textId="2E2912FE" w:rsidR="002C70DB" w:rsidRPr="00A8564C" w:rsidRDefault="002C70DB" w:rsidP="00D852EC">
      <w:pPr>
        <w:keepNext/>
        <w:keepLines/>
        <w:rPr>
          <w:lang w:val="es-ES"/>
        </w:rPr>
      </w:pPr>
      <w:r w:rsidRPr="00A8564C">
        <w:rPr>
          <w:lang w:val="es-ES"/>
        </w:rPr>
        <w:t>ISA</w:t>
      </w:r>
      <w:r w:rsidR="00FC68C6" w:rsidRPr="00A8564C">
        <w:rPr>
          <w:lang w:val="es-ES"/>
        </w:rPr>
        <w:t xml:space="preserve">, y para evitar la </w:t>
      </w:r>
      <w:r w:rsidR="00CB4DDA" w:rsidRPr="00A8564C">
        <w:rPr>
          <w:lang w:val="es-ES"/>
        </w:rPr>
        <w:t>devolución</w:t>
      </w:r>
      <w:r w:rsidR="00FC68C6" w:rsidRPr="00A8564C">
        <w:rPr>
          <w:lang w:val="es-ES"/>
        </w:rPr>
        <w:t xml:space="preserve"> de solicitudes excedentarias</w:t>
      </w:r>
      <w:r w:rsidRPr="00A8564C">
        <w:rPr>
          <w:color w:val="000000"/>
          <w:lang w:val="es-ES"/>
        </w:rPr>
        <w:t xml:space="preserve">, </w:t>
      </w:r>
      <w:r w:rsidR="00FC68C6" w:rsidRPr="00A8564C">
        <w:rPr>
          <w:color w:val="000000"/>
          <w:lang w:val="es-ES"/>
        </w:rPr>
        <w:t xml:space="preserve">la </w:t>
      </w:r>
      <w:r w:rsidR="00997352" w:rsidRPr="00A8564C">
        <w:rPr>
          <w:color w:val="000000"/>
          <w:lang w:val="es-ES"/>
        </w:rPr>
        <w:t>Oficina cr</w:t>
      </w:r>
      <w:r w:rsidR="00FC68C6" w:rsidRPr="00A8564C">
        <w:rPr>
          <w:color w:val="000000"/>
          <w:lang w:val="es-ES"/>
        </w:rPr>
        <w:t>eó un</w:t>
      </w:r>
      <w:r w:rsidR="00997352" w:rsidRPr="00A8564C">
        <w:rPr>
          <w:color w:val="000000"/>
          <w:lang w:val="es-ES"/>
        </w:rPr>
        <w:t>a herramienta</w:t>
      </w:r>
      <w:r w:rsidRPr="00A8564C">
        <w:rPr>
          <w:rStyle w:val="FootnoteReference"/>
          <w:rFonts w:eastAsia="Times New Roman"/>
          <w:color w:val="000000"/>
          <w:sz w:val="24"/>
          <w:szCs w:val="24"/>
          <w:lang w:val="es-ES"/>
        </w:rPr>
        <w:footnoteReference w:id="23"/>
      </w:r>
      <w:r w:rsidRPr="00A8564C">
        <w:rPr>
          <w:color w:val="000000"/>
          <w:lang w:val="es-ES"/>
        </w:rPr>
        <w:t xml:space="preserve"> </w:t>
      </w:r>
      <w:r w:rsidR="00FC68C6" w:rsidRPr="00A8564C">
        <w:rPr>
          <w:color w:val="000000"/>
          <w:lang w:val="es-ES"/>
        </w:rPr>
        <w:t xml:space="preserve">que </w:t>
      </w:r>
      <w:r w:rsidR="00997352" w:rsidRPr="00A8564C">
        <w:rPr>
          <w:color w:val="000000"/>
          <w:lang w:val="es-ES"/>
        </w:rPr>
        <w:t>permite visualizar</w:t>
      </w:r>
      <w:r w:rsidR="00FC68C6" w:rsidRPr="00A8564C">
        <w:rPr>
          <w:color w:val="000000"/>
          <w:lang w:val="es-ES"/>
        </w:rPr>
        <w:t xml:space="preserve"> el </w:t>
      </w:r>
      <w:r w:rsidR="00997352" w:rsidRPr="00A8564C">
        <w:rPr>
          <w:color w:val="000000"/>
          <w:lang w:val="es-ES"/>
        </w:rPr>
        <w:t>número</w:t>
      </w:r>
      <w:r w:rsidR="00FC68C6" w:rsidRPr="00A8564C">
        <w:rPr>
          <w:color w:val="000000"/>
          <w:lang w:val="es-ES"/>
        </w:rPr>
        <w:t xml:space="preserve"> de solicitudes </w:t>
      </w:r>
      <w:r w:rsidRPr="00A8564C">
        <w:rPr>
          <w:color w:val="000000"/>
          <w:lang w:val="es-ES"/>
        </w:rPr>
        <w:t xml:space="preserve">PCT </w:t>
      </w:r>
      <w:r w:rsidR="00FC68C6" w:rsidRPr="00A8564C">
        <w:rPr>
          <w:color w:val="000000"/>
          <w:lang w:val="es-ES"/>
        </w:rPr>
        <w:t>presentadas por</w:t>
      </w:r>
      <w:r w:rsidRPr="00A8564C">
        <w:rPr>
          <w:color w:val="000000"/>
          <w:lang w:val="es-ES"/>
        </w:rPr>
        <w:t xml:space="preserve"> </w:t>
      </w:r>
      <w:r w:rsidR="00B06CD7" w:rsidRPr="00A8564C">
        <w:rPr>
          <w:color w:val="000000"/>
          <w:lang w:val="es-ES"/>
        </w:rPr>
        <w:t>solicitantes</w:t>
      </w:r>
      <w:r w:rsidRPr="00A8564C">
        <w:rPr>
          <w:color w:val="000000"/>
          <w:lang w:val="es-ES"/>
        </w:rPr>
        <w:t xml:space="preserve"> </w:t>
      </w:r>
      <w:r w:rsidR="00FC68C6" w:rsidRPr="00A8564C">
        <w:rPr>
          <w:color w:val="000000"/>
          <w:lang w:val="es-ES"/>
        </w:rPr>
        <w:t xml:space="preserve">estadounidenses y que fueron </w:t>
      </w:r>
      <w:r w:rsidR="00997352" w:rsidRPr="00A8564C">
        <w:rPr>
          <w:color w:val="000000"/>
          <w:lang w:val="es-ES"/>
        </w:rPr>
        <w:t xml:space="preserve">recibidas por la </w:t>
      </w:r>
      <w:r w:rsidR="00CE1883">
        <w:rPr>
          <w:color w:val="000000"/>
          <w:lang w:val="es-ES"/>
        </w:rPr>
        <w:t xml:space="preserve">ILPO actuando como </w:t>
      </w:r>
      <w:r w:rsidRPr="00A8564C">
        <w:rPr>
          <w:color w:val="000000"/>
          <w:lang w:val="es-ES"/>
        </w:rPr>
        <w:t xml:space="preserve">ISA </w:t>
      </w:r>
      <w:r w:rsidR="00997352" w:rsidRPr="00A8564C">
        <w:rPr>
          <w:color w:val="000000"/>
          <w:lang w:val="es-ES"/>
        </w:rPr>
        <w:t>con</w:t>
      </w:r>
      <w:r w:rsidR="00FC68C6" w:rsidRPr="00A8564C">
        <w:rPr>
          <w:color w:val="000000"/>
          <w:lang w:val="es-ES"/>
        </w:rPr>
        <w:t xml:space="preserve"> </w:t>
      </w:r>
      <w:r w:rsidR="000B5CBB" w:rsidRPr="00A8564C">
        <w:rPr>
          <w:color w:val="000000"/>
          <w:lang w:val="es-ES"/>
        </w:rPr>
        <w:t xml:space="preserve">fines de </w:t>
      </w:r>
      <w:r w:rsidR="00CB4DDA" w:rsidRPr="00A8564C">
        <w:rPr>
          <w:color w:val="000000"/>
          <w:lang w:val="es-ES"/>
        </w:rPr>
        <w:t>búsqueda</w:t>
      </w:r>
      <w:r w:rsidR="009E7E5E" w:rsidRPr="00A8564C">
        <w:rPr>
          <w:color w:val="000000"/>
          <w:lang w:val="es-ES"/>
        </w:rPr>
        <w:t xml:space="preserve">.  </w:t>
      </w:r>
      <w:r w:rsidR="000B5CBB" w:rsidRPr="00A8564C">
        <w:rPr>
          <w:color w:val="000000"/>
          <w:lang w:val="es-ES"/>
        </w:rPr>
        <w:t>Esa herramienta sería de gran utilidad para</w:t>
      </w:r>
      <w:r w:rsidR="00FC68C6" w:rsidRPr="00A8564C">
        <w:rPr>
          <w:color w:val="000000"/>
          <w:lang w:val="es-ES"/>
        </w:rPr>
        <w:t xml:space="preserve"> los solicitantes estadounidenses y las oficinas receptoras </w:t>
      </w:r>
      <w:r w:rsidR="00FC68C6" w:rsidRPr="00A8564C">
        <w:rPr>
          <w:lang w:val="es-ES"/>
        </w:rPr>
        <w:t xml:space="preserve">(RO/US y </w:t>
      </w:r>
      <w:r w:rsidRPr="00A8564C">
        <w:rPr>
          <w:lang w:val="es-ES"/>
        </w:rPr>
        <w:t>RO/IB)</w:t>
      </w:r>
      <w:r w:rsidR="000B5CBB" w:rsidRPr="00A8564C">
        <w:rPr>
          <w:lang w:val="es-ES"/>
        </w:rPr>
        <w:t>, ya que pe</w:t>
      </w:r>
      <w:r w:rsidR="00FC68C6" w:rsidRPr="00A8564C">
        <w:rPr>
          <w:lang w:val="es-ES"/>
        </w:rPr>
        <w:t xml:space="preserve">rmite el acceso </w:t>
      </w:r>
      <w:r w:rsidR="00CB4DDA" w:rsidRPr="00A8564C">
        <w:rPr>
          <w:lang w:val="es-ES"/>
        </w:rPr>
        <w:t>instantáneo</w:t>
      </w:r>
      <w:r w:rsidR="00FC68C6" w:rsidRPr="00A8564C">
        <w:rPr>
          <w:lang w:val="es-ES"/>
        </w:rPr>
        <w:t xml:space="preserve"> a las bases de datos de </w:t>
      </w:r>
      <w:r w:rsidR="000B5CBB" w:rsidRPr="00A8564C">
        <w:rPr>
          <w:lang w:val="es-ES"/>
        </w:rPr>
        <w:t>la</w:t>
      </w:r>
      <w:r w:rsidR="00CE1883">
        <w:rPr>
          <w:lang w:val="es-ES"/>
        </w:rPr>
        <w:t xml:space="preserve"> ILPO actuando como</w:t>
      </w:r>
      <w:r w:rsidR="000B5CBB" w:rsidRPr="00A8564C">
        <w:rPr>
          <w:lang w:val="es-ES"/>
        </w:rPr>
        <w:t xml:space="preserve"> ISA y el </w:t>
      </w:r>
      <w:r w:rsidR="00FC68C6" w:rsidRPr="00A8564C">
        <w:rPr>
          <w:lang w:val="es-ES"/>
        </w:rPr>
        <w:t xml:space="preserve">seguimiento </w:t>
      </w:r>
      <w:r w:rsidR="000B5CBB" w:rsidRPr="00A8564C">
        <w:rPr>
          <w:lang w:val="es-ES"/>
        </w:rPr>
        <w:t>de</w:t>
      </w:r>
      <w:r w:rsidR="00FC68C6" w:rsidRPr="00A8564C">
        <w:rPr>
          <w:lang w:val="es-ES"/>
        </w:rPr>
        <w:t xml:space="preserve"> las 100 </w:t>
      </w:r>
      <w:r w:rsidR="00BF705C" w:rsidRPr="00A8564C">
        <w:rPr>
          <w:lang w:val="es-ES"/>
        </w:rPr>
        <w:t>solicitudes del contingente establecido p</w:t>
      </w:r>
      <w:r w:rsidR="00CE1883">
        <w:rPr>
          <w:lang w:val="es-ES"/>
        </w:rPr>
        <w:t>or</w:t>
      </w:r>
      <w:r w:rsidR="00BF705C" w:rsidRPr="00A8564C">
        <w:rPr>
          <w:lang w:val="es-ES"/>
        </w:rPr>
        <w:t xml:space="preserve"> trimestre</w:t>
      </w:r>
      <w:r w:rsidR="000B5CBB" w:rsidRPr="00A8564C">
        <w:rPr>
          <w:lang w:val="es-ES"/>
        </w:rPr>
        <w:t>, así como</w:t>
      </w:r>
      <w:r w:rsidR="00BF705C" w:rsidRPr="00A8564C">
        <w:rPr>
          <w:lang w:val="es-ES"/>
        </w:rPr>
        <w:t xml:space="preserve"> la </w:t>
      </w:r>
      <w:r w:rsidR="00CB4DDA" w:rsidRPr="00A8564C">
        <w:rPr>
          <w:lang w:val="es-ES"/>
        </w:rPr>
        <w:t>colaboración</w:t>
      </w:r>
      <w:r w:rsidR="00BF705C" w:rsidRPr="00A8564C">
        <w:rPr>
          <w:lang w:val="es-ES"/>
        </w:rPr>
        <w:t xml:space="preserve"> y </w:t>
      </w:r>
      <w:r w:rsidR="00CB4DDA" w:rsidRPr="00A8564C">
        <w:rPr>
          <w:lang w:val="es-ES"/>
        </w:rPr>
        <w:t>coordinación</w:t>
      </w:r>
      <w:r w:rsidR="00BF705C" w:rsidRPr="00A8564C">
        <w:rPr>
          <w:lang w:val="es-ES"/>
        </w:rPr>
        <w:t xml:space="preserve"> entre oficinas receptoras </w:t>
      </w:r>
      <w:r w:rsidR="00CB4DDA" w:rsidRPr="00A8564C">
        <w:rPr>
          <w:lang w:val="es-ES"/>
        </w:rPr>
        <w:t>dispersas</w:t>
      </w:r>
      <w:r w:rsidR="00BF705C" w:rsidRPr="00A8564C">
        <w:rPr>
          <w:lang w:val="es-ES"/>
        </w:rPr>
        <w:t xml:space="preserve"> </w:t>
      </w:r>
      <w:r w:rsidR="00CB4DDA" w:rsidRPr="00A8564C">
        <w:rPr>
          <w:lang w:val="es-ES"/>
        </w:rPr>
        <w:t>geográficamente</w:t>
      </w:r>
      <w:r w:rsidRPr="00A8564C">
        <w:rPr>
          <w:lang w:val="es-ES"/>
        </w:rPr>
        <w:t xml:space="preserve">. </w:t>
      </w:r>
    </w:p>
    <w:p w14:paraId="775EACC6" w14:textId="77777777" w:rsidR="002C70DB" w:rsidRPr="00A8564C" w:rsidRDefault="002C70DB" w:rsidP="003259B1">
      <w:pPr>
        <w:rPr>
          <w:lang w:val="es-ES"/>
        </w:rPr>
      </w:pPr>
    </w:p>
    <w:p w14:paraId="06172570" w14:textId="4F10321D" w:rsidR="002C70DB" w:rsidRPr="00A8564C" w:rsidRDefault="002C70DB" w:rsidP="001755C3">
      <w:pPr>
        <w:pStyle w:val="Heading4"/>
        <w:rPr>
          <w:lang w:val="es-ES"/>
        </w:rPr>
      </w:pPr>
      <w:r w:rsidRPr="00A8564C">
        <w:rPr>
          <w:lang w:val="es-ES"/>
        </w:rPr>
        <w:t>2.1.</w:t>
      </w:r>
      <w:r w:rsidR="001755C3" w:rsidRPr="00A8564C">
        <w:rPr>
          <w:lang w:val="es-ES"/>
        </w:rPr>
        <w:t>3.3</w:t>
      </w:r>
      <w:r w:rsidR="009E7E5E" w:rsidRPr="00A8564C">
        <w:rPr>
          <w:lang w:val="es-ES"/>
        </w:rPr>
        <w:t xml:space="preserve">.  </w:t>
      </w:r>
      <w:r w:rsidR="00BF705C" w:rsidRPr="00A8564C">
        <w:rPr>
          <w:lang w:val="es-ES"/>
        </w:rPr>
        <w:t>La t</w:t>
      </w:r>
      <w:r w:rsidR="00B06CD7" w:rsidRPr="00A8564C">
        <w:rPr>
          <w:lang w:val="es-ES"/>
        </w:rPr>
        <w:t xml:space="preserve">ecnología </w:t>
      </w:r>
      <w:r w:rsidR="00BF705C" w:rsidRPr="00A8564C">
        <w:rPr>
          <w:lang w:val="es-ES"/>
        </w:rPr>
        <w:t xml:space="preserve">y el entorno de trabajo en la </w:t>
      </w:r>
      <w:r w:rsidR="00B06CD7" w:rsidRPr="00A8564C">
        <w:rPr>
          <w:lang w:val="es-ES"/>
        </w:rPr>
        <w:t xml:space="preserve">ILPO </w:t>
      </w:r>
      <w:r w:rsidRPr="00A8564C">
        <w:rPr>
          <w:lang w:val="es-ES"/>
        </w:rPr>
        <w:t xml:space="preserve"> </w:t>
      </w:r>
    </w:p>
    <w:p w14:paraId="4103F6C1" w14:textId="77777777" w:rsidR="002C70DB" w:rsidRPr="00A8564C" w:rsidRDefault="002C70DB" w:rsidP="003259B1">
      <w:pPr>
        <w:rPr>
          <w:lang w:val="es-ES"/>
        </w:rPr>
      </w:pPr>
    </w:p>
    <w:p w14:paraId="501E2560" w14:textId="626C1F8A" w:rsidR="002C70DB" w:rsidRPr="00A8564C" w:rsidRDefault="00B06CD7" w:rsidP="001755C3">
      <w:pPr>
        <w:rPr>
          <w:lang w:val="es-ES"/>
        </w:rPr>
      </w:pPr>
      <w:r w:rsidRPr="00A8564C">
        <w:rPr>
          <w:lang w:val="es-ES"/>
        </w:rPr>
        <w:t>L</w:t>
      </w:r>
      <w:r w:rsidR="00CE696D" w:rsidRPr="00A8564C">
        <w:rPr>
          <w:lang w:val="es-ES"/>
        </w:rPr>
        <w:t>as estaciones</w:t>
      </w:r>
      <w:r w:rsidR="00EE5BA8" w:rsidRPr="00A8564C">
        <w:rPr>
          <w:lang w:val="es-ES"/>
        </w:rPr>
        <w:t xml:space="preserve"> de trabajo de los </w:t>
      </w:r>
      <w:r w:rsidR="00BF705C" w:rsidRPr="00A8564C">
        <w:rPr>
          <w:lang w:val="es-ES"/>
        </w:rPr>
        <w:t>examinadores de patentes de l</w:t>
      </w:r>
      <w:r w:rsidRPr="00A8564C">
        <w:rPr>
          <w:lang w:val="es-ES"/>
        </w:rPr>
        <w:t xml:space="preserve">a ILPO </w:t>
      </w:r>
      <w:r w:rsidR="00B03370" w:rsidRPr="00A8564C">
        <w:rPr>
          <w:lang w:val="es-ES"/>
        </w:rPr>
        <w:t xml:space="preserve">tienen </w:t>
      </w:r>
      <w:r w:rsidR="00EE5BA8" w:rsidRPr="00A8564C">
        <w:rPr>
          <w:lang w:val="es-ES"/>
        </w:rPr>
        <w:t xml:space="preserve">acceso a sistemas </w:t>
      </w:r>
      <w:r w:rsidR="00CE696D" w:rsidRPr="00A8564C">
        <w:rPr>
          <w:lang w:val="es-ES"/>
        </w:rPr>
        <w:t xml:space="preserve">automatizados </w:t>
      </w:r>
      <w:r w:rsidR="00B03370" w:rsidRPr="00A8564C">
        <w:rPr>
          <w:lang w:val="es-ES"/>
        </w:rPr>
        <w:t xml:space="preserve">internos para el examen de </w:t>
      </w:r>
      <w:r w:rsidR="00CB4DDA" w:rsidRPr="00A8564C">
        <w:rPr>
          <w:lang w:val="es-ES"/>
        </w:rPr>
        <w:t>las</w:t>
      </w:r>
      <w:r w:rsidR="00B03370" w:rsidRPr="00A8564C">
        <w:rPr>
          <w:lang w:val="es-ES"/>
        </w:rPr>
        <w:t xml:space="preserve"> so</w:t>
      </w:r>
      <w:r w:rsidR="00184BCD" w:rsidRPr="00A8564C">
        <w:rPr>
          <w:lang w:val="es-ES"/>
        </w:rPr>
        <w:t xml:space="preserve">licitudes nacionales </w:t>
      </w:r>
      <w:r w:rsidR="002C70DB" w:rsidRPr="00A8564C">
        <w:rPr>
          <w:lang w:val="es-ES"/>
        </w:rPr>
        <w:t>(PARSIL)</w:t>
      </w:r>
      <w:r w:rsidR="00B03370" w:rsidRPr="00A8564C">
        <w:rPr>
          <w:lang w:val="es-ES"/>
        </w:rPr>
        <w:t xml:space="preserve"> </w:t>
      </w:r>
      <w:r w:rsidR="00EE5BA8" w:rsidRPr="00A8564C">
        <w:rPr>
          <w:lang w:val="es-ES"/>
        </w:rPr>
        <w:t>e</w:t>
      </w:r>
      <w:r w:rsidR="00184BCD" w:rsidRPr="00A8564C">
        <w:rPr>
          <w:lang w:val="es-ES"/>
        </w:rPr>
        <w:t xml:space="preserve"> </w:t>
      </w:r>
      <w:r w:rsidR="00EE5BA8" w:rsidRPr="00A8564C">
        <w:rPr>
          <w:lang w:val="es-ES"/>
        </w:rPr>
        <w:t>internacionales (</w:t>
      </w:r>
      <w:r w:rsidR="002C70DB" w:rsidRPr="00A8564C">
        <w:rPr>
          <w:lang w:val="es-ES"/>
        </w:rPr>
        <w:t xml:space="preserve">PCT-SAPIA), </w:t>
      </w:r>
      <w:r w:rsidR="00B03370" w:rsidRPr="00A8564C">
        <w:rPr>
          <w:lang w:val="es-ES"/>
        </w:rPr>
        <w:t xml:space="preserve">y </w:t>
      </w:r>
      <w:r w:rsidR="009A795B" w:rsidRPr="00A8564C">
        <w:rPr>
          <w:lang w:val="es-ES"/>
        </w:rPr>
        <w:t xml:space="preserve">cuentan con </w:t>
      </w:r>
      <w:r w:rsidR="00EE5BA8" w:rsidRPr="00A8564C">
        <w:rPr>
          <w:lang w:val="es-ES"/>
        </w:rPr>
        <w:t xml:space="preserve">una conexión </w:t>
      </w:r>
      <w:r w:rsidR="002C70DB" w:rsidRPr="00A8564C">
        <w:rPr>
          <w:lang w:val="es-ES"/>
        </w:rPr>
        <w:t xml:space="preserve">internet </w:t>
      </w:r>
      <w:r w:rsidR="00B03370" w:rsidRPr="00A8564C">
        <w:rPr>
          <w:lang w:val="es-ES"/>
        </w:rPr>
        <w:t>de alta veloc</w:t>
      </w:r>
      <w:r w:rsidR="009A795B" w:rsidRPr="00A8564C">
        <w:rPr>
          <w:lang w:val="es-ES"/>
        </w:rPr>
        <w:t>idad</w:t>
      </w:r>
      <w:r w:rsidR="00EE5BA8" w:rsidRPr="00A8564C">
        <w:rPr>
          <w:lang w:val="es-ES"/>
        </w:rPr>
        <w:t xml:space="preserve"> que hace po</w:t>
      </w:r>
      <w:r w:rsidR="00B03370" w:rsidRPr="00A8564C">
        <w:rPr>
          <w:lang w:val="es-ES"/>
        </w:rPr>
        <w:t>sible la total accesibilidad a</w:t>
      </w:r>
      <w:r w:rsidR="002C70DB" w:rsidRPr="00A8564C">
        <w:rPr>
          <w:lang w:val="es-ES"/>
        </w:rPr>
        <w:t xml:space="preserve"> </w:t>
      </w:r>
      <w:r w:rsidR="00B03370" w:rsidRPr="00A8564C">
        <w:rPr>
          <w:lang w:val="es-ES"/>
        </w:rPr>
        <w:t xml:space="preserve">las redes </w:t>
      </w:r>
      <w:r w:rsidR="002C70DB" w:rsidRPr="00A8564C">
        <w:rPr>
          <w:lang w:val="es-ES"/>
        </w:rPr>
        <w:t xml:space="preserve">intranet </w:t>
      </w:r>
      <w:r w:rsidR="00B03370" w:rsidRPr="00A8564C">
        <w:rPr>
          <w:lang w:val="es-ES"/>
        </w:rPr>
        <w:t>e internet</w:t>
      </w:r>
      <w:r w:rsidR="009E7E5E" w:rsidRPr="00A8564C">
        <w:rPr>
          <w:lang w:val="es-ES"/>
        </w:rPr>
        <w:t xml:space="preserve">.  </w:t>
      </w:r>
      <w:r w:rsidR="00B03370" w:rsidRPr="00A8564C">
        <w:rPr>
          <w:lang w:val="es-ES"/>
        </w:rPr>
        <w:t xml:space="preserve">Cada </w:t>
      </w:r>
      <w:r w:rsidR="009A795B" w:rsidRPr="00A8564C">
        <w:rPr>
          <w:lang w:val="es-ES"/>
        </w:rPr>
        <w:t>estación</w:t>
      </w:r>
      <w:r w:rsidR="00B03370" w:rsidRPr="00A8564C">
        <w:rPr>
          <w:lang w:val="es-ES"/>
        </w:rPr>
        <w:t xml:space="preserve"> de trabajo </w:t>
      </w:r>
      <w:r w:rsidR="00EE5BA8" w:rsidRPr="00A8564C">
        <w:rPr>
          <w:lang w:val="es-ES"/>
        </w:rPr>
        <w:t>está</w:t>
      </w:r>
      <w:r w:rsidR="00B03370" w:rsidRPr="00A8564C">
        <w:rPr>
          <w:lang w:val="es-ES"/>
        </w:rPr>
        <w:t xml:space="preserve"> </w:t>
      </w:r>
      <w:r w:rsidR="009A795B" w:rsidRPr="00A8564C">
        <w:rPr>
          <w:lang w:val="es-ES"/>
        </w:rPr>
        <w:t>equipada</w:t>
      </w:r>
      <w:r w:rsidR="00EE5BA8" w:rsidRPr="00A8564C">
        <w:rPr>
          <w:lang w:val="es-ES"/>
        </w:rPr>
        <w:t xml:space="preserve"> con dos </w:t>
      </w:r>
      <w:r w:rsidR="009A795B" w:rsidRPr="00A8564C">
        <w:rPr>
          <w:lang w:val="es-ES"/>
        </w:rPr>
        <w:t xml:space="preserve">grandes </w:t>
      </w:r>
      <w:r w:rsidR="00B03370" w:rsidRPr="00A8564C">
        <w:rPr>
          <w:lang w:val="es-ES"/>
        </w:rPr>
        <w:t>pantallas</w:t>
      </w:r>
      <w:r w:rsidR="009E7E5E" w:rsidRPr="00A8564C">
        <w:rPr>
          <w:lang w:val="es-ES"/>
        </w:rPr>
        <w:t xml:space="preserve">.  </w:t>
      </w:r>
      <w:r w:rsidR="00B03370" w:rsidRPr="00A8564C">
        <w:rPr>
          <w:lang w:val="es-ES"/>
        </w:rPr>
        <w:t xml:space="preserve">Los </w:t>
      </w:r>
      <w:r w:rsidRPr="00A8564C">
        <w:rPr>
          <w:lang w:val="es-ES"/>
        </w:rPr>
        <w:t>examinadores</w:t>
      </w:r>
      <w:r w:rsidR="00B03370" w:rsidRPr="00A8564C">
        <w:rPr>
          <w:lang w:val="es-ES"/>
        </w:rPr>
        <w:t xml:space="preserve"> de patentes</w:t>
      </w:r>
      <w:r w:rsidR="009A795B" w:rsidRPr="00A8564C">
        <w:rPr>
          <w:lang w:val="es-ES"/>
        </w:rPr>
        <w:t xml:space="preserve"> disponen </w:t>
      </w:r>
      <w:r w:rsidR="00EE5BA8" w:rsidRPr="00A8564C">
        <w:rPr>
          <w:lang w:val="es-ES"/>
        </w:rPr>
        <w:t>así</w:t>
      </w:r>
      <w:r w:rsidR="00B03370" w:rsidRPr="00A8564C">
        <w:rPr>
          <w:lang w:val="es-ES"/>
        </w:rPr>
        <w:t xml:space="preserve"> </w:t>
      </w:r>
      <w:r w:rsidR="009A795B" w:rsidRPr="00A8564C">
        <w:rPr>
          <w:lang w:val="es-ES"/>
        </w:rPr>
        <w:t>de</w:t>
      </w:r>
      <w:r w:rsidR="00B03370" w:rsidRPr="00A8564C">
        <w:rPr>
          <w:lang w:val="es-ES"/>
        </w:rPr>
        <w:t xml:space="preserve"> </w:t>
      </w:r>
      <w:r w:rsidR="00EE5BA8" w:rsidRPr="00A8564C">
        <w:rPr>
          <w:lang w:val="es-ES"/>
        </w:rPr>
        <w:t xml:space="preserve">todos los </w:t>
      </w:r>
      <w:r w:rsidR="009A795B" w:rsidRPr="00A8564C">
        <w:rPr>
          <w:lang w:val="es-ES"/>
        </w:rPr>
        <w:t>materiales</w:t>
      </w:r>
      <w:r w:rsidR="00EE5BA8" w:rsidRPr="00A8564C">
        <w:rPr>
          <w:lang w:val="es-ES"/>
        </w:rPr>
        <w:t xml:space="preserve"> necesarios</w:t>
      </w:r>
      <w:r w:rsidR="00B03370" w:rsidRPr="00A8564C">
        <w:rPr>
          <w:lang w:val="es-ES"/>
        </w:rPr>
        <w:t xml:space="preserve"> para el desempeño de sus funciones de </w:t>
      </w:r>
      <w:r w:rsidR="00EE5BA8" w:rsidRPr="00A8564C">
        <w:rPr>
          <w:lang w:val="es-ES"/>
        </w:rPr>
        <w:t>búsqueda</w:t>
      </w:r>
      <w:r w:rsidR="00B03370" w:rsidRPr="00A8564C">
        <w:rPr>
          <w:lang w:val="es-ES"/>
        </w:rPr>
        <w:t xml:space="preserve"> y examen</w:t>
      </w:r>
      <w:r w:rsidR="002C70DB" w:rsidRPr="00A8564C">
        <w:rPr>
          <w:lang w:val="es-ES"/>
        </w:rPr>
        <w:t xml:space="preserve">. </w:t>
      </w:r>
    </w:p>
    <w:p w14:paraId="2F8CB6DB" w14:textId="77777777" w:rsidR="002C70DB" w:rsidRPr="00A8564C" w:rsidRDefault="002C70DB" w:rsidP="001755C3">
      <w:pPr>
        <w:rPr>
          <w:lang w:val="es-ES"/>
        </w:rPr>
      </w:pPr>
    </w:p>
    <w:p w14:paraId="444FC760" w14:textId="5123DC21" w:rsidR="002C70DB" w:rsidRPr="00A8564C" w:rsidRDefault="00B03370" w:rsidP="001755C3">
      <w:pPr>
        <w:rPr>
          <w:lang w:val="es-ES"/>
        </w:rPr>
      </w:pPr>
      <w:r w:rsidRPr="00A8564C">
        <w:rPr>
          <w:lang w:val="es-ES"/>
        </w:rPr>
        <w:t xml:space="preserve">Con el fin de </w:t>
      </w:r>
      <w:r w:rsidR="00EE5BA8" w:rsidRPr="00A8564C">
        <w:rPr>
          <w:lang w:val="es-ES"/>
        </w:rPr>
        <w:t>mejorar</w:t>
      </w:r>
      <w:r w:rsidRPr="00A8564C">
        <w:rPr>
          <w:lang w:val="es-ES"/>
        </w:rPr>
        <w:t xml:space="preserve"> la eficacia </w:t>
      </w:r>
      <w:r w:rsidR="009A795B" w:rsidRPr="00A8564C">
        <w:rPr>
          <w:lang w:val="es-ES"/>
        </w:rPr>
        <w:t>y los aspectos prácticos de</w:t>
      </w:r>
      <w:r w:rsidRPr="00A8564C">
        <w:rPr>
          <w:lang w:val="es-ES"/>
        </w:rPr>
        <w:t xml:space="preserve"> </w:t>
      </w:r>
      <w:r w:rsidR="009A795B" w:rsidRPr="00A8564C">
        <w:rPr>
          <w:lang w:val="es-ES"/>
        </w:rPr>
        <w:t>la</w:t>
      </w:r>
      <w:r w:rsidRPr="00A8564C">
        <w:rPr>
          <w:lang w:val="es-ES"/>
        </w:rPr>
        <w:t xml:space="preserve"> labor de los </w:t>
      </w:r>
      <w:r w:rsidR="00B06CD7" w:rsidRPr="00A8564C">
        <w:rPr>
          <w:lang w:val="es-ES"/>
        </w:rPr>
        <w:t>examinadores</w:t>
      </w:r>
      <w:r w:rsidRPr="00A8564C">
        <w:rPr>
          <w:lang w:val="es-ES"/>
        </w:rPr>
        <w:t xml:space="preserve">, sobre todo de los que viven fuera de </w:t>
      </w:r>
      <w:r w:rsidR="00EE5BA8" w:rsidRPr="00A8564C">
        <w:rPr>
          <w:lang w:val="es-ES"/>
        </w:rPr>
        <w:t>Jerusalén</w:t>
      </w:r>
      <w:r w:rsidR="002C70DB" w:rsidRPr="00A8564C">
        <w:rPr>
          <w:lang w:val="es-ES"/>
        </w:rPr>
        <w:t xml:space="preserve">, </w:t>
      </w:r>
      <w:r w:rsidR="009A795B" w:rsidRPr="00A8564C">
        <w:rPr>
          <w:lang w:val="es-ES"/>
        </w:rPr>
        <w:t>se ha puesto en marcha un p</w:t>
      </w:r>
      <w:r w:rsidRPr="00A8564C">
        <w:rPr>
          <w:lang w:val="es-ES"/>
        </w:rPr>
        <w:t>royecto de teletrabajo</w:t>
      </w:r>
      <w:r w:rsidR="009A795B" w:rsidRPr="00A8564C">
        <w:rPr>
          <w:lang w:val="es-ES"/>
        </w:rPr>
        <w:t>,</w:t>
      </w:r>
      <w:r w:rsidRPr="00A8564C">
        <w:rPr>
          <w:lang w:val="es-ES"/>
        </w:rPr>
        <w:t xml:space="preserve"> en el que </w:t>
      </w:r>
      <w:r w:rsidR="00EE5BA8" w:rsidRPr="00A8564C">
        <w:rPr>
          <w:lang w:val="es-ES"/>
        </w:rPr>
        <w:t>participa</w:t>
      </w:r>
      <w:r w:rsidRPr="00A8564C">
        <w:rPr>
          <w:lang w:val="es-ES"/>
        </w:rPr>
        <w:t xml:space="preserve"> el 25% de los </w:t>
      </w:r>
      <w:r w:rsidR="00B06CD7" w:rsidRPr="00A8564C">
        <w:rPr>
          <w:lang w:val="es-ES"/>
        </w:rPr>
        <w:t>examinadores</w:t>
      </w:r>
      <w:r w:rsidR="009E7E5E" w:rsidRPr="00A8564C">
        <w:rPr>
          <w:lang w:val="es-ES"/>
        </w:rPr>
        <w:t xml:space="preserve">.  </w:t>
      </w:r>
      <w:r w:rsidRPr="00A8564C">
        <w:rPr>
          <w:lang w:val="es-ES"/>
        </w:rPr>
        <w:t xml:space="preserve">Este </w:t>
      </w:r>
      <w:r w:rsidR="00AF7199" w:rsidRPr="00A8564C">
        <w:rPr>
          <w:lang w:val="es-ES"/>
        </w:rPr>
        <w:t xml:space="preserve">programa, que es el primer proyecto experimental de teletrabajo </w:t>
      </w:r>
      <w:r w:rsidR="00EE5BA8" w:rsidRPr="00A8564C">
        <w:rPr>
          <w:lang w:val="es-ES"/>
        </w:rPr>
        <w:t>oficial</w:t>
      </w:r>
      <w:r w:rsidR="00AF7199" w:rsidRPr="00A8564C">
        <w:rPr>
          <w:lang w:val="es-ES"/>
        </w:rPr>
        <w:t xml:space="preserve"> para los </w:t>
      </w:r>
      <w:r w:rsidR="00EE5BA8" w:rsidRPr="00A8564C">
        <w:rPr>
          <w:lang w:val="es-ES"/>
        </w:rPr>
        <w:t>funcionarios</w:t>
      </w:r>
      <w:r w:rsidR="00AF7199" w:rsidRPr="00A8564C">
        <w:rPr>
          <w:lang w:val="es-ES"/>
        </w:rPr>
        <w:t xml:space="preserve"> del Gobierno de Israel, ha dado </w:t>
      </w:r>
      <w:r w:rsidR="00EE5BA8" w:rsidRPr="00A8564C">
        <w:rPr>
          <w:lang w:val="es-ES"/>
        </w:rPr>
        <w:t>resultados</w:t>
      </w:r>
      <w:r w:rsidR="00AF7199" w:rsidRPr="00A8564C">
        <w:rPr>
          <w:lang w:val="es-ES"/>
        </w:rPr>
        <w:t xml:space="preserve"> muy </w:t>
      </w:r>
      <w:r w:rsidR="00EE5BA8" w:rsidRPr="00A8564C">
        <w:rPr>
          <w:lang w:val="es-ES"/>
        </w:rPr>
        <w:t>satisfactorios</w:t>
      </w:r>
      <w:r w:rsidR="00AF7199" w:rsidRPr="00A8564C">
        <w:rPr>
          <w:lang w:val="es-ES"/>
        </w:rPr>
        <w:t>.</w:t>
      </w:r>
      <w:r w:rsidR="002C70DB" w:rsidRPr="00A8564C">
        <w:rPr>
          <w:lang w:val="es-ES"/>
        </w:rPr>
        <w:t xml:space="preserve"> </w:t>
      </w:r>
    </w:p>
    <w:p w14:paraId="43A08338" w14:textId="77777777" w:rsidR="002C70DB" w:rsidRPr="00A8564C" w:rsidRDefault="002C70DB" w:rsidP="001755C3">
      <w:pPr>
        <w:rPr>
          <w:lang w:val="es-ES"/>
        </w:rPr>
      </w:pPr>
    </w:p>
    <w:p w14:paraId="7FD6D0E9" w14:textId="6902D695" w:rsidR="002C70DB" w:rsidRPr="00A8564C" w:rsidRDefault="00B06CD7" w:rsidP="001755C3">
      <w:pPr>
        <w:rPr>
          <w:lang w:val="es-ES"/>
        </w:rPr>
      </w:pPr>
      <w:r w:rsidRPr="00A8564C">
        <w:rPr>
          <w:lang w:val="es-ES"/>
        </w:rPr>
        <w:t xml:space="preserve">La </w:t>
      </w:r>
      <w:r w:rsidR="00E97F4D" w:rsidRPr="00A8564C">
        <w:rPr>
          <w:lang w:val="es-ES"/>
        </w:rPr>
        <w:t xml:space="preserve">intranet de la </w:t>
      </w:r>
      <w:r w:rsidRPr="00A8564C">
        <w:rPr>
          <w:lang w:val="es-ES"/>
        </w:rPr>
        <w:t>ILPO</w:t>
      </w:r>
      <w:r w:rsidR="00E97F4D" w:rsidRPr="00A8564C">
        <w:rPr>
          <w:lang w:val="es-ES"/>
        </w:rPr>
        <w:t xml:space="preserve"> </w:t>
      </w:r>
      <w:r w:rsidR="00EE5BA8" w:rsidRPr="00A8564C">
        <w:rPr>
          <w:lang w:val="es-ES"/>
        </w:rPr>
        <w:t xml:space="preserve">ofrece acceso a los textos </w:t>
      </w:r>
      <w:r w:rsidR="00C43C35" w:rsidRPr="00A8564C">
        <w:rPr>
          <w:lang w:val="es-ES"/>
        </w:rPr>
        <w:t>jurídicos</w:t>
      </w:r>
      <w:r w:rsidR="00EE5BA8" w:rsidRPr="00A8564C">
        <w:rPr>
          <w:lang w:val="es-ES"/>
        </w:rPr>
        <w:t xml:space="preserve"> </w:t>
      </w:r>
      <w:r w:rsidR="00C43C35" w:rsidRPr="00A8564C">
        <w:rPr>
          <w:lang w:val="es-ES"/>
        </w:rPr>
        <w:t>nacionales</w:t>
      </w:r>
      <w:r w:rsidR="00EE5BA8" w:rsidRPr="00A8564C">
        <w:rPr>
          <w:lang w:val="es-ES"/>
        </w:rPr>
        <w:t xml:space="preserve"> y del </w:t>
      </w:r>
      <w:r w:rsidR="002C70DB" w:rsidRPr="00A8564C">
        <w:rPr>
          <w:lang w:val="es-ES"/>
        </w:rPr>
        <w:t xml:space="preserve">PCT; </w:t>
      </w:r>
      <w:r w:rsidR="00BD2847">
        <w:rPr>
          <w:lang w:val="es-ES"/>
        </w:rPr>
        <w:t xml:space="preserve"> </w:t>
      </w:r>
      <w:r w:rsidR="004107AC" w:rsidRPr="00A8564C">
        <w:rPr>
          <w:lang w:val="es-ES"/>
        </w:rPr>
        <w:t>circul</w:t>
      </w:r>
      <w:r w:rsidR="00EE5BA8" w:rsidRPr="00A8564C">
        <w:rPr>
          <w:lang w:val="es-ES"/>
        </w:rPr>
        <w:t xml:space="preserve">ares y </w:t>
      </w:r>
      <w:r w:rsidR="009A795B" w:rsidRPr="00A8564C">
        <w:rPr>
          <w:lang w:val="es-ES"/>
        </w:rPr>
        <w:t>notificaciones</w:t>
      </w:r>
      <w:r w:rsidR="00EE5BA8" w:rsidRPr="00A8564C">
        <w:rPr>
          <w:lang w:val="es-ES"/>
        </w:rPr>
        <w:t xml:space="preserve"> del </w:t>
      </w:r>
      <w:r w:rsidR="0052153D">
        <w:rPr>
          <w:lang w:val="es-ES"/>
        </w:rPr>
        <w:t>Comisionado</w:t>
      </w:r>
      <w:r w:rsidR="002C70DB" w:rsidRPr="00A8564C">
        <w:rPr>
          <w:lang w:val="es-ES"/>
        </w:rPr>
        <w:t xml:space="preserve">; </w:t>
      </w:r>
      <w:r w:rsidR="005B4052" w:rsidRPr="00A8564C">
        <w:rPr>
          <w:lang w:val="es-ES"/>
        </w:rPr>
        <w:t xml:space="preserve">las </w:t>
      </w:r>
      <w:r w:rsidR="00EE5BA8" w:rsidRPr="00A8564C">
        <w:rPr>
          <w:lang w:val="es-ES"/>
        </w:rPr>
        <w:t xml:space="preserve">directrices </w:t>
      </w:r>
      <w:r w:rsidR="00C43C35" w:rsidRPr="00A8564C">
        <w:rPr>
          <w:lang w:val="es-ES"/>
        </w:rPr>
        <w:t>relativas</w:t>
      </w:r>
      <w:r w:rsidR="00EE5BA8" w:rsidRPr="00A8564C">
        <w:rPr>
          <w:lang w:val="es-ES"/>
        </w:rPr>
        <w:t xml:space="preserve"> al examen</w:t>
      </w:r>
      <w:r w:rsidR="002C70DB" w:rsidRPr="00A8564C">
        <w:rPr>
          <w:lang w:val="es-ES"/>
        </w:rPr>
        <w:t xml:space="preserve">; </w:t>
      </w:r>
      <w:r w:rsidR="004107AC" w:rsidRPr="00A8564C">
        <w:rPr>
          <w:lang w:val="es-ES"/>
        </w:rPr>
        <w:t xml:space="preserve">enlaces a </w:t>
      </w:r>
      <w:r w:rsidR="00EE5BA8" w:rsidRPr="00A8564C">
        <w:rPr>
          <w:lang w:val="es-ES"/>
        </w:rPr>
        <w:t xml:space="preserve">bases de datos y fuentes de </w:t>
      </w:r>
      <w:r w:rsidR="00C43C35" w:rsidRPr="00A8564C">
        <w:rPr>
          <w:lang w:val="es-ES"/>
        </w:rPr>
        <w:t>información</w:t>
      </w:r>
      <w:r w:rsidR="00EE5BA8" w:rsidRPr="00A8564C">
        <w:rPr>
          <w:lang w:val="es-ES"/>
        </w:rPr>
        <w:t xml:space="preserve"> sobre cuestiones jurídic</w:t>
      </w:r>
      <w:r w:rsidR="004107AC" w:rsidRPr="00A8564C">
        <w:rPr>
          <w:lang w:val="es-ES"/>
        </w:rPr>
        <w:t xml:space="preserve">as y </w:t>
      </w:r>
      <w:r w:rsidR="005B4052" w:rsidRPr="00A8564C">
        <w:rPr>
          <w:lang w:val="es-ES"/>
        </w:rPr>
        <w:t>aspectos relacionados con patentes y con otros temas</w:t>
      </w:r>
      <w:r w:rsidR="002C70DB" w:rsidRPr="00A8564C">
        <w:rPr>
          <w:lang w:val="es-ES"/>
        </w:rPr>
        <w:t xml:space="preserve">; </w:t>
      </w:r>
      <w:r w:rsidR="00EE5BA8" w:rsidRPr="00A8564C">
        <w:rPr>
          <w:lang w:val="es-ES"/>
        </w:rPr>
        <w:t xml:space="preserve">instrucciones </w:t>
      </w:r>
      <w:r w:rsidR="00C43C35" w:rsidRPr="00A8564C">
        <w:rPr>
          <w:lang w:val="es-ES"/>
        </w:rPr>
        <w:t>internas</w:t>
      </w:r>
      <w:r w:rsidR="002C70DB" w:rsidRPr="00A8564C">
        <w:rPr>
          <w:lang w:val="es-ES"/>
        </w:rPr>
        <w:t xml:space="preserve">; </w:t>
      </w:r>
      <w:r w:rsidR="00EE5BA8" w:rsidRPr="00A8564C">
        <w:rPr>
          <w:lang w:val="es-ES"/>
        </w:rPr>
        <w:t>el manual de calidad</w:t>
      </w:r>
      <w:r w:rsidR="002C70DB" w:rsidRPr="00A8564C">
        <w:rPr>
          <w:lang w:val="es-ES"/>
        </w:rPr>
        <w:t xml:space="preserve">; </w:t>
      </w:r>
      <w:r w:rsidR="00EE5BA8" w:rsidRPr="00A8564C">
        <w:rPr>
          <w:lang w:val="es-ES"/>
        </w:rPr>
        <w:t>documentación sobre las reuniones de</w:t>
      </w:r>
      <w:r w:rsidR="005B4052" w:rsidRPr="00A8564C">
        <w:rPr>
          <w:lang w:val="es-ES"/>
        </w:rPr>
        <w:t xml:space="preserve"> </w:t>
      </w:r>
      <w:r w:rsidR="00EE5BA8" w:rsidRPr="00A8564C">
        <w:rPr>
          <w:lang w:val="es-ES"/>
        </w:rPr>
        <w:t>los equipos</w:t>
      </w:r>
      <w:r w:rsidR="002C70DB" w:rsidRPr="00A8564C">
        <w:rPr>
          <w:lang w:val="es-ES"/>
        </w:rPr>
        <w:t xml:space="preserve"> (</w:t>
      </w:r>
      <w:r w:rsidR="00C43C35" w:rsidRPr="00A8564C">
        <w:rPr>
          <w:lang w:val="es-ES"/>
        </w:rPr>
        <w:t>fechas</w:t>
      </w:r>
      <w:r w:rsidR="00EE5BA8" w:rsidRPr="00A8564C">
        <w:rPr>
          <w:lang w:val="es-ES"/>
        </w:rPr>
        <w:t xml:space="preserve"> de las reuniones y el resumen de los debates y conclusiones</w:t>
      </w:r>
      <w:r w:rsidR="002C70DB" w:rsidRPr="00A8564C">
        <w:rPr>
          <w:lang w:val="es-ES"/>
        </w:rPr>
        <w:t xml:space="preserve">); </w:t>
      </w:r>
      <w:r w:rsidR="00EE5BA8" w:rsidRPr="00A8564C">
        <w:rPr>
          <w:lang w:val="es-ES"/>
        </w:rPr>
        <w:t xml:space="preserve">materiales de </w:t>
      </w:r>
      <w:r w:rsidR="00C43C35" w:rsidRPr="00A8564C">
        <w:rPr>
          <w:lang w:val="es-ES"/>
        </w:rPr>
        <w:t>formación</w:t>
      </w:r>
      <w:r w:rsidR="00EE5BA8" w:rsidRPr="00A8564C">
        <w:rPr>
          <w:lang w:val="es-ES"/>
        </w:rPr>
        <w:t xml:space="preserve"> y </w:t>
      </w:r>
      <w:r w:rsidR="00C43C35" w:rsidRPr="00A8564C">
        <w:rPr>
          <w:lang w:val="es-ES"/>
        </w:rPr>
        <w:t>herramientas</w:t>
      </w:r>
      <w:r w:rsidR="00EE5BA8" w:rsidRPr="00A8564C">
        <w:rPr>
          <w:lang w:val="es-ES"/>
        </w:rPr>
        <w:t xml:space="preserve"> </w:t>
      </w:r>
      <w:r w:rsidR="00C43C35" w:rsidRPr="00A8564C">
        <w:rPr>
          <w:lang w:val="es-ES"/>
        </w:rPr>
        <w:t>de edición</w:t>
      </w:r>
      <w:r w:rsidR="00EE5BA8" w:rsidRPr="00A8564C">
        <w:rPr>
          <w:lang w:val="es-ES"/>
        </w:rPr>
        <w:t xml:space="preserve"> </w:t>
      </w:r>
      <w:r w:rsidR="00C43C35" w:rsidRPr="00A8564C">
        <w:rPr>
          <w:lang w:val="es-ES"/>
        </w:rPr>
        <w:t>avanzadas</w:t>
      </w:r>
      <w:r w:rsidR="002C70DB" w:rsidRPr="00A8564C">
        <w:rPr>
          <w:lang w:val="es-ES"/>
        </w:rPr>
        <w:t xml:space="preserve"> (</w:t>
      </w:r>
      <w:r w:rsidR="00EE5BA8" w:rsidRPr="00A8564C">
        <w:rPr>
          <w:lang w:val="es-ES"/>
        </w:rPr>
        <w:t>reconocimiento</w:t>
      </w:r>
      <w:r w:rsidR="00C43C35" w:rsidRPr="00A8564C">
        <w:rPr>
          <w:lang w:val="es-ES"/>
        </w:rPr>
        <w:t xml:space="preserve"> óptico</w:t>
      </w:r>
      <w:r w:rsidR="00EE5BA8" w:rsidRPr="00A8564C">
        <w:rPr>
          <w:lang w:val="es-ES"/>
        </w:rPr>
        <w:t xml:space="preserve"> de caracteres,</w:t>
      </w:r>
      <w:r w:rsidR="00C43C35" w:rsidRPr="00A8564C">
        <w:rPr>
          <w:lang w:val="es-ES"/>
        </w:rPr>
        <w:t xml:space="preserve"> división y fusión de documentos</w:t>
      </w:r>
      <w:r w:rsidR="002C70DB" w:rsidRPr="00A8564C">
        <w:rPr>
          <w:lang w:val="es-ES"/>
        </w:rPr>
        <w:t xml:space="preserve">, </w:t>
      </w:r>
      <w:r w:rsidR="00C43C35" w:rsidRPr="00A8564C">
        <w:rPr>
          <w:lang w:val="es-ES"/>
        </w:rPr>
        <w:t>inserción de páginas,</w:t>
      </w:r>
      <w:r w:rsidR="002C70DB" w:rsidRPr="00A8564C">
        <w:rPr>
          <w:lang w:val="es-ES"/>
        </w:rPr>
        <w:t xml:space="preserve"> </w:t>
      </w:r>
      <w:r w:rsidR="00C43C35" w:rsidRPr="00A8564C">
        <w:rPr>
          <w:lang w:val="es-ES"/>
        </w:rPr>
        <w:t xml:space="preserve">conversión de archivos a </w:t>
      </w:r>
      <w:r w:rsidR="002C70DB" w:rsidRPr="00A8564C">
        <w:rPr>
          <w:lang w:val="es-ES"/>
        </w:rPr>
        <w:t xml:space="preserve">PDF, </w:t>
      </w:r>
      <w:r w:rsidR="00C43C35" w:rsidRPr="00A8564C">
        <w:rPr>
          <w:lang w:val="es-ES"/>
        </w:rPr>
        <w:t xml:space="preserve">conversión de archivos </w:t>
      </w:r>
      <w:r w:rsidR="002C70DB" w:rsidRPr="00A8564C">
        <w:rPr>
          <w:lang w:val="es-ES"/>
        </w:rPr>
        <w:t xml:space="preserve">PDF </w:t>
      </w:r>
      <w:r w:rsidR="00C43C35" w:rsidRPr="00A8564C">
        <w:rPr>
          <w:lang w:val="es-ES"/>
        </w:rPr>
        <w:t>a documentos</w:t>
      </w:r>
      <w:r w:rsidR="002C70DB" w:rsidRPr="00A8564C">
        <w:rPr>
          <w:lang w:val="es-ES"/>
        </w:rPr>
        <w:t xml:space="preserve"> MS Office). </w:t>
      </w:r>
    </w:p>
    <w:p w14:paraId="6F19651D" w14:textId="77777777" w:rsidR="002C70DB" w:rsidRPr="00A8564C" w:rsidRDefault="002C70DB" w:rsidP="001755C3">
      <w:pPr>
        <w:rPr>
          <w:lang w:val="es-ES"/>
        </w:rPr>
      </w:pPr>
    </w:p>
    <w:p w14:paraId="3C490E15" w14:textId="71115A6F" w:rsidR="002C70DB" w:rsidRPr="00A8564C" w:rsidRDefault="005B4052" w:rsidP="001755C3">
      <w:pPr>
        <w:rPr>
          <w:lang w:val="es-ES"/>
        </w:rPr>
      </w:pPr>
      <w:r w:rsidRPr="00A8564C">
        <w:rPr>
          <w:lang w:val="es-ES"/>
        </w:rPr>
        <w:t>La</w:t>
      </w:r>
      <w:r w:rsidR="00C43C35" w:rsidRPr="00A8564C">
        <w:rPr>
          <w:lang w:val="es-ES"/>
        </w:rPr>
        <w:t xml:space="preserve"> </w:t>
      </w:r>
      <w:r w:rsidRPr="00A8564C">
        <w:rPr>
          <w:lang w:val="es-ES"/>
        </w:rPr>
        <w:t>Dirección de S</w:t>
      </w:r>
      <w:r w:rsidR="00C43C35" w:rsidRPr="00A8564C">
        <w:rPr>
          <w:lang w:val="es-ES"/>
        </w:rPr>
        <w:t>ervicios de l</w:t>
      </w:r>
      <w:r w:rsidR="00B06CD7" w:rsidRPr="00A8564C">
        <w:rPr>
          <w:lang w:val="es-ES"/>
        </w:rPr>
        <w:t>a ILPO</w:t>
      </w:r>
      <w:r w:rsidR="00C43C35" w:rsidRPr="00A8564C">
        <w:rPr>
          <w:lang w:val="es-ES"/>
        </w:rPr>
        <w:t xml:space="preserve"> </w:t>
      </w:r>
      <w:r w:rsidRPr="00A8564C">
        <w:rPr>
          <w:lang w:val="es-ES"/>
        </w:rPr>
        <w:t xml:space="preserve">se ocupa de </w:t>
      </w:r>
      <w:r w:rsidR="00C43C35" w:rsidRPr="00A8564C">
        <w:rPr>
          <w:lang w:val="es-ES"/>
        </w:rPr>
        <w:t xml:space="preserve">la </w:t>
      </w:r>
      <w:r w:rsidRPr="00A8564C">
        <w:rPr>
          <w:lang w:val="es-ES"/>
        </w:rPr>
        <w:t>ejecu</w:t>
      </w:r>
      <w:r w:rsidR="00C43C35" w:rsidRPr="00A8564C">
        <w:rPr>
          <w:lang w:val="es-ES"/>
        </w:rPr>
        <w:t>ción de la norma de la Biblioteca de Infraestructura de Tecnología</w:t>
      </w:r>
      <w:r w:rsidR="00EA4C7B" w:rsidRPr="00A8564C">
        <w:rPr>
          <w:lang w:val="es-ES"/>
        </w:rPr>
        <w:t>s</w:t>
      </w:r>
      <w:r w:rsidR="00C43C35" w:rsidRPr="00A8564C">
        <w:rPr>
          <w:lang w:val="es-ES"/>
        </w:rPr>
        <w:t xml:space="preserve"> de </w:t>
      </w:r>
      <w:r w:rsidR="00EA4C7B" w:rsidRPr="00A8564C">
        <w:rPr>
          <w:lang w:val="es-ES"/>
        </w:rPr>
        <w:t xml:space="preserve">la </w:t>
      </w:r>
      <w:r w:rsidR="00E1209A" w:rsidRPr="00A8564C">
        <w:rPr>
          <w:lang w:val="es-ES"/>
        </w:rPr>
        <w:t>Información</w:t>
      </w:r>
      <w:r w:rsidR="00C43C35" w:rsidRPr="00A8564C">
        <w:rPr>
          <w:lang w:val="es-ES"/>
        </w:rPr>
        <w:t xml:space="preserve"> </w:t>
      </w:r>
      <w:r w:rsidR="002C70DB" w:rsidRPr="00A8564C">
        <w:rPr>
          <w:lang w:val="es-ES"/>
        </w:rPr>
        <w:t>(ITIL)</w:t>
      </w:r>
      <w:r w:rsidR="00C43C35" w:rsidRPr="00A8564C">
        <w:rPr>
          <w:lang w:val="es-ES"/>
        </w:rPr>
        <w:t>.</w:t>
      </w:r>
      <w:r w:rsidR="009E7E5E" w:rsidRPr="00A8564C">
        <w:rPr>
          <w:lang w:val="es-ES"/>
        </w:rPr>
        <w:t xml:space="preserve">  </w:t>
      </w:r>
      <w:r w:rsidR="00EA4C7B" w:rsidRPr="00A8564C">
        <w:rPr>
          <w:lang w:val="es-ES"/>
        </w:rPr>
        <w:t xml:space="preserve">La </w:t>
      </w:r>
      <w:r w:rsidRPr="00A8564C">
        <w:rPr>
          <w:lang w:val="es-ES"/>
        </w:rPr>
        <w:t>Oficina ha</w:t>
      </w:r>
      <w:r w:rsidR="00EA4C7B" w:rsidRPr="00A8564C">
        <w:rPr>
          <w:lang w:val="es-ES"/>
        </w:rPr>
        <w:t xml:space="preserve"> adoptado una política de recuperación en caso de desastre y ha </w:t>
      </w:r>
      <w:r w:rsidR="00700D6C" w:rsidRPr="00A8564C">
        <w:rPr>
          <w:lang w:val="es-ES"/>
        </w:rPr>
        <w:t>p</w:t>
      </w:r>
      <w:r w:rsidR="00EA4C7B" w:rsidRPr="00A8564C">
        <w:rPr>
          <w:lang w:val="es-ES"/>
        </w:rPr>
        <w:t xml:space="preserve">uesto en marcha el sistema </w:t>
      </w:r>
      <w:r w:rsidR="002C70DB" w:rsidRPr="00A8564C">
        <w:rPr>
          <w:lang w:val="es-ES"/>
        </w:rPr>
        <w:t>GeoCluster</w:t>
      </w:r>
      <w:r w:rsidR="00EA4C7B" w:rsidRPr="00A8564C">
        <w:rPr>
          <w:lang w:val="es-ES"/>
        </w:rPr>
        <w:t xml:space="preserve">, que protege a la </w:t>
      </w:r>
      <w:r w:rsidR="00E1209A" w:rsidRPr="00A8564C">
        <w:rPr>
          <w:lang w:val="es-ES"/>
        </w:rPr>
        <w:t>organización</w:t>
      </w:r>
      <w:r w:rsidR="00EA4C7B" w:rsidRPr="00A8564C">
        <w:rPr>
          <w:lang w:val="es-ES"/>
        </w:rPr>
        <w:t xml:space="preserve"> de fallos de los eq</w:t>
      </w:r>
      <w:r w:rsidR="00700D6C" w:rsidRPr="00A8564C">
        <w:rPr>
          <w:lang w:val="es-ES"/>
        </w:rPr>
        <w:t>u</w:t>
      </w:r>
      <w:r w:rsidR="00EA4C7B" w:rsidRPr="00A8564C">
        <w:rPr>
          <w:lang w:val="es-ES"/>
        </w:rPr>
        <w:t>ipos</w:t>
      </w:r>
      <w:r w:rsidR="002C70DB" w:rsidRPr="00A8564C">
        <w:rPr>
          <w:lang w:val="es-ES"/>
        </w:rPr>
        <w:t xml:space="preserve">, </w:t>
      </w:r>
      <w:r w:rsidR="00EA4C7B" w:rsidRPr="00A8564C">
        <w:rPr>
          <w:lang w:val="es-ES"/>
        </w:rPr>
        <w:t>cortes de electricidad y desastres naturales</w:t>
      </w:r>
      <w:r w:rsidR="009E7E5E" w:rsidRPr="00A8564C">
        <w:rPr>
          <w:lang w:val="es-ES"/>
        </w:rPr>
        <w:t xml:space="preserve">.  </w:t>
      </w:r>
      <w:r w:rsidR="00EA4C7B" w:rsidRPr="00A8564C">
        <w:rPr>
          <w:lang w:val="es-ES"/>
        </w:rPr>
        <w:t xml:space="preserve">El </w:t>
      </w:r>
      <w:r w:rsidR="00700D6C" w:rsidRPr="00A8564C">
        <w:rPr>
          <w:lang w:val="es-ES"/>
        </w:rPr>
        <w:t xml:space="preserve">nivel de seguridad de los datos del nodo del </w:t>
      </w:r>
      <w:r w:rsidR="00EA4C7B" w:rsidRPr="00A8564C">
        <w:rPr>
          <w:lang w:val="es-ES"/>
        </w:rPr>
        <w:t xml:space="preserve">servidor de la </w:t>
      </w:r>
      <w:r w:rsidR="00B06CD7" w:rsidRPr="00A8564C">
        <w:rPr>
          <w:lang w:val="es-ES"/>
        </w:rPr>
        <w:t>ILPO</w:t>
      </w:r>
      <w:r w:rsidR="00700D6C" w:rsidRPr="00A8564C">
        <w:rPr>
          <w:lang w:val="es-ES"/>
        </w:rPr>
        <w:t xml:space="preserve"> es sumamente elevado</w:t>
      </w:r>
      <w:r w:rsidR="002C70DB" w:rsidRPr="00A8564C">
        <w:rPr>
          <w:lang w:val="es-ES"/>
        </w:rPr>
        <w:t xml:space="preserve">, </w:t>
      </w:r>
      <w:r w:rsidR="00700D6C" w:rsidRPr="00A8564C">
        <w:rPr>
          <w:lang w:val="es-ES"/>
        </w:rPr>
        <w:t xml:space="preserve">ya que usa varios cortafuegos y un riguroso sistema </w:t>
      </w:r>
      <w:r w:rsidR="00E1209A" w:rsidRPr="00A8564C">
        <w:rPr>
          <w:lang w:val="es-ES"/>
        </w:rPr>
        <w:t xml:space="preserve">gubernamental </w:t>
      </w:r>
      <w:r w:rsidR="00BB306C" w:rsidRPr="00A8564C">
        <w:rPr>
          <w:lang w:val="es-ES"/>
        </w:rPr>
        <w:t xml:space="preserve">de seguridad </w:t>
      </w:r>
      <w:r w:rsidR="00E1209A" w:rsidRPr="00A8564C">
        <w:rPr>
          <w:lang w:val="es-ES"/>
        </w:rPr>
        <w:t xml:space="preserve">que </w:t>
      </w:r>
      <w:r w:rsidR="00BB306C" w:rsidRPr="00A8564C">
        <w:rPr>
          <w:lang w:val="es-ES"/>
        </w:rPr>
        <w:t xml:space="preserve">ofrece protección y </w:t>
      </w:r>
      <w:r w:rsidR="00E1209A" w:rsidRPr="00A8564C">
        <w:rPr>
          <w:lang w:val="es-ES"/>
        </w:rPr>
        <w:t xml:space="preserve">seguridad </w:t>
      </w:r>
      <w:r w:rsidR="00BB306C" w:rsidRPr="00A8564C">
        <w:rPr>
          <w:lang w:val="es-ES"/>
        </w:rPr>
        <w:t xml:space="preserve">en </w:t>
      </w:r>
      <w:r w:rsidR="00E1209A" w:rsidRPr="00A8564C">
        <w:rPr>
          <w:lang w:val="es-ES"/>
        </w:rPr>
        <w:t>diversos aspectos</w:t>
      </w:r>
      <w:r w:rsidR="002C70DB" w:rsidRPr="00A8564C">
        <w:rPr>
          <w:lang w:val="es-ES"/>
        </w:rPr>
        <w:t xml:space="preserve">. </w:t>
      </w:r>
    </w:p>
    <w:p w14:paraId="59AE21E8" w14:textId="77777777" w:rsidR="002C70DB" w:rsidRPr="00A8564C" w:rsidRDefault="002C70DB" w:rsidP="001755C3">
      <w:pPr>
        <w:rPr>
          <w:lang w:val="es-ES"/>
        </w:rPr>
      </w:pPr>
    </w:p>
    <w:p w14:paraId="085798CD" w14:textId="44D2347E" w:rsidR="002C70DB" w:rsidRPr="00A8564C" w:rsidRDefault="002C70DB" w:rsidP="001755C3">
      <w:pPr>
        <w:pStyle w:val="Heading3"/>
        <w:rPr>
          <w:lang w:val="es-ES"/>
        </w:rPr>
      </w:pPr>
      <w:r w:rsidRPr="00A8564C">
        <w:rPr>
          <w:lang w:val="es-ES"/>
        </w:rPr>
        <w:t>2.1.</w:t>
      </w:r>
      <w:r w:rsidR="001755C3" w:rsidRPr="00A8564C">
        <w:rPr>
          <w:lang w:val="es-ES"/>
        </w:rPr>
        <w:t>4</w:t>
      </w:r>
      <w:r w:rsidR="009E7E5E" w:rsidRPr="00A8564C">
        <w:rPr>
          <w:lang w:val="es-ES"/>
        </w:rPr>
        <w:t xml:space="preserve">.  </w:t>
      </w:r>
      <w:r w:rsidR="00C43C35" w:rsidRPr="00A8564C">
        <w:rPr>
          <w:lang w:val="es-ES"/>
        </w:rPr>
        <w:t xml:space="preserve">Programas de </w:t>
      </w:r>
      <w:r w:rsidR="00E1209A" w:rsidRPr="00A8564C">
        <w:rPr>
          <w:lang w:val="es-ES"/>
        </w:rPr>
        <w:t>formación</w:t>
      </w:r>
    </w:p>
    <w:p w14:paraId="238DA9F2" w14:textId="77777777" w:rsidR="002C70DB" w:rsidRPr="00A8564C" w:rsidRDefault="002C70DB" w:rsidP="001755C3">
      <w:pPr>
        <w:rPr>
          <w:lang w:val="es-ES"/>
        </w:rPr>
      </w:pPr>
    </w:p>
    <w:p w14:paraId="0CBD689B" w14:textId="4B204400" w:rsidR="002C70DB" w:rsidRPr="00A8564C" w:rsidRDefault="007377B2" w:rsidP="001755C3">
      <w:pPr>
        <w:rPr>
          <w:lang w:val="es-ES"/>
        </w:rPr>
      </w:pPr>
      <w:r w:rsidRPr="00A8564C">
        <w:rPr>
          <w:lang w:val="es-ES"/>
        </w:rPr>
        <w:t xml:space="preserve">Se ha nombrado a un coordinador de </w:t>
      </w:r>
      <w:r w:rsidR="003F6D62" w:rsidRPr="00A8564C">
        <w:rPr>
          <w:lang w:val="es-ES"/>
        </w:rPr>
        <w:t>formación</w:t>
      </w:r>
      <w:r w:rsidRPr="00A8564C">
        <w:rPr>
          <w:lang w:val="es-ES"/>
        </w:rPr>
        <w:t xml:space="preserve"> que se encargará de </w:t>
      </w:r>
      <w:r w:rsidR="00BB306C" w:rsidRPr="00A8564C">
        <w:rPr>
          <w:lang w:val="es-ES"/>
        </w:rPr>
        <w:t xml:space="preserve">organizar </w:t>
      </w:r>
      <w:r w:rsidRPr="00A8564C">
        <w:rPr>
          <w:lang w:val="es-ES"/>
        </w:rPr>
        <w:t xml:space="preserve">la </w:t>
      </w:r>
      <w:r w:rsidR="003F6D62" w:rsidRPr="00A8564C">
        <w:rPr>
          <w:lang w:val="es-ES"/>
        </w:rPr>
        <w:t>forma</w:t>
      </w:r>
      <w:r w:rsidR="00E1209A" w:rsidRPr="00A8564C">
        <w:rPr>
          <w:lang w:val="es-ES"/>
        </w:rPr>
        <w:t>ción</w:t>
      </w:r>
      <w:r w:rsidR="00BB306C" w:rsidRPr="00A8564C">
        <w:rPr>
          <w:lang w:val="es-ES"/>
        </w:rPr>
        <w:t xml:space="preserve"> de </w:t>
      </w:r>
      <w:r w:rsidRPr="00A8564C">
        <w:rPr>
          <w:lang w:val="es-ES"/>
        </w:rPr>
        <w:t xml:space="preserve">los </w:t>
      </w:r>
      <w:r w:rsidR="00B06CD7" w:rsidRPr="00A8564C">
        <w:rPr>
          <w:lang w:val="es-ES"/>
        </w:rPr>
        <w:t>examinadores</w:t>
      </w:r>
      <w:r w:rsidR="009E7E5E" w:rsidRPr="00A8564C">
        <w:rPr>
          <w:lang w:val="es-ES"/>
        </w:rPr>
        <w:t xml:space="preserve">.  </w:t>
      </w:r>
      <w:r w:rsidRPr="00A8564C">
        <w:rPr>
          <w:lang w:val="es-ES"/>
        </w:rPr>
        <w:t xml:space="preserve">Los programas de </w:t>
      </w:r>
      <w:r w:rsidR="003F6D62" w:rsidRPr="00A8564C">
        <w:rPr>
          <w:lang w:val="es-ES"/>
        </w:rPr>
        <w:t>formaci</w:t>
      </w:r>
      <w:r w:rsidR="00E1209A" w:rsidRPr="00A8564C">
        <w:rPr>
          <w:lang w:val="es-ES"/>
        </w:rPr>
        <w:t>ón</w:t>
      </w:r>
      <w:r w:rsidRPr="00A8564C">
        <w:rPr>
          <w:lang w:val="es-ES"/>
        </w:rPr>
        <w:t xml:space="preserve"> </w:t>
      </w:r>
      <w:r w:rsidR="00BB306C" w:rsidRPr="00A8564C">
        <w:rPr>
          <w:lang w:val="es-ES"/>
        </w:rPr>
        <w:t>incluyen</w:t>
      </w:r>
      <w:r w:rsidRPr="00A8564C">
        <w:rPr>
          <w:lang w:val="es-ES"/>
        </w:rPr>
        <w:t xml:space="preserve"> conferencias, </w:t>
      </w:r>
      <w:r w:rsidR="00E1209A" w:rsidRPr="00A8564C">
        <w:rPr>
          <w:lang w:val="es-ES"/>
        </w:rPr>
        <w:t>seminarios</w:t>
      </w:r>
      <w:r w:rsidRPr="00A8564C">
        <w:rPr>
          <w:lang w:val="es-ES"/>
        </w:rPr>
        <w:t xml:space="preserve"> y cursos relacionados con</w:t>
      </w:r>
      <w:r w:rsidR="00BB306C" w:rsidRPr="00A8564C">
        <w:rPr>
          <w:lang w:val="es-ES"/>
        </w:rPr>
        <w:t xml:space="preserve"> el</w:t>
      </w:r>
      <w:r w:rsidRPr="00A8564C">
        <w:rPr>
          <w:lang w:val="es-ES"/>
        </w:rPr>
        <w:t xml:space="preserve"> examen de solicitudes nacionales e </w:t>
      </w:r>
      <w:r w:rsidR="00E1209A" w:rsidRPr="00A8564C">
        <w:rPr>
          <w:lang w:val="es-ES"/>
        </w:rPr>
        <w:t>internacionales</w:t>
      </w:r>
      <w:r w:rsidR="002C70DB" w:rsidRPr="00A8564C">
        <w:rPr>
          <w:lang w:val="es-ES"/>
        </w:rPr>
        <w:t>,</w:t>
      </w:r>
      <w:r w:rsidRPr="00A8564C">
        <w:rPr>
          <w:lang w:val="es-ES"/>
        </w:rPr>
        <w:t xml:space="preserve"> bases de datos de </w:t>
      </w:r>
      <w:r w:rsidR="00E1209A" w:rsidRPr="00A8564C">
        <w:rPr>
          <w:lang w:val="es-ES"/>
        </w:rPr>
        <w:t>búsqueda</w:t>
      </w:r>
      <w:r w:rsidR="00BB306C" w:rsidRPr="00A8564C">
        <w:rPr>
          <w:lang w:val="es-ES"/>
        </w:rPr>
        <w:t xml:space="preserve"> y </w:t>
      </w:r>
      <w:r w:rsidRPr="00A8564C">
        <w:rPr>
          <w:lang w:val="es-ES"/>
        </w:rPr>
        <w:t xml:space="preserve">cuestiones de </w:t>
      </w:r>
      <w:r w:rsidR="00E1209A" w:rsidRPr="00A8564C">
        <w:rPr>
          <w:lang w:val="es-ES"/>
        </w:rPr>
        <w:t>índole</w:t>
      </w:r>
      <w:r w:rsidRPr="00A8564C">
        <w:rPr>
          <w:lang w:val="es-ES"/>
        </w:rPr>
        <w:t xml:space="preserve"> </w:t>
      </w:r>
      <w:r w:rsidR="00E1209A" w:rsidRPr="00A8564C">
        <w:rPr>
          <w:lang w:val="es-ES"/>
        </w:rPr>
        <w:t>científica</w:t>
      </w:r>
      <w:r w:rsidRPr="00A8564C">
        <w:rPr>
          <w:lang w:val="es-ES"/>
        </w:rPr>
        <w:t xml:space="preserve"> y </w:t>
      </w:r>
      <w:r w:rsidR="00E1209A" w:rsidRPr="00A8564C">
        <w:rPr>
          <w:lang w:val="es-ES"/>
        </w:rPr>
        <w:t>jurídica</w:t>
      </w:r>
      <w:r w:rsidR="009E7E5E" w:rsidRPr="00A8564C">
        <w:rPr>
          <w:lang w:val="es-ES"/>
        </w:rPr>
        <w:t xml:space="preserve">.  </w:t>
      </w:r>
      <w:r w:rsidRPr="00A8564C">
        <w:rPr>
          <w:lang w:val="es-ES"/>
        </w:rPr>
        <w:t xml:space="preserve">En la intranet de la ILPO se </w:t>
      </w:r>
      <w:r w:rsidR="00BB306C" w:rsidRPr="00A8564C">
        <w:rPr>
          <w:lang w:val="es-ES"/>
        </w:rPr>
        <w:t xml:space="preserve">pueden consultar </w:t>
      </w:r>
      <w:r w:rsidRPr="00A8564C">
        <w:rPr>
          <w:lang w:val="es-ES"/>
        </w:rPr>
        <w:t>las actividades de seguimiento</w:t>
      </w:r>
      <w:r w:rsidR="00BB306C" w:rsidRPr="00A8564C">
        <w:rPr>
          <w:lang w:val="es-ES"/>
        </w:rPr>
        <w:t xml:space="preserve"> y se puede obtener</w:t>
      </w:r>
      <w:r w:rsidRPr="00A8564C">
        <w:rPr>
          <w:lang w:val="es-ES"/>
        </w:rPr>
        <w:t xml:space="preserve"> </w:t>
      </w:r>
      <w:r w:rsidR="00E1209A" w:rsidRPr="00A8564C">
        <w:rPr>
          <w:lang w:val="es-ES"/>
        </w:rPr>
        <w:t>información</w:t>
      </w:r>
      <w:r w:rsidRPr="00A8564C">
        <w:rPr>
          <w:lang w:val="es-ES"/>
        </w:rPr>
        <w:t xml:space="preserve"> sobre los c</w:t>
      </w:r>
      <w:r w:rsidR="00E1209A" w:rsidRPr="00A8564C">
        <w:rPr>
          <w:lang w:val="es-ES"/>
        </w:rPr>
        <w:t>ursos</w:t>
      </w:r>
      <w:r w:rsidRPr="00A8564C">
        <w:rPr>
          <w:lang w:val="es-ES"/>
        </w:rPr>
        <w:t xml:space="preserve"> de </w:t>
      </w:r>
      <w:r w:rsidR="00E1209A" w:rsidRPr="00A8564C">
        <w:rPr>
          <w:lang w:val="es-ES"/>
        </w:rPr>
        <w:t>formación</w:t>
      </w:r>
      <w:r w:rsidR="00BB306C" w:rsidRPr="00A8564C">
        <w:rPr>
          <w:lang w:val="es-ES"/>
        </w:rPr>
        <w:t xml:space="preserve"> y las herramientas</w:t>
      </w:r>
      <w:r w:rsidRPr="00A8564C">
        <w:rPr>
          <w:lang w:val="es-ES"/>
        </w:rPr>
        <w:t xml:space="preserve"> para </w:t>
      </w:r>
      <w:r w:rsidR="003F6D62" w:rsidRPr="00A8564C">
        <w:rPr>
          <w:lang w:val="es-ES"/>
        </w:rPr>
        <w:t xml:space="preserve">seguir la evolución de </w:t>
      </w:r>
      <w:r w:rsidRPr="00A8564C">
        <w:rPr>
          <w:lang w:val="es-ES"/>
        </w:rPr>
        <w:t xml:space="preserve">la </w:t>
      </w:r>
      <w:r w:rsidR="00E1209A" w:rsidRPr="00A8564C">
        <w:rPr>
          <w:lang w:val="es-ES"/>
        </w:rPr>
        <w:t>participación</w:t>
      </w:r>
      <w:r w:rsidRPr="00A8564C">
        <w:rPr>
          <w:lang w:val="es-ES"/>
        </w:rPr>
        <w:t xml:space="preserve"> de los cursillistas</w:t>
      </w:r>
      <w:r w:rsidR="002C70DB" w:rsidRPr="00A8564C">
        <w:rPr>
          <w:lang w:val="es-ES"/>
        </w:rPr>
        <w:t>.</w:t>
      </w:r>
    </w:p>
    <w:p w14:paraId="5962C4EB" w14:textId="77777777" w:rsidR="002C70DB" w:rsidRPr="00A8564C" w:rsidRDefault="002C70DB" w:rsidP="001755C3">
      <w:pPr>
        <w:rPr>
          <w:lang w:val="es-ES"/>
        </w:rPr>
      </w:pPr>
    </w:p>
    <w:p w14:paraId="3D295791" w14:textId="601EB645" w:rsidR="002C70DB" w:rsidRPr="00A8564C" w:rsidRDefault="007377B2" w:rsidP="001755C3">
      <w:pPr>
        <w:rPr>
          <w:lang w:val="es-ES"/>
        </w:rPr>
      </w:pPr>
      <w:r w:rsidRPr="00A8564C">
        <w:rPr>
          <w:lang w:val="es-ES"/>
        </w:rPr>
        <w:lastRenderedPageBreak/>
        <w:t xml:space="preserve">La </w:t>
      </w:r>
      <w:r w:rsidR="003F6D62" w:rsidRPr="00A8564C">
        <w:rPr>
          <w:lang w:val="es-ES"/>
        </w:rPr>
        <w:t>forma</w:t>
      </w:r>
      <w:r w:rsidR="00E1209A" w:rsidRPr="00A8564C">
        <w:rPr>
          <w:lang w:val="es-ES"/>
        </w:rPr>
        <w:t>ción</w:t>
      </w:r>
      <w:r w:rsidRPr="00A8564C">
        <w:rPr>
          <w:lang w:val="es-ES"/>
        </w:rPr>
        <w:t xml:space="preserve"> en la ILPO</w:t>
      </w:r>
      <w:r w:rsidR="002C70DB" w:rsidRPr="00A8564C">
        <w:rPr>
          <w:lang w:val="es-ES"/>
        </w:rPr>
        <w:t xml:space="preserve"> </w:t>
      </w:r>
      <w:r w:rsidRPr="00A8564C">
        <w:rPr>
          <w:lang w:val="es-ES"/>
        </w:rPr>
        <w:t xml:space="preserve">se ha concebido de tal manera que facilite la </w:t>
      </w:r>
      <w:r w:rsidR="00E1209A" w:rsidRPr="00A8564C">
        <w:rPr>
          <w:lang w:val="es-ES"/>
        </w:rPr>
        <w:t>rápida</w:t>
      </w:r>
      <w:r w:rsidRPr="00A8564C">
        <w:rPr>
          <w:lang w:val="es-ES"/>
        </w:rPr>
        <w:t xml:space="preserve"> </w:t>
      </w:r>
      <w:r w:rsidR="00E1209A" w:rsidRPr="00A8564C">
        <w:rPr>
          <w:lang w:val="es-ES"/>
        </w:rPr>
        <w:t>contratación</w:t>
      </w:r>
      <w:r w:rsidRPr="00A8564C">
        <w:rPr>
          <w:lang w:val="es-ES"/>
        </w:rPr>
        <w:t xml:space="preserve"> y </w:t>
      </w:r>
      <w:r w:rsidR="00E1209A" w:rsidRPr="00A8564C">
        <w:rPr>
          <w:lang w:val="es-ES"/>
        </w:rPr>
        <w:t>capacitación</w:t>
      </w:r>
      <w:r w:rsidRPr="00A8564C">
        <w:rPr>
          <w:lang w:val="es-ES"/>
        </w:rPr>
        <w:t xml:space="preserve"> de tantos nuevos </w:t>
      </w:r>
      <w:r w:rsidR="00B06CD7" w:rsidRPr="00A8564C">
        <w:rPr>
          <w:lang w:val="es-ES"/>
        </w:rPr>
        <w:t>examinadores</w:t>
      </w:r>
      <w:r w:rsidR="002C70DB" w:rsidRPr="00A8564C">
        <w:rPr>
          <w:lang w:val="es-ES"/>
        </w:rPr>
        <w:t xml:space="preserve"> </w:t>
      </w:r>
      <w:r w:rsidRPr="00A8564C">
        <w:rPr>
          <w:lang w:val="es-ES"/>
        </w:rPr>
        <w:t>como exija la demanda</w:t>
      </w:r>
      <w:r w:rsidR="009E7E5E" w:rsidRPr="00A8564C">
        <w:rPr>
          <w:lang w:val="es-ES"/>
        </w:rPr>
        <w:t xml:space="preserve">.  </w:t>
      </w:r>
      <w:r w:rsidRPr="00A8564C">
        <w:rPr>
          <w:lang w:val="es-ES"/>
        </w:rPr>
        <w:t xml:space="preserve">Los </w:t>
      </w:r>
      <w:r w:rsidR="00B06CD7" w:rsidRPr="00A8564C">
        <w:rPr>
          <w:lang w:val="es-ES"/>
        </w:rPr>
        <w:t>examinadores</w:t>
      </w:r>
      <w:r w:rsidRPr="00A8564C">
        <w:rPr>
          <w:lang w:val="es-ES"/>
        </w:rPr>
        <w:t xml:space="preserve"> </w:t>
      </w:r>
      <w:r w:rsidR="00E1209A" w:rsidRPr="00A8564C">
        <w:rPr>
          <w:lang w:val="es-ES"/>
        </w:rPr>
        <w:t>recién</w:t>
      </w:r>
      <w:r w:rsidRPr="00A8564C">
        <w:rPr>
          <w:lang w:val="es-ES"/>
        </w:rPr>
        <w:t xml:space="preserve"> </w:t>
      </w:r>
      <w:r w:rsidR="00E1209A" w:rsidRPr="00A8564C">
        <w:rPr>
          <w:lang w:val="es-ES"/>
        </w:rPr>
        <w:t>contratados</w:t>
      </w:r>
      <w:r w:rsidR="00AC2BEA" w:rsidRPr="00A8564C">
        <w:rPr>
          <w:lang w:val="es-ES"/>
        </w:rPr>
        <w:t xml:space="preserve"> comienzan su c</w:t>
      </w:r>
      <w:r w:rsidRPr="00A8564C">
        <w:rPr>
          <w:lang w:val="es-ES"/>
        </w:rPr>
        <w:t xml:space="preserve">arrera </w:t>
      </w:r>
      <w:r w:rsidR="00AC2BEA" w:rsidRPr="00A8564C">
        <w:rPr>
          <w:lang w:val="es-ES"/>
        </w:rPr>
        <w:t>como</w:t>
      </w:r>
      <w:r w:rsidRPr="00A8564C">
        <w:rPr>
          <w:lang w:val="es-ES"/>
        </w:rPr>
        <w:t xml:space="preserve"> examinadores de patentes </w:t>
      </w:r>
      <w:r w:rsidR="00AC2BEA" w:rsidRPr="00A8564C">
        <w:rPr>
          <w:lang w:val="es-ES"/>
        </w:rPr>
        <w:t xml:space="preserve">tras un periodo de aprendizaje </w:t>
      </w:r>
      <w:r w:rsidRPr="00A8564C">
        <w:rPr>
          <w:lang w:val="es-ES"/>
        </w:rPr>
        <w:t xml:space="preserve">de 24 meses, bajo la </w:t>
      </w:r>
      <w:r w:rsidR="00E1209A" w:rsidRPr="00A8564C">
        <w:rPr>
          <w:lang w:val="es-ES"/>
        </w:rPr>
        <w:t>supervisión</w:t>
      </w:r>
      <w:r w:rsidRPr="00A8564C">
        <w:rPr>
          <w:lang w:val="es-ES"/>
        </w:rPr>
        <w:t xml:space="preserve"> y </w:t>
      </w:r>
      <w:r w:rsidR="00E1209A" w:rsidRPr="00A8564C">
        <w:rPr>
          <w:lang w:val="es-ES"/>
        </w:rPr>
        <w:t>tutoría de</w:t>
      </w:r>
      <w:r w:rsidRPr="00A8564C">
        <w:rPr>
          <w:lang w:val="es-ES"/>
        </w:rPr>
        <w:t xml:space="preserve"> </w:t>
      </w:r>
      <w:r w:rsidR="00B06CD7" w:rsidRPr="00A8564C">
        <w:rPr>
          <w:lang w:val="es-ES"/>
        </w:rPr>
        <w:t>examinadores</w:t>
      </w:r>
      <w:r w:rsidR="00A20864" w:rsidRPr="00A8564C">
        <w:rPr>
          <w:lang w:val="es-ES"/>
        </w:rPr>
        <w:t xml:space="preserve"> de patentes experimentados</w:t>
      </w:r>
      <w:r w:rsidR="009E7E5E" w:rsidRPr="00A8564C">
        <w:rPr>
          <w:lang w:val="es-ES"/>
        </w:rPr>
        <w:t xml:space="preserve">.  </w:t>
      </w:r>
      <w:r w:rsidR="00A20864" w:rsidRPr="00A8564C">
        <w:rPr>
          <w:lang w:val="es-ES"/>
        </w:rPr>
        <w:t xml:space="preserve">Antes de comenzar la </w:t>
      </w:r>
      <w:r w:rsidR="00E1209A" w:rsidRPr="00A8564C">
        <w:rPr>
          <w:lang w:val="es-ES"/>
        </w:rPr>
        <w:t>tutoría</w:t>
      </w:r>
      <w:r w:rsidR="00A20864" w:rsidRPr="00A8564C">
        <w:rPr>
          <w:lang w:val="es-ES"/>
        </w:rPr>
        <w:t>, los cursillistas participan</w:t>
      </w:r>
      <w:r w:rsidR="00022F8B" w:rsidRPr="00A8564C">
        <w:rPr>
          <w:lang w:val="es-ES"/>
        </w:rPr>
        <w:t xml:space="preserve"> </w:t>
      </w:r>
      <w:r w:rsidR="00A20864" w:rsidRPr="00A8564C">
        <w:rPr>
          <w:lang w:val="es-ES"/>
        </w:rPr>
        <w:t xml:space="preserve">en un curso </w:t>
      </w:r>
      <w:r w:rsidR="00DD0FF9" w:rsidRPr="00A8564C">
        <w:rPr>
          <w:lang w:val="es-ES"/>
        </w:rPr>
        <w:t>básico y prá</w:t>
      </w:r>
      <w:r w:rsidR="00AC2BEA" w:rsidRPr="00A8564C">
        <w:rPr>
          <w:lang w:val="es-ES"/>
        </w:rPr>
        <w:t>ctico</w:t>
      </w:r>
      <w:r w:rsidR="00022F8B" w:rsidRPr="00A8564C">
        <w:rPr>
          <w:lang w:val="es-ES"/>
        </w:rPr>
        <w:t xml:space="preserve">, </w:t>
      </w:r>
      <w:r w:rsidR="00AC2BEA" w:rsidRPr="00A8564C">
        <w:rPr>
          <w:lang w:val="es-ES"/>
        </w:rPr>
        <w:t xml:space="preserve">impartido en </w:t>
      </w:r>
      <w:r w:rsidR="00022F8B" w:rsidRPr="00A8564C">
        <w:rPr>
          <w:lang w:val="es-ES"/>
        </w:rPr>
        <w:t xml:space="preserve">la </w:t>
      </w:r>
      <w:r w:rsidR="003F6D62" w:rsidRPr="00A8564C">
        <w:rPr>
          <w:lang w:val="es-ES"/>
        </w:rPr>
        <w:t>organización</w:t>
      </w:r>
      <w:r w:rsidR="00022F8B" w:rsidRPr="00A8564C">
        <w:rPr>
          <w:lang w:val="es-ES"/>
        </w:rPr>
        <w:t xml:space="preserve">, </w:t>
      </w:r>
      <w:r w:rsidR="00A20864" w:rsidRPr="00A8564C">
        <w:rPr>
          <w:lang w:val="es-ES"/>
        </w:rPr>
        <w:t xml:space="preserve">en el que </w:t>
      </w:r>
      <w:r w:rsidR="00AC2BEA" w:rsidRPr="00A8564C">
        <w:rPr>
          <w:lang w:val="es-ES"/>
        </w:rPr>
        <w:t xml:space="preserve">se abordan de forma </w:t>
      </w:r>
      <w:r w:rsidR="00022F8B" w:rsidRPr="00A8564C">
        <w:rPr>
          <w:lang w:val="es-ES"/>
        </w:rPr>
        <w:t>exhaustiv</w:t>
      </w:r>
      <w:r w:rsidR="00AC2BEA" w:rsidRPr="00A8564C">
        <w:rPr>
          <w:lang w:val="es-ES"/>
        </w:rPr>
        <w:t>a</w:t>
      </w:r>
      <w:r w:rsidR="00A20864" w:rsidRPr="00A8564C">
        <w:rPr>
          <w:lang w:val="es-ES"/>
        </w:rPr>
        <w:t xml:space="preserve"> los diversos aspectos </w:t>
      </w:r>
      <w:r w:rsidR="003F6D62" w:rsidRPr="00A8564C">
        <w:rPr>
          <w:lang w:val="es-ES"/>
        </w:rPr>
        <w:t>jurídicos</w:t>
      </w:r>
      <w:r w:rsidR="00A20864" w:rsidRPr="00A8564C">
        <w:rPr>
          <w:lang w:val="es-ES"/>
        </w:rPr>
        <w:t xml:space="preserve"> y </w:t>
      </w:r>
      <w:r w:rsidR="003F6D62" w:rsidRPr="00A8564C">
        <w:rPr>
          <w:lang w:val="es-ES"/>
        </w:rPr>
        <w:t>prácticos</w:t>
      </w:r>
      <w:r w:rsidR="00A20864" w:rsidRPr="00A8564C">
        <w:rPr>
          <w:lang w:val="es-ES"/>
        </w:rPr>
        <w:t xml:space="preserve"> de la </w:t>
      </w:r>
      <w:r w:rsidR="003F6D62" w:rsidRPr="00A8564C">
        <w:rPr>
          <w:lang w:val="es-ES"/>
        </w:rPr>
        <w:t>tramitación</w:t>
      </w:r>
      <w:r w:rsidR="00A20864" w:rsidRPr="00A8564C">
        <w:rPr>
          <w:lang w:val="es-ES"/>
        </w:rPr>
        <w:t xml:space="preserve"> de las </w:t>
      </w:r>
      <w:r w:rsidR="00B06CD7" w:rsidRPr="00A8564C">
        <w:rPr>
          <w:lang w:val="es-ES"/>
        </w:rPr>
        <w:t>solicitudes de patente</w:t>
      </w:r>
      <w:r w:rsidR="002C70DB" w:rsidRPr="00A8564C">
        <w:rPr>
          <w:lang w:val="es-ES"/>
        </w:rPr>
        <w:t xml:space="preserve">. </w:t>
      </w:r>
    </w:p>
    <w:p w14:paraId="76113A9A" w14:textId="77777777" w:rsidR="002C70DB" w:rsidRPr="00A8564C" w:rsidRDefault="002C70DB" w:rsidP="001755C3">
      <w:pPr>
        <w:rPr>
          <w:lang w:val="es-ES"/>
        </w:rPr>
      </w:pPr>
    </w:p>
    <w:p w14:paraId="0E02197D" w14:textId="39E4E3CF" w:rsidR="002C70DB" w:rsidRPr="00A8564C" w:rsidRDefault="00A20864" w:rsidP="001755C3">
      <w:pPr>
        <w:rPr>
          <w:lang w:val="es-ES"/>
        </w:rPr>
      </w:pPr>
      <w:r w:rsidRPr="00A8564C">
        <w:rPr>
          <w:lang w:val="es-ES"/>
        </w:rPr>
        <w:t>En 2</w:t>
      </w:r>
      <w:r w:rsidR="002C70DB" w:rsidRPr="00A8564C">
        <w:rPr>
          <w:lang w:val="es-ES"/>
        </w:rPr>
        <w:t xml:space="preserve">016, </w:t>
      </w:r>
      <w:r w:rsidRPr="00A8564C">
        <w:rPr>
          <w:lang w:val="es-ES"/>
        </w:rPr>
        <w:t xml:space="preserve">se </w:t>
      </w:r>
      <w:r w:rsidR="00AC2BEA" w:rsidRPr="00A8564C">
        <w:rPr>
          <w:lang w:val="es-ES"/>
        </w:rPr>
        <w:t xml:space="preserve">puso en marcha </w:t>
      </w:r>
      <w:r w:rsidRPr="00A8564C">
        <w:rPr>
          <w:lang w:val="es-ES"/>
        </w:rPr>
        <w:t xml:space="preserve">un programa de </w:t>
      </w:r>
      <w:r w:rsidR="003F6D62" w:rsidRPr="00A8564C">
        <w:rPr>
          <w:lang w:val="es-ES"/>
        </w:rPr>
        <w:t>capacitación</w:t>
      </w:r>
      <w:r w:rsidRPr="00A8564C">
        <w:rPr>
          <w:lang w:val="es-ES"/>
        </w:rPr>
        <w:t xml:space="preserve"> </w:t>
      </w:r>
      <w:r w:rsidR="00AC2BEA" w:rsidRPr="00A8564C">
        <w:rPr>
          <w:lang w:val="es-ES"/>
        </w:rPr>
        <w:t>reestructurado</w:t>
      </w:r>
      <w:r w:rsidRPr="00A8564C">
        <w:rPr>
          <w:lang w:val="es-ES"/>
        </w:rPr>
        <w:t xml:space="preserve"> para los </w:t>
      </w:r>
      <w:r w:rsidR="00B06CD7" w:rsidRPr="00A8564C">
        <w:rPr>
          <w:lang w:val="es-ES"/>
        </w:rPr>
        <w:t>examinadores</w:t>
      </w:r>
      <w:r w:rsidR="002C70DB" w:rsidRPr="00A8564C">
        <w:rPr>
          <w:lang w:val="es-ES"/>
        </w:rPr>
        <w:t xml:space="preserve"> </w:t>
      </w:r>
      <w:r w:rsidRPr="00A8564C">
        <w:rPr>
          <w:lang w:val="es-ES"/>
        </w:rPr>
        <w:t>de patentes</w:t>
      </w:r>
      <w:r w:rsidR="00AC2BEA" w:rsidRPr="00A8564C">
        <w:rPr>
          <w:lang w:val="es-ES"/>
        </w:rPr>
        <w:t xml:space="preserve"> en prácticas</w:t>
      </w:r>
      <w:r w:rsidRPr="00A8564C">
        <w:rPr>
          <w:lang w:val="es-ES"/>
        </w:rPr>
        <w:t>, que incluye un programa</w:t>
      </w:r>
      <w:r w:rsidR="00C35CAA" w:rsidRPr="00A8564C">
        <w:rPr>
          <w:lang w:val="es-ES"/>
        </w:rPr>
        <w:t xml:space="preserve"> </w:t>
      </w:r>
      <w:r w:rsidR="00AC2BEA" w:rsidRPr="00A8564C">
        <w:rPr>
          <w:lang w:val="es-ES"/>
        </w:rPr>
        <w:t>de talleres</w:t>
      </w:r>
      <w:r w:rsidR="00BD2847">
        <w:rPr>
          <w:lang w:val="es-ES"/>
        </w:rPr>
        <w:t xml:space="preserve"> de iniciación</w:t>
      </w:r>
      <w:r w:rsidR="00AC2BEA" w:rsidRPr="00A8564C">
        <w:rPr>
          <w:lang w:val="es-ES"/>
        </w:rPr>
        <w:t xml:space="preserve"> </w:t>
      </w:r>
      <w:r w:rsidRPr="00A8564C">
        <w:rPr>
          <w:lang w:val="es-ES"/>
        </w:rPr>
        <w:t>de 10 semanas</w:t>
      </w:r>
      <w:r w:rsidR="001A1B45">
        <w:rPr>
          <w:lang w:val="es-ES"/>
        </w:rPr>
        <w:t xml:space="preserve"> de duración</w:t>
      </w:r>
      <w:r w:rsidR="00C35CAA" w:rsidRPr="00A8564C">
        <w:rPr>
          <w:lang w:val="es-ES"/>
        </w:rPr>
        <w:t>, que sigue al</w:t>
      </w:r>
      <w:r w:rsidRPr="00A8564C">
        <w:rPr>
          <w:lang w:val="es-ES"/>
        </w:rPr>
        <w:t xml:space="preserve"> curso pr</w:t>
      </w:r>
      <w:r w:rsidR="00C35CAA" w:rsidRPr="00A8564C">
        <w:rPr>
          <w:lang w:val="es-ES"/>
        </w:rPr>
        <w:t>áctico individual y</w:t>
      </w:r>
      <w:r w:rsidR="00022F8B" w:rsidRPr="00A8564C">
        <w:rPr>
          <w:lang w:val="es-ES"/>
        </w:rPr>
        <w:t xml:space="preserve"> que abarca aspectos </w:t>
      </w:r>
      <w:r w:rsidR="003F6D62" w:rsidRPr="00A8564C">
        <w:rPr>
          <w:lang w:val="es-ES"/>
        </w:rPr>
        <w:t>teóricos</w:t>
      </w:r>
      <w:r w:rsidR="00022F8B" w:rsidRPr="00A8564C">
        <w:rPr>
          <w:lang w:val="es-ES"/>
        </w:rPr>
        <w:t xml:space="preserve">, </w:t>
      </w:r>
      <w:r w:rsidR="003F6D62" w:rsidRPr="00A8564C">
        <w:rPr>
          <w:lang w:val="es-ES"/>
        </w:rPr>
        <w:t>prácticos</w:t>
      </w:r>
      <w:r w:rsidR="00022F8B" w:rsidRPr="00A8564C">
        <w:rPr>
          <w:lang w:val="es-ES"/>
        </w:rPr>
        <w:t xml:space="preserve"> y </w:t>
      </w:r>
      <w:r w:rsidR="003F6D62" w:rsidRPr="00A8564C">
        <w:rPr>
          <w:lang w:val="es-ES"/>
        </w:rPr>
        <w:t>técnico</w:t>
      </w:r>
      <w:r w:rsidR="00C35CAA" w:rsidRPr="00A8564C">
        <w:rPr>
          <w:lang w:val="es-ES"/>
        </w:rPr>
        <w:t>s</w:t>
      </w:r>
      <w:r w:rsidR="00022F8B" w:rsidRPr="00A8564C">
        <w:rPr>
          <w:lang w:val="es-ES"/>
        </w:rPr>
        <w:t xml:space="preserve"> </w:t>
      </w:r>
      <w:r w:rsidR="003F6D62" w:rsidRPr="00A8564C">
        <w:rPr>
          <w:lang w:val="es-ES"/>
        </w:rPr>
        <w:t>relacionados</w:t>
      </w:r>
      <w:r w:rsidR="00022F8B" w:rsidRPr="00A8564C">
        <w:rPr>
          <w:lang w:val="es-ES"/>
        </w:rPr>
        <w:t xml:space="preserve"> con la </w:t>
      </w:r>
      <w:r w:rsidR="003F6D62" w:rsidRPr="00A8564C">
        <w:rPr>
          <w:lang w:val="es-ES"/>
        </w:rPr>
        <w:t>búsqueda</w:t>
      </w:r>
      <w:r w:rsidR="00022F8B" w:rsidRPr="00A8564C">
        <w:rPr>
          <w:lang w:val="es-ES"/>
        </w:rPr>
        <w:t xml:space="preserve"> y examen de </w:t>
      </w:r>
      <w:r w:rsidR="00B06CD7" w:rsidRPr="00A8564C">
        <w:rPr>
          <w:lang w:val="es-ES"/>
        </w:rPr>
        <w:t>solicitudes de patente</w:t>
      </w:r>
      <w:r w:rsidR="009E7E5E" w:rsidRPr="00A8564C">
        <w:rPr>
          <w:lang w:val="es-ES"/>
        </w:rPr>
        <w:t xml:space="preserve">.  </w:t>
      </w:r>
      <w:r w:rsidR="001A1B45">
        <w:rPr>
          <w:lang w:val="es-ES"/>
        </w:rPr>
        <w:t>En es</w:t>
      </w:r>
      <w:r w:rsidR="00FD111E" w:rsidRPr="00A8564C">
        <w:rPr>
          <w:lang w:val="es-ES"/>
        </w:rPr>
        <w:t xml:space="preserve">e programa se enseña a los </w:t>
      </w:r>
      <w:r w:rsidR="003F6D62" w:rsidRPr="00A8564C">
        <w:rPr>
          <w:lang w:val="es-ES"/>
        </w:rPr>
        <w:t>cursillistas</w:t>
      </w:r>
      <w:r w:rsidR="00FD111E" w:rsidRPr="00A8564C">
        <w:rPr>
          <w:lang w:val="es-ES"/>
        </w:rPr>
        <w:t xml:space="preserve"> a realizar </w:t>
      </w:r>
      <w:r w:rsidR="003F6D62" w:rsidRPr="00A8564C">
        <w:rPr>
          <w:lang w:val="es-ES"/>
        </w:rPr>
        <w:t>búsqueda</w:t>
      </w:r>
      <w:r w:rsidR="00C35CAA" w:rsidRPr="00A8564C">
        <w:rPr>
          <w:lang w:val="es-ES"/>
        </w:rPr>
        <w:t>s</w:t>
      </w:r>
      <w:r w:rsidR="00FD111E" w:rsidRPr="00A8564C">
        <w:rPr>
          <w:lang w:val="es-ES"/>
        </w:rPr>
        <w:t xml:space="preserve"> y </w:t>
      </w:r>
      <w:r w:rsidR="00C35CAA" w:rsidRPr="00A8564C">
        <w:rPr>
          <w:lang w:val="es-ES"/>
        </w:rPr>
        <w:t>exámenes</w:t>
      </w:r>
      <w:r w:rsidR="00FD111E" w:rsidRPr="00A8564C">
        <w:rPr>
          <w:lang w:val="es-ES"/>
        </w:rPr>
        <w:t xml:space="preserve"> en muest</w:t>
      </w:r>
      <w:r w:rsidR="00C35CAA" w:rsidRPr="00A8564C">
        <w:rPr>
          <w:lang w:val="es-ES"/>
        </w:rPr>
        <w:t>ras preseleccionadas y a redacta</w:t>
      </w:r>
      <w:r w:rsidR="00FD111E" w:rsidRPr="00A8564C">
        <w:rPr>
          <w:lang w:val="es-ES"/>
        </w:rPr>
        <w:t xml:space="preserve">r informes nacionales e </w:t>
      </w:r>
      <w:r w:rsidR="003F6D62" w:rsidRPr="00A8564C">
        <w:rPr>
          <w:lang w:val="es-ES"/>
        </w:rPr>
        <w:t>internacionales</w:t>
      </w:r>
      <w:r w:rsidR="00FD111E" w:rsidRPr="00A8564C">
        <w:rPr>
          <w:lang w:val="es-ES"/>
        </w:rPr>
        <w:t xml:space="preserve">.  Se han elaborado formularios de </w:t>
      </w:r>
      <w:r w:rsidR="003F6D62" w:rsidRPr="00A8564C">
        <w:rPr>
          <w:lang w:val="es-ES"/>
        </w:rPr>
        <w:t>evaluación</w:t>
      </w:r>
      <w:r w:rsidR="00FD111E" w:rsidRPr="00A8564C">
        <w:rPr>
          <w:lang w:val="es-ES"/>
        </w:rPr>
        <w:t xml:space="preserve"> para la </w:t>
      </w:r>
      <w:r w:rsidR="003F6D62" w:rsidRPr="00A8564C">
        <w:rPr>
          <w:lang w:val="es-ES"/>
        </w:rPr>
        <w:t>valoración</w:t>
      </w:r>
      <w:r w:rsidR="00FD111E" w:rsidRPr="00A8564C">
        <w:rPr>
          <w:lang w:val="es-ES"/>
        </w:rPr>
        <w:t xml:space="preserve"> de los progresos de los cursillistas y formularios de comentarios para la </w:t>
      </w:r>
      <w:r w:rsidR="003F6D62" w:rsidRPr="00A8564C">
        <w:rPr>
          <w:lang w:val="es-ES"/>
        </w:rPr>
        <w:t>evaluación</w:t>
      </w:r>
      <w:r w:rsidR="00FD111E" w:rsidRPr="00A8564C">
        <w:rPr>
          <w:lang w:val="es-ES"/>
        </w:rPr>
        <w:t xml:space="preserve"> de la eficacia de los cursos de </w:t>
      </w:r>
      <w:r w:rsidR="003F6D62" w:rsidRPr="00A8564C">
        <w:rPr>
          <w:lang w:val="es-ES"/>
        </w:rPr>
        <w:t>capacitación</w:t>
      </w:r>
      <w:r w:rsidR="009E7E5E" w:rsidRPr="00A8564C">
        <w:rPr>
          <w:lang w:val="es-ES"/>
        </w:rPr>
        <w:t xml:space="preserve">.  </w:t>
      </w:r>
      <w:r w:rsidR="00C35CAA" w:rsidRPr="00A8564C">
        <w:rPr>
          <w:lang w:val="es-ES"/>
        </w:rPr>
        <w:t>Al té</w:t>
      </w:r>
      <w:r w:rsidR="00FD111E" w:rsidRPr="00A8564C">
        <w:rPr>
          <w:lang w:val="es-ES"/>
        </w:rPr>
        <w:t xml:space="preserve">rmino del programa </w:t>
      </w:r>
      <w:r w:rsidR="001A1B45">
        <w:rPr>
          <w:lang w:val="es-ES"/>
        </w:rPr>
        <w:t>de iniciación</w:t>
      </w:r>
      <w:r w:rsidR="00FD111E" w:rsidRPr="00A8564C">
        <w:rPr>
          <w:lang w:val="es-ES"/>
        </w:rPr>
        <w:t xml:space="preserve">, los </w:t>
      </w:r>
      <w:r w:rsidR="003F6D62" w:rsidRPr="00A8564C">
        <w:rPr>
          <w:lang w:val="es-ES"/>
        </w:rPr>
        <w:t>cursillistas</w:t>
      </w:r>
      <w:r w:rsidR="00FD111E" w:rsidRPr="00A8564C">
        <w:rPr>
          <w:lang w:val="es-ES"/>
        </w:rPr>
        <w:t xml:space="preserve"> </w:t>
      </w:r>
      <w:r w:rsidR="00C35CAA" w:rsidRPr="00A8564C">
        <w:rPr>
          <w:lang w:val="es-ES"/>
        </w:rPr>
        <w:t xml:space="preserve">continúan el </w:t>
      </w:r>
      <w:r w:rsidR="00FD111E" w:rsidRPr="00A8564C">
        <w:rPr>
          <w:lang w:val="es-ES"/>
        </w:rPr>
        <w:t xml:space="preserve">programa de </w:t>
      </w:r>
      <w:r w:rsidR="00C35CAA" w:rsidRPr="00A8564C">
        <w:rPr>
          <w:lang w:val="es-ES"/>
        </w:rPr>
        <w:t xml:space="preserve">formación de 24 meses, </w:t>
      </w:r>
      <w:r w:rsidR="00FD111E" w:rsidRPr="00A8564C">
        <w:rPr>
          <w:lang w:val="es-ES"/>
        </w:rPr>
        <w:t xml:space="preserve">en el que se abordan aspectos </w:t>
      </w:r>
      <w:r w:rsidR="003F6D62" w:rsidRPr="00A8564C">
        <w:rPr>
          <w:lang w:val="es-ES"/>
        </w:rPr>
        <w:t>teóricos</w:t>
      </w:r>
      <w:r w:rsidR="00FD111E" w:rsidRPr="00A8564C">
        <w:rPr>
          <w:lang w:val="es-ES"/>
        </w:rPr>
        <w:t xml:space="preserve"> y </w:t>
      </w:r>
      <w:r w:rsidR="003F6D62" w:rsidRPr="00A8564C">
        <w:rPr>
          <w:lang w:val="es-ES"/>
        </w:rPr>
        <w:t>prácticos</w:t>
      </w:r>
      <w:r w:rsidR="00FD111E" w:rsidRPr="00A8564C">
        <w:rPr>
          <w:lang w:val="es-ES"/>
        </w:rPr>
        <w:t xml:space="preserve"> relacionados con la </w:t>
      </w:r>
      <w:r w:rsidR="003F6D62" w:rsidRPr="00A8564C">
        <w:rPr>
          <w:lang w:val="es-ES"/>
        </w:rPr>
        <w:t>búsqueda</w:t>
      </w:r>
      <w:r w:rsidR="00FD111E" w:rsidRPr="00A8564C">
        <w:rPr>
          <w:lang w:val="es-ES"/>
        </w:rPr>
        <w:t xml:space="preserve"> y el examen, bajo la </w:t>
      </w:r>
      <w:r w:rsidR="003F6D62" w:rsidRPr="00A8564C">
        <w:rPr>
          <w:lang w:val="es-ES"/>
        </w:rPr>
        <w:t>supervisión</w:t>
      </w:r>
      <w:r w:rsidR="00FD111E" w:rsidRPr="00A8564C">
        <w:rPr>
          <w:lang w:val="es-ES"/>
        </w:rPr>
        <w:t xml:space="preserve"> de </w:t>
      </w:r>
      <w:r w:rsidR="001A1B45">
        <w:rPr>
          <w:lang w:val="es-ES"/>
        </w:rPr>
        <w:t>vario</w:t>
      </w:r>
      <w:r w:rsidR="00FD111E" w:rsidRPr="00A8564C">
        <w:rPr>
          <w:lang w:val="es-ES"/>
        </w:rPr>
        <w:t>s examinadores experimentados.</w:t>
      </w:r>
    </w:p>
    <w:p w14:paraId="0198877D" w14:textId="77777777" w:rsidR="002C70DB" w:rsidRPr="00A8564C" w:rsidRDefault="002C70DB" w:rsidP="001755C3">
      <w:pPr>
        <w:rPr>
          <w:lang w:val="es-ES"/>
        </w:rPr>
      </w:pPr>
    </w:p>
    <w:p w14:paraId="539266EE" w14:textId="6D243130" w:rsidR="002C70DB" w:rsidRPr="00A8564C" w:rsidRDefault="00FD111E" w:rsidP="001755C3">
      <w:pPr>
        <w:rPr>
          <w:lang w:val="es-ES"/>
        </w:rPr>
      </w:pPr>
      <w:r w:rsidRPr="00A8564C">
        <w:rPr>
          <w:lang w:val="es-ES"/>
        </w:rPr>
        <w:t xml:space="preserve">Los examinadores </w:t>
      </w:r>
      <w:r w:rsidR="00C35CAA" w:rsidRPr="00A8564C">
        <w:rPr>
          <w:lang w:val="es-ES"/>
        </w:rPr>
        <w:t>autorizados a</w:t>
      </w:r>
      <w:r w:rsidRPr="00A8564C">
        <w:rPr>
          <w:lang w:val="es-ES"/>
        </w:rPr>
        <w:t xml:space="preserve"> trabajar de </w:t>
      </w:r>
      <w:r w:rsidR="003F6D62" w:rsidRPr="00A8564C">
        <w:rPr>
          <w:lang w:val="es-ES"/>
        </w:rPr>
        <w:t>forma</w:t>
      </w:r>
      <w:r w:rsidRPr="00A8564C">
        <w:rPr>
          <w:lang w:val="es-ES"/>
        </w:rPr>
        <w:t xml:space="preserve"> </w:t>
      </w:r>
      <w:r w:rsidR="003F6D62" w:rsidRPr="00A8564C">
        <w:rPr>
          <w:lang w:val="es-ES"/>
        </w:rPr>
        <w:t>autónoma</w:t>
      </w:r>
      <w:r w:rsidRPr="00A8564C">
        <w:rPr>
          <w:lang w:val="es-ES"/>
        </w:rPr>
        <w:t xml:space="preserve"> </w:t>
      </w:r>
      <w:r w:rsidR="003F6D62" w:rsidRPr="00A8564C">
        <w:rPr>
          <w:lang w:val="es-ES"/>
        </w:rPr>
        <w:t>realiza</w:t>
      </w:r>
      <w:r w:rsidR="00C35CAA" w:rsidRPr="00A8564C">
        <w:rPr>
          <w:lang w:val="es-ES"/>
        </w:rPr>
        <w:t>n</w:t>
      </w:r>
      <w:r w:rsidRPr="00A8564C">
        <w:rPr>
          <w:lang w:val="es-ES"/>
        </w:rPr>
        <w:t xml:space="preserve"> </w:t>
      </w:r>
      <w:r w:rsidR="003F6D62" w:rsidRPr="00A8564C">
        <w:rPr>
          <w:lang w:val="es-ES"/>
        </w:rPr>
        <w:t>búsquedas</w:t>
      </w:r>
      <w:r w:rsidRPr="00A8564C">
        <w:rPr>
          <w:lang w:val="es-ES"/>
        </w:rPr>
        <w:t xml:space="preserve"> y ex</w:t>
      </w:r>
      <w:r w:rsidR="00C35CAA" w:rsidRPr="00A8564C">
        <w:rPr>
          <w:lang w:val="es-ES"/>
        </w:rPr>
        <w:t>ámenes</w:t>
      </w:r>
      <w:r w:rsidRPr="00A8564C">
        <w:rPr>
          <w:lang w:val="es-ES"/>
        </w:rPr>
        <w:t xml:space="preserve"> de solicitudes sin una </w:t>
      </w:r>
      <w:r w:rsidR="003F6D62" w:rsidRPr="00A8564C">
        <w:rPr>
          <w:lang w:val="es-ES"/>
        </w:rPr>
        <w:t>supervisión</w:t>
      </w:r>
      <w:r w:rsidRPr="00A8564C">
        <w:rPr>
          <w:lang w:val="es-ES"/>
        </w:rPr>
        <w:t xml:space="preserve"> estricta.  Sin embargo, </w:t>
      </w:r>
      <w:r w:rsidR="009B04B4" w:rsidRPr="00A8564C">
        <w:rPr>
          <w:lang w:val="es-ES"/>
        </w:rPr>
        <w:t>cuando se trat</w:t>
      </w:r>
      <w:r w:rsidR="001A1B45">
        <w:rPr>
          <w:lang w:val="es-ES"/>
        </w:rPr>
        <w:t>a</w:t>
      </w:r>
      <w:r w:rsidR="009B04B4" w:rsidRPr="00A8564C">
        <w:rPr>
          <w:lang w:val="es-ES"/>
        </w:rPr>
        <w:t xml:space="preserve"> de </w:t>
      </w:r>
      <w:r w:rsidR="00DD0FF9" w:rsidRPr="00A8564C">
        <w:rPr>
          <w:lang w:val="es-ES"/>
        </w:rPr>
        <w:t>exámenes acelerados</w:t>
      </w:r>
      <w:r w:rsidR="002C70DB" w:rsidRPr="00A8564C">
        <w:rPr>
          <w:lang w:val="es-ES"/>
        </w:rPr>
        <w:t xml:space="preserve">, </w:t>
      </w:r>
      <w:r w:rsidRPr="00A8564C">
        <w:rPr>
          <w:lang w:val="es-ES"/>
        </w:rPr>
        <w:t xml:space="preserve">solicitudes </w:t>
      </w:r>
      <w:r w:rsidR="002C70DB" w:rsidRPr="00A8564C">
        <w:rPr>
          <w:lang w:val="es-ES"/>
        </w:rPr>
        <w:t>PCT</w:t>
      </w:r>
      <w:r w:rsidRPr="00A8564C">
        <w:rPr>
          <w:lang w:val="es-ES"/>
        </w:rPr>
        <w:t xml:space="preserve"> y </w:t>
      </w:r>
      <w:r w:rsidR="009B04B4" w:rsidRPr="00A8564C">
        <w:rPr>
          <w:lang w:val="es-ES"/>
        </w:rPr>
        <w:t>c</w:t>
      </w:r>
      <w:r w:rsidRPr="00A8564C">
        <w:rPr>
          <w:lang w:val="es-ES"/>
        </w:rPr>
        <w:t>asos que entrañ</w:t>
      </w:r>
      <w:r w:rsidR="00DD0FF9" w:rsidRPr="00A8564C">
        <w:rPr>
          <w:lang w:val="es-ES"/>
        </w:rPr>
        <w:t>a</w:t>
      </w:r>
      <w:r w:rsidRPr="00A8564C">
        <w:rPr>
          <w:lang w:val="es-ES"/>
        </w:rPr>
        <w:t xml:space="preserve">n una </w:t>
      </w:r>
      <w:r w:rsidR="00DD0FF9" w:rsidRPr="00A8564C">
        <w:rPr>
          <w:lang w:val="es-ES"/>
        </w:rPr>
        <w:t>aceptación</w:t>
      </w:r>
      <w:r w:rsidRPr="00A8564C">
        <w:rPr>
          <w:lang w:val="es-ES"/>
        </w:rPr>
        <w:t xml:space="preserve"> directa</w:t>
      </w:r>
      <w:r w:rsidR="002C70DB" w:rsidRPr="00A8564C">
        <w:rPr>
          <w:lang w:val="es-ES"/>
        </w:rPr>
        <w:t xml:space="preserve"> (</w:t>
      </w:r>
      <w:r w:rsidRPr="00A8564C">
        <w:rPr>
          <w:lang w:val="es-ES"/>
        </w:rPr>
        <w:t xml:space="preserve">sin </w:t>
      </w:r>
      <w:r w:rsidR="00C35CAA" w:rsidRPr="00A8564C">
        <w:rPr>
          <w:lang w:val="es-ES"/>
        </w:rPr>
        <w:t xml:space="preserve">decisión </w:t>
      </w:r>
      <w:r w:rsidR="00DD0FF9" w:rsidRPr="00A8564C">
        <w:rPr>
          <w:lang w:val="es-ES"/>
        </w:rPr>
        <w:t xml:space="preserve">previa de </w:t>
      </w:r>
      <w:r w:rsidR="00C35CAA" w:rsidRPr="00A8564C">
        <w:rPr>
          <w:lang w:val="es-ES"/>
        </w:rPr>
        <w:t>Oficina)</w:t>
      </w:r>
      <w:r w:rsidRPr="00A8564C">
        <w:rPr>
          <w:lang w:val="es-ES"/>
        </w:rPr>
        <w:t xml:space="preserve"> o </w:t>
      </w:r>
      <w:r w:rsidR="00C35CAA" w:rsidRPr="00A8564C">
        <w:rPr>
          <w:lang w:val="es-ES"/>
        </w:rPr>
        <w:t xml:space="preserve">la denegación de </w:t>
      </w:r>
      <w:r w:rsidRPr="00A8564C">
        <w:rPr>
          <w:lang w:val="es-ES"/>
        </w:rPr>
        <w:t xml:space="preserve">la </w:t>
      </w:r>
      <w:r w:rsidR="00DD0FF9" w:rsidRPr="00A8564C">
        <w:rPr>
          <w:lang w:val="es-ES"/>
        </w:rPr>
        <w:t>concesión</w:t>
      </w:r>
      <w:r w:rsidR="00992355" w:rsidRPr="00A8564C">
        <w:rPr>
          <w:lang w:val="es-ES"/>
        </w:rPr>
        <w:t xml:space="preserve">, </w:t>
      </w:r>
      <w:r w:rsidR="00DD0FF9" w:rsidRPr="00A8564C">
        <w:rPr>
          <w:lang w:val="es-ES"/>
        </w:rPr>
        <w:t>siempre</w:t>
      </w:r>
      <w:r w:rsidR="00992355" w:rsidRPr="00A8564C">
        <w:rPr>
          <w:lang w:val="es-ES"/>
        </w:rPr>
        <w:t xml:space="preserve"> se </w:t>
      </w:r>
      <w:r w:rsidR="001A1B45">
        <w:rPr>
          <w:lang w:val="es-ES"/>
        </w:rPr>
        <w:t>requ</w:t>
      </w:r>
      <w:r w:rsidR="00DD0FF9" w:rsidRPr="00A8564C">
        <w:rPr>
          <w:lang w:val="es-ES"/>
        </w:rPr>
        <w:t>er</w:t>
      </w:r>
      <w:r w:rsidR="001A1B45">
        <w:rPr>
          <w:lang w:val="es-ES"/>
        </w:rPr>
        <w:t>irá</w:t>
      </w:r>
      <w:r w:rsidR="00992355" w:rsidRPr="00A8564C">
        <w:rPr>
          <w:lang w:val="es-ES"/>
        </w:rPr>
        <w:t xml:space="preserve"> la </w:t>
      </w:r>
      <w:r w:rsidR="00DD0FF9" w:rsidRPr="00A8564C">
        <w:rPr>
          <w:lang w:val="es-ES"/>
        </w:rPr>
        <w:t>aprobación</w:t>
      </w:r>
      <w:r w:rsidR="00992355" w:rsidRPr="00A8564C">
        <w:rPr>
          <w:lang w:val="es-ES"/>
        </w:rPr>
        <w:t xml:space="preserve"> del jefe de equipo, como medida de </w:t>
      </w:r>
      <w:r w:rsidR="009B04B4" w:rsidRPr="00A8564C">
        <w:rPr>
          <w:lang w:val="es-ES"/>
        </w:rPr>
        <w:t xml:space="preserve">garantía de la </w:t>
      </w:r>
      <w:r w:rsidR="00992355" w:rsidRPr="00A8564C">
        <w:rPr>
          <w:lang w:val="es-ES"/>
        </w:rPr>
        <w:t>calidad</w:t>
      </w:r>
      <w:r w:rsidR="002C70DB" w:rsidRPr="00A8564C">
        <w:rPr>
          <w:lang w:val="es-ES"/>
        </w:rPr>
        <w:t>.</w:t>
      </w:r>
    </w:p>
    <w:p w14:paraId="32838BDC" w14:textId="77777777" w:rsidR="002C70DB" w:rsidRPr="00A8564C" w:rsidRDefault="002C70DB" w:rsidP="001755C3">
      <w:pPr>
        <w:rPr>
          <w:lang w:val="es-ES"/>
        </w:rPr>
      </w:pPr>
    </w:p>
    <w:p w14:paraId="7B993C3A" w14:textId="348652C5" w:rsidR="002C70DB" w:rsidRPr="00A8564C" w:rsidRDefault="00992355" w:rsidP="001755C3">
      <w:pPr>
        <w:rPr>
          <w:lang w:val="es-ES"/>
        </w:rPr>
      </w:pPr>
      <w:r w:rsidRPr="00A8564C">
        <w:rPr>
          <w:lang w:val="es-ES"/>
        </w:rPr>
        <w:t xml:space="preserve">Se mantiene a todos los </w:t>
      </w:r>
      <w:r w:rsidR="00B06CD7" w:rsidRPr="00A8564C">
        <w:rPr>
          <w:lang w:val="es-ES"/>
        </w:rPr>
        <w:t>examinadores</w:t>
      </w:r>
      <w:r w:rsidRPr="00A8564C">
        <w:rPr>
          <w:lang w:val="es-ES"/>
        </w:rPr>
        <w:t xml:space="preserve"> de patentes al </w:t>
      </w:r>
      <w:r w:rsidR="00DD0FF9" w:rsidRPr="00A8564C">
        <w:rPr>
          <w:lang w:val="es-ES"/>
        </w:rPr>
        <w:t>día</w:t>
      </w:r>
      <w:r w:rsidRPr="00A8564C">
        <w:rPr>
          <w:lang w:val="es-ES"/>
        </w:rPr>
        <w:t xml:space="preserve"> en lo que atañe a los cambios </w:t>
      </w:r>
      <w:r w:rsidR="00DD0FF9" w:rsidRPr="00A8564C">
        <w:rPr>
          <w:lang w:val="es-ES"/>
        </w:rPr>
        <w:t>pertinentes</w:t>
      </w:r>
      <w:r w:rsidRPr="00A8564C">
        <w:rPr>
          <w:lang w:val="es-ES"/>
        </w:rPr>
        <w:t xml:space="preserve"> en la </w:t>
      </w:r>
      <w:r w:rsidR="00DD0FF9" w:rsidRPr="00A8564C">
        <w:rPr>
          <w:lang w:val="es-ES"/>
        </w:rPr>
        <w:t>legislación</w:t>
      </w:r>
      <w:r w:rsidRPr="00A8564C">
        <w:rPr>
          <w:lang w:val="es-ES"/>
        </w:rPr>
        <w:t xml:space="preserve">, </w:t>
      </w:r>
      <w:r w:rsidR="00DD0FF9" w:rsidRPr="00A8564C">
        <w:rPr>
          <w:lang w:val="es-ES"/>
        </w:rPr>
        <w:t>práctica</w:t>
      </w:r>
      <w:r w:rsidRPr="00A8564C">
        <w:rPr>
          <w:lang w:val="es-ES"/>
        </w:rPr>
        <w:t xml:space="preserve"> y </w:t>
      </w:r>
      <w:r w:rsidR="00DD0FF9" w:rsidRPr="00A8564C">
        <w:rPr>
          <w:lang w:val="es-ES"/>
        </w:rPr>
        <w:t>procedimientos</w:t>
      </w:r>
      <w:r w:rsidRPr="00A8564C">
        <w:rPr>
          <w:lang w:val="es-ES"/>
        </w:rPr>
        <w:t xml:space="preserve"> </w:t>
      </w:r>
      <w:r w:rsidR="00DD0FF9" w:rsidRPr="00A8564C">
        <w:rPr>
          <w:lang w:val="es-ES"/>
        </w:rPr>
        <w:t>relacionados</w:t>
      </w:r>
      <w:r w:rsidRPr="00A8564C">
        <w:rPr>
          <w:lang w:val="es-ES"/>
        </w:rPr>
        <w:t xml:space="preserve"> con las patentes</w:t>
      </w:r>
      <w:r w:rsidR="002C70DB" w:rsidRPr="00A8564C">
        <w:rPr>
          <w:lang w:val="es-ES"/>
        </w:rPr>
        <w:t xml:space="preserve">, </w:t>
      </w:r>
      <w:r w:rsidR="00184BCD" w:rsidRPr="00A8564C">
        <w:rPr>
          <w:lang w:val="es-ES"/>
        </w:rPr>
        <w:t>la P.I.</w:t>
      </w:r>
      <w:r w:rsidRPr="00A8564C">
        <w:rPr>
          <w:lang w:val="es-ES"/>
        </w:rPr>
        <w:t xml:space="preserve"> y los avances </w:t>
      </w:r>
      <w:r w:rsidR="00DD0FF9" w:rsidRPr="00A8564C">
        <w:rPr>
          <w:lang w:val="es-ES"/>
        </w:rPr>
        <w:t>tecnológicos</w:t>
      </w:r>
      <w:r w:rsidR="009E7E5E" w:rsidRPr="00A8564C">
        <w:rPr>
          <w:lang w:val="es-ES"/>
        </w:rPr>
        <w:t xml:space="preserve">.  </w:t>
      </w:r>
      <w:r w:rsidR="00DD0FF9" w:rsidRPr="00A8564C">
        <w:rPr>
          <w:lang w:val="es-ES"/>
        </w:rPr>
        <w:t>Asimismo</w:t>
      </w:r>
      <w:r w:rsidRPr="00A8564C">
        <w:rPr>
          <w:lang w:val="es-ES"/>
        </w:rPr>
        <w:t xml:space="preserve">, se organizan </w:t>
      </w:r>
      <w:r w:rsidR="00DD0FF9" w:rsidRPr="00A8564C">
        <w:rPr>
          <w:lang w:val="es-ES"/>
        </w:rPr>
        <w:t>periódicamente</w:t>
      </w:r>
      <w:r w:rsidRPr="00A8564C">
        <w:rPr>
          <w:lang w:val="es-ES"/>
        </w:rPr>
        <w:t xml:space="preserve"> actividades de </w:t>
      </w:r>
      <w:r w:rsidR="00DD0FF9" w:rsidRPr="00A8564C">
        <w:rPr>
          <w:lang w:val="es-ES"/>
        </w:rPr>
        <w:t>formación</w:t>
      </w:r>
      <w:r w:rsidRPr="00A8564C">
        <w:rPr>
          <w:lang w:val="es-ES"/>
        </w:rPr>
        <w:t xml:space="preserve"> sobre las bases de datos avanzadas sobre </w:t>
      </w:r>
      <w:r w:rsidR="00DD0FF9" w:rsidRPr="00A8564C">
        <w:rPr>
          <w:lang w:val="es-ES"/>
        </w:rPr>
        <w:t>búsqueda</w:t>
      </w:r>
      <w:r w:rsidR="009E7E5E" w:rsidRPr="00A8564C">
        <w:rPr>
          <w:lang w:val="es-ES"/>
        </w:rPr>
        <w:t xml:space="preserve">.  </w:t>
      </w:r>
      <w:r w:rsidR="009B04B4" w:rsidRPr="00A8564C">
        <w:rPr>
          <w:lang w:val="es-ES"/>
        </w:rPr>
        <w:t xml:space="preserve">Los </w:t>
      </w:r>
      <w:r w:rsidRPr="00A8564C">
        <w:rPr>
          <w:lang w:val="es-ES"/>
        </w:rPr>
        <w:t>examinador</w:t>
      </w:r>
      <w:r w:rsidR="009B04B4" w:rsidRPr="00A8564C">
        <w:rPr>
          <w:lang w:val="es-ES"/>
        </w:rPr>
        <w:t>es</w:t>
      </w:r>
      <w:r w:rsidRPr="00A8564C">
        <w:rPr>
          <w:lang w:val="es-ES"/>
        </w:rPr>
        <w:t xml:space="preserve"> tiene</w:t>
      </w:r>
      <w:r w:rsidR="009B04B4" w:rsidRPr="00A8564C">
        <w:rPr>
          <w:lang w:val="es-ES"/>
        </w:rPr>
        <w:t>n</w:t>
      </w:r>
      <w:r w:rsidRPr="00A8564C">
        <w:rPr>
          <w:lang w:val="es-ES"/>
        </w:rPr>
        <w:t xml:space="preserve"> derecho a recibir </w:t>
      </w:r>
      <w:r w:rsidR="009B04B4" w:rsidRPr="00A8564C">
        <w:rPr>
          <w:lang w:val="es-ES"/>
        </w:rPr>
        <w:t xml:space="preserve">cada año </w:t>
      </w:r>
      <w:r w:rsidRPr="00A8564C">
        <w:rPr>
          <w:lang w:val="es-ES"/>
        </w:rPr>
        <w:t xml:space="preserve">tres sesiones </w:t>
      </w:r>
      <w:r w:rsidR="009B04B4" w:rsidRPr="00A8564C">
        <w:rPr>
          <w:lang w:val="es-ES"/>
        </w:rPr>
        <w:t xml:space="preserve">individuales de formación </w:t>
      </w:r>
      <w:r w:rsidRPr="00A8564C">
        <w:rPr>
          <w:lang w:val="es-ES"/>
        </w:rPr>
        <w:t xml:space="preserve">en la </w:t>
      </w:r>
      <w:r w:rsidR="00DD0FF9" w:rsidRPr="00A8564C">
        <w:rPr>
          <w:lang w:val="es-ES"/>
        </w:rPr>
        <w:t>utilización</w:t>
      </w:r>
      <w:r w:rsidRPr="00A8564C">
        <w:rPr>
          <w:lang w:val="es-ES"/>
        </w:rPr>
        <w:t xml:space="preserve"> de bases de datos de </w:t>
      </w:r>
      <w:r w:rsidR="00DD0FF9" w:rsidRPr="00A8564C">
        <w:rPr>
          <w:lang w:val="es-ES"/>
        </w:rPr>
        <w:t>búsqueda</w:t>
      </w:r>
      <w:r w:rsidR="002C70DB" w:rsidRPr="00A8564C">
        <w:rPr>
          <w:lang w:val="es-ES"/>
        </w:rPr>
        <w:t>.</w:t>
      </w:r>
    </w:p>
    <w:p w14:paraId="40A87DF2" w14:textId="77777777" w:rsidR="002C70DB" w:rsidRPr="00A8564C" w:rsidRDefault="002C70DB" w:rsidP="001755C3">
      <w:pPr>
        <w:rPr>
          <w:lang w:val="es-ES"/>
        </w:rPr>
      </w:pPr>
    </w:p>
    <w:p w14:paraId="1AF496F1" w14:textId="79F2548C" w:rsidR="002C70DB" w:rsidRPr="00A8564C" w:rsidRDefault="00992355" w:rsidP="001755C3">
      <w:pPr>
        <w:rPr>
          <w:lang w:val="es-ES"/>
        </w:rPr>
      </w:pPr>
      <w:r w:rsidRPr="00A8564C">
        <w:rPr>
          <w:lang w:val="es-ES"/>
        </w:rPr>
        <w:t>Se alienta a los ex</w:t>
      </w:r>
      <w:r w:rsidR="00B06CD7" w:rsidRPr="00A8564C">
        <w:rPr>
          <w:lang w:val="es-ES"/>
        </w:rPr>
        <w:t>aminadores</w:t>
      </w:r>
      <w:r w:rsidR="002C70DB" w:rsidRPr="00A8564C">
        <w:rPr>
          <w:lang w:val="es-ES"/>
        </w:rPr>
        <w:t xml:space="preserve"> </w:t>
      </w:r>
      <w:r w:rsidRPr="00A8564C">
        <w:rPr>
          <w:lang w:val="es-ES"/>
        </w:rPr>
        <w:t xml:space="preserve">a </w:t>
      </w:r>
      <w:r w:rsidR="00DD0FF9" w:rsidRPr="00A8564C">
        <w:rPr>
          <w:lang w:val="es-ES"/>
        </w:rPr>
        <w:t>participar</w:t>
      </w:r>
      <w:r w:rsidRPr="00A8564C">
        <w:rPr>
          <w:lang w:val="es-ES"/>
        </w:rPr>
        <w:t xml:space="preserve"> en </w:t>
      </w:r>
      <w:r w:rsidR="00DD0FF9" w:rsidRPr="00A8564C">
        <w:rPr>
          <w:lang w:val="es-ES"/>
        </w:rPr>
        <w:t>seminarios</w:t>
      </w:r>
      <w:r w:rsidRPr="00A8564C">
        <w:rPr>
          <w:lang w:val="es-ES"/>
        </w:rPr>
        <w:t xml:space="preserve"> y cursos</w:t>
      </w:r>
      <w:r w:rsidR="003805C2" w:rsidRPr="00A8564C">
        <w:rPr>
          <w:lang w:val="es-ES"/>
        </w:rPr>
        <w:t xml:space="preserve"> en sus </w:t>
      </w:r>
      <w:r w:rsidR="00DD0FF9" w:rsidRPr="00A8564C">
        <w:rPr>
          <w:lang w:val="es-ES"/>
        </w:rPr>
        <w:t>ámbitos</w:t>
      </w:r>
      <w:r w:rsidRPr="00A8564C">
        <w:rPr>
          <w:lang w:val="es-ES"/>
        </w:rPr>
        <w:t xml:space="preserve"> de </w:t>
      </w:r>
      <w:r w:rsidR="00DD0FF9" w:rsidRPr="00A8564C">
        <w:rPr>
          <w:lang w:val="es-ES"/>
        </w:rPr>
        <w:t>especialización</w:t>
      </w:r>
      <w:r w:rsidRPr="00A8564C">
        <w:rPr>
          <w:lang w:val="es-ES"/>
        </w:rPr>
        <w:t xml:space="preserve"> respect</w:t>
      </w:r>
      <w:r w:rsidR="003805C2" w:rsidRPr="00A8564C">
        <w:rPr>
          <w:lang w:val="es-ES"/>
        </w:rPr>
        <w:t>i</w:t>
      </w:r>
      <w:r w:rsidRPr="00A8564C">
        <w:rPr>
          <w:lang w:val="es-ES"/>
        </w:rPr>
        <w:t>vos</w:t>
      </w:r>
      <w:r w:rsidR="009B04B4" w:rsidRPr="00A8564C">
        <w:rPr>
          <w:lang w:val="es-ES"/>
        </w:rPr>
        <w:t>,</w:t>
      </w:r>
      <w:r w:rsidRPr="00A8564C">
        <w:rPr>
          <w:lang w:val="es-ES"/>
        </w:rPr>
        <w:t xml:space="preserve"> </w:t>
      </w:r>
      <w:r w:rsidR="009B04B4" w:rsidRPr="00A8564C">
        <w:rPr>
          <w:lang w:val="es-ES"/>
        </w:rPr>
        <w:t xml:space="preserve">con miras a </w:t>
      </w:r>
      <w:r w:rsidRPr="00A8564C">
        <w:rPr>
          <w:lang w:val="es-ES"/>
        </w:rPr>
        <w:t xml:space="preserve">actualizar </w:t>
      </w:r>
      <w:r w:rsidR="003805C2" w:rsidRPr="00A8564C">
        <w:rPr>
          <w:lang w:val="es-ES"/>
        </w:rPr>
        <w:t>y mant</w:t>
      </w:r>
      <w:r w:rsidRPr="00A8564C">
        <w:rPr>
          <w:lang w:val="es-ES"/>
        </w:rPr>
        <w:t xml:space="preserve">ener </w:t>
      </w:r>
      <w:r w:rsidR="009B04B4" w:rsidRPr="00A8564C">
        <w:rPr>
          <w:lang w:val="es-ES"/>
        </w:rPr>
        <w:t>el</w:t>
      </w:r>
      <w:r w:rsidR="003805C2" w:rsidRPr="00A8564C">
        <w:rPr>
          <w:lang w:val="es-ES"/>
        </w:rPr>
        <w:t xml:space="preserve"> alto nivel </w:t>
      </w:r>
      <w:r w:rsidR="009B04B4" w:rsidRPr="00A8564C">
        <w:rPr>
          <w:lang w:val="es-ES"/>
        </w:rPr>
        <w:t xml:space="preserve">de </w:t>
      </w:r>
      <w:r w:rsidRPr="00A8564C">
        <w:rPr>
          <w:lang w:val="es-ES"/>
        </w:rPr>
        <w:t xml:space="preserve">sus competencias.  </w:t>
      </w:r>
      <w:r w:rsidR="000D0971" w:rsidRPr="00A8564C">
        <w:rPr>
          <w:lang w:val="es-ES"/>
        </w:rPr>
        <w:t xml:space="preserve">Entre los diversos </w:t>
      </w:r>
      <w:r w:rsidRPr="00A8564C">
        <w:rPr>
          <w:lang w:val="es-ES"/>
        </w:rPr>
        <w:t xml:space="preserve">cursos </w:t>
      </w:r>
      <w:r w:rsidR="00DD0FF9" w:rsidRPr="00A8564C">
        <w:rPr>
          <w:lang w:val="es-ES"/>
        </w:rPr>
        <w:t>profesionales</w:t>
      </w:r>
      <w:r w:rsidRPr="00A8564C">
        <w:rPr>
          <w:lang w:val="es-ES"/>
        </w:rPr>
        <w:t xml:space="preserve"> </w:t>
      </w:r>
      <w:r w:rsidR="003805C2" w:rsidRPr="00A8564C">
        <w:rPr>
          <w:lang w:val="es-ES"/>
        </w:rPr>
        <w:t xml:space="preserve">que </w:t>
      </w:r>
      <w:r w:rsidRPr="00A8564C">
        <w:rPr>
          <w:lang w:val="es-ES"/>
        </w:rPr>
        <w:t xml:space="preserve">han tenido lugar en </w:t>
      </w:r>
      <w:r w:rsidR="00B06CD7" w:rsidRPr="00A8564C">
        <w:rPr>
          <w:lang w:val="es-ES"/>
        </w:rPr>
        <w:t>la ILPO</w:t>
      </w:r>
      <w:r w:rsidR="003805C2" w:rsidRPr="00A8564C">
        <w:rPr>
          <w:lang w:val="es-ES"/>
        </w:rPr>
        <w:t xml:space="preserve"> </w:t>
      </w:r>
      <w:r w:rsidR="000D0971" w:rsidRPr="00A8564C">
        <w:rPr>
          <w:lang w:val="es-ES"/>
        </w:rPr>
        <w:t xml:space="preserve">y que </w:t>
      </w:r>
      <w:r w:rsidR="003805C2" w:rsidRPr="00A8564C">
        <w:rPr>
          <w:lang w:val="es-ES"/>
        </w:rPr>
        <w:t xml:space="preserve">han sido impartidos por </w:t>
      </w:r>
      <w:r w:rsidR="00550034" w:rsidRPr="00A8564C">
        <w:rPr>
          <w:lang w:val="es-ES"/>
        </w:rPr>
        <w:t xml:space="preserve">representantes de </w:t>
      </w:r>
      <w:r w:rsidR="003805C2" w:rsidRPr="00A8564C">
        <w:rPr>
          <w:lang w:val="es-ES"/>
        </w:rPr>
        <w:t xml:space="preserve">las </w:t>
      </w:r>
      <w:r w:rsidR="00550034" w:rsidRPr="00A8564C">
        <w:rPr>
          <w:lang w:val="es-ES"/>
        </w:rPr>
        <w:t xml:space="preserve">principales </w:t>
      </w:r>
      <w:r w:rsidR="009B04B4" w:rsidRPr="00A8564C">
        <w:rPr>
          <w:lang w:val="es-ES"/>
        </w:rPr>
        <w:t>universidades</w:t>
      </w:r>
      <w:r w:rsidR="00550034" w:rsidRPr="00A8564C">
        <w:rPr>
          <w:lang w:val="es-ES"/>
        </w:rPr>
        <w:t xml:space="preserve"> de Israel, de </w:t>
      </w:r>
      <w:r w:rsidR="003805C2" w:rsidRPr="00A8564C">
        <w:rPr>
          <w:lang w:val="es-ES"/>
        </w:rPr>
        <w:t xml:space="preserve">empresas </w:t>
      </w:r>
      <w:r w:rsidR="00550034" w:rsidRPr="00A8564C">
        <w:rPr>
          <w:lang w:val="es-ES"/>
        </w:rPr>
        <w:t xml:space="preserve">privadas </w:t>
      </w:r>
      <w:r w:rsidR="003805C2" w:rsidRPr="00A8564C">
        <w:rPr>
          <w:lang w:val="es-ES"/>
        </w:rPr>
        <w:t>y expertos</w:t>
      </w:r>
      <w:r w:rsidR="000D0971" w:rsidRPr="00A8564C">
        <w:rPr>
          <w:lang w:val="es-ES"/>
        </w:rPr>
        <w:t xml:space="preserve">, </w:t>
      </w:r>
      <w:r w:rsidR="00550034" w:rsidRPr="00A8564C">
        <w:rPr>
          <w:lang w:val="es-ES"/>
        </w:rPr>
        <w:t>están los</w:t>
      </w:r>
      <w:r w:rsidR="000D0971" w:rsidRPr="00A8564C">
        <w:rPr>
          <w:lang w:val="es-ES"/>
        </w:rPr>
        <w:t xml:space="preserve"> cursos en telecomunicaciones de datos</w:t>
      </w:r>
      <w:r w:rsidR="002C70DB" w:rsidRPr="00A8564C">
        <w:rPr>
          <w:lang w:val="es-ES"/>
        </w:rPr>
        <w:t xml:space="preserve">, </w:t>
      </w:r>
      <w:r w:rsidR="000D0971" w:rsidRPr="00A8564C">
        <w:rPr>
          <w:lang w:val="es-ES"/>
        </w:rPr>
        <w:t xml:space="preserve">lectura de dibujos de </w:t>
      </w:r>
      <w:r w:rsidR="00DD0FF9" w:rsidRPr="00A8564C">
        <w:rPr>
          <w:lang w:val="es-ES"/>
        </w:rPr>
        <w:t>ingeniería</w:t>
      </w:r>
      <w:r w:rsidR="000D0971" w:rsidRPr="00A8564C">
        <w:rPr>
          <w:lang w:val="es-ES"/>
        </w:rPr>
        <w:t xml:space="preserve"> y los principios de las ciencias </w:t>
      </w:r>
      <w:r w:rsidR="00DD0FF9" w:rsidRPr="00A8564C">
        <w:rPr>
          <w:lang w:val="es-ES"/>
        </w:rPr>
        <w:t>farmacéuticas</w:t>
      </w:r>
      <w:r w:rsidR="002C70DB" w:rsidRPr="00A8564C">
        <w:rPr>
          <w:lang w:val="es-ES"/>
        </w:rPr>
        <w:t>.</w:t>
      </w:r>
    </w:p>
    <w:p w14:paraId="344F4FDA" w14:textId="77777777" w:rsidR="002C70DB" w:rsidRPr="00A8564C" w:rsidRDefault="002C70DB" w:rsidP="001755C3">
      <w:pPr>
        <w:rPr>
          <w:lang w:val="es-ES"/>
        </w:rPr>
      </w:pPr>
    </w:p>
    <w:p w14:paraId="61B72FCA" w14:textId="76C4FAA6" w:rsidR="002C70DB" w:rsidRPr="00A8564C" w:rsidRDefault="00B06CD7" w:rsidP="001755C3">
      <w:pPr>
        <w:rPr>
          <w:lang w:val="es-ES"/>
        </w:rPr>
      </w:pPr>
      <w:r w:rsidRPr="00A8564C">
        <w:rPr>
          <w:lang w:val="es-ES"/>
        </w:rPr>
        <w:t xml:space="preserve">La ILPO </w:t>
      </w:r>
      <w:r w:rsidR="000D0971" w:rsidRPr="00A8564C">
        <w:rPr>
          <w:lang w:val="es-ES"/>
        </w:rPr>
        <w:t xml:space="preserve">organiza regularmente visitas a empresas industriales e instituciones </w:t>
      </w:r>
      <w:r w:rsidR="00DD0FF9" w:rsidRPr="00A8564C">
        <w:rPr>
          <w:lang w:val="es-ES"/>
        </w:rPr>
        <w:t>académicas</w:t>
      </w:r>
      <w:r w:rsidR="000D0971" w:rsidRPr="00A8564C">
        <w:rPr>
          <w:lang w:val="es-ES"/>
        </w:rPr>
        <w:t xml:space="preserve"> </w:t>
      </w:r>
      <w:r w:rsidR="00550034" w:rsidRPr="00A8564C">
        <w:rPr>
          <w:lang w:val="es-ES"/>
        </w:rPr>
        <w:t>israelíes</w:t>
      </w:r>
      <w:r w:rsidR="000D0971" w:rsidRPr="00A8564C">
        <w:rPr>
          <w:lang w:val="es-ES"/>
        </w:rPr>
        <w:t xml:space="preserve"> para los examinadores, durante las cuales se ofrecen visitas guiadas y conferencias, y se mantienen debates con los </w:t>
      </w:r>
      <w:r w:rsidR="00DD0FF9" w:rsidRPr="00A8564C">
        <w:rPr>
          <w:lang w:val="es-ES"/>
        </w:rPr>
        <w:t>representantes</w:t>
      </w:r>
      <w:r w:rsidR="000D0971" w:rsidRPr="00A8564C">
        <w:rPr>
          <w:lang w:val="es-ES"/>
        </w:rPr>
        <w:t xml:space="preserve"> de esas </w:t>
      </w:r>
      <w:r w:rsidR="00DD0FF9" w:rsidRPr="00A8564C">
        <w:rPr>
          <w:lang w:val="es-ES"/>
        </w:rPr>
        <w:t>empresas</w:t>
      </w:r>
      <w:r w:rsidR="000D0971" w:rsidRPr="00A8564C">
        <w:rPr>
          <w:lang w:val="es-ES"/>
        </w:rPr>
        <w:t xml:space="preserve"> o </w:t>
      </w:r>
      <w:r w:rsidR="00DD0FF9" w:rsidRPr="00A8564C">
        <w:rPr>
          <w:lang w:val="es-ES"/>
        </w:rPr>
        <w:t>instituciones</w:t>
      </w:r>
      <w:r w:rsidR="000D0971" w:rsidRPr="00A8564C">
        <w:rPr>
          <w:lang w:val="es-ES"/>
        </w:rPr>
        <w:t xml:space="preserve"> sobre cuestiones </w:t>
      </w:r>
      <w:r w:rsidR="00DD0FF9" w:rsidRPr="00A8564C">
        <w:rPr>
          <w:lang w:val="es-ES"/>
        </w:rPr>
        <w:t>científicas</w:t>
      </w:r>
      <w:r w:rsidR="000D0971" w:rsidRPr="00A8564C">
        <w:rPr>
          <w:lang w:val="es-ES"/>
        </w:rPr>
        <w:t xml:space="preserve"> y </w:t>
      </w:r>
      <w:r w:rsidR="00DD0FF9" w:rsidRPr="00A8564C">
        <w:rPr>
          <w:lang w:val="es-ES"/>
        </w:rPr>
        <w:t>tecnológicas</w:t>
      </w:r>
      <w:r w:rsidR="000D0971" w:rsidRPr="00A8564C">
        <w:rPr>
          <w:lang w:val="es-ES"/>
        </w:rPr>
        <w:t xml:space="preserve">, </w:t>
      </w:r>
      <w:r w:rsidR="00DD0FF9" w:rsidRPr="00A8564C">
        <w:rPr>
          <w:lang w:val="es-ES"/>
        </w:rPr>
        <w:t>así</w:t>
      </w:r>
      <w:r w:rsidR="000D0971" w:rsidRPr="00A8564C">
        <w:rPr>
          <w:lang w:val="es-ES"/>
        </w:rPr>
        <w:t xml:space="preserve"> como sobre </w:t>
      </w:r>
      <w:r w:rsidR="00DD0FF9" w:rsidRPr="00A8564C">
        <w:rPr>
          <w:lang w:val="es-ES"/>
        </w:rPr>
        <w:t>aspectos</w:t>
      </w:r>
      <w:r w:rsidR="000D0971" w:rsidRPr="00A8564C">
        <w:rPr>
          <w:lang w:val="es-ES"/>
        </w:rPr>
        <w:t xml:space="preserve"> relacionados con la P.I. en varios </w:t>
      </w:r>
      <w:r w:rsidR="009A4DA5" w:rsidRPr="00A8564C">
        <w:rPr>
          <w:lang w:val="es-ES"/>
        </w:rPr>
        <w:t xml:space="preserve">campos </w:t>
      </w:r>
      <w:r w:rsidR="00DD0FF9" w:rsidRPr="00A8564C">
        <w:rPr>
          <w:lang w:val="es-ES"/>
        </w:rPr>
        <w:t>técnicos</w:t>
      </w:r>
      <w:r w:rsidR="009A4DA5" w:rsidRPr="00A8564C">
        <w:rPr>
          <w:lang w:val="es-ES"/>
        </w:rPr>
        <w:t xml:space="preserve"> avanzados</w:t>
      </w:r>
      <w:r w:rsidR="002C70DB" w:rsidRPr="00A8564C">
        <w:rPr>
          <w:lang w:val="es-ES"/>
        </w:rPr>
        <w:t>.</w:t>
      </w:r>
    </w:p>
    <w:p w14:paraId="4BB1512B" w14:textId="77777777" w:rsidR="002C70DB" w:rsidRPr="00A8564C" w:rsidRDefault="002C70DB" w:rsidP="001755C3">
      <w:pPr>
        <w:rPr>
          <w:lang w:val="es-ES"/>
        </w:rPr>
      </w:pPr>
    </w:p>
    <w:p w14:paraId="6C83B0F7" w14:textId="3B2705CD" w:rsidR="002C70DB" w:rsidRPr="00A8564C" w:rsidRDefault="00B06CD7" w:rsidP="001755C3">
      <w:pPr>
        <w:rPr>
          <w:lang w:val="es-ES"/>
        </w:rPr>
      </w:pPr>
      <w:r w:rsidRPr="00A8564C">
        <w:rPr>
          <w:lang w:val="es-ES"/>
        </w:rPr>
        <w:t>La ILPO</w:t>
      </w:r>
      <w:r w:rsidR="009A4DA5" w:rsidRPr="00A8564C">
        <w:rPr>
          <w:lang w:val="es-ES"/>
        </w:rPr>
        <w:t xml:space="preserve"> anima a los </w:t>
      </w:r>
      <w:r w:rsidRPr="00A8564C">
        <w:rPr>
          <w:lang w:val="es-ES"/>
        </w:rPr>
        <w:t>examinadores</w:t>
      </w:r>
      <w:r w:rsidR="002C70DB" w:rsidRPr="00A8564C">
        <w:rPr>
          <w:lang w:val="es-ES"/>
        </w:rPr>
        <w:t xml:space="preserve"> </w:t>
      </w:r>
      <w:r w:rsidR="009A4DA5" w:rsidRPr="00A8564C">
        <w:rPr>
          <w:lang w:val="es-ES"/>
        </w:rPr>
        <w:t>a inscribirse a estudios superior</w:t>
      </w:r>
      <w:r w:rsidR="00550034" w:rsidRPr="00A8564C">
        <w:rPr>
          <w:lang w:val="es-ES"/>
        </w:rPr>
        <w:t>es</w:t>
      </w:r>
      <w:r w:rsidR="009A4DA5" w:rsidRPr="00A8564C">
        <w:rPr>
          <w:lang w:val="es-ES"/>
        </w:rPr>
        <w:t xml:space="preserve"> en universidades </w:t>
      </w:r>
      <w:r w:rsidR="00DD0FF9" w:rsidRPr="00A8564C">
        <w:rPr>
          <w:lang w:val="es-ES"/>
        </w:rPr>
        <w:t>israelíes</w:t>
      </w:r>
      <w:r w:rsidR="002C70DB" w:rsidRPr="00A8564C">
        <w:rPr>
          <w:lang w:val="es-ES"/>
        </w:rPr>
        <w:t xml:space="preserve">, </w:t>
      </w:r>
      <w:r w:rsidR="009A4DA5" w:rsidRPr="00A8564C">
        <w:rPr>
          <w:lang w:val="es-ES"/>
        </w:rPr>
        <w:t>en especial en los campos de la ciencia y el derecho, con el fin de mejorar sus competencias</w:t>
      </w:r>
      <w:r w:rsidR="002C70DB" w:rsidRPr="00A8564C">
        <w:rPr>
          <w:lang w:val="es-ES"/>
        </w:rPr>
        <w:t xml:space="preserve">. </w:t>
      </w:r>
    </w:p>
    <w:p w14:paraId="1328E57A" w14:textId="77777777" w:rsidR="002C70DB" w:rsidRPr="00A8564C" w:rsidRDefault="002C70DB" w:rsidP="001755C3">
      <w:pPr>
        <w:rPr>
          <w:lang w:val="es-ES"/>
        </w:rPr>
      </w:pPr>
    </w:p>
    <w:p w14:paraId="22F8229C" w14:textId="55E313CA" w:rsidR="002C70DB" w:rsidRPr="00A8564C" w:rsidRDefault="002C70DB" w:rsidP="00D852EC">
      <w:pPr>
        <w:pStyle w:val="Heading3"/>
        <w:keepLines/>
        <w:rPr>
          <w:lang w:val="es-ES"/>
        </w:rPr>
      </w:pPr>
      <w:r w:rsidRPr="00A8564C">
        <w:rPr>
          <w:lang w:val="es-ES"/>
        </w:rPr>
        <w:lastRenderedPageBreak/>
        <w:t>2.1.</w:t>
      </w:r>
      <w:r w:rsidR="001755C3" w:rsidRPr="00A8564C">
        <w:rPr>
          <w:lang w:val="es-ES"/>
        </w:rPr>
        <w:t>5</w:t>
      </w:r>
      <w:r w:rsidR="009E7E5E" w:rsidRPr="00A8564C">
        <w:rPr>
          <w:lang w:val="es-ES"/>
        </w:rPr>
        <w:t xml:space="preserve">.  </w:t>
      </w:r>
      <w:r w:rsidRPr="00A8564C">
        <w:rPr>
          <w:lang w:val="es-ES"/>
        </w:rPr>
        <w:t>Acces</w:t>
      </w:r>
      <w:r w:rsidR="009A4DA5" w:rsidRPr="00A8564C">
        <w:rPr>
          <w:lang w:val="es-ES"/>
        </w:rPr>
        <w:t xml:space="preserve">o a la </w:t>
      </w:r>
      <w:r w:rsidR="00DD0FF9" w:rsidRPr="00A8564C">
        <w:rPr>
          <w:lang w:val="es-ES"/>
        </w:rPr>
        <w:t>documentación</w:t>
      </w:r>
      <w:r w:rsidR="009A4DA5" w:rsidRPr="00A8564C">
        <w:rPr>
          <w:lang w:val="es-ES"/>
        </w:rPr>
        <w:t xml:space="preserve"> </w:t>
      </w:r>
      <w:r w:rsidR="00DD0FF9" w:rsidRPr="00A8564C">
        <w:rPr>
          <w:lang w:val="es-ES"/>
        </w:rPr>
        <w:t>mínima</w:t>
      </w:r>
      <w:r w:rsidR="009A4DA5" w:rsidRPr="00A8564C">
        <w:rPr>
          <w:lang w:val="es-ES"/>
        </w:rPr>
        <w:t xml:space="preserve"> para </w:t>
      </w:r>
      <w:r w:rsidR="00DD0FF9" w:rsidRPr="00A8564C">
        <w:rPr>
          <w:lang w:val="es-ES"/>
        </w:rPr>
        <w:t>fines</w:t>
      </w:r>
      <w:r w:rsidR="009A4DA5" w:rsidRPr="00A8564C">
        <w:rPr>
          <w:lang w:val="es-ES"/>
        </w:rPr>
        <w:t xml:space="preserve"> de </w:t>
      </w:r>
      <w:r w:rsidR="00DD0FF9" w:rsidRPr="00A8564C">
        <w:rPr>
          <w:lang w:val="es-ES"/>
        </w:rPr>
        <w:t>búsqueda</w:t>
      </w:r>
      <w:r w:rsidR="009A4DA5" w:rsidRPr="00A8564C">
        <w:rPr>
          <w:lang w:val="es-ES"/>
        </w:rPr>
        <w:t xml:space="preserve"> y sistemas de </w:t>
      </w:r>
      <w:r w:rsidR="00DD0FF9" w:rsidRPr="00A8564C">
        <w:rPr>
          <w:lang w:val="es-ES"/>
        </w:rPr>
        <w:t>búsqueda</w:t>
      </w:r>
      <w:r w:rsidRPr="00A8564C">
        <w:rPr>
          <w:lang w:val="es-ES"/>
        </w:rPr>
        <w:t xml:space="preserve">: </w:t>
      </w:r>
    </w:p>
    <w:p w14:paraId="2454715F" w14:textId="77777777" w:rsidR="002C70DB" w:rsidRPr="00A8564C" w:rsidRDefault="002C70DB" w:rsidP="00D852EC">
      <w:pPr>
        <w:keepNext/>
        <w:keepLines/>
        <w:rPr>
          <w:lang w:val="es-ES"/>
        </w:rPr>
      </w:pPr>
    </w:p>
    <w:p w14:paraId="568E13EA" w14:textId="640EC53A" w:rsidR="002C70DB" w:rsidRPr="00A8564C" w:rsidRDefault="001D3092" w:rsidP="00D852EC">
      <w:pPr>
        <w:keepNext/>
        <w:keepLines/>
        <w:rPr>
          <w:b/>
          <w:i/>
          <w:lang w:val="es-ES"/>
        </w:rPr>
      </w:pPr>
      <w:r w:rsidRPr="00A8564C">
        <w:rPr>
          <w:b/>
          <w:i/>
          <w:lang w:val="es-ES"/>
        </w:rPr>
        <w:t>Reglas 36.1.ii) y 63.1.ii):  esa Oficina u organización deberá poseer, por lo menos, la documentación mínima mencionada en la Regla 34, o tener acceso a esa documentación mínima, la cual deberá estar ordenada en forma adecuada a los fines de la búsqueda y presentarse en papel, en microformato o en soporte electrónico</w:t>
      </w:r>
      <w:r w:rsidR="002C70DB" w:rsidRPr="00A8564C">
        <w:rPr>
          <w:b/>
          <w:i/>
          <w:lang w:val="es-ES"/>
        </w:rPr>
        <w:t>.</w:t>
      </w:r>
    </w:p>
    <w:p w14:paraId="239EE003" w14:textId="77777777" w:rsidR="002C70DB" w:rsidRPr="00A8564C" w:rsidRDefault="002C70DB" w:rsidP="001755C3">
      <w:pPr>
        <w:rPr>
          <w:lang w:val="es-ES"/>
        </w:rPr>
      </w:pPr>
    </w:p>
    <w:p w14:paraId="21048B10" w14:textId="1FA66737" w:rsidR="002C70DB" w:rsidRPr="00A8564C" w:rsidRDefault="009A4DA5" w:rsidP="001755C3">
      <w:pPr>
        <w:rPr>
          <w:lang w:val="es-ES"/>
        </w:rPr>
      </w:pPr>
      <w:r w:rsidRPr="00A8564C">
        <w:rPr>
          <w:lang w:val="es-ES"/>
        </w:rPr>
        <w:t xml:space="preserve">La ILPO se esfuerza por mejorar constantemente los recursos de </w:t>
      </w:r>
      <w:r w:rsidR="00DD0FF9" w:rsidRPr="00A8564C">
        <w:rPr>
          <w:lang w:val="es-ES"/>
        </w:rPr>
        <w:t>búsqueda</w:t>
      </w:r>
      <w:r w:rsidRPr="00A8564C">
        <w:rPr>
          <w:lang w:val="es-ES"/>
        </w:rPr>
        <w:t xml:space="preserve"> que </w:t>
      </w:r>
      <w:r w:rsidR="00DD0FF9" w:rsidRPr="00A8564C">
        <w:rPr>
          <w:lang w:val="es-ES"/>
        </w:rPr>
        <w:t>están</w:t>
      </w:r>
      <w:r w:rsidRPr="00A8564C">
        <w:rPr>
          <w:lang w:val="es-ES"/>
        </w:rPr>
        <w:t xml:space="preserve"> a </w:t>
      </w:r>
      <w:r w:rsidR="00DD0FF9" w:rsidRPr="00A8564C">
        <w:rPr>
          <w:lang w:val="es-ES"/>
        </w:rPr>
        <w:t>disposición</w:t>
      </w:r>
      <w:r w:rsidRPr="00A8564C">
        <w:rPr>
          <w:lang w:val="es-ES"/>
        </w:rPr>
        <w:t xml:space="preserve"> de los </w:t>
      </w:r>
      <w:r w:rsidR="00B06CD7" w:rsidRPr="00A8564C">
        <w:rPr>
          <w:lang w:val="es-ES"/>
        </w:rPr>
        <w:t>examinadores</w:t>
      </w:r>
      <w:r w:rsidRPr="00A8564C">
        <w:rPr>
          <w:lang w:val="es-ES"/>
        </w:rPr>
        <w:t xml:space="preserve">, aumentando el </w:t>
      </w:r>
      <w:r w:rsidR="00DD0FF9" w:rsidRPr="00A8564C">
        <w:rPr>
          <w:lang w:val="es-ES"/>
        </w:rPr>
        <w:t>número</w:t>
      </w:r>
      <w:r w:rsidRPr="00A8564C">
        <w:rPr>
          <w:lang w:val="es-ES"/>
        </w:rPr>
        <w:t xml:space="preserve"> de suscripciones a bases de datos </w:t>
      </w:r>
      <w:r w:rsidR="00DD0FF9" w:rsidRPr="00A8564C">
        <w:rPr>
          <w:lang w:val="es-ES"/>
        </w:rPr>
        <w:t>c</w:t>
      </w:r>
      <w:r w:rsidR="001F1F0C" w:rsidRPr="00A8564C">
        <w:rPr>
          <w:lang w:val="es-ES"/>
        </w:rPr>
        <w:t>omerciales y</w:t>
      </w:r>
      <w:r w:rsidRPr="00A8564C">
        <w:rPr>
          <w:lang w:val="es-ES"/>
        </w:rPr>
        <w:t xml:space="preserve"> ampliando la cobertura de la </w:t>
      </w:r>
      <w:r w:rsidR="00DD0FF9" w:rsidRPr="00A8564C">
        <w:rPr>
          <w:lang w:val="es-ES"/>
        </w:rPr>
        <w:t>búsqueda</w:t>
      </w:r>
      <w:r w:rsidRPr="00A8564C">
        <w:rPr>
          <w:lang w:val="es-ES"/>
        </w:rPr>
        <w:t xml:space="preserve"> en ellas</w:t>
      </w:r>
      <w:r w:rsidR="009E7E5E" w:rsidRPr="00A8564C">
        <w:rPr>
          <w:lang w:val="es-ES"/>
        </w:rPr>
        <w:t xml:space="preserve">.  </w:t>
      </w:r>
      <w:r w:rsidR="00DD0FF9" w:rsidRPr="00A8564C">
        <w:rPr>
          <w:lang w:val="es-ES"/>
        </w:rPr>
        <w:t>Además</w:t>
      </w:r>
      <w:r w:rsidRPr="00A8564C">
        <w:rPr>
          <w:lang w:val="es-ES"/>
        </w:rPr>
        <w:t xml:space="preserve">, la </w:t>
      </w:r>
      <w:r w:rsidR="001F1F0C" w:rsidRPr="00A8564C">
        <w:rPr>
          <w:lang w:val="es-ES"/>
        </w:rPr>
        <w:t xml:space="preserve">Oficina </w:t>
      </w:r>
      <w:r w:rsidRPr="00A8564C">
        <w:rPr>
          <w:lang w:val="es-ES"/>
        </w:rPr>
        <w:t xml:space="preserve">ha adquirido </w:t>
      </w:r>
      <w:r w:rsidR="00DD0FF9" w:rsidRPr="00A8564C">
        <w:rPr>
          <w:lang w:val="es-ES"/>
        </w:rPr>
        <w:t>licencias</w:t>
      </w:r>
      <w:r w:rsidRPr="00A8564C">
        <w:rPr>
          <w:lang w:val="es-ES"/>
        </w:rPr>
        <w:t xml:space="preserve"> de acc</w:t>
      </w:r>
      <w:r w:rsidR="00384231" w:rsidRPr="00A8564C">
        <w:rPr>
          <w:lang w:val="es-ES"/>
        </w:rPr>
        <w:t>eso a colecciones de textos completos de documentos no relacionados con las patentes</w:t>
      </w:r>
      <w:r w:rsidR="002C70DB" w:rsidRPr="00A8564C">
        <w:rPr>
          <w:lang w:val="es-ES"/>
        </w:rPr>
        <w:t>.</w:t>
      </w:r>
    </w:p>
    <w:p w14:paraId="4657B297" w14:textId="77777777" w:rsidR="002C70DB" w:rsidRPr="00A8564C" w:rsidRDefault="002C70DB" w:rsidP="001755C3">
      <w:pPr>
        <w:rPr>
          <w:lang w:val="es-ES"/>
        </w:rPr>
      </w:pPr>
    </w:p>
    <w:p w14:paraId="2D6B132A" w14:textId="6C8BA125" w:rsidR="002C70DB" w:rsidRPr="00A8564C" w:rsidRDefault="009A4DA5" w:rsidP="001755C3">
      <w:pPr>
        <w:rPr>
          <w:lang w:val="es-ES"/>
        </w:rPr>
      </w:pPr>
      <w:r w:rsidRPr="00A8564C">
        <w:rPr>
          <w:lang w:val="es-ES"/>
        </w:rPr>
        <w:t>En 2</w:t>
      </w:r>
      <w:r w:rsidR="002C70DB" w:rsidRPr="00A8564C">
        <w:rPr>
          <w:lang w:val="es-ES"/>
        </w:rPr>
        <w:t>014,</w:t>
      </w:r>
      <w:r w:rsidRPr="00A8564C">
        <w:rPr>
          <w:lang w:val="es-ES"/>
        </w:rPr>
        <w:t xml:space="preserve"> se estableció una </w:t>
      </w:r>
      <w:r w:rsidR="00384231" w:rsidRPr="00A8564C">
        <w:rPr>
          <w:lang w:val="es-ES"/>
        </w:rPr>
        <w:t>infraestructura</w:t>
      </w:r>
      <w:r w:rsidRPr="00A8564C">
        <w:rPr>
          <w:lang w:val="es-ES"/>
        </w:rPr>
        <w:t xml:space="preserve"> de </w:t>
      </w:r>
      <w:r w:rsidR="00384231" w:rsidRPr="00A8564C">
        <w:rPr>
          <w:lang w:val="es-ES"/>
        </w:rPr>
        <w:t>comunicación</w:t>
      </w:r>
      <w:r w:rsidRPr="00A8564C">
        <w:rPr>
          <w:lang w:val="es-ES"/>
        </w:rPr>
        <w:t xml:space="preserve"> </w:t>
      </w:r>
      <w:r w:rsidR="00384231" w:rsidRPr="00A8564C">
        <w:rPr>
          <w:lang w:val="es-ES"/>
        </w:rPr>
        <w:t>adecuada</w:t>
      </w:r>
      <w:r w:rsidRPr="00A8564C">
        <w:rPr>
          <w:lang w:val="es-ES"/>
        </w:rPr>
        <w:t xml:space="preserve"> para apoyar la </w:t>
      </w:r>
      <w:r w:rsidR="00384231" w:rsidRPr="00A8564C">
        <w:rPr>
          <w:lang w:val="es-ES"/>
        </w:rPr>
        <w:t>adhesión</w:t>
      </w:r>
      <w:r w:rsidRPr="00A8564C">
        <w:rPr>
          <w:lang w:val="es-ES"/>
        </w:rPr>
        <w:t xml:space="preserve"> al </w:t>
      </w:r>
      <w:r w:rsidR="00672F4E" w:rsidRPr="00A8564C">
        <w:rPr>
          <w:lang w:val="es-ES"/>
        </w:rPr>
        <w:t xml:space="preserve">sistema </w:t>
      </w:r>
      <w:r w:rsidRPr="00A8564C">
        <w:rPr>
          <w:lang w:val="es-ES"/>
        </w:rPr>
        <w:t>WIPO</w:t>
      </w:r>
      <w:r w:rsidR="0073717E" w:rsidRPr="00A8564C">
        <w:rPr>
          <w:lang w:val="es-ES"/>
        </w:rPr>
        <w:t xml:space="preserve"> </w:t>
      </w:r>
      <w:r w:rsidR="002C70DB" w:rsidRPr="00A8564C">
        <w:rPr>
          <w:lang w:val="es-ES"/>
        </w:rPr>
        <w:t>CASE</w:t>
      </w:r>
      <w:r w:rsidRPr="00A8564C">
        <w:rPr>
          <w:lang w:val="es-ES"/>
        </w:rPr>
        <w:t xml:space="preserve">, que sirve de plataforma mundial para el intercambio de </w:t>
      </w:r>
      <w:r w:rsidR="00384231" w:rsidRPr="00A8564C">
        <w:rPr>
          <w:lang w:val="es-ES"/>
        </w:rPr>
        <w:t>información</w:t>
      </w:r>
      <w:r w:rsidRPr="00A8564C">
        <w:rPr>
          <w:lang w:val="es-ES"/>
        </w:rPr>
        <w:t xml:space="preserve"> entre las diferentes oficinas de </w:t>
      </w:r>
      <w:r w:rsidR="00384231" w:rsidRPr="00A8564C">
        <w:rPr>
          <w:lang w:val="es-ES"/>
        </w:rPr>
        <w:t>patente</w:t>
      </w:r>
      <w:r w:rsidRPr="00A8564C">
        <w:rPr>
          <w:lang w:val="es-ES"/>
        </w:rPr>
        <w:t xml:space="preserve"> n el mundo</w:t>
      </w:r>
      <w:r w:rsidR="009E7E5E" w:rsidRPr="00A8564C">
        <w:rPr>
          <w:lang w:val="es-ES"/>
        </w:rPr>
        <w:t xml:space="preserve">.  </w:t>
      </w:r>
      <w:r w:rsidR="00B06CD7" w:rsidRPr="00A8564C">
        <w:rPr>
          <w:lang w:val="es-ES"/>
        </w:rPr>
        <w:t>La ILPO</w:t>
      </w:r>
      <w:r w:rsidRPr="00A8564C">
        <w:rPr>
          <w:lang w:val="es-ES"/>
        </w:rPr>
        <w:t xml:space="preserve"> comenz</w:t>
      </w:r>
      <w:r w:rsidR="00221C06" w:rsidRPr="00A8564C">
        <w:rPr>
          <w:lang w:val="es-ES"/>
        </w:rPr>
        <w:t>ó</w:t>
      </w:r>
      <w:r w:rsidRPr="00A8564C">
        <w:rPr>
          <w:lang w:val="es-ES"/>
        </w:rPr>
        <w:t xml:space="preserve"> a usar el </w:t>
      </w:r>
      <w:r w:rsidR="00221C06" w:rsidRPr="00A8564C">
        <w:rPr>
          <w:lang w:val="es-ES"/>
        </w:rPr>
        <w:t>sistema a finales de</w:t>
      </w:r>
      <w:r w:rsidR="002C70DB" w:rsidRPr="00A8564C">
        <w:rPr>
          <w:lang w:val="es-ES"/>
        </w:rPr>
        <w:t xml:space="preserve"> 2014</w:t>
      </w:r>
      <w:r w:rsidR="009E7E5E" w:rsidRPr="00A8564C">
        <w:rPr>
          <w:lang w:val="es-ES"/>
        </w:rPr>
        <w:t xml:space="preserve">.  </w:t>
      </w:r>
      <w:r w:rsidR="00221C06" w:rsidRPr="00A8564C">
        <w:rPr>
          <w:lang w:val="es-ES"/>
        </w:rPr>
        <w:t xml:space="preserve">Cabe señalar que la </w:t>
      </w:r>
      <w:r w:rsidR="00B06CD7" w:rsidRPr="00A8564C">
        <w:rPr>
          <w:lang w:val="es-ES"/>
        </w:rPr>
        <w:t xml:space="preserve">ILPO </w:t>
      </w:r>
      <w:r w:rsidR="001F1F0C" w:rsidRPr="00A8564C">
        <w:rPr>
          <w:lang w:val="es-ES"/>
        </w:rPr>
        <w:t>se cuenta</w:t>
      </w:r>
      <w:r w:rsidR="00221C06" w:rsidRPr="00A8564C">
        <w:rPr>
          <w:lang w:val="es-ES"/>
        </w:rPr>
        <w:t xml:space="preserve"> entre las primeras oficinas del mundo que se han adherido al sistema </w:t>
      </w:r>
      <w:r w:rsidR="001F1F0C" w:rsidRPr="00A8564C">
        <w:rPr>
          <w:lang w:val="es-ES"/>
        </w:rPr>
        <w:t xml:space="preserve">en </w:t>
      </w:r>
      <w:r w:rsidR="00221C06" w:rsidRPr="00A8564C">
        <w:rPr>
          <w:lang w:val="es-ES"/>
        </w:rPr>
        <w:t xml:space="preserve">tanto </w:t>
      </w:r>
      <w:r w:rsidR="001A1B45">
        <w:rPr>
          <w:lang w:val="es-ES"/>
        </w:rPr>
        <w:t>que Oficina con derecho de</w:t>
      </w:r>
      <w:r w:rsidR="001F1F0C" w:rsidRPr="00A8564C">
        <w:rPr>
          <w:lang w:val="es-ES"/>
        </w:rPr>
        <w:t xml:space="preserve"> </w:t>
      </w:r>
      <w:r w:rsidR="00221C06" w:rsidRPr="00A8564C">
        <w:rPr>
          <w:lang w:val="es-ES"/>
        </w:rPr>
        <w:t xml:space="preserve">acceso </w:t>
      </w:r>
      <w:r w:rsidR="001F1F0C" w:rsidRPr="00A8564C">
        <w:rPr>
          <w:lang w:val="es-ES"/>
        </w:rPr>
        <w:t>y depositante</w:t>
      </w:r>
      <w:r w:rsidR="002C70DB" w:rsidRPr="00A8564C">
        <w:rPr>
          <w:lang w:val="es-ES"/>
        </w:rPr>
        <w:t>.</w:t>
      </w:r>
    </w:p>
    <w:p w14:paraId="7FCAF098" w14:textId="77777777" w:rsidR="002C70DB" w:rsidRPr="00A8564C" w:rsidRDefault="002C70DB" w:rsidP="001755C3">
      <w:pPr>
        <w:rPr>
          <w:lang w:val="es-ES"/>
        </w:rPr>
      </w:pPr>
    </w:p>
    <w:p w14:paraId="277CFC38" w14:textId="4D79B160" w:rsidR="002C70DB" w:rsidRPr="00A8564C" w:rsidRDefault="00EB682C" w:rsidP="001755C3">
      <w:pPr>
        <w:rPr>
          <w:lang w:val="es-ES"/>
        </w:rPr>
      </w:pPr>
      <w:r w:rsidRPr="00A8564C">
        <w:rPr>
          <w:lang w:val="es-ES"/>
        </w:rPr>
        <w:t>Los examinadores sustantivos tienen a su disposición c</w:t>
      </w:r>
      <w:r w:rsidR="00221C06" w:rsidRPr="00A8564C">
        <w:rPr>
          <w:lang w:val="es-ES"/>
        </w:rPr>
        <w:t xml:space="preserve">inco </w:t>
      </w:r>
      <w:r w:rsidR="00B74190" w:rsidRPr="00A8564C">
        <w:rPr>
          <w:lang w:val="es-ES"/>
        </w:rPr>
        <w:t xml:space="preserve">avanzadas </w:t>
      </w:r>
      <w:r w:rsidR="00221C06" w:rsidRPr="00A8564C">
        <w:rPr>
          <w:lang w:val="es-ES"/>
        </w:rPr>
        <w:t xml:space="preserve">bases de datos comerciales de </w:t>
      </w:r>
      <w:r w:rsidR="00384231" w:rsidRPr="00A8564C">
        <w:rPr>
          <w:lang w:val="es-ES"/>
        </w:rPr>
        <w:t>búsqueda</w:t>
      </w:r>
      <w:r w:rsidR="00221C06" w:rsidRPr="00A8564C">
        <w:rPr>
          <w:lang w:val="es-ES"/>
        </w:rPr>
        <w:t xml:space="preserve"> </w:t>
      </w:r>
      <w:r w:rsidRPr="00A8564C">
        <w:rPr>
          <w:lang w:val="es-ES"/>
        </w:rPr>
        <w:t xml:space="preserve">y </w:t>
      </w:r>
      <w:r w:rsidR="00221C06" w:rsidRPr="00A8564C">
        <w:rPr>
          <w:lang w:val="es-ES"/>
        </w:rPr>
        <w:t xml:space="preserve">acceso a la </w:t>
      </w:r>
      <w:r w:rsidR="00384231" w:rsidRPr="00A8564C">
        <w:rPr>
          <w:lang w:val="es-ES"/>
        </w:rPr>
        <w:t>colección</w:t>
      </w:r>
      <w:r w:rsidR="00221C06" w:rsidRPr="00A8564C">
        <w:rPr>
          <w:lang w:val="es-ES"/>
        </w:rPr>
        <w:t xml:space="preserve"> </w:t>
      </w:r>
      <w:r w:rsidR="00384231" w:rsidRPr="00A8564C">
        <w:rPr>
          <w:lang w:val="es-ES"/>
        </w:rPr>
        <w:t>nacional</w:t>
      </w:r>
      <w:r w:rsidR="00B74190" w:rsidRPr="00A8564C">
        <w:rPr>
          <w:lang w:val="es-ES"/>
        </w:rPr>
        <w:t>,</w:t>
      </w:r>
      <w:r w:rsidR="00221C06" w:rsidRPr="00A8564C">
        <w:rPr>
          <w:lang w:val="es-ES"/>
        </w:rPr>
        <w:t xml:space="preserve"> en la que se pueden hacer </w:t>
      </w:r>
      <w:r w:rsidR="00384231" w:rsidRPr="00A8564C">
        <w:rPr>
          <w:lang w:val="es-ES"/>
        </w:rPr>
        <w:t>búsquedas</w:t>
      </w:r>
      <w:r w:rsidR="00221C06" w:rsidRPr="00A8564C">
        <w:rPr>
          <w:lang w:val="es-ES"/>
        </w:rPr>
        <w:t xml:space="preserve"> a </w:t>
      </w:r>
      <w:r w:rsidR="00384231" w:rsidRPr="00A8564C">
        <w:rPr>
          <w:lang w:val="es-ES"/>
        </w:rPr>
        <w:t>través</w:t>
      </w:r>
      <w:r w:rsidR="00221C06" w:rsidRPr="00A8564C">
        <w:rPr>
          <w:lang w:val="es-ES"/>
        </w:rPr>
        <w:t xml:space="preserve"> del </w:t>
      </w:r>
      <w:r w:rsidR="00672F4E" w:rsidRPr="00A8564C">
        <w:rPr>
          <w:lang w:val="es-ES"/>
        </w:rPr>
        <w:t xml:space="preserve">sistema </w:t>
      </w:r>
      <w:r w:rsidR="00221C06" w:rsidRPr="00A8564C">
        <w:rPr>
          <w:lang w:val="es-ES"/>
        </w:rPr>
        <w:t xml:space="preserve">automatizado </w:t>
      </w:r>
      <w:r w:rsidR="00B74190" w:rsidRPr="00A8564C">
        <w:rPr>
          <w:lang w:val="es-ES"/>
        </w:rPr>
        <w:t xml:space="preserve">interno </w:t>
      </w:r>
      <w:r w:rsidR="00221C06" w:rsidRPr="00A8564C">
        <w:rPr>
          <w:lang w:val="es-ES"/>
        </w:rPr>
        <w:t>para so</w:t>
      </w:r>
      <w:r w:rsidR="00184BCD" w:rsidRPr="00A8564C">
        <w:rPr>
          <w:lang w:val="es-ES"/>
        </w:rPr>
        <w:t>licitudes nacionales</w:t>
      </w:r>
      <w:r w:rsidR="002C70DB" w:rsidRPr="00A8564C">
        <w:rPr>
          <w:lang w:val="es-ES"/>
        </w:rPr>
        <w:t xml:space="preserve"> (</w:t>
      </w:r>
      <w:r w:rsidR="00221C06" w:rsidRPr="00A8564C">
        <w:rPr>
          <w:lang w:val="es-ES"/>
        </w:rPr>
        <w:t xml:space="preserve">y </w:t>
      </w:r>
      <w:r w:rsidR="00384231" w:rsidRPr="00A8564C">
        <w:rPr>
          <w:lang w:val="es-ES"/>
        </w:rPr>
        <w:t>también</w:t>
      </w:r>
      <w:r w:rsidR="00221C06" w:rsidRPr="00A8564C">
        <w:rPr>
          <w:lang w:val="es-ES"/>
        </w:rPr>
        <w:t xml:space="preserve"> en el sitio web de la ILPO</w:t>
      </w:r>
      <w:r w:rsidR="002C70DB" w:rsidRPr="00A8564C">
        <w:rPr>
          <w:lang w:val="es-ES"/>
        </w:rPr>
        <w:t>):</w:t>
      </w:r>
    </w:p>
    <w:p w14:paraId="00E4B3B5" w14:textId="0C6ED101" w:rsidR="002C70DB" w:rsidRPr="00A8564C" w:rsidRDefault="00873F8B" w:rsidP="00873F8B">
      <w:pPr>
        <w:ind w:left="1134" w:hanging="567"/>
        <w:rPr>
          <w:lang w:val="es-ES"/>
        </w:rPr>
      </w:pPr>
      <w:r w:rsidRPr="00A8564C">
        <w:rPr>
          <w:lang w:val="es-ES"/>
        </w:rPr>
        <w:t>–</w:t>
      </w:r>
      <w:r w:rsidR="00A41B96" w:rsidRPr="00A8564C">
        <w:rPr>
          <w:lang w:val="es-ES"/>
        </w:rPr>
        <w:tab/>
      </w:r>
      <w:r w:rsidR="00221C06" w:rsidRPr="00A8564C">
        <w:rPr>
          <w:lang w:val="es-ES"/>
        </w:rPr>
        <w:t xml:space="preserve">Thomson </w:t>
      </w:r>
      <w:r w:rsidR="00384231" w:rsidRPr="00A8564C">
        <w:rPr>
          <w:lang w:val="es-ES"/>
        </w:rPr>
        <w:t>Innova</w:t>
      </w:r>
      <w:r w:rsidR="00B74190" w:rsidRPr="00A8564C">
        <w:rPr>
          <w:lang w:val="es-ES"/>
        </w:rPr>
        <w:t>tion</w:t>
      </w:r>
      <w:r w:rsidR="00221C06" w:rsidRPr="00A8564C">
        <w:rPr>
          <w:lang w:val="es-ES"/>
        </w:rPr>
        <w:t xml:space="preserve">, que </w:t>
      </w:r>
      <w:r w:rsidR="00887912" w:rsidRPr="00A8564C">
        <w:rPr>
          <w:lang w:val="es-ES"/>
        </w:rPr>
        <w:t>ofrece</w:t>
      </w:r>
      <w:r w:rsidR="00E319BE" w:rsidRPr="00A8564C">
        <w:rPr>
          <w:lang w:val="es-ES"/>
        </w:rPr>
        <w:t xml:space="preserve"> acceso a </w:t>
      </w:r>
      <w:r w:rsidR="00887912" w:rsidRPr="00A8564C">
        <w:rPr>
          <w:lang w:val="es-ES"/>
        </w:rPr>
        <w:t xml:space="preserve">colecciones </w:t>
      </w:r>
      <w:r w:rsidR="00B74190" w:rsidRPr="00A8564C">
        <w:rPr>
          <w:lang w:val="es-ES"/>
        </w:rPr>
        <w:t>básicas</w:t>
      </w:r>
      <w:r w:rsidR="00E319BE" w:rsidRPr="00A8564C">
        <w:rPr>
          <w:lang w:val="es-ES"/>
        </w:rPr>
        <w:t xml:space="preserve"> de patentes, </w:t>
      </w:r>
      <w:r w:rsidR="002C70DB" w:rsidRPr="00A8564C">
        <w:rPr>
          <w:lang w:val="es-ES"/>
        </w:rPr>
        <w:t xml:space="preserve">Derwent World </w:t>
      </w:r>
      <w:r w:rsidR="00E319BE" w:rsidRPr="00A8564C">
        <w:rPr>
          <w:lang w:val="es-ES"/>
        </w:rPr>
        <w:t>Patent</w:t>
      </w:r>
      <w:r w:rsidR="00184BCD" w:rsidRPr="00A8564C">
        <w:rPr>
          <w:lang w:val="es-ES"/>
        </w:rPr>
        <w:t xml:space="preserve">s </w:t>
      </w:r>
      <w:r w:rsidR="002C70DB" w:rsidRPr="00A8564C">
        <w:rPr>
          <w:lang w:val="es-ES"/>
        </w:rPr>
        <w:t xml:space="preserve">Index (DWPI), Derwent Patent Citations Index (DPCI), </w:t>
      </w:r>
      <w:r w:rsidR="00E319BE" w:rsidRPr="00A8564C">
        <w:rPr>
          <w:lang w:val="es-ES"/>
        </w:rPr>
        <w:t>colecciones de patentes asiáticas traducidas y colecciones de obras científicas</w:t>
      </w:r>
      <w:r w:rsidR="002C70DB" w:rsidRPr="00A8564C">
        <w:rPr>
          <w:lang w:val="es-ES"/>
        </w:rPr>
        <w:t>;</w:t>
      </w:r>
    </w:p>
    <w:p w14:paraId="60CEE58B" w14:textId="788382F1" w:rsidR="002C70DB" w:rsidRPr="00A8564C" w:rsidRDefault="00873F8B" w:rsidP="00873F8B">
      <w:pPr>
        <w:ind w:left="1134" w:hanging="567"/>
        <w:rPr>
          <w:lang w:val="es-ES"/>
        </w:rPr>
      </w:pPr>
      <w:r w:rsidRPr="00A8564C">
        <w:rPr>
          <w:lang w:val="es-ES"/>
        </w:rPr>
        <w:t>–</w:t>
      </w:r>
      <w:r w:rsidR="00A41B96" w:rsidRPr="00A8564C">
        <w:rPr>
          <w:lang w:val="es-ES"/>
        </w:rPr>
        <w:tab/>
      </w:r>
      <w:r w:rsidR="002C70DB" w:rsidRPr="00A8564C">
        <w:rPr>
          <w:lang w:val="es-ES"/>
        </w:rPr>
        <w:t>STN (REGISTRY, CAPlus, MARPAT, BIOSIS, CABA, MEDLINE, EMBASE, FSTA, USGENE, DWPI, DCR, DGENE, INSPEC, COMPENDEX, ENCOMPLIT, TULSA, INPADOC, Patent F</w:t>
      </w:r>
      <w:r w:rsidR="00401377" w:rsidRPr="00A8564C">
        <w:rPr>
          <w:lang w:val="es-ES"/>
        </w:rPr>
        <w:t xml:space="preserve">ull Text, REAXYSFILE), </w:t>
      </w:r>
      <w:r w:rsidR="00E319BE" w:rsidRPr="00A8564C">
        <w:rPr>
          <w:lang w:val="es-ES"/>
        </w:rPr>
        <w:t xml:space="preserve">que proporciona acceso a </w:t>
      </w:r>
      <w:r w:rsidR="00384231" w:rsidRPr="00A8564C">
        <w:rPr>
          <w:lang w:val="es-ES"/>
        </w:rPr>
        <w:t>documentación</w:t>
      </w:r>
      <w:r w:rsidR="00401377" w:rsidRPr="00A8564C">
        <w:rPr>
          <w:lang w:val="es-ES"/>
        </w:rPr>
        <w:t xml:space="preserve"> relacionada o no relacionada con patentes</w:t>
      </w:r>
      <w:r w:rsidR="002C70DB" w:rsidRPr="00A8564C">
        <w:rPr>
          <w:lang w:val="es-ES"/>
        </w:rPr>
        <w:t xml:space="preserve">, </w:t>
      </w:r>
      <w:r w:rsidR="00687880" w:rsidRPr="00A8564C">
        <w:rPr>
          <w:lang w:val="es-ES"/>
        </w:rPr>
        <w:t xml:space="preserve">bases de datos sobre la estructura de compuestos </w:t>
      </w:r>
      <w:r w:rsidR="00384231" w:rsidRPr="00A8564C">
        <w:rPr>
          <w:lang w:val="es-ES"/>
        </w:rPr>
        <w:t>químicos</w:t>
      </w:r>
      <w:r w:rsidR="002C70DB" w:rsidRPr="00A8564C">
        <w:rPr>
          <w:lang w:val="es-ES"/>
        </w:rPr>
        <w:t xml:space="preserve">, </w:t>
      </w:r>
      <w:r w:rsidR="009C67A8" w:rsidRPr="00A8564C">
        <w:rPr>
          <w:lang w:val="es-ES"/>
        </w:rPr>
        <w:t xml:space="preserve">bases de datos sobre secuencias </w:t>
      </w:r>
      <w:r w:rsidR="00384231" w:rsidRPr="00A8564C">
        <w:rPr>
          <w:lang w:val="es-ES"/>
        </w:rPr>
        <w:t>biológicas</w:t>
      </w:r>
      <w:r w:rsidR="00401377" w:rsidRPr="00A8564C">
        <w:rPr>
          <w:lang w:val="es-ES"/>
        </w:rPr>
        <w:t xml:space="preserve"> y</w:t>
      </w:r>
      <w:r w:rsidR="009C67A8" w:rsidRPr="00A8564C">
        <w:rPr>
          <w:lang w:val="es-ES"/>
        </w:rPr>
        <w:t xml:space="preserve"> </w:t>
      </w:r>
      <w:r w:rsidR="00384231" w:rsidRPr="00A8564C">
        <w:rPr>
          <w:lang w:val="es-ES"/>
        </w:rPr>
        <w:t>traducci</w:t>
      </w:r>
      <w:r w:rsidR="00401377" w:rsidRPr="00A8564C">
        <w:rPr>
          <w:lang w:val="es-ES"/>
        </w:rPr>
        <w:t>ones</w:t>
      </w:r>
      <w:r w:rsidR="009C67A8" w:rsidRPr="00A8564C">
        <w:rPr>
          <w:lang w:val="es-ES"/>
        </w:rPr>
        <w:t xml:space="preserve"> </w:t>
      </w:r>
      <w:r w:rsidR="00384231" w:rsidRPr="00A8564C">
        <w:rPr>
          <w:lang w:val="es-ES"/>
        </w:rPr>
        <w:t>automática</w:t>
      </w:r>
      <w:r w:rsidR="00401377" w:rsidRPr="00A8564C">
        <w:rPr>
          <w:lang w:val="es-ES"/>
        </w:rPr>
        <w:t>s</w:t>
      </w:r>
      <w:r w:rsidR="009C67A8" w:rsidRPr="00A8564C">
        <w:rPr>
          <w:lang w:val="es-ES"/>
        </w:rPr>
        <w:t xml:space="preserve"> de texto</w:t>
      </w:r>
      <w:r w:rsidR="00401377" w:rsidRPr="00A8564C">
        <w:rPr>
          <w:lang w:val="es-ES"/>
        </w:rPr>
        <w:t>s</w:t>
      </w:r>
      <w:r w:rsidR="009C67A8" w:rsidRPr="00A8564C">
        <w:rPr>
          <w:lang w:val="es-ES"/>
        </w:rPr>
        <w:t xml:space="preserve"> completo</w:t>
      </w:r>
      <w:r w:rsidR="00401377" w:rsidRPr="00A8564C">
        <w:rPr>
          <w:lang w:val="es-ES"/>
        </w:rPr>
        <w:t>s</w:t>
      </w:r>
      <w:r w:rsidR="002C70DB" w:rsidRPr="00A8564C">
        <w:rPr>
          <w:lang w:val="es-ES"/>
        </w:rPr>
        <w:t>;</w:t>
      </w:r>
    </w:p>
    <w:p w14:paraId="7C48E793" w14:textId="4CB68915" w:rsidR="002C70DB" w:rsidRPr="00A8564C" w:rsidRDefault="00873F8B" w:rsidP="00873F8B">
      <w:pPr>
        <w:ind w:left="1134" w:hanging="567"/>
        <w:rPr>
          <w:lang w:val="es-ES"/>
        </w:rPr>
      </w:pPr>
      <w:r w:rsidRPr="00A8564C">
        <w:rPr>
          <w:lang w:val="es-ES"/>
        </w:rPr>
        <w:t>–</w:t>
      </w:r>
      <w:r w:rsidR="00A41B96" w:rsidRPr="00A8564C">
        <w:rPr>
          <w:lang w:val="es-ES"/>
        </w:rPr>
        <w:tab/>
      </w:r>
      <w:r w:rsidR="009C67A8" w:rsidRPr="00A8564C">
        <w:rPr>
          <w:lang w:val="es-ES"/>
        </w:rPr>
        <w:t xml:space="preserve">la Red </w:t>
      </w:r>
      <w:r w:rsidR="002C70DB" w:rsidRPr="00A8564C">
        <w:rPr>
          <w:lang w:val="es-ES"/>
        </w:rPr>
        <w:t>EPOQUE</w:t>
      </w:r>
      <w:r w:rsidR="00401377" w:rsidRPr="00A8564C">
        <w:rPr>
          <w:lang w:val="es-ES"/>
        </w:rPr>
        <w:t>,</w:t>
      </w:r>
      <w:r w:rsidR="002C70DB" w:rsidRPr="00A8564C">
        <w:rPr>
          <w:lang w:val="es-ES"/>
        </w:rPr>
        <w:t xml:space="preserve"> </w:t>
      </w:r>
      <w:r w:rsidR="009C67A8" w:rsidRPr="00A8564C">
        <w:rPr>
          <w:lang w:val="es-ES"/>
        </w:rPr>
        <w:t xml:space="preserve">que </w:t>
      </w:r>
      <w:r w:rsidR="00401377" w:rsidRPr="00A8564C">
        <w:rPr>
          <w:lang w:val="es-ES"/>
        </w:rPr>
        <w:t>permite acceder a</w:t>
      </w:r>
      <w:r w:rsidR="009C67A8" w:rsidRPr="00A8564C">
        <w:rPr>
          <w:lang w:val="es-ES"/>
        </w:rPr>
        <w:t xml:space="preserve"> </w:t>
      </w:r>
      <w:r w:rsidR="00384231" w:rsidRPr="00A8564C">
        <w:rPr>
          <w:lang w:val="es-ES"/>
        </w:rPr>
        <w:t>documentación</w:t>
      </w:r>
      <w:r w:rsidR="009C67A8" w:rsidRPr="00A8564C">
        <w:rPr>
          <w:lang w:val="es-ES"/>
        </w:rPr>
        <w:t xml:space="preserve"> </w:t>
      </w:r>
      <w:r w:rsidR="00401377" w:rsidRPr="00A8564C">
        <w:rPr>
          <w:lang w:val="es-ES"/>
        </w:rPr>
        <w:t>relacionada o no relacionada con patentes</w:t>
      </w:r>
      <w:r w:rsidR="002C70DB" w:rsidRPr="00A8564C">
        <w:rPr>
          <w:lang w:val="es-ES"/>
        </w:rPr>
        <w:t xml:space="preserve">; </w:t>
      </w:r>
    </w:p>
    <w:p w14:paraId="13E8F528" w14:textId="19ADB25C" w:rsidR="002C70DB" w:rsidRPr="00A8564C" w:rsidRDefault="00873F8B" w:rsidP="00873F8B">
      <w:pPr>
        <w:ind w:left="1134" w:hanging="567"/>
        <w:rPr>
          <w:lang w:val="es-ES"/>
        </w:rPr>
      </w:pPr>
      <w:r w:rsidRPr="00A8564C">
        <w:rPr>
          <w:lang w:val="es-ES"/>
        </w:rPr>
        <w:t>–</w:t>
      </w:r>
      <w:r w:rsidR="00A41B96" w:rsidRPr="00A8564C">
        <w:rPr>
          <w:lang w:val="es-ES"/>
        </w:rPr>
        <w:tab/>
      </w:r>
      <w:r w:rsidR="002C70DB" w:rsidRPr="00A8564C">
        <w:rPr>
          <w:lang w:val="es-ES"/>
        </w:rPr>
        <w:t xml:space="preserve">Questel (FamPat) </w:t>
      </w:r>
      <w:r w:rsidR="009C67A8" w:rsidRPr="00A8564C">
        <w:rPr>
          <w:lang w:val="es-ES"/>
        </w:rPr>
        <w:t xml:space="preserve">que ofrece acceso a las colecciones </w:t>
      </w:r>
      <w:r w:rsidR="00384231" w:rsidRPr="00A8564C">
        <w:rPr>
          <w:lang w:val="es-ES"/>
        </w:rPr>
        <w:t>básicas</w:t>
      </w:r>
      <w:r w:rsidR="009C67A8" w:rsidRPr="00A8564C">
        <w:rPr>
          <w:lang w:val="es-ES"/>
        </w:rPr>
        <w:t xml:space="preserve"> de patentes y a traducciones </w:t>
      </w:r>
      <w:r w:rsidR="00384231" w:rsidRPr="00A8564C">
        <w:rPr>
          <w:lang w:val="es-ES"/>
        </w:rPr>
        <w:t>automáticas</w:t>
      </w:r>
      <w:r w:rsidR="009C67A8" w:rsidRPr="00A8564C">
        <w:rPr>
          <w:lang w:val="es-ES"/>
        </w:rPr>
        <w:t xml:space="preserve"> de texto</w:t>
      </w:r>
      <w:r w:rsidR="00401377" w:rsidRPr="00A8564C">
        <w:rPr>
          <w:lang w:val="es-ES"/>
        </w:rPr>
        <w:t>s</w:t>
      </w:r>
      <w:r w:rsidR="009C67A8" w:rsidRPr="00A8564C">
        <w:rPr>
          <w:lang w:val="es-ES"/>
        </w:rPr>
        <w:t xml:space="preserve"> completo</w:t>
      </w:r>
      <w:r w:rsidR="00401377" w:rsidRPr="00A8564C">
        <w:rPr>
          <w:lang w:val="es-ES"/>
        </w:rPr>
        <w:t>s</w:t>
      </w:r>
      <w:r w:rsidR="002C70DB" w:rsidRPr="00A8564C">
        <w:rPr>
          <w:lang w:val="es-ES"/>
        </w:rPr>
        <w:t xml:space="preserve">; </w:t>
      </w:r>
      <w:r w:rsidR="009C67A8" w:rsidRPr="00A8564C">
        <w:rPr>
          <w:lang w:val="es-ES"/>
        </w:rPr>
        <w:t>y</w:t>
      </w:r>
    </w:p>
    <w:p w14:paraId="6B11B1A8" w14:textId="7DE0C425" w:rsidR="002C70DB" w:rsidRPr="00A8564C" w:rsidRDefault="00873F8B" w:rsidP="00873F8B">
      <w:pPr>
        <w:ind w:left="1134" w:hanging="567"/>
        <w:rPr>
          <w:lang w:val="es-ES"/>
        </w:rPr>
      </w:pPr>
      <w:r w:rsidRPr="00A8564C">
        <w:rPr>
          <w:lang w:val="es-ES"/>
        </w:rPr>
        <w:t>–</w:t>
      </w:r>
      <w:r w:rsidR="00A41B96" w:rsidRPr="00A8564C">
        <w:rPr>
          <w:lang w:val="es-ES"/>
        </w:rPr>
        <w:tab/>
      </w:r>
      <w:r w:rsidR="002C70DB" w:rsidRPr="00A8564C">
        <w:rPr>
          <w:lang w:val="es-ES"/>
        </w:rPr>
        <w:t xml:space="preserve">PatBase </w:t>
      </w:r>
      <w:r w:rsidR="00384231" w:rsidRPr="00A8564C">
        <w:rPr>
          <w:lang w:val="es-ES"/>
        </w:rPr>
        <w:t>que</w:t>
      </w:r>
      <w:r w:rsidR="009C67A8" w:rsidRPr="00A8564C">
        <w:rPr>
          <w:lang w:val="es-ES"/>
        </w:rPr>
        <w:t xml:space="preserve"> </w:t>
      </w:r>
      <w:r w:rsidR="00401377" w:rsidRPr="00A8564C">
        <w:rPr>
          <w:lang w:val="es-ES"/>
        </w:rPr>
        <w:t>proporciona</w:t>
      </w:r>
      <w:r w:rsidR="009C67A8" w:rsidRPr="00A8564C">
        <w:rPr>
          <w:lang w:val="es-ES"/>
        </w:rPr>
        <w:t xml:space="preserve"> acceso a las colecciones </w:t>
      </w:r>
      <w:r w:rsidR="00384231" w:rsidRPr="00A8564C">
        <w:rPr>
          <w:lang w:val="es-ES"/>
        </w:rPr>
        <w:t>básicas</w:t>
      </w:r>
      <w:r w:rsidR="009C67A8" w:rsidRPr="00A8564C">
        <w:rPr>
          <w:lang w:val="es-ES"/>
        </w:rPr>
        <w:t xml:space="preserve"> de patentes y a traducciones </w:t>
      </w:r>
      <w:r w:rsidR="00384231" w:rsidRPr="00A8564C">
        <w:rPr>
          <w:lang w:val="es-ES"/>
        </w:rPr>
        <w:t>automáticas</w:t>
      </w:r>
      <w:r w:rsidR="009C67A8" w:rsidRPr="00A8564C">
        <w:rPr>
          <w:lang w:val="es-ES"/>
        </w:rPr>
        <w:t xml:space="preserve"> de texto</w:t>
      </w:r>
      <w:r w:rsidR="00401377" w:rsidRPr="00A8564C">
        <w:rPr>
          <w:lang w:val="es-ES"/>
        </w:rPr>
        <w:t>s</w:t>
      </w:r>
      <w:r w:rsidR="009C67A8" w:rsidRPr="00A8564C">
        <w:rPr>
          <w:lang w:val="es-ES"/>
        </w:rPr>
        <w:t xml:space="preserve"> completo</w:t>
      </w:r>
      <w:r w:rsidR="00401377" w:rsidRPr="00A8564C">
        <w:rPr>
          <w:lang w:val="es-ES"/>
        </w:rPr>
        <w:t>s</w:t>
      </w:r>
      <w:r w:rsidR="002C70DB" w:rsidRPr="00A8564C">
        <w:rPr>
          <w:lang w:val="es-ES"/>
        </w:rPr>
        <w:t>.</w:t>
      </w:r>
    </w:p>
    <w:p w14:paraId="20D967BA" w14:textId="77777777" w:rsidR="002C70DB" w:rsidRPr="00A8564C" w:rsidRDefault="002C70DB" w:rsidP="00873F8B">
      <w:pPr>
        <w:rPr>
          <w:lang w:val="es-ES"/>
        </w:rPr>
      </w:pPr>
    </w:p>
    <w:p w14:paraId="4F6D2169" w14:textId="407A9C52" w:rsidR="002C70DB" w:rsidRPr="00A8564C" w:rsidRDefault="002C70DB" w:rsidP="001755C3">
      <w:pPr>
        <w:pStyle w:val="Heading3"/>
        <w:rPr>
          <w:lang w:val="es-ES"/>
        </w:rPr>
      </w:pPr>
      <w:r w:rsidRPr="00A8564C">
        <w:rPr>
          <w:lang w:val="es-ES"/>
        </w:rPr>
        <w:t>2.</w:t>
      </w:r>
      <w:r w:rsidR="001755C3" w:rsidRPr="00A8564C">
        <w:rPr>
          <w:lang w:val="es-ES"/>
        </w:rPr>
        <w:t>1.6</w:t>
      </w:r>
      <w:r w:rsidR="009E7E5E" w:rsidRPr="00A8564C">
        <w:rPr>
          <w:lang w:val="es-ES"/>
        </w:rPr>
        <w:t xml:space="preserve">.  </w:t>
      </w:r>
      <w:r w:rsidR="00401377" w:rsidRPr="00A8564C">
        <w:rPr>
          <w:lang w:val="es-ES"/>
        </w:rPr>
        <w:t xml:space="preserve">Idiomas en los </w:t>
      </w:r>
      <w:r w:rsidR="009C67A8" w:rsidRPr="00A8564C">
        <w:rPr>
          <w:lang w:val="es-ES"/>
        </w:rPr>
        <w:t xml:space="preserve">que las solicitudes </w:t>
      </w:r>
      <w:r w:rsidR="00401377" w:rsidRPr="00A8564C">
        <w:rPr>
          <w:lang w:val="es-ES"/>
        </w:rPr>
        <w:t>nacio</w:t>
      </w:r>
      <w:r w:rsidR="009C67A8" w:rsidRPr="00A8564C">
        <w:rPr>
          <w:lang w:val="es-ES"/>
        </w:rPr>
        <w:t>nales pueden ser presentadas</w:t>
      </w:r>
      <w:r w:rsidR="00401377" w:rsidRPr="00A8564C">
        <w:rPr>
          <w:lang w:val="es-ES"/>
        </w:rPr>
        <w:t xml:space="preserve"> o</w:t>
      </w:r>
      <w:r w:rsidR="009C67A8" w:rsidRPr="00A8564C">
        <w:rPr>
          <w:lang w:val="es-ES"/>
        </w:rPr>
        <w:t xml:space="preserve"> tramitadas</w:t>
      </w:r>
      <w:r w:rsidRPr="00A8564C">
        <w:rPr>
          <w:lang w:val="es-ES"/>
        </w:rPr>
        <w:t xml:space="preserve">:  </w:t>
      </w:r>
    </w:p>
    <w:p w14:paraId="28A7A6FE" w14:textId="77777777" w:rsidR="002C70DB" w:rsidRPr="00A8564C" w:rsidRDefault="002C70DB" w:rsidP="00873F8B">
      <w:pPr>
        <w:rPr>
          <w:lang w:val="es-ES"/>
        </w:rPr>
      </w:pPr>
    </w:p>
    <w:p w14:paraId="42BE1CB0" w14:textId="0D15F27F" w:rsidR="002C70DB" w:rsidRPr="00A8564C" w:rsidRDefault="002C70DB" w:rsidP="00873F8B">
      <w:pPr>
        <w:rPr>
          <w:lang w:val="es-ES"/>
        </w:rPr>
      </w:pPr>
      <w:r w:rsidRPr="00A8564C">
        <w:rPr>
          <w:lang w:val="es-ES"/>
        </w:rPr>
        <w:t>Hebre</w:t>
      </w:r>
      <w:r w:rsidR="009C67A8" w:rsidRPr="00A8564C">
        <w:rPr>
          <w:lang w:val="es-ES"/>
        </w:rPr>
        <w:t xml:space="preserve">o, </w:t>
      </w:r>
      <w:r w:rsidR="00384231" w:rsidRPr="00A8564C">
        <w:rPr>
          <w:lang w:val="es-ES"/>
        </w:rPr>
        <w:t>árabe</w:t>
      </w:r>
      <w:r w:rsidR="009C67A8" w:rsidRPr="00A8564C">
        <w:rPr>
          <w:lang w:val="es-ES"/>
        </w:rPr>
        <w:t xml:space="preserve"> e inglés</w:t>
      </w:r>
    </w:p>
    <w:p w14:paraId="125F718B" w14:textId="77777777" w:rsidR="002C70DB" w:rsidRPr="00A8564C" w:rsidRDefault="002C70DB" w:rsidP="00873F8B">
      <w:pPr>
        <w:rPr>
          <w:lang w:val="es-ES"/>
        </w:rPr>
      </w:pPr>
    </w:p>
    <w:p w14:paraId="7293A0A8" w14:textId="55BA2A91" w:rsidR="002C70DB" w:rsidRPr="00A8564C" w:rsidRDefault="001755C3" w:rsidP="00873F8B">
      <w:pPr>
        <w:pStyle w:val="Heading3"/>
        <w:rPr>
          <w:lang w:val="es-ES"/>
        </w:rPr>
      </w:pPr>
      <w:r w:rsidRPr="00A8564C">
        <w:rPr>
          <w:lang w:val="es-ES"/>
        </w:rPr>
        <w:t>2.1.7</w:t>
      </w:r>
      <w:r w:rsidR="009E7E5E" w:rsidRPr="00A8564C">
        <w:rPr>
          <w:lang w:val="es-ES"/>
        </w:rPr>
        <w:t xml:space="preserve">.  </w:t>
      </w:r>
      <w:r w:rsidR="009C67A8" w:rsidRPr="00A8564C">
        <w:rPr>
          <w:lang w:val="es-ES"/>
        </w:rPr>
        <w:t>Otros idiomas en los que un gran número de examinadores son competentes</w:t>
      </w:r>
      <w:r w:rsidR="002C70DB" w:rsidRPr="00A8564C">
        <w:rPr>
          <w:lang w:val="es-ES"/>
        </w:rPr>
        <w:t xml:space="preserve">:  </w:t>
      </w:r>
    </w:p>
    <w:p w14:paraId="248751F5" w14:textId="77777777" w:rsidR="002C70DB" w:rsidRPr="00A8564C" w:rsidRDefault="002C70DB" w:rsidP="00873F8B">
      <w:pPr>
        <w:rPr>
          <w:lang w:val="es-ES"/>
        </w:rPr>
      </w:pPr>
    </w:p>
    <w:p w14:paraId="765FE078" w14:textId="2A8C2763" w:rsidR="002C70DB" w:rsidRPr="00A8564C" w:rsidRDefault="00384231" w:rsidP="00873F8B">
      <w:pPr>
        <w:rPr>
          <w:rFonts w:ascii="TimesNewRoman" w:hAnsi="TimesNewRoman" w:cs="TimesNewRoman"/>
          <w:lang w:val="es-ES"/>
        </w:rPr>
      </w:pPr>
      <w:r w:rsidRPr="00A8564C">
        <w:rPr>
          <w:lang w:val="es-ES"/>
        </w:rPr>
        <w:t>Todos</w:t>
      </w:r>
      <w:r w:rsidR="009C67A8" w:rsidRPr="00A8564C">
        <w:rPr>
          <w:lang w:val="es-ES"/>
        </w:rPr>
        <w:t xml:space="preserve"> los </w:t>
      </w:r>
      <w:r w:rsidR="00B06CD7" w:rsidRPr="00A8564C">
        <w:rPr>
          <w:lang w:val="es-ES"/>
        </w:rPr>
        <w:t>examinadores</w:t>
      </w:r>
      <w:r w:rsidR="009C67A8" w:rsidRPr="00A8564C">
        <w:rPr>
          <w:lang w:val="es-ES"/>
        </w:rPr>
        <w:t xml:space="preserve"> tienen un </w:t>
      </w:r>
      <w:r w:rsidRPr="00A8564C">
        <w:rPr>
          <w:lang w:val="es-ES"/>
        </w:rPr>
        <w:t>buen</w:t>
      </w:r>
      <w:r w:rsidR="009C67A8" w:rsidRPr="00A8564C">
        <w:rPr>
          <w:lang w:val="es-ES"/>
        </w:rPr>
        <w:t xml:space="preserve"> </w:t>
      </w:r>
      <w:r w:rsidR="00697184" w:rsidRPr="00A8564C">
        <w:rPr>
          <w:lang w:val="es-ES"/>
        </w:rPr>
        <w:t>dominio d</w:t>
      </w:r>
      <w:r w:rsidR="009C67A8" w:rsidRPr="00A8564C">
        <w:rPr>
          <w:lang w:val="es-ES"/>
        </w:rPr>
        <w:t xml:space="preserve">el inglés y del hebreo.  </w:t>
      </w:r>
      <w:r w:rsidRPr="00A8564C">
        <w:rPr>
          <w:lang w:val="es-ES"/>
        </w:rPr>
        <w:t>Algunos</w:t>
      </w:r>
      <w:r w:rsidR="009C67A8" w:rsidRPr="00A8564C">
        <w:rPr>
          <w:lang w:val="es-ES"/>
        </w:rPr>
        <w:t xml:space="preserve"> </w:t>
      </w:r>
      <w:r w:rsidR="00B06CD7" w:rsidRPr="00A8564C">
        <w:rPr>
          <w:lang w:val="es-ES"/>
        </w:rPr>
        <w:t>examinadores</w:t>
      </w:r>
      <w:r w:rsidR="002C70DB" w:rsidRPr="00A8564C">
        <w:rPr>
          <w:lang w:val="es-ES"/>
        </w:rPr>
        <w:t xml:space="preserve"> </w:t>
      </w:r>
      <w:r w:rsidRPr="00A8564C">
        <w:rPr>
          <w:lang w:val="es-ES"/>
        </w:rPr>
        <w:t>también</w:t>
      </w:r>
      <w:r w:rsidR="009C67A8" w:rsidRPr="00A8564C">
        <w:rPr>
          <w:lang w:val="es-ES"/>
        </w:rPr>
        <w:t xml:space="preserve"> tienen un excelente </w:t>
      </w:r>
      <w:r w:rsidRPr="00A8564C">
        <w:rPr>
          <w:lang w:val="es-ES"/>
        </w:rPr>
        <w:t>conocimiento</w:t>
      </w:r>
      <w:r w:rsidR="009C67A8" w:rsidRPr="00A8564C">
        <w:rPr>
          <w:lang w:val="es-ES"/>
        </w:rPr>
        <w:t xml:space="preserve"> del </w:t>
      </w:r>
      <w:r w:rsidRPr="00A8564C">
        <w:rPr>
          <w:lang w:val="es-ES"/>
        </w:rPr>
        <w:t>alemán</w:t>
      </w:r>
      <w:r w:rsidR="009C67A8" w:rsidRPr="00A8564C">
        <w:rPr>
          <w:lang w:val="es-ES"/>
        </w:rPr>
        <w:t xml:space="preserve">, </w:t>
      </w:r>
      <w:r w:rsidRPr="00A8564C">
        <w:rPr>
          <w:lang w:val="es-ES"/>
        </w:rPr>
        <w:t>francés</w:t>
      </w:r>
      <w:r w:rsidR="009C67A8" w:rsidRPr="00A8564C">
        <w:rPr>
          <w:lang w:val="es-ES"/>
        </w:rPr>
        <w:t xml:space="preserve">, ruso, ucraniano, </w:t>
      </w:r>
      <w:r w:rsidRPr="00A8564C">
        <w:rPr>
          <w:lang w:val="es-ES"/>
        </w:rPr>
        <w:t>amhárico</w:t>
      </w:r>
      <w:r w:rsidR="00F442B2" w:rsidRPr="00A8564C">
        <w:rPr>
          <w:lang w:val="es-ES"/>
        </w:rPr>
        <w:t xml:space="preserve">, español, </w:t>
      </w:r>
      <w:r w:rsidRPr="00A8564C">
        <w:rPr>
          <w:lang w:val="es-ES"/>
        </w:rPr>
        <w:t>árabe</w:t>
      </w:r>
      <w:r w:rsidR="00F442B2" w:rsidRPr="00A8564C">
        <w:rPr>
          <w:lang w:val="es-ES"/>
        </w:rPr>
        <w:t xml:space="preserve">, </w:t>
      </w:r>
      <w:r w:rsidRPr="00A8564C">
        <w:rPr>
          <w:lang w:val="es-ES"/>
        </w:rPr>
        <w:t>italiano</w:t>
      </w:r>
      <w:r w:rsidR="00F442B2" w:rsidRPr="00A8564C">
        <w:rPr>
          <w:lang w:val="es-ES"/>
        </w:rPr>
        <w:t>, rumano y portugués</w:t>
      </w:r>
      <w:r w:rsidR="00F442B2" w:rsidRPr="00A8564C">
        <w:rPr>
          <w:rFonts w:ascii="TimesNewRoman" w:hAnsi="TimesNewRoman" w:cs="TimesNewRoman"/>
          <w:lang w:val="es-ES"/>
        </w:rPr>
        <w:t xml:space="preserve">.  </w:t>
      </w:r>
      <w:r w:rsidR="00F442B2" w:rsidRPr="00A8564C">
        <w:rPr>
          <w:lang w:val="es-ES"/>
        </w:rPr>
        <w:t xml:space="preserve"> Numerosos e</w:t>
      </w:r>
      <w:r w:rsidR="00B06CD7" w:rsidRPr="00A8564C">
        <w:rPr>
          <w:lang w:val="es-ES"/>
        </w:rPr>
        <w:t>xaminadores</w:t>
      </w:r>
      <w:r w:rsidR="00F442B2" w:rsidRPr="00A8564C">
        <w:rPr>
          <w:lang w:val="es-ES"/>
        </w:rPr>
        <w:t xml:space="preserve"> pueden trabajar en un </w:t>
      </w:r>
      <w:r w:rsidRPr="00A8564C">
        <w:rPr>
          <w:lang w:val="es-ES"/>
        </w:rPr>
        <w:t>idioma</w:t>
      </w:r>
      <w:r w:rsidR="00F442B2" w:rsidRPr="00A8564C">
        <w:rPr>
          <w:lang w:val="es-ES"/>
        </w:rPr>
        <w:t xml:space="preserve"> extranjero </w:t>
      </w:r>
      <w:r w:rsidRPr="00A8564C">
        <w:rPr>
          <w:lang w:val="es-ES"/>
        </w:rPr>
        <w:t>además</w:t>
      </w:r>
      <w:r w:rsidR="00F442B2" w:rsidRPr="00A8564C">
        <w:rPr>
          <w:lang w:val="es-ES"/>
        </w:rPr>
        <w:t xml:space="preserve"> del </w:t>
      </w:r>
      <w:r w:rsidRPr="00A8564C">
        <w:rPr>
          <w:lang w:val="es-ES"/>
        </w:rPr>
        <w:t>inglés</w:t>
      </w:r>
      <w:r w:rsidR="00F442B2" w:rsidRPr="00A8564C">
        <w:rPr>
          <w:lang w:val="es-ES"/>
        </w:rPr>
        <w:t>.</w:t>
      </w:r>
      <w:r w:rsidR="002C70DB" w:rsidRPr="00A8564C">
        <w:rPr>
          <w:rFonts w:ascii="TimesNewRoman" w:hAnsi="TimesNewRoman" w:cs="TimesNewRoman"/>
          <w:lang w:val="es-ES"/>
        </w:rPr>
        <w:t xml:space="preserve"> </w:t>
      </w:r>
    </w:p>
    <w:p w14:paraId="57334BD6" w14:textId="77777777" w:rsidR="002C70DB" w:rsidRPr="00A8564C" w:rsidRDefault="002C70DB" w:rsidP="00873F8B">
      <w:pPr>
        <w:rPr>
          <w:lang w:val="es-ES"/>
        </w:rPr>
      </w:pPr>
    </w:p>
    <w:p w14:paraId="65F12E7A" w14:textId="02F8EACB" w:rsidR="002C70DB" w:rsidRPr="00A8564C" w:rsidRDefault="002C70DB" w:rsidP="00D852EC">
      <w:pPr>
        <w:pStyle w:val="Heading3"/>
        <w:keepLines/>
        <w:rPr>
          <w:lang w:val="es-ES"/>
        </w:rPr>
      </w:pPr>
      <w:r w:rsidRPr="00A8564C">
        <w:rPr>
          <w:lang w:val="es-ES"/>
        </w:rPr>
        <w:lastRenderedPageBreak/>
        <w:t>2.1.</w:t>
      </w:r>
      <w:r w:rsidR="001755C3" w:rsidRPr="00A8564C">
        <w:rPr>
          <w:lang w:val="es-ES"/>
        </w:rPr>
        <w:t>8</w:t>
      </w:r>
      <w:r w:rsidR="009E7E5E" w:rsidRPr="00A8564C">
        <w:rPr>
          <w:lang w:val="es-ES"/>
        </w:rPr>
        <w:t xml:space="preserve">.  </w:t>
      </w:r>
      <w:r w:rsidR="00F442B2" w:rsidRPr="00A8564C">
        <w:rPr>
          <w:lang w:val="es-ES"/>
        </w:rPr>
        <w:t>Servicios de ayuda a la búsqueda y para la comprensión del estado de la técnica en otros idiomas</w:t>
      </w:r>
      <w:r w:rsidRPr="00A8564C">
        <w:rPr>
          <w:lang w:val="es-ES"/>
        </w:rPr>
        <w:t xml:space="preserve">:  </w:t>
      </w:r>
      <w:bookmarkStart w:id="5" w:name="_GoBack"/>
      <w:bookmarkEnd w:id="5"/>
    </w:p>
    <w:p w14:paraId="7090E113" w14:textId="77777777" w:rsidR="002C70DB" w:rsidRPr="00A8564C" w:rsidRDefault="002C70DB" w:rsidP="00D852EC">
      <w:pPr>
        <w:keepNext/>
        <w:keepLines/>
        <w:rPr>
          <w:lang w:val="es-ES"/>
        </w:rPr>
      </w:pPr>
    </w:p>
    <w:p w14:paraId="01177F2E" w14:textId="0B2232F3" w:rsidR="002C70DB" w:rsidRPr="00A8564C" w:rsidRDefault="00697184" w:rsidP="00D852EC">
      <w:pPr>
        <w:keepNext/>
        <w:keepLines/>
        <w:rPr>
          <w:b/>
          <w:bCs/>
          <w:caps/>
          <w:kern w:val="32"/>
          <w:szCs w:val="36"/>
          <w:lang w:val="es-ES"/>
        </w:rPr>
      </w:pPr>
      <w:r w:rsidRPr="00A8564C">
        <w:rPr>
          <w:lang w:val="es-ES"/>
        </w:rPr>
        <w:t>Como se indicó antes, l</w:t>
      </w:r>
      <w:r w:rsidR="00EB2FA0" w:rsidRPr="00A8564C">
        <w:rPr>
          <w:lang w:val="es-ES"/>
        </w:rPr>
        <w:t>as bases de datos comerciales disponibles en la I</w:t>
      </w:r>
      <w:r w:rsidR="00B06CD7" w:rsidRPr="00A8564C">
        <w:rPr>
          <w:lang w:val="es-ES"/>
        </w:rPr>
        <w:t xml:space="preserve">LPO </w:t>
      </w:r>
      <w:r w:rsidRPr="00A8564C">
        <w:rPr>
          <w:lang w:val="es-ES"/>
        </w:rPr>
        <w:t xml:space="preserve">ofrecen </w:t>
      </w:r>
      <w:r w:rsidR="00EB2FA0" w:rsidRPr="00A8564C">
        <w:rPr>
          <w:lang w:val="es-ES"/>
        </w:rPr>
        <w:t>traducciones del texto complet</w:t>
      </w:r>
      <w:r w:rsidRPr="00A8564C">
        <w:rPr>
          <w:lang w:val="es-ES"/>
        </w:rPr>
        <w:t>o</w:t>
      </w:r>
      <w:r w:rsidR="009E7E5E" w:rsidRPr="00A8564C">
        <w:rPr>
          <w:lang w:val="es-ES"/>
        </w:rPr>
        <w:t xml:space="preserve">.  </w:t>
      </w:r>
      <w:r w:rsidR="00EB2FA0" w:rsidRPr="00A8564C">
        <w:rPr>
          <w:lang w:val="es-ES"/>
        </w:rPr>
        <w:t>A</w:t>
      </w:r>
      <w:r w:rsidRPr="00A8564C">
        <w:rPr>
          <w:lang w:val="es-ES"/>
        </w:rPr>
        <w:t>demás</w:t>
      </w:r>
      <w:r w:rsidR="00EB2FA0" w:rsidRPr="00A8564C">
        <w:rPr>
          <w:lang w:val="es-ES"/>
        </w:rPr>
        <w:t xml:space="preserve">, los </w:t>
      </w:r>
      <w:r w:rsidR="00B06CD7" w:rsidRPr="00A8564C">
        <w:rPr>
          <w:lang w:val="es-ES"/>
        </w:rPr>
        <w:t>examinadores</w:t>
      </w:r>
      <w:r w:rsidRPr="00A8564C">
        <w:rPr>
          <w:lang w:val="es-ES"/>
        </w:rPr>
        <w:t xml:space="preserve"> conocen</w:t>
      </w:r>
      <w:r w:rsidR="00EB2FA0" w:rsidRPr="00A8564C">
        <w:rPr>
          <w:lang w:val="es-ES"/>
        </w:rPr>
        <w:t xml:space="preserve"> los servicios de </w:t>
      </w:r>
      <w:r w:rsidR="00384231" w:rsidRPr="00A8564C">
        <w:rPr>
          <w:lang w:val="es-ES"/>
        </w:rPr>
        <w:t>traducción</w:t>
      </w:r>
      <w:r w:rsidR="00EB2FA0" w:rsidRPr="00A8564C">
        <w:rPr>
          <w:lang w:val="es-ES"/>
        </w:rPr>
        <w:t xml:space="preserve"> </w:t>
      </w:r>
      <w:r w:rsidR="00384231" w:rsidRPr="00A8564C">
        <w:rPr>
          <w:lang w:val="es-ES"/>
        </w:rPr>
        <w:t>automática</w:t>
      </w:r>
      <w:r w:rsidR="00EB2FA0" w:rsidRPr="00A8564C">
        <w:rPr>
          <w:lang w:val="es-ES"/>
        </w:rPr>
        <w:t xml:space="preserve"> de libre acceso </w:t>
      </w:r>
      <w:r w:rsidR="00384231" w:rsidRPr="00A8564C">
        <w:rPr>
          <w:lang w:val="es-ES"/>
        </w:rPr>
        <w:t>disponibles</w:t>
      </w:r>
      <w:r w:rsidR="00EB2FA0" w:rsidRPr="00A8564C">
        <w:rPr>
          <w:lang w:val="es-ES"/>
        </w:rPr>
        <w:t xml:space="preserve"> en</w:t>
      </w:r>
      <w:r w:rsidR="002C70DB" w:rsidRPr="00A8564C">
        <w:rPr>
          <w:lang w:val="es-ES"/>
        </w:rPr>
        <w:t xml:space="preserve"> </w:t>
      </w:r>
      <w:r w:rsidR="00184BCD" w:rsidRPr="00A8564C">
        <w:rPr>
          <w:lang w:val="es-ES"/>
        </w:rPr>
        <w:t>Patent</w:t>
      </w:r>
      <w:r w:rsidR="00F442B2" w:rsidRPr="00A8564C">
        <w:rPr>
          <w:lang w:val="es-ES"/>
        </w:rPr>
        <w:t>s</w:t>
      </w:r>
      <w:r w:rsidR="002C70DB" w:rsidRPr="00A8564C">
        <w:rPr>
          <w:lang w:val="es-ES"/>
        </w:rPr>
        <w:t xml:space="preserve">cope, </w:t>
      </w:r>
      <w:r w:rsidR="00384231" w:rsidRPr="00A8564C">
        <w:rPr>
          <w:lang w:val="es-ES"/>
        </w:rPr>
        <w:t>Espacenet, WIPO</w:t>
      </w:r>
      <w:r w:rsidR="0073717E" w:rsidRPr="00A8564C">
        <w:rPr>
          <w:lang w:val="es-ES"/>
        </w:rPr>
        <w:t xml:space="preserve"> </w:t>
      </w:r>
      <w:r w:rsidR="00384231" w:rsidRPr="00A8564C">
        <w:rPr>
          <w:lang w:val="es-ES"/>
        </w:rPr>
        <w:t>CASE</w:t>
      </w:r>
      <w:r w:rsidR="00EB2FA0" w:rsidRPr="00A8564C">
        <w:rPr>
          <w:lang w:val="es-ES"/>
        </w:rPr>
        <w:t xml:space="preserve"> y</w:t>
      </w:r>
      <w:r w:rsidR="002C70DB" w:rsidRPr="00A8564C">
        <w:rPr>
          <w:lang w:val="es-ES"/>
        </w:rPr>
        <w:t xml:space="preserve"> Global Dossier</w:t>
      </w:r>
      <w:r w:rsidR="009E7E5E" w:rsidRPr="00A8564C">
        <w:rPr>
          <w:lang w:val="es-ES"/>
        </w:rPr>
        <w:t xml:space="preserve">.  </w:t>
      </w:r>
      <w:r w:rsidR="00EB2FA0" w:rsidRPr="00A8564C">
        <w:rPr>
          <w:lang w:val="es-ES"/>
        </w:rPr>
        <w:t xml:space="preserve">Los servicios de </w:t>
      </w:r>
      <w:r w:rsidR="00384231" w:rsidRPr="00A8564C">
        <w:rPr>
          <w:lang w:val="es-ES"/>
        </w:rPr>
        <w:t>traducción</w:t>
      </w:r>
      <w:r w:rsidR="00EB2FA0" w:rsidRPr="00A8564C">
        <w:rPr>
          <w:lang w:val="es-ES"/>
        </w:rPr>
        <w:t xml:space="preserve"> disponibles para los </w:t>
      </w:r>
      <w:r w:rsidR="00B06CD7" w:rsidRPr="00A8564C">
        <w:rPr>
          <w:lang w:val="es-ES"/>
        </w:rPr>
        <w:t>examinadores</w:t>
      </w:r>
      <w:r w:rsidR="00EB2FA0" w:rsidRPr="00A8564C">
        <w:rPr>
          <w:lang w:val="es-ES"/>
        </w:rPr>
        <w:t xml:space="preserve"> de patente le</w:t>
      </w:r>
      <w:r w:rsidRPr="00A8564C">
        <w:rPr>
          <w:lang w:val="es-ES"/>
        </w:rPr>
        <w:t xml:space="preserve">s permiten entender y citar </w:t>
      </w:r>
      <w:r w:rsidR="00EB2FA0" w:rsidRPr="00A8564C">
        <w:rPr>
          <w:lang w:val="es-ES"/>
        </w:rPr>
        <w:t xml:space="preserve">publicaciones que no </w:t>
      </w:r>
      <w:r w:rsidR="00384231" w:rsidRPr="00A8564C">
        <w:rPr>
          <w:lang w:val="es-ES"/>
        </w:rPr>
        <w:t>están</w:t>
      </w:r>
      <w:r w:rsidRPr="00A8564C">
        <w:rPr>
          <w:lang w:val="es-ES"/>
        </w:rPr>
        <w:t xml:space="preserve"> en inglé</w:t>
      </w:r>
      <w:r w:rsidR="00EB2FA0" w:rsidRPr="00A8564C">
        <w:rPr>
          <w:lang w:val="es-ES"/>
        </w:rPr>
        <w:t xml:space="preserve">s en los </w:t>
      </w:r>
      <w:r w:rsidR="00384231" w:rsidRPr="00A8564C">
        <w:rPr>
          <w:lang w:val="es-ES"/>
        </w:rPr>
        <w:t>informes</w:t>
      </w:r>
      <w:r w:rsidR="00EB2FA0" w:rsidRPr="00A8564C">
        <w:rPr>
          <w:lang w:val="es-ES"/>
        </w:rPr>
        <w:t xml:space="preserve"> de </w:t>
      </w:r>
      <w:r w:rsidR="00384231" w:rsidRPr="00A8564C">
        <w:rPr>
          <w:lang w:val="es-ES"/>
        </w:rPr>
        <w:t>búsqueda</w:t>
      </w:r>
      <w:r w:rsidRPr="00A8564C">
        <w:rPr>
          <w:lang w:val="es-ES"/>
        </w:rPr>
        <w:t xml:space="preserve"> internacional.</w:t>
      </w:r>
    </w:p>
    <w:p w14:paraId="7D76C320" w14:textId="77777777" w:rsidR="002C70DB" w:rsidRPr="00A8564C" w:rsidRDefault="002C70DB" w:rsidP="00873F8B">
      <w:pPr>
        <w:rPr>
          <w:lang w:val="es-ES"/>
        </w:rPr>
      </w:pPr>
    </w:p>
    <w:p w14:paraId="5028A467" w14:textId="77777777" w:rsidR="00873F8B" w:rsidRPr="00A8564C" w:rsidRDefault="00873F8B" w:rsidP="00873F8B">
      <w:pPr>
        <w:rPr>
          <w:lang w:val="es-ES"/>
        </w:rPr>
      </w:pPr>
    </w:p>
    <w:p w14:paraId="4237D983" w14:textId="21B2D3B3" w:rsidR="002C70DB" w:rsidRPr="00A8564C" w:rsidRDefault="002C70DB" w:rsidP="001755C3">
      <w:pPr>
        <w:pStyle w:val="Heading2"/>
        <w:rPr>
          <w:lang w:val="es-ES"/>
        </w:rPr>
      </w:pPr>
      <w:r w:rsidRPr="00A8564C">
        <w:rPr>
          <w:lang w:val="es-ES"/>
        </w:rPr>
        <w:t xml:space="preserve">2.2 </w:t>
      </w:r>
      <w:r w:rsidR="00EB2FA0" w:rsidRPr="00A8564C">
        <w:rPr>
          <w:lang w:val="es-ES"/>
        </w:rPr>
        <w:t>Gestión de la calidad</w:t>
      </w:r>
    </w:p>
    <w:p w14:paraId="73A0451D" w14:textId="77777777" w:rsidR="00873F8B" w:rsidRPr="00A8564C" w:rsidRDefault="00873F8B" w:rsidP="00873F8B">
      <w:pPr>
        <w:rPr>
          <w:lang w:val="es-ES"/>
        </w:rPr>
      </w:pPr>
    </w:p>
    <w:p w14:paraId="7D686856" w14:textId="1BE9247E" w:rsidR="001D3092" w:rsidRPr="00A8564C" w:rsidRDefault="001D3092" w:rsidP="001D3092">
      <w:pPr>
        <w:rPr>
          <w:b/>
          <w:i/>
          <w:lang w:val="es-ES"/>
        </w:rPr>
      </w:pPr>
      <w:r w:rsidRPr="00A8564C">
        <w:rPr>
          <w:b/>
          <w:i/>
          <w:lang w:val="es-ES"/>
        </w:rPr>
        <w:t>Reglas 36.</w:t>
      </w:r>
      <w:r w:rsidR="00384231" w:rsidRPr="00A8564C">
        <w:rPr>
          <w:b/>
          <w:i/>
          <w:lang w:val="es-ES"/>
        </w:rPr>
        <w:t>1.iv</w:t>
      </w:r>
      <w:r w:rsidRPr="00A8564C">
        <w:rPr>
          <w:b/>
          <w:i/>
          <w:lang w:val="es-ES"/>
        </w:rPr>
        <w:t>) y 63.1.iv)</w:t>
      </w:r>
      <w:proofErr w:type="gramStart"/>
      <w:r w:rsidRPr="00A8564C">
        <w:rPr>
          <w:b/>
          <w:i/>
          <w:lang w:val="es-ES"/>
        </w:rPr>
        <w:t>:  esa</w:t>
      </w:r>
      <w:proofErr w:type="gramEnd"/>
      <w:r w:rsidRPr="00A8564C">
        <w:rPr>
          <w:b/>
          <w:i/>
          <w:lang w:val="es-ES"/>
        </w:rPr>
        <w:t xml:space="preserve"> Oficina u organización deberá disponer de un sistema de gestión de calidad y un sistema de revisión interna, conforme a las reglas comunes de la búsqueda internacional.</w:t>
      </w:r>
      <w:r w:rsidR="003D6002" w:rsidRPr="00A8564C">
        <w:rPr>
          <w:lang w:val="es-ES"/>
        </w:rPr>
        <w:t xml:space="preserve"> </w:t>
      </w:r>
    </w:p>
    <w:p w14:paraId="169E73D4" w14:textId="77777777" w:rsidR="002C70DB" w:rsidRPr="00A8564C" w:rsidRDefault="002C70DB" w:rsidP="001755C3">
      <w:pPr>
        <w:rPr>
          <w:lang w:val="es-ES"/>
        </w:rPr>
      </w:pPr>
    </w:p>
    <w:p w14:paraId="20B99BAD" w14:textId="1DB24E55" w:rsidR="002C70DB" w:rsidRPr="00A8564C" w:rsidRDefault="00384231" w:rsidP="001755C3">
      <w:pPr>
        <w:rPr>
          <w:sz w:val="16"/>
          <w:szCs w:val="16"/>
          <w:lang w:val="es-ES"/>
        </w:rPr>
      </w:pPr>
      <w:r w:rsidRPr="00A8564C">
        <w:rPr>
          <w:lang w:val="es-ES"/>
        </w:rPr>
        <w:t xml:space="preserve">Los informes del </w:t>
      </w:r>
      <w:r w:rsidR="00672F4E" w:rsidRPr="00A8564C">
        <w:rPr>
          <w:lang w:val="es-ES"/>
        </w:rPr>
        <w:t xml:space="preserve">sistema </w:t>
      </w:r>
      <w:r w:rsidRPr="00A8564C">
        <w:rPr>
          <w:lang w:val="es-ES"/>
        </w:rPr>
        <w:t xml:space="preserve">de </w:t>
      </w:r>
      <w:r w:rsidR="003831D2" w:rsidRPr="00A8564C">
        <w:rPr>
          <w:lang w:val="es-ES"/>
        </w:rPr>
        <w:t>gestión</w:t>
      </w:r>
      <w:r w:rsidRPr="00A8564C">
        <w:rPr>
          <w:lang w:val="es-ES"/>
        </w:rPr>
        <w:t xml:space="preserve"> de</w:t>
      </w:r>
      <w:r w:rsidR="00697184" w:rsidRPr="00A8564C">
        <w:rPr>
          <w:lang w:val="es-ES"/>
        </w:rPr>
        <w:t xml:space="preserve"> </w:t>
      </w:r>
      <w:r w:rsidRPr="00A8564C">
        <w:rPr>
          <w:lang w:val="es-ES"/>
        </w:rPr>
        <w:t xml:space="preserve">la calidad de la </w:t>
      </w:r>
      <w:r w:rsidR="00B06CD7" w:rsidRPr="00A8564C">
        <w:rPr>
          <w:lang w:val="es-ES"/>
        </w:rPr>
        <w:t xml:space="preserve">ILPO </w:t>
      </w:r>
      <w:r w:rsidRPr="00A8564C">
        <w:rPr>
          <w:lang w:val="es-ES"/>
        </w:rPr>
        <w:t xml:space="preserve">se pueden consultar en el siguiente sitio web de la </w:t>
      </w:r>
      <w:r w:rsidR="00B06CD7" w:rsidRPr="00A8564C">
        <w:rPr>
          <w:lang w:val="es-ES"/>
        </w:rPr>
        <w:t>OMPI</w:t>
      </w:r>
      <w:r w:rsidR="002C70DB" w:rsidRPr="00A8564C">
        <w:rPr>
          <w:lang w:val="es-ES"/>
        </w:rPr>
        <w:t>:</w:t>
      </w:r>
      <w:r w:rsidR="001A1B45">
        <w:rPr>
          <w:lang w:val="es-ES"/>
        </w:rPr>
        <w:t xml:space="preserve">  </w:t>
      </w:r>
      <w:hyperlink r:id="rId11" w:history="1">
        <w:r w:rsidR="002C70DB" w:rsidRPr="00A8564C">
          <w:rPr>
            <w:rStyle w:val="Hyperlink"/>
            <w:lang w:val="es-ES"/>
          </w:rPr>
          <w:t>http://www.wipo.int/pct/en/quality/authorities.html</w:t>
        </w:r>
      </w:hyperlink>
      <w:r w:rsidR="002C70DB" w:rsidRPr="00A8564C">
        <w:rPr>
          <w:lang w:val="es-ES"/>
        </w:rPr>
        <w:t xml:space="preserve"> </w:t>
      </w:r>
    </w:p>
    <w:p w14:paraId="165DC309" w14:textId="77777777" w:rsidR="001755C3" w:rsidRPr="00A8564C" w:rsidRDefault="001755C3" w:rsidP="001755C3">
      <w:pPr>
        <w:rPr>
          <w:lang w:val="es-ES"/>
        </w:rPr>
      </w:pPr>
    </w:p>
    <w:p w14:paraId="260FFBF3" w14:textId="6E569E3A" w:rsidR="002C70DB" w:rsidRPr="00A8564C" w:rsidRDefault="002C70DB" w:rsidP="001755C3">
      <w:pPr>
        <w:pStyle w:val="Heading3"/>
        <w:rPr>
          <w:lang w:val="es-ES"/>
        </w:rPr>
      </w:pPr>
      <w:r w:rsidRPr="00A8564C">
        <w:rPr>
          <w:lang w:val="es-ES"/>
        </w:rPr>
        <w:t>2.2.1</w:t>
      </w:r>
      <w:r w:rsidR="009E7E5E" w:rsidRPr="00A8564C">
        <w:rPr>
          <w:lang w:val="es-ES"/>
        </w:rPr>
        <w:t xml:space="preserve">.  </w:t>
      </w:r>
      <w:r w:rsidR="00EB2FA0" w:rsidRPr="00A8564C">
        <w:rPr>
          <w:lang w:val="es-ES"/>
        </w:rPr>
        <w:t>Garantía de la calidad</w:t>
      </w:r>
    </w:p>
    <w:p w14:paraId="4E415E49" w14:textId="77777777" w:rsidR="002C70DB" w:rsidRPr="00A8564C" w:rsidRDefault="002C70DB" w:rsidP="00E826DF">
      <w:pPr>
        <w:keepNext/>
        <w:rPr>
          <w:lang w:val="es-ES"/>
        </w:rPr>
      </w:pPr>
    </w:p>
    <w:p w14:paraId="3CCAFB86" w14:textId="5C73D1D1" w:rsidR="002C70DB" w:rsidRPr="00A8564C" w:rsidRDefault="00EB2FA0" w:rsidP="00E826DF">
      <w:pPr>
        <w:rPr>
          <w:lang w:val="es-ES"/>
        </w:rPr>
      </w:pPr>
      <w:r w:rsidRPr="00A8564C">
        <w:rPr>
          <w:lang w:val="es-ES"/>
        </w:rPr>
        <w:t>La calidad reviste una importanc</w:t>
      </w:r>
      <w:r w:rsidR="003E6686" w:rsidRPr="00A8564C">
        <w:rPr>
          <w:lang w:val="es-ES"/>
        </w:rPr>
        <w:t>ia</w:t>
      </w:r>
      <w:r w:rsidRPr="00A8564C">
        <w:rPr>
          <w:lang w:val="es-ES"/>
        </w:rPr>
        <w:t xml:space="preserve"> crucial para la ILPO</w:t>
      </w:r>
      <w:r w:rsidR="009E7E5E" w:rsidRPr="00A8564C">
        <w:rPr>
          <w:lang w:val="es-ES"/>
        </w:rPr>
        <w:t xml:space="preserve">.  </w:t>
      </w:r>
      <w:r w:rsidR="00B06CD7" w:rsidRPr="00A8564C">
        <w:rPr>
          <w:lang w:val="es-ES"/>
        </w:rPr>
        <w:t xml:space="preserve">La </w:t>
      </w:r>
      <w:r w:rsidR="004239EA" w:rsidRPr="00A8564C">
        <w:rPr>
          <w:lang w:val="es-ES"/>
        </w:rPr>
        <w:t>Oficina</w:t>
      </w:r>
      <w:r w:rsidR="00F64DB9" w:rsidRPr="00A8564C">
        <w:rPr>
          <w:lang w:val="es-ES"/>
        </w:rPr>
        <w:t xml:space="preserve"> cuenta con un </w:t>
      </w:r>
      <w:r w:rsidR="00384231" w:rsidRPr="00A8564C">
        <w:rPr>
          <w:lang w:val="es-ES"/>
        </w:rPr>
        <w:t>s</w:t>
      </w:r>
      <w:r w:rsidR="00F64DB9" w:rsidRPr="00A8564C">
        <w:rPr>
          <w:lang w:val="es-ES"/>
        </w:rPr>
        <w:t xml:space="preserve">istema de </w:t>
      </w:r>
      <w:r w:rsidR="003831D2" w:rsidRPr="00A8564C">
        <w:rPr>
          <w:lang w:val="es-ES"/>
        </w:rPr>
        <w:t>gestión</w:t>
      </w:r>
      <w:r w:rsidR="00F64DB9" w:rsidRPr="00A8564C">
        <w:rPr>
          <w:lang w:val="es-ES"/>
        </w:rPr>
        <w:t xml:space="preserve"> de la calidad certificado con </w:t>
      </w:r>
      <w:r w:rsidR="003831D2" w:rsidRPr="00A8564C">
        <w:rPr>
          <w:lang w:val="es-ES"/>
        </w:rPr>
        <w:t>arreglo</w:t>
      </w:r>
      <w:r w:rsidR="00F64DB9" w:rsidRPr="00A8564C">
        <w:rPr>
          <w:lang w:val="es-ES"/>
        </w:rPr>
        <w:t xml:space="preserve"> a la norma </w:t>
      </w:r>
      <w:r w:rsidR="002C70DB" w:rsidRPr="00A8564C">
        <w:rPr>
          <w:lang w:val="es-ES"/>
        </w:rPr>
        <w:t>ISO 9001:2015</w:t>
      </w:r>
      <w:r w:rsidR="009E7E5E" w:rsidRPr="00A8564C">
        <w:rPr>
          <w:lang w:val="es-ES"/>
        </w:rPr>
        <w:t xml:space="preserve">.  </w:t>
      </w:r>
      <w:r w:rsidR="00F64DB9" w:rsidRPr="00A8564C">
        <w:rPr>
          <w:lang w:val="es-ES"/>
        </w:rPr>
        <w:t xml:space="preserve">La </w:t>
      </w:r>
      <w:r w:rsidR="003831D2" w:rsidRPr="00A8564C">
        <w:rPr>
          <w:lang w:val="es-ES"/>
        </w:rPr>
        <w:t>certificación</w:t>
      </w:r>
      <w:r w:rsidR="00F64DB9" w:rsidRPr="00A8564C">
        <w:rPr>
          <w:lang w:val="es-ES"/>
        </w:rPr>
        <w:t xml:space="preserve"> abarca todos los servicios que ofrece l</w:t>
      </w:r>
      <w:r w:rsidR="00B06CD7" w:rsidRPr="00A8564C">
        <w:rPr>
          <w:lang w:val="es-ES"/>
        </w:rPr>
        <w:t>a ILPO</w:t>
      </w:r>
      <w:r w:rsidR="002C70DB" w:rsidRPr="00A8564C">
        <w:rPr>
          <w:lang w:val="es-ES"/>
        </w:rPr>
        <w:t xml:space="preserve">, </w:t>
      </w:r>
      <w:r w:rsidR="00F64DB9" w:rsidRPr="00A8564C">
        <w:rPr>
          <w:lang w:val="es-ES"/>
        </w:rPr>
        <w:t>a saber</w:t>
      </w:r>
      <w:proofErr w:type="gramStart"/>
      <w:r w:rsidR="009E7E5E" w:rsidRPr="00A8564C">
        <w:rPr>
          <w:lang w:val="es-ES"/>
        </w:rPr>
        <w:t xml:space="preserve">:  </w:t>
      </w:r>
      <w:r w:rsidR="00F64DB9" w:rsidRPr="00A8564C">
        <w:rPr>
          <w:lang w:val="es-ES"/>
        </w:rPr>
        <w:t>la</w:t>
      </w:r>
      <w:proofErr w:type="gramEnd"/>
      <w:r w:rsidR="00F64DB9" w:rsidRPr="00A8564C">
        <w:rPr>
          <w:lang w:val="es-ES"/>
        </w:rPr>
        <w:t xml:space="preserve"> </w:t>
      </w:r>
      <w:r w:rsidR="003831D2" w:rsidRPr="00A8564C">
        <w:rPr>
          <w:lang w:val="es-ES"/>
        </w:rPr>
        <w:t>tramitación</w:t>
      </w:r>
      <w:r w:rsidR="00F64DB9" w:rsidRPr="00A8564C">
        <w:rPr>
          <w:lang w:val="es-ES"/>
        </w:rPr>
        <w:t xml:space="preserve"> de las </w:t>
      </w:r>
      <w:r w:rsidR="00B06CD7" w:rsidRPr="00A8564C">
        <w:rPr>
          <w:lang w:val="es-ES"/>
        </w:rPr>
        <w:t xml:space="preserve">solicitudes </w:t>
      </w:r>
      <w:r w:rsidR="00F64DB9" w:rsidRPr="00A8564C">
        <w:rPr>
          <w:lang w:val="es-ES"/>
        </w:rPr>
        <w:t xml:space="preserve">nacionales e internacionales </w:t>
      </w:r>
      <w:r w:rsidR="00B06CD7" w:rsidRPr="00A8564C">
        <w:rPr>
          <w:lang w:val="es-ES"/>
        </w:rPr>
        <w:t xml:space="preserve">de </w:t>
      </w:r>
      <w:r w:rsidR="00F64DB9" w:rsidRPr="00A8564C">
        <w:rPr>
          <w:lang w:val="es-ES"/>
        </w:rPr>
        <w:t xml:space="preserve">patente en virtud del Tratado de </w:t>
      </w:r>
      <w:r w:rsidR="003831D2" w:rsidRPr="00A8564C">
        <w:rPr>
          <w:lang w:val="es-ES"/>
        </w:rPr>
        <w:t>Cooperación</w:t>
      </w:r>
      <w:r w:rsidR="00F64DB9" w:rsidRPr="00A8564C">
        <w:rPr>
          <w:lang w:val="es-ES"/>
        </w:rPr>
        <w:t xml:space="preserve"> en materia de Patentes</w:t>
      </w:r>
      <w:r w:rsidR="002C70DB" w:rsidRPr="00A8564C">
        <w:rPr>
          <w:lang w:val="es-ES"/>
        </w:rPr>
        <w:t xml:space="preserve"> (PCT), </w:t>
      </w:r>
      <w:r w:rsidR="00F64DB9" w:rsidRPr="00A8564C">
        <w:rPr>
          <w:lang w:val="es-ES"/>
        </w:rPr>
        <w:t xml:space="preserve">y solicitudes de </w:t>
      </w:r>
      <w:r w:rsidR="001A1B45">
        <w:rPr>
          <w:lang w:val="es-ES"/>
        </w:rPr>
        <w:t xml:space="preserve">registro de </w:t>
      </w:r>
      <w:r w:rsidR="00F64DB9" w:rsidRPr="00A8564C">
        <w:rPr>
          <w:lang w:val="es-ES"/>
        </w:rPr>
        <w:t xml:space="preserve">diseños </w:t>
      </w:r>
      <w:r w:rsidR="003831D2" w:rsidRPr="00A8564C">
        <w:rPr>
          <w:lang w:val="es-ES"/>
        </w:rPr>
        <w:t>industriales</w:t>
      </w:r>
      <w:r w:rsidR="00F64DB9" w:rsidRPr="00A8564C">
        <w:rPr>
          <w:lang w:val="es-ES"/>
        </w:rPr>
        <w:t xml:space="preserve"> y marcas</w:t>
      </w:r>
      <w:r w:rsidR="002C70DB" w:rsidRPr="00A8564C">
        <w:rPr>
          <w:lang w:val="es-ES"/>
        </w:rPr>
        <w:t>.</w:t>
      </w:r>
    </w:p>
    <w:p w14:paraId="522017D3" w14:textId="77777777" w:rsidR="002C70DB" w:rsidRPr="00A8564C" w:rsidRDefault="002C70DB" w:rsidP="00E826DF">
      <w:pPr>
        <w:rPr>
          <w:lang w:val="es-ES"/>
        </w:rPr>
      </w:pPr>
    </w:p>
    <w:p w14:paraId="343ED2D1" w14:textId="12E7F549" w:rsidR="002C70DB" w:rsidRPr="00A8564C" w:rsidRDefault="00F64DB9" w:rsidP="00E826DF">
      <w:pPr>
        <w:rPr>
          <w:lang w:val="es-ES"/>
        </w:rPr>
      </w:pPr>
      <w:r w:rsidRPr="00A8564C">
        <w:rPr>
          <w:lang w:val="es-ES"/>
        </w:rPr>
        <w:t xml:space="preserve">El sistema de </w:t>
      </w:r>
      <w:r w:rsidR="003831D2" w:rsidRPr="00A8564C">
        <w:rPr>
          <w:lang w:val="es-ES"/>
        </w:rPr>
        <w:t>gestión</w:t>
      </w:r>
      <w:r w:rsidRPr="00A8564C">
        <w:rPr>
          <w:lang w:val="es-ES"/>
        </w:rPr>
        <w:t xml:space="preserve"> de la calidad de l</w:t>
      </w:r>
      <w:r w:rsidR="00B06CD7" w:rsidRPr="00A8564C">
        <w:rPr>
          <w:lang w:val="es-ES"/>
        </w:rPr>
        <w:t>a ILPO</w:t>
      </w:r>
      <w:r w:rsidR="002C70DB" w:rsidRPr="00A8564C">
        <w:rPr>
          <w:lang w:val="es-ES"/>
        </w:rPr>
        <w:t xml:space="preserve"> </w:t>
      </w:r>
      <w:r w:rsidRPr="00A8564C">
        <w:rPr>
          <w:lang w:val="es-ES"/>
        </w:rPr>
        <w:t xml:space="preserve">es evaluado cada año por la </w:t>
      </w:r>
      <w:r w:rsidR="003831D2" w:rsidRPr="00A8564C">
        <w:rPr>
          <w:lang w:val="es-ES"/>
        </w:rPr>
        <w:t>Institución</w:t>
      </w:r>
      <w:r w:rsidRPr="00A8564C">
        <w:rPr>
          <w:lang w:val="es-ES"/>
        </w:rPr>
        <w:t xml:space="preserve"> de Normas de Israel, que </w:t>
      </w:r>
      <w:r w:rsidR="004239EA" w:rsidRPr="00A8564C">
        <w:rPr>
          <w:lang w:val="es-ES"/>
        </w:rPr>
        <w:t xml:space="preserve">ha </w:t>
      </w:r>
      <w:r w:rsidRPr="00A8564C">
        <w:rPr>
          <w:lang w:val="es-ES"/>
        </w:rPr>
        <w:t>realiza</w:t>
      </w:r>
      <w:r w:rsidR="004239EA" w:rsidRPr="00A8564C">
        <w:rPr>
          <w:lang w:val="es-ES"/>
        </w:rPr>
        <w:t>do</w:t>
      </w:r>
      <w:r w:rsidRPr="00A8564C">
        <w:rPr>
          <w:lang w:val="es-ES"/>
        </w:rPr>
        <w:t xml:space="preserve"> </w:t>
      </w:r>
      <w:r w:rsidR="003831D2" w:rsidRPr="00A8564C">
        <w:rPr>
          <w:lang w:val="es-ES"/>
        </w:rPr>
        <w:t>auditorías</w:t>
      </w:r>
      <w:r w:rsidRPr="00A8564C">
        <w:rPr>
          <w:lang w:val="es-ES"/>
        </w:rPr>
        <w:t xml:space="preserve"> externas </w:t>
      </w:r>
      <w:r w:rsidR="004239EA" w:rsidRPr="00A8564C">
        <w:rPr>
          <w:lang w:val="es-ES"/>
        </w:rPr>
        <w:t>para</w:t>
      </w:r>
      <w:r w:rsidRPr="00A8564C">
        <w:rPr>
          <w:lang w:val="es-ES"/>
        </w:rPr>
        <w:t xml:space="preserve"> </w:t>
      </w:r>
      <w:r w:rsidR="004239EA" w:rsidRPr="00A8564C">
        <w:rPr>
          <w:lang w:val="es-ES"/>
        </w:rPr>
        <w:t xml:space="preserve">ampliar </w:t>
      </w:r>
      <w:r w:rsidR="00CB2D1F" w:rsidRPr="00A8564C">
        <w:rPr>
          <w:lang w:val="es-ES"/>
        </w:rPr>
        <w:t xml:space="preserve">la </w:t>
      </w:r>
      <w:r w:rsidR="003831D2" w:rsidRPr="00A8564C">
        <w:rPr>
          <w:lang w:val="es-ES"/>
        </w:rPr>
        <w:t>certificación</w:t>
      </w:r>
      <w:r w:rsidR="00CB2D1F" w:rsidRPr="00A8564C">
        <w:rPr>
          <w:lang w:val="es-ES"/>
        </w:rPr>
        <w:t xml:space="preserve"> de la </w:t>
      </w:r>
      <w:r w:rsidR="00B06CD7" w:rsidRPr="00A8564C">
        <w:rPr>
          <w:lang w:val="es-ES"/>
        </w:rPr>
        <w:t>ILPO</w:t>
      </w:r>
      <w:r w:rsidR="00CB2D1F" w:rsidRPr="00A8564C">
        <w:rPr>
          <w:lang w:val="es-ES"/>
        </w:rPr>
        <w:t xml:space="preserve"> </w:t>
      </w:r>
      <w:r w:rsidR="004239EA" w:rsidRPr="00A8564C">
        <w:rPr>
          <w:lang w:val="es-ES"/>
        </w:rPr>
        <w:t xml:space="preserve">de tal forma que abarque </w:t>
      </w:r>
      <w:r w:rsidR="00CB2D1F" w:rsidRPr="00A8564C">
        <w:rPr>
          <w:lang w:val="es-ES"/>
        </w:rPr>
        <w:t xml:space="preserve">la </w:t>
      </w:r>
      <w:r w:rsidR="003831D2" w:rsidRPr="00A8564C">
        <w:rPr>
          <w:lang w:val="es-ES"/>
        </w:rPr>
        <w:t>norma</w:t>
      </w:r>
      <w:r w:rsidR="00CB2D1F" w:rsidRPr="00A8564C">
        <w:rPr>
          <w:lang w:val="es-ES"/>
        </w:rPr>
        <w:t xml:space="preserve"> </w:t>
      </w:r>
      <w:r w:rsidR="002C70DB" w:rsidRPr="00A8564C">
        <w:rPr>
          <w:lang w:val="es-ES"/>
        </w:rPr>
        <w:t>ISO:9001.</w:t>
      </w:r>
    </w:p>
    <w:p w14:paraId="692A7B9B" w14:textId="77777777" w:rsidR="002C70DB" w:rsidRPr="00A8564C" w:rsidRDefault="002C70DB" w:rsidP="00E826DF">
      <w:pPr>
        <w:rPr>
          <w:lang w:val="es-ES"/>
        </w:rPr>
      </w:pPr>
    </w:p>
    <w:p w14:paraId="1DD4E7CA" w14:textId="7CA9BA19" w:rsidR="002C70DB" w:rsidRPr="00A8564C" w:rsidRDefault="003831D2" w:rsidP="00E826DF">
      <w:pPr>
        <w:rPr>
          <w:lang w:val="es-ES"/>
        </w:rPr>
      </w:pPr>
      <w:r w:rsidRPr="00A8564C">
        <w:rPr>
          <w:lang w:val="es-ES"/>
        </w:rPr>
        <w:t>La</w:t>
      </w:r>
      <w:r w:rsidR="004239EA" w:rsidRPr="00A8564C">
        <w:rPr>
          <w:lang w:val="es-ES"/>
        </w:rPr>
        <w:t>s</w:t>
      </w:r>
      <w:r w:rsidRPr="00A8564C">
        <w:rPr>
          <w:lang w:val="es-ES"/>
        </w:rPr>
        <w:t xml:space="preserve"> medida</w:t>
      </w:r>
      <w:r w:rsidR="004239EA" w:rsidRPr="00A8564C">
        <w:rPr>
          <w:lang w:val="es-ES"/>
        </w:rPr>
        <w:t>s</w:t>
      </w:r>
      <w:r w:rsidRPr="00A8564C">
        <w:rPr>
          <w:lang w:val="es-ES"/>
        </w:rPr>
        <w:t xml:space="preserve"> adoptada</w:t>
      </w:r>
      <w:r w:rsidR="004239EA" w:rsidRPr="00A8564C">
        <w:rPr>
          <w:lang w:val="es-ES"/>
        </w:rPr>
        <w:t>s</w:t>
      </w:r>
      <w:r w:rsidR="00CB2D1F" w:rsidRPr="00A8564C">
        <w:rPr>
          <w:lang w:val="es-ES"/>
        </w:rPr>
        <w:t xml:space="preserve"> por la </w:t>
      </w:r>
      <w:r w:rsidR="00B06CD7" w:rsidRPr="00A8564C">
        <w:rPr>
          <w:lang w:val="es-ES"/>
        </w:rPr>
        <w:t xml:space="preserve">ILPO </w:t>
      </w:r>
      <w:r w:rsidR="00CB2D1F" w:rsidRPr="00A8564C">
        <w:rPr>
          <w:lang w:val="es-ES"/>
        </w:rPr>
        <w:t xml:space="preserve">para implantar un marco de calidad para la </w:t>
      </w:r>
      <w:r w:rsidRPr="00A8564C">
        <w:rPr>
          <w:lang w:val="es-ES"/>
        </w:rPr>
        <w:t>tramitación</w:t>
      </w:r>
      <w:r w:rsidR="00CB2D1F" w:rsidRPr="00A8564C">
        <w:rPr>
          <w:lang w:val="es-ES"/>
        </w:rPr>
        <w:t xml:space="preserve"> de solicitudes nacion</w:t>
      </w:r>
      <w:r w:rsidR="004239EA" w:rsidRPr="00A8564C">
        <w:rPr>
          <w:lang w:val="es-ES"/>
        </w:rPr>
        <w:t>al</w:t>
      </w:r>
      <w:r w:rsidR="00CB2D1F" w:rsidRPr="00A8564C">
        <w:rPr>
          <w:lang w:val="es-ES"/>
        </w:rPr>
        <w:t xml:space="preserve">es e internacionales </w:t>
      </w:r>
      <w:r w:rsidRPr="00A8564C">
        <w:rPr>
          <w:lang w:val="es-ES"/>
        </w:rPr>
        <w:t>con</w:t>
      </w:r>
      <w:r w:rsidR="00CB2D1F" w:rsidRPr="00A8564C">
        <w:rPr>
          <w:lang w:val="es-ES"/>
        </w:rPr>
        <w:t xml:space="preserve"> arreglo a la norma </w:t>
      </w:r>
      <w:r w:rsidR="002C70DB" w:rsidRPr="00A8564C">
        <w:rPr>
          <w:lang w:val="es-ES"/>
        </w:rPr>
        <w:t xml:space="preserve">ISO 9001, </w:t>
      </w:r>
      <w:r w:rsidR="00CB2D1F" w:rsidRPr="00A8564C">
        <w:rPr>
          <w:lang w:val="es-ES"/>
        </w:rPr>
        <w:t xml:space="preserve">han permitido a la </w:t>
      </w:r>
      <w:r w:rsidRPr="00A8564C">
        <w:rPr>
          <w:lang w:val="es-ES"/>
        </w:rPr>
        <w:t>ILPO cumplir</w:t>
      </w:r>
      <w:r w:rsidR="00CB2D1F" w:rsidRPr="00A8564C">
        <w:rPr>
          <w:lang w:val="es-ES"/>
        </w:rPr>
        <w:t xml:space="preserve"> </w:t>
      </w:r>
      <w:r w:rsidR="00384231" w:rsidRPr="00A8564C">
        <w:rPr>
          <w:lang w:val="es-ES"/>
        </w:rPr>
        <w:t xml:space="preserve">enteramente los </w:t>
      </w:r>
      <w:r w:rsidRPr="00A8564C">
        <w:rPr>
          <w:lang w:val="es-ES"/>
        </w:rPr>
        <w:t>requisitos</w:t>
      </w:r>
      <w:r w:rsidR="00384231" w:rsidRPr="00A8564C">
        <w:rPr>
          <w:lang w:val="es-ES"/>
        </w:rPr>
        <w:t xml:space="preserve"> del m</w:t>
      </w:r>
      <w:r w:rsidR="00CB2D1F" w:rsidRPr="00A8564C">
        <w:rPr>
          <w:lang w:val="es-ES"/>
        </w:rPr>
        <w:t xml:space="preserve">arco </w:t>
      </w:r>
      <w:r w:rsidRPr="00A8564C">
        <w:rPr>
          <w:lang w:val="es-ES"/>
        </w:rPr>
        <w:t>común</w:t>
      </w:r>
      <w:r w:rsidR="00384231" w:rsidRPr="00A8564C">
        <w:rPr>
          <w:lang w:val="es-ES"/>
        </w:rPr>
        <w:t xml:space="preserve"> de c</w:t>
      </w:r>
      <w:r w:rsidR="00CB2D1F" w:rsidRPr="00A8564C">
        <w:rPr>
          <w:lang w:val="es-ES"/>
        </w:rPr>
        <w:t xml:space="preserve">alidad </w:t>
      </w:r>
      <w:r w:rsidR="00384231" w:rsidRPr="00A8564C">
        <w:rPr>
          <w:lang w:val="es-ES"/>
        </w:rPr>
        <w:t>que se describe en el capítulo 21 de las Directrices de búsqueda internacional y de examen preliminar internacional del PCT</w:t>
      </w:r>
      <w:r w:rsidR="002C70DB" w:rsidRPr="00A8564C">
        <w:rPr>
          <w:lang w:val="es-ES"/>
        </w:rPr>
        <w:t>.</w:t>
      </w:r>
    </w:p>
    <w:p w14:paraId="0BCCFB3D" w14:textId="77777777" w:rsidR="002C70DB" w:rsidRPr="00A8564C" w:rsidRDefault="002C70DB" w:rsidP="00E826DF">
      <w:pPr>
        <w:rPr>
          <w:lang w:val="es-ES"/>
        </w:rPr>
      </w:pPr>
    </w:p>
    <w:p w14:paraId="51CF183E" w14:textId="3F104F26" w:rsidR="002C70DB" w:rsidRPr="00A8564C" w:rsidRDefault="00384231" w:rsidP="00E826DF">
      <w:pPr>
        <w:rPr>
          <w:lang w:val="es-ES"/>
        </w:rPr>
      </w:pPr>
      <w:r w:rsidRPr="00A8564C">
        <w:rPr>
          <w:lang w:val="es-ES"/>
        </w:rPr>
        <w:t xml:space="preserve">La </w:t>
      </w:r>
      <w:r w:rsidR="004239EA" w:rsidRPr="00A8564C">
        <w:rPr>
          <w:lang w:val="es-ES"/>
        </w:rPr>
        <w:t>óptima</w:t>
      </w:r>
      <w:r w:rsidRPr="00A8564C">
        <w:rPr>
          <w:lang w:val="es-ES"/>
        </w:rPr>
        <w:t xml:space="preserve"> calidad de los servicios de la </w:t>
      </w:r>
      <w:r w:rsidR="00B06CD7" w:rsidRPr="00A8564C">
        <w:rPr>
          <w:lang w:val="es-ES"/>
        </w:rPr>
        <w:t xml:space="preserve">ILPO </w:t>
      </w:r>
      <w:r w:rsidRPr="00A8564C">
        <w:rPr>
          <w:lang w:val="es-ES"/>
        </w:rPr>
        <w:t xml:space="preserve">la han </w:t>
      </w:r>
      <w:r w:rsidR="008A3CC6" w:rsidRPr="00A8564C">
        <w:rPr>
          <w:lang w:val="es-ES"/>
        </w:rPr>
        <w:t xml:space="preserve">hecho merecedora del </w:t>
      </w:r>
      <w:r w:rsidRPr="00A8564C">
        <w:rPr>
          <w:lang w:val="es-ES"/>
        </w:rPr>
        <w:t xml:space="preserve">Premio de reconocimiento de la </w:t>
      </w:r>
      <w:r w:rsidR="003831D2" w:rsidRPr="00A8564C">
        <w:rPr>
          <w:lang w:val="es-ES"/>
        </w:rPr>
        <w:t>Comisión</w:t>
      </w:r>
      <w:r w:rsidR="008A3CC6" w:rsidRPr="00A8564C">
        <w:rPr>
          <w:lang w:val="es-ES"/>
        </w:rPr>
        <w:t xml:space="preserve"> de la </w:t>
      </w:r>
      <w:r w:rsidR="003831D2" w:rsidRPr="00A8564C">
        <w:rPr>
          <w:lang w:val="es-ES"/>
        </w:rPr>
        <w:t>Función</w:t>
      </w:r>
      <w:r w:rsidR="008A3CC6" w:rsidRPr="00A8564C">
        <w:rPr>
          <w:lang w:val="es-ES"/>
        </w:rPr>
        <w:t xml:space="preserve"> </w:t>
      </w:r>
      <w:r w:rsidR="00672F4E" w:rsidRPr="00A8564C">
        <w:rPr>
          <w:lang w:val="es-ES"/>
        </w:rPr>
        <w:t>Pública</w:t>
      </w:r>
      <w:r w:rsidR="008A3CC6" w:rsidRPr="00A8564C">
        <w:rPr>
          <w:lang w:val="es-ES"/>
        </w:rPr>
        <w:t xml:space="preserve"> </w:t>
      </w:r>
      <w:r w:rsidR="00B7212F" w:rsidRPr="00A8564C">
        <w:rPr>
          <w:lang w:val="es-ES"/>
        </w:rPr>
        <w:t xml:space="preserve">como </w:t>
      </w:r>
      <w:r w:rsidR="004239EA" w:rsidRPr="00A8564C">
        <w:rPr>
          <w:lang w:val="es-ES"/>
        </w:rPr>
        <w:t xml:space="preserve">Dependencia </w:t>
      </w:r>
      <w:r w:rsidR="00B7212F" w:rsidRPr="00A8564C">
        <w:rPr>
          <w:lang w:val="es-ES"/>
        </w:rPr>
        <w:t>excelente</w:t>
      </w:r>
      <w:r w:rsidR="004239EA" w:rsidRPr="00A8564C">
        <w:rPr>
          <w:lang w:val="es-ES"/>
        </w:rPr>
        <w:t xml:space="preserve"> </w:t>
      </w:r>
      <w:r w:rsidR="008A3CC6" w:rsidRPr="00A8564C">
        <w:rPr>
          <w:lang w:val="es-ES"/>
        </w:rPr>
        <w:t xml:space="preserve">para </w:t>
      </w:r>
      <w:r w:rsidR="004239EA" w:rsidRPr="00A8564C">
        <w:rPr>
          <w:lang w:val="es-ES"/>
        </w:rPr>
        <w:t xml:space="preserve">potenciar </w:t>
      </w:r>
      <w:r w:rsidR="008A3CC6" w:rsidRPr="00A8564C">
        <w:rPr>
          <w:lang w:val="es-ES"/>
        </w:rPr>
        <w:t xml:space="preserve">la eficacia y </w:t>
      </w:r>
      <w:r w:rsidR="004239EA" w:rsidRPr="00A8564C">
        <w:rPr>
          <w:lang w:val="es-ES"/>
        </w:rPr>
        <w:t>reducir la burocracia</w:t>
      </w:r>
      <w:r w:rsidR="008A3CC6" w:rsidRPr="00A8564C">
        <w:rPr>
          <w:lang w:val="es-ES"/>
        </w:rPr>
        <w:t xml:space="preserve"> en los años 2010 y 2013</w:t>
      </w:r>
      <w:r w:rsidR="002C70DB" w:rsidRPr="00A8564C">
        <w:rPr>
          <w:lang w:val="es-ES"/>
        </w:rPr>
        <w:t>.</w:t>
      </w:r>
    </w:p>
    <w:p w14:paraId="10E1EE80" w14:textId="77777777" w:rsidR="002C70DB" w:rsidRPr="00A8564C" w:rsidRDefault="002C70DB" w:rsidP="00E826DF">
      <w:pPr>
        <w:rPr>
          <w:lang w:val="es-ES"/>
        </w:rPr>
      </w:pPr>
    </w:p>
    <w:p w14:paraId="46874E29" w14:textId="06966196" w:rsidR="002C70DB" w:rsidRPr="00A8564C" w:rsidRDefault="008A3CC6" w:rsidP="00E826DF">
      <w:pPr>
        <w:rPr>
          <w:lang w:val="es-ES"/>
        </w:rPr>
      </w:pPr>
      <w:r w:rsidRPr="00A8564C">
        <w:rPr>
          <w:lang w:val="es-ES"/>
        </w:rPr>
        <w:t xml:space="preserve">Recientemente, la </w:t>
      </w:r>
      <w:r w:rsidR="00B06CD7" w:rsidRPr="00A8564C">
        <w:rPr>
          <w:lang w:val="es-ES"/>
        </w:rPr>
        <w:t xml:space="preserve">ILPO </w:t>
      </w:r>
      <w:r w:rsidR="00B7212F" w:rsidRPr="00A8564C">
        <w:rPr>
          <w:lang w:val="es-ES"/>
        </w:rPr>
        <w:t xml:space="preserve">fue una </w:t>
      </w:r>
      <w:r w:rsidRPr="00A8564C">
        <w:rPr>
          <w:lang w:val="es-ES"/>
        </w:rPr>
        <w:t xml:space="preserve">de las pocas dependencias gubernamentales </w:t>
      </w:r>
      <w:r w:rsidR="00B7212F" w:rsidRPr="00A8564C">
        <w:rPr>
          <w:lang w:val="es-ES"/>
        </w:rPr>
        <w:t>elegidas como candidatas para e</w:t>
      </w:r>
      <w:r w:rsidRPr="00A8564C">
        <w:rPr>
          <w:lang w:val="es-ES"/>
        </w:rPr>
        <w:t xml:space="preserve">l </w:t>
      </w:r>
      <w:r w:rsidR="003831D2" w:rsidRPr="00A8564C">
        <w:rPr>
          <w:lang w:val="es-ES"/>
        </w:rPr>
        <w:t>prestigioso</w:t>
      </w:r>
      <w:r w:rsidRPr="00A8564C">
        <w:rPr>
          <w:lang w:val="es-ES"/>
        </w:rPr>
        <w:t xml:space="preserve"> Premio Nacional de Calidad</w:t>
      </w:r>
      <w:r w:rsidR="009E7E5E" w:rsidRPr="00A8564C">
        <w:rPr>
          <w:lang w:val="es-ES"/>
        </w:rPr>
        <w:t xml:space="preserve">.  </w:t>
      </w:r>
      <w:r w:rsidRPr="00A8564C">
        <w:rPr>
          <w:lang w:val="es-ES"/>
        </w:rPr>
        <w:t>Ese premio, que es otorgado por el Primer Ministro de</w:t>
      </w:r>
      <w:r w:rsidR="002C70DB" w:rsidRPr="00A8564C">
        <w:rPr>
          <w:lang w:val="es-ES"/>
        </w:rPr>
        <w:t xml:space="preserve"> Israel </w:t>
      </w:r>
      <w:r w:rsidRPr="00A8564C">
        <w:rPr>
          <w:lang w:val="es-ES"/>
        </w:rPr>
        <w:t xml:space="preserve">en una ceremonia estatal, </w:t>
      </w:r>
      <w:r w:rsidR="00D95D86" w:rsidRPr="00A8564C">
        <w:rPr>
          <w:lang w:val="es-ES"/>
        </w:rPr>
        <w:t xml:space="preserve">es un </w:t>
      </w:r>
      <w:r w:rsidRPr="00A8564C">
        <w:rPr>
          <w:lang w:val="es-ES"/>
        </w:rPr>
        <w:t xml:space="preserve">reconocimiento de la </w:t>
      </w:r>
      <w:r w:rsidR="003831D2" w:rsidRPr="00A8564C">
        <w:rPr>
          <w:lang w:val="es-ES"/>
        </w:rPr>
        <w:t>excelencia</w:t>
      </w:r>
      <w:r w:rsidRPr="00A8564C">
        <w:rPr>
          <w:lang w:val="es-ES"/>
        </w:rPr>
        <w:t xml:space="preserve"> del </w:t>
      </w:r>
      <w:r w:rsidR="00D95D86" w:rsidRPr="00A8564C">
        <w:rPr>
          <w:lang w:val="es-ES"/>
        </w:rPr>
        <w:t>s</w:t>
      </w:r>
      <w:r w:rsidRPr="00A8564C">
        <w:rPr>
          <w:lang w:val="es-ES"/>
        </w:rPr>
        <w:t xml:space="preserve">istema de </w:t>
      </w:r>
      <w:r w:rsidR="003831D2" w:rsidRPr="00A8564C">
        <w:rPr>
          <w:lang w:val="es-ES"/>
        </w:rPr>
        <w:t>gestión</w:t>
      </w:r>
      <w:r w:rsidRPr="00A8564C">
        <w:rPr>
          <w:lang w:val="es-ES"/>
        </w:rPr>
        <w:t xml:space="preserve"> de la calidad de la dependencia gubernamental </w:t>
      </w:r>
      <w:r w:rsidR="003831D2" w:rsidRPr="00A8564C">
        <w:rPr>
          <w:lang w:val="es-ES"/>
        </w:rPr>
        <w:t>galardonada</w:t>
      </w:r>
      <w:r w:rsidR="009E7E5E" w:rsidRPr="00A8564C">
        <w:rPr>
          <w:lang w:val="es-ES"/>
        </w:rPr>
        <w:t xml:space="preserve">.  </w:t>
      </w:r>
      <w:r w:rsidR="00D95D86" w:rsidRPr="00A8564C">
        <w:rPr>
          <w:lang w:val="es-ES"/>
        </w:rPr>
        <w:t xml:space="preserve">El hecho de </w:t>
      </w:r>
      <w:r w:rsidR="00B7212F" w:rsidRPr="00A8564C">
        <w:rPr>
          <w:lang w:val="es-ES"/>
        </w:rPr>
        <w:t>haber sido seleccionada</w:t>
      </w:r>
      <w:r w:rsidR="00D95D86" w:rsidRPr="00A8564C">
        <w:rPr>
          <w:lang w:val="es-ES"/>
        </w:rPr>
        <w:t xml:space="preserve"> como candidat</w:t>
      </w:r>
      <w:r w:rsidR="00B7212F" w:rsidRPr="00A8564C">
        <w:rPr>
          <w:lang w:val="es-ES"/>
        </w:rPr>
        <w:t>a</w:t>
      </w:r>
      <w:r w:rsidR="00D95D86" w:rsidRPr="00A8564C">
        <w:rPr>
          <w:lang w:val="es-ES"/>
        </w:rPr>
        <w:t xml:space="preserve"> para este premio </w:t>
      </w:r>
      <w:r w:rsidR="00B7212F" w:rsidRPr="00A8564C">
        <w:rPr>
          <w:lang w:val="es-ES"/>
        </w:rPr>
        <w:t xml:space="preserve">denota la importancia de </w:t>
      </w:r>
      <w:r w:rsidR="00D95D86" w:rsidRPr="00A8564C">
        <w:rPr>
          <w:lang w:val="es-ES"/>
        </w:rPr>
        <w:t xml:space="preserve">las </w:t>
      </w:r>
      <w:r w:rsidR="00B7212F" w:rsidRPr="00A8564C">
        <w:rPr>
          <w:lang w:val="es-ES"/>
        </w:rPr>
        <w:t>sólidas</w:t>
      </w:r>
      <w:r w:rsidR="00D95D86" w:rsidRPr="00A8564C">
        <w:rPr>
          <w:lang w:val="es-ES"/>
        </w:rPr>
        <w:t xml:space="preserve"> medidas que ha adoptado la I</w:t>
      </w:r>
      <w:r w:rsidR="00B06CD7" w:rsidRPr="00A8564C">
        <w:rPr>
          <w:lang w:val="es-ES"/>
        </w:rPr>
        <w:t xml:space="preserve">LPO </w:t>
      </w:r>
      <w:r w:rsidR="00D95D86" w:rsidRPr="00A8564C">
        <w:rPr>
          <w:lang w:val="es-ES"/>
        </w:rPr>
        <w:t xml:space="preserve">para alcanzar ese nivel de calidad entre todas las </w:t>
      </w:r>
      <w:r w:rsidR="003831D2" w:rsidRPr="00A8564C">
        <w:rPr>
          <w:lang w:val="es-ES"/>
        </w:rPr>
        <w:t>demás</w:t>
      </w:r>
      <w:r w:rsidR="00D95D86" w:rsidRPr="00A8564C">
        <w:rPr>
          <w:lang w:val="es-ES"/>
        </w:rPr>
        <w:t xml:space="preserve"> </w:t>
      </w:r>
      <w:r w:rsidR="003831D2" w:rsidRPr="00A8564C">
        <w:rPr>
          <w:lang w:val="es-ES"/>
        </w:rPr>
        <w:t>dependencias</w:t>
      </w:r>
      <w:r w:rsidR="00D95D86" w:rsidRPr="00A8564C">
        <w:rPr>
          <w:lang w:val="es-ES"/>
        </w:rPr>
        <w:t xml:space="preserve"> </w:t>
      </w:r>
      <w:r w:rsidR="003831D2" w:rsidRPr="00A8564C">
        <w:rPr>
          <w:lang w:val="es-ES"/>
        </w:rPr>
        <w:t>gubernamentales</w:t>
      </w:r>
      <w:r w:rsidR="002C70DB" w:rsidRPr="00A8564C">
        <w:rPr>
          <w:lang w:val="es-ES"/>
        </w:rPr>
        <w:t>.</w:t>
      </w:r>
    </w:p>
    <w:p w14:paraId="4FCE546F" w14:textId="77777777" w:rsidR="002C70DB" w:rsidRPr="00A8564C" w:rsidRDefault="002C70DB" w:rsidP="00E826DF">
      <w:pPr>
        <w:rPr>
          <w:lang w:val="es-ES"/>
        </w:rPr>
      </w:pPr>
    </w:p>
    <w:p w14:paraId="398A027D" w14:textId="02A454D6" w:rsidR="002C70DB" w:rsidRPr="00A8564C" w:rsidRDefault="002C70DB" w:rsidP="00E826DF">
      <w:pPr>
        <w:pStyle w:val="Heading3"/>
        <w:rPr>
          <w:lang w:val="es-ES"/>
        </w:rPr>
      </w:pPr>
      <w:r w:rsidRPr="00A8564C">
        <w:rPr>
          <w:lang w:val="es-ES"/>
        </w:rPr>
        <w:t>2.2.2</w:t>
      </w:r>
      <w:r w:rsidR="009E7E5E" w:rsidRPr="00A8564C">
        <w:rPr>
          <w:lang w:val="es-ES"/>
        </w:rPr>
        <w:t xml:space="preserve">.  </w:t>
      </w:r>
      <w:r w:rsidR="00D95D86" w:rsidRPr="00A8564C">
        <w:rPr>
          <w:lang w:val="es-ES"/>
        </w:rPr>
        <w:t>Control de calidad</w:t>
      </w:r>
    </w:p>
    <w:p w14:paraId="7E8E38EB" w14:textId="77777777" w:rsidR="002C70DB" w:rsidRPr="00A8564C" w:rsidRDefault="002C70DB" w:rsidP="00E826DF">
      <w:pPr>
        <w:rPr>
          <w:lang w:val="es-ES"/>
        </w:rPr>
      </w:pPr>
    </w:p>
    <w:p w14:paraId="312A8276" w14:textId="59404F5E" w:rsidR="002C70DB" w:rsidRPr="00A8564C" w:rsidRDefault="00B06CD7" w:rsidP="00E826DF">
      <w:pPr>
        <w:rPr>
          <w:lang w:val="es-ES"/>
        </w:rPr>
      </w:pPr>
      <w:r w:rsidRPr="00A8564C">
        <w:rPr>
          <w:lang w:val="es-ES"/>
        </w:rPr>
        <w:t xml:space="preserve">La ILPO </w:t>
      </w:r>
      <w:r w:rsidR="003831D2" w:rsidRPr="00A8564C">
        <w:rPr>
          <w:lang w:val="es-ES"/>
        </w:rPr>
        <w:t>dispone</w:t>
      </w:r>
      <w:r w:rsidR="00D95D86" w:rsidRPr="00A8564C">
        <w:rPr>
          <w:lang w:val="es-ES"/>
        </w:rPr>
        <w:t xml:space="preserve"> de un marco de </w:t>
      </w:r>
      <w:r w:rsidRPr="00A8564C">
        <w:rPr>
          <w:lang w:val="es-ES"/>
        </w:rPr>
        <w:t>control de calidad</w:t>
      </w:r>
      <w:r w:rsidR="00B7212F" w:rsidRPr="00A8564C">
        <w:rPr>
          <w:lang w:val="es-ES"/>
        </w:rPr>
        <w:t xml:space="preserve"> </w:t>
      </w:r>
      <w:r w:rsidR="006E75E0" w:rsidRPr="00A8564C">
        <w:rPr>
          <w:lang w:val="es-ES"/>
        </w:rPr>
        <w:t xml:space="preserve">aplicable </w:t>
      </w:r>
      <w:r w:rsidR="00B7212F" w:rsidRPr="00A8564C">
        <w:rPr>
          <w:lang w:val="es-ES"/>
        </w:rPr>
        <w:t xml:space="preserve">tanto </w:t>
      </w:r>
      <w:r w:rsidR="006E75E0" w:rsidRPr="00A8564C">
        <w:rPr>
          <w:lang w:val="es-ES"/>
        </w:rPr>
        <w:t xml:space="preserve">a </w:t>
      </w:r>
      <w:r w:rsidR="00B7212F" w:rsidRPr="00A8564C">
        <w:rPr>
          <w:lang w:val="es-ES"/>
        </w:rPr>
        <w:t>los exá</w:t>
      </w:r>
      <w:r w:rsidR="00D95D86" w:rsidRPr="00A8564C">
        <w:rPr>
          <w:lang w:val="es-ES"/>
        </w:rPr>
        <w:t>m</w:t>
      </w:r>
      <w:r w:rsidR="00B7212F" w:rsidRPr="00A8564C">
        <w:rPr>
          <w:lang w:val="es-ES"/>
        </w:rPr>
        <w:t>enes</w:t>
      </w:r>
      <w:r w:rsidR="00D95D86" w:rsidRPr="00A8564C">
        <w:rPr>
          <w:lang w:val="es-ES"/>
        </w:rPr>
        <w:t xml:space="preserve"> sustantivos como</w:t>
      </w:r>
      <w:r w:rsidR="006E75E0" w:rsidRPr="00A8564C">
        <w:rPr>
          <w:lang w:val="es-ES"/>
        </w:rPr>
        <w:t xml:space="preserve"> a</w:t>
      </w:r>
      <w:r w:rsidR="00D95D86" w:rsidRPr="00A8564C">
        <w:rPr>
          <w:lang w:val="es-ES"/>
        </w:rPr>
        <w:t xml:space="preserve"> los formales</w:t>
      </w:r>
      <w:r w:rsidR="006E75E0" w:rsidRPr="00A8564C">
        <w:rPr>
          <w:lang w:val="es-ES"/>
        </w:rPr>
        <w:t>,</w:t>
      </w:r>
      <w:r w:rsidR="00D95D86" w:rsidRPr="00A8564C">
        <w:rPr>
          <w:lang w:val="es-ES"/>
        </w:rPr>
        <w:t xml:space="preserve"> </w:t>
      </w:r>
      <w:r w:rsidR="00B7212F" w:rsidRPr="00A8564C">
        <w:rPr>
          <w:lang w:val="es-ES"/>
        </w:rPr>
        <w:t>para</w:t>
      </w:r>
      <w:r w:rsidR="00D95D86" w:rsidRPr="00A8564C">
        <w:rPr>
          <w:lang w:val="es-ES"/>
        </w:rPr>
        <w:t xml:space="preserve"> la </w:t>
      </w:r>
      <w:r w:rsidR="003831D2" w:rsidRPr="00A8564C">
        <w:rPr>
          <w:lang w:val="es-ES"/>
        </w:rPr>
        <w:t>tramitación</w:t>
      </w:r>
      <w:r w:rsidR="00D95D86" w:rsidRPr="00A8564C">
        <w:rPr>
          <w:lang w:val="es-ES"/>
        </w:rPr>
        <w:t xml:space="preserve"> de las solicitudes </w:t>
      </w:r>
      <w:r w:rsidR="003831D2" w:rsidRPr="00A8564C">
        <w:rPr>
          <w:lang w:val="es-ES"/>
        </w:rPr>
        <w:t>nacionales</w:t>
      </w:r>
      <w:r w:rsidR="00D95D86" w:rsidRPr="00A8564C">
        <w:rPr>
          <w:lang w:val="es-ES"/>
        </w:rPr>
        <w:t xml:space="preserve"> e internacionales</w:t>
      </w:r>
      <w:r w:rsidR="002C70DB" w:rsidRPr="00A8564C">
        <w:rPr>
          <w:lang w:val="es-ES"/>
        </w:rPr>
        <w:t xml:space="preserve"> </w:t>
      </w:r>
      <w:r w:rsidR="00D95D86" w:rsidRPr="00A8564C">
        <w:rPr>
          <w:lang w:val="es-ES"/>
        </w:rPr>
        <w:t xml:space="preserve">de patentes, diseños </w:t>
      </w:r>
      <w:r w:rsidR="003831D2" w:rsidRPr="00A8564C">
        <w:rPr>
          <w:lang w:val="es-ES"/>
        </w:rPr>
        <w:t>industriales</w:t>
      </w:r>
      <w:r w:rsidR="00D95D86" w:rsidRPr="00A8564C">
        <w:rPr>
          <w:lang w:val="es-ES"/>
        </w:rPr>
        <w:t xml:space="preserve"> y marcas</w:t>
      </w:r>
      <w:r w:rsidR="002C70DB" w:rsidRPr="00A8564C">
        <w:rPr>
          <w:lang w:val="es-ES"/>
        </w:rPr>
        <w:t xml:space="preserve">. </w:t>
      </w:r>
    </w:p>
    <w:p w14:paraId="46DBC2B5" w14:textId="77777777" w:rsidR="002C70DB" w:rsidRPr="00A8564C" w:rsidRDefault="002C70DB" w:rsidP="00E826DF">
      <w:pPr>
        <w:rPr>
          <w:lang w:val="es-ES"/>
        </w:rPr>
      </w:pPr>
    </w:p>
    <w:p w14:paraId="77C96B6C" w14:textId="75A78ACE" w:rsidR="002C70DB" w:rsidRPr="00A8564C" w:rsidRDefault="006E75E0" w:rsidP="00E826DF">
      <w:pPr>
        <w:rPr>
          <w:lang w:val="es-ES"/>
        </w:rPr>
      </w:pPr>
      <w:r w:rsidRPr="00A8564C">
        <w:rPr>
          <w:lang w:val="es-ES"/>
        </w:rPr>
        <w:t xml:space="preserve">Por lo que se refiere </w:t>
      </w:r>
      <w:r w:rsidR="00D95D86" w:rsidRPr="00A8564C">
        <w:rPr>
          <w:lang w:val="es-ES"/>
        </w:rPr>
        <w:t>a los ex</w:t>
      </w:r>
      <w:r w:rsidRPr="00A8564C">
        <w:rPr>
          <w:lang w:val="es-ES"/>
        </w:rPr>
        <w:t>ámenes</w:t>
      </w:r>
      <w:r w:rsidR="00D95D86" w:rsidRPr="00A8564C">
        <w:rPr>
          <w:lang w:val="es-ES"/>
        </w:rPr>
        <w:t xml:space="preserve"> de </w:t>
      </w:r>
      <w:r w:rsidR="00184BCD" w:rsidRPr="00A8564C">
        <w:rPr>
          <w:lang w:val="es-ES"/>
        </w:rPr>
        <w:t xml:space="preserve">solicitudes </w:t>
      </w:r>
      <w:r w:rsidR="00D95D86" w:rsidRPr="00A8564C">
        <w:rPr>
          <w:lang w:val="es-ES"/>
        </w:rPr>
        <w:t>internacionales</w:t>
      </w:r>
      <w:r w:rsidR="002C70DB" w:rsidRPr="00A8564C">
        <w:rPr>
          <w:lang w:val="es-ES"/>
        </w:rPr>
        <w:t xml:space="preserve">, </w:t>
      </w:r>
      <w:r w:rsidR="00D95D86" w:rsidRPr="00A8564C">
        <w:rPr>
          <w:lang w:val="es-ES"/>
        </w:rPr>
        <w:t>l</w:t>
      </w:r>
      <w:r w:rsidR="00B06CD7" w:rsidRPr="00A8564C">
        <w:rPr>
          <w:lang w:val="es-ES"/>
        </w:rPr>
        <w:t>a ILPO</w:t>
      </w:r>
      <w:r w:rsidR="00D95D86" w:rsidRPr="00A8564C">
        <w:rPr>
          <w:lang w:val="es-ES"/>
        </w:rPr>
        <w:t xml:space="preserve"> ha establecido un </w:t>
      </w:r>
      <w:r w:rsidR="003831D2" w:rsidRPr="00A8564C">
        <w:rPr>
          <w:lang w:val="es-ES"/>
        </w:rPr>
        <w:t>sistema</w:t>
      </w:r>
      <w:r w:rsidR="00D95D86" w:rsidRPr="00A8564C">
        <w:rPr>
          <w:lang w:val="es-ES"/>
        </w:rPr>
        <w:t xml:space="preserve"> interno de </w:t>
      </w:r>
      <w:r w:rsidR="00B06CD7" w:rsidRPr="00A8564C">
        <w:rPr>
          <w:lang w:val="es-ES"/>
        </w:rPr>
        <w:t>control de calidad</w:t>
      </w:r>
      <w:r w:rsidR="00D95D86" w:rsidRPr="00A8564C">
        <w:rPr>
          <w:lang w:val="es-ES"/>
        </w:rPr>
        <w:t xml:space="preserve"> que se aplica al </w:t>
      </w:r>
      <w:r w:rsidR="002C70DB" w:rsidRPr="00A8564C">
        <w:rPr>
          <w:lang w:val="es-ES"/>
        </w:rPr>
        <w:t>100</w:t>
      </w:r>
      <w:r w:rsidR="00D95D86" w:rsidRPr="00A8564C">
        <w:rPr>
          <w:lang w:val="es-ES"/>
        </w:rPr>
        <w:t xml:space="preserve">% de los </w:t>
      </w:r>
      <w:r w:rsidR="003831D2" w:rsidRPr="00A8564C">
        <w:rPr>
          <w:lang w:val="es-ES"/>
        </w:rPr>
        <w:t>informes</w:t>
      </w:r>
      <w:r w:rsidR="00D95D86" w:rsidRPr="00A8564C">
        <w:rPr>
          <w:lang w:val="es-ES"/>
        </w:rPr>
        <w:t xml:space="preserve"> </w:t>
      </w:r>
      <w:r w:rsidR="003831D2" w:rsidRPr="00A8564C">
        <w:rPr>
          <w:lang w:val="es-ES"/>
        </w:rPr>
        <w:t>internacionales</w:t>
      </w:r>
      <w:r w:rsidR="00D95D86" w:rsidRPr="00A8564C">
        <w:rPr>
          <w:lang w:val="es-ES"/>
        </w:rPr>
        <w:t xml:space="preserve"> </w:t>
      </w:r>
      <w:r w:rsidR="000326A8">
        <w:rPr>
          <w:lang w:val="es-ES"/>
        </w:rPr>
        <w:t>que publica la ILPO en tanto que</w:t>
      </w:r>
      <w:r w:rsidR="00D95D86" w:rsidRPr="00A8564C">
        <w:rPr>
          <w:lang w:val="es-ES"/>
        </w:rPr>
        <w:t xml:space="preserve"> </w:t>
      </w:r>
      <w:r w:rsidR="002C70DB" w:rsidRPr="00A8564C">
        <w:rPr>
          <w:lang w:val="es-ES"/>
        </w:rPr>
        <w:t>ISA (</w:t>
      </w:r>
      <w:r w:rsidR="00D95D86" w:rsidRPr="00A8564C">
        <w:rPr>
          <w:lang w:val="es-ES"/>
        </w:rPr>
        <w:t xml:space="preserve">informes de </w:t>
      </w:r>
      <w:r w:rsidR="003831D2" w:rsidRPr="00A8564C">
        <w:rPr>
          <w:lang w:val="es-ES"/>
        </w:rPr>
        <w:t>búsqueda</w:t>
      </w:r>
      <w:r w:rsidR="00D95D86" w:rsidRPr="00A8564C">
        <w:rPr>
          <w:lang w:val="es-ES"/>
        </w:rPr>
        <w:t xml:space="preserve"> </w:t>
      </w:r>
      <w:r w:rsidR="003831D2" w:rsidRPr="00A8564C">
        <w:rPr>
          <w:lang w:val="es-ES"/>
        </w:rPr>
        <w:t>internacionales</w:t>
      </w:r>
      <w:r w:rsidR="00D95D86" w:rsidRPr="00A8564C">
        <w:rPr>
          <w:lang w:val="es-ES"/>
        </w:rPr>
        <w:t xml:space="preserve">, </w:t>
      </w:r>
      <w:r w:rsidR="003831D2" w:rsidRPr="00A8564C">
        <w:rPr>
          <w:lang w:val="es-ES"/>
        </w:rPr>
        <w:t>opiniones</w:t>
      </w:r>
      <w:r w:rsidR="00D95D86" w:rsidRPr="00A8564C">
        <w:rPr>
          <w:lang w:val="es-ES"/>
        </w:rPr>
        <w:t xml:space="preserve"> escritas, requerimientos de pago de tasas adicionales</w:t>
      </w:r>
      <w:r w:rsidR="002C70DB" w:rsidRPr="00A8564C">
        <w:rPr>
          <w:lang w:val="es-ES"/>
        </w:rPr>
        <w:t xml:space="preserve">) </w:t>
      </w:r>
      <w:r w:rsidR="003831D2" w:rsidRPr="00A8564C">
        <w:rPr>
          <w:lang w:val="es-ES"/>
        </w:rPr>
        <w:t>así</w:t>
      </w:r>
      <w:r w:rsidR="00D95D86" w:rsidRPr="00A8564C">
        <w:rPr>
          <w:lang w:val="es-ES"/>
        </w:rPr>
        <w:t xml:space="preserve"> como </w:t>
      </w:r>
      <w:r w:rsidR="000326A8">
        <w:rPr>
          <w:lang w:val="es-ES"/>
        </w:rPr>
        <w:t xml:space="preserve">en calidad </w:t>
      </w:r>
      <w:r w:rsidR="00D95D86" w:rsidRPr="00A8564C">
        <w:rPr>
          <w:lang w:val="es-ES"/>
        </w:rPr>
        <w:t xml:space="preserve">de </w:t>
      </w:r>
      <w:r w:rsidR="002C70DB" w:rsidRPr="00A8564C">
        <w:rPr>
          <w:lang w:val="es-ES"/>
        </w:rPr>
        <w:t>IPEA (</w:t>
      </w:r>
      <w:r w:rsidR="00C65F7E" w:rsidRPr="00A8564C">
        <w:rPr>
          <w:lang w:val="es-ES"/>
        </w:rPr>
        <w:t>Informe preliminar internacional sobre la patentabilidad</w:t>
      </w:r>
      <w:r w:rsidRPr="00A8564C">
        <w:rPr>
          <w:lang w:val="es-ES"/>
        </w:rPr>
        <w:t xml:space="preserve"> -</w:t>
      </w:r>
      <w:r w:rsidR="00C65F7E" w:rsidRPr="00A8564C">
        <w:rPr>
          <w:lang w:val="es-ES"/>
        </w:rPr>
        <w:t>capítulo</w:t>
      </w:r>
      <w:r w:rsidR="002C70DB" w:rsidRPr="00A8564C">
        <w:rPr>
          <w:lang w:val="es-ES"/>
        </w:rPr>
        <w:t xml:space="preserve"> II, </w:t>
      </w:r>
      <w:r w:rsidR="00C65F7E" w:rsidRPr="00A8564C">
        <w:rPr>
          <w:lang w:val="es-ES"/>
        </w:rPr>
        <w:t>requerimientos de pago de tasas adicionales</w:t>
      </w:r>
      <w:r w:rsidR="002C70DB" w:rsidRPr="00A8564C">
        <w:rPr>
          <w:lang w:val="es-ES"/>
        </w:rPr>
        <w:t xml:space="preserve">), </w:t>
      </w:r>
      <w:r w:rsidR="00C65F7E" w:rsidRPr="00A8564C">
        <w:rPr>
          <w:lang w:val="es-ES"/>
        </w:rPr>
        <w:t xml:space="preserve">que incluye una </w:t>
      </w:r>
      <w:r w:rsidR="003831D2" w:rsidRPr="00A8564C">
        <w:rPr>
          <w:lang w:val="es-ES"/>
        </w:rPr>
        <w:t>verificación</w:t>
      </w:r>
      <w:r w:rsidR="00C65F7E" w:rsidRPr="00A8564C">
        <w:rPr>
          <w:lang w:val="es-ES"/>
        </w:rPr>
        <w:t xml:space="preserve"> </w:t>
      </w:r>
      <w:r w:rsidR="003831D2" w:rsidRPr="00A8564C">
        <w:rPr>
          <w:lang w:val="es-ES"/>
        </w:rPr>
        <w:t>exhaustiva</w:t>
      </w:r>
      <w:r w:rsidR="00C65F7E" w:rsidRPr="00A8564C">
        <w:rPr>
          <w:lang w:val="es-ES"/>
        </w:rPr>
        <w:t xml:space="preserve"> de los </w:t>
      </w:r>
      <w:r w:rsidR="003831D2" w:rsidRPr="00A8564C">
        <w:rPr>
          <w:lang w:val="es-ES"/>
        </w:rPr>
        <w:t>procedimientos</w:t>
      </w:r>
      <w:r w:rsidR="00C65F7E" w:rsidRPr="00A8564C">
        <w:rPr>
          <w:lang w:val="es-ES"/>
        </w:rPr>
        <w:t xml:space="preserve"> </w:t>
      </w:r>
      <w:r w:rsidR="003831D2" w:rsidRPr="00A8564C">
        <w:rPr>
          <w:lang w:val="es-ES"/>
        </w:rPr>
        <w:t>utilizados</w:t>
      </w:r>
      <w:r w:rsidR="00C65F7E" w:rsidRPr="00A8564C">
        <w:rPr>
          <w:lang w:val="es-ES"/>
        </w:rPr>
        <w:t xml:space="preserve"> durante la </w:t>
      </w:r>
      <w:r w:rsidR="003831D2" w:rsidRPr="00A8564C">
        <w:rPr>
          <w:lang w:val="es-ES"/>
        </w:rPr>
        <w:t>búsqueda</w:t>
      </w:r>
      <w:r w:rsidR="00C65F7E" w:rsidRPr="00A8564C">
        <w:rPr>
          <w:lang w:val="es-ES"/>
        </w:rPr>
        <w:t xml:space="preserve"> y el examen</w:t>
      </w:r>
      <w:r w:rsidR="002C70DB" w:rsidRPr="00A8564C">
        <w:rPr>
          <w:lang w:val="es-ES"/>
        </w:rPr>
        <w:t xml:space="preserve">, </w:t>
      </w:r>
      <w:r w:rsidR="00C65F7E" w:rsidRPr="00A8564C">
        <w:rPr>
          <w:lang w:val="es-ES"/>
        </w:rPr>
        <w:t xml:space="preserve">con el fin de </w:t>
      </w:r>
      <w:r w:rsidR="003831D2" w:rsidRPr="00A8564C">
        <w:rPr>
          <w:lang w:val="es-ES"/>
        </w:rPr>
        <w:t>determinar</w:t>
      </w:r>
      <w:r w:rsidR="00C65F7E" w:rsidRPr="00A8564C">
        <w:rPr>
          <w:lang w:val="es-ES"/>
        </w:rPr>
        <w:t xml:space="preserve"> si se ajustan a los requisitos sustantivos y formales</w:t>
      </w:r>
      <w:r w:rsidR="002C70DB" w:rsidRPr="00A8564C">
        <w:rPr>
          <w:lang w:val="es-ES"/>
        </w:rPr>
        <w:t>.</w:t>
      </w:r>
    </w:p>
    <w:p w14:paraId="052B0DFE" w14:textId="77777777" w:rsidR="002C70DB" w:rsidRPr="00A8564C" w:rsidRDefault="002C70DB" w:rsidP="00E826DF">
      <w:pPr>
        <w:rPr>
          <w:lang w:val="es-ES"/>
        </w:rPr>
      </w:pPr>
    </w:p>
    <w:p w14:paraId="5FC47135" w14:textId="2EF2ACCA" w:rsidR="002C70DB" w:rsidRPr="00A8564C" w:rsidRDefault="00C65F7E" w:rsidP="00E826DF">
      <w:pPr>
        <w:rPr>
          <w:lang w:val="es-ES"/>
        </w:rPr>
      </w:pPr>
      <w:r w:rsidRPr="00A8564C">
        <w:rPr>
          <w:lang w:val="es-ES"/>
        </w:rPr>
        <w:t xml:space="preserve">El </w:t>
      </w:r>
      <w:r w:rsidR="00672F4E" w:rsidRPr="00A8564C">
        <w:rPr>
          <w:lang w:val="es-ES"/>
        </w:rPr>
        <w:t xml:space="preserve">sistema </w:t>
      </w:r>
      <w:r w:rsidRPr="00A8564C">
        <w:rPr>
          <w:lang w:val="es-ES"/>
        </w:rPr>
        <w:t xml:space="preserve">de </w:t>
      </w:r>
      <w:r w:rsidR="00B06CD7" w:rsidRPr="00A8564C">
        <w:rPr>
          <w:lang w:val="es-ES"/>
        </w:rPr>
        <w:t>control de calidad</w:t>
      </w:r>
      <w:r w:rsidRPr="00A8564C">
        <w:rPr>
          <w:lang w:val="es-ES"/>
        </w:rPr>
        <w:t xml:space="preserve"> comprende las siguientes etapas</w:t>
      </w:r>
      <w:r w:rsidR="002C70DB" w:rsidRPr="00A8564C">
        <w:rPr>
          <w:lang w:val="es-ES"/>
        </w:rPr>
        <w:t>:</w:t>
      </w:r>
    </w:p>
    <w:p w14:paraId="0E37F757" w14:textId="35807DB0" w:rsidR="002C70DB" w:rsidRPr="00A8564C" w:rsidRDefault="00E826DF" w:rsidP="00E826DF">
      <w:pPr>
        <w:ind w:left="567"/>
        <w:rPr>
          <w:lang w:val="es-ES"/>
        </w:rPr>
      </w:pPr>
      <w:r w:rsidRPr="00A8564C">
        <w:rPr>
          <w:lang w:val="es-ES"/>
        </w:rPr>
        <w:t>1.</w:t>
      </w:r>
      <w:r w:rsidRPr="00A8564C">
        <w:rPr>
          <w:lang w:val="es-ES"/>
        </w:rPr>
        <w:tab/>
      </w:r>
      <w:r w:rsidR="00672F4E" w:rsidRPr="00A8564C">
        <w:rPr>
          <w:lang w:val="es-ES"/>
        </w:rPr>
        <w:t>verificación</w:t>
      </w:r>
      <w:r w:rsidR="00C65F7E" w:rsidRPr="00A8564C">
        <w:rPr>
          <w:lang w:val="es-ES"/>
        </w:rPr>
        <w:t xml:space="preserve"> </w:t>
      </w:r>
      <w:r w:rsidR="003831D2" w:rsidRPr="00A8564C">
        <w:rPr>
          <w:lang w:val="es-ES"/>
        </w:rPr>
        <w:t>automática</w:t>
      </w:r>
      <w:r w:rsidR="00C65F7E" w:rsidRPr="00A8564C">
        <w:rPr>
          <w:lang w:val="es-ES"/>
        </w:rPr>
        <w:t xml:space="preserve"> de la calidad por el </w:t>
      </w:r>
      <w:r w:rsidR="00672F4E" w:rsidRPr="00A8564C">
        <w:rPr>
          <w:lang w:val="es-ES"/>
        </w:rPr>
        <w:t xml:space="preserve">sistema </w:t>
      </w:r>
      <w:r w:rsidR="00C65F7E" w:rsidRPr="00A8564C">
        <w:rPr>
          <w:lang w:val="es-ES"/>
        </w:rPr>
        <w:t>automatizado</w:t>
      </w:r>
      <w:r w:rsidR="002C70DB" w:rsidRPr="00A8564C">
        <w:rPr>
          <w:lang w:val="es-ES"/>
        </w:rPr>
        <w:t>;</w:t>
      </w:r>
    </w:p>
    <w:p w14:paraId="14188C77" w14:textId="3714EDDD" w:rsidR="002C70DB" w:rsidRPr="00A8564C" w:rsidRDefault="00E826DF" w:rsidP="00C65F7E">
      <w:pPr>
        <w:ind w:left="1134" w:hanging="567"/>
        <w:rPr>
          <w:lang w:val="es-ES"/>
        </w:rPr>
      </w:pPr>
      <w:r w:rsidRPr="00A8564C">
        <w:rPr>
          <w:lang w:val="es-ES"/>
        </w:rPr>
        <w:t>2.</w:t>
      </w:r>
      <w:r w:rsidRPr="00A8564C">
        <w:rPr>
          <w:lang w:val="es-ES"/>
        </w:rPr>
        <w:tab/>
      </w:r>
      <w:r w:rsidR="003831D2" w:rsidRPr="00A8564C">
        <w:rPr>
          <w:lang w:val="es-ES"/>
        </w:rPr>
        <w:t>verificación</w:t>
      </w:r>
      <w:r w:rsidR="00C65F7E" w:rsidRPr="00A8564C">
        <w:rPr>
          <w:lang w:val="es-ES"/>
        </w:rPr>
        <w:t xml:space="preserve"> manual que realiza el examinador, </w:t>
      </w:r>
      <w:r w:rsidR="006E75E0" w:rsidRPr="00A8564C">
        <w:rPr>
          <w:lang w:val="es-ES"/>
        </w:rPr>
        <w:t xml:space="preserve">que se basa en </w:t>
      </w:r>
      <w:r w:rsidR="00C65F7E" w:rsidRPr="00A8564C">
        <w:rPr>
          <w:lang w:val="es-ES"/>
        </w:rPr>
        <w:t xml:space="preserve">una lista de los errores </w:t>
      </w:r>
      <w:r w:rsidR="003831D2" w:rsidRPr="00A8564C">
        <w:rPr>
          <w:lang w:val="es-ES"/>
        </w:rPr>
        <w:t>más</w:t>
      </w:r>
      <w:r w:rsidR="00C65F7E" w:rsidRPr="00A8564C">
        <w:rPr>
          <w:lang w:val="es-ES"/>
        </w:rPr>
        <w:t xml:space="preserve"> frecuentes</w:t>
      </w:r>
      <w:r w:rsidR="002C70DB" w:rsidRPr="00A8564C">
        <w:rPr>
          <w:lang w:val="es-ES"/>
        </w:rPr>
        <w:t>;</w:t>
      </w:r>
    </w:p>
    <w:p w14:paraId="0CD16C21" w14:textId="09C6F9F8" w:rsidR="002C70DB" w:rsidRPr="00A8564C" w:rsidRDefault="00E826DF" w:rsidP="00C65F7E">
      <w:pPr>
        <w:ind w:left="1134" w:hanging="567"/>
        <w:rPr>
          <w:lang w:val="es-ES"/>
        </w:rPr>
      </w:pPr>
      <w:r w:rsidRPr="00A8564C">
        <w:rPr>
          <w:lang w:val="es-ES"/>
        </w:rPr>
        <w:t>3.</w:t>
      </w:r>
      <w:r w:rsidRPr="00A8564C">
        <w:rPr>
          <w:lang w:val="es-ES"/>
        </w:rPr>
        <w:tab/>
      </w:r>
      <w:r w:rsidR="003831D2" w:rsidRPr="00A8564C">
        <w:rPr>
          <w:lang w:val="es-ES"/>
        </w:rPr>
        <w:t>verificación</w:t>
      </w:r>
      <w:r w:rsidR="00C65F7E" w:rsidRPr="00A8564C">
        <w:rPr>
          <w:lang w:val="es-ES"/>
        </w:rPr>
        <w:t xml:space="preserve"> sustantiva de la calidad</w:t>
      </w:r>
      <w:r w:rsidR="006E75E0" w:rsidRPr="00A8564C">
        <w:rPr>
          <w:lang w:val="es-ES"/>
        </w:rPr>
        <w:t>,</w:t>
      </w:r>
      <w:r w:rsidR="002C70DB" w:rsidRPr="00A8564C">
        <w:rPr>
          <w:lang w:val="es-ES"/>
        </w:rPr>
        <w:t xml:space="preserve"> </w:t>
      </w:r>
      <w:r w:rsidR="00C65F7E" w:rsidRPr="00A8564C">
        <w:rPr>
          <w:lang w:val="es-ES"/>
        </w:rPr>
        <w:t>realizada por el jefe del equipo correspondiente</w:t>
      </w:r>
      <w:r w:rsidR="002C70DB" w:rsidRPr="00A8564C">
        <w:rPr>
          <w:lang w:val="es-ES"/>
        </w:rPr>
        <w:t>;</w:t>
      </w:r>
    </w:p>
    <w:p w14:paraId="592DD89F" w14:textId="35E86C1D" w:rsidR="002C70DB" w:rsidRPr="00A8564C" w:rsidRDefault="00E826DF" w:rsidP="00E826DF">
      <w:pPr>
        <w:ind w:left="567"/>
        <w:rPr>
          <w:lang w:val="es-ES"/>
        </w:rPr>
      </w:pPr>
      <w:r w:rsidRPr="00A8564C">
        <w:rPr>
          <w:lang w:val="es-ES"/>
        </w:rPr>
        <w:t>4</w:t>
      </w:r>
      <w:r w:rsidR="002C70DB" w:rsidRPr="00A8564C">
        <w:rPr>
          <w:lang w:val="es-ES"/>
        </w:rPr>
        <w:t>.</w:t>
      </w:r>
      <w:r w:rsidRPr="00A8564C">
        <w:rPr>
          <w:lang w:val="es-ES"/>
        </w:rPr>
        <w:tab/>
      </w:r>
      <w:r w:rsidR="003831D2" w:rsidRPr="00A8564C">
        <w:rPr>
          <w:lang w:val="es-ES"/>
        </w:rPr>
        <w:t>verificación</w:t>
      </w:r>
      <w:r w:rsidR="00C65F7E" w:rsidRPr="00A8564C">
        <w:rPr>
          <w:lang w:val="es-ES"/>
        </w:rPr>
        <w:t xml:space="preserve"> de la calidad</w:t>
      </w:r>
      <w:r w:rsidR="004718F7" w:rsidRPr="00A8564C">
        <w:rPr>
          <w:lang w:val="es-ES"/>
        </w:rPr>
        <w:t xml:space="preserve"> de los aspectos formales</w:t>
      </w:r>
      <w:r w:rsidR="00C65F7E" w:rsidRPr="00A8564C">
        <w:rPr>
          <w:lang w:val="es-ES"/>
        </w:rPr>
        <w:t>, realizada por el Departamento PCT</w:t>
      </w:r>
      <w:r w:rsidR="002C70DB" w:rsidRPr="00A8564C">
        <w:rPr>
          <w:lang w:val="es-ES"/>
        </w:rPr>
        <w:t>.</w:t>
      </w:r>
    </w:p>
    <w:p w14:paraId="4EDC332A" w14:textId="77777777" w:rsidR="002C70DB" w:rsidRPr="00A8564C" w:rsidRDefault="002C70DB" w:rsidP="00957557">
      <w:pPr>
        <w:rPr>
          <w:lang w:val="es-ES"/>
        </w:rPr>
      </w:pPr>
    </w:p>
    <w:p w14:paraId="70A39F35" w14:textId="2137C37B" w:rsidR="002C70DB" w:rsidRPr="00A8564C" w:rsidRDefault="002C70DB" w:rsidP="00E826DF">
      <w:pPr>
        <w:pStyle w:val="Heading3"/>
        <w:rPr>
          <w:lang w:val="es-ES"/>
        </w:rPr>
      </w:pPr>
      <w:r w:rsidRPr="00A8564C">
        <w:rPr>
          <w:lang w:val="es-ES"/>
        </w:rPr>
        <w:t>2.2.3</w:t>
      </w:r>
      <w:r w:rsidR="009E7E5E" w:rsidRPr="00A8564C">
        <w:rPr>
          <w:lang w:val="es-ES"/>
        </w:rPr>
        <w:t xml:space="preserve">.  </w:t>
      </w:r>
      <w:r w:rsidR="00C65F7E" w:rsidRPr="00A8564C">
        <w:rPr>
          <w:lang w:val="es-ES"/>
        </w:rPr>
        <w:t>Comentarios de los usuarios</w:t>
      </w:r>
    </w:p>
    <w:p w14:paraId="501FA2FF" w14:textId="77777777" w:rsidR="002C70DB" w:rsidRPr="00A8564C" w:rsidRDefault="002C70DB" w:rsidP="00E826DF">
      <w:pPr>
        <w:rPr>
          <w:lang w:val="es-ES"/>
        </w:rPr>
      </w:pPr>
    </w:p>
    <w:p w14:paraId="68BCFC75" w14:textId="471151F8" w:rsidR="002C70DB" w:rsidRPr="00A8564C" w:rsidRDefault="004718F7" w:rsidP="00E826DF">
      <w:pPr>
        <w:rPr>
          <w:lang w:val="es-ES"/>
        </w:rPr>
      </w:pPr>
      <w:r w:rsidRPr="00A8564C">
        <w:rPr>
          <w:lang w:val="es-ES"/>
        </w:rPr>
        <w:t>En aras de</w:t>
      </w:r>
      <w:r w:rsidR="00C65F7E" w:rsidRPr="00A8564C">
        <w:rPr>
          <w:lang w:val="es-ES"/>
        </w:rPr>
        <w:t xml:space="preserve"> la calidad y la mejora, </w:t>
      </w:r>
      <w:r w:rsidR="004C2420" w:rsidRPr="00A8564C">
        <w:rPr>
          <w:lang w:val="es-ES"/>
        </w:rPr>
        <w:t xml:space="preserve">el </w:t>
      </w:r>
      <w:r w:rsidR="00672F4E" w:rsidRPr="00A8564C">
        <w:rPr>
          <w:lang w:val="es-ES"/>
        </w:rPr>
        <w:t xml:space="preserve">sistema </w:t>
      </w:r>
      <w:r w:rsidR="004C2420" w:rsidRPr="00A8564C">
        <w:rPr>
          <w:lang w:val="es-ES"/>
        </w:rPr>
        <w:t xml:space="preserve">de </w:t>
      </w:r>
      <w:r w:rsidR="003831D2" w:rsidRPr="00A8564C">
        <w:rPr>
          <w:lang w:val="es-ES"/>
        </w:rPr>
        <w:t>gestión</w:t>
      </w:r>
      <w:r w:rsidR="004C2420" w:rsidRPr="00A8564C">
        <w:rPr>
          <w:lang w:val="es-ES"/>
        </w:rPr>
        <w:t xml:space="preserve"> de la calidad </w:t>
      </w:r>
      <w:r w:rsidRPr="00A8564C">
        <w:rPr>
          <w:lang w:val="es-ES"/>
        </w:rPr>
        <w:t>usa</w:t>
      </w:r>
      <w:r w:rsidR="004C2420" w:rsidRPr="00A8564C">
        <w:rPr>
          <w:lang w:val="es-ES"/>
        </w:rPr>
        <w:t xml:space="preserve"> diversos </w:t>
      </w:r>
      <w:r w:rsidR="003831D2" w:rsidRPr="00A8564C">
        <w:rPr>
          <w:lang w:val="es-ES"/>
        </w:rPr>
        <w:t>métodos</w:t>
      </w:r>
      <w:r w:rsidR="004C2420" w:rsidRPr="00A8564C">
        <w:rPr>
          <w:lang w:val="es-ES"/>
        </w:rPr>
        <w:t xml:space="preserve"> para recopilar los </w:t>
      </w:r>
      <w:r w:rsidR="003831D2" w:rsidRPr="00A8564C">
        <w:rPr>
          <w:lang w:val="es-ES"/>
        </w:rPr>
        <w:t>comentarios</w:t>
      </w:r>
      <w:r w:rsidR="004C2420" w:rsidRPr="00A8564C">
        <w:rPr>
          <w:lang w:val="es-ES"/>
        </w:rPr>
        <w:t xml:space="preserve"> de los </w:t>
      </w:r>
      <w:r w:rsidR="003831D2" w:rsidRPr="00A8564C">
        <w:rPr>
          <w:lang w:val="es-ES"/>
        </w:rPr>
        <w:t>usuarios</w:t>
      </w:r>
      <w:r w:rsidR="004C2420" w:rsidRPr="00A8564C">
        <w:rPr>
          <w:lang w:val="es-ES"/>
        </w:rPr>
        <w:t xml:space="preserve">, como </w:t>
      </w:r>
      <w:r w:rsidRPr="00A8564C">
        <w:rPr>
          <w:lang w:val="es-ES"/>
        </w:rPr>
        <w:t>por ejemplo la encuesta</w:t>
      </w:r>
      <w:r w:rsidR="004C2420" w:rsidRPr="00A8564C">
        <w:rPr>
          <w:lang w:val="es-ES"/>
        </w:rPr>
        <w:t xml:space="preserve"> general sobre la calidad que realiza cada año una empresa externa en </w:t>
      </w:r>
      <w:r w:rsidR="003831D2" w:rsidRPr="00A8564C">
        <w:rPr>
          <w:lang w:val="es-ES"/>
        </w:rPr>
        <w:t>línea</w:t>
      </w:r>
      <w:r w:rsidR="004C2420" w:rsidRPr="00A8564C">
        <w:rPr>
          <w:lang w:val="es-ES"/>
        </w:rPr>
        <w:t xml:space="preserve"> (que abarca todos los servicios de </w:t>
      </w:r>
      <w:r w:rsidR="00184BCD" w:rsidRPr="00A8564C">
        <w:rPr>
          <w:lang w:val="es-ES"/>
        </w:rPr>
        <w:t xml:space="preserve">P.I. </w:t>
      </w:r>
      <w:r w:rsidR="004C2420" w:rsidRPr="00A8564C">
        <w:rPr>
          <w:lang w:val="es-ES"/>
        </w:rPr>
        <w:t>que presta la ILPO</w:t>
      </w:r>
      <w:r w:rsidR="002C70DB" w:rsidRPr="00A8564C">
        <w:rPr>
          <w:lang w:val="es-ES"/>
        </w:rPr>
        <w:t>)</w:t>
      </w:r>
      <w:r w:rsidR="004C2420" w:rsidRPr="00A8564C">
        <w:rPr>
          <w:lang w:val="es-ES"/>
        </w:rPr>
        <w:t xml:space="preserve">, </w:t>
      </w:r>
      <w:r w:rsidRPr="00A8564C">
        <w:rPr>
          <w:lang w:val="es-ES"/>
        </w:rPr>
        <w:t>que tiene por objeto</w:t>
      </w:r>
      <w:r w:rsidR="004C2420" w:rsidRPr="00A8564C">
        <w:rPr>
          <w:lang w:val="es-ES"/>
        </w:rPr>
        <w:t xml:space="preserve"> recabar los comentarios de </w:t>
      </w:r>
      <w:r w:rsidR="003831D2" w:rsidRPr="00A8564C">
        <w:rPr>
          <w:lang w:val="es-ES"/>
        </w:rPr>
        <w:t>los</w:t>
      </w:r>
      <w:r w:rsidR="004C2420" w:rsidRPr="00A8564C">
        <w:rPr>
          <w:lang w:val="es-ES"/>
        </w:rPr>
        <w:t xml:space="preserve"> usuarios de forma </w:t>
      </w:r>
      <w:r w:rsidR="003831D2" w:rsidRPr="00A8564C">
        <w:rPr>
          <w:lang w:val="es-ES"/>
        </w:rPr>
        <w:t>anónima</w:t>
      </w:r>
      <w:r w:rsidR="002C70DB" w:rsidRPr="00A8564C">
        <w:rPr>
          <w:lang w:val="es-ES"/>
        </w:rPr>
        <w:t xml:space="preserve">, </w:t>
      </w:r>
      <w:r w:rsidRPr="00A8564C">
        <w:rPr>
          <w:lang w:val="es-ES"/>
        </w:rPr>
        <w:t>o las encuestas</w:t>
      </w:r>
      <w:r w:rsidR="004C2420" w:rsidRPr="00A8564C">
        <w:rPr>
          <w:lang w:val="es-ES"/>
        </w:rPr>
        <w:t xml:space="preserve"> intern</w:t>
      </w:r>
      <w:r w:rsidRPr="00A8564C">
        <w:rPr>
          <w:lang w:val="es-ES"/>
        </w:rPr>
        <w:t>a</w:t>
      </w:r>
      <w:r w:rsidR="004C2420" w:rsidRPr="00A8564C">
        <w:rPr>
          <w:lang w:val="es-ES"/>
        </w:rPr>
        <w:t xml:space="preserve">s sobre la calidad para recabar los comentarios del personal de la </w:t>
      </w:r>
      <w:r w:rsidR="002C70DB" w:rsidRPr="00A8564C">
        <w:rPr>
          <w:lang w:val="es-ES"/>
        </w:rPr>
        <w:t xml:space="preserve">ILPO, </w:t>
      </w:r>
      <w:r w:rsidR="004C2420" w:rsidRPr="00A8564C">
        <w:rPr>
          <w:lang w:val="es-ES"/>
        </w:rPr>
        <w:t xml:space="preserve">las </w:t>
      </w:r>
      <w:r w:rsidR="003831D2" w:rsidRPr="00A8564C">
        <w:rPr>
          <w:lang w:val="es-ES"/>
        </w:rPr>
        <w:t>reuniones</w:t>
      </w:r>
      <w:r w:rsidR="004C2420" w:rsidRPr="00A8564C">
        <w:rPr>
          <w:lang w:val="es-ES"/>
        </w:rPr>
        <w:t xml:space="preserve"> con </w:t>
      </w:r>
      <w:r w:rsidR="003831D2" w:rsidRPr="00A8564C">
        <w:rPr>
          <w:lang w:val="es-ES"/>
        </w:rPr>
        <w:t>representantes</w:t>
      </w:r>
      <w:r w:rsidR="004C2420" w:rsidRPr="00A8564C">
        <w:rPr>
          <w:lang w:val="es-ES"/>
        </w:rPr>
        <w:t xml:space="preserve"> de la </w:t>
      </w:r>
      <w:r w:rsidR="00184BCD" w:rsidRPr="00A8564C">
        <w:rPr>
          <w:lang w:val="es-ES"/>
        </w:rPr>
        <w:t>P.I.</w:t>
      </w:r>
      <w:r w:rsidR="004C2420" w:rsidRPr="00A8564C">
        <w:rPr>
          <w:lang w:val="es-ES"/>
        </w:rPr>
        <w:t xml:space="preserve"> y los comentarios directos recibidos de los usuarios</w:t>
      </w:r>
      <w:r w:rsidR="002C70DB" w:rsidRPr="00A8564C">
        <w:rPr>
          <w:lang w:val="es-ES"/>
        </w:rPr>
        <w:t xml:space="preserve">. </w:t>
      </w:r>
    </w:p>
    <w:p w14:paraId="352DFCF4" w14:textId="77777777" w:rsidR="002C70DB" w:rsidRPr="00A8564C" w:rsidRDefault="002C70DB" w:rsidP="00E826DF">
      <w:pPr>
        <w:rPr>
          <w:lang w:val="es-ES"/>
        </w:rPr>
      </w:pPr>
    </w:p>
    <w:p w14:paraId="404DFE6C" w14:textId="46A0013B" w:rsidR="002C70DB" w:rsidRPr="00A8564C" w:rsidRDefault="002C70DB" w:rsidP="00E826DF">
      <w:pPr>
        <w:pStyle w:val="SectionHeading"/>
        <w:rPr>
          <w:lang w:val="es-ES"/>
        </w:rPr>
      </w:pPr>
      <w:r w:rsidRPr="00A8564C">
        <w:rPr>
          <w:lang w:val="es-ES"/>
        </w:rPr>
        <w:t>3</w:t>
      </w:r>
      <w:r w:rsidR="009E7E5E" w:rsidRPr="00A8564C">
        <w:rPr>
          <w:lang w:val="es-ES"/>
        </w:rPr>
        <w:t xml:space="preserve">.  </w:t>
      </w:r>
      <w:r w:rsidR="004718F7" w:rsidRPr="00A8564C">
        <w:rPr>
          <w:lang w:val="es-ES"/>
        </w:rPr>
        <w:t>ÁMBITO DE APLICACIÓ</w:t>
      </w:r>
      <w:r w:rsidR="00EA3C1A" w:rsidRPr="00A8564C">
        <w:rPr>
          <w:lang w:val="es-ES"/>
        </w:rPr>
        <w:t xml:space="preserve">N </w:t>
      </w:r>
      <w:r w:rsidR="00DA5325" w:rsidRPr="00A8564C">
        <w:rPr>
          <w:lang w:val="es-ES"/>
        </w:rPr>
        <w:t>previsto</w:t>
      </w:r>
    </w:p>
    <w:p w14:paraId="0B2650A7" w14:textId="7AEE578B" w:rsidR="002C70DB" w:rsidRPr="00A8564C" w:rsidRDefault="00DA5325" w:rsidP="00E826DF">
      <w:pPr>
        <w:keepNext/>
        <w:rPr>
          <w:b/>
          <w:lang w:val="es-ES"/>
        </w:rPr>
      </w:pPr>
      <w:r w:rsidRPr="00A8564C">
        <w:rPr>
          <w:b/>
          <w:lang w:val="es-ES"/>
        </w:rPr>
        <w:t>Idiomas en que se ofrecen los servicios</w:t>
      </w:r>
      <w:r w:rsidR="002C70DB" w:rsidRPr="00A8564C">
        <w:rPr>
          <w:b/>
          <w:lang w:val="es-ES"/>
        </w:rPr>
        <w:t>:</w:t>
      </w:r>
    </w:p>
    <w:p w14:paraId="57F0BADB" w14:textId="77777777" w:rsidR="002C70DB" w:rsidRPr="00A8564C" w:rsidRDefault="002C70DB" w:rsidP="00957557">
      <w:pPr>
        <w:rPr>
          <w:lang w:val="es-ES"/>
        </w:rPr>
      </w:pPr>
    </w:p>
    <w:p w14:paraId="493D597F" w14:textId="2A18C1F5" w:rsidR="002C70DB" w:rsidRPr="00A8564C" w:rsidRDefault="00B06CD7" w:rsidP="00E826DF">
      <w:pPr>
        <w:rPr>
          <w:lang w:val="es-ES"/>
        </w:rPr>
      </w:pPr>
      <w:r w:rsidRPr="00A8564C">
        <w:rPr>
          <w:lang w:val="es-ES"/>
        </w:rPr>
        <w:t xml:space="preserve">La ILPO </w:t>
      </w:r>
      <w:r w:rsidR="00DA5325" w:rsidRPr="00A8564C">
        <w:rPr>
          <w:lang w:val="es-ES"/>
        </w:rPr>
        <w:t xml:space="preserve">ofrece a sus </w:t>
      </w:r>
      <w:r w:rsidR="003831D2" w:rsidRPr="00A8564C">
        <w:rPr>
          <w:lang w:val="es-ES"/>
        </w:rPr>
        <w:t>clientes</w:t>
      </w:r>
      <w:r w:rsidR="00DA5325" w:rsidRPr="00A8564C">
        <w:rPr>
          <w:lang w:val="es-ES"/>
        </w:rPr>
        <w:t xml:space="preserve"> servicios en inglés</w:t>
      </w:r>
      <w:r w:rsidR="002C70DB" w:rsidRPr="00A8564C">
        <w:rPr>
          <w:lang w:val="es-ES"/>
        </w:rPr>
        <w:t>.</w:t>
      </w:r>
    </w:p>
    <w:p w14:paraId="519F333B" w14:textId="77777777" w:rsidR="002C70DB" w:rsidRPr="00A8564C" w:rsidRDefault="002C70DB" w:rsidP="00957557">
      <w:pPr>
        <w:rPr>
          <w:lang w:val="es-ES"/>
        </w:rPr>
      </w:pPr>
    </w:p>
    <w:p w14:paraId="637D2CF5" w14:textId="3E450172" w:rsidR="002C70DB" w:rsidRPr="00A8564C" w:rsidRDefault="00EA3C1A" w:rsidP="00E826DF">
      <w:pPr>
        <w:rPr>
          <w:b/>
          <w:lang w:val="es-ES"/>
        </w:rPr>
      </w:pPr>
      <w:r w:rsidRPr="00A8564C">
        <w:rPr>
          <w:b/>
          <w:lang w:val="es-ES"/>
        </w:rPr>
        <w:t>Estados u Oficinas receptoras para las cuales la ILPO se ofrecería como Administración competente</w:t>
      </w:r>
      <w:r w:rsidR="002C70DB" w:rsidRPr="00A8564C">
        <w:rPr>
          <w:b/>
          <w:lang w:val="es-ES"/>
        </w:rPr>
        <w:t>:</w:t>
      </w:r>
    </w:p>
    <w:p w14:paraId="54329AA1" w14:textId="77777777" w:rsidR="00E826DF" w:rsidRPr="00A8564C" w:rsidRDefault="00E826DF" w:rsidP="00E826DF">
      <w:pPr>
        <w:rPr>
          <w:lang w:val="es-ES"/>
        </w:rPr>
      </w:pPr>
    </w:p>
    <w:p w14:paraId="3462F458" w14:textId="77777777" w:rsidR="002C70DB" w:rsidRPr="00A8564C" w:rsidRDefault="00E826DF" w:rsidP="00E826DF">
      <w:pPr>
        <w:rPr>
          <w:lang w:val="es-ES"/>
        </w:rPr>
      </w:pPr>
      <w:r w:rsidRPr="00A8564C">
        <w:rPr>
          <w:lang w:val="es-ES"/>
        </w:rPr>
        <w:t>–</w:t>
      </w:r>
      <w:r w:rsidR="00A41B96" w:rsidRPr="00A8564C">
        <w:rPr>
          <w:lang w:val="es-ES"/>
        </w:rPr>
        <w:tab/>
      </w:r>
      <w:r w:rsidR="002C70DB" w:rsidRPr="00A8564C">
        <w:rPr>
          <w:lang w:val="es-ES"/>
        </w:rPr>
        <w:t>Israel</w:t>
      </w:r>
    </w:p>
    <w:p w14:paraId="5344B659" w14:textId="51AA5B54" w:rsidR="002C70DB" w:rsidRPr="00A8564C" w:rsidRDefault="00E826DF" w:rsidP="00E826DF">
      <w:pPr>
        <w:rPr>
          <w:lang w:val="es-ES"/>
        </w:rPr>
      </w:pPr>
      <w:r w:rsidRPr="00A8564C">
        <w:rPr>
          <w:lang w:val="es-ES"/>
        </w:rPr>
        <w:t>–</w:t>
      </w:r>
      <w:r w:rsidR="00A41B96" w:rsidRPr="00A8564C">
        <w:rPr>
          <w:lang w:val="es-ES"/>
        </w:rPr>
        <w:tab/>
      </w:r>
      <w:r w:rsidR="00EA3C1A" w:rsidRPr="00A8564C">
        <w:rPr>
          <w:lang w:val="es-ES"/>
        </w:rPr>
        <w:t xml:space="preserve">Estados Unidos de </w:t>
      </w:r>
      <w:r w:rsidR="003831D2" w:rsidRPr="00A8564C">
        <w:rPr>
          <w:lang w:val="es-ES"/>
        </w:rPr>
        <w:t>América</w:t>
      </w:r>
    </w:p>
    <w:p w14:paraId="0E146122" w14:textId="77777777" w:rsidR="002C70DB" w:rsidRPr="00A8564C" w:rsidRDefault="00E826DF" w:rsidP="00E826DF">
      <w:pPr>
        <w:rPr>
          <w:lang w:val="es-ES"/>
        </w:rPr>
      </w:pPr>
      <w:r w:rsidRPr="00A8564C">
        <w:rPr>
          <w:lang w:val="es-ES"/>
        </w:rPr>
        <w:t>–</w:t>
      </w:r>
      <w:r w:rsidR="00A41B96" w:rsidRPr="00A8564C">
        <w:rPr>
          <w:lang w:val="es-ES"/>
        </w:rPr>
        <w:tab/>
      </w:r>
      <w:r w:rsidR="002C70DB" w:rsidRPr="00A8564C">
        <w:rPr>
          <w:lang w:val="es-ES"/>
        </w:rPr>
        <w:t>Georgia</w:t>
      </w:r>
    </w:p>
    <w:p w14:paraId="3EDEFEF0" w14:textId="77777777" w:rsidR="002C70DB" w:rsidRPr="00A8564C" w:rsidRDefault="002C70DB" w:rsidP="00E826DF">
      <w:pPr>
        <w:rPr>
          <w:lang w:val="es-ES"/>
        </w:rPr>
      </w:pPr>
    </w:p>
    <w:p w14:paraId="0BE70FC3" w14:textId="6FD9A894" w:rsidR="002C70DB" w:rsidRPr="00A8564C" w:rsidRDefault="00B06CD7" w:rsidP="00E826DF">
      <w:pPr>
        <w:rPr>
          <w:lang w:val="es-ES"/>
        </w:rPr>
      </w:pPr>
      <w:r w:rsidRPr="00A8564C">
        <w:rPr>
          <w:lang w:val="es-ES"/>
        </w:rPr>
        <w:t xml:space="preserve">La ILPO </w:t>
      </w:r>
      <w:r w:rsidR="00764B74" w:rsidRPr="00A8564C">
        <w:rPr>
          <w:lang w:val="es-ES"/>
        </w:rPr>
        <w:t xml:space="preserve">actúa como </w:t>
      </w:r>
      <w:r w:rsidR="002C70DB" w:rsidRPr="00A8564C">
        <w:rPr>
          <w:lang w:val="es-ES"/>
        </w:rPr>
        <w:t xml:space="preserve">ISA/IPEA </w:t>
      </w:r>
      <w:r w:rsidR="004718F7" w:rsidRPr="00A8564C">
        <w:rPr>
          <w:lang w:val="es-ES"/>
        </w:rPr>
        <w:t>respecto de</w:t>
      </w:r>
      <w:r w:rsidR="00764B74" w:rsidRPr="00A8564C">
        <w:rPr>
          <w:lang w:val="es-ES"/>
        </w:rPr>
        <w:t xml:space="preserve"> las </w:t>
      </w:r>
      <w:r w:rsidRPr="00A8564C">
        <w:rPr>
          <w:lang w:val="es-ES"/>
        </w:rPr>
        <w:t xml:space="preserve">solicitudes </w:t>
      </w:r>
      <w:r w:rsidR="00764B74" w:rsidRPr="00A8564C">
        <w:rPr>
          <w:lang w:val="es-ES"/>
        </w:rPr>
        <w:t xml:space="preserve">internacionales de </w:t>
      </w:r>
      <w:r w:rsidRPr="00A8564C">
        <w:rPr>
          <w:lang w:val="es-ES"/>
        </w:rPr>
        <w:t>patente</w:t>
      </w:r>
      <w:r w:rsidR="00764B74" w:rsidRPr="00A8564C">
        <w:rPr>
          <w:lang w:val="es-ES"/>
        </w:rPr>
        <w:t xml:space="preserve"> presentadas ante la Oficina de Patentes y Marcas de los Estados Unidos de América (USPTO)</w:t>
      </w:r>
      <w:r w:rsidR="002C70DB" w:rsidRPr="00A8564C">
        <w:rPr>
          <w:lang w:val="es-ES"/>
        </w:rPr>
        <w:t xml:space="preserve"> </w:t>
      </w:r>
      <w:r w:rsidR="00764B74" w:rsidRPr="00A8564C">
        <w:rPr>
          <w:lang w:val="es-ES"/>
        </w:rPr>
        <w:t xml:space="preserve">desde </w:t>
      </w:r>
      <w:r w:rsidR="003831D2" w:rsidRPr="00A8564C">
        <w:rPr>
          <w:lang w:val="es-ES"/>
        </w:rPr>
        <w:t>octubre</w:t>
      </w:r>
      <w:r w:rsidR="00764B74" w:rsidRPr="00A8564C">
        <w:rPr>
          <w:lang w:val="es-ES"/>
        </w:rPr>
        <w:t xml:space="preserve"> de </w:t>
      </w:r>
      <w:r w:rsidR="002C70DB" w:rsidRPr="00A8564C">
        <w:rPr>
          <w:lang w:val="es-ES"/>
        </w:rPr>
        <w:t>2014</w:t>
      </w:r>
      <w:r w:rsidR="009E7E5E" w:rsidRPr="00A8564C">
        <w:rPr>
          <w:lang w:val="es-ES"/>
        </w:rPr>
        <w:t xml:space="preserve">.  </w:t>
      </w:r>
      <w:r w:rsidR="00764B74" w:rsidRPr="00A8564C">
        <w:rPr>
          <w:lang w:val="es-ES"/>
        </w:rPr>
        <w:t xml:space="preserve">En </w:t>
      </w:r>
      <w:r w:rsidR="003831D2" w:rsidRPr="00A8564C">
        <w:rPr>
          <w:lang w:val="es-ES"/>
        </w:rPr>
        <w:t>octubre</w:t>
      </w:r>
      <w:r w:rsidR="00764B74" w:rsidRPr="00A8564C">
        <w:rPr>
          <w:lang w:val="es-ES"/>
        </w:rPr>
        <w:t xml:space="preserve"> de </w:t>
      </w:r>
      <w:r w:rsidR="002C70DB" w:rsidRPr="00A8564C">
        <w:rPr>
          <w:lang w:val="es-ES"/>
        </w:rPr>
        <w:t xml:space="preserve">2015, </w:t>
      </w:r>
      <w:r w:rsidRPr="00A8564C">
        <w:rPr>
          <w:lang w:val="es-ES"/>
        </w:rPr>
        <w:t xml:space="preserve">la ILPO </w:t>
      </w:r>
      <w:r w:rsidR="0045542A" w:rsidRPr="00A8564C">
        <w:rPr>
          <w:lang w:val="es-ES"/>
        </w:rPr>
        <w:t>amplió</w:t>
      </w:r>
      <w:r w:rsidR="00764B74" w:rsidRPr="00A8564C">
        <w:rPr>
          <w:lang w:val="es-ES"/>
        </w:rPr>
        <w:t xml:space="preserve"> los servicios que </w:t>
      </w:r>
      <w:r w:rsidR="003831D2" w:rsidRPr="00A8564C">
        <w:rPr>
          <w:lang w:val="es-ES"/>
        </w:rPr>
        <w:t>ofrecía</w:t>
      </w:r>
      <w:r w:rsidR="00764B74" w:rsidRPr="00A8564C">
        <w:rPr>
          <w:lang w:val="es-ES"/>
        </w:rPr>
        <w:t xml:space="preserve"> a </w:t>
      </w:r>
      <w:r w:rsidR="003831D2" w:rsidRPr="00A8564C">
        <w:rPr>
          <w:lang w:val="es-ES"/>
        </w:rPr>
        <w:t>los solicitantes</w:t>
      </w:r>
      <w:r w:rsidR="002C70DB" w:rsidRPr="00A8564C">
        <w:rPr>
          <w:lang w:val="es-ES"/>
        </w:rPr>
        <w:t xml:space="preserve"> </w:t>
      </w:r>
      <w:r w:rsidR="00764B74" w:rsidRPr="00A8564C">
        <w:rPr>
          <w:lang w:val="es-ES"/>
        </w:rPr>
        <w:t xml:space="preserve">de </w:t>
      </w:r>
      <w:r w:rsidR="003831D2" w:rsidRPr="00A8564C">
        <w:rPr>
          <w:lang w:val="es-ES"/>
        </w:rPr>
        <w:t>Estados</w:t>
      </w:r>
      <w:r w:rsidR="00764B74" w:rsidRPr="00A8564C">
        <w:rPr>
          <w:lang w:val="es-ES"/>
        </w:rPr>
        <w:t xml:space="preserve"> Unidos</w:t>
      </w:r>
      <w:r w:rsidR="004718F7" w:rsidRPr="00A8564C">
        <w:rPr>
          <w:lang w:val="es-ES"/>
        </w:rPr>
        <w:t>,</w:t>
      </w:r>
      <w:r w:rsidR="0045542A" w:rsidRPr="00A8564C">
        <w:rPr>
          <w:lang w:val="es-ES"/>
        </w:rPr>
        <w:t xml:space="preserve"> lo que supuso el aumento de</w:t>
      </w:r>
      <w:r w:rsidR="00764B74" w:rsidRPr="00A8564C">
        <w:rPr>
          <w:lang w:val="es-ES"/>
        </w:rPr>
        <w:t xml:space="preserve">l </w:t>
      </w:r>
      <w:r w:rsidR="003831D2" w:rsidRPr="00A8564C">
        <w:rPr>
          <w:lang w:val="es-ES"/>
        </w:rPr>
        <w:t>número</w:t>
      </w:r>
      <w:r w:rsidR="00764B74" w:rsidRPr="00A8564C">
        <w:rPr>
          <w:lang w:val="es-ES"/>
        </w:rPr>
        <w:t xml:space="preserve"> </w:t>
      </w:r>
      <w:r w:rsidR="003831D2" w:rsidRPr="00A8564C">
        <w:rPr>
          <w:lang w:val="es-ES"/>
        </w:rPr>
        <w:t>máximo</w:t>
      </w:r>
      <w:r w:rsidR="00764B74" w:rsidRPr="00A8564C">
        <w:rPr>
          <w:lang w:val="es-ES"/>
        </w:rPr>
        <w:t xml:space="preserve"> de solicitudes para las que la </w:t>
      </w:r>
      <w:r w:rsidRPr="00A8564C">
        <w:rPr>
          <w:lang w:val="es-ES"/>
        </w:rPr>
        <w:t xml:space="preserve">ILPO </w:t>
      </w:r>
      <w:r w:rsidR="00764B74" w:rsidRPr="00A8564C">
        <w:rPr>
          <w:lang w:val="es-ES"/>
        </w:rPr>
        <w:t>actúa como</w:t>
      </w:r>
      <w:r w:rsidR="002C70DB" w:rsidRPr="00A8564C">
        <w:rPr>
          <w:lang w:val="es-ES"/>
        </w:rPr>
        <w:t xml:space="preserve"> ISA/IPEA </w:t>
      </w:r>
      <w:r w:rsidR="00764B74" w:rsidRPr="00A8564C">
        <w:rPr>
          <w:lang w:val="es-ES"/>
        </w:rPr>
        <w:t>a</w:t>
      </w:r>
      <w:r w:rsidR="002C70DB" w:rsidRPr="00A8564C">
        <w:rPr>
          <w:lang w:val="es-ES"/>
        </w:rPr>
        <w:t xml:space="preserve"> 100 </w:t>
      </w:r>
      <w:r w:rsidR="00764B74" w:rsidRPr="00A8564C">
        <w:rPr>
          <w:lang w:val="es-ES"/>
        </w:rPr>
        <w:t xml:space="preserve">por </w:t>
      </w:r>
      <w:r w:rsidR="003831D2" w:rsidRPr="00A8564C">
        <w:rPr>
          <w:lang w:val="es-ES"/>
        </w:rPr>
        <w:t>trimestre</w:t>
      </w:r>
      <w:r w:rsidR="0045542A" w:rsidRPr="00A8564C">
        <w:rPr>
          <w:lang w:val="es-ES"/>
        </w:rPr>
        <w:t>,</w:t>
      </w:r>
      <w:r w:rsidR="00764B74" w:rsidRPr="00A8564C">
        <w:rPr>
          <w:lang w:val="es-ES"/>
        </w:rPr>
        <w:t xml:space="preserve"> y </w:t>
      </w:r>
      <w:r w:rsidR="0045542A" w:rsidRPr="00A8564C">
        <w:rPr>
          <w:lang w:val="es-ES"/>
        </w:rPr>
        <w:t xml:space="preserve">la </w:t>
      </w:r>
      <w:r w:rsidR="003831D2" w:rsidRPr="00A8564C">
        <w:rPr>
          <w:lang w:val="es-ES"/>
        </w:rPr>
        <w:t>ampliación</w:t>
      </w:r>
      <w:r w:rsidR="00764B74" w:rsidRPr="00A8564C">
        <w:rPr>
          <w:lang w:val="es-ES"/>
        </w:rPr>
        <w:t xml:space="preserve"> de los campos en los que la I</w:t>
      </w:r>
      <w:r w:rsidRPr="00A8564C">
        <w:rPr>
          <w:lang w:val="es-ES"/>
        </w:rPr>
        <w:t xml:space="preserve">LPO </w:t>
      </w:r>
      <w:r w:rsidR="00764B74" w:rsidRPr="00A8564C">
        <w:rPr>
          <w:lang w:val="es-ES"/>
        </w:rPr>
        <w:t xml:space="preserve">está dispuesta a realizar </w:t>
      </w:r>
      <w:r w:rsidR="003831D2" w:rsidRPr="00A8564C">
        <w:rPr>
          <w:lang w:val="es-ES"/>
        </w:rPr>
        <w:t>búsquedas</w:t>
      </w:r>
      <w:r w:rsidR="006E75E0" w:rsidRPr="00A8564C">
        <w:rPr>
          <w:lang w:val="es-ES"/>
        </w:rPr>
        <w:t xml:space="preserve"> y exámenes</w:t>
      </w:r>
      <w:r w:rsidR="00764B74" w:rsidRPr="00A8564C">
        <w:rPr>
          <w:lang w:val="es-ES"/>
        </w:rPr>
        <w:t xml:space="preserve">, </w:t>
      </w:r>
      <w:r w:rsidR="0045542A" w:rsidRPr="00A8564C">
        <w:rPr>
          <w:lang w:val="es-ES"/>
        </w:rPr>
        <w:t xml:space="preserve">para incluir </w:t>
      </w:r>
      <w:r w:rsidR="00764B74" w:rsidRPr="00A8564C">
        <w:rPr>
          <w:lang w:val="es-ES"/>
        </w:rPr>
        <w:t>los métodos para hacer negocios</w:t>
      </w:r>
      <w:r w:rsidR="009E7E5E" w:rsidRPr="00A8564C">
        <w:rPr>
          <w:lang w:val="es-ES"/>
        </w:rPr>
        <w:t xml:space="preserve">.  </w:t>
      </w:r>
      <w:r w:rsidR="0045542A" w:rsidRPr="00A8564C">
        <w:rPr>
          <w:lang w:val="es-ES"/>
        </w:rPr>
        <w:t>En septiembre de 2014, s</w:t>
      </w:r>
      <w:r w:rsidR="00764B74" w:rsidRPr="00A8564C">
        <w:rPr>
          <w:lang w:val="es-ES"/>
        </w:rPr>
        <w:t xml:space="preserve">e firmó un acuerdo adicional con el Centro Nacional de Propiedad </w:t>
      </w:r>
      <w:r w:rsidR="003831D2" w:rsidRPr="00A8564C">
        <w:rPr>
          <w:lang w:val="es-ES"/>
        </w:rPr>
        <w:t>Intelectual</w:t>
      </w:r>
      <w:r w:rsidR="00764B74" w:rsidRPr="00A8564C">
        <w:rPr>
          <w:lang w:val="es-ES"/>
        </w:rPr>
        <w:t xml:space="preserve"> de </w:t>
      </w:r>
      <w:r w:rsidR="002C70DB" w:rsidRPr="00A8564C">
        <w:rPr>
          <w:lang w:val="es-ES"/>
        </w:rPr>
        <w:t>Georgia, SAKPATENTI.</w:t>
      </w:r>
      <w:r w:rsidR="002C70DB" w:rsidRPr="00A8564C" w:rsidDel="00F250CE">
        <w:rPr>
          <w:lang w:val="es-ES"/>
        </w:rPr>
        <w:t xml:space="preserve"> </w:t>
      </w:r>
    </w:p>
    <w:p w14:paraId="3A5465C3" w14:textId="77777777" w:rsidR="002C70DB" w:rsidRPr="00A8564C" w:rsidRDefault="002C70DB" w:rsidP="00E826DF">
      <w:pPr>
        <w:rPr>
          <w:lang w:val="es-ES"/>
        </w:rPr>
      </w:pPr>
    </w:p>
    <w:p w14:paraId="52D0ACFA" w14:textId="3EA1CA62" w:rsidR="002C70DB" w:rsidRPr="00A8564C" w:rsidRDefault="00764B74" w:rsidP="00E826DF">
      <w:pPr>
        <w:rPr>
          <w:lang w:val="es-ES"/>
        </w:rPr>
      </w:pPr>
      <w:r w:rsidRPr="00A8564C">
        <w:rPr>
          <w:lang w:val="es-ES"/>
        </w:rPr>
        <w:t>Actualmente, l</w:t>
      </w:r>
      <w:r w:rsidR="00B06CD7" w:rsidRPr="00A8564C">
        <w:rPr>
          <w:lang w:val="es-ES"/>
        </w:rPr>
        <w:t xml:space="preserve">a ILPO </w:t>
      </w:r>
      <w:r w:rsidRPr="00A8564C">
        <w:rPr>
          <w:lang w:val="es-ES"/>
        </w:rPr>
        <w:t xml:space="preserve">es competente como </w:t>
      </w:r>
      <w:r w:rsidR="003831D2" w:rsidRPr="00A8564C">
        <w:rPr>
          <w:lang w:val="es-ES"/>
        </w:rPr>
        <w:t>Administración</w:t>
      </w:r>
      <w:r w:rsidRPr="00A8564C">
        <w:rPr>
          <w:lang w:val="es-ES"/>
        </w:rPr>
        <w:t xml:space="preserve"> internac</w:t>
      </w:r>
      <w:r w:rsidR="002C70DB" w:rsidRPr="00A8564C">
        <w:rPr>
          <w:lang w:val="es-ES"/>
        </w:rPr>
        <w:t xml:space="preserve">ional </w:t>
      </w:r>
      <w:r w:rsidRPr="00A8564C">
        <w:rPr>
          <w:lang w:val="es-ES"/>
        </w:rPr>
        <w:t xml:space="preserve">encargada de las </w:t>
      </w:r>
      <w:r w:rsidR="00184BCD" w:rsidRPr="00A8564C">
        <w:rPr>
          <w:lang w:val="es-ES"/>
        </w:rPr>
        <w:t xml:space="preserve">solicitudes </w:t>
      </w:r>
      <w:r w:rsidRPr="00A8564C">
        <w:rPr>
          <w:lang w:val="es-ES"/>
        </w:rPr>
        <w:t>inter</w:t>
      </w:r>
      <w:r w:rsidR="00184BCD" w:rsidRPr="00A8564C">
        <w:rPr>
          <w:lang w:val="es-ES"/>
        </w:rPr>
        <w:t xml:space="preserve">nacionales </w:t>
      </w:r>
      <w:r w:rsidRPr="00A8564C">
        <w:rPr>
          <w:lang w:val="es-ES"/>
        </w:rPr>
        <w:t xml:space="preserve">presentadas ante </w:t>
      </w:r>
      <w:r w:rsidR="003831D2" w:rsidRPr="00A8564C">
        <w:rPr>
          <w:lang w:val="es-ES"/>
        </w:rPr>
        <w:t>las</w:t>
      </w:r>
      <w:r w:rsidRPr="00A8564C">
        <w:rPr>
          <w:lang w:val="es-ES"/>
        </w:rPr>
        <w:t xml:space="preserve"> </w:t>
      </w:r>
      <w:r w:rsidR="003831D2" w:rsidRPr="00A8564C">
        <w:rPr>
          <w:lang w:val="es-ES"/>
        </w:rPr>
        <w:t>oficinas</w:t>
      </w:r>
      <w:r w:rsidRPr="00A8564C">
        <w:rPr>
          <w:lang w:val="es-ES"/>
        </w:rPr>
        <w:t xml:space="preserve"> receptoras</w:t>
      </w:r>
      <w:r w:rsidR="005B25F8" w:rsidRPr="00A8564C">
        <w:rPr>
          <w:lang w:val="es-ES"/>
        </w:rPr>
        <w:t xml:space="preserve"> de </w:t>
      </w:r>
      <w:r w:rsidR="002C70DB" w:rsidRPr="00A8564C">
        <w:rPr>
          <w:lang w:val="es-ES"/>
        </w:rPr>
        <w:t xml:space="preserve">Israel, Georgia </w:t>
      </w:r>
      <w:r w:rsidR="005B25F8" w:rsidRPr="00A8564C">
        <w:rPr>
          <w:lang w:val="es-ES"/>
        </w:rPr>
        <w:t xml:space="preserve">y los </w:t>
      </w:r>
      <w:r w:rsidR="003831D2" w:rsidRPr="00A8564C">
        <w:rPr>
          <w:lang w:val="es-ES"/>
        </w:rPr>
        <w:t>Estados</w:t>
      </w:r>
      <w:r w:rsidR="005B25F8" w:rsidRPr="00A8564C">
        <w:rPr>
          <w:lang w:val="es-ES"/>
        </w:rPr>
        <w:t xml:space="preserve"> Unidos, o en su </w:t>
      </w:r>
      <w:r w:rsidR="003831D2" w:rsidRPr="00A8564C">
        <w:rPr>
          <w:lang w:val="es-ES"/>
        </w:rPr>
        <w:t>representación</w:t>
      </w:r>
      <w:r w:rsidR="005B25F8" w:rsidRPr="00A8564C">
        <w:rPr>
          <w:lang w:val="es-ES"/>
        </w:rPr>
        <w:t xml:space="preserve">, </w:t>
      </w:r>
      <w:r w:rsidR="003831D2" w:rsidRPr="00A8564C">
        <w:rPr>
          <w:lang w:val="es-ES"/>
        </w:rPr>
        <w:t>aunque</w:t>
      </w:r>
      <w:r w:rsidR="005B25F8" w:rsidRPr="00A8564C">
        <w:rPr>
          <w:lang w:val="es-ES"/>
        </w:rPr>
        <w:t xml:space="preserve"> está </w:t>
      </w:r>
      <w:r w:rsidR="003831D2" w:rsidRPr="00A8564C">
        <w:rPr>
          <w:lang w:val="es-ES"/>
        </w:rPr>
        <w:t>dispuesta</w:t>
      </w:r>
      <w:r w:rsidR="005B25F8" w:rsidRPr="00A8564C">
        <w:rPr>
          <w:lang w:val="es-ES"/>
        </w:rPr>
        <w:t xml:space="preserve"> a concluir acuerdos para intervenir en los casos de solicitudes </w:t>
      </w:r>
      <w:r w:rsidR="0045542A" w:rsidRPr="00A8564C">
        <w:rPr>
          <w:lang w:val="es-ES"/>
        </w:rPr>
        <w:t xml:space="preserve">de otras oficinas </w:t>
      </w:r>
      <w:r w:rsidR="003831D2" w:rsidRPr="00A8564C">
        <w:rPr>
          <w:lang w:val="es-ES"/>
        </w:rPr>
        <w:t>presentadas</w:t>
      </w:r>
      <w:r w:rsidR="005B25F8" w:rsidRPr="00A8564C">
        <w:rPr>
          <w:lang w:val="es-ES"/>
        </w:rPr>
        <w:t xml:space="preserve"> en inglés</w:t>
      </w:r>
      <w:r w:rsidR="002C70DB" w:rsidRPr="00A8564C">
        <w:rPr>
          <w:lang w:val="es-ES"/>
        </w:rPr>
        <w:t>.</w:t>
      </w:r>
    </w:p>
    <w:p w14:paraId="2A88C312" w14:textId="77777777" w:rsidR="002C70DB" w:rsidRPr="00A8564C" w:rsidRDefault="002C70DB" w:rsidP="00E826DF">
      <w:pPr>
        <w:rPr>
          <w:lang w:val="es-ES"/>
        </w:rPr>
      </w:pPr>
    </w:p>
    <w:p w14:paraId="5BB0519E" w14:textId="2A7B820F" w:rsidR="002C70DB" w:rsidRPr="00A8564C" w:rsidRDefault="00E826DF" w:rsidP="00E826DF">
      <w:pPr>
        <w:rPr>
          <w:b/>
          <w:lang w:val="es-ES"/>
        </w:rPr>
      </w:pPr>
      <w:r w:rsidRPr="00A8564C">
        <w:rPr>
          <w:b/>
          <w:lang w:val="es-ES"/>
        </w:rPr>
        <w:t>L</w:t>
      </w:r>
      <w:r w:rsidR="0045542A" w:rsidRPr="00A8564C">
        <w:rPr>
          <w:b/>
          <w:lang w:val="es-ES"/>
        </w:rPr>
        <w:t>ímites</w:t>
      </w:r>
      <w:r w:rsidR="005B25F8" w:rsidRPr="00A8564C">
        <w:rPr>
          <w:b/>
          <w:lang w:val="es-ES"/>
        </w:rPr>
        <w:t xml:space="preserve"> </w:t>
      </w:r>
      <w:r w:rsidR="0045542A" w:rsidRPr="00A8564C">
        <w:rPr>
          <w:b/>
          <w:lang w:val="es-ES"/>
        </w:rPr>
        <w:t>en el</w:t>
      </w:r>
      <w:r w:rsidR="005B25F8" w:rsidRPr="00A8564C">
        <w:rPr>
          <w:b/>
          <w:lang w:val="es-ES"/>
        </w:rPr>
        <w:t xml:space="preserve"> á</w:t>
      </w:r>
      <w:r w:rsidR="00EA3C1A" w:rsidRPr="00A8564C">
        <w:rPr>
          <w:b/>
          <w:lang w:val="es-ES"/>
        </w:rPr>
        <w:t xml:space="preserve">mbito de </w:t>
      </w:r>
      <w:r w:rsidR="005B25F8" w:rsidRPr="00A8564C">
        <w:rPr>
          <w:b/>
          <w:lang w:val="es-ES"/>
        </w:rPr>
        <w:t>actuación</w:t>
      </w:r>
      <w:r w:rsidR="002C70DB" w:rsidRPr="00A8564C">
        <w:rPr>
          <w:b/>
          <w:lang w:val="es-ES"/>
        </w:rPr>
        <w:t>:</w:t>
      </w:r>
    </w:p>
    <w:p w14:paraId="16381090" w14:textId="77777777" w:rsidR="002C70DB" w:rsidRPr="00A8564C" w:rsidRDefault="002C70DB" w:rsidP="00E826DF">
      <w:pPr>
        <w:rPr>
          <w:lang w:val="es-ES"/>
        </w:rPr>
      </w:pPr>
    </w:p>
    <w:p w14:paraId="7FE028F1" w14:textId="483C10EF" w:rsidR="002C70DB" w:rsidRPr="00A8564C" w:rsidRDefault="00B06CD7" w:rsidP="00E826DF">
      <w:pPr>
        <w:rPr>
          <w:lang w:val="es-ES"/>
        </w:rPr>
      </w:pPr>
      <w:r w:rsidRPr="00A8564C">
        <w:rPr>
          <w:lang w:val="es-ES"/>
        </w:rPr>
        <w:t>La ILPO</w:t>
      </w:r>
      <w:r w:rsidR="005B25F8" w:rsidRPr="00A8564C">
        <w:rPr>
          <w:lang w:val="es-ES"/>
        </w:rPr>
        <w:t xml:space="preserve"> no se ha</w:t>
      </w:r>
      <w:r w:rsidR="002E0881" w:rsidRPr="00A8564C">
        <w:rPr>
          <w:lang w:val="es-ES"/>
        </w:rPr>
        <w:t xml:space="preserve"> fijado lí</w:t>
      </w:r>
      <w:r w:rsidR="005B25F8" w:rsidRPr="00A8564C">
        <w:rPr>
          <w:lang w:val="es-ES"/>
        </w:rPr>
        <w:t xml:space="preserve">mites en lo referente al </w:t>
      </w:r>
      <w:r w:rsidR="003831D2" w:rsidRPr="00A8564C">
        <w:rPr>
          <w:lang w:val="es-ES"/>
        </w:rPr>
        <w:t>ámbito</w:t>
      </w:r>
      <w:r w:rsidR="005B25F8" w:rsidRPr="00A8564C">
        <w:rPr>
          <w:lang w:val="es-ES"/>
        </w:rPr>
        <w:t xml:space="preserve"> de </w:t>
      </w:r>
      <w:r w:rsidR="003831D2" w:rsidRPr="00A8564C">
        <w:rPr>
          <w:lang w:val="es-ES"/>
        </w:rPr>
        <w:t>actuación</w:t>
      </w:r>
      <w:r w:rsidR="009E7E5E" w:rsidRPr="00A8564C">
        <w:rPr>
          <w:lang w:val="es-ES"/>
        </w:rPr>
        <w:t xml:space="preserve">.  </w:t>
      </w:r>
      <w:r w:rsidR="005B25F8" w:rsidRPr="00A8564C">
        <w:rPr>
          <w:lang w:val="es-ES"/>
        </w:rPr>
        <w:t xml:space="preserve">Ofrece servicios de </w:t>
      </w:r>
      <w:r w:rsidR="003831D2" w:rsidRPr="00A8564C">
        <w:rPr>
          <w:lang w:val="es-ES"/>
        </w:rPr>
        <w:t>búsqueda</w:t>
      </w:r>
      <w:r w:rsidR="005B25F8" w:rsidRPr="00A8564C">
        <w:rPr>
          <w:lang w:val="es-ES"/>
        </w:rPr>
        <w:t xml:space="preserve"> y examen, </w:t>
      </w:r>
      <w:r w:rsidR="003831D2" w:rsidRPr="00A8564C">
        <w:rPr>
          <w:lang w:val="es-ES"/>
        </w:rPr>
        <w:t>con</w:t>
      </w:r>
      <w:r w:rsidR="005B25F8" w:rsidRPr="00A8564C">
        <w:rPr>
          <w:lang w:val="es-ES"/>
        </w:rPr>
        <w:t xml:space="preserve"> </w:t>
      </w:r>
      <w:r w:rsidR="003831D2" w:rsidRPr="00A8564C">
        <w:rPr>
          <w:lang w:val="es-ES"/>
        </w:rPr>
        <w:t>independencia</w:t>
      </w:r>
      <w:r w:rsidR="005B25F8" w:rsidRPr="00A8564C">
        <w:rPr>
          <w:lang w:val="es-ES"/>
        </w:rPr>
        <w:t xml:space="preserve"> de la </w:t>
      </w:r>
      <w:r w:rsidR="003831D2" w:rsidRPr="00A8564C">
        <w:rPr>
          <w:lang w:val="es-ES"/>
        </w:rPr>
        <w:t>tecnología</w:t>
      </w:r>
      <w:r w:rsidR="005B25F8" w:rsidRPr="00A8564C">
        <w:rPr>
          <w:lang w:val="es-ES"/>
        </w:rPr>
        <w:t>.</w:t>
      </w:r>
    </w:p>
    <w:p w14:paraId="558FB470" w14:textId="4FB65315" w:rsidR="002C70DB" w:rsidRPr="00A8564C" w:rsidRDefault="002C70DB" w:rsidP="00E826DF">
      <w:pPr>
        <w:pStyle w:val="SectionHeading"/>
        <w:rPr>
          <w:lang w:val="es-ES"/>
        </w:rPr>
      </w:pPr>
      <w:r w:rsidRPr="00A8564C">
        <w:rPr>
          <w:lang w:val="es-ES"/>
        </w:rPr>
        <w:t>4</w:t>
      </w:r>
      <w:r w:rsidR="009E7E5E" w:rsidRPr="00A8564C">
        <w:rPr>
          <w:lang w:val="es-ES"/>
        </w:rPr>
        <w:t xml:space="preserve">.  </w:t>
      </w:r>
      <w:r w:rsidR="002E0881" w:rsidRPr="00A8564C">
        <w:rPr>
          <w:lang w:val="es-ES"/>
        </w:rPr>
        <w:t>DECLARACIÓ</w:t>
      </w:r>
      <w:r w:rsidR="00EA3C1A" w:rsidRPr="00A8564C">
        <w:rPr>
          <w:lang w:val="es-ES"/>
        </w:rPr>
        <w:t>N DE Motiv</w:t>
      </w:r>
      <w:r w:rsidR="000326A8">
        <w:rPr>
          <w:lang w:val="es-ES"/>
        </w:rPr>
        <w:t>os</w:t>
      </w:r>
      <w:r w:rsidRPr="00A8564C">
        <w:rPr>
          <w:lang w:val="es-ES"/>
        </w:rPr>
        <w:t xml:space="preserve"> </w:t>
      </w:r>
      <w:r w:rsidR="00FE3058" w:rsidRPr="00A8564C">
        <w:rPr>
          <w:lang w:val="es-ES"/>
        </w:rPr>
        <w:t>–</w:t>
      </w:r>
      <w:r w:rsidRPr="00A8564C">
        <w:rPr>
          <w:lang w:val="es-ES"/>
        </w:rPr>
        <w:t xml:space="preserve"> </w:t>
      </w:r>
      <w:r w:rsidR="002E0881" w:rsidRPr="00A8564C">
        <w:rPr>
          <w:lang w:val="es-ES"/>
        </w:rPr>
        <w:t>LA FUNCIÓ</w:t>
      </w:r>
      <w:r w:rsidR="00EA3C1A" w:rsidRPr="00A8564C">
        <w:rPr>
          <w:lang w:val="es-ES"/>
        </w:rPr>
        <w:t xml:space="preserve">N DE LA </w:t>
      </w:r>
      <w:r w:rsidRPr="00A8564C">
        <w:rPr>
          <w:lang w:val="es-ES"/>
        </w:rPr>
        <w:t>ILPO</w:t>
      </w:r>
      <w:r w:rsidR="00EA3C1A" w:rsidRPr="00A8564C">
        <w:rPr>
          <w:lang w:val="es-ES"/>
        </w:rPr>
        <w:t xml:space="preserve"> EN EL SISTEMA </w:t>
      </w:r>
      <w:r w:rsidRPr="00A8564C">
        <w:rPr>
          <w:lang w:val="es-ES"/>
        </w:rPr>
        <w:t xml:space="preserve">PCT </w:t>
      </w:r>
      <w:r w:rsidR="00184BCD" w:rsidRPr="00A8564C">
        <w:rPr>
          <w:lang w:val="es-ES"/>
        </w:rPr>
        <w:t xml:space="preserve"> </w:t>
      </w:r>
    </w:p>
    <w:p w14:paraId="050A1584" w14:textId="6DACA179" w:rsidR="002C70DB" w:rsidRPr="00A8564C" w:rsidRDefault="005B25F8" w:rsidP="00E826DF">
      <w:pPr>
        <w:rPr>
          <w:lang w:val="es-ES"/>
        </w:rPr>
      </w:pPr>
      <w:r w:rsidRPr="00A8564C">
        <w:rPr>
          <w:lang w:val="es-ES"/>
        </w:rPr>
        <w:t xml:space="preserve">El </w:t>
      </w:r>
      <w:r w:rsidR="003831D2" w:rsidRPr="00A8564C">
        <w:rPr>
          <w:lang w:val="es-ES"/>
        </w:rPr>
        <w:t>índice</w:t>
      </w:r>
      <w:r w:rsidRPr="00A8564C">
        <w:rPr>
          <w:lang w:val="es-ES"/>
        </w:rPr>
        <w:t xml:space="preserve"> de </w:t>
      </w:r>
      <w:r w:rsidR="003831D2" w:rsidRPr="00A8564C">
        <w:rPr>
          <w:lang w:val="es-ES"/>
        </w:rPr>
        <w:t>utilización</w:t>
      </w:r>
      <w:r w:rsidRPr="00A8564C">
        <w:rPr>
          <w:lang w:val="es-ES"/>
        </w:rPr>
        <w:t xml:space="preserve"> d</w:t>
      </w:r>
      <w:r w:rsidR="002E0881" w:rsidRPr="00A8564C">
        <w:rPr>
          <w:lang w:val="es-ES"/>
        </w:rPr>
        <w:t>e</w:t>
      </w:r>
      <w:r w:rsidRPr="00A8564C">
        <w:rPr>
          <w:lang w:val="es-ES"/>
        </w:rPr>
        <w:t xml:space="preserve">l </w:t>
      </w:r>
      <w:r w:rsidR="000326A8" w:rsidRPr="00A8564C">
        <w:rPr>
          <w:lang w:val="es-ES"/>
        </w:rPr>
        <w:t xml:space="preserve">Sistema </w:t>
      </w:r>
      <w:r w:rsidR="002C70DB" w:rsidRPr="00A8564C">
        <w:rPr>
          <w:lang w:val="es-ES"/>
        </w:rPr>
        <w:t xml:space="preserve">PCT </w:t>
      </w:r>
      <w:r w:rsidRPr="00A8564C">
        <w:rPr>
          <w:lang w:val="es-ES"/>
        </w:rPr>
        <w:t xml:space="preserve">por el </w:t>
      </w:r>
      <w:r w:rsidR="003831D2" w:rsidRPr="00A8564C">
        <w:rPr>
          <w:lang w:val="es-ES"/>
        </w:rPr>
        <w:t>público</w:t>
      </w:r>
      <w:r w:rsidRPr="00A8564C">
        <w:rPr>
          <w:lang w:val="es-ES"/>
        </w:rPr>
        <w:t xml:space="preserve"> </w:t>
      </w:r>
      <w:r w:rsidR="003831D2" w:rsidRPr="00A8564C">
        <w:rPr>
          <w:lang w:val="es-ES"/>
        </w:rPr>
        <w:t>israelí</w:t>
      </w:r>
      <w:r w:rsidRPr="00A8564C">
        <w:rPr>
          <w:lang w:val="es-ES"/>
        </w:rPr>
        <w:t xml:space="preserve"> es uno de los </w:t>
      </w:r>
      <w:r w:rsidR="003831D2" w:rsidRPr="00A8564C">
        <w:rPr>
          <w:lang w:val="es-ES"/>
        </w:rPr>
        <w:t>más</w:t>
      </w:r>
      <w:r w:rsidRPr="00A8564C">
        <w:rPr>
          <w:lang w:val="es-ES"/>
        </w:rPr>
        <w:t xml:space="preserve"> elevados del mundo</w:t>
      </w:r>
      <w:r w:rsidR="002E0881" w:rsidRPr="00A8564C">
        <w:rPr>
          <w:lang w:val="es-ES"/>
        </w:rPr>
        <w:t>,</w:t>
      </w:r>
      <w:r w:rsidRPr="00A8564C">
        <w:rPr>
          <w:lang w:val="es-ES"/>
        </w:rPr>
        <w:t xml:space="preserve"> por habitante</w:t>
      </w:r>
      <w:r w:rsidR="009E7E5E" w:rsidRPr="00A8564C">
        <w:rPr>
          <w:lang w:val="es-ES"/>
        </w:rPr>
        <w:t xml:space="preserve">.  </w:t>
      </w:r>
      <w:r w:rsidRPr="00A8564C">
        <w:rPr>
          <w:lang w:val="es-ES"/>
        </w:rPr>
        <w:t xml:space="preserve">Los </w:t>
      </w:r>
      <w:r w:rsidR="00B06CD7" w:rsidRPr="00A8564C">
        <w:rPr>
          <w:lang w:val="es-ES"/>
        </w:rPr>
        <w:t>solicitantes</w:t>
      </w:r>
      <w:r w:rsidR="002C70DB" w:rsidRPr="00A8564C">
        <w:rPr>
          <w:lang w:val="es-ES"/>
        </w:rPr>
        <w:t xml:space="preserve"> </w:t>
      </w:r>
      <w:r w:rsidRPr="00A8564C">
        <w:rPr>
          <w:lang w:val="es-ES"/>
        </w:rPr>
        <w:t xml:space="preserve">de patentes </w:t>
      </w:r>
      <w:r w:rsidR="002E0881" w:rsidRPr="00A8564C">
        <w:rPr>
          <w:lang w:val="es-ES"/>
        </w:rPr>
        <w:t>israelíes</w:t>
      </w:r>
      <w:r w:rsidRPr="00A8564C">
        <w:rPr>
          <w:lang w:val="es-ES"/>
        </w:rPr>
        <w:t xml:space="preserve"> se encuentran entre los primeros del mundo en </w:t>
      </w:r>
      <w:r w:rsidR="003831D2" w:rsidRPr="00A8564C">
        <w:rPr>
          <w:lang w:val="es-ES"/>
        </w:rPr>
        <w:t>cuanto</w:t>
      </w:r>
      <w:r w:rsidRPr="00A8564C">
        <w:rPr>
          <w:lang w:val="es-ES"/>
        </w:rPr>
        <w:t xml:space="preserve"> a la </w:t>
      </w:r>
      <w:r w:rsidR="003831D2" w:rsidRPr="00A8564C">
        <w:rPr>
          <w:lang w:val="es-ES"/>
        </w:rPr>
        <w:t>presentación</w:t>
      </w:r>
      <w:r w:rsidRPr="00A8564C">
        <w:rPr>
          <w:lang w:val="es-ES"/>
        </w:rPr>
        <w:t xml:space="preserve"> de su </w:t>
      </w:r>
      <w:r w:rsidR="00B06CD7" w:rsidRPr="00A8564C">
        <w:rPr>
          <w:lang w:val="es-ES"/>
        </w:rPr>
        <w:t>solicitud</w:t>
      </w:r>
      <w:r w:rsidRPr="00A8564C">
        <w:rPr>
          <w:lang w:val="es-ES"/>
        </w:rPr>
        <w:t xml:space="preserve"> de patente i</w:t>
      </w:r>
      <w:r w:rsidR="00B06CD7" w:rsidRPr="00A8564C">
        <w:rPr>
          <w:lang w:val="es-ES"/>
        </w:rPr>
        <w:t>nternacional</w:t>
      </w:r>
      <w:r w:rsidRPr="00A8564C">
        <w:rPr>
          <w:lang w:val="es-ES"/>
        </w:rPr>
        <w:t xml:space="preserve"> en virtud del </w:t>
      </w:r>
      <w:r w:rsidR="002C70DB" w:rsidRPr="00A8564C">
        <w:rPr>
          <w:lang w:val="es-ES"/>
        </w:rPr>
        <w:t>PCT</w:t>
      </w:r>
      <w:r w:rsidR="009E7E5E" w:rsidRPr="00A8564C">
        <w:rPr>
          <w:lang w:val="es-ES"/>
        </w:rPr>
        <w:t xml:space="preserve">.  </w:t>
      </w:r>
      <w:r w:rsidRPr="00A8564C">
        <w:rPr>
          <w:lang w:val="es-ES"/>
        </w:rPr>
        <w:t xml:space="preserve">La Oficina receptora de </w:t>
      </w:r>
      <w:r w:rsidR="002C70DB" w:rsidRPr="00A8564C">
        <w:rPr>
          <w:lang w:val="es-ES"/>
        </w:rPr>
        <w:t xml:space="preserve">Israel (RO/IL) </w:t>
      </w:r>
      <w:r w:rsidRPr="00A8564C">
        <w:rPr>
          <w:lang w:val="es-ES"/>
        </w:rPr>
        <w:t xml:space="preserve">se cuenta entre las primeras </w:t>
      </w:r>
      <w:r w:rsidR="002C70DB" w:rsidRPr="00A8564C">
        <w:rPr>
          <w:lang w:val="es-ES"/>
        </w:rPr>
        <w:t>15 Of</w:t>
      </w:r>
      <w:r w:rsidRPr="00A8564C">
        <w:rPr>
          <w:lang w:val="es-ES"/>
        </w:rPr>
        <w:t xml:space="preserve">icinas del mundo en lo que hace al </w:t>
      </w:r>
      <w:r w:rsidR="003831D2" w:rsidRPr="00A8564C">
        <w:rPr>
          <w:lang w:val="es-ES"/>
        </w:rPr>
        <w:t>número</w:t>
      </w:r>
      <w:r w:rsidRPr="00A8564C">
        <w:rPr>
          <w:lang w:val="es-ES"/>
        </w:rPr>
        <w:t xml:space="preserve"> de </w:t>
      </w:r>
      <w:r w:rsidR="00184BCD" w:rsidRPr="00A8564C">
        <w:rPr>
          <w:lang w:val="es-ES"/>
        </w:rPr>
        <w:t xml:space="preserve">solicitudes </w:t>
      </w:r>
      <w:r w:rsidRPr="00A8564C">
        <w:rPr>
          <w:lang w:val="es-ES"/>
        </w:rPr>
        <w:t>inter</w:t>
      </w:r>
      <w:r w:rsidR="00184BCD" w:rsidRPr="00A8564C">
        <w:rPr>
          <w:lang w:val="es-ES"/>
        </w:rPr>
        <w:t>nacionales</w:t>
      </w:r>
      <w:r w:rsidRPr="00A8564C">
        <w:rPr>
          <w:lang w:val="es-ES"/>
        </w:rPr>
        <w:t xml:space="preserve"> recibidas en el marco del PC</w:t>
      </w:r>
      <w:r w:rsidR="002C70DB" w:rsidRPr="00A8564C">
        <w:rPr>
          <w:lang w:val="es-ES"/>
        </w:rPr>
        <w:t>T</w:t>
      </w:r>
      <w:r w:rsidR="009E7E5E" w:rsidRPr="00A8564C">
        <w:rPr>
          <w:lang w:val="es-ES"/>
        </w:rPr>
        <w:t xml:space="preserve">.  </w:t>
      </w:r>
      <w:r w:rsidRPr="00A8564C">
        <w:rPr>
          <w:lang w:val="es-ES"/>
        </w:rPr>
        <w:t xml:space="preserve">El elevado </w:t>
      </w:r>
      <w:r w:rsidR="003831D2" w:rsidRPr="00A8564C">
        <w:rPr>
          <w:lang w:val="es-ES"/>
        </w:rPr>
        <w:t>número</w:t>
      </w:r>
      <w:r w:rsidRPr="00A8564C">
        <w:rPr>
          <w:lang w:val="es-ES"/>
        </w:rPr>
        <w:t xml:space="preserve"> de presentaciones de </w:t>
      </w:r>
      <w:r w:rsidR="003831D2" w:rsidRPr="00A8564C">
        <w:rPr>
          <w:lang w:val="es-ES"/>
        </w:rPr>
        <w:t>solicitudes</w:t>
      </w:r>
      <w:r w:rsidRPr="00A8564C">
        <w:rPr>
          <w:lang w:val="es-ES"/>
        </w:rPr>
        <w:t xml:space="preserve"> </w:t>
      </w:r>
      <w:r w:rsidR="002C70DB" w:rsidRPr="00A8564C">
        <w:rPr>
          <w:lang w:val="es-ES"/>
        </w:rPr>
        <w:t xml:space="preserve">PCT </w:t>
      </w:r>
      <w:r w:rsidRPr="00A8564C">
        <w:rPr>
          <w:lang w:val="es-ES"/>
        </w:rPr>
        <w:t>en la</w:t>
      </w:r>
      <w:r w:rsidR="002C70DB" w:rsidRPr="00A8564C">
        <w:rPr>
          <w:lang w:val="es-ES"/>
        </w:rPr>
        <w:t xml:space="preserve"> RO/IL, </w:t>
      </w:r>
      <w:r w:rsidR="002E0881" w:rsidRPr="00A8564C">
        <w:rPr>
          <w:lang w:val="es-ES"/>
        </w:rPr>
        <w:t xml:space="preserve">le </w:t>
      </w:r>
      <w:r w:rsidRPr="00A8564C">
        <w:rPr>
          <w:lang w:val="es-ES"/>
        </w:rPr>
        <w:t xml:space="preserve">ha permitido acumular </w:t>
      </w:r>
      <w:r w:rsidR="002E0881" w:rsidRPr="00A8564C">
        <w:rPr>
          <w:lang w:val="es-ES"/>
        </w:rPr>
        <w:t xml:space="preserve">una gran cantidad de </w:t>
      </w:r>
      <w:r w:rsidRPr="00A8564C">
        <w:rPr>
          <w:lang w:val="es-ES"/>
        </w:rPr>
        <w:t xml:space="preserve">experiencia en las dos </w:t>
      </w:r>
      <w:r w:rsidR="003831D2" w:rsidRPr="00A8564C">
        <w:rPr>
          <w:lang w:val="es-ES"/>
        </w:rPr>
        <w:t>décadas</w:t>
      </w:r>
      <w:r w:rsidRPr="00A8564C">
        <w:rPr>
          <w:lang w:val="es-ES"/>
        </w:rPr>
        <w:t xml:space="preserve"> que han trascurrido desde que I</w:t>
      </w:r>
      <w:r w:rsidR="002C70DB" w:rsidRPr="00A8564C">
        <w:rPr>
          <w:lang w:val="es-ES"/>
        </w:rPr>
        <w:t xml:space="preserve">srael </w:t>
      </w:r>
      <w:r w:rsidRPr="00A8564C">
        <w:rPr>
          <w:lang w:val="es-ES"/>
        </w:rPr>
        <w:t xml:space="preserve">pasó a ser Estado </w:t>
      </w:r>
      <w:r w:rsidR="002E0881" w:rsidRPr="00A8564C">
        <w:rPr>
          <w:lang w:val="es-ES"/>
        </w:rPr>
        <w:t>c</w:t>
      </w:r>
      <w:r w:rsidR="003831D2" w:rsidRPr="00A8564C">
        <w:rPr>
          <w:lang w:val="es-ES"/>
        </w:rPr>
        <w:t>ontratante</w:t>
      </w:r>
      <w:r w:rsidRPr="00A8564C">
        <w:rPr>
          <w:lang w:val="es-ES"/>
        </w:rPr>
        <w:t xml:space="preserve"> del</w:t>
      </w:r>
      <w:r w:rsidR="002C70DB" w:rsidRPr="00A8564C">
        <w:rPr>
          <w:lang w:val="es-ES"/>
        </w:rPr>
        <w:t xml:space="preserve"> PCT</w:t>
      </w:r>
      <w:r w:rsidR="002E0881" w:rsidRPr="00A8564C">
        <w:rPr>
          <w:lang w:val="es-ES"/>
        </w:rPr>
        <w:t>,</w:t>
      </w:r>
      <w:r w:rsidR="002C70DB" w:rsidRPr="00A8564C">
        <w:rPr>
          <w:lang w:val="es-ES"/>
        </w:rPr>
        <w:t xml:space="preserve"> </w:t>
      </w:r>
      <w:r w:rsidRPr="00A8564C">
        <w:rPr>
          <w:lang w:val="es-ES"/>
        </w:rPr>
        <w:t xml:space="preserve">el 1 de </w:t>
      </w:r>
      <w:r w:rsidR="003831D2" w:rsidRPr="00A8564C">
        <w:rPr>
          <w:lang w:val="es-ES"/>
        </w:rPr>
        <w:t>junio</w:t>
      </w:r>
      <w:r w:rsidRPr="00A8564C">
        <w:rPr>
          <w:lang w:val="es-ES"/>
        </w:rPr>
        <w:t xml:space="preserve"> de </w:t>
      </w:r>
      <w:r w:rsidR="002C70DB" w:rsidRPr="00A8564C">
        <w:rPr>
          <w:lang w:val="es-ES"/>
        </w:rPr>
        <w:t>1996</w:t>
      </w:r>
      <w:r w:rsidR="009E7E5E" w:rsidRPr="00A8564C">
        <w:rPr>
          <w:lang w:val="es-ES"/>
        </w:rPr>
        <w:t xml:space="preserve">.  </w:t>
      </w:r>
      <w:r w:rsidR="003831D2" w:rsidRPr="00A8564C">
        <w:rPr>
          <w:lang w:val="es-ES"/>
        </w:rPr>
        <w:t>Además</w:t>
      </w:r>
      <w:r w:rsidRPr="00A8564C">
        <w:rPr>
          <w:lang w:val="es-ES"/>
        </w:rPr>
        <w:t xml:space="preserve">, </w:t>
      </w:r>
      <w:r w:rsidR="003831D2" w:rsidRPr="00A8564C">
        <w:rPr>
          <w:lang w:val="es-ES"/>
        </w:rPr>
        <w:t>según</w:t>
      </w:r>
      <w:r w:rsidRPr="00A8564C">
        <w:rPr>
          <w:lang w:val="es-ES"/>
        </w:rPr>
        <w:t xml:space="preserve"> las </w:t>
      </w:r>
      <w:r w:rsidR="00672F4E" w:rsidRPr="00A8564C">
        <w:rPr>
          <w:lang w:val="es-ES"/>
        </w:rPr>
        <w:t>últimas</w:t>
      </w:r>
      <w:r w:rsidRPr="00A8564C">
        <w:rPr>
          <w:lang w:val="es-ES"/>
        </w:rPr>
        <w:t xml:space="preserve"> </w:t>
      </w:r>
      <w:r w:rsidR="003831D2" w:rsidRPr="00A8564C">
        <w:rPr>
          <w:lang w:val="es-ES"/>
        </w:rPr>
        <w:t>estadísticas</w:t>
      </w:r>
      <w:r w:rsidRPr="00A8564C">
        <w:rPr>
          <w:lang w:val="es-ES"/>
        </w:rPr>
        <w:t xml:space="preserve"> PCT de la OMPI, Israel ocupa el </w:t>
      </w:r>
      <w:r w:rsidR="003831D2" w:rsidRPr="00A8564C">
        <w:rPr>
          <w:lang w:val="es-ES"/>
        </w:rPr>
        <w:t>séptimo</w:t>
      </w:r>
      <w:r w:rsidRPr="00A8564C">
        <w:rPr>
          <w:lang w:val="es-ES"/>
        </w:rPr>
        <w:t xml:space="preserve"> puesto </w:t>
      </w:r>
      <w:r w:rsidR="002C70DB" w:rsidRPr="00A8564C">
        <w:rPr>
          <w:lang w:val="es-ES"/>
        </w:rPr>
        <w:t>(</w:t>
      </w:r>
      <w:r w:rsidRPr="00A8564C">
        <w:rPr>
          <w:lang w:val="es-ES"/>
        </w:rPr>
        <w:t>e</w:t>
      </w:r>
      <w:r w:rsidR="002C70DB" w:rsidRPr="00A8564C">
        <w:rPr>
          <w:lang w:val="es-ES"/>
        </w:rPr>
        <w:t xml:space="preserve">n 2015) </w:t>
      </w:r>
      <w:r w:rsidRPr="00A8564C">
        <w:rPr>
          <w:lang w:val="es-ES"/>
        </w:rPr>
        <w:t xml:space="preserve">en lo que se refiere al </w:t>
      </w:r>
      <w:r w:rsidR="003831D2" w:rsidRPr="00A8564C">
        <w:rPr>
          <w:lang w:val="es-ES"/>
        </w:rPr>
        <w:t>número</w:t>
      </w:r>
      <w:r w:rsidRPr="00A8564C">
        <w:rPr>
          <w:lang w:val="es-ES"/>
        </w:rPr>
        <w:t xml:space="preserve"> de </w:t>
      </w:r>
      <w:r w:rsidR="004C2780" w:rsidRPr="00A8564C">
        <w:rPr>
          <w:lang w:val="es-ES"/>
        </w:rPr>
        <w:t>solicitudes PCT que entran en la fase nacional</w:t>
      </w:r>
      <w:r w:rsidR="002C70DB" w:rsidRPr="00A8564C">
        <w:rPr>
          <w:lang w:val="es-ES"/>
        </w:rPr>
        <w:t>.</w:t>
      </w:r>
    </w:p>
    <w:p w14:paraId="6EE820D9" w14:textId="77777777" w:rsidR="002C70DB" w:rsidRPr="00A8564C" w:rsidRDefault="002C70DB" w:rsidP="00E826DF">
      <w:pPr>
        <w:rPr>
          <w:lang w:val="es-ES"/>
        </w:rPr>
      </w:pPr>
    </w:p>
    <w:p w14:paraId="5A411200" w14:textId="4793CA3D" w:rsidR="002C70DB" w:rsidRPr="00A8564C" w:rsidRDefault="004C2780" w:rsidP="00E826DF">
      <w:pPr>
        <w:rPr>
          <w:lang w:val="es-ES"/>
        </w:rPr>
      </w:pPr>
      <w:r w:rsidRPr="00A8564C">
        <w:rPr>
          <w:lang w:val="es-ES"/>
        </w:rPr>
        <w:t xml:space="preserve">La </w:t>
      </w:r>
      <w:r w:rsidR="003831D2" w:rsidRPr="00A8564C">
        <w:rPr>
          <w:lang w:val="es-ES"/>
        </w:rPr>
        <w:t>actuación</w:t>
      </w:r>
      <w:r w:rsidRPr="00A8564C">
        <w:rPr>
          <w:lang w:val="es-ES"/>
        </w:rPr>
        <w:t xml:space="preserve"> de l</w:t>
      </w:r>
      <w:r w:rsidR="00B06CD7" w:rsidRPr="00A8564C">
        <w:rPr>
          <w:lang w:val="es-ES"/>
        </w:rPr>
        <w:t xml:space="preserve">a ILPO </w:t>
      </w:r>
      <w:r w:rsidRPr="00A8564C">
        <w:rPr>
          <w:lang w:val="es-ES"/>
        </w:rPr>
        <w:t>como</w:t>
      </w:r>
      <w:r w:rsidR="002E0881" w:rsidRPr="00A8564C">
        <w:rPr>
          <w:lang w:val="es-ES"/>
        </w:rPr>
        <w:t xml:space="preserve"> ISA/IPEA</w:t>
      </w:r>
      <w:r w:rsidR="002C70DB" w:rsidRPr="00A8564C">
        <w:rPr>
          <w:lang w:val="es-ES"/>
        </w:rPr>
        <w:t xml:space="preserve"> </w:t>
      </w:r>
      <w:r w:rsidRPr="00A8564C">
        <w:rPr>
          <w:lang w:val="es-ES"/>
        </w:rPr>
        <w:t xml:space="preserve">desde el 1 de junio de 2012, ha </w:t>
      </w:r>
      <w:r w:rsidR="003831D2" w:rsidRPr="00A8564C">
        <w:rPr>
          <w:lang w:val="es-ES"/>
        </w:rPr>
        <w:t>contribuido</w:t>
      </w:r>
      <w:r w:rsidRPr="00A8564C">
        <w:rPr>
          <w:lang w:val="es-ES"/>
        </w:rPr>
        <w:t xml:space="preserve"> al </w:t>
      </w:r>
      <w:r w:rsidR="002E0881" w:rsidRPr="00A8564C">
        <w:rPr>
          <w:lang w:val="es-ES"/>
        </w:rPr>
        <w:t xml:space="preserve">avance y mejora </w:t>
      </w:r>
      <w:r w:rsidRPr="00A8564C">
        <w:rPr>
          <w:lang w:val="es-ES"/>
        </w:rPr>
        <w:t xml:space="preserve">del </w:t>
      </w:r>
      <w:r w:rsidR="00672F4E" w:rsidRPr="00A8564C">
        <w:rPr>
          <w:lang w:val="es-ES"/>
        </w:rPr>
        <w:t xml:space="preserve">sistema </w:t>
      </w:r>
      <w:r w:rsidR="002C70DB" w:rsidRPr="00A8564C">
        <w:rPr>
          <w:lang w:val="es-ES"/>
        </w:rPr>
        <w:t xml:space="preserve">PCT </w:t>
      </w:r>
      <w:r w:rsidRPr="00A8564C">
        <w:rPr>
          <w:lang w:val="es-ES"/>
        </w:rPr>
        <w:t xml:space="preserve">en general, entre otras cosas, mediante la </w:t>
      </w:r>
      <w:r w:rsidR="003831D2" w:rsidRPr="00A8564C">
        <w:rPr>
          <w:lang w:val="es-ES"/>
        </w:rPr>
        <w:t>incitación</w:t>
      </w:r>
      <w:r w:rsidRPr="00A8564C">
        <w:rPr>
          <w:lang w:val="es-ES"/>
        </w:rPr>
        <w:t xml:space="preserve"> a su </w:t>
      </w:r>
      <w:r w:rsidR="003831D2" w:rsidRPr="00A8564C">
        <w:rPr>
          <w:lang w:val="es-ES"/>
        </w:rPr>
        <w:t>utilización</w:t>
      </w:r>
      <w:r w:rsidRPr="00A8564C">
        <w:rPr>
          <w:lang w:val="es-ES"/>
        </w:rPr>
        <w:t xml:space="preserve">, como </w:t>
      </w:r>
      <w:r w:rsidR="003831D2" w:rsidRPr="00A8564C">
        <w:rPr>
          <w:lang w:val="es-ES"/>
        </w:rPr>
        <w:t>lo</w:t>
      </w:r>
      <w:r w:rsidRPr="00A8564C">
        <w:rPr>
          <w:lang w:val="es-ES"/>
        </w:rPr>
        <w:t xml:space="preserve"> indica el </w:t>
      </w:r>
      <w:r w:rsidR="003831D2" w:rsidRPr="00A8564C">
        <w:rPr>
          <w:lang w:val="es-ES"/>
        </w:rPr>
        <w:t>aumento</w:t>
      </w:r>
      <w:r w:rsidRPr="00A8564C">
        <w:rPr>
          <w:lang w:val="es-ES"/>
        </w:rPr>
        <w:t xml:space="preserve"> del </w:t>
      </w:r>
      <w:r w:rsidR="003831D2" w:rsidRPr="00A8564C">
        <w:rPr>
          <w:lang w:val="es-ES"/>
        </w:rPr>
        <w:t>número</w:t>
      </w:r>
      <w:r w:rsidRPr="00A8564C">
        <w:rPr>
          <w:lang w:val="es-ES"/>
        </w:rPr>
        <w:t xml:space="preserve"> de solicitudes </w:t>
      </w:r>
      <w:r w:rsidR="002C70DB" w:rsidRPr="00A8564C">
        <w:rPr>
          <w:lang w:val="es-ES"/>
        </w:rPr>
        <w:t xml:space="preserve">PCT </w:t>
      </w:r>
      <w:r w:rsidR="003831D2" w:rsidRPr="00A8564C">
        <w:rPr>
          <w:lang w:val="es-ES"/>
        </w:rPr>
        <w:t>presentadas</w:t>
      </w:r>
      <w:r w:rsidRPr="00A8564C">
        <w:rPr>
          <w:lang w:val="es-ES"/>
        </w:rPr>
        <w:t xml:space="preserve"> en </w:t>
      </w:r>
      <w:r w:rsidR="002C70DB" w:rsidRPr="00A8564C">
        <w:rPr>
          <w:lang w:val="es-ES"/>
        </w:rPr>
        <w:t>Israel</w:t>
      </w:r>
      <w:r w:rsidR="009E7E5E" w:rsidRPr="00A8564C">
        <w:rPr>
          <w:lang w:val="es-ES"/>
        </w:rPr>
        <w:t xml:space="preserve">.  </w:t>
      </w:r>
      <w:r w:rsidRPr="00A8564C">
        <w:rPr>
          <w:lang w:val="es-ES"/>
        </w:rPr>
        <w:t xml:space="preserve">Esto se puede atribuir a las actividades PCT de la </w:t>
      </w:r>
      <w:r w:rsidR="002C70DB" w:rsidRPr="00A8564C">
        <w:rPr>
          <w:lang w:val="es-ES"/>
        </w:rPr>
        <w:t>ILPO</w:t>
      </w:r>
      <w:r w:rsidRPr="00A8564C">
        <w:rPr>
          <w:lang w:val="es-ES"/>
        </w:rPr>
        <w:t xml:space="preserve"> y a los importantes programas de </w:t>
      </w:r>
      <w:r w:rsidR="003831D2" w:rsidRPr="00A8564C">
        <w:rPr>
          <w:lang w:val="es-ES"/>
        </w:rPr>
        <w:t>sensibilización</w:t>
      </w:r>
      <w:r w:rsidRPr="00A8564C">
        <w:rPr>
          <w:lang w:val="es-ES"/>
        </w:rPr>
        <w:t xml:space="preserve"> que se han llevado a cabo</w:t>
      </w:r>
      <w:r w:rsidR="009E7E5E" w:rsidRPr="00A8564C">
        <w:rPr>
          <w:lang w:val="es-ES"/>
        </w:rPr>
        <w:t xml:space="preserve">.  </w:t>
      </w:r>
      <w:r w:rsidRPr="00A8564C">
        <w:rPr>
          <w:lang w:val="es-ES"/>
        </w:rPr>
        <w:t xml:space="preserve">El </w:t>
      </w:r>
      <w:r w:rsidR="002E0881" w:rsidRPr="00A8564C">
        <w:rPr>
          <w:lang w:val="es-ES"/>
        </w:rPr>
        <w:t xml:space="preserve">constante aumento del </w:t>
      </w:r>
      <w:r w:rsidR="003831D2" w:rsidRPr="00A8564C">
        <w:rPr>
          <w:lang w:val="es-ES"/>
        </w:rPr>
        <w:t>número</w:t>
      </w:r>
      <w:r w:rsidRPr="00A8564C">
        <w:rPr>
          <w:lang w:val="es-ES"/>
        </w:rPr>
        <w:t xml:space="preserve"> de solicitudes </w:t>
      </w:r>
      <w:r w:rsidR="002C70DB" w:rsidRPr="00A8564C">
        <w:rPr>
          <w:lang w:val="es-ES"/>
        </w:rPr>
        <w:t>PCT</w:t>
      </w:r>
      <w:r w:rsidRPr="00A8564C">
        <w:rPr>
          <w:lang w:val="es-ES"/>
        </w:rPr>
        <w:t xml:space="preserve"> para las que se ha elegido a la </w:t>
      </w:r>
      <w:r w:rsidR="00B06CD7" w:rsidRPr="00A8564C">
        <w:rPr>
          <w:lang w:val="es-ES"/>
        </w:rPr>
        <w:t>ILPO</w:t>
      </w:r>
      <w:r w:rsidRPr="00A8564C">
        <w:rPr>
          <w:lang w:val="es-ES"/>
        </w:rPr>
        <w:t xml:space="preserve"> como ISA/IPEA, indica el nivel de confianza </w:t>
      </w:r>
      <w:r w:rsidR="002B751D" w:rsidRPr="00A8564C">
        <w:rPr>
          <w:lang w:val="es-ES"/>
        </w:rPr>
        <w:t xml:space="preserve">que se ha depositado </w:t>
      </w:r>
      <w:r w:rsidRPr="00A8564C">
        <w:rPr>
          <w:lang w:val="es-ES"/>
        </w:rPr>
        <w:t xml:space="preserve">en </w:t>
      </w:r>
      <w:r w:rsidR="002B751D" w:rsidRPr="00A8564C">
        <w:rPr>
          <w:lang w:val="es-ES"/>
        </w:rPr>
        <w:t xml:space="preserve">la </w:t>
      </w:r>
      <w:r w:rsidR="00611FA5" w:rsidRPr="00A8564C">
        <w:rPr>
          <w:lang w:val="es-ES"/>
        </w:rPr>
        <w:t>Oficina Israelí de Patentes</w:t>
      </w:r>
      <w:r w:rsidR="002B751D" w:rsidRPr="00A8564C">
        <w:rPr>
          <w:lang w:val="es-ES"/>
        </w:rPr>
        <w:t xml:space="preserve"> como</w:t>
      </w:r>
      <w:r w:rsidRPr="00A8564C">
        <w:rPr>
          <w:lang w:val="es-ES"/>
        </w:rPr>
        <w:t xml:space="preserve"> </w:t>
      </w:r>
      <w:r w:rsidR="003831D2" w:rsidRPr="00A8564C">
        <w:rPr>
          <w:lang w:val="es-ES"/>
        </w:rPr>
        <w:t>Administración</w:t>
      </w:r>
      <w:r w:rsidRPr="00A8564C">
        <w:rPr>
          <w:lang w:val="es-ES"/>
        </w:rPr>
        <w:t xml:space="preserve"> encargada de la </w:t>
      </w:r>
      <w:r w:rsidR="003831D2" w:rsidRPr="00A8564C">
        <w:rPr>
          <w:lang w:val="es-ES"/>
        </w:rPr>
        <w:t>búsqueda</w:t>
      </w:r>
      <w:r w:rsidRPr="00A8564C">
        <w:rPr>
          <w:lang w:val="es-ES"/>
        </w:rPr>
        <w:t xml:space="preserve"> internacional y </w:t>
      </w:r>
      <w:r w:rsidR="007A215A" w:rsidRPr="00A8564C">
        <w:rPr>
          <w:lang w:val="es-ES"/>
        </w:rPr>
        <w:t>d</w:t>
      </w:r>
      <w:r w:rsidRPr="00A8564C">
        <w:rPr>
          <w:lang w:val="es-ES"/>
        </w:rPr>
        <w:t>el examen internacional</w:t>
      </w:r>
      <w:r w:rsidR="002C70DB" w:rsidRPr="00A8564C">
        <w:rPr>
          <w:lang w:val="es-ES"/>
        </w:rPr>
        <w:t>.</w:t>
      </w:r>
    </w:p>
    <w:p w14:paraId="0D5C7CDE" w14:textId="77777777" w:rsidR="002C70DB" w:rsidRPr="00A8564C" w:rsidRDefault="002C70DB" w:rsidP="00E826DF">
      <w:pPr>
        <w:rPr>
          <w:lang w:val="es-ES"/>
        </w:rPr>
      </w:pPr>
    </w:p>
    <w:p w14:paraId="302F1595" w14:textId="07E0E9B0" w:rsidR="002C70DB" w:rsidRPr="00A8564C" w:rsidRDefault="007A215A" w:rsidP="00E826DF">
      <w:pPr>
        <w:rPr>
          <w:rFonts w:eastAsia="Times New Roman" w:cs="Times New Roman"/>
          <w:lang w:val="es-ES"/>
        </w:rPr>
      </w:pPr>
      <w:r w:rsidRPr="00A8564C">
        <w:rPr>
          <w:lang w:val="es-ES"/>
        </w:rPr>
        <w:t xml:space="preserve">La </w:t>
      </w:r>
      <w:r w:rsidR="002C70DB" w:rsidRPr="00A8564C">
        <w:rPr>
          <w:lang w:val="es-ES"/>
        </w:rPr>
        <w:t xml:space="preserve">ILPO </w:t>
      </w:r>
      <w:r w:rsidRPr="00A8564C">
        <w:rPr>
          <w:lang w:val="es-ES"/>
        </w:rPr>
        <w:t xml:space="preserve">comparte los </w:t>
      </w:r>
      <w:r w:rsidR="003831D2" w:rsidRPr="00A8564C">
        <w:rPr>
          <w:lang w:val="es-ES"/>
        </w:rPr>
        <w:t>conocimientos</w:t>
      </w:r>
      <w:r w:rsidRPr="00A8564C">
        <w:rPr>
          <w:lang w:val="es-ES"/>
        </w:rPr>
        <w:t xml:space="preserve"> que ha </w:t>
      </w:r>
      <w:r w:rsidR="003831D2" w:rsidRPr="00A8564C">
        <w:rPr>
          <w:lang w:val="es-ES"/>
        </w:rPr>
        <w:t>adquirido</w:t>
      </w:r>
      <w:r w:rsidRPr="00A8564C">
        <w:rPr>
          <w:lang w:val="es-ES"/>
        </w:rPr>
        <w:t xml:space="preserve"> </w:t>
      </w:r>
      <w:r w:rsidR="002B751D" w:rsidRPr="00A8564C">
        <w:rPr>
          <w:lang w:val="es-ES"/>
        </w:rPr>
        <w:t xml:space="preserve">gracias a </w:t>
      </w:r>
      <w:r w:rsidRPr="00A8564C">
        <w:rPr>
          <w:lang w:val="es-ES"/>
        </w:rPr>
        <w:t xml:space="preserve">su </w:t>
      </w:r>
      <w:r w:rsidR="002B751D" w:rsidRPr="00A8564C">
        <w:rPr>
          <w:lang w:val="es-ES"/>
        </w:rPr>
        <w:t>eficaz</w:t>
      </w:r>
      <w:r w:rsidRPr="00A8564C">
        <w:rPr>
          <w:lang w:val="es-ES"/>
        </w:rPr>
        <w:t xml:space="preserve"> </w:t>
      </w:r>
      <w:r w:rsidR="003831D2" w:rsidRPr="00A8564C">
        <w:rPr>
          <w:lang w:val="es-ES"/>
        </w:rPr>
        <w:t>actuación</w:t>
      </w:r>
      <w:r w:rsidRPr="00A8564C">
        <w:rPr>
          <w:lang w:val="es-ES"/>
        </w:rPr>
        <w:t xml:space="preserve"> como </w:t>
      </w:r>
      <w:r w:rsidR="003831D2" w:rsidRPr="00A8564C">
        <w:rPr>
          <w:lang w:val="es-ES"/>
        </w:rPr>
        <w:t>Administración</w:t>
      </w:r>
      <w:r w:rsidRPr="00A8564C">
        <w:rPr>
          <w:lang w:val="es-ES"/>
        </w:rPr>
        <w:t xml:space="preserve"> internacional con otros Estados </w:t>
      </w:r>
      <w:r w:rsidR="003831D2" w:rsidRPr="00A8564C">
        <w:rPr>
          <w:lang w:val="es-ES"/>
        </w:rPr>
        <w:t>miembros</w:t>
      </w:r>
      <w:r w:rsidRPr="00A8564C">
        <w:rPr>
          <w:lang w:val="es-ES"/>
        </w:rPr>
        <w:t xml:space="preserve"> en una </w:t>
      </w:r>
      <w:r w:rsidR="002B751D" w:rsidRPr="00A8564C">
        <w:rPr>
          <w:lang w:val="es-ES"/>
        </w:rPr>
        <w:t>gran</w:t>
      </w:r>
      <w:r w:rsidRPr="00A8564C">
        <w:rPr>
          <w:lang w:val="es-ES"/>
        </w:rPr>
        <w:t xml:space="preserve"> diversidad de </w:t>
      </w:r>
      <w:r w:rsidR="003831D2" w:rsidRPr="00A8564C">
        <w:rPr>
          <w:lang w:val="es-ES"/>
        </w:rPr>
        <w:t>actividades</w:t>
      </w:r>
      <w:r w:rsidR="002C70DB" w:rsidRPr="00A8564C">
        <w:rPr>
          <w:lang w:val="es-ES"/>
        </w:rPr>
        <w:t xml:space="preserve">: </w:t>
      </w:r>
      <w:r w:rsidRPr="00A8564C">
        <w:rPr>
          <w:lang w:val="es-ES"/>
        </w:rPr>
        <w:t xml:space="preserve">seminarios a cursillistas de la </w:t>
      </w:r>
      <w:r w:rsidR="00B06CD7" w:rsidRPr="00A8564C">
        <w:rPr>
          <w:lang w:val="es-ES"/>
        </w:rPr>
        <w:t>OMPI</w:t>
      </w:r>
      <w:r w:rsidRPr="00A8564C">
        <w:rPr>
          <w:lang w:val="es-ES"/>
        </w:rPr>
        <w:t xml:space="preserve">, </w:t>
      </w:r>
      <w:r w:rsidR="003831D2" w:rsidRPr="00A8564C">
        <w:rPr>
          <w:lang w:val="es-ES"/>
        </w:rPr>
        <w:t>cooperación</w:t>
      </w:r>
      <w:r w:rsidRPr="00A8564C">
        <w:rPr>
          <w:lang w:val="es-ES"/>
        </w:rPr>
        <w:t xml:space="preserve"> internacional</w:t>
      </w:r>
      <w:r w:rsidR="002C70DB" w:rsidRPr="00A8564C">
        <w:rPr>
          <w:lang w:val="es-ES"/>
        </w:rPr>
        <w:t xml:space="preserve">, </w:t>
      </w:r>
      <w:r w:rsidRPr="00A8564C">
        <w:rPr>
          <w:lang w:val="es-ES"/>
        </w:rPr>
        <w:t xml:space="preserve">intercambio de </w:t>
      </w:r>
      <w:r w:rsidR="003831D2" w:rsidRPr="00A8564C">
        <w:rPr>
          <w:lang w:val="es-ES"/>
        </w:rPr>
        <w:t>conocimientos</w:t>
      </w:r>
      <w:r w:rsidRPr="00A8564C">
        <w:rPr>
          <w:lang w:val="es-ES"/>
        </w:rPr>
        <w:t xml:space="preserve"> </w:t>
      </w:r>
      <w:r w:rsidR="002B751D" w:rsidRPr="00A8564C">
        <w:rPr>
          <w:lang w:val="es-ES"/>
        </w:rPr>
        <w:t xml:space="preserve">y, más </w:t>
      </w:r>
      <w:r w:rsidR="003831D2" w:rsidRPr="00A8564C">
        <w:rPr>
          <w:lang w:val="es-ES"/>
        </w:rPr>
        <w:t>concretamente</w:t>
      </w:r>
      <w:r w:rsidRPr="00A8564C">
        <w:rPr>
          <w:lang w:val="es-ES"/>
        </w:rPr>
        <w:t xml:space="preserve">, </w:t>
      </w:r>
      <w:r w:rsidR="002B751D" w:rsidRPr="00A8564C">
        <w:rPr>
          <w:lang w:val="es-ES"/>
        </w:rPr>
        <w:t xml:space="preserve">intercambio </w:t>
      </w:r>
      <w:r w:rsidRPr="00A8564C">
        <w:rPr>
          <w:lang w:val="es-ES"/>
        </w:rPr>
        <w:t xml:space="preserve">con otras oficinas de la experiencia </w:t>
      </w:r>
      <w:r w:rsidR="002B751D" w:rsidRPr="00A8564C">
        <w:rPr>
          <w:lang w:val="es-ES"/>
        </w:rPr>
        <w:t>de convertirse en</w:t>
      </w:r>
      <w:r w:rsidRPr="00A8564C">
        <w:rPr>
          <w:lang w:val="es-ES"/>
        </w:rPr>
        <w:t xml:space="preserve"> </w:t>
      </w:r>
      <w:r w:rsidR="002C70DB" w:rsidRPr="00A8564C">
        <w:rPr>
          <w:lang w:val="es-ES"/>
        </w:rPr>
        <w:t>ISA/IPEA</w:t>
      </w:r>
      <w:r w:rsidRPr="00A8564C">
        <w:rPr>
          <w:lang w:val="es-ES"/>
        </w:rPr>
        <w:t xml:space="preserve"> y </w:t>
      </w:r>
      <w:r w:rsidR="002B751D" w:rsidRPr="00A8564C">
        <w:rPr>
          <w:lang w:val="es-ES"/>
        </w:rPr>
        <w:t>de</w:t>
      </w:r>
      <w:r w:rsidRPr="00A8564C">
        <w:rPr>
          <w:lang w:val="es-ES"/>
        </w:rPr>
        <w:t>l dese</w:t>
      </w:r>
      <w:r w:rsidR="002B751D" w:rsidRPr="00A8564C">
        <w:rPr>
          <w:lang w:val="es-ES"/>
        </w:rPr>
        <w:t>mpeño de las funciones que conlleva esa función</w:t>
      </w:r>
      <w:r w:rsidR="009E7E5E" w:rsidRPr="00A8564C">
        <w:rPr>
          <w:lang w:val="es-ES"/>
        </w:rPr>
        <w:t xml:space="preserve">.  </w:t>
      </w:r>
      <w:r w:rsidRPr="00A8564C">
        <w:rPr>
          <w:lang w:val="es-ES"/>
        </w:rPr>
        <w:t xml:space="preserve">La </w:t>
      </w:r>
      <w:r w:rsidR="002C70DB" w:rsidRPr="00A8564C">
        <w:rPr>
          <w:lang w:val="es-ES"/>
        </w:rPr>
        <w:t xml:space="preserve">ILPO </w:t>
      </w:r>
      <w:r w:rsidRPr="00A8564C">
        <w:rPr>
          <w:lang w:val="es-ES"/>
        </w:rPr>
        <w:t xml:space="preserve">considera sumamente importante continuar y </w:t>
      </w:r>
      <w:r w:rsidR="003831D2" w:rsidRPr="00A8564C">
        <w:rPr>
          <w:lang w:val="es-ES"/>
        </w:rPr>
        <w:t>expandir</w:t>
      </w:r>
      <w:r w:rsidRPr="00A8564C">
        <w:rPr>
          <w:lang w:val="es-ES"/>
        </w:rPr>
        <w:t xml:space="preserve"> esa labor y </w:t>
      </w:r>
      <w:r w:rsidR="002B751D" w:rsidRPr="00A8564C">
        <w:rPr>
          <w:lang w:val="es-ES"/>
        </w:rPr>
        <w:t>el</w:t>
      </w:r>
      <w:r w:rsidRPr="00A8564C">
        <w:rPr>
          <w:lang w:val="es-ES"/>
        </w:rPr>
        <w:t xml:space="preserve"> intercambio de experiencias</w:t>
      </w:r>
      <w:r w:rsidR="002C70DB" w:rsidRPr="00A8564C">
        <w:rPr>
          <w:lang w:val="es-ES"/>
        </w:rPr>
        <w:t xml:space="preserve">, </w:t>
      </w:r>
      <w:r w:rsidR="002B751D" w:rsidRPr="00A8564C">
        <w:rPr>
          <w:lang w:val="es-ES"/>
        </w:rPr>
        <w:t xml:space="preserve">y </w:t>
      </w:r>
      <w:r w:rsidR="003831D2" w:rsidRPr="00A8564C">
        <w:rPr>
          <w:lang w:val="es-ES"/>
        </w:rPr>
        <w:t>contribu</w:t>
      </w:r>
      <w:r w:rsidR="002B751D" w:rsidRPr="00A8564C">
        <w:rPr>
          <w:lang w:val="es-ES"/>
        </w:rPr>
        <w:t>ir más</w:t>
      </w:r>
      <w:r w:rsidRPr="00A8564C">
        <w:rPr>
          <w:lang w:val="es-ES"/>
        </w:rPr>
        <w:t xml:space="preserve"> a la </w:t>
      </w:r>
      <w:r w:rsidR="003831D2" w:rsidRPr="00A8564C">
        <w:rPr>
          <w:lang w:val="es-ES"/>
        </w:rPr>
        <w:t>eficacia</w:t>
      </w:r>
      <w:r w:rsidRPr="00A8564C">
        <w:rPr>
          <w:lang w:val="es-ES"/>
        </w:rPr>
        <w:t xml:space="preserve"> y mejora del </w:t>
      </w:r>
      <w:r w:rsidR="003831D2" w:rsidRPr="00A8564C">
        <w:rPr>
          <w:lang w:val="es-ES"/>
        </w:rPr>
        <w:t>sistema</w:t>
      </w:r>
      <w:r w:rsidRPr="00A8564C">
        <w:rPr>
          <w:lang w:val="es-ES"/>
        </w:rPr>
        <w:t xml:space="preserve"> P</w:t>
      </w:r>
      <w:r w:rsidR="002C70DB" w:rsidRPr="00A8564C">
        <w:rPr>
          <w:lang w:val="es-ES"/>
        </w:rPr>
        <w:t>CT</w:t>
      </w:r>
      <w:r w:rsidRPr="00A8564C">
        <w:rPr>
          <w:lang w:val="es-ES"/>
        </w:rPr>
        <w:t xml:space="preserve">, desde su nueva </w:t>
      </w:r>
      <w:r w:rsidR="003831D2" w:rsidRPr="00A8564C">
        <w:rPr>
          <w:lang w:val="es-ES"/>
        </w:rPr>
        <w:t>designación</w:t>
      </w:r>
      <w:r w:rsidR="002C70DB" w:rsidRPr="00A8564C">
        <w:rPr>
          <w:lang w:val="es-ES"/>
        </w:rPr>
        <w:t>.</w:t>
      </w:r>
    </w:p>
    <w:p w14:paraId="195BD32B" w14:textId="77777777" w:rsidR="002C70DB" w:rsidRPr="00A8564C" w:rsidRDefault="002C70DB" w:rsidP="00E826DF">
      <w:pPr>
        <w:rPr>
          <w:lang w:val="es-ES"/>
        </w:rPr>
      </w:pPr>
    </w:p>
    <w:p w14:paraId="72C0CA85" w14:textId="1928EA95" w:rsidR="002C70DB" w:rsidRPr="00A8564C" w:rsidRDefault="007A215A" w:rsidP="00E826DF">
      <w:pPr>
        <w:rPr>
          <w:lang w:val="es-ES"/>
        </w:rPr>
      </w:pPr>
      <w:r w:rsidRPr="00A8564C">
        <w:rPr>
          <w:lang w:val="es-ES"/>
        </w:rPr>
        <w:t xml:space="preserve">El </w:t>
      </w:r>
      <w:r w:rsidR="003831D2" w:rsidRPr="00A8564C">
        <w:rPr>
          <w:lang w:val="es-ES"/>
        </w:rPr>
        <w:t>Gobierno</w:t>
      </w:r>
      <w:r w:rsidRPr="00A8564C">
        <w:rPr>
          <w:lang w:val="es-ES"/>
        </w:rPr>
        <w:t xml:space="preserve"> de </w:t>
      </w:r>
      <w:r w:rsidR="002C70DB" w:rsidRPr="00A8564C">
        <w:rPr>
          <w:lang w:val="es-ES"/>
        </w:rPr>
        <w:t>Israel</w:t>
      </w:r>
      <w:r w:rsidRPr="00A8564C">
        <w:rPr>
          <w:lang w:val="es-ES"/>
        </w:rPr>
        <w:t xml:space="preserve"> siempre ha considerado que el Tratado de </w:t>
      </w:r>
      <w:r w:rsidR="003831D2" w:rsidRPr="00A8564C">
        <w:rPr>
          <w:lang w:val="es-ES"/>
        </w:rPr>
        <w:t>Cooperación</w:t>
      </w:r>
      <w:r w:rsidRPr="00A8564C">
        <w:rPr>
          <w:lang w:val="es-ES"/>
        </w:rPr>
        <w:t xml:space="preserve"> en materia de Patentes es uno de los </w:t>
      </w:r>
      <w:r w:rsidR="003831D2" w:rsidRPr="00A8564C">
        <w:rPr>
          <w:lang w:val="es-ES"/>
        </w:rPr>
        <w:t>más</w:t>
      </w:r>
      <w:r w:rsidRPr="00A8564C">
        <w:rPr>
          <w:lang w:val="es-ES"/>
        </w:rPr>
        <w:t xml:space="preserve"> importantes instrumentos </w:t>
      </w:r>
      <w:r w:rsidR="003831D2" w:rsidRPr="00A8564C">
        <w:rPr>
          <w:lang w:val="es-ES"/>
        </w:rPr>
        <w:t>internacionales</w:t>
      </w:r>
      <w:r w:rsidRPr="00A8564C">
        <w:rPr>
          <w:lang w:val="es-ES"/>
        </w:rPr>
        <w:t xml:space="preserve"> en el </w:t>
      </w:r>
      <w:r w:rsidR="00672F4E" w:rsidRPr="00A8564C">
        <w:rPr>
          <w:lang w:val="es-ES"/>
        </w:rPr>
        <w:t xml:space="preserve">sistema </w:t>
      </w:r>
      <w:r w:rsidR="003831D2" w:rsidRPr="00A8564C">
        <w:rPr>
          <w:lang w:val="es-ES"/>
        </w:rPr>
        <w:t>internacional</w:t>
      </w:r>
      <w:r w:rsidRPr="00A8564C">
        <w:rPr>
          <w:lang w:val="es-ES"/>
        </w:rPr>
        <w:t xml:space="preserve"> de </w:t>
      </w:r>
      <w:r w:rsidR="003831D2" w:rsidRPr="00A8564C">
        <w:rPr>
          <w:lang w:val="es-ES"/>
        </w:rPr>
        <w:t>patentes</w:t>
      </w:r>
      <w:r w:rsidR="002B751D" w:rsidRPr="00A8564C">
        <w:rPr>
          <w:lang w:val="es-ES"/>
        </w:rPr>
        <w:t>,</w:t>
      </w:r>
      <w:r w:rsidRPr="00A8564C">
        <w:rPr>
          <w:lang w:val="es-ES"/>
        </w:rPr>
        <w:t xml:space="preserve"> y valora muy </w:t>
      </w:r>
      <w:r w:rsidR="003831D2" w:rsidRPr="00A8564C">
        <w:rPr>
          <w:lang w:val="es-ES"/>
        </w:rPr>
        <w:t>positivamente</w:t>
      </w:r>
      <w:r w:rsidRPr="00A8564C">
        <w:rPr>
          <w:lang w:val="es-ES"/>
        </w:rPr>
        <w:t xml:space="preserve"> los avances </w:t>
      </w:r>
      <w:r w:rsidR="003831D2" w:rsidRPr="00A8564C">
        <w:rPr>
          <w:lang w:val="es-ES"/>
        </w:rPr>
        <w:t>más</w:t>
      </w:r>
      <w:r w:rsidRPr="00A8564C">
        <w:rPr>
          <w:lang w:val="es-ES"/>
        </w:rPr>
        <w:t xml:space="preserve"> recientes en el </w:t>
      </w:r>
      <w:r w:rsidR="00184BCD" w:rsidRPr="00A8564C">
        <w:rPr>
          <w:lang w:val="es-ES"/>
        </w:rPr>
        <w:t xml:space="preserve">sistema </w:t>
      </w:r>
      <w:r w:rsidRPr="00A8564C">
        <w:rPr>
          <w:lang w:val="es-ES"/>
        </w:rPr>
        <w:t>PCT</w:t>
      </w:r>
      <w:r w:rsidR="002C70DB" w:rsidRPr="00A8564C">
        <w:rPr>
          <w:lang w:val="es-ES"/>
        </w:rPr>
        <w:t xml:space="preserve">, </w:t>
      </w:r>
      <w:r w:rsidR="003831D2" w:rsidRPr="00A8564C">
        <w:rPr>
          <w:lang w:val="es-ES"/>
        </w:rPr>
        <w:t>particularmente</w:t>
      </w:r>
      <w:r w:rsidRPr="00A8564C">
        <w:rPr>
          <w:lang w:val="es-ES"/>
        </w:rPr>
        <w:t xml:space="preserve"> los crecientes esfuerzos por mejorar la calidad de los informes de </w:t>
      </w:r>
      <w:r w:rsidR="003831D2" w:rsidRPr="00A8564C">
        <w:rPr>
          <w:lang w:val="es-ES"/>
        </w:rPr>
        <w:t>búsqueda</w:t>
      </w:r>
      <w:r w:rsidRPr="00A8564C">
        <w:rPr>
          <w:lang w:val="es-ES"/>
        </w:rPr>
        <w:t xml:space="preserve"> y examen </w:t>
      </w:r>
      <w:r w:rsidR="003831D2" w:rsidRPr="00A8564C">
        <w:rPr>
          <w:lang w:val="es-ES"/>
        </w:rPr>
        <w:t>internacionales</w:t>
      </w:r>
      <w:r w:rsidR="002C70DB" w:rsidRPr="00A8564C">
        <w:rPr>
          <w:lang w:val="es-ES"/>
        </w:rPr>
        <w:t xml:space="preserve">, </w:t>
      </w:r>
      <w:r w:rsidR="00264831" w:rsidRPr="00A8564C">
        <w:rPr>
          <w:lang w:val="es-ES"/>
        </w:rPr>
        <w:t xml:space="preserve">potenciar la confianza mutua en los </w:t>
      </w:r>
      <w:r w:rsidR="0046131A" w:rsidRPr="00A8564C">
        <w:rPr>
          <w:lang w:val="es-ES"/>
        </w:rPr>
        <w:t xml:space="preserve">resultados </w:t>
      </w:r>
      <w:r w:rsidR="00264831" w:rsidRPr="00A8564C">
        <w:rPr>
          <w:lang w:val="es-ES"/>
        </w:rPr>
        <w:t xml:space="preserve">de la labor del </w:t>
      </w:r>
      <w:r w:rsidR="002C70DB" w:rsidRPr="00A8564C">
        <w:rPr>
          <w:lang w:val="es-ES"/>
        </w:rPr>
        <w:t>PCT</w:t>
      </w:r>
      <w:r w:rsidR="00264831" w:rsidRPr="00A8564C">
        <w:rPr>
          <w:lang w:val="es-ES"/>
        </w:rPr>
        <w:t xml:space="preserve">, simplificar el </w:t>
      </w:r>
      <w:r w:rsidR="00184BCD" w:rsidRPr="00A8564C">
        <w:rPr>
          <w:lang w:val="es-ES"/>
        </w:rPr>
        <w:t xml:space="preserve">sistema </w:t>
      </w:r>
      <w:r w:rsidR="00264831" w:rsidRPr="00A8564C">
        <w:rPr>
          <w:lang w:val="es-ES"/>
        </w:rPr>
        <w:t xml:space="preserve">PCT y hacerlo </w:t>
      </w:r>
      <w:r w:rsidR="003831D2" w:rsidRPr="00A8564C">
        <w:rPr>
          <w:lang w:val="es-ES"/>
        </w:rPr>
        <w:t>más</w:t>
      </w:r>
      <w:r w:rsidR="00264831" w:rsidRPr="00A8564C">
        <w:rPr>
          <w:lang w:val="es-ES"/>
        </w:rPr>
        <w:t xml:space="preserve"> atractivo para los </w:t>
      </w:r>
      <w:r w:rsidR="00B06CD7" w:rsidRPr="00A8564C">
        <w:rPr>
          <w:lang w:val="es-ES"/>
        </w:rPr>
        <w:t>solicitantes</w:t>
      </w:r>
      <w:r w:rsidR="009E7E5E" w:rsidRPr="00A8564C">
        <w:rPr>
          <w:lang w:val="es-ES"/>
        </w:rPr>
        <w:t xml:space="preserve">.  </w:t>
      </w:r>
      <w:r w:rsidR="00264831" w:rsidRPr="00A8564C">
        <w:rPr>
          <w:lang w:val="es-ES"/>
        </w:rPr>
        <w:t xml:space="preserve">Por consiguiente, una de las prioridades del Gobierno israelí en la esfera de la </w:t>
      </w:r>
      <w:r w:rsidR="00184BCD" w:rsidRPr="00A8564C">
        <w:rPr>
          <w:lang w:val="es-ES"/>
        </w:rPr>
        <w:t xml:space="preserve">P.I. </w:t>
      </w:r>
      <w:r w:rsidR="0046131A" w:rsidRPr="00A8564C">
        <w:rPr>
          <w:lang w:val="es-ES"/>
        </w:rPr>
        <w:t>fue</w:t>
      </w:r>
      <w:r w:rsidR="00264831" w:rsidRPr="00A8564C">
        <w:rPr>
          <w:lang w:val="es-ES"/>
        </w:rPr>
        <w:t xml:space="preserve"> </w:t>
      </w:r>
      <w:r w:rsidR="0046131A" w:rsidRPr="00A8564C">
        <w:rPr>
          <w:lang w:val="es-ES"/>
        </w:rPr>
        <w:t>seguir trabajando para reunir t</w:t>
      </w:r>
      <w:r w:rsidR="003831D2" w:rsidRPr="00A8564C">
        <w:rPr>
          <w:lang w:val="es-ES"/>
        </w:rPr>
        <w:t>odos</w:t>
      </w:r>
      <w:r w:rsidR="00264831" w:rsidRPr="00A8564C">
        <w:rPr>
          <w:lang w:val="es-ES"/>
        </w:rPr>
        <w:t xml:space="preserve"> los </w:t>
      </w:r>
      <w:r w:rsidR="0046131A" w:rsidRPr="00A8564C">
        <w:rPr>
          <w:lang w:val="es-ES"/>
        </w:rPr>
        <w:t>criterios</w:t>
      </w:r>
      <w:r w:rsidR="00264831" w:rsidRPr="00A8564C">
        <w:rPr>
          <w:lang w:val="es-ES"/>
        </w:rPr>
        <w:t xml:space="preserve"> necesarios para obtener la </w:t>
      </w:r>
      <w:r w:rsidR="003831D2" w:rsidRPr="00A8564C">
        <w:rPr>
          <w:lang w:val="es-ES"/>
        </w:rPr>
        <w:t>designación</w:t>
      </w:r>
      <w:r w:rsidR="00264831" w:rsidRPr="00A8564C">
        <w:rPr>
          <w:lang w:val="es-ES"/>
        </w:rPr>
        <w:t xml:space="preserve"> de la </w:t>
      </w:r>
      <w:r w:rsidR="00B06CD7" w:rsidRPr="00A8564C">
        <w:rPr>
          <w:lang w:val="es-ES"/>
        </w:rPr>
        <w:t xml:space="preserve">ILPO </w:t>
      </w:r>
      <w:r w:rsidR="00264831" w:rsidRPr="00A8564C">
        <w:rPr>
          <w:lang w:val="es-ES"/>
        </w:rPr>
        <w:t xml:space="preserve">como Administración internacional encargada de la búsqueda y el examen preliminar de </w:t>
      </w:r>
      <w:r w:rsidR="00B06CD7" w:rsidRPr="00A8564C">
        <w:rPr>
          <w:lang w:val="es-ES"/>
        </w:rPr>
        <w:t>solicitudes de patente internacionales</w:t>
      </w:r>
      <w:r w:rsidR="00887A4C" w:rsidRPr="00A8564C">
        <w:rPr>
          <w:lang w:val="es-ES"/>
        </w:rPr>
        <w:t>, y, e</w:t>
      </w:r>
      <w:r w:rsidR="0046131A" w:rsidRPr="00A8564C">
        <w:rPr>
          <w:lang w:val="es-ES"/>
        </w:rPr>
        <w:t xml:space="preserve">n este momento, </w:t>
      </w:r>
      <w:r w:rsidR="00887A4C" w:rsidRPr="00A8564C">
        <w:rPr>
          <w:lang w:val="es-ES"/>
        </w:rPr>
        <w:t xml:space="preserve">su prioridad es </w:t>
      </w:r>
      <w:r w:rsidR="00264831" w:rsidRPr="00A8564C">
        <w:rPr>
          <w:lang w:val="es-ES"/>
        </w:rPr>
        <w:t xml:space="preserve">obtener </w:t>
      </w:r>
      <w:r w:rsidR="0046131A" w:rsidRPr="00A8564C">
        <w:rPr>
          <w:lang w:val="es-ES"/>
        </w:rPr>
        <w:t>una</w:t>
      </w:r>
      <w:r w:rsidR="00264831" w:rsidRPr="00A8564C">
        <w:rPr>
          <w:lang w:val="es-ES"/>
        </w:rPr>
        <w:t xml:space="preserve"> nueva </w:t>
      </w:r>
      <w:r w:rsidR="003831D2" w:rsidRPr="00A8564C">
        <w:rPr>
          <w:lang w:val="es-ES"/>
        </w:rPr>
        <w:t>designación</w:t>
      </w:r>
      <w:r w:rsidR="00264831" w:rsidRPr="00A8564C">
        <w:rPr>
          <w:lang w:val="es-ES"/>
        </w:rPr>
        <w:t xml:space="preserve"> como tal</w:t>
      </w:r>
      <w:r w:rsidR="002C70DB" w:rsidRPr="00A8564C">
        <w:rPr>
          <w:lang w:val="es-ES"/>
        </w:rPr>
        <w:t xml:space="preserve">. </w:t>
      </w:r>
    </w:p>
    <w:p w14:paraId="69264F78" w14:textId="77777777" w:rsidR="002C70DB" w:rsidRPr="00A8564C" w:rsidRDefault="002C70DB" w:rsidP="00E826DF">
      <w:pPr>
        <w:rPr>
          <w:lang w:val="es-ES"/>
        </w:rPr>
      </w:pPr>
    </w:p>
    <w:p w14:paraId="7DC391DF" w14:textId="17D7514A" w:rsidR="002C70DB" w:rsidRPr="00A8564C" w:rsidRDefault="00264831" w:rsidP="00E826DF">
      <w:pPr>
        <w:rPr>
          <w:rFonts w:eastAsia="Times New Roman"/>
          <w:lang w:val="es-ES"/>
        </w:rPr>
      </w:pPr>
      <w:r w:rsidRPr="00A8564C">
        <w:rPr>
          <w:lang w:val="es-ES"/>
        </w:rPr>
        <w:t xml:space="preserve">Con el fin de </w:t>
      </w:r>
      <w:r w:rsidR="003831D2" w:rsidRPr="00A8564C">
        <w:rPr>
          <w:lang w:val="es-ES"/>
        </w:rPr>
        <w:t>mejorar</w:t>
      </w:r>
      <w:r w:rsidRPr="00A8564C">
        <w:rPr>
          <w:lang w:val="es-ES"/>
        </w:rPr>
        <w:t xml:space="preserve"> la </w:t>
      </w:r>
      <w:r w:rsidR="003831D2" w:rsidRPr="00A8564C">
        <w:rPr>
          <w:lang w:val="es-ES"/>
        </w:rPr>
        <w:t>calidad</w:t>
      </w:r>
      <w:r w:rsidRPr="00A8564C">
        <w:rPr>
          <w:lang w:val="es-ES"/>
        </w:rPr>
        <w:t xml:space="preserve"> y eficacia del trabajo y ofrecer </w:t>
      </w:r>
      <w:r w:rsidR="003831D2" w:rsidRPr="00A8564C">
        <w:rPr>
          <w:lang w:val="es-ES"/>
        </w:rPr>
        <w:t>funcionalidades</w:t>
      </w:r>
      <w:r w:rsidRPr="00A8564C">
        <w:rPr>
          <w:lang w:val="es-ES"/>
        </w:rPr>
        <w:t xml:space="preserve"> nuevas y avanzadas para </w:t>
      </w:r>
      <w:r w:rsidR="003831D2" w:rsidRPr="00A8564C">
        <w:rPr>
          <w:lang w:val="es-ES"/>
        </w:rPr>
        <w:t>atender</w:t>
      </w:r>
      <w:r w:rsidRPr="00A8564C">
        <w:rPr>
          <w:lang w:val="es-ES"/>
        </w:rPr>
        <w:t xml:space="preserve"> las necesidades actuales de los u</w:t>
      </w:r>
      <w:r w:rsidR="00184BCD" w:rsidRPr="00A8564C">
        <w:rPr>
          <w:lang w:val="es-ES"/>
        </w:rPr>
        <w:t>suarios de la P.I.</w:t>
      </w:r>
      <w:r w:rsidR="002C70DB" w:rsidRPr="00A8564C">
        <w:rPr>
          <w:lang w:val="es-ES"/>
        </w:rPr>
        <w:t xml:space="preserve">, </w:t>
      </w:r>
      <w:r w:rsidR="00B06CD7" w:rsidRPr="00A8564C">
        <w:rPr>
          <w:lang w:val="es-ES"/>
        </w:rPr>
        <w:t xml:space="preserve">la ILPO </w:t>
      </w:r>
      <w:r w:rsidRPr="00A8564C">
        <w:rPr>
          <w:lang w:val="es-ES"/>
        </w:rPr>
        <w:t>ha venido mejorando constantemente su s</w:t>
      </w:r>
      <w:r w:rsidR="00184BCD" w:rsidRPr="00A8564C">
        <w:rPr>
          <w:lang w:val="es-ES"/>
        </w:rPr>
        <w:t xml:space="preserve">istema </w:t>
      </w:r>
      <w:r w:rsidR="00887A4C" w:rsidRPr="00A8564C">
        <w:rPr>
          <w:lang w:val="es-ES"/>
        </w:rPr>
        <w:t>automatizado interno</w:t>
      </w:r>
      <w:r w:rsidRPr="00A8564C">
        <w:rPr>
          <w:lang w:val="es-ES"/>
        </w:rPr>
        <w:t xml:space="preserve"> y los </w:t>
      </w:r>
      <w:r w:rsidR="003831D2" w:rsidRPr="00A8564C">
        <w:rPr>
          <w:lang w:val="es-ES"/>
        </w:rPr>
        <w:t>recursos</w:t>
      </w:r>
      <w:r w:rsidRPr="00A8564C">
        <w:rPr>
          <w:lang w:val="es-ES"/>
        </w:rPr>
        <w:t xml:space="preserve"> </w:t>
      </w:r>
      <w:r w:rsidR="003831D2" w:rsidRPr="00A8564C">
        <w:rPr>
          <w:lang w:val="es-ES"/>
        </w:rPr>
        <w:t>electrónicos</w:t>
      </w:r>
      <w:r w:rsidRPr="00A8564C">
        <w:rPr>
          <w:lang w:val="es-ES"/>
        </w:rPr>
        <w:t xml:space="preserve"> que se </w:t>
      </w:r>
      <w:r w:rsidRPr="00A8564C">
        <w:rPr>
          <w:lang w:val="es-ES"/>
        </w:rPr>
        <w:lastRenderedPageBreak/>
        <w:t xml:space="preserve">ponen a </w:t>
      </w:r>
      <w:r w:rsidR="003831D2" w:rsidRPr="00A8564C">
        <w:rPr>
          <w:lang w:val="es-ES"/>
        </w:rPr>
        <w:t>disposición</w:t>
      </w:r>
      <w:r w:rsidRPr="00A8564C">
        <w:rPr>
          <w:lang w:val="es-ES"/>
        </w:rPr>
        <w:t xml:space="preserve"> de los usuarios</w:t>
      </w:r>
      <w:r w:rsidR="00F65EED" w:rsidRPr="00A8564C">
        <w:rPr>
          <w:lang w:val="es-ES"/>
        </w:rPr>
        <w:t>.</w:t>
      </w:r>
      <w:r w:rsidR="002C70DB" w:rsidRPr="00A8564C">
        <w:rPr>
          <w:rStyle w:val="FootnoteReference"/>
          <w:sz w:val="24"/>
          <w:szCs w:val="24"/>
          <w:lang w:val="es-ES"/>
        </w:rPr>
        <w:footnoteReference w:id="24"/>
      </w:r>
      <w:r w:rsidR="00F13BB0" w:rsidRPr="00A8564C">
        <w:rPr>
          <w:lang w:val="es-ES"/>
        </w:rPr>
        <w:t xml:space="preserve">  Se ha aumentado el nivel de </w:t>
      </w:r>
      <w:r w:rsidR="00672F4E" w:rsidRPr="00A8564C">
        <w:rPr>
          <w:lang w:val="es-ES"/>
        </w:rPr>
        <w:t>automatización</w:t>
      </w:r>
      <w:r w:rsidR="00F13BB0" w:rsidRPr="00A8564C">
        <w:rPr>
          <w:lang w:val="es-ES"/>
        </w:rPr>
        <w:t xml:space="preserve"> interna en todos los departamentos de la </w:t>
      </w:r>
      <w:r w:rsidR="00B06CD7" w:rsidRPr="00A8564C">
        <w:rPr>
          <w:lang w:val="es-ES"/>
        </w:rPr>
        <w:t>ILPO</w:t>
      </w:r>
      <w:r w:rsidR="00F13BB0" w:rsidRPr="00A8564C">
        <w:rPr>
          <w:lang w:val="es-ES"/>
        </w:rPr>
        <w:t xml:space="preserve"> con el fin de crear un</w:t>
      </w:r>
      <w:r w:rsidR="00C76DC3" w:rsidRPr="00A8564C">
        <w:rPr>
          <w:lang w:val="es-ES"/>
        </w:rPr>
        <w:t xml:space="preserve"> entorno de trabajo sin papel y más eficaz y práctico.  </w:t>
      </w:r>
      <w:r w:rsidR="00672F4E" w:rsidRPr="00A8564C">
        <w:rPr>
          <w:lang w:val="es-ES"/>
        </w:rPr>
        <w:t>Además</w:t>
      </w:r>
      <w:r w:rsidR="00C76DC3" w:rsidRPr="00A8564C">
        <w:rPr>
          <w:lang w:val="es-ES"/>
        </w:rPr>
        <w:t xml:space="preserve">, se ha establecido un </w:t>
      </w:r>
      <w:r w:rsidR="00672F4E" w:rsidRPr="00A8564C">
        <w:rPr>
          <w:lang w:val="es-ES"/>
        </w:rPr>
        <w:t xml:space="preserve">sistema </w:t>
      </w:r>
      <w:r w:rsidR="00C76DC3" w:rsidRPr="00A8564C">
        <w:rPr>
          <w:lang w:val="es-ES"/>
        </w:rPr>
        <w:t xml:space="preserve">de </w:t>
      </w:r>
      <w:r w:rsidR="00672F4E" w:rsidRPr="00A8564C">
        <w:rPr>
          <w:lang w:val="es-ES"/>
        </w:rPr>
        <w:t>presentación</w:t>
      </w:r>
      <w:r w:rsidR="00C76DC3" w:rsidRPr="00A8564C">
        <w:rPr>
          <w:lang w:val="es-ES"/>
        </w:rPr>
        <w:t xml:space="preserve"> </w:t>
      </w:r>
      <w:r w:rsidR="00672F4E" w:rsidRPr="00A8564C">
        <w:rPr>
          <w:lang w:val="es-ES"/>
        </w:rPr>
        <w:t>electrónica</w:t>
      </w:r>
      <w:r w:rsidR="00C76DC3" w:rsidRPr="00A8564C">
        <w:rPr>
          <w:lang w:val="es-ES"/>
        </w:rPr>
        <w:t xml:space="preserve"> de solicitudes para todos los</w:t>
      </w:r>
      <w:r w:rsidR="002C70DB" w:rsidRPr="00A8564C">
        <w:rPr>
          <w:lang w:val="es-ES"/>
        </w:rPr>
        <w:t xml:space="preserve"> </w:t>
      </w:r>
      <w:r w:rsidR="00672F4E" w:rsidRPr="00A8564C">
        <w:rPr>
          <w:lang w:val="es-ES"/>
        </w:rPr>
        <w:t>departamentos</w:t>
      </w:r>
      <w:r w:rsidR="002C70DB" w:rsidRPr="00A8564C">
        <w:rPr>
          <w:lang w:val="es-ES"/>
        </w:rPr>
        <w:t xml:space="preserve"> </w:t>
      </w:r>
      <w:r w:rsidR="00C76DC3" w:rsidRPr="00A8564C">
        <w:rPr>
          <w:lang w:val="es-ES"/>
        </w:rPr>
        <w:t xml:space="preserve">de la </w:t>
      </w:r>
      <w:r w:rsidR="00B06CD7" w:rsidRPr="00A8564C">
        <w:rPr>
          <w:lang w:val="es-ES"/>
        </w:rPr>
        <w:t>ILPO</w:t>
      </w:r>
      <w:r w:rsidR="002C70DB" w:rsidRPr="00A8564C">
        <w:rPr>
          <w:lang w:val="es-ES"/>
        </w:rPr>
        <w:t xml:space="preserve">, </w:t>
      </w:r>
      <w:r w:rsidR="00C76DC3" w:rsidRPr="00A8564C">
        <w:rPr>
          <w:lang w:val="es-ES"/>
        </w:rPr>
        <w:t xml:space="preserve">que facilitará todas las </w:t>
      </w:r>
      <w:r w:rsidR="00672F4E" w:rsidRPr="00A8564C">
        <w:rPr>
          <w:lang w:val="es-ES"/>
        </w:rPr>
        <w:t>comunicaciones</w:t>
      </w:r>
      <w:r w:rsidR="00C76DC3" w:rsidRPr="00A8564C">
        <w:rPr>
          <w:lang w:val="es-ES"/>
        </w:rPr>
        <w:t xml:space="preserve"> </w:t>
      </w:r>
      <w:r w:rsidR="00672F4E" w:rsidRPr="00A8564C">
        <w:rPr>
          <w:lang w:val="es-ES"/>
        </w:rPr>
        <w:t>electrónicas</w:t>
      </w:r>
      <w:r w:rsidR="00C76DC3" w:rsidRPr="00A8564C">
        <w:rPr>
          <w:lang w:val="es-ES"/>
        </w:rPr>
        <w:t xml:space="preserve"> </w:t>
      </w:r>
      <w:r w:rsidR="00672F4E" w:rsidRPr="00A8564C">
        <w:rPr>
          <w:lang w:val="es-ES"/>
        </w:rPr>
        <w:t>entrantes</w:t>
      </w:r>
      <w:r w:rsidR="00C76DC3" w:rsidRPr="00A8564C">
        <w:rPr>
          <w:lang w:val="es-ES"/>
        </w:rPr>
        <w:t xml:space="preserve"> y salientes con los </w:t>
      </w:r>
      <w:r w:rsidR="00B06CD7" w:rsidRPr="00A8564C">
        <w:rPr>
          <w:lang w:val="es-ES"/>
        </w:rPr>
        <w:t>solicitantes</w:t>
      </w:r>
      <w:r w:rsidR="00C76DC3" w:rsidRPr="00A8564C">
        <w:rPr>
          <w:lang w:val="es-ES"/>
        </w:rPr>
        <w:t xml:space="preserve">.  El </w:t>
      </w:r>
      <w:r w:rsidR="00672F4E" w:rsidRPr="00A8564C">
        <w:rPr>
          <w:lang w:val="es-ES"/>
        </w:rPr>
        <w:t xml:space="preserve">sistema </w:t>
      </w:r>
      <w:r w:rsidR="00C76DC3" w:rsidRPr="00A8564C">
        <w:rPr>
          <w:lang w:val="es-ES"/>
        </w:rPr>
        <w:t xml:space="preserve">de </w:t>
      </w:r>
      <w:r w:rsidR="00672F4E" w:rsidRPr="00A8564C">
        <w:rPr>
          <w:lang w:val="es-ES"/>
        </w:rPr>
        <w:t>presentación</w:t>
      </w:r>
      <w:r w:rsidR="00C76DC3" w:rsidRPr="00A8564C">
        <w:rPr>
          <w:lang w:val="es-ES"/>
        </w:rPr>
        <w:t xml:space="preserve"> </w:t>
      </w:r>
      <w:r w:rsidR="00672F4E" w:rsidRPr="00A8564C">
        <w:rPr>
          <w:lang w:val="es-ES"/>
        </w:rPr>
        <w:t>electrónica</w:t>
      </w:r>
      <w:r w:rsidR="00C76DC3" w:rsidRPr="00A8564C">
        <w:rPr>
          <w:lang w:val="es-ES"/>
        </w:rPr>
        <w:t xml:space="preserve"> </w:t>
      </w:r>
      <w:r w:rsidR="00672F4E" w:rsidRPr="00A8564C">
        <w:rPr>
          <w:lang w:val="es-ES"/>
        </w:rPr>
        <w:t>de</w:t>
      </w:r>
      <w:r w:rsidR="00C76DC3" w:rsidRPr="00A8564C">
        <w:rPr>
          <w:lang w:val="es-ES"/>
        </w:rPr>
        <w:t xml:space="preserve"> </w:t>
      </w:r>
      <w:r w:rsidR="00672F4E" w:rsidRPr="00A8564C">
        <w:rPr>
          <w:lang w:val="es-ES"/>
        </w:rPr>
        <w:t>solicitudes</w:t>
      </w:r>
      <w:r w:rsidR="00C76DC3" w:rsidRPr="00A8564C">
        <w:rPr>
          <w:lang w:val="es-ES"/>
        </w:rPr>
        <w:t xml:space="preserve"> del </w:t>
      </w:r>
      <w:r w:rsidR="002C70DB" w:rsidRPr="00A8564C">
        <w:rPr>
          <w:rFonts w:eastAsia="Times New Roman"/>
          <w:lang w:val="es-ES"/>
        </w:rPr>
        <w:t xml:space="preserve">PCT </w:t>
      </w:r>
      <w:r w:rsidR="00C76DC3" w:rsidRPr="00A8564C">
        <w:rPr>
          <w:rFonts w:eastAsia="Times New Roman"/>
          <w:lang w:val="es-ES"/>
        </w:rPr>
        <w:t>ha sido muy bien acogido por los s</w:t>
      </w:r>
      <w:r w:rsidR="00B06CD7" w:rsidRPr="00A8564C">
        <w:rPr>
          <w:rFonts w:eastAsia="Times New Roman"/>
          <w:lang w:val="es-ES"/>
        </w:rPr>
        <w:t>olicitantes</w:t>
      </w:r>
      <w:r w:rsidR="002C70DB" w:rsidRPr="00A8564C">
        <w:rPr>
          <w:rFonts w:eastAsia="Times New Roman"/>
          <w:lang w:val="es-ES"/>
        </w:rPr>
        <w:t xml:space="preserve"> </w:t>
      </w:r>
      <w:r w:rsidR="00C76DC3" w:rsidRPr="00A8564C">
        <w:rPr>
          <w:rFonts w:eastAsia="Times New Roman"/>
          <w:lang w:val="es-ES"/>
        </w:rPr>
        <w:t>(</w:t>
      </w:r>
      <w:r w:rsidR="00887A4C" w:rsidRPr="00A8564C">
        <w:rPr>
          <w:rFonts w:eastAsia="Times New Roman"/>
          <w:lang w:val="es-ES"/>
        </w:rPr>
        <w:t xml:space="preserve">a título de </w:t>
      </w:r>
      <w:r w:rsidR="00C76DC3" w:rsidRPr="00A8564C">
        <w:rPr>
          <w:rFonts w:eastAsia="Times New Roman"/>
          <w:lang w:val="es-ES"/>
        </w:rPr>
        <w:t xml:space="preserve">ejemplo, aproximadamente el 99% de las solicitudes </w:t>
      </w:r>
      <w:r w:rsidR="002C70DB" w:rsidRPr="00A8564C">
        <w:rPr>
          <w:rFonts w:eastAsia="Times New Roman"/>
          <w:lang w:val="es-ES"/>
        </w:rPr>
        <w:t xml:space="preserve">PCT </w:t>
      </w:r>
      <w:r w:rsidR="00C76DC3" w:rsidRPr="00A8564C">
        <w:rPr>
          <w:rFonts w:eastAsia="Times New Roman"/>
          <w:lang w:val="es-ES"/>
        </w:rPr>
        <w:t xml:space="preserve">en </w:t>
      </w:r>
      <w:r w:rsidR="002C70DB" w:rsidRPr="00A8564C">
        <w:rPr>
          <w:rFonts w:eastAsia="Times New Roman"/>
          <w:lang w:val="es-ES"/>
        </w:rPr>
        <w:t xml:space="preserve">2016 </w:t>
      </w:r>
      <w:r w:rsidR="00C76DC3" w:rsidRPr="00A8564C">
        <w:rPr>
          <w:rFonts w:eastAsia="Times New Roman"/>
          <w:lang w:val="es-ES"/>
        </w:rPr>
        <w:t>fueron presentadas en línea)</w:t>
      </w:r>
      <w:r w:rsidR="002C70DB" w:rsidRPr="00A8564C">
        <w:rPr>
          <w:rFonts w:eastAsia="Times New Roman"/>
          <w:lang w:val="es-ES"/>
        </w:rPr>
        <w:t>.</w:t>
      </w:r>
    </w:p>
    <w:p w14:paraId="52C00BB3" w14:textId="77777777" w:rsidR="002C70DB" w:rsidRPr="00A8564C" w:rsidRDefault="002C70DB" w:rsidP="00E826DF">
      <w:pPr>
        <w:rPr>
          <w:lang w:val="es-ES"/>
        </w:rPr>
      </w:pPr>
    </w:p>
    <w:p w14:paraId="2C8DBD40" w14:textId="2872EACC" w:rsidR="002C70DB" w:rsidRPr="00A8564C" w:rsidRDefault="00B06CD7" w:rsidP="00E826DF">
      <w:pPr>
        <w:rPr>
          <w:lang w:val="es-ES"/>
        </w:rPr>
      </w:pPr>
      <w:r w:rsidRPr="00A8564C">
        <w:rPr>
          <w:lang w:val="es-ES"/>
        </w:rPr>
        <w:t xml:space="preserve">La ILPO </w:t>
      </w:r>
      <w:r w:rsidR="002C70DB" w:rsidRPr="00A8564C">
        <w:rPr>
          <w:lang w:val="es-ES"/>
        </w:rPr>
        <w:t>ha</w:t>
      </w:r>
      <w:r w:rsidR="00C76DC3" w:rsidRPr="00A8564C">
        <w:rPr>
          <w:lang w:val="es-ES"/>
        </w:rPr>
        <w:t xml:space="preserve"> invertido mucho en las bases de datos de </w:t>
      </w:r>
      <w:r w:rsidR="00672F4E" w:rsidRPr="00A8564C">
        <w:rPr>
          <w:lang w:val="es-ES"/>
        </w:rPr>
        <w:t>búsqueda</w:t>
      </w:r>
      <w:r w:rsidR="00C76DC3" w:rsidRPr="00A8564C">
        <w:rPr>
          <w:lang w:val="es-ES"/>
        </w:rPr>
        <w:t xml:space="preserve"> que se han puesto a </w:t>
      </w:r>
      <w:r w:rsidR="00672F4E" w:rsidRPr="00A8564C">
        <w:rPr>
          <w:lang w:val="es-ES"/>
        </w:rPr>
        <w:t>disposición</w:t>
      </w:r>
      <w:r w:rsidR="00C76DC3" w:rsidRPr="00A8564C">
        <w:rPr>
          <w:lang w:val="es-ES"/>
        </w:rPr>
        <w:t xml:space="preserve"> de los </w:t>
      </w:r>
      <w:r w:rsidR="00F33930" w:rsidRPr="00A8564C">
        <w:rPr>
          <w:lang w:val="es-ES"/>
        </w:rPr>
        <w:t>examinadores de as</w:t>
      </w:r>
      <w:r w:rsidR="00887A4C" w:rsidRPr="00A8564C">
        <w:rPr>
          <w:lang w:val="es-ES"/>
        </w:rPr>
        <w:t>pectos</w:t>
      </w:r>
      <w:r w:rsidR="00F33930" w:rsidRPr="00A8564C">
        <w:rPr>
          <w:lang w:val="es-ES"/>
        </w:rPr>
        <w:t xml:space="preserve"> sustantivos de las patentes</w:t>
      </w:r>
      <w:r w:rsidR="00887A4C" w:rsidRPr="00A8564C">
        <w:rPr>
          <w:lang w:val="es-ES"/>
        </w:rPr>
        <w:t>,</w:t>
      </w:r>
      <w:r w:rsidR="00F33930" w:rsidRPr="00A8564C">
        <w:rPr>
          <w:lang w:val="es-ES"/>
        </w:rPr>
        <w:t xml:space="preserve"> </w:t>
      </w:r>
      <w:r w:rsidR="003610C8" w:rsidRPr="00A8564C">
        <w:rPr>
          <w:lang w:val="es-ES"/>
        </w:rPr>
        <w:t xml:space="preserve">con el fin de ofrecer una cobertura </w:t>
      </w:r>
      <w:r w:rsidR="00672F4E" w:rsidRPr="00A8564C">
        <w:rPr>
          <w:lang w:val="es-ES"/>
        </w:rPr>
        <w:t>más</w:t>
      </w:r>
      <w:r w:rsidR="003610C8" w:rsidRPr="00A8564C">
        <w:rPr>
          <w:lang w:val="es-ES"/>
        </w:rPr>
        <w:t xml:space="preserve"> amplia que rebase el </w:t>
      </w:r>
      <w:r w:rsidR="00672F4E" w:rsidRPr="00A8564C">
        <w:rPr>
          <w:lang w:val="es-ES"/>
        </w:rPr>
        <w:t>requisito</w:t>
      </w:r>
      <w:r w:rsidR="00AA330B" w:rsidRPr="00A8564C">
        <w:rPr>
          <w:lang w:val="es-ES"/>
        </w:rPr>
        <w:t xml:space="preserve"> de </w:t>
      </w:r>
      <w:r w:rsidR="00672F4E" w:rsidRPr="00A8564C">
        <w:rPr>
          <w:lang w:val="es-ES"/>
        </w:rPr>
        <w:t>documentación</w:t>
      </w:r>
      <w:r w:rsidR="00AA330B" w:rsidRPr="00A8564C">
        <w:rPr>
          <w:lang w:val="es-ES"/>
        </w:rPr>
        <w:t xml:space="preserve"> </w:t>
      </w:r>
      <w:r w:rsidR="00672F4E" w:rsidRPr="00A8564C">
        <w:rPr>
          <w:lang w:val="es-ES"/>
        </w:rPr>
        <w:t>mínima</w:t>
      </w:r>
      <w:r w:rsidR="00AA330B" w:rsidRPr="00A8564C">
        <w:rPr>
          <w:lang w:val="es-ES"/>
        </w:rPr>
        <w:t xml:space="preserve"> del PCT.</w:t>
      </w:r>
      <w:r w:rsidR="002C70DB" w:rsidRPr="00A8564C">
        <w:rPr>
          <w:rStyle w:val="FootnoteReference"/>
          <w:rFonts w:eastAsia="Times New Roman"/>
          <w:sz w:val="24"/>
          <w:szCs w:val="24"/>
          <w:lang w:val="es-ES"/>
        </w:rPr>
        <w:footnoteReference w:id="25"/>
      </w:r>
      <w:r w:rsidR="003610C8" w:rsidRPr="00A8564C">
        <w:rPr>
          <w:lang w:val="es-ES"/>
        </w:rPr>
        <w:t xml:space="preserve">  Se ha dado acceso a los</w:t>
      </w:r>
      <w:r w:rsidR="002C70DB" w:rsidRPr="00A8564C">
        <w:rPr>
          <w:lang w:val="es-ES"/>
        </w:rPr>
        <w:t xml:space="preserve"> </w:t>
      </w:r>
      <w:r w:rsidRPr="00A8564C">
        <w:rPr>
          <w:lang w:val="es-ES"/>
        </w:rPr>
        <w:t>examinadores</w:t>
      </w:r>
      <w:r w:rsidR="003610C8" w:rsidRPr="00A8564C">
        <w:rPr>
          <w:lang w:val="es-ES"/>
        </w:rPr>
        <w:t xml:space="preserve"> a las bases de datos de </w:t>
      </w:r>
      <w:r w:rsidR="00672F4E" w:rsidRPr="00A8564C">
        <w:rPr>
          <w:lang w:val="es-ES"/>
        </w:rPr>
        <w:t>búsqueda</w:t>
      </w:r>
      <w:r w:rsidR="003610C8" w:rsidRPr="00A8564C">
        <w:rPr>
          <w:lang w:val="es-ES"/>
        </w:rPr>
        <w:t xml:space="preserve"> </w:t>
      </w:r>
      <w:r w:rsidR="00672F4E" w:rsidRPr="00A8564C">
        <w:rPr>
          <w:lang w:val="es-ES"/>
        </w:rPr>
        <w:t>más</w:t>
      </w:r>
      <w:r w:rsidR="003610C8" w:rsidRPr="00A8564C">
        <w:rPr>
          <w:lang w:val="es-ES"/>
        </w:rPr>
        <w:t xml:space="preserve"> avanzadas</w:t>
      </w:r>
      <w:r w:rsidR="002C70DB" w:rsidRPr="00A8564C">
        <w:rPr>
          <w:lang w:val="es-ES"/>
        </w:rPr>
        <w:t xml:space="preserve">, </w:t>
      </w:r>
      <w:r w:rsidR="003610C8" w:rsidRPr="00A8564C">
        <w:rPr>
          <w:lang w:val="es-ES"/>
        </w:rPr>
        <w:t xml:space="preserve">que albergan </w:t>
      </w:r>
      <w:r w:rsidR="00672F4E" w:rsidRPr="00A8564C">
        <w:rPr>
          <w:lang w:val="es-ES"/>
        </w:rPr>
        <w:t>documentación</w:t>
      </w:r>
      <w:r w:rsidR="003610C8" w:rsidRPr="00A8564C">
        <w:rPr>
          <w:lang w:val="es-ES"/>
        </w:rPr>
        <w:t xml:space="preserve"> relacionada o no </w:t>
      </w:r>
      <w:r w:rsidR="00887A4C" w:rsidRPr="00A8564C">
        <w:rPr>
          <w:lang w:val="es-ES"/>
        </w:rPr>
        <w:t xml:space="preserve">relacionada </w:t>
      </w:r>
      <w:r w:rsidR="003610C8" w:rsidRPr="00A8564C">
        <w:rPr>
          <w:lang w:val="es-ES"/>
        </w:rPr>
        <w:t xml:space="preserve">con patentes en todos los campos </w:t>
      </w:r>
      <w:r w:rsidR="00672F4E" w:rsidRPr="00A8564C">
        <w:rPr>
          <w:lang w:val="es-ES"/>
        </w:rPr>
        <w:t>técnicos</w:t>
      </w:r>
      <w:r w:rsidR="003610C8" w:rsidRPr="00A8564C">
        <w:rPr>
          <w:lang w:val="es-ES"/>
        </w:rPr>
        <w:t xml:space="preserve"> </w:t>
      </w:r>
      <w:r w:rsidR="00887A4C" w:rsidRPr="00A8564C">
        <w:rPr>
          <w:lang w:val="es-ES"/>
        </w:rPr>
        <w:t>e incluyen</w:t>
      </w:r>
      <w:r w:rsidR="003610C8" w:rsidRPr="00A8564C">
        <w:rPr>
          <w:lang w:val="es-ES"/>
        </w:rPr>
        <w:t xml:space="preserve"> la </w:t>
      </w:r>
      <w:r w:rsidR="00672F4E" w:rsidRPr="00A8564C">
        <w:rPr>
          <w:lang w:val="es-ES"/>
        </w:rPr>
        <w:t>función</w:t>
      </w:r>
      <w:r w:rsidR="003610C8" w:rsidRPr="00A8564C">
        <w:rPr>
          <w:lang w:val="es-ES"/>
        </w:rPr>
        <w:t xml:space="preserve"> de </w:t>
      </w:r>
      <w:r w:rsidR="00672F4E" w:rsidRPr="00A8564C">
        <w:rPr>
          <w:lang w:val="es-ES"/>
        </w:rPr>
        <w:t>traducción</w:t>
      </w:r>
      <w:r w:rsidR="003610C8" w:rsidRPr="00A8564C">
        <w:rPr>
          <w:lang w:val="es-ES"/>
        </w:rPr>
        <w:t xml:space="preserve"> </w:t>
      </w:r>
      <w:r w:rsidR="00672F4E" w:rsidRPr="00A8564C">
        <w:rPr>
          <w:lang w:val="es-ES"/>
        </w:rPr>
        <w:t>automática</w:t>
      </w:r>
      <w:r w:rsidR="003610C8" w:rsidRPr="00A8564C">
        <w:rPr>
          <w:lang w:val="es-ES"/>
        </w:rPr>
        <w:t xml:space="preserve">, y </w:t>
      </w:r>
      <w:r w:rsidR="00887A4C" w:rsidRPr="00A8564C">
        <w:rPr>
          <w:lang w:val="es-ES"/>
        </w:rPr>
        <w:t>contienen t</w:t>
      </w:r>
      <w:r w:rsidR="003610C8" w:rsidRPr="00A8564C">
        <w:rPr>
          <w:lang w:val="es-ES"/>
        </w:rPr>
        <w:t xml:space="preserve">odas las herramientas de </w:t>
      </w:r>
      <w:r w:rsidR="00672F4E" w:rsidRPr="00A8564C">
        <w:rPr>
          <w:lang w:val="es-ES"/>
        </w:rPr>
        <w:t>búsqueda</w:t>
      </w:r>
      <w:r w:rsidR="003610C8" w:rsidRPr="00A8564C">
        <w:rPr>
          <w:lang w:val="es-ES"/>
        </w:rPr>
        <w:t xml:space="preserve"> </w:t>
      </w:r>
      <w:r w:rsidR="00672F4E" w:rsidRPr="00A8564C">
        <w:rPr>
          <w:lang w:val="es-ES"/>
        </w:rPr>
        <w:t>necesarias</w:t>
      </w:r>
      <w:r w:rsidR="003610C8" w:rsidRPr="00A8564C">
        <w:rPr>
          <w:lang w:val="es-ES"/>
        </w:rPr>
        <w:t xml:space="preserve"> para </w:t>
      </w:r>
      <w:r w:rsidR="00672F4E" w:rsidRPr="00A8564C">
        <w:rPr>
          <w:lang w:val="es-ES"/>
        </w:rPr>
        <w:t>realizar</w:t>
      </w:r>
      <w:r w:rsidR="003610C8" w:rsidRPr="00A8564C">
        <w:rPr>
          <w:lang w:val="es-ES"/>
        </w:rPr>
        <w:t xml:space="preserve"> una </w:t>
      </w:r>
      <w:r w:rsidR="00672F4E" w:rsidRPr="00A8564C">
        <w:rPr>
          <w:lang w:val="es-ES"/>
        </w:rPr>
        <w:t>búsqueda</w:t>
      </w:r>
      <w:r w:rsidR="003610C8" w:rsidRPr="00A8564C">
        <w:rPr>
          <w:lang w:val="es-ES"/>
        </w:rPr>
        <w:t xml:space="preserve"> exhaustiva</w:t>
      </w:r>
      <w:r w:rsidR="002C70DB" w:rsidRPr="00A8564C">
        <w:rPr>
          <w:lang w:val="es-ES"/>
        </w:rPr>
        <w:t xml:space="preserve">, </w:t>
      </w:r>
      <w:r w:rsidR="00887A4C" w:rsidRPr="00A8564C">
        <w:rPr>
          <w:lang w:val="es-ES"/>
        </w:rPr>
        <w:t xml:space="preserve">incluida </w:t>
      </w:r>
      <w:r w:rsidR="003610C8" w:rsidRPr="00A8564C">
        <w:rPr>
          <w:lang w:val="es-ES"/>
        </w:rPr>
        <w:t xml:space="preserve">la </w:t>
      </w:r>
      <w:r w:rsidR="00672F4E" w:rsidRPr="00A8564C">
        <w:rPr>
          <w:lang w:val="es-ES"/>
        </w:rPr>
        <w:t>búsqueda</w:t>
      </w:r>
      <w:r w:rsidR="003610C8" w:rsidRPr="00A8564C">
        <w:rPr>
          <w:lang w:val="es-ES"/>
        </w:rPr>
        <w:t xml:space="preserve"> de estructuras </w:t>
      </w:r>
      <w:r w:rsidR="00672F4E" w:rsidRPr="00A8564C">
        <w:rPr>
          <w:lang w:val="es-ES"/>
        </w:rPr>
        <w:t>químicas</w:t>
      </w:r>
      <w:r w:rsidR="003610C8" w:rsidRPr="00A8564C">
        <w:rPr>
          <w:lang w:val="es-ES"/>
        </w:rPr>
        <w:t xml:space="preserve"> y secuencias </w:t>
      </w:r>
      <w:r w:rsidR="00672F4E" w:rsidRPr="00A8564C">
        <w:rPr>
          <w:lang w:val="es-ES"/>
        </w:rPr>
        <w:t>biológicas</w:t>
      </w:r>
      <w:r w:rsidR="002C70DB" w:rsidRPr="00A8564C">
        <w:rPr>
          <w:lang w:val="es-ES"/>
        </w:rPr>
        <w:t>.</w:t>
      </w:r>
    </w:p>
    <w:p w14:paraId="54A21751" w14:textId="77777777" w:rsidR="002C70DB" w:rsidRPr="00A8564C" w:rsidRDefault="002C70DB" w:rsidP="00E826DF">
      <w:pPr>
        <w:rPr>
          <w:highlight w:val="yellow"/>
          <w:lang w:val="es-ES"/>
        </w:rPr>
      </w:pPr>
    </w:p>
    <w:p w14:paraId="69655ACF" w14:textId="011A988A" w:rsidR="002C70DB" w:rsidRPr="00A8564C" w:rsidRDefault="00B06CD7" w:rsidP="00E826DF">
      <w:pPr>
        <w:rPr>
          <w:lang w:val="es-ES"/>
        </w:rPr>
      </w:pPr>
      <w:r w:rsidRPr="00A8564C">
        <w:rPr>
          <w:lang w:val="es-ES"/>
        </w:rPr>
        <w:t xml:space="preserve">La ILPO </w:t>
      </w:r>
      <w:r w:rsidR="003610C8" w:rsidRPr="00A8564C">
        <w:rPr>
          <w:lang w:val="es-ES"/>
        </w:rPr>
        <w:t xml:space="preserve">considera que la puntualidad y la calidad de los </w:t>
      </w:r>
      <w:r w:rsidR="009B56A2" w:rsidRPr="00A8564C">
        <w:rPr>
          <w:lang w:val="es-ES"/>
        </w:rPr>
        <w:t xml:space="preserve">documentos y materiales </w:t>
      </w:r>
      <w:r w:rsidR="00885167" w:rsidRPr="00A8564C">
        <w:rPr>
          <w:lang w:val="es-ES"/>
        </w:rPr>
        <w:t>resulta</w:t>
      </w:r>
      <w:r w:rsidR="009B56A2" w:rsidRPr="00A8564C">
        <w:rPr>
          <w:lang w:val="es-ES"/>
        </w:rPr>
        <w:t>ntes</w:t>
      </w:r>
      <w:r w:rsidR="00885167" w:rsidRPr="00A8564C">
        <w:rPr>
          <w:lang w:val="es-ES"/>
        </w:rPr>
        <w:t xml:space="preserve"> de </w:t>
      </w:r>
      <w:r w:rsidR="003610C8" w:rsidRPr="00A8564C">
        <w:rPr>
          <w:lang w:val="es-ES"/>
        </w:rPr>
        <w:t xml:space="preserve">su </w:t>
      </w:r>
      <w:r w:rsidR="009B56A2" w:rsidRPr="00A8564C">
        <w:rPr>
          <w:lang w:val="es-ES"/>
        </w:rPr>
        <w:t>labor</w:t>
      </w:r>
      <w:r w:rsidR="003610C8" w:rsidRPr="00A8564C">
        <w:rPr>
          <w:lang w:val="es-ES"/>
        </w:rPr>
        <w:t xml:space="preserve"> </w:t>
      </w:r>
      <w:r w:rsidR="00672F4E" w:rsidRPr="00A8564C">
        <w:rPr>
          <w:lang w:val="es-ES"/>
        </w:rPr>
        <w:t>internacional</w:t>
      </w:r>
      <w:r w:rsidR="003610C8" w:rsidRPr="00A8564C">
        <w:rPr>
          <w:lang w:val="es-ES"/>
        </w:rPr>
        <w:t xml:space="preserve"> son una </w:t>
      </w:r>
      <w:r w:rsidR="00885167" w:rsidRPr="00A8564C">
        <w:rPr>
          <w:lang w:val="es-ES"/>
        </w:rPr>
        <w:t xml:space="preserve">de las </w:t>
      </w:r>
      <w:r w:rsidR="003610C8" w:rsidRPr="00A8564C">
        <w:rPr>
          <w:lang w:val="es-ES"/>
        </w:rPr>
        <w:t>prioridad</w:t>
      </w:r>
      <w:r w:rsidR="00885167" w:rsidRPr="00A8564C">
        <w:rPr>
          <w:lang w:val="es-ES"/>
        </w:rPr>
        <w:t>es</w:t>
      </w:r>
      <w:r w:rsidR="003610C8" w:rsidRPr="00A8564C">
        <w:rPr>
          <w:lang w:val="es-ES"/>
        </w:rPr>
        <w:t xml:space="preserve"> </w:t>
      </w:r>
      <w:r w:rsidR="00672F4E" w:rsidRPr="00A8564C">
        <w:rPr>
          <w:lang w:val="es-ES"/>
        </w:rPr>
        <w:t>estratégica</w:t>
      </w:r>
      <w:r w:rsidR="00885167" w:rsidRPr="00A8564C">
        <w:rPr>
          <w:lang w:val="es-ES"/>
        </w:rPr>
        <w:t>s</w:t>
      </w:r>
      <w:r w:rsidR="003610C8" w:rsidRPr="00A8564C">
        <w:rPr>
          <w:lang w:val="es-ES"/>
        </w:rPr>
        <w:t xml:space="preserve"> de </w:t>
      </w:r>
      <w:r w:rsidR="00672F4E" w:rsidRPr="00A8564C">
        <w:rPr>
          <w:lang w:val="es-ES"/>
        </w:rPr>
        <w:t>sus</w:t>
      </w:r>
      <w:r w:rsidR="003610C8" w:rsidRPr="00A8564C">
        <w:rPr>
          <w:lang w:val="es-ES"/>
        </w:rPr>
        <w:t xml:space="preserve"> actividades</w:t>
      </w:r>
      <w:r w:rsidR="002C70DB" w:rsidRPr="00A8564C">
        <w:rPr>
          <w:lang w:val="es-ES"/>
        </w:rPr>
        <w:t xml:space="preserve">. </w:t>
      </w:r>
    </w:p>
    <w:p w14:paraId="7059B5FA" w14:textId="77777777" w:rsidR="002C70DB" w:rsidRPr="00A8564C" w:rsidRDefault="002C70DB" w:rsidP="00E826DF">
      <w:pPr>
        <w:rPr>
          <w:lang w:val="es-ES"/>
        </w:rPr>
      </w:pPr>
    </w:p>
    <w:p w14:paraId="3CA71E8C" w14:textId="3A3D396F" w:rsidR="002C70DB" w:rsidRPr="00A8564C" w:rsidRDefault="00206A4A" w:rsidP="00E826DF">
      <w:pPr>
        <w:rPr>
          <w:lang w:val="es-ES"/>
        </w:rPr>
      </w:pPr>
      <w:r w:rsidRPr="00A8564C">
        <w:rPr>
          <w:lang w:val="es-ES"/>
        </w:rPr>
        <w:t>L</w:t>
      </w:r>
      <w:r w:rsidR="00885167" w:rsidRPr="00A8564C">
        <w:rPr>
          <w:lang w:val="es-ES"/>
        </w:rPr>
        <w:t>a óptima calidad de los</w:t>
      </w:r>
      <w:r w:rsidRPr="00A8564C">
        <w:rPr>
          <w:lang w:val="es-ES"/>
        </w:rPr>
        <w:t xml:space="preserve"> </w:t>
      </w:r>
      <w:r w:rsidR="00672F4E" w:rsidRPr="00A8564C">
        <w:rPr>
          <w:lang w:val="es-ES"/>
        </w:rPr>
        <w:t>servicios</w:t>
      </w:r>
      <w:r w:rsidRPr="00A8564C">
        <w:rPr>
          <w:lang w:val="es-ES"/>
        </w:rPr>
        <w:t xml:space="preserve"> que ofrece la ILPO</w:t>
      </w:r>
      <w:r w:rsidR="002C70DB" w:rsidRPr="00A8564C">
        <w:rPr>
          <w:lang w:val="es-ES"/>
        </w:rPr>
        <w:t>,</w:t>
      </w:r>
      <w:r w:rsidR="00885167" w:rsidRPr="00A8564C">
        <w:rPr>
          <w:lang w:val="es-ES"/>
        </w:rPr>
        <w:t xml:space="preserve"> como</w:t>
      </w:r>
      <w:r w:rsidRPr="00A8564C">
        <w:rPr>
          <w:lang w:val="es-ES"/>
        </w:rPr>
        <w:t xml:space="preserve"> </w:t>
      </w:r>
      <w:r w:rsidR="002C70DB" w:rsidRPr="00A8564C">
        <w:rPr>
          <w:lang w:val="es-ES"/>
        </w:rPr>
        <w:t>ISA/IPEA, h</w:t>
      </w:r>
      <w:r w:rsidRPr="00A8564C">
        <w:rPr>
          <w:lang w:val="es-ES"/>
        </w:rPr>
        <w:t xml:space="preserve">a permitido ampliar el </w:t>
      </w:r>
      <w:r w:rsidR="00672F4E" w:rsidRPr="00A8564C">
        <w:rPr>
          <w:lang w:val="es-ES"/>
        </w:rPr>
        <w:t>número</w:t>
      </w:r>
      <w:r w:rsidRPr="00A8564C">
        <w:rPr>
          <w:lang w:val="es-ES"/>
        </w:rPr>
        <w:t xml:space="preserve"> de </w:t>
      </w:r>
      <w:r w:rsidR="00672F4E" w:rsidRPr="00A8564C">
        <w:rPr>
          <w:lang w:val="es-ES"/>
        </w:rPr>
        <w:t>países</w:t>
      </w:r>
      <w:r w:rsidRPr="00A8564C">
        <w:rPr>
          <w:lang w:val="es-ES"/>
        </w:rPr>
        <w:t xml:space="preserve"> </w:t>
      </w:r>
      <w:r w:rsidR="00885167" w:rsidRPr="00A8564C">
        <w:rPr>
          <w:lang w:val="es-ES"/>
        </w:rPr>
        <w:t>cuyos</w:t>
      </w:r>
      <w:r w:rsidRPr="00A8564C">
        <w:rPr>
          <w:lang w:val="es-ES"/>
        </w:rPr>
        <w:t xml:space="preserve"> </w:t>
      </w:r>
      <w:r w:rsidR="00B06CD7" w:rsidRPr="00A8564C">
        <w:rPr>
          <w:lang w:val="es-ES"/>
        </w:rPr>
        <w:t>solicitantes</w:t>
      </w:r>
      <w:r w:rsidR="002C70DB" w:rsidRPr="00A8564C">
        <w:rPr>
          <w:lang w:val="es-ES"/>
        </w:rPr>
        <w:t xml:space="preserve"> </w:t>
      </w:r>
      <w:r w:rsidRPr="00A8564C">
        <w:rPr>
          <w:lang w:val="es-ES"/>
        </w:rPr>
        <w:t xml:space="preserve">pueden elegir a la </w:t>
      </w:r>
      <w:r w:rsidR="00B06CD7" w:rsidRPr="00A8564C">
        <w:rPr>
          <w:lang w:val="es-ES"/>
        </w:rPr>
        <w:t>ILPO</w:t>
      </w:r>
      <w:r w:rsidRPr="00A8564C">
        <w:rPr>
          <w:lang w:val="es-ES"/>
        </w:rPr>
        <w:t xml:space="preserve"> como</w:t>
      </w:r>
      <w:r w:rsidR="002C70DB" w:rsidRPr="00A8564C">
        <w:rPr>
          <w:lang w:val="es-ES"/>
        </w:rPr>
        <w:t xml:space="preserve"> ISA/IPEA</w:t>
      </w:r>
      <w:r w:rsidR="009E7E5E" w:rsidRPr="00A8564C">
        <w:rPr>
          <w:lang w:val="es-ES"/>
        </w:rPr>
        <w:t xml:space="preserve">.  </w:t>
      </w:r>
      <w:r w:rsidRPr="00A8564C">
        <w:rPr>
          <w:lang w:val="es-ES"/>
        </w:rPr>
        <w:t xml:space="preserve">Como se señaló </w:t>
      </w:r>
      <w:r w:rsidR="00672F4E" w:rsidRPr="00A8564C">
        <w:rPr>
          <w:lang w:val="es-ES"/>
        </w:rPr>
        <w:t>anteriormente</w:t>
      </w:r>
      <w:r w:rsidRPr="00A8564C">
        <w:rPr>
          <w:lang w:val="es-ES"/>
        </w:rPr>
        <w:t xml:space="preserve">, la </w:t>
      </w:r>
      <w:r w:rsidR="00B06CD7" w:rsidRPr="00A8564C">
        <w:rPr>
          <w:lang w:val="es-ES"/>
        </w:rPr>
        <w:t xml:space="preserve">ILPO </w:t>
      </w:r>
      <w:r w:rsidRPr="00A8564C">
        <w:rPr>
          <w:lang w:val="es-ES"/>
        </w:rPr>
        <w:t xml:space="preserve">actúa actualmente como </w:t>
      </w:r>
      <w:r w:rsidR="002C70DB" w:rsidRPr="00A8564C">
        <w:rPr>
          <w:lang w:val="es-ES"/>
        </w:rPr>
        <w:t xml:space="preserve">ISA/IPEA </w:t>
      </w:r>
      <w:r w:rsidRPr="00A8564C">
        <w:rPr>
          <w:lang w:val="es-ES"/>
        </w:rPr>
        <w:t xml:space="preserve">para solicitantes de Israel, </w:t>
      </w:r>
      <w:r w:rsidR="00672F4E" w:rsidRPr="00A8564C">
        <w:rPr>
          <w:lang w:val="es-ES"/>
        </w:rPr>
        <w:t>Estados</w:t>
      </w:r>
      <w:r w:rsidRPr="00A8564C">
        <w:rPr>
          <w:lang w:val="es-ES"/>
        </w:rPr>
        <w:t xml:space="preserve"> </w:t>
      </w:r>
      <w:r w:rsidR="00672F4E" w:rsidRPr="00A8564C">
        <w:rPr>
          <w:lang w:val="es-ES"/>
        </w:rPr>
        <w:t>Unidos</w:t>
      </w:r>
      <w:r w:rsidRPr="00A8564C">
        <w:rPr>
          <w:lang w:val="es-ES"/>
        </w:rPr>
        <w:t xml:space="preserve"> y Georgia</w:t>
      </w:r>
      <w:r w:rsidR="009E7E5E" w:rsidRPr="00A8564C">
        <w:rPr>
          <w:lang w:val="es-ES"/>
        </w:rPr>
        <w:t xml:space="preserve">.  </w:t>
      </w:r>
      <w:r w:rsidRPr="00A8564C">
        <w:rPr>
          <w:lang w:val="es-ES"/>
        </w:rPr>
        <w:t xml:space="preserve">En una </w:t>
      </w:r>
      <w:r w:rsidR="00672F4E" w:rsidRPr="00A8564C">
        <w:rPr>
          <w:lang w:val="es-ES"/>
        </w:rPr>
        <w:t>etapa</w:t>
      </w:r>
      <w:r w:rsidRPr="00A8564C">
        <w:rPr>
          <w:lang w:val="es-ES"/>
        </w:rPr>
        <w:t xml:space="preserve"> posterior, si se llega a un acuerdo con otras oficinas de patentes, la </w:t>
      </w:r>
      <w:r w:rsidR="00611FA5" w:rsidRPr="00A8564C">
        <w:rPr>
          <w:lang w:val="es-ES"/>
        </w:rPr>
        <w:t>Oficina Israelí de Patentes</w:t>
      </w:r>
      <w:r w:rsidRPr="00A8564C">
        <w:rPr>
          <w:lang w:val="es-ES"/>
        </w:rPr>
        <w:t xml:space="preserve"> espera poder tramitar </w:t>
      </w:r>
      <w:r w:rsidR="00672F4E" w:rsidRPr="00A8564C">
        <w:rPr>
          <w:lang w:val="es-ES"/>
        </w:rPr>
        <w:t>también</w:t>
      </w:r>
      <w:r w:rsidRPr="00A8564C">
        <w:rPr>
          <w:lang w:val="es-ES"/>
        </w:rPr>
        <w:t xml:space="preserve"> </w:t>
      </w:r>
      <w:r w:rsidR="00672F4E" w:rsidRPr="00A8564C">
        <w:rPr>
          <w:lang w:val="es-ES"/>
        </w:rPr>
        <w:t>las</w:t>
      </w:r>
      <w:r w:rsidRPr="00A8564C">
        <w:rPr>
          <w:lang w:val="es-ES"/>
        </w:rPr>
        <w:t xml:space="preserve"> </w:t>
      </w:r>
      <w:r w:rsidR="00672F4E" w:rsidRPr="00A8564C">
        <w:rPr>
          <w:lang w:val="es-ES"/>
        </w:rPr>
        <w:t>solicitudes</w:t>
      </w:r>
      <w:r w:rsidRPr="00A8564C">
        <w:rPr>
          <w:lang w:val="es-ES"/>
        </w:rPr>
        <w:t xml:space="preserve"> presentadas por solicitantes de </w:t>
      </w:r>
      <w:r w:rsidR="00672F4E" w:rsidRPr="00A8564C">
        <w:rPr>
          <w:lang w:val="es-ES"/>
        </w:rPr>
        <w:t>países</w:t>
      </w:r>
      <w:r w:rsidRPr="00A8564C">
        <w:rPr>
          <w:lang w:val="es-ES"/>
        </w:rPr>
        <w:t xml:space="preserve"> extranjeros</w:t>
      </w:r>
      <w:r w:rsidR="009E7E5E" w:rsidRPr="00A8564C">
        <w:rPr>
          <w:lang w:val="es-ES"/>
        </w:rPr>
        <w:t xml:space="preserve">.  </w:t>
      </w:r>
      <w:r w:rsidRPr="00A8564C">
        <w:rPr>
          <w:lang w:val="es-ES"/>
        </w:rPr>
        <w:t xml:space="preserve">La ILPO considera </w:t>
      </w:r>
      <w:r w:rsidR="00885167" w:rsidRPr="00A8564C">
        <w:rPr>
          <w:lang w:val="es-ES"/>
        </w:rPr>
        <w:t xml:space="preserve">que </w:t>
      </w:r>
      <w:r w:rsidR="00672F4E" w:rsidRPr="00A8564C">
        <w:rPr>
          <w:lang w:val="es-ES"/>
        </w:rPr>
        <w:t>esos</w:t>
      </w:r>
      <w:r w:rsidRPr="00A8564C">
        <w:rPr>
          <w:lang w:val="es-ES"/>
        </w:rPr>
        <w:t xml:space="preserve"> servicios </w:t>
      </w:r>
      <w:r w:rsidR="00885167" w:rsidRPr="00A8564C">
        <w:rPr>
          <w:lang w:val="es-ES"/>
        </w:rPr>
        <w:t>son</w:t>
      </w:r>
      <w:r w:rsidRPr="00A8564C">
        <w:rPr>
          <w:lang w:val="es-ES"/>
        </w:rPr>
        <w:t xml:space="preserve"> un indicio de los avances </w:t>
      </w:r>
      <w:r w:rsidR="00672F4E" w:rsidRPr="00A8564C">
        <w:rPr>
          <w:lang w:val="es-ES"/>
        </w:rPr>
        <w:t>tecnológicos</w:t>
      </w:r>
      <w:r w:rsidRPr="00A8564C">
        <w:rPr>
          <w:lang w:val="es-ES"/>
        </w:rPr>
        <w:t xml:space="preserve"> de la </w:t>
      </w:r>
      <w:r w:rsidR="00672F4E" w:rsidRPr="00A8564C">
        <w:rPr>
          <w:lang w:val="es-ES"/>
        </w:rPr>
        <w:t>economía</w:t>
      </w:r>
      <w:r w:rsidRPr="00A8564C">
        <w:rPr>
          <w:lang w:val="es-ES"/>
        </w:rPr>
        <w:t xml:space="preserve"> local.</w:t>
      </w:r>
    </w:p>
    <w:p w14:paraId="724BBBE5" w14:textId="77777777" w:rsidR="002C70DB" w:rsidRPr="00A8564C" w:rsidRDefault="002C70DB" w:rsidP="00E826DF">
      <w:pPr>
        <w:rPr>
          <w:lang w:val="es-ES"/>
        </w:rPr>
      </w:pPr>
    </w:p>
    <w:p w14:paraId="5E7434A1" w14:textId="6B6E7948" w:rsidR="002C70DB" w:rsidRPr="00A8564C" w:rsidRDefault="00B06CD7" w:rsidP="00E826DF">
      <w:pPr>
        <w:rPr>
          <w:lang w:val="es-ES"/>
        </w:rPr>
      </w:pPr>
      <w:r w:rsidRPr="00A8564C">
        <w:rPr>
          <w:lang w:val="es-ES"/>
        </w:rPr>
        <w:t>La ILPO</w:t>
      </w:r>
      <w:r w:rsidR="00206A4A" w:rsidRPr="00A8564C">
        <w:rPr>
          <w:lang w:val="es-ES"/>
        </w:rPr>
        <w:t xml:space="preserve"> ha sido una de las primeras ISA </w:t>
      </w:r>
      <w:r w:rsidR="00885167" w:rsidRPr="00A8564C">
        <w:rPr>
          <w:lang w:val="es-ES"/>
        </w:rPr>
        <w:t>en ofrecer</w:t>
      </w:r>
      <w:r w:rsidR="00206A4A" w:rsidRPr="00A8564C">
        <w:rPr>
          <w:lang w:val="es-ES"/>
        </w:rPr>
        <w:t xml:space="preserve"> informes de </w:t>
      </w:r>
      <w:r w:rsidR="00672F4E" w:rsidRPr="00A8564C">
        <w:rPr>
          <w:lang w:val="es-ES"/>
        </w:rPr>
        <w:t>estrategia</w:t>
      </w:r>
      <w:r w:rsidR="00206A4A" w:rsidRPr="00A8564C">
        <w:rPr>
          <w:lang w:val="es-ES"/>
        </w:rPr>
        <w:t xml:space="preserve"> de </w:t>
      </w:r>
      <w:r w:rsidR="00672F4E" w:rsidRPr="00A8564C">
        <w:rPr>
          <w:lang w:val="es-ES"/>
        </w:rPr>
        <w:t>búsqueda</w:t>
      </w:r>
      <w:r w:rsidR="00206A4A" w:rsidRPr="00A8564C">
        <w:rPr>
          <w:lang w:val="es-ES"/>
        </w:rPr>
        <w:t xml:space="preserve">, junto con </w:t>
      </w:r>
      <w:r w:rsidR="00672F4E" w:rsidRPr="00A8564C">
        <w:rPr>
          <w:lang w:val="es-ES"/>
        </w:rPr>
        <w:t>los inf</w:t>
      </w:r>
      <w:r w:rsidR="00885167" w:rsidRPr="00A8564C">
        <w:rPr>
          <w:lang w:val="es-ES"/>
        </w:rPr>
        <w:t>ormes de búsqueda internacional</w:t>
      </w:r>
      <w:r w:rsidR="00206A4A" w:rsidRPr="00A8564C">
        <w:rPr>
          <w:lang w:val="es-ES"/>
        </w:rPr>
        <w:t xml:space="preserve"> para las solicitudes PCT, desde abril de </w:t>
      </w:r>
      <w:r w:rsidR="002C70DB" w:rsidRPr="00A8564C">
        <w:rPr>
          <w:lang w:val="es-ES"/>
        </w:rPr>
        <w:t>2013.</w:t>
      </w:r>
    </w:p>
    <w:p w14:paraId="2B13E8D2" w14:textId="77777777" w:rsidR="002C70DB" w:rsidRPr="00A8564C" w:rsidRDefault="002C70DB" w:rsidP="00E826DF">
      <w:pPr>
        <w:rPr>
          <w:lang w:val="es-ES"/>
        </w:rPr>
      </w:pPr>
    </w:p>
    <w:p w14:paraId="35D77C15" w14:textId="1DF63224" w:rsidR="002C70DB" w:rsidRPr="00A8564C" w:rsidRDefault="00B06CD7" w:rsidP="00E826DF">
      <w:pPr>
        <w:rPr>
          <w:lang w:val="es-ES"/>
        </w:rPr>
      </w:pPr>
      <w:r w:rsidRPr="00A8564C">
        <w:rPr>
          <w:lang w:val="es-ES"/>
        </w:rPr>
        <w:t>La ILPO</w:t>
      </w:r>
      <w:r w:rsidR="00206A4A" w:rsidRPr="00A8564C">
        <w:rPr>
          <w:lang w:val="es-ES"/>
        </w:rPr>
        <w:t xml:space="preserve"> considera que el </w:t>
      </w:r>
      <w:r w:rsidR="00672F4E" w:rsidRPr="00A8564C">
        <w:rPr>
          <w:lang w:val="es-ES"/>
        </w:rPr>
        <w:t xml:space="preserve">sistema </w:t>
      </w:r>
      <w:r w:rsidR="002C70DB" w:rsidRPr="00A8564C">
        <w:rPr>
          <w:lang w:val="es-ES"/>
        </w:rPr>
        <w:t>PCT</w:t>
      </w:r>
      <w:r w:rsidR="00206A4A" w:rsidRPr="00A8564C">
        <w:rPr>
          <w:lang w:val="es-ES"/>
        </w:rPr>
        <w:t xml:space="preserve"> es una herramienta que permite identificar las </w:t>
      </w:r>
      <w:r w:rsidR="00885167" w:rsidRPr="00A8564C">
        <w:rPr>
          <w:lang w:val="es-ES"/>
        </w:rPr>
        <w:t xml:space="preserve">áreas en que </w:t>
      </w:r>
      <w:r w:rsidR="00206A4A" w:rsidRPr="00A8564C">
        <w:rPr>
          <w:lang w:val="es-ES"/>
        </w:rPr>
        <w:t xml:space="preserve">se ha mejorado la eficacia y utilizarlas para promover el </w:t>
      </w:r>
      <w:r w:rsidR="00672F4E" w:rsidRPr="00A8564C">
        <w:rPr>
          <w:lang w:val="es-ES"/>
        </w:rPr>
        <w:t xml:space="preserve">sistema </w:t>
      </w:r>
      <w:r w:rsidR="00206A4A" w:rsidRPr="00A8564C">
        <w:rPr>
          <w:lang w:val="es-ES"/>
        </w:rPr>
        <w:t xml:space="preserve">de </w:t>
      </w:r>
      <w:r w:rsidR="00672F4E" w:rsidRPr="00A8564C">
        <w:rPr>
          <w:lang w:val="es-ES"/>
        </w:rPr>
        <w:t>patentes</w:t>
      </w:r>
      <w:r w:rsidR="00206A4A" w:rsidRPr="00A8564C">
        <w:rPr>
          <w:lang w:val="es-ES"/>
        </w:rPr>
        <w:t xml:space="preserve"> nacional e internacional.  </w:t>
      </w:r>
      <w:r w:rsidR="00204915" w:rsidRPr="00A8564C">
        <w:rPr>
          <w:lang w:val="es-ES"/>
        </w:rPr>
        <w:t>Así pues</w:t>
      </w:r>
      <w:r w:rsidR="00206A4A" w:rsidRPr="00A8564C">
        <w:rPr>
          <w:lang w:val="es-ES"/>
        </w:rPr>
        <w:t xml:space="preserve">, </w:t>
      </w:r>
      <w:r w:rsidR="00672F4E" w:rsidRPr="00A8564C">
        <w:rPr>
          <w:lang w:val="es-ES"/>
        </w:rPr>
        <w:t>inspirándose</w:t>
      </w:r>
      <w:r w:rsidR="00747253" w:rsidRPr="00A8564C">
        <w:rPr>
          <w:lang w:val="es-ES"/>
        </w:rPr>
        <w:t xml:space="preserve"> de la </w:t>
      </w:r>
      <w:r w:rsidR="00672F4E" w:rsidRPr="00A8564C">
        <w:rPr>
          <w:lang w:val="es-ES"/>
        </w:rPr>
        <w:t>aplicación</w:t>
      </w:r>
      <w:r w:rsidR="00747253" w:rsidRPr="00A8564C">
        <w:rPr>
          <w:lang w:val="es-ES"/>
        </w:rPr>
        <w:t xml:space="preserve"> por la OEP del </w:t>
      </w:r>
      <w:r w:rsidR="00044CAE">
        <w:rPr>
          <w:lang w:val="es-ES"/>
        </w:rPr>
        <w:t>“</w:t>
      </w:r>
      <w:r w:rsidR="002C70DB" w:rsidRPr="00A8564C">
        <w:rPr>
          <w:lang w:val="es-ES"/>
        </w:rPr>
        <w:t>PCT Direct</w:t>
      </w:r>
      <w:r w:rsidR="00044CAE">
        <w:rPr>
          <w:lang w:val="es-ES"/>
        </w:rPr>
        <w:t>”</w:t>
      </w:r>
      <w:r w:rsidR="002C70DB" w:rsidRPr="00A8564C">
        <w:rPr>
          <w:lang w:val="es-ES"/>
        </w:rPr>
        <w:t xml:space="preserve">, </w:t>
      </w:r>
      <w:r w:rsidR="00747253" w:rsidRPr="00A8564C">
        <w:rPr>
          <w:lang w:val="es-ES"/>
        </w:rPr>
        <w:t xml:space="preserve">la ILPO ha puesto en marcha un servicio de ese tipo en abril de </w:t>
      </w:r>
      <w:r w:rsidR="002C70DB" w:rsidRPr="00A8564C">
        <w:rPr>
          <w:lang w:val="es-ES"/>
        </w:rPr>
        <w:t>2015</w:t>
      </w:r>
      <w:r w:rsidR="00747253" w:rsidRPr="00A8564C">
        <w:rPr>
          <w:lang w:val="es-ES"/>
        </w:rPr>
        <w:t xml:space="preserve">, como segunda </w:t>
      </w:r>
      <w:r w:rsidR="00672F4E" w:rsidRPr="00A8564C">
        <w:rPr>
          <w:lang w:val="es-ES"/>
        </w:rPr>
        <w:t>Administración internacional</w:t>
      </w:r>
      <w:r w:rsidR="00E9275F" w:rsidRPr="00A8564C">
        <w:rPr>
          <w:lang w:val="es-ES"/>
        </w:rPr>
        <w:t xml:space="preserve"> </w:t>
      </w:r>
      <w:r w:rsidR="00672F4E" w:rsidRPr="00A8564C">
        <w:rPr>
          <w:lang w:val="es-ES"/>
        </w:rPr>
        <w:t>después</w:t>
      </w:r>
      <w:r w:rsidR="00747253" w:rsidRPr="00A8564C">
        <w:rPr>
          <w:lang w:val="es-ES"/>
        </w:rPr>
        <w:t xml:space="preserve"> de la OEP</w:t>
      </w:r>
      <w:r w:rsidR="002C70DB" w:rsidRPr="00A8564C">
        <w:rPr>
          <w:lang w:val="es-ES"/>
        </w:rPr>
        <w:t xml:space="preserve">. </w:t>
      </w:r>
    </w:p>
    <w:p w14:paraId="26C00986" w14:textId="77777777" w:rsidR="002C70DB" w:rsidRPr="00A8564C" w:rsidRDefault="002C70DB" w:rsidP="00E826DF">
      <w:pPr>
        <w:rPr>
          <w:lang w:val="es-ES"/>
        </w:rPr>
      </w:pPr>
    </w:p>
    <w:p w14:paraId="303A0FA1" w14:textId="05A7E0A2" w:rsidR="002C70DB" w:rsidRPr="00A8564C" w:rsidRDefault="002C70DB" w:rsidP="00E826DF">
      <w:pPr>
        <w:rPr>
          <w:lang w:val="es-ES"/>
        </w:rPr>
      </w:pPr>
      <w:r w:rsidRPr="00A8564C">
        <w:rPr>
          <w:lang w:val="es-ES"/>
        </w:rPr>
        <w:t xml:space="preserve">Israel </w:t>
      </w:r>
      <w:r w:rsidR="00204915" w:rsidRPr="00A8564C">
        <w:rPr>
          <w:lang w:val="es-ES"/>
        </w:rPr>
        <w:t>otorga mucha importancia a</w:t>
      </w:r>
      <w:r w:rsidR="00E9275F" w:rsidRPr="00A8564C">
        <w:rPr>
          <w:lang w:val="es-ES"/>
        </w:rPr>
        <w:t xml:space="preserve"> la </w:t>
      </w:r>
      <w:r w:rsidR="00672F4E" w:rsidRPr="00A8564C">
        <w:rPr>
          <w:lang w:val="es-ES"/>
        </w:rPr>
        <w:t>cooperación</w:t>
      </w:r>
      <w:r w:rsidR="00E9275F" w:rsidRPr="00A8564C">
        <w:rPr>
          <w:lang w:val="es-ES"/>
        </w:rPr>
        <w:t xml:space="preserve"> relacionada con </w:t>
      </w:r>
      <w:proofErr w:type="gramStart"/>
      <w:r w:rsidR="00E9275F" w:rsidRPr="00A8564C">
        <w:rPr>
          <w:lang w:val="es-ES"/>
        </w:rPr>
        <w:t>las patentes destinada</w:t>
      </w:r>
      <w:proofErr w:type="gramEnd"/>
      <w:r w:rsidR="00E9275F" w:rsidRPr="00A8564C">
        <w:rPr>
          <w:lang w:val="es-ES"/>
        </w:rPr>
        <w:t xml:space="preserve"> a </w:t>
      </w:r>
      <w:r w:rsidR="00204915" w:rsidRPr="00A8564C">
        <w:rPr>
          <w:lang w:val="es-ES"/>
        </w:rPr>
        <w:t>repartir el trabajo y armonizar</w:t>
      </w:r>
      <w:r w:rsidR="00E9275F" w:rsidRPr="00A8564C">
        <w:rPr>
          <w:lang w:val="es-ES"/>
        </w:rPr>
        <w:t xml:space="preserve"> la </w:t>
      </w:r>
      <w:r w:rsidR="00672F4E" w:rsidRPr="00A8564C">
        <w:rPr>
          <w:lang w:val="es-ES"/>
        </w:rPr>
        <w:t>búsqueda</w:t>
      </w:r>
      <w:r w:rsidR="00E9275F" w:rsidRPr="00A8564C">
        <w:rPr>
          <w:lang w:val="es-ES"/>
        </w:rPr>
        <w:t xml:space="preserve"> y el examen.  Los </w:t>
      </w:r>
      <w:r w:rsidR="00B3474C" w:rsidRPr="00A8564C">
        <w:rPr>
          <w:lang w:val="es-ES"/>
        </w:rPr>
        <w:t>mecanismos del procedimiento acelerado de examen de solitudes de patente (</w:t>
      </w:r>
      <w:r w:rsidRPr="00A8564C">
        <w:rPr>
          <w:lang w:val="es-ES"/>
        </w:rPr>
        <w:t>PPH</w:t>
      </w:r>
      <w:r w:rsidR="00B3474C" w:rsidRPr="00A8564C">
        <w:rPr>
          <w:lang w:val="es-ES"/>
        </w:rPr>
        <w:t>)</w:t>
      </w:r>
      <w:r w:rsidRPr="00A8564C">
        <w:rPr>
          <w:lang w:val="es-ES"/>
        </w:rPr>
        <w:t xml:space="preserve"> </w:t>
      </w:r>
      <w:r w:rsidR="00E9275F" w:rsidRPr="00A8564C">
        <w:rPr>
          <w:lang w:val="es-ES"/>
        </w:rPr>
        <w:t>y</w:t>
      </w:r>
      <w:r w:rsidRPr="00A8564C">
        <w:rPr>
          <w:lang w:val="es-ES"/>
        </w:rPr>
        <w:t xml:space="preserve"> </w:t>
      </w:r>
      <w:r w:rsidR="00B3474C" w:rsidRPr="00A8564C">
        <w:rPr>
          <w:lang w:val="es-ES"/>
        </w:rPr>
        <w:t xml:space="preserve">el </w:t>
      </w:r>
      <w:r w:rsidR="00B3474C" w:rsidRPr="00A8564C">
        <w:rPr>
          <w:bCs/>
          <w:lang w:val="es-ES"/>
        </w:rPr>
        <w:t>procedimiento mundial acelerado de examen de solicitudes de patente (</w:t>
      </w:r>
      <w:r w:rsidRPr="00A8564C">
        <w:rPr>
          <w:lang w:val="es-ES"/>
        </w:rPr>
        <w:t>GPPH</w:t>
      </w:r>
      <w:r w:rsidR="00B3474C" w:rsidRPr="00A8564C">
        <w:rPr>
          <w:lang w:val="es-ES"/>
        </w:rPr>
        <w:t>)</w:t>
      </w:r>
      <w:r w:rsidRPr="00A8564C">
        <w:rPr>
          <w:lang w:val="es-ES"/>
        </w:rPr>
        <w:t xml:space="preserve"> </w:t>
      </w:r>
      <w:r w:rsidR="00E9275F" w:rsidRPr="00A8564C">
        <w:rPr>
          <w:lang w:val="es-ES"/>
        </w:rPr>
        <w:t xml:space="preserve">son un ejemplo elocuente de ello.  </w:t>
      </w:r>
      <w:r w:rsidR="00B06CD7" w:rsidRPr="00A8564C">
        <w:rPr>
          <w:lang w:val="es-ES"/>
        </w:rPr>
        <w:t>La ILPO</w:t>
      </w:r>
      <w:r w:rsidR="00E9275F" w:rsidRPr="00A8564C">
        <w:rPr>
          <w:lang w:val="es-ES"/>
        </w:rPr>
        <w:t xml:space="preserve"> ha concluido acuerdos </w:t>
      </w:r>
      <w:r w:rsidRPr="00A8564C">
        <w:rPr>
          <w:lang w:val="es-ES"/>
        </w:rPr>
        <w:t xml:space="preserve">PPH </w:t>
      </w:r>
      <w:r w:rsidR="00E9275F" w:rsidRPr="00A8564C">
        <w:rPr>
          <w:lang w:val="es-ES"/>
        </w:rPr>
        <w:t xml:space="preserve">y </w:t>
      </w:r>
      <w:r w:rsidR="007A7912" w:rsidRPr="00A8564C">
        <w:rPr>
          <w:lang w:val="es-ES"/>
        </w:rPr>
        <w:t xml:space="preserve">PCT-PPH </w:t>
      </w:r>
      <w:r w:rsidR="00E9275F" w:rsidRPr="00A8564C">
        <w:rPr>
          <w:lang w:val="es-ES"/>
        </w:rPr>
        <w:t xml:space="preserve">bilaterales con los </w:t>
      </w:r>
      <w:r w:rsidR="00672F4E" w:rsidRPr="00A8564C">
        <w:rPr>
          <w:lang w:val="es-ES"/>
        </w:rPr>
        <w:t>Estados</w:t>
      </w:r>
      <w:r w:rsidR="00E9275F" w:rsidRPr="00A8564C">
        <w:rPr>
          <w:lang w:val="es-ES"/>
        </w:rPr>
        <w:t xml:space="preserve"> Unidos</w:t>
      </w:r>
      <w:r w:rsidRPr="00A8564C">
        <w:rPr>
          <w:lang w:val="es-ES"/>
        </w:rPr>
        <w:t xml:space="preserve">, </w:t>
      </w:r>
      <w:r w:rsidR="00E9275F" w:rsidRPr="00A8564C">
        <w:rPr>
          <w:lang w:val="es-ES"/>
        </w:rPr>
        <w:t>el Japón, la OEP</w:t>
      </w:r>
      <w:r w:rsidRPr="00A8564C">
        <w:rPr>
          <w:lang w:val="es-ES"/>
        </w:rPr>
        <w:t>, Finland</w:t>
      </w:r>
      <w:r w:rsidR="00E9275F" w:rsidRPr="00A8564C">
        <w:rPr>
          <w:lang w:val="es-ES"/>
        </w:rPr>
        <w:t>ia</w:t>
      </w:r>
      <w:r w:rsidRPr="00A8564C">
        <w:rPr>
          <w:lang w:val="es-ES"/>
        </w:rPr>
        <w:t xml:space="preserve">, </w:t>
      </w:r>
      <w:r w:rsidR="00E9275F" w:rsidRPr="00A8564C">
        <w:rPr>
          <w:lang w:val="es-ES"/>
        </w:rPr>
        <w:t xml:space="preserve">Dinamarca y </w:t>
      </w:r>
      <w:r w:rsidR="00672F4E" w:rsidRPr="00A8564C">
        <w:rPr>
          <w:lang w:val="es-ES"/>
        </w:rPr>
        <w:t>España</w:t>
      </w:r>
      <w:r w:rsidR="00E9275F" w:rsidRPr="00A8564C">
        <w:rPr>
          <w:lang w:val="es-ES"/>
        </w:rPr>
        <w:t xml:space="preserve">.  A principios de </w:t>
      </w:r>
      <w:r w:rsidRPr="00A8564C">
        <w:rPr>
          <w:lang w:val="es-ES"/>
        </w:rPr>
        <w:t xml:space="preserve">2014, </w:t>
      </w:r>
      <w:r w:rsidR="00B06CD7" w:rsidRPr="00A8564C">
        <w:rPr>
          <w:lang w:val="es-ES"/>
        </w:rPr>
        <w:t xml:space="preserve">la ILPO </w:t>
      </w:r>
      <w:r w:rsidR="00E9275F" w:rsidRPr="00A8564C">
        <w:rPr>
          <w:lang w:val="es-ES"/>
        </w:rPr>
        <w:t xml:space="preserve">fue uno de los </w:t>
      </w:r>
      <w:r w:rsidR="00672F4E" w:rsidRPr="00A8564C">
        <w:rPr>
          <w:lang w:val="es-ES"/>
        </w:rPr>
        <w:t>iniciadores</w:t>
      </w:r>
      <w:r w:rsidR="00E9275F" w:rsidRPr="00A8564C">
        <w:rPr>
          <w:lang w:val="es-ES"/>
        </w:rPr>
        <w:t xml:space="preserve"> de un</w:t>
      </w:r>
      <w:r w:rsidR="00A0646D" w:rsidRPr="00A8564C">
        <w:rPr>
          <w:lang w:val="es-ES"/>
        </w:rPr>
        <w:t xml:space="preserve">a </w:t>
      </w:r>
      <w:r w:rsidR="00672F4E" w:rsidRPr="00A8564C">
        <w:rPr>
          <w:lang w:val="es-ES"/>
        </w:rPr>
        <w:t>iniciativa</w:t>
      </w:r>
      <w:r w:rsidR="00A0646D" w:rsidRPr="00A8564C">
        <w:rPr>
          <w:lang w:val="es-ES"/>
        </w:rPr>
        <w:t xml:space="preserve"> experimental </w:t>
      </w:r>
      <w:r w:rsidR="00E9275F" w:rsidRPr="00A8564C">
        <w:rPr>
          <w:lang w:val="es-ES"/>
        </w:rPr>
        <w:t xml:space="preserve">de </w:t>
      </w:r>
      <w:r w:rsidR="00672F4E" w:rsidRPr="00A8564C">
        <w:rPr>
          <w:lang w:val="es-ES"/>
        </w:rPr>
        <w:t>cooperación</w:t>
      </w:r>
      <w:r w:rsidR="00E9275F" w:rsidRPr="00A8564C">
        <w:rPr>
          <w:lang w:val="es-ES"/>
        </w:rPr>
        <w:t xml:space="preserve"> en el marco del </w:t>
      </w:r>
      <w:r w:rsidR="00E9275F" w:rsidRPr="00A8564C">
        <w:rPr>
          <w:bCs/>
          <w:lang w:val="es-ES"/>
        </w:rPr>
        <w:t>GPPH</w:t>
      </w:r>
      <w:r w:rsidR="00E9275F" w:rsidRPr="00A8564C">
        <w:rPr>
          <w:lang w:val="es-ES"/>
        </w:rPr>
        <w:t>.</w:t>
      </w:r>
      <w:r w:rsidRPr="00A8564C">
        <w:rPr>
          <w:lang w:val="es-ES"/>
        </w:rPr>
        <w:t xml:space="preserve"> </w:t>
      </w:r>
    </w:p>
    <w:p w14:paraId="3E7664F0" w14:textId="77777777" w:rsidR="002C70DB" w:rsidRPr="00A8564C" w:rsidRDefault="002C70DB" w:rsidP="00E826DF">
      <w:pPr>
        <w:rPr>
          <w:lang w:val="es-ES"/>
        </w:rPr>
      </w:pPr>
    </w:p>
    <w:p w14:paraId="5F0B0FAC" w14:textId="49A51B62" w:rsidR="002C70DB" w:rsidRPr="00A8564C" w:rsidRDefault="00A0646D" w:rsidP="00E826DF">
      <w:pPr>
        <w:rPr>
          <w:lang w:val="es-ES"/>
        </w:rPr>
      </w:pPr>
      <w:r w:rsidRPr="00A8564C">
        <w:rPr>
          <w:lang w:val="es-ES"/>
        </w:rPr>
        <w:t xml:space="preserve">La tendencia reciente a forjar </w:t>
      </w:r>
      <w:r w:rsidR="00672F4E" w:rsidRPr="00A8564C">
        <w:rPr>
          <w:lang w:val="es-ES"/>
        </w:rPr>
        <w:t>vínculos má</w:t>
      </w:r>
      <w:r w:rsidRPr="00A8564C">
        <w:rPr>
          <w:lang w:val="es-ES"/>
        </w:rPr>
        <w:t xml:space="preserve">s </w:t>
      </w:r>
      <w:r w:rsidR="00672F4E" w:rsidRPr="00A8564C">
        <w:rPr>
          <w:lang w:val="es-ES"/>
        </w:rPr>
        <w:t>estrechos</w:t>
      </w:r>
      <w:r w:rsidRPr="00A8564C">
        <w:rPr>
          <w:lang w:val="es-ES"/>
        </w:rPr>
        <w:t xml:space="preserve"> entre el </w:t>
      </w:r>
      <w:r w:rsidR="00672F4E" w:rsidRPr="00A8564C">
        <w:rPr>
          <w:lang w:val="es-ES"/>
        </w:rPr>
        <w:t xml:space="preserve">sistema </w:t>
      </w:r>
      <w:r w:rsidR="002C70DB" w:rsidRPr="00A8564C">
        <w:rPr>
          <w:lang w:val="es-ES"/>
        </w:rPr>
        <w:t xml:space="preserve">PCT </w:t>
      </w:r>
      <w:r w:rsidRPr="00A8564C">
        <w:rPr>
          <w:lang w:val="es-ES"/>
        </w:rPr>
        <w:t>y los di</w:t>
      </w:r>
      <w:r w:rsidR="00204915" w:rsidRPr="00A8564C">
        <w:rPr>
          <w:lang w:val="es-ES"/>
        </w:rPr>
        <w:t>versos</w:t>
      </w:r>
      <w:r w:rsidRPr="00A8564C">
        <w:rPr>
          <w:lang w:val="es-ES"/>
        </w:rPr>
        <w:t xml:space="preserve"> programas </w:t>
      </w:r>
      <w:r w:rsidR="002C70DB" w:rsidRPr="00A8564C">
        <w:rPr>
          <w:lang w:val="es-ES"/>
        </w:rPr>
        <w:t xml:space="preserve">PPH, </w:t>
      </w:r>
      <w:r w:rsidRPr="00A8564C">
        <w:rPr>
          <w:lang w:val="es-ES"/>
        </w:rPr>
        <w:t xml:space="preserve">que permiten a los </w:t>
      </w:r>
      <w:r w:rsidR="00B06CD7" w:rsidRPr="00A8564C">
        <w:rPr>
          <w:lang w:val="es-ES"/>
        </w:rPr>
        <w:t>solicitantes</w:t>
      </w:r>
      <w:r w:rsidR="002C70DB" w:rsidRPr="00A8564C">
        <w:rPr>
          <w:lang w:val="es-ES"/>
        </w:rPr>
        <w:t xml:space="preserve"> </w:t>
      </w:r>
      <w:r w:rsidRPr="00A8564C">
        <w:rPr>
          <w:lang w:val="es-ES"/>
        </w:rPr>
        <w:t xml:space="preserve">pedir un procedimiento acelerado de </w:t>
      </w:r>
      <w:r w:rsidR="00917FAE" w:rsidRPr="00A8564C">
        <w:rPr>
          <w:lang w:val="es-ES"/>
        </w:rPr>
        <w:t>examen para sus s</w:t>
      </w:r>
      <w:r w:rsidR="00184BCD" w:rsidRPr="00A8564C">
        <w:rPr>
          <w:lang w:val="es-ES"/>
        </w:rPr>
        <w:t xml:space="preserve">olicitudes </w:t>
      </w:r>
      <w:r w:rsidR="00917FAE" w:rsidRPr="00A8564C">
        <w:rPr>
          <w:lang w:val="es-ES"/>
        </w:rPr>
        <w:t>inter</w:t>
      </w:r>
      <w:r w:rsidR="00184BCD" w:rsidRPr="00A8564C">
        <w:rPr>
          <w:lang w:val="es-ES"/>
        </w:rPr>
        <w:t xml:space="preserve">nacionales </w:t>
      </w:r>
      <w:r w:rsidR="00504552">
        <w:rPr>
          <w:lang w:val="es-ES"/>
        </w:rPr>
        <w:t>tras</w:t>
      </w:r>
      <w:r w:rsidR="00917FAE" w:rsidRPr="00A8564C">
        <w:rPr>
          <w:lang w:val="es-ES"/>
        </w:rPr>
        <w:t xml:space="preserve"> la entrada en la fase nacional</w:t>
      </w:r>
      <w:r w:rsidR="00504552">
        <w:rPr>
          <w:lang w:val="es-ES"/>
        </w:rPr>
        <w:t>,</w:t>
      </w:r>
      <w:r w:rsidR="00917FAE" w:rsidRPr="00A8564C">
        <w:rPr>
          <w:lang w:val="es-ES"/>
        </w:rPr>
        <w:t xml:space="preserve"> sobre la base de los </w:t>
      </w:r>
      <w:r w:rsidR="00204915" w:rsidRPr="00A8564C">
        <w:rPr>
          <w:lang w:val="es-ES"/>
        </w:rPr>
        <w:t xml:space="preserve">resultados </w:t>
      </w:r>
      <w:r w:rsidR="00917FAE" w:rsidRPr="00A8564C">
        <w:rPr>
          <w:lang w:val="es-ES"/>
        </w:rPr>
        <w:t>de</w:t>
      </w:r>
      <w:r w:rsidR="00204915" w:rsidRPr="00A8564C">
        <w:rPr>
          <w:lang w:val="es-ES"/>
        </w:rPr>
        <w:t xml:space="preserve"> la labor</w:t>
      </w:r>
      <w:r w:rsidR="00917FAE" w:rsidRPr="00A8564C">
        <w:rPr>
          <w:lang w:val="es-ES"/>
        </w:rPr>
        <w:t xml:space="preserve"> internacional</w:t>
      </w:r>
      <w:r w:rsidR="002C70DB" w:rsidRPr="00A8564C">
        <w:rPr>
          <w:lang w:val="es-ES"/>
        </w:rPr>
        <w:t xml:space="preserve">, </w:t>
      </w:r>
      <w:r w:rsidR="00917FAE" w:rsidRPr="00A8564C">
        <w:rPr>
          <w:lang w:val="es-ES"/>
        </w:rPr>
        <w:t xml:space="preserve">contribuye a la </w:t>
      </w:r>
      <w:r w:rsidR="00672F4E" w:rsidRPr="00A8564C">
        <w:rPr>
          <w:lang w:val="es-ES"/>
        </w:rPr>
        <w:t>reducción</w:t>
      </w:r>
      <w:r w:rsidR="00917FAE" w:rsidRPr="00A8564C">
        <w:rPr>
          <w:lang w:val="es-ES"/>
        </w:rPr>
        <w:t xml:space="preserve"> de </w:t>
      </w:r>
      <w:r w:rsidR="00204915" w:rsidRPr="00A8564C">
        <w:rPr>
          <w:lang w:val="es-ES"/>
        </w:rPr>
        <w:t xml:space="preserve">los </w:t>
      </w:r>
      <w:r w:rsidR="00917FAE" w:rsidRPr="00A8564C">
        <w:rPr>
          <w:lang w:val="es-ES"/>
        </w:rPr>
        <w:t>costos</w:t>
      </w:r>
      <w:r w:rsidR="00204915" w:rsidRPr="00A8564C">
        <w:rPr>
          <w:lang w:val="es-ES"/>
        </w:rPr>
        <w:t xml:space="preserve">, la </w:t>
      </w:r>
      <w:r w:rsidR="00917FAE" w:rsidRPr="00A8564C">
        <w:rPr>
          <w:lang w:val="es-ES"/>
        </w:rPr>
        <w:t xml:space="preserve">carga de trabajo y la innecesaria </w:t>
      </w:r>
      <w:r w:rsidR="00672F4E" w:rsidRPr="00A8564C">
        <w:rPr>
          <w:lang w:val="es-ES"/>
        </w:rPr>
        <w:t>duplicación</w:t>
      </w:r>
      <w:r w:rsidR="00917FAE" w:rsidRPr="00A8564C">
        <w:rPr>
          <w:lang w:val="es-ES"/>
        </w:rPr>
        <w:t xml:space="preserve"> del trabajo</w:t>
      </w:r>
      <w:r w:rsidR="002C70DB" w:rsidRPr="00A8564C">
        <w:rPr>
          <w:lang w:val="es-ES"/>
        </w:rPr>
        <w:t xml:space="preserve">, </w:t>
      </w:r>
      <w:r w:rsidR="00917FAE" w:rsidRPr="00A8564C">
        <w:rPr>
          <w:lang w:val="es-ES"/>
        </w:rPr>
        <w:t xml:space="preserve">mejorando </w:t>
      </w:r>
      <w:r w:rsidR="00672F4E" w:rsidRPr="00A8564C">
        <w:rPr>
          <w:lang w:val="es-ES"/>
        </w:rPr>
        <w:t>así</w:t>
      </w:r>
      <w:r w:rsidR="00917FAE" w:rsidRPr="00A8564C">
        <w:rPr>
          <w:lang w:val="es-ES"/>
        </w:rPr>
        <w:t xml:space="preserve"> la calidad de las </w:t>
      </w:r>
      <w:r w:rsidR="00184BCD" w:rsidRPr="00A8564C">
        <w:rPr>
          <w:lang w:val="es-ES"/>
        </w:rPr>
        <w:t>patentes</w:t>
      </w:r>
      <w:r w:rsidR="00917FAE" w:rsidRPr="00A8564C">
        <w:rPr>
          <w:lang w:val="es-ES"/>
        </w:rPr>
        <w:t xml:space="preserve"> concedidas</w:t>
      </w:r>
      <w:r w:rsidR="002C70DB" w:rsidRPr="00A8564C">
        <w:rPr>
          <w:lang w:val="es-ES"/>
        </w:rPr>
        <w:t>.</w:t>
      </w:r>
    </w:p>
    <w:p w14:paraId="46651413" w14:textId="77777777" w:rsidR="002C70DB" w:rsidRPr="00A8564C" w:rsidRDefault="002C70DB" w:rsidP="00E826DF">
      <w:pPr>
        <w:rPr>
          <w:lang w:val="es-ES"/>
        </w:rPr>
      </w:pPr>
    </w:p>
    <w:p w14:paraId="2EBFE788" w14:textId="14FA0C46" w:rsidR="002C70DB" w:rsidRPr="00A8564C" w:rsidRDefault="00B06CD7" w:rsidP="00E826DF">
      <w:pPr>
        <w:rPr>
          <w:lang w:val="es-ES"/>
        </w:rPr>
      </w:pPr>
      <w:r w:rsidRPr="00A8564C">
        <w:rPr>
          <w:lang w:val="es-ES"/>
        </w:rPr>
        <w:lastRenderedPageBreak/>
        <w:t xml:space="preserve">La ILPO </w:t>
      </w:r>
      <w:r w:rsidR="00917FAE" w:rsidRPr="00A8564C">
        <w:rPr>
          <w:lang w:val="es-ES"/>
        </w:rPr>
        <w:t>ha puesto en marcha el sistema CPC (Clasificación de Patentes Cooperativa)</w:t>
      </w:r>
      <w:r w:rsidR="00204915" w:rsidRPr="00A8564C">
        <w:rPr>
          <w:lang w:val="es-ES"/>
        </w:rPr>
        <w:t xml:space="preserve"> como parte de su sistema nacional de clasificación, </w:t>
      </w:r>
      <w:r w:rsidR="00917FAE" w:rsidRPr="00A8564C">
        <w:rPr>
          <w:lang w:val="es-ES"/>
        </w:rPr>
        <w:t xml:space="preserve">junto con </w:t>
      </w:r>
      <w:r w:rsidR="00672F4E" w:rsidRPr="00A8564C">
        <w:rPr>
          <w:lang w:val="es-ES"/>
        </w:rPr>
        <w:t xml:space="preserve">sistema </w:t>
      </w:r>
      <w:r w:rsidR="002C70DB" w:rsidRPr="00A8564C">
        <w:rPr>
          <w:lang w:val="es-ES"/>
        </w:rPr>
        <w:t>IPC</w:t>
      </w:r>
      <w:r w:rsidR="00917FAE" w:rsidRPr="00A8564C">
        <w:rPr>
          <w:lang w:val="es-ES"/>
        </w:rPr>
        <w:t xml:space="preserve"> (Clasificación Internacional de Patentes)</w:t>
      </w:r>
      <w:r w:rsidR="002C70DB" w:rsidRPr="00A8564C">
        <w:rPr>
          <w:lang w:val="es-ES"/>
        </w:rPr>
        <w:t xml:space="preserve">, </w:t>
      </w:r>
      <w:r w:rsidR="00917FAE" w:rsidRPr="00A8564C">
        <w:rPr>
          <w:lang w:val="es-ES"/>
        </w:rPr>
        <w:t xml:space="preserve">y ha comenzado a clasificar </w:t>
      </w:r>
      <w:r w:rsidR="00184BCD" w:rsidRPr="00A8564C">
        <w:rPr>
          <w:lang w:val="es-ES"/>
        </w:rPr>
        <w:t>solicitudes nacionales</w:t>
      </w:r>
      <w:r w:rsidR="00917FAE" w:rsidRPr="00A8564C">
        <w:rPr>
          <w:lang w:val="es-ES"/>
        </w:rPr>
        <w:t xml:space="preserve"> que se han presentado desde septiembre de </w:t>
      </w:r>
      <w:r w:rsidR="002C70DB" w:rsidRPr="00A8564C">
        <w:rPr>
          <w:lang w:val="es-ES"/>
        </w:rPr>
        <w:t>2016</w:t>
      </w:r>
      <w:r w:rsidR="00917FAE" w:rsidRPr="00A8564C">
        <w:rPr>
          <w:lang w:val="es-ES"/>
        </w:rPr>
        <w:t xml:space="preserve"> primero en Israel</w:t>
      </w:r>
      <w:r w:rsidR="009E7E5E" w:rsidRPr="00A8564C">
        <w:rPr>
          <w:lang w:val="es-ES"/>
        </w:rPr>
        <w:t xml:space="preserve">.  </w:t>
      </w:r>
      <w:r w:rsidRPr="00A8564C">
        <w:rPr>
          <w:lang w:val="es-ES"/>
        </w:rPr>
        <w:t xml:space="preserve">La </w:t>
      </w:r>
      <w:r w:rsidR="00204915" w:rsidRPr="00A8564C">
        <w:rPr>
          <w:lang w:val="es-ES"/>
        </w:rPr>
        <w:t xml:space="preserve">Oficina </w:t>
      </w:r>
      <w:r w:rsidR="00672F4E" w:rsidRPr="00A8564C">
        <w:rPr>
          <w:lang w:val="es-ES"/>
        </w:rPr>
        <w:t>también</w:t>
      </w:r>
      <w:r w:rsidR="00917FAE" w:rsidRPr="00A8564C">
        <w:rPr>
          <w:lang w:val="es-ES"/>
        </w:rPr>
        <w:t xml:space="preserve"> alienta a los </w:t>
      </w:r>
      <w:r w:rsidRPr="00A8564C">
        <w:rPr>
          <w:lang w:val="es-ES"/>
        </w:rPr>
        <w:t>examinadores</w:t>
      </w:r>
      <w:r w:rsidR="002C70DB" w:rsidRPr="00A8564C">
        <w:rPr>
          <w:lang w:val="es-ES"/>
        </w:rPr>
        <w:t xml:space="preserve"> </w:t>
      </w:r>
      <w:r w:rsidR="00917FAE" w:rsidRPr="00A8564C">
        <w:rPr>
          <w:lang w:val="es-ES"/>
        </w:rPr>
        <w:t xml:space="preserve">a que utilicen el </w:t>
      </w:r>
      <w:r w:rsidR="00672F4E" w:rsidRPr="00A8564C">
        <w:rPr>
          <w:lang w:val="es-ES"/>
        </w:rPr>
        <w:t>sistema</w:t>
      </w:r>
      <w:r w:rsidR="00917FAE" w:rsidRPr="00A8564C">
        <w:rPr>
          <w:lang w:val="es-ES"/>
        </w:rPr>
        <w:t xml:space="preserve"> CPC al </w:t>
      </w:r>
      <w:r w:rsidR="00672F4E" w:rsidRPr="00A8564C">
        <w:rPr>
          <w:lang w:val="es-ES"/>
        </w:rPr>
        <w:t>realizar</w:t>
      </w:r>
      <w:r w:rsidR="00917FAE" w:rsidRPr="00A8564C">
        <w:rPr>
          <w:lang w:val="es-ES"/>
        </w:rPr>
        <w:t xml:space="preserve"> búsquedas sobre el estado de la técnica en </w:t>
      </w:r>
      <w:r w:rsidR="00672F4E" w:rsidRPr="00A8564C">
        <w:rPr>
          <w:lang w:val="es-ES"/>
        </w:rPr>
        <w:t>relación</w:t>
      </w:r>
      <w:r w:rsidR="00917FAE" w:rsidRPr="00A8564C">
        <w:rPr>
          <w:lang w:val="es-ES"/>
        </w:rPr>
        <w:t xml:space="preserve"> con s</w:t>
      </w:r>
      <w:r w:rsidRPr="00A8564C">
        <w:rPr>
          <w:lang w:val="es-ES"/>
        </w:rPr>
        <w:t xml:space="preserve">olicitudes de </w:t>
      </w:r>
      <w:proofErr w:type="gramStart"/>
      <w:r w:rsidRPr="00A8564C">
        <w:rPr>
          <w:lang w:val="es-ES"/>
        </w:rPr>
        <w:t>patente</w:t>
      </w:r>
      <w:r w:rsidR="00917FAE" w:rsidRPr="00A8564C">
        <w:rPr>
          <w:lang w:val="es-ES"/>
        </w:rPr>
        <w:t xml:space="preserve"> </w:t>
      </w:r>
      <w:r w:rsidR="00672F4E" w:rsidRPr="00A8564C">
        <w:rPr>
          <w:lang w:val="es-ES"/>
        </w:rPr>
        <w:t>nacionales</w:t>
      </w:r>
      <w:r w:rsidR="00917FAE" w:rsidRPr="00A8564C">
        <w:rPr>
          <w:lang w:val="es-ES"/>
        </w:rPr>
        <w:t xml:space="preserve"> e internacionales</w:t>
      </w:r>
      <w:proofErr w:type="gramEnd"/>
      <w:r w:rsidR="009E7E5E" w:rsidRPr="00A8564C">
        <w:rPr>
          <w:lang w:val="es-ES"/>
        </w:rPr>
        <w:t xml:space="preserve">.  </w:t>
      </w:r>
      <w:r w:rsidRPr="00A8564C">
        <w:rPr>
          <w:lang w:val="es-ES"/>
        </w:rPr>
        <w:t xml:space="preserve">La ILPO </w:t>
      </w:r>
      <w:r w:rsidR="00917FAE" w:rsidRPr="00A8564C">
        <w:rPr>
          <w:lang w:val="es-ES"/>
        </w:rPr>
        <w:t xml:space="preserve">tiene la </w:t>
      </w:r>
      <w:r w:rsidR="00672F4E" w:rsidRPr="00A8564C">
        <w:rPr>
          <w:lang w:val="es-ES"/>
        </w:rPr>
        <w:t>intención</w:t>
      </w:r>
      <w:r w:rsidR="00917FAE" w:rsidRPr="00A8564C">
        <w:rPr>
          <w:lang w:val="es-ES"/>
        </w:rPr>
        <w:t xml:space="preserve"> de incluir </w:t>
      </w:r>
      <w:r w:rsidR="00672F4E" w:rsidRPr="00A8564C">
        <w:rPr>
          <w:lang w:val="es-ES"/>
        </w:rPr>
        <w:t>información</w:t>
      </w:r>
      <w:r w:rsidR="00917FAE" w:rsidRPr="00A8564C">
        <w:rPr>
          <w:lang w:val="es-ES"/>
        </w:rPr>
        <w:t xml:space="preserve"> </w:t>
      </w:r>
      <w:r w:rsidR="00A93428" w:rsidRPr="00A8564C">
        <w:rPr>
          <w:lang w:val="es-ES"/>
        </w:rPr>
        <w:t>relativa a la</w:t>
      </w:r>
      <w:r w:rsidR="00917FAE" w:rsidRPr="00A8564C">
        <w:rPr>
          <w:lang w:val="es-ES"/>
        </w:rPr>
        <w:t xml:space="preserve"> </w:t>
      </w:r>
      <w:r w:rsidR="008C27F6" w:rsidRPr="00A8564C">
        <w:rPr>
          <w:lang w:val="es-ES"/>
        </w:rPr>
        <w:t xml:space="preserve">CPC y </w:t>
      </w:r>
      <w:r w:rsidR="00A93428" w:rsidRPr="00A8564C">
        <w:rPr>
          <w:lang w:val="es-ES"/>
        </w:rPr>
        <w:t>la</w:t>
      </w:r>
      <w:r w:rsidR="008C27F6" w:rsidRPr="00A8564C">
        <w:rPr>
          <w:lang w:val="es-ES"/>
        </w:rPr>
        <w:t xml:space="preserve"> CIP en sus informes internacionales antes del fin de 2</w:t>
      </w:r>
      <w:r w:rsidR="002C70DB" w:rsidRPr="00A8564C">
        <w:rPr>
          <w:lang w:val="es-ES"/>
        </w:rPr>
        <w:t>018.</w:t>
      </w:r>
    </w:p>
    <w:p w14:paraId="132222F4" w14:textId="77777777" w:rsidR="002C70DB" w:rsidRPr="00A8564C" w:rsidRDefault="002C70DB" w:rsidP="00E826DF">
      <w:pPr>
        <w:rPr>
          <w:lang w:val="es-ES"/>
        </w:rPr>
      </w:pPr>
    </w:p>
    <w:p w14:paraId="1FA39640" w14:textId="199DDC37" w:rsidR="002C70DB" w:rsidRPr="00A8564C" w:rsidRDefault="008C27F6" w:rsidP="00E826DF">
      <w:pPr>
        <w:rPr>
          <w:lang w:val="es-ES"/>
        </w:rPr>
      </w:pPr>
      <w:r w:rsidRPr="00A8564C">
        <w:rPr>
          <w:lang w:val="es-ES"/>
        </w:rPr>
        <w:t xml:space="preserve">Por lo que se refiere a las ventajas </w:t>
      </w:r>
      <w:r w:rsidR="00A93428" w:rsidRPr="00A8564C">
        <w:rPr>
          <w:lang w:val="es-ES"/>
        </w:rPr>
        <w:t xml:space="preserve">para </w:t>
      </w:r>
      <w:r w:rsidRPr="00A8564C">
        <w:rPr>
          <w:lang w:val="es-ES"/>
        </w:rPr>
        <w:t xml:space="preserve">el </w:t>
      </w:r>
      <w:r w:rsidR="00672F4E" w:rsidRPr="00A8564C">
        <w:rPr>
          <w:lang w:val="es-ES"/>
        </w:rPr>
        <w:t xml:space="preserve">sistema </w:t>
      </w:r>
      <w:r w:rsidRPr="00A8564C">
        <w:rPr>
          <w:lang w:val="es-ES"/>
        </w:rPr>
        <w:t xml:space="preserve">PCT en general, </w:t>
      </w:r>
      <w:r w:rsidR="00A93428" w:rsidRPr="00A8564C">
        <w:rPr>
          <w:lang w:val="es-ES"/>
        </w:rPr>
        <w:t xml:space="preserve">la nueva </w:t>
      </w:r>
      <w:r w:rsidRPr="00A8564C">
        <w:rPr>
          <w:lang w:val="es-ES"/>
        </w:rPr>
        <w:t>designa</w:t>
      </w:r>
      <w:r w:rsidR="00A93428" w:rsidRPr="00A8564C">
        <w:rPr>
          <w:lang w:val="es-ES"/>
        </w:rPr>
        <w:t>ción de la ILPO co</w:t>
      </w:r>
      <w:r w:rsidRPr="00A8564C">
        <w:rPr>
          <w:lang w:val="es-ES"/>
        </w:rPr>
        <w:t>mo</w:t>
      </w:r>
      <w:r w:rsidR="00A93428" w:rsidRPr="00A8564C">
        <w:rPr>
          <w:lang w:val="es-ES"/>
        </w:rPr>
        <w:t xml:space="preserve"> ISA/IPEA ayudaría a moderar el </w:t>
      </w:r>
      <w:r w:rsidRPr="00A8564C">
        <w:rPr>
          <w:lang w:val="es-ES"/>
        </w:rPr>
        <w:t>aumento de la carga de trabajo</w:t>
      </w:r>
      <w:r w:rsidR="00A93428" w:rsidRPr="00A8564C">
        <w:rPr>
          <w:lang w:val="es-ES"/>
        </w:rPr>
        <w:t xml:space="preserve"> </w:t>
      </w:r>
      <w:r w:rsidRPr="00A8564C">
        <w:rPr>
          <w:lang w:val="es-ES"/>
        </w:rPr>
        <w:t xml:space="preserve">internacional </w:t>
      </w:r>
      <w:r w:rsidR="001B6EC3" w:rsidRPr="00A8564C">
        <w:rPr>
          <w:lang w:val="es-ES"/>
        </w:rPr>
        <w:t xml:space="preserve">PCT </w:t>
      </w:r>
      <w:r w:rsidRPr="00A8564C">
        <w:rPr>
          <w:lang w:val="es-ES"/>
        </w:rPr>
        <w:t xml:space="preserve">a que se enfrentan la </w:t>
      </w:r>
      <w:r w:rsidR="00672F4E" w:rsidRPr="00A8564C">
        <w:rPr>
          <w:lang w:val="es-ES"/>
        </w:rPr>
        <w:t>mayoría</w:t>
      </w:r>
      <w:r w:rsidRPr="00A8564C">
        <w:rPr>
          <w:lang w:val="es-ES"/>
        </w:rPr>
        <w:t xml:space="preserve"> de las </w:t>
      </w:r>
      <w:r w:rsidR="002C70DB" w:rsidRPr="00A8564C">
        <w:rPr>
          <w:lang w:val="es-ES"/>
        </w:rPr>
        <w:t>ISA/IPEA</w:t>
      </w:r>
      <w:r w:rsidR="009E7E5E" w:rsidRPr="00A8564C">
        <w:rPr>
          <w:lang w:val="es-ES"/>
        </w:rPr>
        <w:t xml:space="preserve">.  </w:t>
      </w:r>
      <w:r w:rsidRPr="00A8564C">
        <w:rPr>
          <w:lang w:val="es-ES"/>
        </w:rPr>
        <w:t xml:space="preserve">Esta carga de trabajo ha </w:t>
      </w:r>
      <w:r w:rsidR="00DC236F" w:rsidRPr="00A8564C">
        <w:rPr>
          <w:lang w:val="es-ES"/>
        </w:rPr>
        <w:t xml:space="preserve">dado lugar a retrasos acumulados que inciden no solo en el </w:t>
      </w:r>
      <w:r w:rsidR="00672F4E" w:rsidRPr="00A8564C">
        <w:rPr>
          <w:lang w:val="es-ES"/>
        </w:rPr>
        <w:t>número</w:t>
      </w:r>
      <w:r w:rsidRPr="00A8564C">
        <w:rPr>
          <w:lang w:val="es-ES"/>
        </w:rPr>
        <w:t xml:space="preserve"> </w:t>
      </w:r>
      <w:r w:rsidR="001B6EC3" w:rsidRPr="00A8564C">
        <w:rPr>
          <w:lang w:val="es-ES"/>
        </w:rPr>
        <w:t xml:space="preserve">de solicitudes </w:t>
      </w:r>
      <w:r w:rsidR="00DC236F" w:rsidRPr="00A8564C">
        <w:rPr>
          <w:lang w:val="es-ES"/>
        </w:rPr>
        <w:t xml:space="preserve">sino también en los </w:t>
      </w:r>
      <w:r w:rsidRPr="00A8564C">
        <w:rPr>
          <w:lang w:val="es-ES"/>
        </w:rPr>
        <w:t>plazo</w:t>
      </w:r>
      <w:r w:rsidR="001B6EC3" w:rsidRPr="00A8564C">
        <w:rPr>
          <w:lang w:val="es-ES"/>
        </w:rPr>
        <w:t>s</w:t>
      </w:r>
      <w:r w:rsidRPr="00A8564C">
        <w:rPr>
          <w:lang w:val="es-ES"/>
        </w:rPr>
        <w:t xml:space="preserve"> para </w:t>
      </w:r>
      <w:r w:rsidR="001B6EC3" w:rsidRPr="00A8564C">
        <w:rPr>
          <w:lang w:val="es-ES"/>
        </w:rPr>
        <w:t>su</w:t>
      </w:r>
      <w:r w:rsidRPr="00A8564C">
        <w:rPr>
          <w:lang w:val="es-ES"/>
        </w:rPr>
        <w:t xml:space="preserve"> </w:t>
      </w:r>
      <w:r w:rsidR="00672F4E" w:rsidRPr="00A8564C">
        <w:rPr>
          <w:lang w:val="es-ES"/>
        </w:rPr>
        <w:t>tramitación</w:t>
      </w:r>
      <w:r w:rsidR="002C70DB" w:rsidRPr="00A8564C">
        <w:rPr>
          <w:lang w:val="es-ES"/>
        </w:rPr>
        <w:t xml:space="preserve">, </w:t>
      </w:r>
      <w:r w:rsidRPr="00A8564C">
        <w:rPr>
          <w:lang w:val="es-ES"/>
        </w:rPr>
        <w:t xml:space="preserve">lo que ha generado una cierta incertidumbre </w:t>
      </w:r>
      <w:r w:rsidR="00672F4E" w:rsidRPr="00A8564C">
        <w:rPr>
          <w:lang w:val="es-ES"/>
        </w:rPr>
        <w:t>jurídica</w:t>
      </w:r>
      <w:r w:rsidRPr="00A8564C">
        <w:rPr>
          <w:lang w:val="es-ES"/>
        </w:rPr>
        <w:t xml:space="preserve"> y dificultades para los interesados a la hora de </w:t>
      </w:r>
      <w:r w:rsidR="00672F4E" w:rsidRPr="00A8564C">
        <w:rPr>
          <w:lang w:val="es-ES"/>
        </w:rPr>
        <w:t>adoptar</w:t>
      </w:r>
      <w:r w:rsidRPr="00A8564C">
        <w:rPr>
          <w:lang w:val="es-ES"/>
        </w:rPr>
        <w:t xml:space="preserve"> </w:t>
      </w:r>
      <w:r w:rsidR="00672F4E" w:rsidRPr="00A8564C">
        <w:rPr>
          <w:lang w:val="es-ES"/>
        </w:rPr>
        <w:t>decisiones</w:t>
      </w:r>
      <w:r w:rsidRPr="00A8564C">
        <w:rPr>
          <w:lang w:val="es-ES"/>
        </w:rPr>
        <w:t xml:space="preserve"> </w:t>
      </w:r>
      <w:r w:rsidR="00672F4E" w:rsidRPr="00A8564C">
        <w:rPr>
          <w:lang w:val="es-ES"/>
        </w:rPr>
        <w:t>comerciales</w:t>
      </w:r>
      <w:r w:rsidR="002C70DB" w:rsidRPr="00A8564C">
        <w:rPr>
          <w:lang w:val="es-ES"/>
        </w:rPr>
        <w:t xml:space="preserve">, </w:t>
      </w:r>
      <w:r w:rsidRPr="00A8564C">
        <w:rPr>
          <w:lang w:val="es-ES"/>
        </w:rPr>
        <w:t xml:space="preserve">de </w:t>
      </w:r>
      <w:r w:rsidR="00672F4E" w:rsidRPr="00A8564C">
        <w:rPr>
          <w:lang w:val="es-ES"/>
        </w:rPr>
        <w:t>inversiones</w:t>
      </w:r>
      <w:r w:rsidRPr="00A8564C">
        <w:rPr>
          <w:lang w:val="es-ES"/>
        </w:rPr>
        <w:t xml:space="preserve"> o </w:t>
      </w:r>
      <w:r w:rsidR="00672F4E" w:rsidRPr="00A8564C">
        <w:rPr>
          <w:lang w:val="es-ES"/>
        </w:rPr>
        <w:t>tecnológicas</w:t>
      </w:r>
      <w:r w:rsidR="002C70DB" w:rsidRPr="00A8564C">
        <w:rPr>
          <w:lang w:val="es-ES"/>
        </w:rPr>
        <w:t xml:space="preserve">. </w:t>
      </w:r>
    </w:p>
    <w:p w14:paraId="61C7E426" w14:textId="77777777" w:rsidR="002C70DB" w:rsidRPr="00A8564C" w:rsidRDefault="002C70DB" w:rsidP="00E826DF">
      <w:pPr>
        <w:rPr>
          <w:lang w:val="es-ES"/>
        </w:rPr>
      </w:pPr>
    </w:p>
    <w:p w14:paraId="4C8869E9" w14:textId="7A1ED5F9" w:rsidR="002C70DB" w:rsidRPr="00A8564C" w:rsidRDefault="00B06CD7" w:rsidP="00E826DF">
      <w:pPr>
        <w:rPr>
          <w:lang w:val="es-ES"/>
        </w:rPr>
      </w:pPr>
      <w:r w:rsidRPr="00A8564C">
        <w:rPr>
          <w:lang w:val="es-ES"/>
        </w:rPr>
        <w:t xml:space="preserve">La ILPO </w:t>
      </w:r>
      <w:r w:rsidR="000400B6" w:rsidRPr="00A8564C">
        <w:rPr>
          <w:lang w:val="es-ES"/>
        </w:rPr>
        <w:t>siempre está dispuesta a contribuir</w:t>
      </w:r>
      <w:r w:rsidR="008C27F6" w:rsidRPr="00A8564C">
        <w:rPr>
          <w:lang w:val="es-ES"/>
        </w:rPr>
        <w:t xml:space="preserve"> a las </w:t>
      </w:r>
      <w:r w:rsidR="00672F4E" w:rsidRPr="00A8564C">
        <w:rPr>
          <w:lang w:val="es-ES"/>
        </w:rPr>
        <w:t>reuniones</w:t>
      </w:r>
      <w:r w:rsidR="008C27F6" w:rsidRPr="00A8564C">
        <w:rPr>
          <w:lang w:val="es-ES"/>
        </w:rPr>
        <w:t xml:space="preserve"> </w:t>
      </w:r>
      <w:r w:rsidR="00672F4E" w:rsidRPr="00A8564C">
        <w:rPr>
          <w:lang w:val="es-ES"/>
        </w:rPr>
        <w:t>profesionales</w:t>
      </w:r>
      <w:r w:rsidR="008C27F6" w:rsidRPr="00A8564C">
        <w:rPr>
          <w:lang w:val="es-ES"/>
        </w:rPr>
        <w:t xml:space="preserve"> internacionales.  La </w:t>
      </w:r>
      <w:r w:rsidR="000400B6" w:rsidRPr="00A8564C">
        <w:rPr>
          <w:lang w:val="es-ES"/>
        </w:rPr>
        <w:t xml:space="preserve">activa </w:t>
      </w:r>
      <w:r w:rsidR="00672F4E" w:rsidRPr="00A8564C">
        <w:rPr>
          <w:lang w:val="es-ES"/>
        </w:rPr>
        <w:t>participación</w:t>
      </w:r>
      <w:r w:rsidR="008C27F6" w:rsidRPr="00A8564C">
        <w:rPr>
          <w:lang w:val="es-ES"/>
        </w:rPr>
        <w:t xml:space="preserve"> de la </w:t>
      </w:r>
      <w:r w:rsidRPr="00A8564C">
        <w:rPr>
          <w:lang w:val="es-ES"/>
        </w:rPr>
        <w:t>ILPO</w:t>
      </w:r>
      <w:r w:rsidR="00E338A9" w:rsidRPr="00A8564C">
        <w:rPr>
          <w:lang w:val="es-ES"/>
        </w:rPr>
        <w:t xml:space="preserve"> en </w:t>
      </w:r>
      <w:r w:rsidR="00672F4E" w:rsidRPr="00A8564C">
        <w:rPr>
          <w:lang w:val="es-ES"/>
        </w:rPr>
        <w:t>tod</w:t>
      </w:r>
      <w:r w:rsidR="000400B6" w:rsidRPr="00A8564C">
        <w:rPr>
          <w:lang w:val="es-ES"/>
        </w:rPr>
        <w:t xml:space="preserve">as las instancias </w:t>
      </w:r>
      <w:r w:rsidR="00E338A9" w:rsidRPr="00A8564C">
        <w:rPr>
          <w:lang w:val="es-ES"/>
        </w:rPr>
        <w:t xml:space="preserve">del </w:t>
      </w:r>
      <w:r w:rsidR="00672F4E" w:rsidRPr="00A8564C">
        <w:rPr>
          <w:lang w:val="es-ES"/>
        </w:rPr>
        <w:t xml:space="preserve">sistema </w:t>
      </w:r>
      <w:r w:rsidR="002C70DB" w:rsidRPr="00A8564C">
        <w:rPr>
          <w:lang w:val="es-ES"/>
        </w:rPr>
        <w:t>PCT</w:t>
      </w:r>
      <w:r w:rsidR="00E338A9" w:rsidRPr="00A8564C">
        <w:rPr>
          <w:lang w:val="es-ES"/>
        </w:rPr>
        <w:t xml:space="preserve">, en especial en las </w:t>
      </w:r>
      <w:r w:rsidR="000400B6" w:rsidRPr="00A8564C">
        <w:rPr>
          <w:lang w:val="es-ES"/>
        </w:rPr>
        <w:t>R</w:t>
      </w:r>
      <w:r w:rsidR="00672F4E" w:rsidRPr="00A8564C">
        <w:rPr>
          <w:lang w:val="es-ES"/>
        </w:rPr>
        <w:t>euniones</w:t>
      </w:r>
      <w:r w:rsidR="00E338A9" w:rsidRPr="00A8564C">
        <w:rPr>
          <w:lang w:val="es-ES"/>
        </w:rPr>
        <w:t xml:space="preserve"> de las </w:t>
      </w:r>
      <w:r w:rsidR="000400B6" w:rsidRPr="00A8564C">
        <w:rPr>
          <w:lang w:val="es-ES"/>
        </w:rPr>
        <w:t>A</w:t>
      </w:r>
      <w:r w:rsidR="00672F4E" w:rsidRPr="00A8564C">
        <w:rPr>
          <w:lang w:val="es-ES"/>
        </w:rPr>
        <w:t>dministraciones</w:t>
      </w:r>
      <w:r w:rsidR="00E338A9" w:rsidRPr="00A8564C">
        <w:rPr>
          <w:lang w:val="es-ES"/>
        </w:rPr>
        <w:t xml:space="preserve"> </w:t>
      </w:r>
      <w:r w:rsidR="000400B6" w:rsidRPr="00A8564C">
        <w:rPr>
          <w:lang w:val="es-ES"/>
        </w:rPr>
        <w:t>I</w:t>
      </w:r>
      <w:r w:rsidR="00672F4E" w:rsidRPr="00A8564C">
        <w:rPr>
          <w:lang w:val="es-ES"/>
        </w:rPr>
        <w:t>nternacionales</w:t>
      </w:r>
      <w:r w:rsidR="00E338A9" w:rsidRPr="00A8564C">
        <w:rPr>
          <w:lang w:val="es-ES"/>
        </w:rPr>
        <w:t xml:space="preserve"> y las </w:t>
      </w:r>
      <w:r w:rsidR="00672F4E" w:rsidRPr="00A8564C">
        <w:rPr>
          <w:lang w:val="es-ES"/>
        </w:rPr>
        <w:t>reuniones</w:t>
      </w:r>
      <w:r w:rsidR="00E338A9" w:rsidRPr="00A8564C">
        <w:rPr>
          <w:lang w:val="es-ES"/>
        </w:rPr>
        <w:t xml:space="preserve"> del </w:t>
      </w:r>
      <w:r w:rsidR="000400B6" w:rsidRPr="00A8564C">
        <w:rPr>
          <w:lang w:val="es-ES"/>
        </w:rPr>
        <w:t>Subgrupo encargado de la C</w:t>
      </w:r>
      <w:r w:rsidR="00E338A9" w:rsidRPr="00A8564C">
        <w:rPr>
          <w:lang w:val="es-ES"/>
        </w:rPr>
        <w:t>alidad</w:t>
      </w:r>
      <w:r w:rsidR="002C70DB" w:rsidRPr="00A8564C">
        <w:rPr>
          <w:lang w:val="es-ES"/>
        </w:rPr>
        <w:t xml:space="preserve"> (</w:t>
      </w:r>
      <w:r w:rsidR="00DC236F" w:rsidRPr="00A8564C">
        <w:rPr>
          <w:lang w:val="es-ES"/>
        </w:rPr>
        <w:t>celebradas</w:t>
      </w:r>
      <w:r w:rsidR="00E338A9" w:rsidRPr="00A8564C">
        <w:rPr>
          <w:lang w:val="es-ES"/>
        </w:rPr>
        <w:t xml:space="preserve"> en </w:t>
      </w:r>
      <w:r w:rsidR="002C70DB" w:rsidRPr="00A8564C">
        <w:rPr>
          <w:lang w:val="es-ES"/>
        </w:rPr>
        <w:t xml:space="preserve">Israel </w:t>
      </w:r>
      <w:r w:rsidR="00E338A9" w:rsidRPr="00A8564C">
        <w:rPr>
          <w:lang w:val="es-ES"/>
        </w:rPr>
        <w:t>e</w:t>
      </w:r>
      <w:r w:rsidR="002C70DB" w:rsidRPr="00A8564C">
        <w:rPr>
          <w:lang w:val="es-ES"/>
        </w:rPr>
        <w:t>n 2014)</w:t>
      </w:r>
      <w:r w:rsidR="00DC236F" w:rsidRPr="00A8564C">
        <w:rPr>
          <w:lang w:val="es-ES"/>
        </w:rPr>
        <w:t>,</w:t>
      </w:r>
      <w:r w:rsidR="002C70DB" w:rsidRPr="00A8564C">
        <w:rPr>
          <w:lang w:val="es-ES"/>
        </w:rPr>
        <w:t xml:space="preserve"> </w:t>
      </w:r>
      <w:r w:rsidR="00E338A9" w:rsidRPr="00A8564C">
        <w:rPr>
          <w:lang w:val="es-ES"/>
        </w:rPr>
        <w:t xml:space="preserve">y en otras </w:t>
      </w:r>
      <w:r w:rsidR="00672F4E" w:rsidRPr="00A8564C">
        <w:rPr>
          <w:lang w:val="es-ES"/>
        </w:rPr>
        <w:t>iniciativas</w:t>
      </w:r>
      <w:r w:rsidR="00E338A9" w:rsidRPr="00A8564C">
        <w:rPr>
          <w:lang w:val="es-ES"/>
        </w:rPr>
        <w:t xml:space="preserve"> </w:t>
      </w:r>
      <w:r w:rsidR="00672F4E" w:rsidRPr="00A8564C">
        <w:rPr>
          <w:lang w:val="es-ES"/>
        </w:rPr>
        <w:t>internacionales</w:t>
      </w:r>
      <w:r w:rsidR="00E338A9" w:rsidRPr="00A8564C">
        <w:rPr>
          <w:lang w:val="es-ES"/>
        </w:rPr>
        <w:t xml:space="preserve"> y proyectos destinados a </w:t>
      </w:r>
      <w:r w:rsidR="000400B6" w:rsidRPr="00A8564C">
        <w:rPr>
          <w:lang w:val="es-ES"/>
        </w:rPr>
        <w:t>repartir</w:t>
      </w:r>
      <w:r w:rsidR="00E338A9" w:rsidRPr="00A8564C">
        <w:rPr>
          <w:lang w:val="es-ES"/>
        </w:rPr>
        <w:t xml:space="preserve"> el trabajo, mejorar la </w:t>
      </w:r>
      <w:r w:rsidR="00672F4E" w:rsidRPr="00A8564C">
        <w:rPr>
          <w:lang w:val="es-ES"/>
        </w:rPr>
        <w:t>calidad</w:t>
      </w:r>
      <w:r w:rsidR="00E338A9" w:rsidRPr="00A8564C">
        <w:rPr>
          <w:lang w:val="es-ES"/>
        </w:rPr>
        <w:t xml:space="preserve"> y armonizar el </w:t>
      </w:r>
      <w:r w:rsidR="00672F4E" w:rsidRPr="00A8564C">
        <w:rPr>
          <w:lang w:val="es-ES"/>
        </w:rPr>
        <w:t>sistema</w:t>
      </w:r>
      <w:r w:rsidR="00E338A9" w:rsidRPr="00A8564C">
        <w:rPr>
          <w:lang w:val="es-ES"/>
        </w:rPr>
        <w:t xml:space="preserve"> de patentes</w:t>
      </w:r>
      <w:r w:rsidR="002C70DB" w:rsidRPr="00A8564C">
        <w:rPr>
          <w:lang w:val="es-ES"/>
        </w:rPr>
        <w:t xml:space="preserve">, </w:t>
      </w:r>
      <w:r w:rsidR="00E338A9" w:rsidRPr="00A8564C">
        <w:rPr>
          <w:lang w:val="es-ES"/>
        </w:rPr>
        <w:t>pone de manifiesto</w:t>
      </w:r>
      <w:r w:rsidR="002C70DB" w:rsidRPr="00A8564C">
        <w:rPr>
          <w:lang w:val="es-ES"/>
        </w:rPr>
        <w:t xml:space="preserve"> </w:t>
      </w:r>
      <w:r w:rsidR="00E338A9" w:rsidRPr="00A8564C">
        <w:rPr>
          <w:lang w:val="es-ES"/>
        </w:rPr>
        <w:t xml:space="preserve">la amplia capacidad de la </w:t>
      </w:r>
      <w:r w:rsidR="000400B6" w:rsidRPr="00A8564C">
        <w:rPr>
          <w:lang w:val="es-ES"/>
        </w:rPr>
        <w:t>Oficina</w:t>
      </w:r>
      <w:r w:rsidR="00E338A9" w:rsidRPr="00A8564C">
        <w:rPr>
          <w:lang w:val="es-ES"/>
        </w:rPr>
        <w:t xml:space="preserve"> para contribuir eficazmente a mejorar la eficacia lograda y la calidad de s</w:t>
      </w:r>
      <w:r w:rsidR="00184BCD" w:rsidRPr="00A8564C">
        <w:rPr>
          <w:lang w:val="es-ES"/>
        </w:rPr>
        <w:t xml:space="preserve">istema </w:t>
      </w:r>
      <w:r w:rsidR="00E338A9" w:rsidRPr="00A8564C">
        <w:rPr>
          <w:lang w:val="es-ES"/>
        </w:rPr>
        <w:t>PCT</w:t>
      </w:r>
      <w:r w:rsidR="002C70DB" w:rsidRPr="00A8564C">
        <w:rPr>
          <w:lang w:val="es-ES"/>
        </w:rPr>
        <w:t>.</w:t>
      </w:r>
    </w:p>
    <w:p w14:paraId="2853DCE6" w14:textId="77777777" w:rsidR="002C70DB" w:rsidRPr="00A8564C" w:rsidRDefault="002C70DB" w:rsidP="00E826DF">
      <w:pPr>
        <w:rPr>
          <w:lang w:val="es-ES"/>
        </w:rPr>
      </w:pPr>
    </w:p>
    <w:p w14:paraId="344E2172" w14:textId="7FDED1D9" w:rsidR="002C70DB" w:rsidRPr="00A8564C" w:rsidRDefault="00E338A9" w:rsidP="00E826DF">
      <w:pPr>
        <w:rPr>
          <w:lang w:val="es-ES"/>
        </w:rPr>
      </w:pPr>
      <w:r w:rsidRPr="00A8564C">
        <w:rPr>
          <w:lang w:val="es-ES"/>
        </w:rPr>
        <w:t xml:space="preserve">La </w:t>
      </w:r>
      <w:r w:rsidR="002C70DB" w:rsidRPr="00A8564C">
        <w:rPr>
          <w:lang w:val="es-ES"/>
        </w:rPr>
        <w:t xml:space="preserve">ILPO </w:t>
      </w:r>
      <w:r w:rsidR="000400B6" w:rsidRPr="00A8564C">
        <w:rPr>
          <w:lang w:val="es-ES"/>
        </w:rPr>
        <w:t xml:space="preserve">considera </w:t>
      </w:r>
      <w:r w:rsidRPr="00A8564C">
        <w:rPr>
          <w:lang w:val="es-ES"/>
        </w:rPr>
        <w:t xml:space="preserve">que la presente </w:t>
      </w:r>
      <w:r w:rsidR="00672F4E" w:rsidRPr="00A8564C">
        <w:rPr>
          <w:lang w:val="es-ES"/>
        </w:rPr>
        <w:t>comunicación</w:t>
      </w:r>
      <w:r w:rsidRPr="00A8564C">
        <w:rPr>
          <w:lang w:val="es-ES"/>
        </w:rPr>
        <w:t xml:space="preserve"> </w:t>
      </w:r>
      <w:r w:rsidR="000400B6" w:rsidRPr="00A8564C">
        <w:rPr>
          <w:lang w:val="es-ES"/>
        </w:rPr>
        <w:t xml:space="preserve">demuestra </w:t>
      </w:r>
      <w:r w:rsidRPr="00A8564C">
        <w:rPr>
          <w:lang w:val="es-ES"/>
        </w:rPr>
        <w:t xml:space="preserve">claramente que la </w:t>
      </w:r>
      <w:r w:rsidR="000400B6" w:rsidRPr="00A8564C">
        <w:rPr>
          <w:lang w:val="es-ES"/>
        </w:rPr>
        <w:t xml:space="preserve">Oficina </w:t>
      </w:r>
      <w:r w:rsidR="00672F4E" w:rsidRPr="00A8564C">
        <w:rPr>
          <w:lang w:val="es-ES"/>
        </w:rPr>
        <w:t>reúne</w:t>
      </w:r>
      <w:r w:rsidRPr="00A8564C">
        <w:rPr>
          <w:lang w:val="es-ES"/>
        </w:rPr>
        <w:t xml:space="preserve"> todos los criterios </w:t>
      </w:r>
      <w:r w:rsidR="00672F4E" w:rsidRPr="00A8564C">
        <w:rPr>
          <w:lang w:val="es-ES"/>
        </w:rPr>
        <w:t>técnicos</w:t>
      </w:r>
      <w:r w:rsidRPr="00A8564C">
        <w:rPr>
          <w:lang w:val="es-ES"/>
        </w:rPr>
        <w:t xml:space="preserve"> para </w:t>
      </w:r>
      <w:r w:rsidR="00672F4E" w:rsidRPr="00A8564C">
        <w:rPr>
          <w:lang w:val="es-ES"/>
        </w:rPr>
        <w:t>ofrecer</w:t>
      </w:r>
      <w:r w:rsidRPr="00A8564C">
        <w:rPr>
          <w:lang w:val="es-ES"/>
        </w:rPr>
        <w:t xml:space="preserve"> servicios de </w:t>
      </w:r>
      <w:r w:rsidR="00672F4E" w:rsidRPr="00A8564C">
        <w:rPr>
          <w:lang w:val="es-ES"/>
        </w:rPr>
        <w:t>búsqueda</w:t>
      </w:r>
      <w:r w:rsidRPr="00A8564C">
        <w:rPr>
          <w:lang w:val="es-ES"/>
        </w:rPr>
        <w:t xml:space="preserve"> y examen de alta </w:t>
      </w:r>
      <w:r w:rsidR="00672F4E" w:rsidRPr="00A8564C">
        <w:rPr>
          <w:lang w:val="es-ES"/>
        </w:rPr>
        <w:t>calidad</w:t>
      </w:r>
      <w:r w:rsidRPr="00A8564C">
        <w:rPr>
          <w:lang w:val="es-ES"/>
        </w:rPr>
        <w:t xml:space="preserve"> a los usuarios del </w:t>
      </w:r>
      <w:r w:rsidR="002C70DB" w:rsidRPr="00A8564C">
        <w:rPr>
          <w:lang w:val="es-ES"/>
        </w:rPr>
        <w:t>PCT</w:t>
      </w:r>
      <w:r w:rsidR="009E7E5E" w:rsidRPr="00A8564C">
        <w:rPr>
          <w:lang w:val="es-ES"/>
        </w:rPr>
        <w:t xml:space="preserve">.  </w:t>
      </w:r>
      <w:r w:rsidRPr="00A8564C">
        <w:rPr>
          <w:lang w:val="es-ES"/>
        </w:rPr>
        <w:t xml:space="preserve">Por otra parte, lo que precede pone de relieve el </w:t>
      </w:r>
      <w:r w:rsidR="00672F4E" w:rsidRPr="00A8564C">
        <w:rPr>
          <w:lang w:val="es-ES"/>
        </w:rPr>
        <w:t>compromiso</w:t>
      </w:r>
      <w:r w:rsidRPr="00A8564C">
        <w:rPr>
          <w:lang w:val="es-ES"/>
        </w:rPr>
        <w:t xml:space="preserve"> que ha asumido la</w:t>
      </w:r>
      <w:r w:rsidR="00B06CD7" w:rsidRPr="00A8564C">
        <w:rPr>
          <w:lang w:val="es-ES"/>
        </w:rPr>
        <w:t xml:space="preserve"> ILPO</w:t>
      </w:r>
      <w:r w:rsidRPr="00A8564C">
        <w:rPr>
          <w:lang w:val="es-ES"/>
        </w:rPr>
        <w:t xml:space="preserve"> con el intercambio de </w:t>
      </w:r>
      <w:r w:rsidR="00672F4E" w:rsidRPr="00A8564C">
        <w:rPr>
          <w:lang w:val="es-ES"/>
        </w:rPr>
        <w:t>información</w:t>
      </w:r>
      <w:r w:rsidRPr="00A8564C">
        <w:rPr>
          <w:lang w:val="es-ES"/>
        </w:rPr>
        <w:t xml:space="preserve"> y la </w:t>
      </w:r>
      <w:r w:rsidR="00672F4E" w:rsidRPr="00A8564C">
        <w:rPr>
          <w:lang w:val="es-ES"/>
        </w:rPr>
        <w:t>promoción</w:t>
      </w:r>
      <w:r w:rsidR="000400B6" w:rsidRPr="00A8564C">
        <w:rPr>
          <w:lang w:val="es-ES"/>
        </w:rPr>
        <w:t xml:space="preserve"> de las prácticas ó</w:t>
      </w:r>
      <w:r w:rsidRPr="00A8564C">
        <w:rPr>
          <w:lang w:val="es-ES"/>
        </w:rPr>
        <w:t xml:space="preserve">ptimas de las </w:t>
      </w:r>
      <w:r w:rsidR="00672F4E" w:rsidRPr="00A8564C">
        <w:rPr>
          <w:lang w:val="es-ES"/>
        </w:rPr>
        <w:t>administraciones</w:t>
      </w:r>
      <w:r w:rsidRPr="00A8564C">
        <w:rPr>
          <w:lang w:val="es-ES"/>
        </w:rPr>
        <w:t xml:space="preserve"> </w:t>
      </w:r>
      <w:r w:rsidR="00672F4E" w:rsidRPr="00A8564C">
        <w:rPr>
          <w:lang w:val="es-ES"/>
        </w:rPr>
        <w:t>internacionales</w:t>
      </w:r>
      <w:r w:rsidRPr="00A8564C">
        <w:rPr>
          <w:lang w:val="es-ES"/>
        </w:rPr>
        <w:t xml:space="preserve"> como parte de</w:t>
      </w:r>
      <w:r w:rsidR="00694825" w:rsidRPr="00A8564C">
        <w:rPr>
          <w:lang w:val="es-ES"/>
        </w:rPr>
        <w:t xml:space="preserve">l apoyo general que brindan los </w:t>
      </w:r>
      <w:r w:rsidR="00672F4E" w:rsidRPr="00A8564C">
        <w:rPr>
          <w:lang w:val="es-ES"/>
        </w:rPr>
        <w:t>Estados</w:t>
      </w:r>
      <w:r w:rsidR="00694825" w:rsidRPr="00A8564C">
        <w:rPr>
          <w:lang w:val="es-ES"/>
        </w:rPr>
        <w:t xml:space="preserve"> </w:t>
      </w:r>
      <w:r w:rsidR="00672F4E" w:rsidRPr="00A8564C">
        <w:rPr>
          <w:lang w:val="es-ES"/>
        </w:rPr>
        <w:t>miembros</w:t>
      </w:r>
      <w:r w:rsidR="00694825" w:rsidRPr="00A8564C">
        <w:rPr>
          <w:lang w:val="es-ES"/>
        </w:rPr>
        <w:t xml:space="preserve"> </w:t>
      </w:r>
      <w:r w:rsidR="00672F4E" w:rsidRPr="00A8564C">
        <w:rPr>
          <w:lang w:val="es-ES"/>
        </w:rPr>
        <w:t>del PCT</w:t>
      </w:r>
      <w:r w:rsidR="002C70DB" w:rsidRPr="00A8564C">
        <w:rPr>
          <w:lang w:val="es-ES"/>
        </w:rPr>
        <w:t xml:space="preserve"> </w:t>
      </w:r>
      <w:r w:rsidR="000400B6" w:rsidRPr="00A8564C">
        <w:rPr>
          <w:lang w:val="es-ES"/>
        </w:rPr>
        <w:t>a</w:t>
      </w:r>
      <w:r w:rsidR="00694825" w:rsidRPr="00A8564C">
        <w:rPr>
          <w:lang w:val="es-ES"/>
        </w:rPr>
        <w:t xml:space="preserve"> la mejora continua del </w:t>
      </w:r>
      <w:r w:rsidR="00672F4E" w:rsidRPr="00A8564C">
        <w:rPr>
          <w:lang w:val="es-ES"/>
        </w:rPr>
        <w:t xml:space="preserve">sistema </w:t>
      </w:r>
      <w:r w:rsidR="002C70DB" w:rsidRPr="00A8564C">
        <w:rPr>
          <w:lang w:val="es-ES"/>
        </w:rPr>
        <w:t>PCT</w:t>
      </w:r>
      <w:r w:rsidR="00694825" w:rsidRPr="00A8564C">
        <w:rPr>
          <w:lang w:val="es-ES"/>
        </w:rPr>
        <w:t xml:space="preserve"> para </w:t>
      </w:r>
      <w:r w:rsidR="00375D49" w:rsidRPr="00A8564C">
        <w:rPr>
          <w:lang w:val="es-ES"/>
        </w:rPr>
        <w:t xml:space="preserve">beneficio de </w:t>
      </w:r>
      <w:r w:rsidR="00694825" w:rsidRPr="00A8564C">
        <w:rPr>
          <w:lang w:val="es-ES"/>
        </w:rPr>
        <w:t xml:space="preserve">todos los </w:t>
      </w:r>
      <w:r w:rsidR="00672F4E" w:rsidRPr="00A8564C">
        <w:rPr>
          <w:lang w:val="es-ES"/>
        </w:rPr>
        <w:t>Estados</w:t>
      </w:r>
      <w:r w:rsidR="00375D49" w:rsidRPr="00A8564C">
        <w:rPr>
          <w:lang w:val="es-ES"/>
        </w:rPr>
        <w:t xml:space="preserve"> c</w:t>
      </w:r>
      <w:r w:rsidR="00694825" w:rsidRPr="00A8564C">
        <w:rPr>
          <w:lang w:val="es-ES"/>
        </w:rPr>
        <w:t>ontratantes</w:t>
      </w:r>
      <w:r w:rsidR="009E7E5E" w:rsidRPr="00A8564C">
        <w:rPr>
          <w:lang w:val="es-ES"/>
        </w:rPr>
        <w:t xml:space="preserve">.  </w:t>
      </w:r>
      <w:r w:rsidR="00694825" w:rsidRPr="00A8564C">
        <w:rPr>
          <w:lang w:val="es-ES"/>
        </w:rPr>
        <w:t xml:space="preserve">Consideramos </w:t>
      </w:r>
      <w:r w:rsidR="00672F4E" w:rsidRPr="00A8564C">
        <w:rPr>
          <w:lang w:val="es-ES"/>
        </w:rPr>
        <w:t>que,</w:t>
      </w:r>
      <w:r w:rsidR="00694825" w:rsidRPr="00A8564C">
        <w:rPr>
          <w:lang w:val="es-ES"/>
        </w:rPr>
        <w:t xml:space="preserve"> gracias a la prórroga de la </w:t>
      </w:r>
      <w:r w:rsidR="00672F4E" w:rsidRPr="00A8564C">
        <w:rPr>
          <w:lang w:val="es-ES"/>
        </w:rPr>
        <w:t>designación</w:t>
      </w:r>
      <w:r w:rsidR="00694825" w:rsidRPr="00A8564C">
        <w:rPr>
          <w:lang w:val="es-ES"/>
        </w:rPr>
        <w:t xml:space="preserve"> de la </w:t>
      </w:r>
      <w:r w:rsidR="00B06CD7" w:rsidRPr="00A8564C">
        <w:rPr>
          <w:lang w:val="es-ES"/>
        </w:rPr>
        <w:t>ILPO</w:t>
      </w:r>
      <w:r w:rsidR="002C70DB" w:rsidRPr="00A8564C">
        <w:rPr>
          <w:lang w:val="es-ES"/>
        </w:rPr>
        <w:t xml:space="preserve">, Israel </w:t>
      </w:r>
      <w:r w:rsidR="00694825" w:rsidRPr="00A8564C">
        <w:rPr>
          <w:lang w:val="es-ES"/>
        </w:rPr>
        <w:t xml:space="preserve">podrá seguir promoviendo un uso </w:t>
      </w:r>
      <w:r w:rsidR="00672F4E" w:rsidRPr="00A8564C">
        <w:rPr>
          <w:lang w:val="es-ES"/>
        </w:rPr>
        <w:t>más</w:t>
      </w:r>
      <w:r w:rsidR="00694825" w:rsidRPr="00A8564C">
        <w:rPr>
          <w:lang w:val="es-ES"/>
        </w:rPr>
        <w:t xml:space="preserve"> </w:t>
      </w:r>
      <w:r w:rsidR="00375D49" w:rsidRPr="00A8564C">
        <w:rPr>
          <w:lang w:val="es-ES"/>
        </w:rPr>
        <w:t>amplio</w:t>
      </w:r>
      <w:r w:rsidR="00694825" w:rsidRPr="00A8564C">
        <w:rPr>
          <w:lang w:val="es-ES"/>
        </w:rPr>
        <w:t xml:space="preserve"> del </w:t>
      </w:r>
      <w:r w:rsidR="00672F4E" w:rsidRPr="00A8564C">
        <w:rPr>
          <w:lang w:val="es-ES"/>
        </w:rPr>
        <w:t xml:space="preserve">sistema </w:t>
      </w:r>
      <w:r w:rsidR="002C70DB" w:rsidRPr="00A8564C">
        <w:rPr>
          <w:lang w:val="es-ES"/>
        </w:rPr>
        <w:t>PCT</w:t>
      </w:r>
      <w:r w:rsidR="00694825" w:rsidRPr="00A8564C">
        <w:rPr>
          <w:lang w:val="es-ES"/>
        </w:rPr>
        <w:t xml:space="preserve">, </w:t>
      </w:r>
      <w:r w:rsidR="00375D49" w:rsidRPr="00A8564C">
        <w:rPr>
          <w:lang w:val="es-ES"/>
        </w:rPr>
        <w:t xml:space="preserve">sobre todo </w:t>
      </w:r>
      <w:r w:rsidR="00694825" w:rsidRPr="00A8564C">
        <w:rPr>
          <w:lang w:val="es-ES"/>
        </w:rPr>
        <w:t xml:space="preserve">en </w:t>
      </w:r>
      <w:r w:rsidR="00672F4E" w:rsidRPr="00A8564C">
        <w:rPr>
          <w:lang w:val="es-ES"/>
        </w:rPr>
        <w:t>Israel,</w:t>
      </w:r>
      <w:r w:rsidR="002C70DB" w:rsidRPr="00A8564C">
        <w:rPr>
          <w:lang w:val="es-ES"/>
        </w:rPr>
        <w:t xml:space="preserve"> </w:t>
      </w:r>
      <w:r w:rsidR="00672F4E" w:rsidRPr="00A8564C">
        <w:rPr>
          <w:lang w:val="es-ES"/>
        </w:rPr>
        <w:t>pero</w:t>
      </w:r>
      <w:r w:rsidR="00694825" w:rsidRPr="00A8564C">
        <w:rPr>
          <w:lang w:val="es-ES"/>
        </w:rPr>
        <w:t xml:space="preserve"> </w:t>
      </w:r>
      <w:r w:rsidR="00672F4E" w:rsidRPr="00A8564C">
        <w:rPr>
          <w:lang w:val="es-ES"/>
        </w:rPr>
        <w:t>también</w:t>
      </w:r>
      <w:r w:rsidR="00694825" w:rsidRPr="00A8564C">
        <w:rPr>
          <w:lang w:val="es-ES"/>
        </w:rPr>
        <w:t xml:space="preserve"> en el mundo entero</w:t>
      </w:r>
      <w:r w:rsidR="002C70DB" w:rsidRPr="00A8564C">
        <w:rPr>
          <w:lang w:val="es-ES"/>
        </w:rPr>
        <w:t>.</w:t>
      </w:r>
    </w:p>
    <w:p w14:paraId="3465ED9A" w14:textId="1742BFA3" w:rsidR="002C70DB" w:rsidRPr="00A8564C" w:rsidRDefault="002C70DB" w:rsidP="00E826DF">
      <w:pPr>
        <w:pStyle w:val="SectionHeading"/>
        <w:rPr>
          <w:lang w:val="es-ES"/>
        </w:rPr>
      </w:pPr>
      <w:r w:rsidRPr="00A8564C">
        <w:rPr>
          <w:lang w:val="es-ES"/>
        </w:rPr>
        <w:t>5</w:t>
      </w:r>
      <w:r w:rsidR="009E7E5E" w:rsidRPr="00A8564C">
        <w:rPr>
          <w:lang w:val="es-ES"/>
        </w:rPr>
        <w:t xml:space="preserve">.  </w:t>
      </w:r>
      <w:r w:rsidRPr="00A8564C">
        <w:rPr>
          <w:lang w:val="es-ES"/>
        </w:rPr>
        <w:t>P</w:t>
      </w:r>
      <w:r w:rsidR="004756C3" w:rsidRPr="00A8564C">
        <w:rPr>
          <w:lang w:val="es-ES"/>
        </w:rPr>
        <w:t>ERFIL DE LAS S</w:t>
      </w:r>
      <w:r w:rsidR="00B06CD7" w:rsidRPr="00A8564C">
        <w:rPr>
          <w:lang w:val="es-ES"/>
        </w:rPr>
        <w:t>olicitudes de patente</w:t>
      </w:r>
    </w:p>
    <w:p w14:paraId="455908F5" w14:textId="4BACC033" w:rsidR="002C70DB" w:rsidRPr="00A8564C" w:rsidRDefault="004756C3" w:rsidP="00E826DF">
      <w:pPr>
        <w:rPr>
          <w:b/>
          <w:lang w:val="es-ES"/>
        </w:rPr>
      </w:pPr>
      <w:r w:rsidRPr="00A8564C">
        <w:rPr>
          <w:b/>
          <w:lang w:val="es-ES"/>
        </w:rPr>
        <w:t>Número de solicitudes de patente nacional recibidas – por campo técnico</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360"/>
        <w:gridCol w:w="1361"/>
        <w:gridCol w:w="1361"/>
        <w:gridCol w:w="1361"/>
        <w:gridCol w:w="1361"/>
      </w:tblGrid>
      <w:tr w:rsidR="002C70DB" w:rsidRPr="00A8564C" w14:paraId="614D6983" w14:textId="77777777" w:rsidTr="00E826DF">
        <w:trPr>
          <w:cantSplit/>
        </w:trPr>
        <w:tc>
          <w:tcPr>
            <w:tcW w:w="2518" w:type="dxa"/>
            <w:tcBorders>
              <w:tl2br w:val="single" w:sz="4" w:space="0" w:color="auto"/>
            </w:tcBorders>
            <w:shd w:val="clear" w:color="auto" w:fill="auto"/>
          </w:tcPr>
          <w:p w14:paraId="03B97AF2" w14:textId="77777777" w:rsidR="002C70DB" w:rsidRPr="00A8564C" w:rsidRDefault="002C70DB" w:rsidP="00A933CF">
            <w:pPr>
              <w:rPr>
                <w:lang w:val="es-ES"/>
              </w:rPr>
            </w:pPr>
          </w:p>
          <w:p w14:paraId="7DAE4484" w14:textId="08DFB8B7" w:rsidR="002C70DB" w:rsidRPr="00A8564C" w:rsidRDefault="00EC4B0C" w:rsidP="00A933CF">
            <w:pPr>
              <w:jc w:val="right"/>
              <w:rPr>
                <w:b/>
                <w:lang w:val="es-ES"/>
              </w:rPr>
            </w:pPr>
            <w:r w:rsidRPr="00A8564C">
              <w:rPr>
                <w:b/>
                <w:lang w:val="es-ES"/>
              </w:rPr>
              <w:t>Año</w:t>
            </w:r>
          </w:p>
          <w:p w14:paraId="21877B69" w14:textId="0AF2C95A" w:rsidR="002C70DB" w:rsidRPr="00A8564C" w:rsidRDefault="00EC4B0C" w:rsidP="00A933CF">
            <w:pPr>
              <w:rPr>
                <w:lang w:val="es-ES"/>
              </w:rPr>
            </w:pPr>
            <w:r w:rsidRPr="00A8564C">
              <w:rPr>
                <w:b/>
                <w:lang w:val="es-ES"/>
              </w:rPr>
              <w:t>Campo técnico</w:t>
            </w:r>
          </w:p>
        </w:tc>
        <w:tc>
          <w:tcPr>
            <w:tcW w:w="1360" w:type="dxa"/>
            <w:shd w:val="clear" w:color="auto" w:fill="auto"/>
            <w:vAlign w:val="center"/>
          </w:tcPr>
          <w:p w14:paraId="65961D92" w14:textId="77777777" w:rsidR="002C70DB" w:rsidRPr="00A8564C" w:rsidRDefault="002C70DB" w:rsidP="00A933CF">
            <w:pPr>
              <w:jc w:val="center"/>
              <w:rPr>
                <w:lang w:val="es-ES"/>
              </w:rPr>
            </w:pPr>
            <w:r w:rsidRPr="00A8564C">
              <w:rPr>
                <w:lang w:val="es-ES"/>
              </w:rPr>
              <w:t>2016</w:t>
            </w:r>
          </w:p>
        </w:tc>
        <w:tc>
          <w:tcPr>
            <w:tcW w:w="1361" w:type="dxa"/>
            <w:shd w:val="clear" w:color="auto" w:fill="auto"/>
            <w:vAlign w:val="center"/>
          </w:tcPr>
          <w:p w14:paraId="4AF94D3E" w14:textId="77777777" w:rsidR="002C70DB" w:rsidRPr="00A8564C" w:rsidRDefault="002C70DB" w:rsidP="00A933CF">
            <w:pPr>
              <w:jc w:val="center"/>
              <w:rPr>
                <w:lang w:val="es-ES"/>
              </w:rPr>
            </w:pPr>
            <w:r w:rsidRPr="00A8564C">
              <w:rPr>
                <w:lang w:val="es-ES"/>
              </w:rPr>
              <w:t>2015</w:t>
            </w:r>
          </w:p>
        </w:tc>
        <w:tc>
          <w:tcPr>
            <w:tcW w:w="1361" w:type="dxa"/>
            <w:shd w:val="clear" w:color="auto" w:fill="auto"/>
            <w:vAlign w:val="center"/>
          </w:tcPr>
          <w:p w14:paraId="5915303E" w14:textId="77777777" w:rsidR="002C70DB" w:rsidRPr="00A8564C" w:rsidRDefault="002C70DB" w:rsidP="00A933CF">
            <w:pPr>
              <w:jc w:val="center"/>
              <w:rPr>
                <w:lang w:val="es-ES"/>
              </w:rPr>
            </w:pPr>
            <w:r w:rsidRPr="00A8564C">
              <w:rPr>
                <w:lang w:val="es-ES"/>
              </w:rPr>
              <w:t>2014</w:t>
            </w:r>
          </w:p>
        </w:tc>
        <w:tc>
          <w:tcPr>
            <w:tcW w:w="1361" w:type="dxa"/>
            <w:shd w:val="clear" w:color="auto" w:fill="auto"/>
            <w:vAlign w:val="center"/>
          </w:tcPr>
          <w:p w14:paraId="1CE8A9DF" w14:textId="77777777" w:rsidR="002C70DB" w:rsidRPr="00A8564C" w:rsidRDefault="002C70DB" w:rsidP="00A933CF">
            <w:pPr>
              <w:jc w:val="center"/>
              <w:rPr>
                <w:lang w:val="es-ES"/>
              </w:rPr>
            </w:pPr>
            <w:r w:rsidRPr="00A8564C">
              <w:rPr>
                <w:lang w:val="es-ES"/>
              </w:rPr>
              <w:t>2013</w:t>
            </w:r>
          </w:p>
        </w:tc>
        <w:tc>
          <w:tcPr>
            <w:tcW w:w="1361" w:type="dxa"/>
            <w:shd w:val="clear" w:color="auto" w:fill="auto"/>
            <w:vAlign w:val="center"/>
          </w:tcPr>
          <w:p w14:paraId="24C98058" w14:textId="77777777" w:rsidR="002C70DB" w:rsidRPr="00A8564C" w:rsidRDefault="002C70DB" w:rsidP="00A933CF">
            <w:pPr>
              <w:jc w:val="center"/>
              <w:rPr>
                <w:lang w:val="es-ES"/>
              </w:rPr>
            </w:pPr>
            <w:r w:rsidRPr="00A8564C">
              <w:rPr>
                <w:lang w:val="es-ES"/>
              </w:rPr>
              <w:t>2012</w:t>
            </w:r>
          </w:p>
        </w:tc>
      </w:tr>
      <w:tr w:rsidR="004756C3" w:rsidRPr="00A8564C" w14:paraId="7F30E943" w14:textId="77777777" w:rsidTr="00E826DF">
        <w:trPr>
          <w:cantSplit/>
        </w:trPr>
        <w:tc>
          <w:tcPr>
            <w:tcW w:w="2518" w:type="dxa"/>
            <w:shd w:val="clear" w:color="auto" w:fill="auto"/>
          </w:tcPr>
          <w:p w14:paraId="71D5B39C" w14:textId="74D852A0" w:rsidR="004756C3" w:rsidRPr="00A8564C" w:rsidRDefault="004756C3" w:rsidP="004756C3">
            <w:pPr>
              <w:rPr>
                <w:lang w:val="es-ES"/>
              </w:rPr>
            </w:pPr>
            <w:r w:rsidRPr="00A8564C">
              <w:rPr>
                <w:lang w:val="es-ES"/>
              </w:rPr>
              <w:t>Mecánica</w:t>
            </w:r>
          </w:p>
        </w:tc>
        <w:tc>
          <w:tcPr>
            <w:tcW w:w="1360" w:type="dxa"/>
            <w:shd w:val="clear" w:color="auto" w:fill="auto"/>
          </w:tcPr>
          <w:p w14:paraId="2E584C87" w14:textId="77777777" w:rsidR="004756C3" w:rsidRPr="00A8564C" w:rsidRDefault="004756C3" w:rsidP="004756C3">
            <w:pPr>
              <w:ind w:right="260"/>
              <w:jc w:val="right"/>
              <w:rPr>
                <w:lang w:val="es-ES"/>
              </w:rPr>
            </w:pPr>
            <w:r w:rsidRPr="00A8564C">
              <w:rPr>
                <w:lang w:val="es-ES"/>
              </w:rPr>
              <w:t>726</w:t>
            </w:r>
          </w:p>
        </w:tc>
        <w:tc>
          <w:tcPr>
            <w:tcW w:w="1361" w:type="dxa"/>
            <w:shd w:val="clear" w:color="auto" w:fill="auto"/>
          </w:tcPr>
          <w:p w14:paraId="0C7C9D67" w14:textId="77777777" w:rsidR="004756C3" w:rsidRPr="00A8564C" w:rsidRDefault="004756C3" w:rsidP="004756C3">
            <w:pPr>
              <w:ind w:right="260"/>
              <w:jc w:val="right"/>
              <w:rPr>
                <w:lang w:val="es-ES"/>
              </w:rPr>
            </w:pPr>
            <w:r w:rsidRPr="00A8564C">
              <w:rPr>
                <w:lang w:val="es-ES"/>
              </w:rPr>
              <w:t>644</w:t>
            </w:r>
          </w:p>
        </w:tc>
        <w:tc>
          <w:tcPr>
            <w:tcW w:w="1361" w:type="dxa"/>
            <w:shd w:val="clear" w:color="auto" w:fill="auto"/>
          </w:tcPr>
          <w:p w14:paraId="23AF4166" w14:textId="77777777" w:rsidR="004756C3" w:rsidRPr="00A8564C" w:rsidRDefault="004756C3" w:rsidP="004756C3">
            <w:pPr>
              <w:ind w:right="260"/>
              <w:jc w:val="right"/>
              <w:rPr>
                <w:lang w:val="es-ES"/>
              </w:rPr>
            </w:pPr>
            <w:r w:rsidRPr="00A8564C">
              <w:rPr>
                <w:lang w:val="es-ES"/>
              </w:rPr>
              <w:t>626</w:t>
            </w:r>
          </w:p>
        </w:tc>
        <w:tc>
          <w:tcPr>
            <w:tcW w:w="1361" w:type="dxa"/>
            <w:shd w:val="clear" w:color="auto" w:fill="auto"/>
          </w:tcPr>
          <w:p w14:paraId="156CBCC0" w14:textId="77777777" w:rsidR="004756C3" w:rsidRPr="00A8564C" w:rsidRDefault="004756C3" w:rsidP="004756C3">
            <w:pPr>
              <w:ind w:right="260"/>
              <w:jc w:val="right"/>
              <w:rPr>
                <w:lang w:val="es-ES"/>
              </w:rPr>
            </w:pPr>
            <w:r w:rsidRPr="00A8564C">
              <w:rPr>
                <w:lang w:val="es-ES"/>
              </w:rPr>
              <w:t>640</w:t>
            </w:r>
          </w:p>
        </w:tc>
        <w:tc>
          <w:tcPr>
            <w:tcW w:w="1361" w:type="dxa"/>
            <w:shd w:val="clear" w:color="auto" w:fill="auto"/>
          </w:tcPr>
          <w:p w14:paraId="0791CB4C" w14:textId="77777777" w:rsidR="004756C3" w:rsidRPr="00A8564C" w:rsidRDefault="004756C3" w:rsidP="004756C3">
            <w:pPr>
              <w:ind w:right="260"/>
              <w:jc w:val="right"/>
              <w:rPr>
                <w:lang w:val="es-ES"/>
              </w:rPr>
            </w:pPr>
            <w:r w:rsidRPr="00A8564C">
              <w:rPr>
                <w:lang w:val="es-ES"/>
              </w:rPr>
              <w:t>656</w:t>
            </w:r>
          </w:p>
        </w:tc>
      </w:tr>
      <w:tr w:rsidR="004756C3" w:rsidRPr="00A8564C" w14:paraId="0C7BF958" w14:textId="77777777" w:rsidTr="00E826DF">
        <w:trPr>
          <w:cantSplit/>
        </w:trPr>
        <w:tc>
          <w:tcPr>
            <w:tcW w:w="2518" w:type="dxa"/>
            <w:shd w:val="clear" w:color="auto" w:fill="auto"/>
          </w:tcPr>
          <w:p w14:paraId="1271BA8F" w14:textId="13770E2B" w:rsidR="004756C3" w:rsidRPr="00A8564C" w:rsidRDefault="004756C3" w:rsidP="004756C3">
            <w:pPr>
              <w:rPr>
                <w:lang w:val="es-ES"/>
              </w:rPr>
            </w:pPr>
            <w:r w:rsidRPr="00A8564C">
              <w:rPr>
                <w:lang w:val="es-ES"/>
              </w:rPr>
              <w:t>Electricidad/electrónica</w:t>
            </w:r>
          </w:p>
        </w:tc>
        <w:tc>
          <w:tcPr>
            <w:tcW w:w="1360" w:type="dxa"/>
            <w:shd w:val="clear" w:color="auto" w:fill="auto"/>
          </w:tcPr>
          <w:p w14:paraId="300EC64F" w14:textId="06268D96" w:rsidR="004756C3" w:rsidRPr="00A8564C" w:rsidRDefault="004756C3" w:rsidP="004756C3">
            <w:pPr>
              <w:ind w:right="260"/>
              <w:jc w:val="right"/>
              <w:rPr>
                <w:lang w:val="es-ES"/>
              </w:rPr>
            </w:pPr>
            <w:r w:rsidRPr="00A8564C">
              <w:rPr>
                <w:lang w:val="es-ES"/>
              </w:rPr>
              <w:t>2</w:t>
            </w:r>
            <w:r w:rsidR="00694825" w:rsidRPr="00A8564C">
              <w:rPr>
                <w:lang w:val="es-ES"/>
              </w:rPr>
              <w:t>.</w:t>
            </w:r>
            <w:r w:rsidRPr="00A8564C">
              <w:rPr>
                <w:lang w:val="es-ES"/>
              </w:rPr>
              <w:t>306</w:t>
            </w:r>
          </w:p>
        </w:tc>
        <w:tc>
          <w:tcPr>
            <w:tcW w:w="1361" w:type="dxa"/>
            <w:shd w:val="clear" w:color="auto" w:fill="auto"/>
          </w:tcPr>
          <w:p w14:paraId="41DA8DAE" w14:textId="2DAEA223" w:rsidR="004756C3" w:rsidRPr="00A8564C" w:rsidRDefault="004756C3" w:rsidP="004756C3">
            <w:pPr>
              <w:ind w:right="260"/>
              <w:jc w:val="right"/>
              <w:rPr>
                <w:lang w:val="es-ES"/>
              </w:rPr>
            </w:pPr>
            <w:r w:rsidRPr="00A8564C">
              <w:rPr>
                <w:lang w:val="es-ES"/>
              </w:rPr>
              <w:t>2</w:t>
            </w:r>
            <w:r w:rsidR="00694825" w:rsidRPr="00A8564C">
              <w:rPr>
                <w:lang w:val="es-ES"/>
              </w:rPr>
              <w:t>.</w:t>
            </w:r>
            <w:r w:rsidRPr="00A8564C">
              <w:rPr>
                <w:lang w:val="es-ES"/>
              </w:rPr>
              <w:t>498</w:t>
            </w:r>
          </w:p>
        </w:tc>
        <w:tc>
          <w:tcPr>
            <w:tcW w:w="1361" w:type="dxa"/>
            <w:shd w:val="clear" w:color="auto" w:fill="auto"/>
          </w:tcPr>
          <w:p w14:paraId="787A22E6" w14:textId="47F97A68" w:rsidR="004756C3" w:rsidRPr="00A8564C" w:rsidRDefault="004756C3" w:rsidP="004756C3">
            <w:pPr>
              <w:ind w:right="260"/>
              <w:jc w:val="right"/>
              <w:rPr>
                <w:lang w:val="es-ES"/>
              </w:rPr>
            </w:pPr>
            <w:r w:rsidRPr="00A8564C">
              <w:rPr>
                <w:lang w:val="es-ES"/>
              </w:rPr>
              <w:t>2</w:t>
            </w:r>
            <w:r w:rsidR="00694825" w:rsidRPr="00A8564C">
              <w:rPr>
                <w:lang w:val="es-ES"/>
              </w:rPr>
              <w:t>.</w:t>
            </w:r>
            <w:r w:rsidRPr="00A8564C">
              <w:rPr>
                <w:lang w:val="es-ES"/>
              </w:rPr>
              <w:t>432</w:t>
            </w:r>
          </w:p>
        </w:tc>
        <w:tc>
          <w:tcPr>
            <w:tcW w:w="1361" w:type="dxa"/>
            <w:shd w:val="clear" w:color="auto" w:fill="auto"/>
          </w:tcPr>
          <w:p w14:paraId="0099D7D5" w14:textId="6624D414" w:rsidR="004756C3" w:rsidRPr="00A8564C" w:rsidRDefault="004756C3" w:rsidP="004756C3">
            <w:pPr>
              <w:ind w:right="260"/>
              <w:jc w:val="right"/>
              <w:rPr>
                <w:lang w:val="es-ES"/>
              </w:rPr>
            </w:pPr>
            <w:r w:rsidRPr="00A8564C">
              <w:rPr>
                <w:lang w:val="es-ES"/>
              </w:rPr>
              <w:t>2</w:t>
            </w:r>
            <w:r w:rsidR="00694825" w:rsidRPr="00A8564C">
              <w:rPr>
                <w:lang w:val="es-ES"/>
              </w:rPr>
              <w:t>.</w:t>
            </w:r>
            <w:r w:rsidRPr="00A8564C">
              <w:rPr>
                <w:lang w:val="es-ES"/>
              </w:rPr>
              <w:t>234</w:t>
            </w:r>
          </w:p>
        </w:tc>
        <w:tc>
          <w:tcPr>
            <w:tcW w:w="1361" w:type="dxa"/>
            <w:shd w:val="clear" w:color="auto" w:fill="auto"/>
          </w:tcPr>
          <w:p w14:paraId="28F9A6AD" w14:textId="59D60236" w:rsidR="004756C3" w:rsidRPr="00A8564C" w:rsidRDefault="004756C3" w:rsidP="004756C3">
            <w:pPr>
              <w:ind w:right="260"/>
              <w:jc w:val="right"/>
              <w:rPr>
                <w:lang w:val="es-ES"/>
              </w:rPr>
            </w:pPr>
            <w:r w:rsidRPr="00A8564C">
              <w:rPr>
                <w:lang w:val="es-ES"/>
              </w:rPr>
              <w:t>2</w:t>
            </w:r>
            <w:r w:rsidR="00694825" w:rsidRPr="00A8564C">
              <w:rPr>
                <w:lang w:val="es-ES"/>
              </w:rPr>
              <w:t>.</w:t>
            </w:r>
            <w:r w:rsidRPr="00A8564C">
              <w:rPr>
                <w:lang w:val="es-ES"/>
              </w:rPr>
              <w:t>202</w:t>
            </w:r>
          </w:p>
        </w:tc>
      </w:tr>
      <w:tr w:rsidR="004756C3" w:rsidRPr="00A8564C" w14:paraId="3BC0E298" w14:textId="77777777" w:rsidTr="00E826DF">
        <w:trPr>
          <w:cantSplit/>
        </w:trPr>
        <w:tc>
          <w:tcPr>
            <w:tcW w:w="2518" w:type="dxa"/>
            <w:shd w:val="clear" w:color="auto" w:fill="auto"/>
          </w:tcPr>
          <w:p w14:paraId="0B195051" w14:textId="67DD250E" w:rsidR="004756C3" w:rsidRPr="00A8564C" w:rsidRDefault="004756C3" w:rsidP="004756C3">
            <w:pPr>
              <w:rPr>
                <w:lang w:val="es-ES"/>
              </w:rPr>
            </w:pPr>
            <w:r w:rsidRPr="00A8564C">
              <w:rPr>
                <w:lang w:val="es-ES"/>
              </w:rPr>
              <w:t>Química</w:t>
            </w:r>
          </w:p>
        </w:tc>
        <w:tc>
          <w:tcPr>
            <w:tcW w:w="1360" w:type="dxa"/>
            <w:shd w:val="clear" w:color="auto" w:fill="auto"/>
          </w:tcPr>
          <w:p w14:paraId="652AFD1E" w14:textId="168DFBD2" w:rsidR="004756C3" w:rsidRPr="00A8564C" w:rsidRDefault="004756C3" w:rsidP="004756C3">
            <w:pPr>
              <w:ind w:right="260"/>
              <w:jc w:val="right"/>
              <w:rPr>
                <w:lang w:val="es-ES"/>
              </w:rPr>
            </w:pPr>
            <w:r w:rsidRPr="00A8564C">
              <w:rPr>
                <w:lang w:val="es-ES"/>
              </w:rPr>
              <w:t>2</w:t>
            </w:r>
            <w:r w:rsidR="00694825" w:rsidRPr="00A8564C">
              <w:rPr>
                <w:lang w:val="es-ES"/>
              </w:rPr>
              <w:t>.</w:t>
            </w:r>
            <w:r w:rsidRPr="00A8564C">
              <w:rPr>
                <w:lang w:val="es-ES"/>
              </w:rPr>
              <w:t>094</w:t>
            </w:r>
          </w:p>
        </w:tc>
        <w:tc>
          <w:tcPr>
            <w:tcW w:w="1361" w:type="dxa"/>
            <w:shd w:val="clear" w:color="auto" w:fill="auto"/>
          </w:tcPr>
          <w:p w14:paraId="3D3D473F" w14:textId="58D931EA" w:rsidR="004756C3" w:rsidRPr="00A8564C" w:rsidRDefault="004756C3" w:rsidP="004756C3">
            <w:pPr>
              <w:ind w:right="260"/>
              <w:jc w:val="right"/>
              <w:rPr>
                <w:lang w:val="es-ES"/>
              </w:rPr>
            </w:pPr>
            <w:r w:rsidRPr="00A8564C">
              <w:rPr>
                <w:lang w:val="es-ES"/>
              </w:rPr>
              <w:t>2</w:t>
            </w:r>
            <w:r w:rsidR="00694825" w:rsidRPr="00A8564C">
              <w:rPr>
                <w:lang w:val="es-ES"/>
              </w:rPr>
              <w:t>.</w:t>
            </w:r>
            <w:r w:rsidRPr="00A8564C">
              <w:rPr>
                <w:lang w:val="es-ES"/>
              </w:rPr>
              <w:t>123</w:t>
            </w:r>
          </w:p>
        </w:tc>
        <w:tc>
          <w:tcPr>
            <w:tcW w:w="1361" w:type="dxa"/>
            <w:shd w:val="clear" w:color="auto" w:fill="auto"/>
          </w:tcPr>
          <w:p w14:paraId="72E307DC" w14:textId="463BEC84" w:rsidR="004756C3" w:rsidRPr="00A8564C" w:rsidRDefault="004756C3" w:rsidP="004756C3">
            <w:pPr>
              <w:ind w:right="260"/>
              <w:jc w:val="right"/>
              <w:rPr>
                <w:lang w:val="es-ES"/>
              </w:rPr>
            </w:pPr>
            <w:r w:rsidRPr="00A8564C">
              <w:rPr>
                <w:lang w:val="es-ES"/>
              </w:rPr>
              <w:t>1</w:t>
            </w:r>
            <w:r w:rsidR="00694825" w:rsidRPr="00A8564C">
              <w:rPr>
                <w:lang w:val="es-ES"/>
              </w:rPr>
              <w:t>.</w:t>
            </w:r>
            <w:r w:rsidRPr="00A8564C">
              <w:rPr>
                <w:lang w:val="es-ES"/>
              </w:rPr>
              <w:t>968</w:t>
            </w:r>
          </w:p>
        </w:tc>
        <w:tc>
          <w:tcPr>
            <w:tcW w:w="1361" w:type="dxa"/>
            <w:shd w:val="clear" w:color="auto" w:fill="auto"/>
          </w:tcPr>
          <w:p w14:paraId="0AB18A2C" w14:textId="45BAF4D4" w:rsidR="004756C3" w:rsidRPr="00A8564C" w:rsidRDefault="004756C3" w:rsidP="004756C3">
            <w:pPr>
              <w:ind w:right="260"/>
              <w:jc w:val="right"/>
              <w:rPr>
                <w:lang w:val="es-ES"/>
              </w:rPr>
            </w:pPr>
            <w:r w:rsidRPr="00A8564C">
              <w:rPr>
                <w:lang w:val="es-ES"/>
              </w:rPr>
              <w:t>1</w:t>
            </w:r>
            <w:r w:rsidR="00694825" w:rsidRPr="00A8564C">
              <w:rPr>
                <w:lang w:val="es-ES"/>
              </w:rPr>
              <w:t>.</w:t>
            </w:r>
            <w:r w:rsidRPr="00A8564C">
              <w:rPr>
                <w:lang w:val="es-ES"/>
              </w:rPr>
              <w:t>966</w:t>
            </w:r>
          </w:p>
        </w:tc>
        <w:tc>
          <w:tcPr>
            <w:tcW w:w="1361" w:type="dxa"/>
            <w:shd w:val="clear" w:color="auto" w:fill="auto"/>
          </w:tcPr>
          <w:p w14:paraId="580E6837" w14:textId="6DF24424" w:rsidR="004756C3" w:rsidRPr="00A8564C" w:rsidRDefault="004756C3" w:rsidP="004756C3">
            <w:pPr>
              <w:ind w:right="260"/>
              <w:jc w:val="right"/>
              <w:rPr>
                <w:lang w:val="es-ES"/>
              </w:rPr>
            </w:pPr>
            <w:r w:rsidRPr="00A8564C">
              <w:rPr>
                <w:lang w:val="es-ES"/>
              </w:rPr>
              <w:t>2</w:t>
            </w:r>
            <w:r w:rsidR="00694825" w:rsidRPr="00A8564C">
              <w:rPr>
                <w:lang w:val="es-ES"/>
              </w:rPr>
              <w:t>.</w:t>
            </w:r>
            <w:r w:rsidRPr="00A8564C">
              <w:rPr>
                <w:lang w:val="es-ES"/>
              </w:rPr>
              <w:t>202</w:t>
            </w:r>
          </w:p>
        </w:tc>
      </w:tr>
      <w:tr w:rsidR="004756C3" w:rsidRPr="00A8564C" w14:paraId="13E6D84F" w14:textId="77777777" w:rsidTr="00E826DF">
        <w:trPr>
          <w:cantSplit/>
        </w:trPr>
        <w:tc>
          <w:tcPr>
            <w:tcW w:w="2518" w:type="dxa"/>
            <w:shd w:val="clear" w:color="auto" w:fill="auto"/>
          </w:tcPr>
          <w:p w14:paraId="71C1A82C" w14:textId="15BF12C7" w:rsidR="004756C3" w:rsidRPr="00A8564C" w:rsidRDefault="004756C3" w:rsidP="004756C3">
            <w:pPr>
              <w:rPr>
                <w:lang w:val="es-ES"/>
              </w:rPr>
            </w:pPr>
            <w:r w:rsidRPr="00A8564C">
              <w:rPr>
                <w:lang w:val="es-ES"/>
              </w:rPr>
              <w:t>Biotecnología</w:t>
            </w:r>
          </w:p>
        </w:tc>
        <w:tc>
          <w:tcPr>
            <w:tcW w:w="1360" w:type="dxa"/>
            <w:shd w:val="clear" w:color="auto" w:fill="auto"/>
          </w:tcPr>
          <w:p w14:paraId="2D5DA0B6" w14:textId="124A694B" w:rsidR="004756C3" w:rsidRPr="00A8564C" w:rsidRDefault="004756C3" w:rsidP="004756C3">
            <w:pPr>
              <w:ind w:right="260"/>
              <w:jc w:val="right"/>
              <w:rPr>
                <w:lang w:val="es-ES"/>
              </w:rPr>
            </w:pPr>
            <w:r w:rsidRPr="00A8564C">
              <w:rPr>
                <w:lang w:val="es-ES"/>
              </w:rPr>
              <w:t>1</w:t>
            </w:r>
            <w:r w:rsidR="00694825" w:rsidRPr="00A8564C">
              <w:rPr>
                <w:lang w:val="es-ES"/>
              </w:rPr>
              <w:t>.</w:t>
            </w:r>
            <w:r w:rsidRPr="00A8564C">
              <w:rPr>
                <w:lang w:val="es-ES"/>
              </w:rPr>
              <w:t>293</w:t>
            </w:r>
          </w:p>
        </w:tc>
        <w:tc>
          <w:tcPr>
            <w:tcW w:w="1361" w:type="dxa"/>
            <w:shd w:val="clear" w:color="auto" w:fill="auto"/>
          </w:tcPr>
          <w:p w14:paraId="7BEB425A" w14:textId="2374E27F" w:rsidR="004756C3" w:rsidRPr="00A8564C" w:rsidRDefault="004756C3" w:rsidP="004756C3">
            <w:pPr>
              <w:ind w:right="260"/>
              <w:jc w:val="right"/>
              <w:rPr>
                <w:lang w:val="es-ES"/>
              </w:rPr>
            </w:pPr>
            <w:r w:rsidRPr="00A8564C">
              <w:rPr>
                <w:lang w:val="es-ES"/>
              </w:rPr>
              <w:t>1</w:t>
            </w:r>
            <w:r w:rsidR="00694825" w:rsidRPr="00A8564C">
              <w:rPr>
                <w:lang w:val="es-ES"/>
              </w:rPr>
              <w:t>.</w:t>
            </w:r>
            <w:r w:rsidRPr="00A8564C">
              <w:rPr>
                <w:lang w:val="es-ES"/>
              </w:rPr>
              <w:t>262</w:t>
            </w:r>
          </w:p>
        </w:tc>
        <w:tc>
          <w:tcPr>
            <w:tcW w:w="1361" w:type="dxa"/>
            <w:shd w:val="clear" w:color="auto" w:fill="auto"/>
          </w:tcPr>
          <w:p w14:paraId="0B5D678A" w14:textId="6D851D41" w:rsidR="004756C3" w:rsidRPr="00A8564C" w:rsidRDefault="004756C3" w:rsidP="004756C3">
            <w:pPr>
              <w:ind w:right="260"/>
              <w:jc w:val="right"/>
              <w:rPr>
                <w:lang w:val="es-ES"/>
              </w:rPr>
            </w:pPr>
            <w:r w:rsidRPr="00A8564C">
              <w:rPr>
                <w:lang w:val="es-ES"/>
              </w:rPr>
              <w:t>1</w:t>
            </w:r>
            <w:r w:rsidR="00694825" w:rsidRPr="00A8564C">
              <w:rPr>
                <w:lang w:val="es-ES"/>
              </w:rPr>
              <w:t>.</w:t>
            </w:r>
            <w:r w:rsidRPr="00A8564C">
              <w:rPr>
                <w:lang w:val="es-ES"/>
              </w:rPr>
              <w:t>142</w:t>
            </w:r>
          </w:p>
        </w:tc>
        <w:tc>
          <w:tcPr>
            <w:tcW w:w="1361" w:type="dxa"/>
            <w:shd w:val="clear" w:color="auto" w:fill="auto"/>
          </w:tcPr>
          <w:p w14:paraId="1959E1E4" w14:textId="35B4FC5A" w:rsidR="004756C3" w:rsidRPr="00A8564C" w:rsidRDefault="004756C3" w:rsidP="004756C3">
            <w:pPr>
              <w:ind w:right="260"/>
              <w:jc w:val="right"/>
              <w:rPr>
                <w:lang w:val="es-ES"/>
              </w:rPr>
            </w:pPr>
            <w:r w:rsidRPr="00A8564C">
              <w:rPr>
                <w:lang w:val="es-ES"/>
              </w:rPr>
              <w:t>1</w:t>
            </w:r>
            <w:r w:rsidR="00694825" w:rsidRPr="00A8564C">
              <w:rPr>
                <w:lang w:val="es-ES"/>
              </w:rPr>
              <w:t>.</w:t>
            </w:r>
            <w:r w:rsidRPr="00A8564C">
              <w:rPr>
                <w:lang w:val="es-ES"/>
              </w:rPr>
              <w:t>122</w:t>
            </w:r>
          </w:p>
        </w:tc>
        <w:tc>
          <w:tcPr>
            <w:tcW w:w="1361" w:type="dxa"/>
            <w:shd w:val="clear" w:color="auto" w:fill="auto"/>
          </w:tcPr>
          <w:p w14:paraId="283BA99E" w14:textId="276BECA9" w:rsidR="004756C3" w:rsidRPr="00A8564C" w:rsidRDefault="004756C3" w:rsidP="004756C3">
            <w:pPr>
              <w:ind w:right="260"/>
              <w:jc w:val="right"/>
              <w:rPr>
                <w:lang w:val="es-ES"/>
              </w:rPr>
            </w:pPr>
            <w:r w:rsidRPr="00A8564C">
              <w:rPr>
                <w:lang w:val="es-ES"/>
              </w:rPr>
              <w:t>1</w:t>
            </w:r>
            <w:r w:rsidR="00694825" w:rsidRPr="00A8564C">
              <w:rPr>
                <w:lang w:val="es-ES"/>
              </w:rPr>
              <w:t>.</w:t>
            </w:r>
            <w:r w:rsidRPr="00A8564C">
              <w:rPr>
                <w:lang w:val="es-ES"/>
              </w:rPr>
              <w:t>200</w:t>
            </w:r>
          </w:p>
        </w:tc>
      </w:tr>
      <w:tr w:rsidR="004756C3" w:rsidRPr="00A8564C" w14:paraId="23FEB3DE" w14:textId="77777777" w:rsidTr="00E826DF">
        <w:trPr>
          <w:cantSplit/>
        </w:trPr>
        <w:tc>
          <w:tcPr>
            <w:tcW w:w="2518" w:type="dxa"/>
            <w:shd w:val="clear" w:color="auto" w:fill="auto"/>
          </w:tcPr>
          <w:p w14:paraId="1A05143C" w14:textId="5CF14FFC" w:rsidR="004756C3" w:rsidRPr="00A8564C" w:rsidRDefault="004756C3" w:rsidP="004756C3">
            <w:pPr>
              <w:rPr>
                <w:lang w:val="es-ES"/>
              </w:rPr>
            </w:pPr>
            <w:r w:rsidRPr="00A8564C">
              <w:rPr>
                <w:i/>
                <w:lang w:val="es-ES"/>
              </w:rPr>
              <w:t>Total</w:t>
            </w:r>
          </w:p>
        </w:tc>
        <w:tc>
          <w:tcPr>
            <w:tcW w:w="1360" w:type="dxa"/>
            <w:shd w:val="clear" w:color="auto" w:fill="auto"/>
          </w:tcPr>
          <w:p w14:paraId="4FE60ADA" w14:textId="573E789B" w:rsidR="004756C3" w:rsidRPr="00A8564C" w:rsidRDefault="004756C3" w:rsidP="004756C3">
            <w:pPr>
              <w:ind w:right="260"/>
              <w:jc w:val="right"/>
              <w:rPr>
                <w:i/>
                <w:lang w:val="es-ES"/>
              </w:rPr>
            </w:pPr>
            <w:r w:rsidRPr="00A8564C">
              <w:rPr>
                <w:i/>
                <w:lang w:val="es-ES"/>
              </w:rPr>
              <w:t>6</w:t>
            </w:r>
            <w:r w:rsidR="00694825" w:rsidRPr="00A8564C">
              <w:rPr>
                <w:i/>
                <w:lang w:val="es-ES"/>
              </w:rPr>
              <w:t>.</w:t>
            </w:r>
            <w:r w:rsidRPr="00A8564C">
              <w:rPr>
                <w:i/>
                <w:lang w:val="es-ES"/>
              </w:rPr>
              <w:t>419</w:t>
            </w:r>
          </w:p>
        </w:tc>
        <w:tc>
          <w:tcPr>
            <w:tcW w:w="1361" w:type="dxa"/>
            <w:shd w:val="clear" w:color="auto" w:fill="auto"/>
          </w:tcPr>
          <w:p w14:paraId="473B2ADB" w14:textId="7B426306" w:rsidR="004756C3" w:rsidRPr="00A8564C" w:rsidRDefault="004756C3" w:rsidP="004756C3">
            <w:pPr>
              <w:ind w:right="260"/>
              <w:jc w:val="right"/>
              <w:rPr>
                <w:i/>
                <w:lang w:val="es-ES"/>
              </w:rPr>
            </w:pPr>
            <w:r w:rsidRPr="00A8564C">
              <w:rPr>
                <w:i/>
                <w:lang w:val="es-ES"/>
              </w:rPr>
              <w:t>6</w:t>
            </w:r>
            <w:r w:rsidR="00694825" w:rsidRPr="00A8564C">
              <w:rPr>
                <w:i/>
                <w:lang w:val="es-ES"/>
              </w:rPr>
              <w:t>.</w:t>
            </w:r>
            <w:r w:rsidRPr="00A8564C">
              <w:rPr>
                <w:i/>
                <w:lang w:val="es-ES"/>
              </w:rPr>
              <w:t>527</w:t>
            </w:r>
          </w:p>
        </w:tc>
        <w:tc>
          <w:tcPr>
            <w:tcW w:w="1361" w:type="dxa"/>
            <w:shd w:val="clear" w:color="auto" w:fill="auto"/>
          </w:tcPr>
          <w:p w14:paraId="43E7EF59" w14:textId="22CE3507" w:rsidR="004756C3" w:rsidRPr="00A8564C" w:rsidRDefault="004756C3" w:rsidP="004756C3">
            <w:pPr>
              <w:ind w:right="260"/>
              <w:jc w:val="right"/>
              <w:rPr>
                <w:i/>
                <w:lang w:val="es-ES"/>
              </w:rPr>
            </w:pPr>
            <w:r w:rsidRPr="00A8564C">
              <w:rPr>
                <w:i/>
                <w:lang w:val="es-ES"/>
              </w:rPr>
              <w:t>6</w:t>
            </w:r>
            <w:r w:rsidR="00694825" w:rsidRPr="00A8564C">
              <w:rPr>
                <w:i/>
                <w:lang w:val="es-ES"/>
              </w:rPr>
              <w:t>.</w:t>
            </w:r>
            <w:r w:rsidRPr="00A8564C">
              <w:rPr>
                <w:i/>
                <w:lang w:val="es-ES"/>
              </w:rPr>
              <w:t>168</w:t>
            </w:r>
          </w:p>
        </w:tc>
        <w:tc>
          <w:tcPr>
            <w:tcW w:w="1361" w:type="dxa"/>
            <w:shd w:val="clear" w:color="auto" w:fill="auto"/>
          </w:tcPr>
          <w:p w14:paraId="33D5F05D" w14:textId="1924257F" w:rsidR="004756C3" w:rsidRPr="00A8564C" w:rsidRDefault="004756C3" w:rsidP="004756C3">
            <w:pPr>
              <w:ind w:right="260"/>
              <w:jc w:val="right"/>
              <w:rPr>
                <w:i/>
                <w:lang w:val="es-ES"/>
              </w:rPr>
            </w:pPr>
            <w:r w:rsidRPr="00A8564C">
              <w:rPr>
                <w:i/>
                <w:lang w:val="es-ES"/>
              </w:rPr>
              <w:t>5</w:t>
            </w:r>
            <w:r w:rsidR="00694825" w:rsidRPr="00A8564C">
              <w:rPr>
                <w:i/>
                <w:lang w:val="es-ES"/>
              </w:rPr>
              <w:t>.</w:t>
            </w:r>
            <w:r w:rsidRPr="00A8564C">
              <w:rPr>
                <w:i/>
                <w:lang w:val="es-ES"/>
              </w:rPr>
              <w:t>962</w:t>
            </w:r>
          </w:p>
        </w:tc>
        <w:tc>
          <w:tcPr>
            <w:tcW w:w="1361" w:type="dxa"/>
            <w:shd w:val="clear" w:color="auto" w:fill="auto"/>
          </w:tcPr>
          <w:p w14:paraId="3173011E" w14:textId="32C078FA" w:rsidR="004756C3" w:rsidRPr="00A8564C" w:rsidRDefault="004756C3" w:rsidP="004756C3">
            <w:pPr>
              <w:ind w:right="260"/>
              <w:jc w:val="right"/>
              <w:rPr>
                <w:i/>
                <w:lang w:val="es-ES"/>
              </w:rPr>
            </w:pPr>
            <w:r w:rsidRPr="00A8564C">
              <w:rPr>
                <w:i/>
                <w:lang w:val="es-ES"/>
              </w:rPr>
              <w:t>6</w:t>
            </w:r>
            <w:r w:rsidR="00694825" w:rsidRPr="00A8564C">
              <w:rPr>
                <w:i/>
                <w:lang w:val="es-ES"/>
              </w:rPr>
              <w:t>.</w:t>
            </w:r>
            <w:r w:rsidRPr="00A8564C">
              <w:rPr>
                <w:i/>
                <w:lang w:val="es-ES"/>
              </w:rPr>
              <w:t>651</w:t>
            </w:r>
          </w:p>
        </w:tc>
      </w:tr>
    </w:tbl>
    <w:p w14:paraId="7D470890" w14:textId="77777777" w:rsidR="002C70DB" w:rsidRPr="00A8564C" w:rsidRDefault="002C70DB" w:rsidP="002C70DB">
      <w:pPr>
        <w:rPr>
          <w:lang w:val="es-ES"/>
        </w:rPr>
      </w:pPr>
    </w:p>
    <w:p w14:paraId="6E80E69E" w14:textId="77777777" w:rsidR="00EC4B0C" w:rsidRPr="00A8564C" w:rsidRDefault="00EC4B0C" w:rsidP="00EC4B0C">
      <w:pPr>
        <w:keepNext/>
        <w:rPr>
          <w:b/>
          <w:lang w:val="es-ES"/>
        </w:rPr>
      </w:pPr>
      <w:r w:rsidRPr="00A8564C">
        <w:rPr>
          <w:b/>
          <w:lang w:val="es-ES"/>
        </w:rPr>
        <w:lastRenderedPageBreak/>
        <w:t>Número de solicitudes de patente nacional recibidas – según la vía utilizada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360"/>
        <w:gridCol w:w="1361"/>
        <w:gridCol w:w="1361"/>
        <w:gridCol w:w="1361"/>
        <w:gridCol w:w="1361"/>
      </w:tblGrid>
      <w:tr w:rsidR="002C70DB" w:rsidRPr="00A8564C" w14:paraId="49331DBC" w14:textId="77777777" w:rsidTr="00E826DF">
        <w:trPr>
          <w:cantSplit/>
        </w:trPr>
        <w:tc>
          <w:tcPr>
            <w:tcW w:w="2518" w:type="dxa"/>
            <w:tcBorders>
              <w:tl2br w:val="single" w:sz="4" w:space="0" w:color="auto"/>
            </w:tcBorders>
            <w:shd w:val="clear" w:color="auto" w:fill="auto"/>
          </w:tcPr>
          <w:p w14:paraId="5C759B39" w14:textId="77777777" w:rsidR="002C70DB" w:rsidRPr="00A8564C" w:rsidRDefault="002C70DB" w:rsidP="00A933CF">
            <w:pPr>
              <w:keepNext/>
              <w:rPr>
                <w:b/>
                <w:lang w:val="es-ES"/>
              </w:rPr>
            </w:pPr>
          </w:p>
          <w:p w14:paraId="26D0B0C7" w14:textId="44F4FBF6" w:rsidR="002C70DB" w:rsidRPr="00A8564C" w:rsidRDefault="00EC4B0C" w:rsidP="00A933CF">
            <w:pPr>
              <w:keepNext/>
              <w:jc w:val="right"/>
              <w:rPr>
                <w:b/>
                <w:lang w:val="es-ES"/>
              </w:rPr>
            </w:pPr>
            <w:r w:rsidRPr="00A8564C">
              <w:rPr>
                <w:b/>
                <w:lang w:val="es-ES"/>
              </w:rPr>
              <w:t>Año</w:t>
            </w:r>
          </w:p>
          <w:p w14:paraId="2F1A7851" w14:textId="0A4520F2" w:rsidR="002C70DB" w:rsidRPr="00A8564C" w:rsidRDefault="00EC4B0C" w:rsidP="00A933CF">
            <w:pPr>
              <w:keepNext/>
              <w:rPr>
                <w:b/>
                <w:lang w:val="es-ES"/>
              </w:rPr>
            </w:pPr>
            <w:r w:rsidRPr="00A8564C">
              <w:rPr>
                <w:b/>
                <w:lang w:val="es-ES"/>
              </w:rPr>
              <w:t>Vía</w:t>
            </w:r>
          </w:p>
        </w:tc>
        <w:tc>
          <w:tcPr>
            <w:tcW w:w="1360" w:type="dxa"/>
            <w:shd w:val="clear" w:color="auto" w:fill="auto"/>
            <w:vAlign w:val="center"/>
          </w:tcPr>
          <w:p w14:paraId="258693D8" w14:textId="77777777" w:rsidR="002C70DB" w:rsidRPr="00A8564C" w:rsidRDefault="002C70DB" w:rsidP="00A933CF">
            <w:pPr>
              <w:keepNext/>
              <w:jc w:val="center"/>
              <w:rPr>
                <w:lang w:val="es-ES"/>
              </w:rPr>
            </w:pPr>
            <w:r w:rsidRPr="00A8564C">
              <w:rPr>
                <w:lang w:val="es-ES"/>
              </w:rPr>
              <w:t>2016</w:t>
            </w:r>
          </w:p>
        </w:tc>
        <w:tc>
          <w:tcPr>
            <w:tcW w:w="1361" w:type="dxa"/>
            <w:shd w:val="clear" w:color="auto" w:fill="auto"/>
            <w:vAlign w:val="center"/>
          </w:tcPr>
          <w:p w14:paraId="36E285D5" w14:textId="77777777" w:rsidR="002C70DB" w:rsidRPr="00A8564C" w:rsidRDefault="002C70DB" w:rsidP="00A933CF">
            <w:pPr>
              <w:keepNext/>
              <w:jc w:val="center"/>
              <w:rPr>
                <w:lang w:val="es-ES"/>
              </w:rPr>
            </w:pPr>
            <w:r w:rsidRPr="00A8564C">
              <w:rPr>
                <w:lang w:val="es-ES"/>
              </w:rPr>
              <w:t>2015</w:t>
            </w:r>
          </w:p>
        </w:tc>
        <w:tc>
          <w:tcPr>
            <w:tcW w:w="1361" w:type="dxa"/>
            <w:shd w:val="clear" w:color="auto" w:fill="auto"/>
            <w:vAlign w:val="center"/>
          </w:tcPr>
          <w:p w14:paraId="2B351758" w14:textId="77777777" w:rsidR="002C70DB" w:rsidRPr="00A8564C" w:rsidRDefault="002C70DB" w:rsidP="00A933CF">
            <w:pPr>
              <w:keepNext/>
              <w:jc w:val="center"/>
              <w:rPr>
                <w:lang w:val="es-ES"/>
              </w:rPr>
            </w:pPr>
            <w:r w:rsidRPr="00A8564C">
              <w:rPr>
                <w:lang w:val="es-ES"/>
              </w:rPr>
              <w:t>2014</w:t>
            </w:r>
          </w:p>
        </w:tc>
        <w:tc>
          <w:tcPr>
            <w:tcW w:w="1361" w:type="dxa"/>
            <w:shd w:val="clear" w:color="auto" w:fill="auto"/>
            <w:vAlign w:val="center"/>
          </w:tcPr>
          <w:p w14:paraId="2ECD5214" w14:textId="77777777" w:rsidR="002C70DB" w:rsidRPr="00A8564C" w:rsidRDefault="002C70DB" w:rsidP="00A933CF">
            <w:pPr>
              <w:keepNext/>
              <w:jc w:val="center"/>
              <w:rPr>
                <w:lang w:val="es-ES"/>
              </w:rPr>
            </w:pPr>
            <w:r w:rsidRPr="00A8564C">
              <w:rPr>
                <w:lang w:val="es-ES"/>
              </w:rPr>
              <w:t>2013</w:t>
            </w:r>
          </w:p>
        </w:tc>
        <w:tc>
          <w:tcPr>
            <w:tcW w:w="1361" w:type="dxa"/>
            <w:shd w:val="clear" w:color="auto" w:fill="auto"/>
            <w:vAlign w:val="center"/>
          </w:tcPr>
          <w:p w14:paraId="15D28B35" w14:textId="77777777" w:rsidR="002C70DB" w:rsidRPr="00A8564C" w:rsidRDefault="002C70DB" w:rsidP="00A933CF">
            <w:pPr>
              <w:keepNext/>
              <w:jc w:val="center"/>
              <w:rPr>
                <w:lang w:val="es-ES"/>
              </w:rPr>
            </w:pPr>
            <w:r w:rsidRPr="00A8564C">
              <w:rPr>
                <w:lang w:val="es-ES"/>
              </w:rPr>
              <w:t>2012</w:t>
            </w:r>
          </w:p>
        </w:tc>
      </w:tr>
      <w:tr w:rsidR="002C70DB" w:rsidRPr="00A8564C" w14:paraId="7EC2C6E5" w14:textId="77777777" w:rsidTr="00E826DF">
        <w:trPr>
          <w:cantSplit/>
        </w:trPr>
        <w:tc>
          <w:tcPr>
            <w:tcW w:w="2518" w:type="dxa"/>
            <w:shd w:val="clear" w:color="auto" w:fill="auto"/>
          </w:tcPr>
          <w:p w14:paraId="490898F4" w14:textId="591DF51E" w:rsidR="002C70DB" w:rsidRPr="00A8564C" w:rsidRDefault="00EC4B0C" w:rsidP="00A933CF">
            <w:pPr>
              <w:keepNext/>
              <w:rPr>
                <w:lang w:val="es-ES"/>
              </w:rPr>
            </w:pPr>
            <w:r w:rsidRPr="00A8564C">
              <w:rPr>
                <w:lang w:val="es-ES"/>
              </w:rPr>
              <w:t xml:space="preserve">Primera presentación nacional/prioridad nacional  </w:t>
            </w:r>
          </w:p>
        </w:tc>
        <w:tc>
          <w:tcPr>
            <w:tcW w:w="1360" w:type="dxa"/>
            <w:shd w:val="clear" w:color="auto" w:fill="auto"/>
          </w:tcPr>
          <w:p w14:paraId="69E09271" w14:textId="77777777" w:rsidR="002C70DB" w:rsidRPr="00A8564C" w:rsidRDefault="002C70DB" w:rsidP="00A933CF">
            <w:pPr>
              <w:keepNext/>
              <w:ind w:right="260"/>
              <w:jc w:val="right"/>
              <w:rPr>
                <w:lang w:val="es-ES"/>
              </w:rPr>
            </w:pPr>
            <w:r w:rsidRPr="00A8564C">
              <w:rPr>
                <w:lang w:val="es-ES"/>
              </w:rPr>
              <w:t>734</w:t>
            </w:r>
          </w:p>
        </w:tc>
        <w:tc>
          <w:tcPr>
            <w:tcW w:w="1361" w:type="dxa"/>
            <w:shd w:val="clear" w:color="auto" w:fill="auto"/>
          </w:tcPr>
          <w:p w14:paraId="675EF607" w14:textId="77777777" w:rsidR="002C70DB" w:rsidRPr="00A8564C" w:rsidRDefault="002C70DB" w:rsidP="00A933CF">
            <w:pPr>
              <w:keepNext/>
              <w:ind w:right="260"/>
              <w:jc w:val="right"/>
              <w:rPr>
                <w:lang w:val="es-ES"/>
              </w:rPr>
            </w:pPr>
            <w:r w:rsidRPr="00A8564C">
              <w:rPr>
                <w:lang w:val="es-ES"/>
              </w:rPr>
              <w:t>542</w:t>
            </w:r>
          </w:p>
        </w:tc>
        <w:tc>
          <w:tcPr>
            <w:tcW w:w="1361" w:type="dxa"/>
            <w:shd w:val="clear" w:color="auto" w:fill="auto"/>
          </w:tcPr>
          <w:p w14:paraId="411169D9" w14:textId="77777777" w:rsidR="002C70DB" w:rsidRPr="00A8564C" w:rsidRDefault="002C70DB" w:rsidP="00A933CF">
            <w:pPr>
              <w:keepNext/>
              <w:ind w:right="260"/>
              <w:jc w:val="right"/>
              <w:rPr>
                <w:lang w:val="es-ES"/>
              </w:rPr>
            </w:pPr>
            <w:r w:rsidRPr="00A8564C">
              <w:rPr>
                <w:lang w:val="es-ES"/>
              </w:rPr>
              <w:t>740</w:t>
            </w:r>
          </w:p>
        </w:tc>
        <w:tc>
          <w:tcPr>
            <w:tcW w:w="1361" w:type="dxa"/>
            <w:shd w:val="clear" w:color="auto" w:fill="auto"/>
          </w:tcPr>
          <w:p w14:paraId="5416749C" w14:textId="77777777" w:rsidR="002C70DB" w:rsidRPr="00A8564C" w:rsidRDefault="002C70DB" w:rsidP="00A933CF">
            <w:pPr>
              <w:keepNext/>
              <w:ind w:right="260"/>
              <w:jc w:val="right"/>
              <w:rPr>
                <w:lang w:val="es-ES"/>
              </w:rPr>
            </w:pPr>
            <w:r w:rsidRPr="00A8564C">
              <w:rPr>
                <w:lang w:val="es-ES"/>
              </w:rPr>
              <w:t>798</w:t>
            </w:r>
          </w:p>
        </w:tc>
        <w:tc>
          <w:tcPr>
            <w:tcW w:w="1361" w:type="dxa"/>
            <w:shd w:val="clear" w:color="auto" w:fill="auto"/>
          </w:tcPr>
          <w:p w14:paraId="7C846926" w14:textId="77777777" w:rsidR="002C70DB" w:rsidRPr="00A8564C" w:rsidRDefault="002C70DB" w:rsidP="00A933CF">
            <w:pPr>
              <w:keepNext/>
              <w:ind w:right="260"/>
              <w:jc w:val="right"/>
              <w:rPr>
                <w:lang w:val="es-ES"/>
              </w:rPr>
            </w:pPr>
            <w:r w:rsidRPr="00A8564C">
              <w:rPr>
                <w:lang w:val="es-ES"/>
              </w:rPr>
              <w:t>804</w:t>
            </w:r>
          </w:p>
        </w:tc>
      </w:tr>
      <w:tr w:rsidR="002C70DB" w:rsidRPr="00A8564C" w14:paraId="71817702" w14:textId="77777777" w:rsidTr="00E826DF">
        <w:trPr>
          <w:cantSplit/>
        </w:trPr>
        <w:tc>
          <w:tcPr>
            <w:tcW w:w="2518" w:type="dxa"/>
            <w:shd w:val="clear" w:color="auto" w:fill="auto"/>
          </w:tcPr>
          <w:p w14:paraId="11553535" w14:textId="770C06C8" w:rsidR="002C70DB" w:rsidRPr="00A8564C" w:rsidRDefault="00EC4B0C" w:rsidP="00EC4B0C">
            <w:pPr>
              <w:keepNext/>
              <w:rPr>
                <w:lang w:val="es-ES"/>
              </w:rPr>
            </w:pPr>
            <w:r w:rsidRPr="00A8564C">
              <w:rPr>
                <w:lang w:val="es-ES"/>
              </w:rPr>
              <w:t>Prioridad por la vía de París</w:t>
            </w:r>
          </w:p>
        </w:tc>
        <w:tc>
          <w:tcPr>
            <w:tcW w:w="1360" w:type="dxa"/>
            <w:shd w:val="clear" w:color="auto" w:fill="auto"/>
          </w:tcPr>
          <w:p w14:paraId="0CE6E908" w14:textId="77777777" w:rsidR="002C70DB" w:rsidRPr="00A8564C" w:rsidRDefault="002C70DB" w:rsidP="00A933CF">
            <w:pPr>
              <w:keepNext/>
              <w:ind w:right="260"/>
              <w:jc w:val="right"/>
              <w:rPr>
                <w:lang w:val="es-ES"/>
              </w:rPr>
            </w:pPr>
            <w:r w:rsidRPr="00A8564C">
              <w:rPr>
                <w:lang w:val="es-ES"/>
              </w:rPr>
              <w:t>320</w:t>
            </w:r>
          </w:p>
        </w:tc>
        <w:tc>
          <w:tcPr>
            <w:tcW w:w="1361" w:type="dxa"/>
            <w:shd w:val="clear" w:color="auto" w:fill="auto"/>
          </w:tcPr>
          <w:p w14:paraId="118682EB" w14:textId="77777777" w:rsidR="002C70DB" w:rsidRPr="00A8564C" w:rsidRDefault="002C70DB" w:rsidP="00A933CF">
            <w:pPr>
              <w:keepNext/>
              <w:ind w:right="260"/>
              <w:jc w:val="right"/>
              <w:rPr>
                <w:lang w:val="es-ES"/>
              </w:rPr>
            </w:pPr>
            <w:r w:rsidRPr="00A8564C">
              <w:rPr>
                <w:lang w:val="es-ES"/>
              </w:rPr>
              <w:t>188</w:t>
            </w:r>
          </w:p>
        </w:tc>
        <w:tc>
          <w:tcPr>
            <w:tcW w:w="1361" w:type="dxa"/>
            <w:shd w:val="clear" w:color="auto" w:fill="auto"/>
          </w:tcPr>
          <w:p w14:paraId="70592EE2" w14:textId="77777777" w:rsidR="002C70DB" w:rsidRPr="00A8564C" w:rsidRDefault="002C70DB" w:rsidP="00A933CF">
            <w:pPr>
              <w:keepNext/>
              <w:ind w:right="260"/>
              <w:jc w:val="right"/>
              <w:rPr>
                <w:lang w:val="es-ES"/>
              </w:rPr>
            </w:pPr>
            <w:r w:rsidRPr="00A8564C">
              <w:rPr>
                <w:lang w:val="es-ES"/>
              </w:rPr>
              <w:t>313</w:t>
            </w:r>
          </w:p>
        </w:tc>
        <w:tc>
          <w:tcPr>
            <w:tcW w:w="1361" w:type="dxa"/>
            <w:shd w:val="clear" w:color="auto" w:fill="auto"/>
          </w:tcPr>
          <w:p w14:paraId="2868992D" w14:textId="77777777" w:rsidR="002C70DB" w:rsidRPr="00A8564C" w:rsidRDefault="002C70DB" w:rsidP="00A933CF">
            <w:pPr>
              <w:keepNext/>
              <w:ind w:right="260"/>
              <w:jc w:val="right"/>
              <w:rPr>
                <w:lang w:val="es-ES"/>
              </w:rPr>
            </w:pPr>
            <w:r w:rsidRPr="00A8564C">
              <w:rPr>
                <w:lang w:val="es-ES"/>
              </w:rPr>
              <w:t>233</w:t>
            </w:r>
          </w:p>
        </w:tc>
        <w:tc>
          <w:tcPr>
            <w:tcW w:w="1361" w:type="dxa"/>
            <w:shd w:val="clear" w:color="auto" w:fill="auto"/>
          </w:tcPr>
          <w:p w14:paraId="4FC91D9A" w14:textId="77777777" w:rsidR="002C70DB" w:rsidRPr="00A8564C" w:rsidRDefault="002C70DB" w:rsidP="00A933CF">
            <w:pPr>
              <w:keepNext/>
              <w:ind w:right="260"/>
              <w:jc w:val="right"/>
              <w:rPr>
                <w:lang w:val="es-ES"/>
              </w:rPr>
            </w:pPr>
            <w:r w:rsidRPr="00A8564C">
              <w:rPr>
                <w:lang w:val="es-ES"/>
              </w:rPr>
              <w:t>339</w:t>
            </w:r>
          </w:p>
        </w:tc>
      </w:tr>
      <w:tr w:rsidR="002C70DB" w:rsidRPr="00A8564C" w14:paraId="5C51FC4F" w14:textId="77777777" w:rsidTr="00E826DF">
        <w:trPr>
          <w:cantSplit/>
        </w:trPr>
        <w:tc>
          <w:tcPr>
            <w:tcW w:w="2518" w:type="dxa"/>
            <w:shd w:val="clear" w:color="auto" w:fill="auto"/>
          </w:tcPr>
          <w:p w14:paraId="0EBF6E4F" w14:textId="3D2BA90E" w:rsidR="002C70DB" w:rsidRPr="00A8564C" w:rsidRDefault="00EC4B0C" w:rsidP="00A933CF">
            <w:pPr>
              <w:rPr>
                <w:lang w:val="es-ES"/>
              </w:rPr>
            </w:pPr>
            <w:r w:rsidRPr="00A8564C">
              <w:rPr>
                <w:lang w:val="es-ES"/>
              </w:rPr>
              <w:t xml:space="preserve">Entrada en la fase nacional del </w:t>
            </w:r>
            <w:r w:rsidR="002C70DB" w:rsidRPr="00A8564C">
              <w:rPr>
                <w:lang w:val="es-ES"/>
              </w:rPr>
              <w:t>PCT</w:t>
            </w:r>
          </w:p>
        </w:tc>
        <w:tc>
          <w:tcPr>
            <w:tcW w:w="1360" w:type="dxa"/>
            <w:shd w:val="clear" w:color="auto" w:fill="auto"/>
          </w:tcPr>
          <w:p w14:paraId="60F7736F" w14:textId="2D26F033" w:rsidR="002C70DB" w:rsidRPr="00A8564C" w:rsidRDefault="002C70DB" w:rsidP="00A933CF">
            <w:pPr>
              <w:ind w:right="260"/>
              <w:jc w:val="right"/>
              <w:rPr>
                <w:lang w:val="es-ES"/>
              </w:rPr>
            </w:pPr>
            <w:r w:rsidRPr="00A8564C">
              <w:rPr>
                <w:lang w:val="es-ES"/>
              </w:rPr>
              <w:t>5</w:t>
            </w:r>
            <w:r w:rsidR="00694825" w:rsidRPr="00A8564C">
              <w:rPr>
                <w:lang w:val="es-ES"/>
              </w:rPr>
              <w:t>.</w:t>
            </w:r>
            <w:r w:rsidRPr="00A8564C">
              <w:rPr>
                <w:lang w:val="es-ES"/>
              </w:rPr>
              <w:t>365</w:t>
            </w:r>
          </w:p>
        </w:tc>
        <w:tc>
          <w:tcPr>
            <w:tcW w:w="1361" w:type="dxa"/>
            <w:shd w:val="clear" w:color="auto" w:fill="auto"/>
          </w:tcPr>
          <w:p w14:paraId="10146602" w14:textId="3E50E5D7" w:rsidR="002C70DB" w:rsidRPr="00A8564C" w:rsidRDefault="002C70DB" w:rsidP="00A933CF">
            <w:pPr>
              <w:ind w:right="260"/>
              <w:jc w:val="right"/>
              <w:rPr>
                <w:lang w:val="es-ES"/>
              </w:rPr>
            </w:pPr>
            <w:r w:rsidRPr="00A8564C">
              <w:rPr>
                <w:lang w:val="es-ES"/>
              </w:rPr>
              <w:t>5</w:t>
            </w:r>
            <w:r w:rsidR="00694825" w:rsidRPr="00A8564C">
              <w:rPr>
                <w:lang w:val="es-ES"/>
              </w:rPr>
              <w:t>.</w:t>
            </w:r>
            <w:r w:rsidRPr="00A8564C">
              <w:rPr>
                <w:lang w:val="es-ES"/>
              </w:rPr>
              <w:t>797</w:t>
            </w:r>
          </w:p>
        </w:tc>
        <w:tc>
          <w:tcPr>
            <w:tcW w:w="1361" w:type="dxa"/>
            <w:shd w:val="clear" w:color="auto" w:fill="auto"/>
          </w:tcPr>
          <w:p w14:paraId="799A17CA" w14:textId="2AA5A6DE" w:rsidR="002C70DB" w:rsidRPr="00A8564C" w:rsidRDefault="002C70DB" w:rsidP="00A933CF">
            <w:pPr>
              <w:ind w:right="260"/>
              <w:jc w:val="right"/>
              <w:rPr>
                <w:lang w:val="es-ES"/>
              </w:rPr>
            </w:pPr>
            <w:r w:rsidRPr="00A8564C">
              <w:rPr>
                <w:lang w:val="es-ES"/>
              </w:rPr>
              <w:t>5</w:t>
            </w:r>
            <w:r w:rsidR="00694825" w:rsidRPr="00A8564C">
              <w:rPr>
                <w:lang w:val="es-ES"/>
              </w:rPr>
              <w:t>.</w:t>
            </w:r>
            <w:r w:rsidRPr="00A8564C">
              <w:rPr>
                <w:lang w:val="es-ES"/>
              </w:rPr>
              <w:t>115</w:t>
            </w:r>
          </w:p>
        </w:tc>
        <w:tc>
          <w:tcPr>
            <w:tcW w:w="1361" w:type="dxa"/>
            <w:shd w:val="clear" w:color="auto" w:fill="auto"/>
          </w:tcPr>
          <w:p w14:paraId="278FA203" w14:textId="710F35D3" w:rsidR="002C70DB" w:rsidRPr="00A8564C" w:rsidRDefault="002C70DB" w:rsidP="00A933CF">
            <w:pPr>
              <w:ind w:right="260"/>
              <w:jc w:val="right"/>
              <w:rPr>
                <w:lang w:val="es-ES"/>
              </w:rPr>
            </w:pPr>
            <w:r w:rsidRPr="00A8564C">
              <w:rPr>
                <w:lang w:val="es-ES"/>
              </w:rPr>
              <w:t>5</w:t>
            </w:r>
            <w:r w:rsidR="00694825" w:rsidRPr="00A8564C">
              <w:rPr>
                <w:lang w:val="es-ES"/>
              </w:rPr>
              <w:t>.</w:t>
            </w:r>
            <w:r w:rsidRPr="00A8564C">
              <w:rPr>
                <w:lang w:val="es-ES"/>
              </w:rPr>
              <w:t>001</w:t>
            </w:r>
          </w:p>
        </w:tc>
        <w:tc>
          <w:tcPr>
            <w:tcW w:w="1361" w:type="dxa"/>
            <w:shd w:val="clear" w:color="auto" w:fill="auto"/>
          </w:tcPr>
          <w:p w14:paraId="4C4709DB" w14:textId="24CE9BF6" w:rsidR="002C70DB" w:rsidRPr="00A8564C" w:rsidRDefault="002C70DB" w:rsidP="00A933CF">
            <w:pPr>
              <w:ind w:right="260"/>
              <w:jc w:val="right"/>
              <w:rPr>
                <w:lang w:val="es-ES"/>
              </w:rPr>
            </w:pPr>
            <w:r w:rsidRPr="00A8564C">
              <w:rPr>
                <w:lang w:val="es-ES"/>
              </w:rPr>
              <w:t>5</w:t>
            </w:r>
            <w:r w:rsidR="00694825" w:rsidRPr="00A8564C">
              <w:rPr>
                <w:lang w:val="es-ES"/>
              </w:rPr>
              <w:t>.</w:t>
            </w:r>
            <w:r w:rsidRPr="00A8564C">
              <w:rPr>
                <w:lang w:val="es-ES"/>
              </w:rPr>
              <w:t>508</w:t>
            </w:r>
          </w:p>
        </w:tc>
      </w:tr>
    </w:tbl>
    <w:p w14:paraId="5049562A" w14:textId="77777777" w:rsidR="002C70DB" w:rsidRPr="00A8564C" w:rsidRDefault="002C70DB" w:rsidP="002C70DB">
      <w:pPr>
        <w:rPr>
          <w:b/>
          <w:bCs/>
          <w:lang w:val="es-ES"/>
        </w:rPr>
      </w:pPr>
    </w:p>
    <w:p w14:paraId="287B5F94" w14:textId="230627FC" w:rsidR="002C70DB" w:rsidRPr="00A8564C" w:rsidRDefault="002C70DB" w:rsidP="002C70DB">
      <w:pPr>
        <w:rPr>
          <w:b/>
          <w:bCs/>
          <w:lang w:val="es-ES"/>
        </w:rPr>
      </w:pPr>
      <w:r w:rsidRPr="00A8564C">
        <w:rPr>
          <w:b/>
          <w:bCs/>
          <w:lang w:val="es-ES"/>
        </w:rPr>
        <w:t>N</w:t>
      </w:r>
      <w:r w:rsidR="00EC4B0C" w:rsidRPr="00A8564C">
        <w:rPr>
          <w:b/>
          <w:bCs/>
          <w:lang w:val="es-ES"/>
        </w:rPr>
        <w:t xml:space="preserve">úmero de </w:t>
      </w:r>
      <w:r w:rsidR="00184BCD" w:rsidRPr="00A8564C">
        <w:rPr>
          <w:b/>
          <w:bCs/>
          <w:lang w:val="es-ES"/>
        </w:rPr>
        <w:t xml:space="preserve">solicitudes </w:t>
      </w:r>
      <w:r w:rsidR="00EC4B0C" w:rsidRPr="00A8564C">
        <w:rPr>
          <w:b/>
          <w:bCs/>
          <w:lang w:val="es-ES"/>
        </w:rPr>
        <w:t>inter</w:t>
      </w:r>
      <w:r w:rsidR="00184BCD" w:rsidRPr="00A8564C">
        <w:rPr>
          <w:b/>
          <w:bCs/>
          <w:lang w:val="es-ES"/>
        </w:rPr>
        <w:t>nacionales</w:t>
      </w:r>
      <w:r w:rsidR="00EC4B0C" w:rsidRPr="00A8564C">
        <w:rPr>
          <w:b/>
          <w:bCs/>
          <w:lang w:val="es-ES"/>
        </w:rPr>
        <w:t xml:space="preserve"> recibidas en calidad de Oficina receptora</w:t>
      </w:r>
      <w:r w:rsidRPr="00A8564C">
        <w:rPr>
          <w:b/>
          <w:bCs/>
          <w:lang w:val="es-ES"/>
        </w:rPr>
        <w:t xml:space="preserve"> – </w:t>
      </w:r>
      <w:r w:rsidR="00EC4B0C" w:rsidRPr="00A8564C">
        <w:rPr>
          <w:b/>
          <w:bCs/>
          <w:lang w:val="es-ES"/>
        </w:rPr>
        <w:t>por año de publicación</w:t>
      </w:r>
      <w:r w:rsidRPr="00A8564C">
        <w:rPr>
          <w:rStyle w:val="FootnoteReference"/>
          <w:b/>
          <w:bCs/>
          <w:lang w:val="es-ES"/>
        </w:rPr>
        <w:footnoteReference w:id="26"/>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360"/>
        <w:gridCol w:w="1361"/>
        <w:gridCol w:w="1361"/>
        <w:gridCol w:w="1361"/>
        <w:gridCol w:w="1361"/>
      </w:tblGrid>
      <w:tr w:rsidR="002C70DB" w:rsidRPr="00A8564C" w14:paraId="45AD058A" w14:textId="77777777" w:rsidTr="00E826DF">
        <w:trPr>
          <w:cantSplit/>
        </w:trPr>
        <w:tc>
          <w:tcPr>
            <w:tcW w:w="2518" w:type="dxa"/>
            <w:tcBorders>
              <w:tl2br w:val="single" w:sz="4" w:space="0" w:color="auto"/>
            </w:tcBorders>
            <w:shd w:val="clear" w:color="auto" w:fill="auto"/>
          </w:tcPr>
          <w:p w14:paraId="200E6DD6" w14:textId="77777777" w:rsidR="00A933CF" w:rsidRPr="00A8564C" w:rsidRDefault="00A933CF" w:rsidP="00A933CF">
            <w:pPr>
              <w:jc w:val="right"/>
              <w:rPr>
                <w:lang w:val="es-ES"/>
              </w:rPr>
            </w:pPr>
          </w:p>
          <w:p w14:paraId="64985FA4" w14:textId="1B7E1D62" w:rsidR="002C70DB" w:rsidRPr="00A8564C" w:rsidRDefault="00EC4B0C" w:rsidP="00A933CF">
            <w:pPr>
              <w:jc w:val="right"/>
              <w:rPr>
                <w:b/>
                <w:lang w:val="es-ES"/>
              </w:rPr>
            </w:pPr>
            <w:r w:rsidRPr="00A8564C">
              <w:rPr>
                <w:b/>
                <w:lang w:val="es-ES"/>
              </w:rPr>
              <w:t>Año</w:t>
            </w:r>
          </w:p>
          <w:p w14:paraId="4499F98F" w14:textId="22027EC1" w:rsidR="002C70DB" w:rsidRPr="00A8564C" w:rsidRDefault="00687880" w:rsidP="00A933CF">
            <w:pPr>
              <w:rPr>
                <w:lang w:val="es-ES"/>
              </w:rPr>
            </w:pPr>
            <w:r w:rsidRPr="00A8564C">
              <w:rPr>
                <w:b/>
                <w:lang w:val="es-ES"/>
              </w:rPr>
              <w:t>Campo técnico</w:t>
            </w:r>
          </w:p>
        </w:tc>
        <w:tc>
          <w:tcPr>
            <w:tcW w:w="1360" w:type="dxa"/>
            <w:shd w:val="clear" w:color="auto" w:fill="auto"/>
            <w:vAlign w:val="center"/>
          </w:tcPr>
          <w:p w14:paraId="6207BAC3" w14:textId="77777777" w:rsidR="002C70DB" w:rsidRPr="00A8564C" w:rsidRDefault="002C70DB" w:rsidP="00A933CF">
            <w:pPr>
              <w:jc w:val="center"/>
              <w:rPr>
                <w:lang w:val="es-ES"/>
              </w:rPr>
            </w:pPr>
            <w:r w:rsidRPr="00A8564C">
              <w:rPr>
                <w:lang w:val="es-ES"/>
              </w:rPr>
              <w:t>2016</w:t>
            </w:r>
          </w:p>
        </w:tc>
        <w:tc>
          <w:tcPr>
            <w:tcW w:w="1361" w:type="dxa"/>
            <w:shd w:val="clear" w:color="auto" w:fill="auto"/>
            <w:vAlign w:val="center"/>
          </w:tcPr>
          <w:p w14:paraId="5D94C68C" w14:textId="77777777" w:rsidR="002C70DB" w:rsidRPr="00A8564C" w:rsidRDefault="002C70DB" w:rsidP="00A933CF">
            <w:pPr>
              <w:jc w:val="center"/>
              <w:rPr>
                <w:lang w:val="es-ES"/>
              </w:rPr>
            </w:pPr>
            <w:r w:rsidRPr="00A8564C">
              <w:rPr>
                <w:lang w:val="es-ES"/>
              </w:rPr>
              <w:t>2015</w:t>
            </w:r>
          </w:p>
        </w:tc>
        <w:tc>
          <w:tcPr>
            <w:tcW w:w="1361" w:type="dxa"/>
            <w:shd w:val="clear" w:color="auto" w:fill="auto"/>
            <w:vAlign w:val="center"/>
          </w:tcPr>
          <w:p w14:paraId="2F91BE6E" w14:textId="77777777" w:rsidR="002C70DB" w:rsidRPr="00A8564C" w:rsidRDefault="002C70DB" w:rsidP="00A933CF">
            <w:pPr>
              <w:jc w:val="center"/>
              <w:rPr>
                <w:lang w:val="es-ES"/>
              </w:rPr>
            </w:pPr>
            <w:r w:rsidRPr="00A8564C">
              <w:rPr>
                <w:lang w:val="es-ES"/>
              </w:rPr>
              <w:t>2014</w:t>
            </w:r>
          </w:p>
        </w:tc>
        <w:tc>
          <w:tcPr>
            <w:tcW w:w="1361" w:type="dxa"/>
            <w:shd w:val="clear" w:color="auto" w:fill="auto"/>
            <w:vAlign w:val="center"/>
          </w:tcPr>
          <w:p w14:paraId="05434613" w14:textId="77777777" w:rsidR="002C70DB" w:rsidRPr="00A8564C" w:rsidRDefault="00E826DF" w:rsidP="00A933CF">
            <w:pPr>
              <w:jc w:val="center"/>
              <w:rPr>
                <w:lang w:val="es-ES"/>
              </w:rPr>
            </w:pPr>
            <w:r w:rsidRPr="00A8564C">
              <w:rPr>
                <w:lang w:val="es-ES"/>
              </w:rPr>
              <w:t>2013</w:t>
            </w:r>
          </w:p>
        </w:tc>
        <w:tc>
          <w:tcPr>
            <w:tcW w:w="1361" w:type="dxa"/>
            <w:shd w:val="clear" w:color="auto" w:fill="auto"/>
            <w:vAlign w:val="center"/>
          </w:tcPr>
          <w:p w14:paraId="00E3FEA7" w14:textId="77777777" w:rsidR="002C70DB" w:rsidRPr="00A8564C" w:rsidRDefault="002C70DB" w:rsidP="00A933CF">
            <w:pPr>
              <w:jc w:val="center"/>
              <w:rPr>
                <w:lang w:val="es-ES"/>
              </w:rPr>
            </w:pPr>
            <w:r w:rsidRPr="00A8564C">
              <w:rPr>
                <w:lang w:val="es-ES"/>
              </w:rPr>
              <w:t>2012</w:t>
            </w:r>
          </w:p>
        </w:tc>
      </w:tr>
      <w:tr w:rsidR="004756C3" w:rsidRPr="00A8564C" w14:paraId="55361A76" w14:textId="77777777" w:rsidTr="00E826DF">
        <w:trPr>
          <w:cantSplit/>
        </w:trPr>
        <w:tc>
          <w:tcPr>
            <w:tcW w:w="2518" w:type="dxa"/>
            <w:shd w:val="clear" w:color="auto" w:fill="auto"/>
          </w:tcPr>
          <w:p w14:paraId="19BA53CE" w14:textId="16D834BF" w:rsidR="004756C3" w:rsidRPr="00A8564C" w:rsidRDefault="004756C3" w:rsidP="004756C3">
            <w:pPr>
              <w:rPr>
                <w:lang w:val="es-ES"/>
              </w:rPr>
            </w:pPr>
            <w:r w:rsidRPr="00A8564C">
              <w:rPr>
                <w:lang w:val="es-ES"/>
              </w:rPr>
              <w:t>Mecánica</w:t>
            </w:r>
          </w:p>
        </w:tc>
        <w:tc>
          <w:tcPr>
            <w:tcW w:w="1360" w:type="dxa"/>
            <w:shd w:val="clear" w:color="auto" w:fill="auto"/>
          </w:tcPr>
          <w:p w14:paraId="1C2DCE85" w14:textId="77777777" w:rsidR="004756C3" w:rsidRPr="00A8564C" w:rsidRDefault="004756C3" w:rsidP="004756C3">
            <w:pPr>
              <w:ind w:right="260"/>
              <w:jc w:val="right"/>
              <w:rPr>
                <w:lang w:val="es-ES"/>
              </w:rPr>
            </w:pPr>
            <w:r w:rsidRPr="00A8564C">
              <w:rPr>
                <w:lang w:val="es-ES"/>
              </w:rPr>
              <w:t>320</w:t>
            </w:r>
          </w:p>
        </w:tc>
        <w:tc>
          <w:tcPr>
            <w:tcW w:w="1361" w:type="dxa"/>
            <w:shd w:val="clear" w:color="auto" w:fill="auto"/>
          </w:tcPr>
          <w:p w14:paraId="24587F23" w14:textId="77777777" w:rsidR="004756C3" w:rsidRPr="00A8564C" w:rsidRDefault="004756C3" w:rsidP="004756C3">
            <w:pPr>
              <w:ind w:right="260"/>
              <w:jc w:val="right"/>
              <w:rPr>
                <w:lang w:val="es-ES"/>
              </w:rPr>
            </w:pPr>
            <w:r w:rsidRPr="00A8564C">
              <w:rPr>
                <w:lang w:val="es-ES"/>
              </w:rPr>
              <w:t>327</w:t>
            </w:r>
          </w:p>
        </w:tc>
        <w:tc>
          <w:tcPr>
            <w:tcW w:w="1361" w:type="dxa"/>
            <w:shd w:val="clear" w:color="auto" w:fill="auto"/>
          </w:tcPr>
          <w:p w14:paraId="72122BBE" w14:textId="77777777" w:rsidR="004756C3" w:rsidRPr="00A8564C" w:rsidRDefault="004756C3" w:rsidP="004756C3">
            <w:pPr>
              <w:ind w:right="260"/>
              <w:jc w:val="right"/>
              <w:rPr>
                <w:lang w:val="es-ES"/>
              </w:rPr>
            </w:pPr>
            <w:r w:rsidRPr="00A8564C">
              <w:rPr>
                <w:lang w:val="es-ES"/>
              </w:rPr>
              <w:t>315</w:t>
            </w:r>
          </w:p>
        </w:tc>
        <w:tc>
          <w:tcPr>
            <w:tcW w:w="1361" w:type="dxa"/>
            <w:shd w:val="clear" w:color="auto" w:fill="auto"/>
          </w:tcPr>
          <w:p w14:paraId="3E25038C" w14:textId="77777777" w:rsidR="004756C3" w:rsidRPr="00A8564C" w:rsidRDefault="004756C3" w:rsidP="004756C3">
            <w:pPr>
              <w:ind w:right="260"/>
              <w:jc w:val="right"/>
              <w:rPr>
                <w:lang w:val="es-ES"/>
              </w:rPr>
            </w:pPr>
            <w:r w:rsidRPr="00A8564C">
              <w:rPr>
                <w:lang w:val="es-ES"/>
              </w:rPr>
              <w:t>283</w:t>
            </w:r>
          </w:p>
        </w:tc>
        <w:tc>
          <w:tcPr>
            <w:tcW w:w="1361" w:type="dxa"/>
            <w:shd w:val="clear" w:color="auto" w:fill="auto"/>
          </w:tcPr>
          <w:p w14:paraId="2D05DE83" w14:textId="77777777" w:rsidR="004756C3" w:rsidRPr="00A8564C" w:rsidRDefault="004756C3" w:rsidP="004756C3">
            <w:pPr>
              <w:ind w:right="260"/>
              <w:jc w:val="right"/>
              <w:rPr>
                <w:lang w:val="es-ES"/>
              </w:rPr>
            </w:pPr>
            <w:r w:rsidRPr="00A8564C">
              <w:rPr>
                <w:lang w:val="es-ES"/>
              </w:rPr>
              <w:t>263</w:t>
            </w:r>
          </w:p>
        </w:tc>
      </w:tr>
      <w:tr w:rsidR="004756C3" w:rsidRPr="00A8564C" w14:paraId="1C000B95" w14:textId="77777777" w:rsidTr="00E826DF">
        <w:trPr>
          <w:cantSplit/>
        </w:trPr>
        <w:tc>
          <w:tcPr>
            <w:tcW w:w="2518" w:type="dxa"/>
            <w:shd w:val="clear" w:color="auto" w:fill="auto"/>
          </w:tcPr>
          <w:p w14:paraId="17A1F6AA" w14:textId="75DD89D1" w:rsidR="004756C3" w:rsidRPr="00A8564C" w:rsidRDefault="004756C3" w:rsidP="004756C3">
            <w:pPr>
              <w:rPr>
                <w:lang w:val="es-ES"/>
              </w:rPr>
            </w:pPr>
            <w:r w:rsidRPr="00A8564C">
              <w:rPr>
                <w:lang w:val="es-ES"/>
              </w:rPr>
              <w:t>Electricidad/electrónica</w:t>
            </w:r>
          </w:p>
        </w:tc>
        <w:tc>
          <w:tcPr>
            <w:tcW w:w="1360" w:type="dxa"/>
            <w:shd w:val="clear" w:color="auto" w:fill="auto"/>
          </w:tcPr>
          <w:p w14:paraId="3B808A69" w14:textId="77777777" w:rsidR="004756C3" w:rsidRPr="00A8564C" w:rsidRDefault="004756C3" w:rsidP="004756C3">
            <w:pPr>
              <w:ind w:right="260"/>
              <w:jc w:val="right"/>
              <w:rPr>
                <w:lang w:val="es-ES"/>
              </w:rPr>
            </w:pPr>
            <w:r w:rsidRPr="00A8564C">
              <w:rPr>
                <w:lang w:val="es-ES"/>
              </w:rPr>
              <w:t>722</w:t>
            </w:r>
          </w:p>
        </w:tc>
        <w:tc>
          <w:tcPr>
            <w:tcW w:w="1361" w:type="dxa"/>
            <w:shd w:val="clear" w:color="auto" w:fill="auto"/>
          </w:tcPr>
          <w:p w14:paraId="4D4AAFE4" w14:textId="77777777" w:rsidR="004756C3" w:rsidRPr="00A8564C" w:rsidRDefault="004756C3" w:rsidP="004756C3">
            <w:pPr>
              <w:ind w:right="260"/>
              <w:jc w:val="right"/>
              <w:rPr>
                <w:lang w:val="es-ES"/>
              </w:rPr>
            </w:pPr>
            <w:r w:rsidRPr="00A8564C">
              <w:rPr>
                <w:lang w:val="es-ES"/>
              </w:rPr>
              <w:t>694</w:t>
            </w:r>
          </w:p>
        </w:tc>
        <w:tc>
          <w:tcPr>
            <w:tcW w:w="1361" w:type="dxa"/>
            <w:shd w:val="clear" w:color="auto" w:fill="auto"/>
          </w:tcPr>
          <w:p w14:paraId="454A9E30" w14:textId="77777777" w:rsidR="004756C3" w:rsidRPr="00A8564C" w:rsidRDefault="004756C3" w:rsidP="004756C3">
            <w:pPr>
              <w:ind w:right="260"/>
              <w:jc w:val="right"/>
              <w:rPr>
                <w:lang w:val="es-ES"/>
              </w:rPr>
            </w:pPr>
            <w:r w:rsidRPr="00A8564C">
              <w:rPr>
                <w:lang w:val="es-ES"/>
              </w:rPr>
              <w:t>670</w:t>
            </w:r>
          </w:p>
        </w:tc>
        <w:tc>
          <w:tcPr>
            <w:tcW w:w="1361" w:type="dxa"/>
            <w:shd w:val="clear" w:color="auto" w:fill="auto"/>
          </w:tcPr>
          <w:p w14:paraId="5AA3618A" w14:textId="77777777" w:rsidR="004756C3" w:rsidRPr="00A8564C" w:rsidRDefault="004756C3" w:rsidP="004756C3">
            <w:pPr>
              <w:ind w:right="260"/>
              <w:jc w:val="right"/>
              <w:rPr>
                <w:lang w:val="es-ES"/>
              </w:rPr>
            </w:pPr>
            <w:r w:rsidRPr="00A8564C">
              <w:rPr>
                <w:lang w:val="es-ES"/>
              </w:rPr>
              <w:t>584</w:t>
            </w:r>
          </w:p>
        </w:tc>
        <w:tc>
          <w:tcPr>
            <w:tcW w:w="1361" w:type="dxa"/>
            <w:shd w:val="clear" w:color="auto" w:fill="auto"/>
          </w:tcPr>
          <w:p w14:paraId="48E1DD9F" w14:textId="77777777" w:rsidR="004756C3" w:rsidRPr="00A8564C" w:rsidRDefault="004756C3" w:rsidP="004756C3">
            <w:pPr>
              <w:ind w:right="260"/>
              <w:jc w:val="right"/>
              <w:rPr>
                <w:lang w:val="es-ES"/>
              </w:rPr>
            </w:pPr>
            <w:r w:rsidRPr="00A8564C">
              <w:rPr>
                <w:lang w:val="es-ES"/>
              </w:rPr>
              <w:t>531</w:t>
            </w:r>
          </w:p>
        </w:tc>
      </w:tr>
      <w:tr w:rsidR="004756C3" w:rsidRPr="00A8564C" w14:paraId="21747A67" w14:textId="77777777" w:rsidTr="00E826DF">
        <w:trPr>
          <w:cantSplit/>
        </w:trPr>
        <w:tc>
          <w:tcPr>
            <w:tcW w:w="2518" w:type="dxa"/>
            <w:shd w:val="clear" w:color="auto" w:fill="auto"/>
          </w:tcPr>
          <w:p w14:paraId="48C91F68" w14:textId="5BDDBC38" w:rsidR="004756C3" w:rsidRPr="00A8564C" w:rsidRDefault="004756C3" w:rsidP="004756C3">
            <w:pPr>
              <w:rPr>
                <w:lang w:val="es-ES"/>
              </w:rPr>
            </w:pPr>
            <w:r w:rsidRPr="00A8564C">
              <w:rPr>
                <w:lang w:val="es-ES"/>
              </w:rPr>
              <w:t>Química</w:t>
            </w:r>
          </w:p>
        </w:tc>
        <w:tc>
          <w:tcPr>
            <w:tcW w:w="1360" w:type="dxa"/>
            <w:shd w:val="clear" w:color="auto" w:fill="auto"/>
          </w:tcPr>
          <w:p w14:paraId="66C6AF2C" w14:textId="77777777" w:rsidR="004756C3" w:rsidRPr="00A8564C" w:rsidRDefault="004756C3" w:rsidP="004756C3">
            <w:pPr>
              <w:ind w:right="260"/>
              <w:jc w:val="right"/>
              <w:rPr>
                <w:lang w:val="es-ES"/>
              </w:rPr>
            </w:pPr>
            <w:r w:rsidRPr="00A8564C">
              <w:rPr>
                <w:lang w:val="es-ES"/>
              </w:rPr>
              <w:t>225</w:t>
            </w:r>
          </w:p>
        </w:tc>
        <w:tc>
          <w:tcPr>
            <w:tcW w:w="1361" w:type="dxa"/>
            <w:shd w:val="clear" w:color="auto" w:fill="auto"/>
          </w:tcPr>
          <w:p w14:paraId="6F3B1561" w14:textId="77777777" w:rsidR="004756C3" w:rsidRPr="00A8564C" w:rsidRDefault="004756C3" w:rsidP="004756C3">
            <w:pPr>
              <w:ind w:right="260"/>
              <w:jc w:val="right"/>
              <w:rPr>
                <w:lang w:val="es-ES"/>
              </w:rPr>
            </w:pPr>
            <w:r w:rsidRPr="00A8564C">
              <w:rPr>
                <w:lang w:val="es-ES"/>
              </w:rPr>
              <w:t>171</w:t>
            </w:r>
          </w:p>
        </w:tc>
        <w:tc>
          <w:tcPr>
            <w:tcW w:w="1361" w:type="dxa"/>
            <w:shd w:val="clear" w:color="auto" w:fill="auto"/>
          </w:tcPr>
          <w:p w14:paraId="48B027BE" w14:textId="77777777" w:rsidR="004756C3" w:rsidRPr="00A8564C" w:rsidRDefault="004756C3" w:rsidP="004756C3">
            <w:pPr>
              <w:ind w:right="260"/>
              <w:jc w:val="right"/>
              <w:rPr>
                <w:lang w:val="es-ES"/>
              </w:rPr>
            </w:pPr>
            <w:r w:rsidRPr="00A8564C">
              <w:rPr>
                <w:lang w:val="es-ES"/>
              </w:rPr>
              <w:t>171</w:t>
            </w:r>
          </w:p>
        </w:tc>
        <w:tc>
          <w:tcPr>
            <w:tcW w:w="1361" w:type="dxa"/>
            <w:shd w:val="clear" w:color="auto" w:fill="auto"/>
          </w:tcPr>
          <w:p w14:paraId="28F18774" w14:textId="77777777" w:rsidR="004756C3" w:rsidRPr="00A8564C" w:rsidRDefault="004756C3" w:rsidP="004756C3">
            <w:pPr>
              <w:ind w:right="260"/>
              <w:jc w:val="right"/>
              <w:rPr>
                <w:lang w:val="es-ES"/>
              </w:rPr>
            </w:pPr>
            <w:r w:rsidRPr="00A8564C">
              <w:rPr>
                <w:lang w:val="es-ES"/>
              </w:rPr>
              <w:t>166</w:t>
            </w:r>
          </w:p>
        </w:tc>
        <w:tc>
          <w:tcPr>
            <w:tcW w:w="1361" w:type="dxa"/>
            <w:shd w:val="clear" w:color="auto" w:fill="auto"/>
          </w:tcPr>
          <w:p w14:paraId="54E64867" w14:textId="77777777" w:rsidR="004756C3" w:rsidRPr="00A8564C" w:rsidRDefault="004756C3" w:rsidP="004756C3">
            <w:pPr>
              <w:ind w:right="260"/>
              <w:jc w:val="right"/>
              <w:rPr>
                <w:lang w:val="es-ES"/>
              </w:rPr>
            </w:pPr>
            <w:r w:rsidRPr="00A8564C">
              <w:rPr>
                <w:lang w:val="es-ES"/>
              </w:rPr>
              <w:t>175</w:t>
            </w:r>
          </w:p>
        </w:tc>
      </w:tr>
      <w:tr w:rsidR="004756C3" w:rsidRPr="00A8564C" w14:paraId="6E328833" w14:textId="77777777" w:rsidTr="00E826DF">
        <w:trPr>
          <w:cantSplit/>
        </w:trPr>
        <w:tc>
          <w:tcPr>
            <w:tcW w:w="2518" w:type="dxa"/>
            <w:shd w:val="clear" w:color="auto" w:fill="auto"/>
          </w:tcPr>
          <w:p w14:paraId="0C8872E0" w14:textId="35B272E8" w:rsidR="004756C3" w:rsidRPr="00A8564C" w:rsidRDefault="004756C3" w:rsidP="004756C3">
            <w:pPr>
              <w:rPr>
                <w:lang w:val="es-ES"/>
              </w:rPr>
            </w:pPr>
            <w:r w:rsidRPr="00A8564C">
              <w:rPr>
                <w:lang w:val="es-ES"/>
              </w:rPr>
              <w:t>Biotecnología</w:t>
            </w:r>
          </w:p>
        </w:tc>
        <w:tc>
          <w:tcPr>
            <w:tcW w:w="1360" w:type="dxa"/>
            <w:shd w:val="clear" w:color="auto" w:fill="auto"/>
          </w:tcPr>
          <w:p w14:paraId="69ABAA5A" w14:textId="77777777" w:rsidR="004756C3" w:rsidRPr="00A8564C" w:rsidRDefault="004756C3" w:rsidP="004756C3">
            <w:pPr>
              <w:ind w:right="260"/>
              <w:jc w:val="right"/>
              <w:rPr>
                <w:lang w:val="es-ES"/>
              </w:rPr>
            </w:pPr>
            <w:r w:rsidRPr="00A8564C">
              <w:rPr>
                <w:lang w:val="es-ES"/>
              </w:rPr>
              <w:t>80</w:t>
            </w:r>
          </w:p>
        </w:tc>
        <w:tc>
          <w:tcPr>
            <w:tcW w:w="1361" w:type="dxa"/>
            <w:shd w:val="clear" w:color="auto" w:fill="auto"/>
          </w:tcPr>
          <w:p w14:paraId="79B33AA0" w14:textId="77777777" w:rsidR="004756C3" w:rsidRPr="00A8564C" w:rsidRDefault="004756C3" w:rsidP="004756C3">
            <w:pPr>
              <w:ind w:right="260"/>
              <w:jc w:val="right"/>
              <w:rPr>
                <w:lang w:val="es-ES"/>
              </w:rPr>
            </w:pPr>
            <w:r w:rsidRPr="00A8564C">
              <w:rPr>
                <w:lang w:val="es-ES"/>
              </w:rPr>
              <w:t>81</w:t>
            </w:r>
          </w:p>
        </w:tc>
        <w:tc>
          <w:tcPr>
            <w:tcW w:w="1361" w:type="dxa"/>
            <w:shd w:val="clear" w:color="auto" w:fill="auto"/>
          </w:tcPr>
          <w:p w14:paraId="6BDCF699" w14:textId="77777777" w:rsidR="004756C3" w:rsidRPr="00A8564C" w:rsidRDefault="004756C3" w:rsidP="004756C3">
            <w:pPr>
              <w:ind w:right="260"/>
              <w:jc w:val="right"/>
              <w:rPr>
                <w:lang w:val="es-ES"/>
              </w:rPr>
            </w:pPr>
            <w:r w:rsidRPr="00A8564C">
              <w:rPr>
                <w:lang w:val="es-ES"/>
              </w:rPr>
              <w:t>61</w:t>
            </w:r>
          </w:p>
        </w:tc>
        <w:tc>
          <w:tcPr>
            <w:tcW w:w="1361" w:type="dxa"/>
            <w:shd w:val="clear" w:color="auto" w:fill="auto"/>
          </w:tcPr>
          <w:p w14:paraId="16ED29C5" w14:textId="77777777" w:rsidR="004756C3" w:rsidRPr="00A8564C" w:rsidRDefault="004756C3" w:rsidP="004756C3">
            <w:pPr>
              <w:ind w:right="260"/>
              <w:jc w:val="right"/>
              <w:rPr>
                <w:lang w:val="es-ES"/>
              </w:rPr>
            </w:pPr>
            <w:r w:rsidRPr="00A8564C">
              <w:rPr>
                <w:lang w:val="es-ES"/>
              </w:rPr>
              <w:t>77</w:t>
            </w:r>
          </w:p>
        </w:tc>
        <w:tc>
          <w:tcPr>
            <w:tcW w:w="1361" w:type="dxa"/>
            <w:shd w:val="clear" w:color="auto" w:fill="auto"/>
          </w:tcPr>
          <w:p w14:paraId="23682A7B" w14:textId="77777777" w:rsidR="004756C3" w:rsidRPr="00A8564C" w:rsidRDefault="004756C3" w:rsidP="004756C3">
            <w:pPr>
              <w:ind w:right="260"/>
              <w:jc w:val="right"/>
              <w:rPr>
                <w:lang w:val="es-ES"/>
              </w:rPr>
            </w:pPr>
            <w:r w:rsidRPr="00A8564C">
              <w:rPr>
                <w:lang w:val="es-ES"/>
              </w:rPr>
              <w:t>90</w:t>
            </w:r>
          </w:p>
        </w:tc>
      </w:tr>
      <w:tr w:rsidR="004756C3" w:rsidRPr="00A8564C" w14:paraId="675536C3" w14:textId="77777777" w:rsidTr="00E826DF">
        <w:trPr>
          <w:cantSplit/>
        </w:trPr>
        <w:tc>
          <w:tcPr>
            <w:tcW w:w="2518" w:type="dxa"/>
            <w:shd w:val="clear" w:color="auto" w:fill="auto"/>
          </w:tcPr>
          <w:p w14:paraId="239FEC5D" w14:textId="7FA1DB41" w:rsidR="004756C3" w:rsidRPr="00A8564C" w:rsidRDefault="004756C3" w:rsidP="004756C3">
            <w:pPr>
              <w:rPr>
                <w:i/>
                <w:lang w:val="es-ES"/>
              </w:rPr>
            </w:pPr>
            <w:r w:rsidRPr="00A8564C">
              <w:rPr>
                <w:i/>
                <w:lang w:val="es-ES"/>
              </w:rPr>
              <w:t>Total</w:t>
            </w:r>
          </w:p>
        </w:tc>
        <w:tc>
          <w:tcPr>
            <w:tcW w:w="1360" w:type="dxa"/>
            <w:shd w:val="clear" w:color="auto" w:fill="auto"/>
            <w:vAlign w:val="center"/>
          </w:tcPr>
          <w:p w14:paraId="493B6B8D" w14:textId="78AF9A8B" w:rsidR="004756C3" w:rsidRPr="00A8564C" w:rsidRDefault="004756C3" w:rsidP="004756C3">
            <w:pPr>
              <w:ind w:right="260"/>
              <w:jc w:val="right"/>
              <w:rPr>
                <w:i/>
                <w:lang w:val="es-ES"/>
              </w:rPr>
            </w:pPr>
            <w:r w:rsidRPr="00A8564C">
              <w:rPr>
                <w:i/>
                <w:lang w:val="es-ES"/>
              </w:rPr>
              <w:t>1</w:t>
            </w:r>
            <w:r w:rsidR="00694825" w:rsidRPr="00A8564C">
              <w:rPr>
                <w:i/>
                <w:lang w:val="es-ES"/>
              </w:rPr>
              <w:t>.</w:t>
            </w:r>
            <w:r w:rsidRPr="00A8564C">
              <w:rPr>
                <w:i/>
                <w:lang w:val="es-ES"/>
              </w:rPr>
              <w:t>347</w:t>
            </w:r>
          </w:p>
        </w:tc>
        <w:tc>
          <w:tcPr>
            <w:tcW w:w="1361" w:type="dxa"/>
            <w:shd w:val="clear" w:color="auto" w:fill="auto"/>
            <w:vAlign w:val="center"/>
          </w:tcPr>
          <w:p w14:paraId="0799C9CE" w14:textId="48E5EDEA" w:rsidR="004756C3" w:rsidRPr="00A8564C" w:rsidRDefault="004756C3" w:rsidP="004756C3">
            <w:pPr>
              <w:ind w:right="260"/>
              <w:jc w:val="right"/>
              <w:rPr>
                <w:i/>
                <w:lang w:val="es-ES"/>
              </w:rPr>
            </w:pPr>
            <w:r w:rsidRPr="00A8564C">
              <w:rPr>
                <w:i/>
                <w:lang w:val="es-ES"/>
              </w:rPr>
              <w:t>1</w:t>
            </w:r>
            <w:r w:rsidR="00694825" w:rsidRPr="00A8564C">
              <w:rPr>
                <w:i/>
                <w:lang w:val="es-ES"/>
              </w:rPr>
              <w:t>.</w:t>
            </w:r>
            <w:r w:rsidRPr="00A8564C">
              <w:rPr>
                <w:i/>
                <w:lang w:val="es-ES"/>
              </w:rPr>
              <w:t>273</w:t>
            </w:r>
          </w:p>
        </w:tc>
        <w:tc>
          <w:tcPr>
            <w:tcW w:w="1361" w:type="dxa"/>
            <w:shd w:val="clear" w:color="auto" w:fill="auto"/>
            <w:vAlign w:val="center"/>
          </w:tcPr>
          <w:p w14:paraId="31DFA58D" w14:textId="67E58C99" w:rsidR="004756C3" w:rsidRPr="00A8564C" w:rsidRDefault="004756C3" w:rsidP="004756C3">
            <w:pPr>
              <w:ind w:right="260"/>
              <w:jc w:val="right"/>
              <w:rPr>
                <w:i/>
                <w:lang w:val="es-ES"/>
              </w:rPr>
            </w:pPr>
            <w:r w:rsidRPr="00A8564C">
              <w:rPr>
                <w:i/>
                <w:lang w:val="es-ES"/>
              </w:rPr>
              <w:t>1</w:t>
            </w:r>
            <w:r w:rsidR="00694825" w:rsidRPr="00A8564C">
              <w:rPr>
                <w:i/>
                <w:lang w:val="es-ES"/>
              </w:rPr>
              <w:t>.</w:t>
            </w:r>
            <w:r w:rsidRPr="00A8564C">
              <w:rPr>
                <w:i/>
                <w:lang w:val="es-ES"/>
              </w:rPr>
              <w:t>217</w:t>
            </w:r>
          </w:p>
        </w:tc>
        <w:tc>
          <w:tcPr>
            <w:tcW w:w="1361" w:type="dxa"/>
            <w:shd w:val="clear" w:color="auto" w:fill="auto"/>
            <w:vAlign w:val="center"/>
          </w:tcPr>
          <w:p w14:paraId="6BDED129" w14:textId="47990842" w:rsidR="004756C3" w:rsidRPr="00A8564C" w:rsidRDefault="004756C3" w:rsidP="004756C3">
            <w:pPr>
              <w:ind w:right="260"/>
              <w:jc w:val="right"/>
              <w:rPr>
                <w:i/>
                <w:lang w:val="es-ES"/>
              </w:rPr>
            </w:pPr>
            <w:r w:rsidRPr="00A8564C">
              <w:rPr>
                <w:i/>
                <w:lang w:val="es-ES"/>
              </w:rPr>
              <w:t>1</w:t>
            </w:r>
            <w:r w:rsidR="00694825" w:rsidRPr="00A8564C">
              <w:rPr>
                <w:i/>
                <w:lang w:val="es-ES"/>
              </w:rPr>
              <w:t>.</w:t>
            </w:r>
            <w:r w:rsidRPr="00A8564C">
              <w:rPr>
                <w:i/>
                <w:lang w:val="es-ES"/>
              </w:rPr>
              <w:t>110</w:t>
            </w:r>
          </w:p>
        </w:tc>
        <w:tc>
          <w:tcPr>
            <w:tcW w:w="1361" w:type="dxa"/>
            <w:shd w:val="clear" w:color="auto" w:fill="auto"/>
            <w:vAlign w:val="center"/>
          </w:tcPr>
          <w:p w14:paraId="5E0B01E9" w14:textId="7C80951D" w:rsidR="004756C3" w:rsidRPr="00A8564C" w:rsidRDefault="004756C3" w:rsidP="004756C3">
            <w:pPr>
              <w:ind w:right="260"/>
              <w:jc w:val="right"/>
              <w:rPr>
                <w:i/>
                <w:lang w:val="es-ES"/>
              </w:rPr>
            </w:pPr>
            <w:r w:rsidRPr="00A8564C">
              <w:rPr>
                <w:i/>
                <w:lang w:val="es-ES"/>
              </w:rPr>
              <w:t>1</w:t>
            </w:r>
            <w:r w:rsidR="00694825" w:rsidRPr="00A8564C">
              <w:rPr>
                <w:i/>
                <w:lang w:val="es-ES"/>
              </w:rPr>
              <w:t>.</w:t>
            </w:r>
            <w:r w:rsidRPr="00A8564C">
              <w:rPr>
                <w:i/>
                <w:lang w:val="es-ES"/>
              </w:rPr>
              <w:t>059</w:t>
            </w:r>
          </w:p>
        </w:tc>
      </w:tr>
    </w:tbl>
    <w:p w14:paraId="0F05DC2F" w14:textId="77777777" w:rsidR="002C70DB" w:rsidRPr="00A8564C" w:rsidRDefault="002C70DB" w:rsidP="002C70DB">
      <w:pPr>
        <w:rPr>
          <w:lang w:val="es-ES"/>
        </w:rPr>
      </w:pPr>
    </w:p>
    <w:p w14:paraId="69B2112D" w14:textId="09CDEB63" w:rsidR="00687880" w:rsidRPr="00A8564C" w:rsidRDefault="00687880" w:rsidP="00687880">
      <w:pPr>
        <w:rPr>
          <w:b/>
          <w:bCs/>
          <w:lang w:val="es-ES"/>
        </w:rPr>
      </w:pPr>
      <w:r w:rsidRPr="00A8564C">
        <w:rPr>
          <w:b/>
          <w:bCs/>
          <w:lang w:val="es-ES"/>
        </w:rPr>
        <w:t>Tiempo medio de tramitación de las patentes nacionales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795"/>
        <w:gridCol w:w="2925"/>
      </w:tblGrid>
      <w:tr w:rsidR="002C70DB" w:rsidRPr="00A8564C" w14:paraId="66EB70A1" w14:textId="77777777" w:rsidTr="00504552">
        <w:trPr>
          <w:cantSplit/>
        </w:trPr>
        <w:tc>
          <w:tcPr>
            <w:tcW w:w="2802" w:type="dxa"/>
            <w:shd w:val="clear" w:color="auto" w:fill="auto"/>
          </w:tcPr>
          <w:p w14:paraId="253C75BB" w14:textId="5B7C96FD" w:rsidR="002C70DB" w:rsidRPr="00A8564C" w:rsidRDefault="002C70DB" w:rsidP="00A933CF">
            <w:pPr>
              <w:rPr>
                <w:b/>
                <w:lang w:val="es-ES"/>
              </w:rPr>
            </w:pPr>
            <w:r w:rsidRPr="00A8564C">
              <w:rPr>
                <w:b/>
                <w:lang w:val="es-ES"/>
              </w:rPr>
              <w:t>I</w:t>
            </w:r>
            <w:r w:rsidR="00687880" w:rsidRPr="00A8564C">
              <w:rPr>
                <w:b/>
                <w:lang w:val="es-ES"/>
              </w:rPr>
              <w:t>ndicad</w:t>
            </w:r>
            <w:r w:rsidRPr="00A8564C">
              <w:rPr>
                <w:b/>
                <w:lang w:val="es-ES"/>
              </w:rPr>
              <w:t>or</w:t>
            </w:r>
          </w:p>
        </w:tc>
        <w:tc>
          <w:tcPr>
            <w:tcW w:w="2795" w:type="dxa"/>
            <w:shd w:val="clear" w:color="auto" w:fill="auto"/>
          </w:tcPr>
          <w:p w14:paraId="1B7D3E4F" w14:textId="60E14ACF" w:rsidR="002C70DB" w:rsidRPr="00A8564C" w:rsidRDefault="00687880" w:rsidP="00A933CF">
            <w:pPr>
              <w:rPr>
                <w:b/>
                <w:lang w:val="es-ES"/>
              </w:rPr>
            </w:pPr>
            <w:r w:rsidRPr="00A8564C">
              <w:rPr>
                <w:b/>
                <w:lang w:val="es-ES"/>
              </w:rPr>
              <w:t>Calculado a partir de</w:t>
            </w:r>
          </w:p>
        </w:tc>
        <w:tc>
          <w:tcPr>
            <w:tcW w:w="2925" w:type="dxa"/>
            <w:shd w:val="clear" w:color="auto" w:fill="auto"/>
          </w:tcPr>
          <w:p w14:paraId="2ECC1918" w14:textId="7665AD73" w:rsidR="002C70DB" w:rsidRPr="00A8564C" w:rsidRDefault="00687880" w:rsidP="00A933CF">
            <w:pPr>
              <w:rPr>
                <w:b/>
                <w:lang w:val="es-ES"/>
              </w:rPr>
            </w:pPr>
            <w:r w:rsidRPr="00A8564C">
              <w:rPr>
                <w:b/>
                <w:lang w:val="es-ES"/>
              </w:rPr>
              <w:t xml:space="preserve">Plazo </w:t>
            </w:r>
            <w:r w:rsidR="002C70DB" w:rsidRPr="00A8564C">
              <w:rPr>
                <w:b/>
                <w:lang w:val="es-ES"/>
              </w:rPr>
              <w:t>(</w:t>
            </w:r>
            <w:r w:rsidRPr="00A8564C">
              <w:rPr>
                <w:b/>
                <w:lang w:val="es-ES"/>
              </w:rPr>
              <w:t>en meses</w:t>
            </w:r>
            <w:r w:rsidR="002C70DB" w:rsidRPr="00A8564C">
              <w:rPr>
                <w:b/>
                <w:lang w:val="es-ES"/>
              </w:rPr>
              <w:t>)</w:t>
            </w:r>
          </w:p>
        </w:tc>
      </w:tr>
      <w:tr w:rsidR="002C70DB" w:rsidRPr="00A8564C" w14:paraId="1F49F467" w14:textId="77777777" w:rsidTr="00504552">
        <w:trPr>
          <w:cantSplit/>
        </w:trPr>
        <w:tc>
          <w:tcPr>
            <w:tcW w:w="2802" w:type="dxa"/>
            <w:shd w:val="clear" w:color="auto" w:fill="auto"/>
          </w:tcPr>
          <w:p w14:paraId="714CB231" w14:textId="723C44E5" w:rsidR="002C70DB" w:rsidRPr="00A8564C" w:rsidRDefault="00687880" w:rsidP="00A933CF">
            <w:pPr>
              <w:rPr>
                <w:lang w:val="es-ES"/>
              </w:rPr>
            </w:pPr>
            <w:r w:rsidRPr="00A8564C">
              <w:rPr>
                <w:lang w:val="es-ES"/>
              </w:rPr>
              <w:t>Hasta la búsqueda</w:t>
            </w:r>
          </w:p>
        </w:tc>
        <w:tc>
          <w:tcPr>
            <w:tcW w:w="2795" w:type="dxa"/>
            <w:shd w:val="clear" w:color="auto" w:fill="auto"/>
          </w:tcPr>
          <w:p w14:paraId="265CFC9C" w14:textId="48D2AB09" w:rsidR="002C70DB" w:rsidRPr="00A8564C" w:rsidRDefault="002C70DB" w:rsidP="00B85468">
            <w:pPr>
              <w:rPr>
                <w:lang w:val="es-ES"/>
              </w:rPr>
            </w:pPr>
            <w:r w:rsidRPr="00A8564C">
              <w:rPr>
                <w:lang w:val="es-ES"/>
              </w:rPr>
              <w:t>No</w:t>
            </w:r>
            <w:r w:rsidR="00687880" w:rsidRPr="00A8564C">
              <w:rPr>
                <w:lang w:val="es-ES"/>
              </w:rPr>
              <w:t xml:space="preserve"> </w:t>
            </w:r>
            <w:r w:rsidR="00B85468">
              <w:rPr>
                <w:lang w:val="es-ES"/>
              </w:rPr>
              <w:t>es pertinente</w:t>
            </w:r>
            <w:r w:rsidRPr="00A8564C">
              <w:rPr>
                <w:lang w:val="es-ES"/>
              </w:rPr>
              <w:t xml:space="preserve"> </w:t>
            </w:r>
          </w:p>
        </w:tc>
        <w:tc>
          <w:tcPr>
            <w:tcW w:w="2925" w:type="dxa"/>
            <w:shd w:val="clear" w:color="auto" w:fill="auto"/>
          </w:tcPr>
          <w:p w14:paraId="5853BB6C" w14:textId="54B7F640" w:rsidR="002C70DB" w:rsidRPr="00A8564C" w:rsidRDefault="00B85468" w:rsidP="00A933CF">
            <w:pPr>
              <w:rPr>
                <w:lang w:val="es-ES"/>
              </w:rPr>
            </w:pPr>
            <w:r>
              <w:rPr>
                <w:lang w:val="es-ES"/>
              </w:rPr>
              <w:t>No es pertinente</w:t>
            </w:r>
          </w:p>
        </w:tc>
      </w:tr>
      <w:tr w:rsidR="002C70DB" w:rsidRPr="00A8564C" w14:paraId="7D9E4220" w14:textId="77777777" w:rsidTr="00504552">
        <w:trPr>
          <w:cantSplit/>
        </w:trPr>
        <w:tc>
          <w:tcPr>
            <w:tcW w:w="2802" w:type="dxa"/>
            <w:shd w:val="clear" w:color="auto" w:fill="auto"/>
          </w:tcPr>
          <w:p w14:paraId="7331E8E9" w14:textId="7321B04B" w:rsidR="002C70DB" w:rsidRPr="00A8564C" w:rsidRDefault="00687880" w:rsidP="00A933CF">
            <w:pPr>
              <w:rPr>
                <w:lang w:val="es-ES"/>
              </w:rPr>
            </w:pPr>
            <w:r w:rsidRPr="00A8564C">
              <w:rPr>
                <w:lang w:val="es-ES"/>
              </w:rPr>
              <w:t>Hasta el primer examen</w:t>
            </w:r>
          </w:p>
        </w:tc>
        <w:tc>
          <w:tcPr>
            <w:tcW w:w="2795" w:type="dxa"/>
            <w:shd w:val="clear" w:color="auto" w:fill="auto"/>
          </w:tcPr>
          <w:p w14:paraId="5CC11626" w14:textId="0ADE63F3" w:rsidR="002C70DB" w:rsidRPr="00A8564C" w:rsidRDefault="00687880" w:rsidP="00A933CF">
            <w:pPr>
              <w:rPr>
                <w:lang w:val="es-ES"/>
              </w:rPr>
            </w:pPr>
            <w:r w:rsidRPr="00A8564C">
              <w:rPr>
                <w:lang w:val="es-ES"/>
              </w:rPr>
              <w:t xml:space="preserve">Fecha de </w:t>
            </w:r>
            <w:r w:rsidR="00672F4E" w:rsidRPr="00A8564C">
              <w:rPr>
                <w:lang w:val="es-ES"/>
              </w:rPr>
              <w:t>presentación</w:t>
            </w:r>
            <w:r w:rsidR="002C70DB" w:rsidRPr="00A8564C">
              <w:rPr>
                <w:lang w:val="es-ES"/>
              </w:rPr>
              <w:t xml:space="preserve"> </w:t>
            </w:r>
          </w:p>
        </w:tc>
        <w:tc>
          <w:tcPr>
            <w:tcW w:w="2925" w:type="dxa"/>
            <w:shd w:val="clear" w:color="auto" w:fill="auto"/>
          </w:tcPr>
          <w:p w14:paraId="767B9208" w14:textId="1BD16A2C" w:rsidR="002C70DB" w:rsidRPr="00A8564C" w:rsidRDefault="00694825" w:rsidP="00A933CF">
            <w:pPr>
              <w:rPr>
                <w:lang w:val="es-ES"/>
              </w:rPr>
            </w:pPr>
            <w:r w:rsidRPr="00A8564C">
              <w:rPr>
                <w:lang w:val="es-ES"/>
              </w:rPr>
              <w:t>28,</w:t>
            </w:r>
            <w:r w:rsidR="002C70DB" w:rsidRPr="00A8564C">
              <w:rPr>
                <w:lang w:val="es-ES"/>
              </w:rPr>
              <w:t>5</w:t>
            </w:r>
          </w:p>
        </w:tc>
      </w:tr>
      <w:tr w:rsidR="002C70DB" w:rsidRPr="00A8564C" w14:paraId="5B91DE93" w14:textId="77777777" w:rsidTr="00504552">
        <w:trPr>
          <w:cantSplit/>
        </w:trPr>
        <w:tc>
          <w:tcPr>
            <w:tcW w:w="2802" w:type="dxa"/>
            <w:shd w:val="clear" w:color="auto" w:fill="auto"/>
          </w:tcPr>
          <w:p w14:paraId="3B5BC454" w14:textId="5C65F5DA" w:rsidR="002C70DB" w:rsidRPr="00A8564C" w:rsidRDefault="00687880" w:rsidP="00A933CF">
            <w:pPr>
              <w:rPr>
                <w:lang w:val="es-ES"/>
              </w:rPr>
            </w:pPr>
            <w:r w:rsidRPr="00A8564C">
              <w:rPr>
                <w:lang w:val="es-ES"/>
              </w:rPr>
              <w:t xml:space="preserve">Hasta la </w:t>
            </w:r>
            <w:r w:rsidR="00672F4E" w:rsidRPr="00A8564C">
              <w:rPr>
                <w:lang w:val="es-ES"/>
              </w:rPr>
              <w:t>concesión</w:t>
            </w:r>
          </w:p>
        </w:tc>
        <w:tc>
          <w:tcPr>
            <w:tcW w:w="2795" w:type="dxa"/>
            <w:shd w:val="clear" w:color="auto" w:fill="auto"/>
          </w:tcPr>
          <w:p w14:paraId="4A87AA59" w14:textId="40C5026B" w:rsidR="002C70DB" w:rsidRPr="00A8564C" w:rsidRDefault="00687880" w:rsidP="00A933CF">
            <w:pPr>
              <w:rPr>
                <w:lang w:val="es-ES"/>
              </w:rPr>
            </w:pPr>
            <w:r w:rsidRPr="00A8564C">
              <w:rPr>
                <w:lang w:val="es-ES"/>
              </w:rPr>
              <w:t>Primer examen</w:t>
            </w:r>
            <w:r w:rsidR="002C70DB" w:rsidRPr="00A8564C">
              <w:rPr>
                <w:lang w:val="es-ES"/>
              </w:rPr>
              <w:t xml:space="preserve"> </w:t>
            </w:r>
          </w:p>
        </w:tc>
        <w:tc>
          <w:tcPr>
            <w:tcW w:w="2925" w:type="dxa"/>
            <w:shd w:val="clear" w:color="auto" w:fill="auto"/>
          </w:tcPr>
          <w:p w14:paraId="519EFE62" w14:textId="38BE841A" w:rsidR="002C70DB" w:rsidRPr="00A8564C" w:rsidRDefault="00694825" w:rsidP="00A933CF">
            <w:pPr>
              <w:rPr>
                <w:lang w:val="es-ES"/>
              </w:rPr>
            </w:pPr>
            <w:r w:rsidRPr="00A8564C">
              <w:rPr>
                <w:lang w:val="es-ES"/>
              </w:rPr>
              <w:t>23,</w:t>
            </w:r>
            <w:r w:rsidR="002C70DB" w:rsidRPr="00A8564C">
              <w:rPr>
                <w:lang w:val="es-ES"/>
              </w:rPr>
              <w:t>5</w:t>
            </w:r>
          </w:p>
        </w:tc>
      </w:tr>
    </w:tbl>
    <w:p w14:paraId="0614999A" w14:textId="77777777" w:rsidR="002C70DB" w:rsidRPr="00A8564C" w:rsidRDefault="002C70DB" w:rsidP="00A933CF">
      <w:pPr>
        <w:rPr>
          <w:lang w:val="es-ES"/>
        </w:rPr>
      </w:pPr>
    </w:p>
    <w:p w14:paraId="5F556782" w14:textId="3ED54D00" w:rsidR="002C70DB" w:rsidRPr="00A8564C" w:rsidRDefault="00687880" w:rsidP="00A933CF">
      <w:pPr>
        <w:rPr>
          <w:b/>
          <w:lang w:val="es-ES"/>
        </w:rPr>
      </w:pPr>
      <w:r w:rsidRPr="00A8564C">
        <w:rPr>
          <w:b/>
          <w:lang w:val="es-ES"/>
        </w:rPr>
        <w:t xml:space="preserve">Carga de </w:t>
      </w:r>
      <w:r w:rsidR="00694825" w:rsidRPr="00A8564C">
        <w:rPr>
          <w:b/>
          <w:lang w:val="es-ES"/>
        </w:rPr>
        <w:t>t</w:t>
      </w:r>
      <w:r w:rsidRPr="00A8564C">
        <w:rPr>
          <w:b/>
          <w:lang w:val="es-ES"/>
        </w:rPr>
        <w:t xml:space="preserve">rabajo nacional </w:t>
      </w:r>
    </w:p>
    <w:p w14:paraId="6A70D9C4" w14:textId="77777777" w:rsidR="002C70DB" w:rsidRPr="00A8564C" w:rsidRDefault="002C70DB" w:rsidP="00A933CF">
      <w:pPr>
        <w:rPr>
          <w:lang w:val="es-ES"/>
        </w:rPr>
      </w:pPr>
    </w:p>
    <w:p w14:paraId="065F117E" w14:textId="52411439" w:rsidR="002C70DB" w:rsidRPr="00A8564C" w:rsidRDefault="007A7912" w:rsidP="00A933CF">
      <w:pPr>
        <w:rPr>
          <w:lang w:val="es-ES"/>
        </w:rPr>
      </w:pPr>
      <w:r w:rsidRPr="00A8564C">
        <w:rPr>
          <w:lang w:val="es-ES"/>
        </w:rPr>
        <w:t xml:space="preserve">A </w:t>
      </w:r>
      <w:r w:rsidR="00694825" w:rsidRPr="00A8564C">
        <w:rPr>
          <w:lang w:val="es-ES"/>
        </w:rPr>
        <w:t xml:space="preserve">finales de diciembre de 2016, la carga de trabajo de la </w:t>
      </w:r>
      <w:r w:rsidR="00B06CD7" w:rsidRPr="00A8564C">
        <w:rPr>
          <w:lang w:val="es-ES"/>
        </w:rPr>
        <w:t>ILPO</w:t>
      </w:r>
      <w:r w:rsidR="00694825" w:rsidRPr="00A8564C">
        <w:rPr>
          <w:lang w:val="es-ES"/>
        </w:rPr>
        <w:t xml:space="preserve"> era de</w:t>
      </w:r>
      <w:r w:rsidR="002C70DB" w:rsidRPr="00A8564C">
        <w:rPr>
          <w:lang w:val="es-ES"/>
        </w:rPr>
        <w:t xml:space="preserve"> 16</w:t>
      </w:r>
      <w:r w:rsidR="00694825" w:rsidRPr="00A8564C">
        <w:rPr>
          <w:lang w:val="es-ES"/>
        </w:rPr>
        <w:t>.</w:t>
      </w:r>
      <w:r w:rsidR="002C70DB" w:rsidRPr="00A8564C">
        <w:rPr>
          <w:lang w:val="es-ES"/>
        </w:rPr>
        <w:t>892</w:t>
      </w:r>
      <w:r w:rsidR="002C70DB" w:rsidRPr="00A8564C">
        <w:rPr>
          <w:color w:val="FF0000"/>
          <w:lang w:val="es-ES"/>
        </w:rPr>
        <w:t xml:space="preserve"> </w:t>
      </w:r>
      <w:r w:rsidR="00694825" w:rsidRPr="00A8564C">
        <w:rPr>
          <w:lang w:val="es-ES"/>
        </w:rPr>
        <w:t>solicitudes</w:t>
      </w:r>
      <w:r w:rsidR="002C70DB" w:rsidRPr="00A8564C">
        <w:rPr>
          <w:lang w:val="es-ES"/>
        </w:rPr>
        <w:t xml:space="preserve">, </w:t>
      </w:r>
      <w:r w:rsidR="00694825" w:rsidRPr="00A8564C">
        <w:rPr>
          <w:lang w:val="es-ES"/>
        </w:rPr>
        <w:t xml:space="preserve">en todos los </w:t>
      </w:r>
      <w:r w:rsidR="00672F4E" w:rsidRPr="00A8564C">
        <w:rPr>
          <w:lang w:val="es-ES"/>
        </w:rPr>
        <w:t>ámbitos</w:t>
      </w:r>
      <w:r w:rsidR="00694825" w:rsidRPr="00A8564C">
        <w:rPr>
          <w:lang w:val="es-ES"/>
        </w:rPr>
        <w:t xml:space="preserve"> </w:t>
      </w:r>
      <w:r w:rsidR="00672F4E" w:rsidRPr="00A8564C">
        <w:rPr>
          <w:lang w:val="es-ES"/>
        </w:rPr>
        <w:t>tecnológicos</w:t>
      </w:r>
      <w:r w:rsidR="009E7E5E" w:rsidRPr="00A8564C">
        <w:rPr>
          <w:lang w:val="es-ES"/>
        </w:rPr>
        <w:t xml:space="preserve">.  </w:t>
      </w:r>
      <w:r w:rsidR="00694825" w:rsidRPr="00A8564C">
        <w:rPr>
          <w:lang w:val="es-ES"/>
        </w:rPr>
        <w:t>El au</w:t>
      </w:r>
      <w:r w:rsidR="00963276" w:rsidRPr="00A8564C">
        <w:rPr>
          <w:lang w:val="es-ES"/>
        </w:rPr>
        <w:t>m</w:t>
      </w:r>
      <w:r w:rsidR="00694825" w:rsidRPr="00A8564C">
        <w:rPr>
          <w:lang w:val="es-ES"/>
        </w:rPr>
        <w:t xml:space="preserve">ento gradual del </w:t>
      </w:r>
      <w:r w:rsidR="00672F4E" w:rsidRPr="00A8564C">
        <w:rPr>
          <w:lang w:val="es-ES"/>
        </w:rPr>
        <w:t>número</w:t>
      </w:r>
      <w:r w:rsidR="00694825" w:rsidRPr="00A8564C">
        <w:rPr>
          <w:lang w:val="es-ES"/>
        </w:rPr>
        <w:t xml:space="preserve"> de </w:t>
      </w:r>
      <w:r w:rsidR="00B06CD7" w:rsidRPr="00A8564C">
        <w:rPr>
          <w:lang w:val="es-ES"/>
        </w:rPr>
        <w:t>examinadores</w:t>
      </w:r>
      <w:r w:rsidR="002C70DB" w:rsidRPr="00A8564C">
        <w:rPr>
          <w:lang w:val="es-ES"/>
        </w:rPr>
        <w:t xml:space="preserve"> </w:t>
      </w:r>
      <w:r w:rsidR="00375D49" w:rsidRPr="00A8564C">
        <w:rPr>
          <w:lang w:val="es-ES"/>
        </w:rPr>
        <w:t>de patente y el n</w:t>
      </w:r>
      <w:r w:rsidR="00963276" w:rsidRPr="00A8564C">
        <w:rPr>
          <w:lang w:val="es-ES"/>
        </w:rPr>
        <w:t xml:space="preserve">uevo </w:t>
      </w:r>
      <w:r w:rsidR="00184BCD" w:rsidRPr="00A8564C">
        <w:rPr>
          <w:lang w:val="es-ES"/>
        </w:rPr>
        <w:t xml:space="preserve">sistema </w:t>
      </w:r>
      <w:r w:rsidR="00672F4E" w:rsidRPr="00A8564C">
        <w:rPr>
          <w:lang w:val="es-ES"/>
        </w:rPr>
        <w:t>automatizado</w:t>
      </w:r>
      <w:r w:rsidR="00963276" w:rsidRPr="00A8564C">
        <w:rPr>
          <w:lang w:val="es-ES"/>
        </w:rPr>
        <w:t xml:space="preserve"> descrito </w:t>
      </w:r>
      <w:r w:rsidR="00672F4E" w:rsidRPr="00A8564C">
        <w:rPr>
          <w:lang w:val="es-ES"/>
        </w:rPr>
        <w:t>más</w:t>
      </w:r>
      <w:r w:rsidR="00963276" w:rsidRPr="00A8564C">
        <w:rPr>
          <w:lang w:val="es-ES"/>
        </w:rPr>
        <w:t xml:space="preserve"> arriba ya han tenido una </w:t>
      </w:r>
      <w:r w:rsidR="00672F4E" w:rsidRPr="00A8564C">
        <w:rPr>
          <w:lang w:val="es-ES"/>
        </w:rPr>
        <w:t>repercusión</w:t>
      </w:r>
      <w:r w:rsidR="00963276" w:rsidRPr="00A8564C">
        <w:rPr>
          <w:lang w:val="es-ES"/>
        </w:rPr>
        <w:t xml:space="preserve"> positiva en l</w:t>
      </w:r>
      <w:r w:rsidR="00375D49" w:rsidRPr="00A8564C">
        <w:rPr>
          <w:lang w:val="es-ES"/>
        </w:rPr>
        <w:t>os resultados</w:t>
      </w:r>
      <w:r w:rsidR="00963276" w:rsidRPr="00A8564C">
        <w:rPr>
          <w:lang w:val="es-ES"/>
        </w:rPr>
        <w:t xml:space="preserve"> </w:t>
      </w:r>
      <w:r w:rsidR="00672F4E" w:rsidRPr="00A8564C">
        <w:rPr>
          <w:lang w:val="es-ES"/>
        </w:rPr>
        <w:t>y,</w:t>
      </w:r>
      <w:r w:rsidR="00963276" w:rsidRPr="00A8564C">
        <w:rPr>
          <w:lang w:val="es-ES"/>
        </w:rPr>
        <w:t xml:space="preserve"> en </w:t>
      </w:r>
      <w:r w:rsidR="00672F4E" w:rsidRPr="00A8564C">
        <w:rPr>
          <w:lang w:val="es-ES"/>
        </w:rPr>
        <w:t>consecuencia</w:t>
      </w:r>
      <w:r w:rsidR="00963276" w:rsidRPr="00A8564C">
        <w:rPr>
          <w:lang w:val="es-ES"/>
        </w:rPr>
        <w:t xml:space="preserve">, </w:t>
      </w:r>
      <w:r w:rsidR="00672F4E" w:rsidRPr="00A8564C">
        <w:rPr>
          <w:lang w:val="es-ES"/>
        </w:rPr>
        <w:t>resolverán</w:t>
      </w:r>
      <w:r w:rsidR="00963276" w:rsidRPr="00A8564C">
        <w:rPr>
          <w:lang w:val="es-ES"/>
        </w:rPr>
        <w:t xml:space="preserve"> esta </w:t>
      </w:r>
      <w:r w:rsidR="00672F4E" w:rsidRPr="00A8564C">
        <w:rPr>
          <w:lang w:val="es-ES"/>
        </w:rPr>
        <w:t>situación</w:t>
      </w:r>
      <w:r w:rsidR="00963276" w:rsidRPr="00A8564C">
        <w:rPr>
          <w:lang w:val="es-ES"/>
        </w:rPr>
        <w:t xml:space="preserve"> en breve plazo</w:t>
      </w:r>
      <w:r w:rsidR="002C70DB" w:rsidRPr="00A8564C">
        <w:rPr>
          <w:lang w:val="es-ES"/>
        </w:rPr>
        <w:t>.</w:t>
      </w:r>
    </w:p>
    <w:p w14:paraId="082EC7B9" w14:textId="77777777" w:rsidR="002C70DB" w:rsidRPr="00A8564C" w:rsidRDefault="002C70DB" w:rsidP="00A933CF">
      <w:pPr>
        <w:rPr>
          <w:lang w:val="es-ES"/>
        </w:rPr>
      </w:pPr>
    </w:p>
    <w:p w14:paraId="05B0B97C" w14:textId="13E8B747" w:rsidR="002C70DB" w:rsidRPr="00A8564C" w:rsidRDefault="00672F4E" w:rsidP="00A933CF">
      <w:pPr>
        <w:rPr>
          <w:lang w:val="es-ES"/>
        </w:rPr>
      </w:pPr>
      <w:r w:rsidRPr="00A8564C">
        <w:rPr>
          <w:lang w:val="es-ES"/>
        </w:rPr>
        <w:t>Asimismo</w:t>
      </w:r>
      <w:r w:rsidR="00963276" w:rsidRPr="00A8564C">
        <w:rPr>
          <w:lang w:val="es-ES"/>
        </w:rPr>
        <w:t xml:space="preserve">, </w:t>
      </w:r>
      <w:r w:rsidR="00565BE1" w:rsidRPr="00A8564C">
        <w:rPr>
          <w:lang w:val="es-ES"/>
        </w:rPr>
        <w:t xml:space="preserve">la ILPO es supervisada por </w:t>
      </w:r>
      <w:r w:rsidR="00963276" w:rsidRPr="00A8564C">
        <w:rPr>
          <w:lang w:val="es-ES"/>
        </w:rPr>
        <w:t>el Comité de control y productividad de</w:t>
      </w:r>
      <w:r w:rsidR="00375D49" w:rsidRPr="00A8564C">
        <w:rPr>
          <w:lang w:val="es-ES"/>
        </w:rPr>
        <w:t>l Organismo ejecutivo</w:t>
      </w:r>
      <w:r w:rsidR="00565BE1" w:rsidRPr="00A8564C">
        <w:rPr>
          <w:lang w:val="es-ES"/>
        </w:rPr>
        <w:t xml:space="preserve">, </w:t>
      </w:r>
      <w:r w:rsidRPr="00A8564C">
        <w:rPr>
          <w:lang w:val="es-ES"/>
        </w:rPr>
        <w:t>que</w:t>
      </w:r>
      <w:r w:rsidR="00565BE1" w:rsidRPr="00A8564C">
        <w:rPr>
          <w:lang w:val="es-ES"/>
        </w:rPr>
        <w:t xml:space="preserve"> es un comité gubernamental encargado de establecer los objetivos </w:t>
      </w:r>
      <w:r w:rsidRPr="00A8564C">
        <w:rPr>
          <w:lang w:val="es-ES"/>
        </w:rPr>
        <w:t>relativos</w:t>
      </w:r>
      <w:r w:rsidR="00565BE1" w:rsidRPr="00A8564C">
        <w:rPr>
          <w:lang w:val="es-ES"/>
        </w:rPr>
        <w:t xml:space="preserve"> a la labor de la </w:t>
      </w:r>
      <w:r w:rsidR="00375D49" w:rsidRPr="00A8564C">
        <w:rPr>
          <w:lang w:val="es-ES"/>
        </w:rPr>
        <w:t>Oficina</w:t>
      </w:r>
      <w:r w:rsidR="00565BE1" w:rsidRPr="00A8564C">
        <w:rPr>
          <w:lang w:val="es-ES"/>
        </w:rPr>
        <w:t xml:space="preserve"> y de verificar su cumplimiento</w:t>
      </w:r>
      <w:r w:rsidR="009E7E5E" w:rsidRPr="00A8564C">
        <w:rPr>
          <w:lang w:val="es-ES"/>
        </w:rPr>
        <w:t xml:space="preserve">.  </w:t>
      </w:r>
      <w:r w:rsidR="00565BE1" w:rsidRPr="00A8564C">
        <w:rPr>
          <w:lang w:val="es-ES"/>
        </w:rPr>
        <w:t xml:space="preserve">Ese </w:t>
      </w:r>
      <w:r w:rsidR="00184BCD" w:rsidRPr="00A8564C">
        <w:rPr>
          <w:lang w:val="es-ES"/>
        </w:rPr>
        <w:t>Comité</w:t>
      </w:r>
      <w:r w:rsidR="00565BE1" w:rsidRPr="00A8564C">
        <w:rPr>
          <w:lang w:val="es-ES"/>
        </w:rPr>
        <w:t xml:space="preserve"> examina la labor de la </w:t>
      </w:r>
      <w:r w:rsidR="00B06CD7" w:rsidRPr="00A8564C">
        <w:rPr>
          <w:lang w:val="es-ES"/>
        </w:rPr>
        <w:t xml:space="preserve">ILPO </w:t>
      </w:r>
      <w:r w:rsidR="00565BE1" w:rsidRPr="00A8564C">
        <w:rPr>
          <w:lang w:val="es-ES"/>
        </w:rPr>
        <w:t>al menos una vez por año</w:t>
      </w:r>
      <w:r w:rsidR="002C70DB" w:rsidRPr="00A8564C">
        <w:rPr>
          <w:lang w:val="es-ES"/>
        </w:rPr>
        <w:t xml:space="preserve">, </w:t>
      </w:r>
      <w:r w:rsidR="00565BE1" w:rsidRPr="00A8564C">
        <w:rPr>
          <w:lang w:val="es-ES"/>
        </w:rPr>
        <w:t xml:space="preserve">elabora un informe y </w:t>
      </w:r>
      <w:r w:rsidRPr="00A8564C">
        <w:rPr>
          <w:lang w:val="es-ES"/>
        </w:rPr>
        <w:t>aplica</w:t>
      </w:r>
      <w:r w:rsidR="00565BE1" w:rsidRPr="00A8564C">
        <w:rPr>
          <w:lang w:val="es-ES"/>
        </w:rPr>
        <w:t xml:space="preserve"> las recomendaciones.</w:t>
      </w:r>
      <w:r w:rsidR="009E7E5E" w:rsidRPr="00A8564C">
        <w:rPr>
          <w:lang w:val="es-ES"/>
        </w:rPr>
        <w:t xml:space="preserve"> </w:t>
      </w:r>
      <w:r w:rsidR="00565BE1" w:rsidRPr="00A8564C">
        <w:rPr>
          <w:lang w:val="es-ES"/>
        </w:rPr>
        <w:t xml:space="preserve">  Cabe señalar </w:t>
      </w:r>
      <w:r w:rsidRPr="00A8564C">
        <w:rPr>
          <w:lang w:val="es-ES"/>
        </w:rPr>
        <w:t>que,</w:t>
      </w:r>
      <w:r w:rsidR="00565BE1" w:rsidRPr="00A8564C">
        <w:rPr>
          <w:lang w:val="es-ES"/>
        </w:rPr>
        <w:t xml:space="preserve"> hasta la fecha, la </w:t>
      </w:r>
      <w:r w:rsidR="00B06CD7" w:rsidRPr="00A8564C">
        <w:rPr>
          <w:lang w:val="es-ES"/>
        </w:rPr>
        <w:t>ILPO</w:t>
      </w:r>
      <w:r w:rsidR="00565BE1" w:rsidRPr="00A8564C">
        <w:rPr>
          <w:lang w:val="es-ES"/>
        </w:rPr>
        <w:t xml:space="preserve"> no solo ha </w:t>
      </w:r>
      <w:r w:rsidRPr="00A8564C">
        <w:rPr>
          <w:lang w:val="es-ES"/>
        </w:rPr>
        <w:t>venido</w:t>
      </w:r>
      <w:r w:rsidR="00565BE1" w:rsidRPr="00A8564C">
        <w:rPr>
          <w:lang w:val="es-ES"/>
        </w:rPr>
        <w:t xml:space="preserve"> </w:t>
      </w:r>
      <w:r w:rsidRPr="00A8564C">
        <w:rPr>
          <w:lang w:val="es-ES"/>
        </w:rPr>
        <w:t>cumpliendo</w:t>
      </w:r>
      <w:r w:rsidR="00565BE1" w:rsidRPr="00A8564C">
        <w:rPr>
          <w:lang w:val="es-ES"/>
        </w:rPr>
        <w:t xml:space="preserve"> esos </w:t>
      </w:r>
      <w:r w:rsidRPr="00A8564C">
        <w:rPr>
          <w:lang w:val="es-ES"/>
        </w:rPr>
        <w:t>objetivos,</w:t>
      </w:r>
      <w:r w:rsidR="00565BE1" w:rsidRPr="00A8564C">
        <w:rPr>
          <w:lang w:val="es-ES"/>
        </w:rPr>
        <w:t xml:space="preserve"> sino que los ha superado.  Como consecuencia, los retrasos acumulados de la </w:t>
      </w:r>
      <w:r w:rsidR="00B06CD7" w:rsidRPr="00A8564C">
        <w:rPr>
          <w:lang w:val="es-ES"/>
        </w:rPr>
        <w:t>ILPO</w:t>
      </w:r>
      <w:r w:rsidR="00565BE1" w:rsidRPr="00A8564C">
        <w:rPr>
          <w:lang w:val="es-ES"/>
        </w:rPr>
        <w:t xml:space="preserve"> han venido dism</w:t>
      </w:r>
      <w:r w:rsidRPr="00A8564C">
        <w:rPr>
          <w:lang w:val="es-ES"/>
        </w:rPr>
        <w:t>in</w:t>
      </w:r>
      <w:r w:rsidR="00565BE1" w:rsidRPr="00A8564C">
        <w:rPr>
          <w:lang w:val="es-ES"/>
        </w:rPr>
        <w:t>uy</w:t>
      </w:r>
      <w:r w:rsidRPr="00A8564C">
        <w:rPr>
          <w:lang w:val="es-ES"/>
        </w:rPr>
        <w:t>en</w:t>
      </w:r>
      <w:r w:rsidR="00565BE1" w:rsidRPr="00A8564C">
        <w:rPr>
          <w:lang w:val="es-ES"/>
        </w:rPr>
        <w:t xml:space="preserve">do en los </w:t>
      </w:r>
      <w:r w:rsidRPr="00A8564C">
        <w:rPr>
          <w:lang w:val="es-ES"/>
        </w:rPr>
        <w:t>últimos</w:t>
      </w:r>
      <w:r w:rsidR="00565BE1" w:rsidRPr="00A8564C">
        <w:rPr>
          <w:lang w:val="es-ES"/>
        </w:rPr>
        <w:t xml:space="preserve"> años</w:t>
      </w:r>
      <w:r w:rsidR="002C70DB" w:rsidRPr="00A8564C">
        <w:rPr>
          <w:lang w:val="es-ES"/>
        </w:rPr>
        <w:t xml:space="preserve">. </w:t>
      </w:r>
    </w:p>
    <w:p w14:paraId="67C88324" w14:textId="77777777" w:rsidR="002C70DB" w:rsidRPr="00A8564C" w:rsidRDefault="002C70DB" w:rsidP="00A933CF">
      <w:pPr>
        <w:rPr>
          <w:lang w:val="es-ES"/>
        </w:rPr>
      </w:pPr>
    </w:p>
    <w:p w14:paraId="125BE5A8" w14:textId="4D945880" w:rsidR="002C70DB" w:rsidRPr="00A8564C" w:rsidRDefault="002C70DB" w:rsidP="00A933CF">
      <w:pPr>
        <w:rPr>
          <w:lang w:val="es-ES"/>
        </w:rPr>
      </w:pPr>
      <w:r w:rsidRPr="00A8564C">
        <w:rPr>
          <w:lang w:val="es-ES"/>
        </w:rPr>
        <w:t>A</w:t>
      </w:r>
      <w:r w:rsidR="00565BE1" w:rsidRPr="00A8564C">
        <w:rPr>
          <w:lang w:val="es-ES"/>
        </w:rPr>
        <w:t xml:space="preserve"> finales de </w:t>
      </w:r>
      <w:r w:rsidRPr="00A8564C">
        <w:rPr>
          <w:lang w:val="es-ES"/>
        </w:rPr>
        <w:t xml:space="preserve">2016, </w:t>
      </w:r>
      <w:r w:rsidR="00565BE1" w:rsidRPr="00A8564C">
        <w:rPr>
          <w:lang w:val="es-ES"/>
        </w:rPr>
        <w:t xml:space="preserve">el </w:t>
      </w:r>
      <w:r w:rsidR="00375D49" w:rsidRPr="00A8564C">
        <w:rPr>
          <w:lang w:val="es-ES"/>
        </w:rPr>
        <w:t>plazo</w:t>
      </w:r>
      <w:r w:rsidR="00565BE1" w:rsidRPr="00A8564C">
        <w:rPr>
          <w:lang w:val="es-ES"/>
        </w:rPr>
        <w:t xml:space="preserve"> medio para el primer examen era de </w:t>
      </w:r>
      <w:r w:rsidRPr="00A8564C">
        <w:rPr>
          <w:lang w:val="es-ES"/>
        </w:rPr>
        <w:t>28</w:t>
      </w:r>
      <w:r w:rsidR="00565BE1" w:rsidRPr="00A8564C">
        <w:rPr>
          <w:lang w:val="es-ES"/>
        </w:rPr>
        <w:t>,</w:t>
      </w:r>
      <w:r w:rsidRPr="00A8564C">
        <w:rPr>
          <w:lang w:val="es-ES"/>
        </w:rPr>
        <w:t>5</w:t>
      </w:r>
      <w:r w:rsidR="00565BE1" w:rsidRPr="00A8564C">
        <w:rPr>
          <w:lang w:val="es-ES"/>
        </w:rPr>
        <w:t xml:space="preserve"> meses</w:t>
      </w:r>
      <w:r w:rsidR="009E7E5E" w:rsidRPr="00A8564C">
        <w:rPr>
          <w:lang w:val="es-ES"/>
        </w:rPr>
        <w:t xml:space="preserve">.  </w:t>
      </w:r>
      <w:r w:rsidR="00565BE1" w:rsidRPr="00A8564C">
        <w:rPr>
          <w:lang w:val="es-ES"/>
        </w:rPr>
        <w:t xml:space="preserve">El </w:t>
      </w:r>
      <w:r w:rsidR="00AF28B1" w:rsidRPr="00A8564C">
        <w:rPr>
          <w:lang w:val="es-ES"/>
        </w:rPr>
        <w:t>plazo</w:t>
      </w:r>
      <w:r w:rsidR="00565BE1" w:rsidRPr="00A8564C">
        <w:rPr>
          <w:lang w:val="es-ES"/>
        </w:rPr>
        <w:t xml:space="preserve"> para el examen continuo era de </w:t>
      </w:r>
      <w:r w:rsidRPr="00A8564C">
        <w:rPr>
          <w:lang w:val="es-ES"/>
        </w:rPr>
        <w:t>4</w:t>
      </w:r>
      <w:r w:rsidR="00565BE1" w:rsidRPr="00A8564C">
        <w:rPr>
          <w:lang w:val="es-ES"/>
        </w:rPr>
        <w:t>,</w:t>
      </w:r>
      <w:r w:rsidRPr="00A8564C">
        <w:rPr>
          <w:lang w:val="es-ES"/>
        </w:rPr>
        <w:t>5 m</w:t>
      </w:r>
      <w:r w:rsidR="00565BE1" w:rsidRPr="00A8564C">
        <w:rPr>
          <w:lang w:val="es-ES"/>
        </w:rPr>
        <w:t xml:space="preserve">eses.  Se </w:t>
      </w:r>
      <w:r w:rsidR="00672F4E" w:rsidRPr="00A8564C">
        <w:rPr>
          <w:lang w:val="es-ES"/>
        </w:rPr>
        <w:t>prevén</w:t>
      </w:r>
      <w:r w:rsidR="00565BE1" w:rsidRPr="00A8564C">
        <w:rPr>
          <w:lang w:val="es-ES"/>
        </w:rPr>
        <w:t xml:space="preserve"> nuevas mejoras con la </w:t>
      </w:r>
      <w:r w:rsidR="00672F4E" w:rsidRPr="00A8564C">
        <w:rPr>
          <w:lang w:val="es-ES"/>
        </w:rPr>
        <w:t>contratación</w:t>
      </w:r>
      <w:r w:rsidR="00565BE1" w:rsidRPr="00A8564C">
        <w:rPr>
          <w:lang w:val="es-ES"/>
        </w:rPr>
        <w:t xml:space="preserve"> de </w:t>
      </w:r>
      <w:r w:rsidRPr="00A8564C">
        <w:rPr>
          <w:lang w:val="es-ES"/>
        </w:rPr>
        <w:t xml:space="preserve">20 </w:t>
      </w:r>
      <w:r w:rsidR="00B06CD7" w:rsidRPr="00A8564C">
        <w:rPr>
          <w:lang w:val="es-ES"/>
        </w:rPr>
        <w:t>examinadores</w:t>
      </w:r>
      <w:r w:rsidRPr="00A8564C">
        <w:rPr>
          <w:lang w:val="es-ES"/>
        </w:rPr>
        <w:t xml:space="preserve"> </w:t>
      </w:r>
      <w:r w:rsidR="00565BE1" w:rsidRPr="00A8564C">
        <w:rPr>
          <w:lang w:val="es-ES"/>
        </w:rPr>
        <w:t xml:space="preserve">en </w:t>
      </w:r>
      <w:r w:rsidRPr="00A8564C">
        <w:rPr>
          <w:lang w:val="es-ES"/>
        </w:rPr>
        <w:t>2017</w:t>
      </w:r>
      <w:r w:rsidR="00565BE1" w:rsidRPr="00A8564C">
        <w:rPr>
          <w:lang w:val="es-ES"/>
        </w:rPr>
        <w:t xml:space="preserve"> y</w:t>
      </w:r>
      <w:r w:rsidRPr="00A8564C">
        <w:rPr>
          <w:lang w:val="es-ES"/>
        </w:rPr>
        <w:t xml:space="preserve"> 2018.</w:t>
      </w:r>
    </w:p>
    <w:p w14:paraId="6A860EE2" w14:textId="77777777" w:rsidR="002C70DB" w:rsidRPr="00A8564C" w:rsidRDefault="002C70DB" w:rsidP="00A933CF">
      <w:pPr>
        <w:rPr>
          <w:lang w:val="es-ES"/>
        </w:rPr>
      </w:pPr>
    </w:p>
    <w:p w14:paraId="33F5DE6D" w14:textId="744EC60F" w:rsidR="002C70DB" w:rsidRPr="00A8564C" w:rsidRDefault="00F368FC" w:rsidP="00A933CF">
      <w:pPr>
        <w:rPr>
          <w:lang w:val="es-ES"/>
        </w:rPr>
      </w:pPr>
      <w:r w:rsidRPr="00A8564C">
        <w:rPr>
          <w:lang w:val="es-ES"/>
        </w:rPr>
        <w:t xml:space="preserve">Tras un examen profundizado, los </w:t>
      </w:r>
      <w:r w:rsidR="00672F4E" w:rsidRPr="00A8564C">
        <w:rPr>
          <w:lang w:val="es-ES"/>
        </w:rPr>
        <w:t>funcionarios</w:t>
      </w:r>
      <w:r w:rsidRPr="00A8564C">
        <w:rPr>
          <w:lang w:val="es-ES"/>
        </w:rPr>
        <w:t xml:space="preserve"> de l</w:t>
      </w:r>
      <w:r w:rsidR="00B06CD7" w:rsidRPr="00A8564C">
        <w:rPr>
          <w:lang w:val="es-ES"/>
        </w:rPr>
        <w:t>a ILPO</w:t>
      </w:r>
      <w:r w:rsidRPr="00A8564C">
        <w:rPr>
          <w:lang w:val="es-ES"/>
        </w:rPr>
        <w:t xml:space="preserve"> llegaron a la </w:t>
      </w:r>
      <w:r w:rsidR="00672F4E" w:rsidRPr="00A8564C">
        <w:rPr>
          <w:lang w:val="es-ES"/>
        </w:rPr>
        <w:t>conclusión</w:t>
      </w:r>
      <w:r w:rsidRPr="00A8564C">
        <w:rPr>
          <w:lang w:val="es-ES"/>
        </w:rPr>
        <w:t xml:space="preserve"> de que ofrecer </w:t>
      </w:r>
      <w:r w:rsidR="00672F4E" w:rsidRPr="00A8564C">
        <w:rPr>
          <w:lang w:val="es-ES"/>
        </w:rPr>
        <w:t>servicios</w:t>
      </w:r>
      <w:r w:rsidRPr="00A8564C">
        <w:rPr>
          <w:lang w:val="es-ES"/>
        </w:rPr>
        <w:t xml:space="preserve"> en calidad de </w:t>
      </w:r>
      <w:r w:rsidR="002C70DB" w:rsidRPr="00A8564C">
        <w:rPr>
          <w:lang w:val="es-ES"/>
        </w:rPr>
        <w:t xml:space="preserve">ISA/IPEA </w:t>
      </w:r>
      <w:r w:rsidRPr="00A8564C">
        <w:rPr>
          <w:lang w:val="es-ES"/>
        </w:rPr>
        <w:t xml:space="preserve">no </w:t>
      </w:r>
      <w:r w:rsidR="00672F4E" w:rsidRPr="00A8564C">
        <w:rPr>
          <w:lang w:val="es-ES"/>
        </w:rPr>
        <w:t>menoscabaría</w:t>
      </w:r>
      <w:r w:rsidRPr="00A8564C">
        <w:rPr>
          <w:lang w:val="es-ES"/>
        </w:rPr>
        <w:t xml:space="preserve"> la </w:t>
      </w:r>
      <w:r w:rsidR="00672F4E" w:rsidRPr="00A8564C">
        <w:rPr>
          <w:lang w:val="es-ES"/>
        </w:rPr>
        <w:t>capacidad</w:t>
      </w:r>
      <w:r w:rsidRPr="00A8564C">
        <w:rPr>
          <w:lang w:val="es-ES"/>
        </w:rPr>
        <w:t xml:space="preserve"> de la oficina para </w:t>
      </w:r>
      <w:r w:rsidR="00672F4E" w:rsidRPr="00A8564C">
        <w:rPr>
          <w:lang w:val="es-ES"/>
        </w:rPr>
        <w:t>reducir</w:t>
      </w:r>
      <w:r w:rsidRPr="00A8564C">
        <w:rPr>
          <w:lang w:val="es-ES"/>
        </w:rPr>
        <w:t xml:space="preserve"> el </w:t>
      </w:r>
      <w:r w:rsidR="00672F4E" w:rsidRPr="00A8564C">
        <w:rPr>
          <w:lang w:val="es-ES"/>
        </w:rPr>
        <w:t>retraso</w:t>
      </w:r>
      <w:r w:rsidRPr="00A8564C">
        <w:rPr>
          <w:lang w:val="es-ES"/>
        </w:rPr>
        <w:t xml:space="preserve"> acumulado en las solicitudes </w:t>
      </w:r>
      <w:r w:rsidR="00672F4E" w:rsidRPr="00A8564C">
        <w:rPr>
          <w:lang w:val="es-ES"/>
        </w:rPr>
        <w:t>nacionales</w:t>
      </w:r>
      <w:r w:rsidRPr="00A8564C">
        <w:rPr>
          <w:lang w:val="es-ES"/>
        </w:rPr>
        <w:t>.</w:t>
      </w:r>
      <w:r w:rsidR="002C70DB" w:rsidRPr="00A8564C">
        <w:rPr>
          <w:lang w:val="es-ES"/>
        </w:rPr>
        <w:t xml:space="preserve">  </w:t>
      </w:r>
    </w:p>
    <w:p w14:paraId="7A62CBC5" w14:textId="77777777" w:rsidR="002C70DB" w:rsidRPr="00A8564C" w:rsidRDefault="002C70DB" w:rsidP="00A933CF">
      <w:pPr>
        <w:rPr>
          <w:lang w:val="es-ES"/>
        </w:rPr>
      </w:pPr>
    </w:p>
    <w:p w14:paraId="3B302C0B" w14:textId="64D6F128" w:rsidR="002C70DB" w:rsidRPr="00A8564C" w:rsidRDefault="00F368FC" w:rsidP="00A933CF">
      <w:pPr>
        <w:rPr>
          <w:lang w:val="es-ES"/>
        </w:rPr>
      </w:pPr>
      <w:r w:rsidRPr="00A8564C">
        <w:rPr>
          <w:lang w:val="es-ES"/>
        </w:rPr>
        <w:t xml:space="preserve">Cabe </w:t>
      </w:r>
      <w:r w:rsidR="00672F4E" w:rsidRPr="00A8564C">
        <w:rPr>
          <w:lang w:val="es-ES"/>
        </w:rPr>
        <w:t>resaltar,</w:t>
      </w:r>
      <w:r w:rsidRPr="00A8564C">
        <w:rPr>
          <w:lang w:val="es-ES"/>
        </w:rPr>
        <w:t xml:space="preserve"> sin </w:t>
      </w:r>
      <w:r w:rsidR="00672F4E" w:rsidRPr="00A8564C">
        <w:rPr>
          <w:lang w:val="es-ES"/>
        </w:rPr>
        <w:t>embargo</w:t>
      </w:r>
      <w:r w:rsidRPr="00A8564C">
        <w:rPr>
          <w:lang w:val="es-ES"/>
        </w:rPr>
        <w:t>, que los s</w:t>
      </w:r>
      <w:r w:rsidR="00B06CD7" w:rsidRPr="00A8564C">
        <w:rPr>
          <w:lang w:val="es-ES"/>
        </w:rPr>
        <w:t>olicitantes</w:t>
      </w:r>
      <w:r w:rsidR="002C70DB" w:rsidRPr="00A8564C">
        <w:rPr>
          <w:lang w:val="es-ES"/>
        </w:rPr>
        <w:t xml:space="preserve"> </w:t>
      </w:r>
      <w:r w:rsidRPr="00A8564C">
        <w:rPr>
          <w:lang w:val="es-ES"/>
        </w:rPr>
        <w:t xml:space="preserve">y residentes de </w:t>
      </w:r>
      <w:r w:rsidR="002C70DB" w:rsidRPr="00A8564C">
        <w:rPr>
          <w:lang w:val="es-ES"/>
        </w:rPr>
        <w:t xml:space="preserve">Israel </w:t>
      </w:r>
      <w:r w:rsidR="00672F4E" w:rsidRPr="00A8564C">
        <w:rPr>
          <w:lang w:val="es-ES"/>
        </w:rPr>
        <w:t>mantendrán</w:t>
      </w:r>
      <w:r w:rsidRPr="00A8564C">
        <w:rPr>
          <w:lang w:val="es-ES"/>
        </w:rPr>
        <w:t xml:space="preserve"> la prerrogativa de elegir sea a la </w:t>
      </w:r>
      <w:r w:rsidR="002C70DB" w:rsidRPr="00A8564C">
        <w:rPr>
          <w:lang w:val="es-ES"/>
        </w:rPr>
        <w:t xml:space="preserve">USPTO </w:t>
      </w:r>
      <w:r w:rsidRPr="00A8564C">
        <w:rPr>
          <w:lang w:val="es-ES"/>
        </w:rPr>
        <w:t xml:space="preserve">o la OEP como </w:t>
      </w:r>
      <w:r w:rsidR="002C70DB" w:rsidRPr="00A8564C">
        <w:rPr>
          <w:lang w:val="es-ES"/>
        </w:rPr>
        <w:t xml:space="preserve">ISA/IPEA, </w:t>
      </w:r>
      <w:r w:rsidR="00672F4E" w:rsidRPr="00A8564C">
        <w:rPr>
          <w:lang w:val="es-ES"/>
        </w:rPr>
        <w:t>además</w:t>
      </w:r>
      <w:r w:rsidRPr="00A8564C">
        <w:rPr>
          <w:lang w:val="es-ES"/>
        </w:rPr>
        <w:t xml:space="preserve"> de la </w:t>
      </w:r>
      <w:r w:rsidR="00B06CD7" w:rsidRPr="00A8564C">
        <w:rPr>
          <w:lang w:val="es-ES"/>
        </w:rPr>
        <w:t>ILPO</w:t>
      </w:r>
      <w:r w:rsidR="002C70DB" w:rsidRPr="00A8564C">
        <w:rPr>
          <w:lang w:val="es-ES"/>
        </w:rPr>
        <w:t>.</w:t>
      </w:r>
    </w:p>
    <w:p w14:paraId="421675FE" w14:textId="77777777" w:rsidR="002C70DB" w:rsidRPr="00A8564C" w:rsidRDefault="002C70DB" w:rsidP="00A933CF">
      <w:pPr>
        <w:rPr>
          <w:lang w:val="es-ES"/>
        </w:rPr>
      </w:pPr>
    </w:p>
    <w:p w14:paraId="72B95C80" w14:textId="77777777" w:rsidR="002C70DB" w:rsidRPr="00A8564C" w:rsidRDefault="002C70DB" w:rsidP="00A933CF">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3403"/>
      </w:tblGrid>
      <w:tr w:rsidR="002C70DB" w:rsidRPr="00A8564C" w14:paraId="1143C380" w14:textId="77777777" w:rsidTr="00E826DF">
        <w:trPr>
          <w:cantSplit/>
        </w:trPr>
        <w:tc>
          <w:tcPr>
            <w:tcW w:w="4643" w:type="dxa"/>
            <w:shd w:val="clear" w:color="auto" w:fill="auto"/>
          </w:tcPr>
          <w:p w14:paraId="4C1E826D" w14:textId="079E27F6" w:rsidR="002C70DB" w:rsidRPr="00A8564C" w:rsidRDefault="002C70DB" w:rsidP="00E826DF">
            <w:pPr>
              <w:keepNext/>
              <w:keepLines/>
              <w:rPr>
                <w:b/>
                <w:bCs/>
                <w:lang w:val="es-ES"/>
              </w:rPr>
            </w:pPr>
            <w:r w:rsidRPr="00A8564C">
              <w:rPr>
                <w:b/>
                <w:bCs/>
                <w:lang w:val="es-ES"/>
              </w:rPr>
              <w:t>Me</w:t>
            </w:r>
            <w:r w:rsidR="00687880" w:rsidRPr="00A8564C">
              <w:rPr>
                <w:b/>
                <w:bCs/>
                <w:lang w:val="es-ES"/>
              </w:rPr>
              <w:t>dida</w:t>
            </w:r>
          </w:p>
        </w:tc>
        <w:tc>
          <w:tcPr>
            <w:tcW w:w="3403" w:type="dxa"/>
            <w:shd w:val="clear" w:color="auto" w:fill="auto"/>
          </w:tcPr>
          <w:p w14:paraId="497E670A" w14:textId="61B9FC75" w:rsidR="002C70DB" w:rsidRPr="00A8564C" w:rsidRDefault="00672F4E" w:rsidP="00E826DF">
            <w:pPr>
              <w:keepNext/>
              <w:keepLines/>
              <w:rPr>
                <w:b/>
                <w:bCs/>
                <w:lang w:val="es-ES"/>
              </w:rPr>
            </w:pPr>
            <w:r w:rsidRPr="00A8564C">
              <w:rPr>
                <w:b/>
                <w:bCs/>
                <w:lang w:val="es-ES"/>
              </w:rPr>
              <w:t>Número</w:t>
            </w:r>
            <w:r w:rsidR="00687880" w:rsidRPr="00A8564C">
              <w:rPr>
                <w:b/>
                <w:bCs/>
                <w:lang w:val="es-ES"/>
              </w:rPr>
              <w:t xml:space="preserve"> de solicitudes</w:t>
            </w:r>
          </w:p>
        </w:tc>
      </w:tr>
      <w:tr w:rsidR="002C70DB" w:rsidRPr="00A8564C" w14:paraId="0ED98755" w14:textId="77777777" w:rsidTr="00E826DF">
        <w:trPr>
          <w:cantSplit/>
        </w:trPr>
        <w:tc>
          <w:tcPr>
            <w:tcW w:w="4643" w:type="dxa"/>
            <w:shd w:val="clear" w:color="auto" w:fill="auto"/>
          </w:tcPr>
          <w:p w14:paraId="6FAFC94F" w14:textId="5FFA27AE" w:rsidR="002C70DB" w:rsidRPr="00A8564C" w:rsidRDefault="00687880" w:rsidP="00E826DF">
            <w:pPr>
              <w:keepNext/>
              <w:keepLines/>
              <w:rPr>
                <w:lang w:val="es-ES"/>
              </w:rPr>
            </w:pPr>
            <w:r w:rsidRPr="00A8564C">
              <w:rPr>
                <w:lang w:val="es-ES"/>
              </w:rPr>
              <w:t xml:space="preserve">Todas las solicitudes </w:t>
            </w:r>
            <w:r w:rsidR="00672F4E" w:rsidRPr="00A8564C">
              <w:rPr>
                <w:lang w:val="es-ES"/>
              </w:rPr>
              <w:t>pendientes</w:t>
            </w:r>
          </w:p>
        </w:tc>
        <w:tc>
          <w:tcPr>
            <w:tcW w:w="3403" w:type="dxa"/>
            <w:shd w:val="clear" w:color="auto" w:fill="auto"/>
          </w:tcPr>
          <w:p w14:paraId="45CAC44D" w14:textId="0498F017" w:rsidR="002C70DB" w:rsidRPr="00A8564C" w:rsidRDefault="00687880" w:rsidP="00E826DF">
            <w:pPr>
              <w:keepNext/>
              <w:keepLines/>
              <w:rPr>
                <w:lang w:val="es-ES"/>
              </w:rPr>
            </w:pPr>
            <w:r w:rsidRPr="00A8564C">
              <w:rPr>
                <w:lang w:val="es-ES"/>
              </w:rPr>
              <w:t>16.</w:t>
            </w:r>
            <w:r w:rsidR="002C70DB" w:rsidRPr="00A8564C">
              <w:rPr>
                <w:lang w:val="es-ES"/>
              </w:rPr>
              <w:t>892</w:t>
            </w:r>
          </w:p>
        </w:tc>
      </w:tr>
      <w:tr w:rsidR="002C70DB" w:rsidRPr="00A8564C" w14:paraId="29E2C60E" w14:textId="77777777" w:rsidTr="00E826DF">
        <w:trPr>
          <w:cantSplit/>
        </w:trPr>
        <w:tc>
          <w:tcPr>
            <w:tcW w:w="4643" w:type="dxa"/>
            <w:shd w:val="clear" w:color="auto" w:fill="auto"/>
          </w:tcPr>
          <w:p w14:paraId="4A2974B0" w14:textId="59870164" w:rsidR="002C70DB" w:rsidRPr="00A8564C" w:rsidRDefault="00B85468" w:rsidP="00B85468">
            <w:pPr>
              <w:rPr>
                <w:lang w:val="es-ES"/>
              </w:rPr>
            </w:pPr>
            <w:r>
              <w:rPr>
                <w:lang w:val="es-ES"/>
              </w:rPr>
              <w:t xml:space="preserve">Solicitudes en espera de </w:t>
            </w:r>
            <w:r w:rsidR="00687880" w:rsidRPr="00A8564C">
              <w:rPr>
                <w:lang w:val="es-ES"/>
              </w:rPr>
              <w:t>búsqueda (una vez abonadas las tasas correspondientes)</w:t>
            </w:r>
          </w:p>
        </w:tc>
        <w:tc>
          <w:tcPr>
            <w:tcW w:w="3403" w:type="dxa"/>
            <w:shd w:val="clear" w:color="auto" w:fill="auto"/>
          </w:tcPr>
          <w:p w14:paraId="336E4F3E" w14:textId="4D1DD9DE" w:rsidR="002C70DB" w:rsidRPr="00A8564C" w:rsidRDefault="002C70DB" w:rsidP="00B85468">
            <w:pPr>
              <w:keepNext/>
              <w:keepLines/>
              <w:rPr>
                <w:lang w:val="es-ES"/>
              </w:rPr>
            </w:pPr>
            <w:r w:rsidRPr="00A8564C">
              <w:rPr>
                <w:lang w:val="es-ES"/>
              </w:rPr>
              <w:t>No</w:t>
            </w:r>
            <w:r w:rsidR="00687880" w:rsidRPr="00A8564C">
              <w:rPr>
                <w:lang w:val="es-ES"/>
              </w:rPr>
              <w:t xml:space="preserve"> </w:t>
            </w:r>
            <w:r w:rsidR="00B85468">
              <w:rPr>
                <w:lang w:val="es-ES"/>
              </w:rPr>
              <w:t>es pertinente</w:t>
            </w:r>
          </w:p>
        </w:tc>
      </w:tr>
      <w:tr w:rsidR="002C70DB" w:rsidRPr="00A8564C" w14:paraId="43A6B9BA" w14:textId="77777777" w:rsidTr="00E826DF">
        <w:trPr>
          <w:cantSplit/>
        </w:trPr>
        <w:tc>
          <w:tcPr>
            <w:tcW w:w="4643" w:type="dxa"/>
            <w:shd w:val="clear" w:color="auto" w:fill="auto"/>
          </w:tcPr>
          <w:p w14:paraId="7BD4DA54" w14:textId="3DEEED87" w:rsidR="002C70DB" w:rsidRPr="00A8564C" w:rsidRDefault="00687880" w:rsidP="00E826DF">
            <w:pPr>
              <w:keepLines/>
              <w:rPr>
                <w:lang w:val="es-ES"/>
              </w:rPr>
            </w:pPr>
            <w:r w:rsidRPr="00A8564C">
              <w:rPr>
                <w:lang w:val="es-ES"/>
              </w:rPr>
              <w:t>Solicitudes en espera del primer examen (una vez abonadas las tasas correspondientes)</w:t>
            </w:r>
          </w:p>
        </w:tc>
        <w:tc>
          <w:tcPr>
            <w:tcW w:w="3403" w:type="dxa"/>
            <w:shd w:val="clear" w:color="auto" w:fill="auto"/>
          </w:tcPr>
          <w:p w14:paraId="2FC8C127" w14:textId="17F3F60C" w:rsidR="002C70DB" w:rsidRPr="00A8564C" w:rsidRDefault="00687880" w:rsidP="00E826DF">
            <w:pPr>
              <w:rPr>
                <w:lang w:val="es-ES"/>
              </w:rPr>
            </w:pPr>
            <w:r w:rsidRPr="00A8564C">
              <w:rPr>
                <w:lang w:val="es-ES"/>
              </w:rPr>
              <w:t>16.</w:t>
            </w:r>
            <w:r w:rsidR="002C70DB" w:rsidRPr="00A8564C">
              <w:rPr>
                <w:lang w:val="es-ES"/>
              </w:rPr>
              <w:t>892</w:t>
            </w:r>
          </w:p>
        </w:tc>
      </w:tr>
    </w:tbl>
    <w:p w14:paraId="6E2FF620" w14:textId="4C0B6F75" w:rsidR="002C70DB" w:rsidRPr="00A8564C" w:rsidRDefault="00FE3058" w:rsidP="00A933CF">
      <w:pPr>
        <w:pStyle w:val="SectionHeading"/>
        <w:rPr>
          <w:szCs w:val="24"/>
          <w:u w:val="single"/>
          <w:lang w:val="es-ES"/>
        </w:rPr>
      </w:pPr>
      <w:r w:rsidRPr="00A8564C">
        <w:rPr>
          <w:lang w:val="es-ES"/>
        </w:rPr>
        <w:t>6</w:t>
      </w:r>
      <w:r w:rsidR="009E7E5E" w:rsidRPr="00A8564C">
        <w:rPr>
          <w:lang w:val="es-ES"/>
        </w:rPr>
        <w:t xml:space="preserve">.  </w:t>
      </w:r>
      <w:r w:rsidR="00F368FC" w:rsidRPr="00A8564C">
        <w:rPr>
          <w:lang w:val="es-ES"/>
        </w:rPr>
        <w:t>ACTIVIDADES DE COOPERACI</w:t>
      </w:r>
      <w:r w:rsidR="007A7912" w:rsidRPr="00A8564C">
        <w:rPr>
          <w:lang w:val="es-ES"/>
        </w:rPr>
        <w:t>Ó</w:t>
      </w:r>
      <w:r w:rsidR="00F368FC" w:rsidRPr="00A8564C">
        <w:rPr>
          <w:lang w:val="es-ES"/>
        </w:rPr>
        <w:t xml:space="preserve">N INTERNACIONAL DE LA </w:t>
      </w:r>
      <w:r w:rsidR="00B06CD7" w:rsidRPr="00A8564C">
        <w:rPr>
          <w:lang w:val="es-ES"/>
        </w:rPr>
        <w:t xml:space="preserve">ILPO </w:t>
      </w:r>
    </w:p>
    <w:p w14:paraId="4102167F" w14:textId="6718B54D" w:rsidR="002C70DB" w:rsidRPr="00A8564C" w:rsidRDefault="00B3474C" w:rsidP="00A933CF">
      <w:pPr>
        <w:rPr>
          <w:lang w:val="es-ES"/>
        </w:rPr>
      </w:pPr>
      <w:r w:rsidRPr="00A8564C">
        <w:rPr>
          <w:lang w:val="es-ES"/>
        </w:rPr>
        <w:t xml:space="preserve">Para fomentar </w:t>
      </w:r>
      <w:r w:rsidR="00375D49" w:rsidRPr="00A8564C">
        <w:rPr>
          <w:lang w:val="es-ES"/>
        </w:rPr>
        <w:t>el reparto</w:t>
      </w:r>
      <w:r w:rsidRPr="00A8564C">
        <w:rPr>
          <w:lang w:val="es-ES"/>
        </w:rPr>
        <w:t xml:space="preserve"> del trabajo </w:t>
      </w:r>
      <w:r w:rsidR="00672F4E" w:rsidRPr="00A8564C">
        <w:rPr>
          <w:lang w:val="es-ES"/>
        </w:rPr>
        <w:t>internacional</w:t>
      </w:r>
      <w:r w:rsidR="002C70DB" w:rsidRPr="00A8564C">
        <w:rPr>
          <w:lang w:val="es-ES"/>
        </w:rPr>
        <w:t xml:space="preserve">, </w:t>
      </w:r>
      <w:r w:rsidR="00B06CD7" w:rsidRPr="00A8564C">
        <w:rPr>
          <w:lang w:val="es-ES"/>
        </w:rPr>
        <w:t>la ILPO</w:t>
      </w:r>
      <w:r w:rsidRPr="00A8564C">
        <w:rPr>
          <w:lang w:val="es-ES"/>
        </w:rPr>
        <w:t xml:space="preserve"> ha concluido acuerdos </w:t>
      </w:r>
      <w:r w:rsidR="002C70DB" w:rsidRPr="00A8564C">
        <w:rPr>
          <w:lang w:val="es-ES"/>
        </w:rPr>
        <w:t xml:space="preserve">PPH </w:t>
      </w:r>
      <w:r w:rsidRPr="00A8564C">
        <w:rPr>
          <w:lang w:val="es-ES"/>
        </w:rPr>
        <w:t xml:space="preserve">y </w:t>
      </w:r>
      <w:r w:rsidR="00AF28B1" w:rsidRPr="00A8564C">
        <w:rPr>
          <w:lang w:val="es-ES"/>
        </w:rPr>
        <w:t>PCT PPH</w:t>
      </w:r>
      <w:r w:rsidR="002C70DB" w:rsidRPr="00A8564C">
        <w:rPr>
          <w:lang w:val="es-ES"/>
        </w:rPr>
        <w:t xml:space="preserve"> </w:t>
      </w:r>
      <w:r w:rsidRPr="00A8564C">
        <w:rPr>
          <w:lang w:val="es-ES"/>
        </w:rPr>
        <w:t>con algunas oficinas de patentes</w:t>
      </w:r>
      <w:r w:rsidR="007A7912" w:rsidRPr="00A8564C">
        <w:rPr>
          <w:lang w:val="es-ES"/>
        </w:rPr>
        <w:t xml:space="preserve">.  </w:t>
      </w:r>
      <w:r w:rsidR="00672F4E" w:rsidRPr="00A8564C">
        <w:rPr>
          <w:lang w:val="es-ES"/>
        </w:rPr>
        <w:t>Además</w:t>
      </w:r>
      <w:r w:rsidR="007A7912" w:rsidRPr="00A8564C">
        <w:rPr>
          <w:lang w:val="es-ES"/>
        </w:rPr>
        <w:t xml:space="preserve">, </w:t>
      </w:r>
      <w:r w:rsidR="00AF28B1" w:rsidRPr="00A8564C">
        <w:rPr>
          <w:lang w:val="es-ES"/>
        </w:rPr>
        <w:t xml:space="preserve">desde </w:t>
      </w:r>
      <w:r w:rsidR="007A7912" w:rsidRPr="00A8564C">
        <w:rPr>
          <w:lang w:val="es-ES"/>
        </w:rPr>
        <w:t xml:space="preserve">el 6 de enero de </w:t>
      </w:r>
      <w:r w:rsidR="002C70DB" w:rsidRPr="00A8564C">
        <w:rPr>
          <w:lang w:val="es-ES"/>
        </w:rPr>
        <w:t xml:space="preserve">2014, </w:t>
      </w:r>
      <w:r w:rsidR="00B06CD7" w:rsidRPr="00A8564C">
        <w:rPr>
          <w:lang w:val="es-ES"/>
        </w:rPr>
        <w:t>la ILPO</w:t>
      </w:r>
      <w:r w:rsidR="007A7912" w:rsidRPr="00A8564C">
        <w:rPr>
          <w:lang w:val="es-ES"/>
        </w:rPr>
        <w:t xml:space="preserve"> forma parte del acuerdo </w:t>
      </w:r>
      <w:r w:rsidR="00AF28B1" w:rsidRPr="00A8564C">
        <w:rPr>
          <w:lang w:val="es-ES"/>
        </w:rPr>
        <w:t>GPPH</w:t>
      </w:r>
      <w:r w:rsidR="007A7912" w:rsidRPr="00A8564C">
        <w:rPr>
          <w:lang w:val="es-ES"/>
        </w:rPr>
        <w:t xml:space="preserve">.  Estos </w:t>
      </w:r>
      <w:r w:rsidR="00672F4E" w:rsidRPr="00A8564C">
        <w:rPr>
          <w:lang w:val="es-ES"/>
        </w:rPr>
        <w:t>acuerdos</w:t>
      </w:r>
      <w:r w:rsidR="007A7912" w:rsidRPr="00A8564C">
        <w:rPr>
          <w:lang w:val="es-ES"/>
        </w:rPr>
        <w:t xml:space="preserve"> han contribuido a mejorar la eficacia, la </w:t>
      </w:r>
      <w:r w:rsidR="00672F4E" w:rsidRPr="00A8564C">
        <w:rPr>
          <w:lang w:val="es-ES"/>
        </w:rPr>
        <w:t>eficiencia</w:t>
      </w:r>
      <w:r w:rsidR="007A7912" w:rsidRPr="00A8564C">
        <w:rPr>
          <w:lang w:val="es-ES"/>
        </w:rPr>
        <w:t xml:space="preserve"> </w:t>
      </w:r>
      <w:r w:rsidR="00672F4E" w:rsidRPr="00A8564C">
        <w:rPr>
          <w:lang w:val="es-ES"/>
        </w:rPr>
        <w:t>económica</w:t>
      </w:r>
      <w:r w:rsidR="007A7912" w:rsidRPr="00A8564C">
        <w:rPr>
          <w:lang w:val="es-ES"/>
        </w:rPr>
        <w:t xml:space="preserve"> y la calidad del examen de patentes</w:t>
      </w:r>
      <w:r w:rsidR="002C70DB" w:rsidRPr="00A8564C">
        <w:rPr>
          <w:lang w:val="es-ES"/>
        </w:rPr>
        <w:t>.</w:t>
      </w:r>
    </w:p>
    <w:p w14:paraId="0825DD22" w14:textId="77777777" w:rsidR="002C70DB" w:rsidRPr="00A8564C" w:rsidRDefault="002C70DB" w:rsidP="00A933CF">
      <w:pPr>
        <w:rPr>
          <w:lang w:val="es-ES"/>
        </w:rPr>
      </w:pPr>
    </w:p>
    <w:p w14:paraId="2FA11068" w14:textId="78F9984B" w:rsidR="002C70DB" w:rsidRPr="00A8564C" w:rsidRDefault="007A7912" w:rsidP="00A933CF">
      <w:pPr>
        <w:rPr>
          <w:lang w:val="es-ES"/>
        </w:rPr>
      </w:pPr>
      <w:r w:rsidRPr="00A8564C">
        <w:rPr>
          <w:lang w:val="es-ES"/>
        </w:rPr>
        <w:t xml:space="preserve">En febrero de </w:t>
      </w:r>
      <w:r w:rsidR="002C70DB" w:rsidRPr="00A8564C">
        <w:rPr>
          <w:lang w:val="es-ES"/>
        </w:rPr>
        <w:t xml:space="preserve">2014, </w:t>
      </w:r>
      <w:r w:rsidR="00B06CD7" w:rsidRPr="00A8564C">
        <w:rPr>
          <w:lang w:val="es-ES"/>
        </w:rPr>
        <w:t>la ILPO</w:t>
      </w:r>
      <w:r w:rsidRPr="00A8564C">
        <w:rPr>
          <w:lang w:val="es-ES"/>
        </w:rPr>
        <w:t xml:space="preserve"> </w:t>
      </w:r>
      <w:r w:rsidR="00AF28B1" w:rsidRPr="00A8564C">
        <w:rPr>
          <w:lang w:val="es-ES"/>
        </w:rPr>
        <w:t>acogió</w:t>
      </w:r>
      <w:r w:rsidRPr="00A8564C">
        <w:rPr>
          <w:lang w:val="es-ES"/>
        </w:rPr>
        <w:t xml:space="preserve"> la 21ª </w:t>
      </w:r>
      <w:r w:rsidR="00672F4E" w:rsidRPr="00A8564C">
        <w:rPr>
          <w:lang w:val="es-ES"/>
        </w:rPr>
        <w:t>Reunión</w:t>
      </w:r>
      <w:r w:rsidRPr="00A8564C">
        <w:rPr>
          <w:lang w:val="es-ES"/>
        </w:rPr>
        <w:t xml:space="preserve"> de las Administraciones Internacionales, a la que asistieron aproximadamente 50 altos </w:t>
      </w:r>
      <w:r w:rsidR="00672F4E" w:rsidRPr="00A8564C">
        <w:rPr>
          <w:lang w:val="es-ES"/>
        </w:rPr>
        <w:t>funcionarios</w:t>
      </w:r>
      <w:r w:rsidRPr="00A8564C">
        <w:rPr>
          <w:lang w:val="es-ES"/>
        </w:rPr>
        <w:t xml:space="preserve"> de la </w:t>
      </w:r>
      <w:r w:rsidR="00B06CD7" w:rsidRPr="00A8564C">
        <w:rPr>
          <w:lang w:val="es-ES"/>
        </w:rPr>
        <w:t>OMPI</w:t>
      </w:r>
      <w:r w:rsidRPr="00A8564C">
        <w:rPr>
          <w:lang w:val="es-ES"/>
        </w:rPr>
        <w:t xml:space="preserve"> y</w:t>
      </w:r>
      <w:r w:rsidR="002C70DB" w:rsidRPr="00A8564C">
        <w:rPr>
          <w:lang w:val="es-ES"/>
        </w:rPr>
        <w:t xml:space="preserve"> 18 </w:t>
      </w:r>
      <w:r w:rsidRPr="00A8564C">
        <w:rPr>
          <w:lang w:val="es-ES"/>
        </w:rPr>
        <w:t xml:space="preserve">importantes </w:t>
      </w:r>
      <w:r w:rsidR="00672F4E" w:rsidRPr="00A8564C">
        <w:rPr>
          <w:lang w:val="es-ES"/>
        </w:rPr>
        <w:t>oficinas</w:t>
      </w:r>
      <w:r w:rsidRPr="00A8564C">
        <w:rPr>
          <w:lang w:val="es-ES"/>
        </w:rPr>
        <w:t xml:space="preserve"> de patente mundiales.</w:t>
      </w:r>
    </w:p>
    <w:p w14:paraId="50FF4251" w14:textId="77777777" w:rsidR="002C70DB" w:rsidRPr="00A8564C" w:rsidRDefault="002C70DB" w:rsidP="00A933CF">
      <w:pPr>
        <w:rPr>
          <w:lang w:val="es-ES"/>
        </w:rPr>
      </w:pPr>
    </w:p>
    <w:p w14:paraId="6BA003C7" w14:textId="36E5C77B" w:rsidR="002C70DB" w:rsidRPr="00A8564C" w:rsidRDefault="008506E1" w:rsidP="00A933CF">
      <w:pPr>
        <w:rPr>
          <w:lang w:val="es-ES"/>
        </w:rPr>
      </w:pPr>
      <w:r w:rsidRPr="00A8564C">
        <w:rPr>
          <w:lang w:val="es-ES"/>
        </w:rPr>
        <w:t>A lo largo de los años, l</w:t>
      </w:r>
      <w:r w:rsidR="00B06CD7" w:rsidRPr="00A8564C">
        <w:rPr>
          <w:lang w:val="es-ES"/>
        </w:rPr>
        <w:t>a ILPO</w:t>
      </w:r>
      <w:r w:rsidRPr="00A8564C">
        <w:rPr>
          <w:lang w:val="es-ES"/>
        </w:rPr>
        <w:t xml:space="preserve"> ha </w:t>
      </w:r>
      <w:r w:rsidR="00DC236F" w:rsidRPr="00A8564C">
        <w:rPr>
          <w:lang w:val="es-ES"/>
        </w:rPr>
        <w:t>colaborado con la OMPI en un sinnúmero de</w:t>
      </w:r>
      <w:r w:rsidR="00773766" w:rsidRPr="00A8564C">
        <w:rPr>
          <w:lang w:val="es-ES"/>
        </w:rPr>
        <w:t xml:space="preserve"> actividades</w:t>
      </w:r>
      <w:r w:rsidR="00BF2FA2" w:rsidRPr="00A8564C">
        <w:rPr>
          <w:lang w:val="es-ES"/>
        </w:rPr>
        <w:t xml:space="preserve">, </w:t>
      </w:r>
      <w:r w:rsidR="00773766" w:rsidRPr="00A8564C">
        <w:rPr>
          <w:lang w:val="es-ES"/>
        </w:rPr>
        <w:t>como</w:t>
      </w:r>
      <w:r w:rsidR="00BF2FA2" w:rsidRPr="00A8564C">
        <w:rPr>
          <w:lang w:val="es-ES"/>
        </w:rPr>
        <w:t xml:space="preserve"> </w:t>
      </w:r>
      <w:r w:rsidRPr="00A8564C">
        <w:rPr>
          <w:lang w:val="es-ES"/>
        </w:rPr>
        <w:t xml:space="preserve">los </w:t>
      </w:r>
      <w:r w:rsidR="00672F4E" w:rsidRPr="00A8564C">
        <w:rPr>
          <w:lang w:val="es-ES"/>
        </w:rPr>
        <w:t>seminarios</w:t>
      </w:r>
      <w:r w:rsidRPr="00A8564C">
        <w:rPr>
          <w:lang w:val="es-ES"/>
        </w:rPr>
        <w:t xml:space="preserve"> itinerantes</w:t>
      </w:r>
      <w:r w:rsidR="00CE7ACE" w:rsidRPr="00A8564C">
        <w:rPr>
          <w:lang w:val="es-ES"/>
        </w:rPr>
        <w:t>,</w:t>
      </w:r>
      <w:r w:rsidR="00773766" w:rsidRPr="00A8564C">
        <w:rPr>
          <w:lang w:val="es-ES"/>
        </w:rPr>
        <w:t xml:space="preserve"> celebrados en</w:t>
      </w:r>
      <w:r w:rsidRPr="00A8564C">
        <w:rPr>
          <w:lang w:val="es-ES"/>
        </w:rPr>
        <w:t xml:space="preserve"> 2</w:t>
      </w:r>
      <w:r w:rsidR="002C70DB" w:rsidRPr="00A8564C">
        <w:rPr>
          <w:lang w:val="es-ES"/>
        </w:rPr>
        <w:t>015</w:t>
      </w:r>
      <w:r w:rsidRPr="00A8564C">
        <w:rPr>
          <w:lang w:val="es-ES"/>
        </w:rPr>
        <w:t xml:space="preserve">.  Una de las actividades </w:t>
      </w:r>
      <w:r w:rsidR="00BF2FA2" w:rsidRPr="00A8564C">
        <w:rPr>
          <w:lang w:val="es-ES"/>
        </w:rPr>
        <w:t xml:space="preserve">más antiguas </w:t>
      </w:r>
      <w:r w:rsidR="00CE7ACE" w:rsidRPr="00A8564C">
        <w:rPr>
          <w:lang w:val="es-ES"/>
        </w:rPr>
        <w:t xml:space="preserve">en el marco de esa colaboración </w:t>
      </w:r>
      <w:r w:rsidRPr="00A8564C">
        <w:rPr>
          <w:lang w:val="es-ES"/>
        </w:rPr>
        <w:t xml:space="preserve">es </w:t>
      </w:r>
      <w:r w:rsidR="00BF2FA2" w:rsidRPr="00A8564C">
        <w:rPr>
          <w:lang w:val="es-ES"/>
        </w:rPr>
        <w:t xml:space="preserve">el </w:t>
      </w:r>
      <w:r w:rsidRPr="00A8564C">
        <w:rPr>
          <w:lang w:val="es-ES"/>
        </w:rPr>
        <w:t xml:space="preserve">curso de </w:t>
      </w:r>
      <w:r w:rsidR="00672F4E" w:rsidRPr="00A8564C">
        <w:rPr>
          <w:lang w:val="es-ES"/>
        </w:rPr>
        <w:t>formación</w:t>
      </w:r>
      <w:r w:rsidRPr="00A8564C">
        <w:rPr>
          <w:lang w:val="es-ES"/>
        </w:rPr>
        <w:t xml:space="preserve"> de </w:t>
      </w:r>
      <w:r w:rsidR="00672F4E" w:rsidRPr="00A8564C">
        <w:rPr>
          <w:lang w:val="es-ES"/>
        </w:rPr>
        <w:t>una</w:t>
      </w:r>
      <w:r w:rsidRPr="00A8564C">
        <w:rPr>
          <w:lang w:val="es-ES"/>
        </w:rPr>
        <w:t xml:space="preserve"> </w:t>
      </w:r>
      <w:r w:rsidR="00672F4E" w:rsidRPr="00A8564C">
        <w:rPr>
          <w:lang w:val="es-ES"/>
        </w:rPr>
        <w:t>semana</w:t>
      </w:r>
      <w:r w:rsidRPr="00A8564C">
        <w:rPr>
          <w:lang w:val="es-ES"/>
        </w:rPr>
        <w:t xml:space="preserve"> sobre la </w:t>
      </w:r>
      <w:r w:rsidR="00672F4E" w:rsidRPr="00A8564C">
        <w:rPr>
          <w:lang w:val="es-ES"/>
        </w:rPr>
        <w:t>búsqueda</w:t>
      </w:r>
      <w:r w:rsidRPr="00A8564C">
        <w:rPr>
          <w:lang w:val="es-ES"/>
        </w:rPr>
        <w:t xml:space="preserve"> y el examen de patentes, </w:t>
      </w:r>
      <w:r w:rsidR="00672F4E" w:rsidRPr="00A8564C">
        <w:rPr>
          <w:lang w:val="es-ES"/>
        </w:rPr>
        <w:t>organizado</w:t>
      </w:r>
      <w:r w:rsidRPr="00A8564C">
        <w:rPr>
          <w:lang w:val="es-ES"/>
        </w:rPr>
        <w:t xml:space="preserve"> </w:t>
      </w:r>
      <w:r w:rsidR="00CE7ACE" w:rsidRPr="00A8564C">
        <w:rPr>
          <w:lang w:val="es-ES"/>
        </w:rPr>
        <w:t xml:space="preserve">conjuntamente </w:t>
      </w:r>
      <w:r w:rsidRPr="00A8564C">
        <w:rPr>
          <w:lang w:val="es-ES"/>
        </w:rPr>
        <w:t xml:space="preserve">por la </w:t>
      </w:r>
      <w:r w:rsidR="00B06CD7" w:rsidRPr="00A8564C">
        <w:rPr>
          <w:lang w:val="es-ES"/>
        </w:rPr>
        <w:t>OMPI</w:t>
      </w:r>
      <w:r w:rsidRPr="00A8564C">
        <w:rPr>
          <w:lang w:val="es-ES"/>
        </w:rPr>
        <w:t xml:space="preserve"> </w:t>
      </w:r>
      <w:r w:rsidR="00CE7ACE" w:rsidRPr="00A8564C">
        <w:rPr>
          <w:lang w:val="es-ES"/>
        </w:rPr>
        <w:t>y</w:t>
      </w:r>
      <w:r w:rsidRPr="00A8564C">
        <w:rPr>
          <w:lang w:val="es-ES"/>
        </w:rPr>
        <w:t xml:space="preserve"> la </w:t>
      </w:r>
      <w:r w:rsidR="00B06CD7" w:rsidRPr="00A8564C">
        <w:rPr>
          <w:lang w:val="es-ES"/>
        </w:rPr>
        <w:t>ILPO</w:t>
      </w:r>
      <w:r w:rsidRPr="00A8564C">
        <w:rPr>
          <w:lang w:val="es-ES"/>
        </w:rPr>
        <w:t xml:space="preserve">, que tiene lugar en la </w:t>
      </w:r>
      <w:r w:rsidR="00BF2FA2" w:rsidRPr="00A8564C">
        <w:rPr>
          <w:lang w:val="es-ES"/>
        </w:rPr>
        <w:t>Oficina</w:t>
      </w:r>
      <w:r w:rsidRPr="00A8564C">
        <w:rPr>
          <w:lang w:val="es-ES"/>
        </w:rPr>
        <w:t xml:space="preserve"> y </w:t>
      </w:r>
      <w:r w:rsidR="00CE7ACE" w:rsidRPr="00A8564C">
        <w:rPr>
          <w:lang w:val="es-ES"/>
        </w:rPr>
        <w:t xml:space="preserve">que </w:t>
      </w:r>
      <w:r w:rsidR="00672F4E" w:rsidRPr="00A8564C">
        <w:rPr>
          <w:lang w:val="es-ES"/>
        </w:rPr>
        <w:t>está destinado</w:t>
      </w:r>
      <w:r w:rsidRPr="00A8564C">
        <w:rPr>
          <w:lang w:val="es-ES"/>
        </w:rPr>
        <w:t xml:space="preserve"> a </w:t>
      </w:r>
      <w:r w:rsidR="00672F4E" w:rsidRPr="00A8564C">
        <w:rPr>
          <w:lang w:val="es-ES"/>
        </w:rPr>
        <w:t>participantes</w:t>
      </w:r>
      <w:r w:rsidRPr="00A8564C">
        <w:rPr>
          <w:lang w:val="es-ES"/>
        </w:rPr>
        <w:t xml:space="preserve"> </w:t>
      </w:r>
      <w:r w:rsidR="00672F4E" w:rsidRPr="00A8564C">
        <w:rPr>
          <w:lang w:val="es-ES"/>
        </w:rPr>
        <w:t>extranjeros</w:t>
      </w:r>
      <w:r w:rsidRPr="00A8564C">
        <w:rPr>
          <w:lang w:val="es-ES"/>
        </w:rPr>
        <w:t xml:space="preserve"> de</w:t>
      </w:r>
      <w:r w:rsidR="00BF2FA2" w:rsidRPr="00A8564C">
        <w:rPr>
          <w:lang w:val="es-ES"/>
        </w:rPr>
        <w:t xml:space="preserve"> </w:t>
      </w:r>
      <w:r w:rsidRPr="00A8564C">
        <w:rPr>
          <w:lang w:val="es-ES"/>
        </w:rPr>
        <w:t xml:space="preserve">la Academia de la OMPI y otras oficinas.  El curso incluye conferencias y talleres </w:t>
      </w:r>
      <w:r w:rsidR="00672F4E" w:rsidRPr="00A8564C">
        <w:rPr>
          <w:lang w:val="es-ES"/>
        </w:rPr>
        <w:t>relacionados</w:t>
      </w:r>
      <w:r w:rsidRPr="00A8564C">
        <w:rPr>
          <w:lang w:val="es-ES"/>
        </w:rPr>
        <w:t xml:space="preserve"> con las </w:t>
      </w:r>
      <w:r w:rsidR="00672F4E" w:rsidRPr="00A8564C">
        <w:rPr>
          <w:lang w:val="es-ES"/>
        </w:rPr>
        <w:t>prácticas</w:t>
      </w:r>
      <w:r w:rsidRPr="00A8564C">
        <w:rPr>
          <w:lang w:val="es-ES"/>
        </w:rPr>
        <w:t xml:space="preserve"> de examen en la</w:t>
      </w:r>
      <w:r w:rsidR="00B06CD7" w:rsidRPr="00A8564C">
        <w:rPr>
          <w:lang w:val="es-ES"/>
        </w:rPr>
        <w:t xml:space="preserve"> ILPO</w:t>
      </w:r>
      <w:r w:rsidRPr="00A8564C">
        <w:rPr>
          <w:lang w:val="es-ES"/>
        </w:rPr>
        <w:t xml:space="preserve">, </w:t>
      </w:r>
      <w:r w:rsidR="00BF2FA2" w:rsidRPr="00A8564C">
        <w:rPr>
          <w:lang w:val="es-ES"/>
        </w:rPr>
        <w:t xml:space="preserve">que </w:t>
      </w:r>
      <w:r w:rsidR="00B07141" w:rsidRPr="00A8564C">
        <w:rPr>
          <w:lang w:val="es-ES"/>
        </w:rPr>
        <w:t xml:space="preserve">hacen especial hincapié en el </w:t>
      </w:r>
      <w:r w:rsidRPr="00A8564C">
        <w:rPr>
          <w:lang w:val="es-ES"/>
        </w:rPr>
        <w:t xml:space="preserve">sector </w:t>
      </w:r>
      <w:r w:rsidR="00672F4E" w:rsidRPr="00A8564C">
        <w:rPr>
          <w:lang w:val="es-ES"/>
        </w:rPr>
        <w:t>farmacéutico</w:t>
      </w:r>
      <w:r w:rsidR="002C70DB" w:rsidRPr="00A8564C">
        <w:rPr>
          <w:lang w:val="es-ES"/>
        </w:rPr>
        <w:t xml:space="preserve">, </w:t>
      </w:r>
      <w:r w:rsidR="00672F4E" w:rsidRPr="00A8564C">
        <w:rPr>
          <w:lang w:val="es-ES"/>
        </w:rPr>
        <w:t>así</w:t>
      </w:r>
      <w:r w:rsidRPr="00A8564C">
        <w:rPr>
          <w:lang w:val="es-ES"/>
        </w:rPr>
        <w:t xml:space="preserve"> como visitas a empresas e instituciones </w:t>
      </w:r>
      <w:r w:rsidR="00672F4E" w:rsidRPr="00A8564C">
        <w:rPr>
          <w:lang w:val="es-ES"/>
        </w:rPr>
        <w:t>académicas</w:t>
      </w:r>
      <w:r w:rsidR="009E7E5E" w:rsidRPr="00A8564C">
        <w:rPr>
          <w:lang w:val="es-ES"/>
        </w:rPr>
        <w:t xml:space="preserve">.  </w:t>
      </w:r>
      <w:r w:rsidRPr="00A8564C">
        <w:rPr>
          <w:lang w:val="es-ES"/>
        </w:rPr>
        <w:t xml:space="preserve">El curso ayuda a comprender los </w:t>
      </w:r>
      <w:r w:rsidR="00B07141" w:rsidRPr="00A8564C">
        <w:rPr>
          <w:lang w:val="es-ES"/>
        </w:rPr>
        <w:t>problemas</w:t>
      </w:r>
      <w:r w:rsidRPr="00A8564C">
        <w:rPr>
          <w:lang w:val="es-ES"/>
        </w:rPr>
        <w:t xml:space="preserve"> </w:t>
      </w:r>
      <w:r w:rsidR="00672F4E" w:rsidRPr="00A8564C">
        <w:rPr>
          <w:lang w:val="es-ES"/>
        </w:rPr>
        <w:t>jurídicos</w:t>
      </w:r>
      <w:r w:rsidRPr="00A8564C">
        <w:rPr>
          <w:lang w:val="es-ES"/>
        </w:rPr>
        <w:t xml:space="preserve"> y </w:t>
      </w:r>
      <w:r w:rsidR="00672F4E" w:rsidRPr="00A8564C">
        <w:rPr>
          <w:lang w:val="es-ES"/>
        </w:rPr>
        <w:t>profesionales</w:t>
      </w:r>
      <w:r w:rsidRPr="00A8564C">
        <w:rPr>
          <w:lang w:val="es-ES"/>
        </w:rPr>
        <w:t xml:space="preserve"> </w:t>
      </w:r>
      <w:r w:rsidR="00672F4E" w:rsidRPr="00A8564C">
        <w:rPr>
          <w:lang w:val="es-ES"/>
        </w:rPr>
        <w:t>relacionados</w:t>
      </w:r>
      <w:r w:rsidRPr="00A8564C">
        <w:rPr>
          <w:lang w:val="es-ES"/>
        </w:rPr>
        <w:t xml:space="preserve"> con las patentes y facilita los debates profesionales y el intercambio de </w:t>
      </w:r>
      <w:r w:rsidR="00672F4E" w:rsidRPr="00A8564C">
        <w:rPr>
          <w:lang w:val="es-ES"/>
        </w:rPr>
        <w:t>información</w:t>
      </w:r>
      <w:r w:rsidRPr="00A8564C">
        <w:rPr>
          <w:lang w:val="es-ES"/>
        </w:rPr>
        <w:t xml:space="preserve"> entre los participantes y los </w:t>
      </w:r>
      <w:r w:rsidR="00672F4E" w:rsidRPr="00A8564C">
        <w:rPr>
          <w:lang w:val="es-ES"/>
        </w:rPr>
        <w:t>examinadores</w:t>
      </w:r>
      <w:r w:rsidRPr="00A8564C">
        <w:rPr>
          <w:lang w:val="es-ES"/>
        </w:rPr>
        <w:t xml:space="preserve"> de la </w:t>
      </w:r>
      <w:r w:rsidR="00B06CD7" w:rsidRPr="00A8564C">
        <w:rPr>
          <w:lang w:val="es-ES"/>
        </w:rPr>
        <w:t>ILPO</w:t>
      </w:r>
      <w:r w:rsidR="009E7E5E" w:rsidRPr="00A8564C">
        <w:rPr>
          <w:lang w:val="es-ES"/>
        </w:rPr>
        <w:t xml:space="preserve">.  </w:t>
      </w:r>
      <w:r w:rsidRPr="00A8564C">
        <w:rPr>
          <w:lang w:val="es-ES"/>
        </w:rPr>
        <w:t xml:space="preserve">El curso de </w:t>
      </w:r>
      <w:r w:rsidR="00672F4E" w:rsidRPr="00A8564C">
        <w:rPr>
          <w:lang w:val="es-ES"/>
        </w:rPr>
        <w:t>formación</w:t>
      </w:r>
      <w:r w:rsidR="00F92A02">
        <w:rPr>
          <w:lang w:val="es-ES"/>
        </w:rPr>
        <w:t xml:space="preserve"> de </w:t>
      </w:r>
      <w:r w:rsidR="002C70DB" w:rsidRPr="00A8564C">
        <w:rPr>
          <w:lang w:val="es-ES"/>
        </w:rPr>
        <w:t xml:space="preserve">2017 </w:t>
      </w:r>
      <w:r w:rsidRPr="00A8564C">
        <w:rPr>
          <w:lang w:val="es-ES"/>
        </w:rPr>
        <w:t xml:space="preserve">se </w:t>
      </w:r>
      <w:r w:rsidR="00672F4E" w:rsidRPr="00A8564C">
        <w:rPr>
          <w:lang w:val="es-ES"/>
        </w:rPr>
        <w:t>centrará</w:t>
      </w:r>
      <w:r w:rsidRPr="00A8564C">
        <w:rPr>
          <w:lang w:val="es-ES"/>
        </w:rPr>
        <w:t xml:space="preserve"> en la </w:t>
      </w:r>
      <w:r w:rsidR="00672F4E" w:rsidRPr="00A8564C">
        <w:rPr>
          <w:lang w:val="es-ES"/>
        </w:rPr>
        <w:t>búsqueda</w:t>
      </w:r>
      <w:r w:rsidRPr="00A8564C">
        <w:rPr>
          <w:lang w:val="es-ES"/>
        </w:rPr>
        <w:t xml:space="preserve"> y el examen de patentes en </w:t>
      </w:r>
      <w:r w:rsidR="00B07141" w:rsidRPr="00A8564C">
        <w:rPr>
          <w:lang w:val="es-ES"/>
        </w:rPr>
        <w:t xml:space="preserve">la esfera de </w:t>
      </w:r>
      <w:r w:rsidRPr="00A8564C">
        <w:rPr>
          <w:lang w:val="es-ES"/>
        </w:rPr>
        <w:t xml:space="preserve">las </w:t>
      </w:r>
      <w:r w:rsidR="00672F4E" w:rsidRPr="00A8564C">
        <w:rPr>
          <w:lang w:val="es-ES"/>
        </w:rPr>
        <w:t>tecnologías</w:t>
      </w:r>
      <w:r w:rsidRPr="00A8564C">
        <w:rPr>
          <w:lang w:val="es-ES"/>
        </w:rPr>
        <w:t xml:space="preserve"> de la </w:t>
      </w:r>
      <w:r w:rsidR="00672F4E" w:rsidRPr="00A8564C">
        <w:rPr>
          <w:lang w:val="es-ES"/>
        </w:rPr>
        <w:t>información</w:t>
      </w:r>
      <w:r w:rsidRPr="00A8564C">
        <w:rPr>
          <w:lang w:val="es-ES"/>
        </w:rPr>
        <w:t xml:space="preserve"> y la </w:t>
      </w:r>
      <w:r w:rsidR="00672F4E" w:rsidRPr="00A8564C">
        <w:rPr>
          <w:lang w:val="es-ES"/>
        </w:rPr>
        <w:t>comunicación</w:t>
      </w:r>
      <w:r w:rsidR="00083531" w:rsidRPr="00A8564C">
        <w:rPr>
          <w:lang w:val="es-ES"/>
        </w:rPr>
        <w:t xml:space="preserve"> y, como ha hecho en el pasado, </w:t>
      </w:r>
      <w:r w:rsidR="00B07141" w:rsidRPr="00A8564C">
        <w:rPr>
          <w:lang w:val="es-ES"/>
        </w:rPr>
        <w:t xml:space="preserve">la Oficina ha invitado directamente a </w:t>
      </w:r>
      <w:r w:rsidR="00083531" w:rsidRPr="00A8564C">
        <w:rPr>
          <w:lang w:val="es-ES"/>
        </w:rPr>
        <w:t xml:space="preserve">los </w:t>
      </w:r>
      <w:r w:rsidR="00672F4E" w:rsidRPr="00A8564C">
        <w:rPr>
          <w:lang w:val="es-ES"/>
        </w:rPr>
        <w:t>representantes</w:t>
      </w:r>
      <w:r w:rsidR="00083531" w:rsidRPr="00A8564C">
        <w:rPr>
          <w:lang w:val="es-ES"/>
        </w:rPr>
        <w:t xml:space="preserve"> de otras </w:t>
      </w:r>
      <w:r w:rsidR="00672F4E" w:rsidRPr="00A8564C">
        <w:rPr>
          <w:lang w:val="es-ES"/>
        </w:rPr>
        <w:t>oficinas</w:t>
      </w:r>
      <w:r w:rsidR="00083531" w:rsidRPr="00A8564C">
        <w:rPr>
          <w:lang w:val="es-ES"/>
        </w:rPr>
        <w:t xml:space="preserve"> de patentes a </w:t>
      </w:r>
      <w:r w:rsidR="00672F4E" w:rsidRPr="00A8564C">
        <w:rPr>
          <w:lang w:val="es-ES"/>
        </w:rPr>
        <w:t>participar</w:t>
      </w:r>
      <w:r w:rsidR="002C70DB" w:rsidRPr="00A8564C">
        <w:rPr>
          <w:lang w:val="es-ES"/>
        </w:rPr>
        <w:t>.</w:t>
      </w:r>
    </w:p>
    <w:p w14:paraId="74BDC7C6" w14:textId="77777777" w:rsidR="002C70DB" w:rsidRPr="00A8564C" w:rsidRDefault="002C70DB" w:rsidP="00A933CF">
      <w:pPr>
        <w:rPr>
          <w:lang w:val="es-ES"/>
        </w:rPr>
      </w:pPr>
    </w:p>
    <w:p w14:paraId="2FA5F915" w14:textId="31EAA992" w:rsidR="002C70DB" w:rsidRPr="00A8564C" w:rsidRDefault="00B07141" w:rsidP="00A933CF">
      <w:pPr>
        <w:rPr>
          <w:lang w:val="es-ES"/>
        </w:rPr>
      </w:pPr>
      <w:r w:rsidRPr="00A8564C">
        <w:rPr>
          <w:lang w:val="es-ES"/>
        </w:rPr>
        <w:t xml:space="preserve">La </w:t>
      </w:r>
      <w:r w:rsidR="00083531" w:rsidRPr="00A8564C">
        <w:rPr>
          <w:lang w:val="es-ES"/>
        </w:rPr>
        <w:t xml:space="preserve">ILPO </w:t>
      </w:r>
      <w:r w:rsidR="00672F2C" w:rsidRPr="00A8564C">
        <w:rPr>
          <w:lang w:val="es-ES"/>
        </w:rPr>
        <w:t xml:space="preserve">ha establecido diversas modalidades de </w:t>
      </w:r>
      <w:r w:rsidR="00672F4E" w:rsidRPr="00A8564C">
        <w:rPr>
          <w:lang w:val="es-ES"/>
        </w:rPr>
        <w:t>cooperación</w:t>
      </w:r>
      <w:r w:rsidR="00083531" w:rsidRPr="00A8564C">
        <w:rPr>
          <w:lang w:val="es-ES"/>
        </w:rPr>
        <w:t xml:space="preserve"> con </w:t>
      </w:r>
      <w:r w:rsidR="00672F2C" w:rsidRPr="00A8564C">
        <w:rPr>
          <w:lang w:val="es-ES"/>
        </w:rPr>
        <w:t>numerosas</w:t>
      </w:r>
      <w:r w:rsidR="00083531" w:rsidRPr="00A8564C">
        <w:rPr>
          <w:lang w:val="es-ES"/>
        </w:rPr>
        <w:t xml:space="preserve"> oficinas </w:t>
      </w:r>
      <w:r w:rsidR="00672F4E" w:rsidRPr="00A8564C">
        <w:rPr>
          <w:lang w:val="es-ES"/>
        </w:rPr>
        <w:t>nacionales</w:t>
      </w:r>
      <w:r w:rsidR="00083531" w:rsidRPr="00A8564C">
        <w:rPr>
          <w:lang w:val="es-ES"/>
        </w:rPr>
        <w:t xml:space="preserve"> de </w:t>
      </w:r>
      <w:r w:rsidR="00184BCD" w:rsidRPr="00A8564C">
        <w:rPr>
          <w:lang w:val="es-ES"/>
        </w:rPr>
        <w:t>P.I.</w:t>
      </w:r>
      <w:r w:rsidR="00672F2C" w:rsidRPr="00A8564C">
        <w:rPr>
          <w:lang w:val="es-ES"/>
        </w:rPr>
        <w:t xml:space="preserve">, entre las cuales están las </w:t>
      </w:r>
      <w:r w:rsidR="00083531" w:rsidRPr="00A8564C">
        <w:rPr>
          <w:lang w:val="es-ES"/>
        </w:rPr>
        <w:t xml:space="preserve">visitas mutuas, </w:t>
      </w:r>
      <w:r w:rsidR="00672F2C" w:rsidRPr="00A8564C">
        <w:rPr>
          <w:lang w:val="es-ES"/>
        </w:rPr>
        <w:t xml:space="preserve">los </w:t>
      </w:r>
      <w:r w:rsidR="00672F4E" w:rsidRPr="00A8564C">
        <w:rPr>
          <w:lang w:val="es-ES"/>
        </w:rPr>
        <w:t>programas</w:t>
      </w:r>
      <w:r w:rsidR="00083531" w:rsidRPr="00A8564C">
        <w:rPr>
          <w:lang w:val="es-ES"/>
        </w:rPr>
        <w:t xml:space="preserve"> de intercambio de examinadores y de </w:t>
      </w:r>
      <w:r w:rsidR="00672F4E" w:rsidRPr="00A8564C">
        <w:rPr>
          <w:lang w:val="es-ES"/>
        </w:rPr>
        <w:t>información</w:t>
      </w:r>
      <w:r w:rsidR="002C70DB" w:rsidRPr="00A8564C">
        <w:rPr>
          <w:lang w:val="es-ES"/>
        </w:rPr>
        <w:t xml:space="preserve"> (</w:t>
      </w:r>
      <w:r w:rsidR="00672F2C" w:rsidRPr="00A8564C">
        <w:rPr>
          <w:lang w:val="es-ES"/>
        </w:rPr>
        <w:t xml:space="preserve">por ejemplo, </w:t>
      </w:r>
      <w:r w:rsidR="00083531" w:rsidRPr="00A8564C">
        <w:rPr>
          <w:lang w:val="es-ES"/>
        </w:rPr>
        <w:t xml:space="preserve">con </w:t>
      </w:r>
      <w:r w:rsidR="002C70DB" w:rsidRPr="00A8564C">
        <w:rPr>
          <w:lang w:val="es-ES"/>
        </w:rPr>
        <w:t xml:space="preserve">SIPO, USPTO, </w:t>
      </w:r>
      <w:r w:rsidR="00B85468">
        <w:rPr>
          <w:lang w:val="es-ES"/>
        </w:rPr>
        <w:t>CIPO</w:t>
      </w:r>
      <w:r w:rsidR="00083531" w:rsidRPr="00A8564C">
        <w:rPr>
          <w:lang w:val="es-ES"/>
        </w:rPr>
        <w:t xml:space="preserve"> y OEP</w:t>
      </w:r>
      <w:r w:rsidR="002C70DB" w:rsidRPr="00A8564C">
        <w:rPr>
          <w:lang w:val="es-ES"/>
        </w:rPr>
        <w:t>)</w:t>
      </w:r>
      <w:r w:rsidR="009E7E5E" w:rsidRPr="00A8564C">
        <w:rPr>
          <w:lang w:val="es-ES"/>
        </w:rPr>
        <w:t xml:space="preserve">.  </w:t>
      </w:r>
      <w:r w:rsidR="00B85468">
        <w:rPr>
          <w:lang w:val="es-ES"/>
        </w:rPr>
        <w:t>Cabe señalar también</w:t>
      </w:r>
      <w:r w:rsidR="00672F2C" w:rsidRPr="00A8564C">
        <w:rPr>
          <w:lang w:val="es-ES"/>
        </w:rPr>
        <w:t xml:space="preserve"> las s</w:t>
      </w:r>
      <w:r w:rsidR="00DC38B9" w:rsidRPr="00A8564C">
        <w:rPr>
          <w:lang w:val="es-ES"/>
        </w:rPr>
        <w:t xml:space="preserve">esiones de </w:t>
      </w:r>
      <w:r w:rsidR="00672F4E" w:rsidRPr="00A8564C">
        <w:rPr>
          <w:lang w:val="es-ES"/>
        </w:rPr>
        <w:t>información</w:t>
      </w:r>
      <w:r w:rsidR="00DC38B9" w:rsidRPr="00A8564C">
        <w:rPr>
          <w:lang w:val="es-ES"/>
        </w:rPr>
        <w:t xml:space="preserve"> </w:t>
      </w:r>
      <w:r w:rsidR="00885167" w:rsidRPr="00A8564C">
        <w:rPr>
          <w:lang w:val="es-ES"/>
        </w:rPr>
        <w:t>pública</w:t>
      </w:r>
      <w:r w:rsidR="00DC38B9" w:rsidRPr="00A8564C">
        <w:rPr>
          <w:lang w:val="es-ES"/>
        </w:rPr>
        <w:t xml:space="preserve"> </w:t>
      </w:r>
      <w:r w:rsidR="00672F2C" w:rsidRPr="00A8564C">
        <w:rPr>
          <w:lang w:val="es-ES"/>
        </w:rPr>
        <w:t xml:space="preserve">organizadas </w:t>
      </w:r>
      <w:r w:rsidR="00DC38B9" w:rsidRPr="00A8564C">
        <w:rPr>
          <w:lang w:val="es-ES"/>
        </w:rPr>
        <w:t>dos veces por año en</w:t>
      </w:r>
      <w:r w:rsidR="002C70DB" w:rsidRPr="00A8564C">
        <w:rPr>
          <w:lang w:val="es-ES"/>
        </w:rPr>
        <w:t xml:space="preserve"> Israel </w:t>
      </w:r>
      <w:r w:rsidR="00672F2C" w:rsidRPr="00A8564C">
        <w:rPr>
          <w:lang w:val="es-ES"/>
        </w:rPr>
        <w:t xml:space="preserve">junto con la USPTO, destinadas a </w:t>
      </w:r>
      <w:r w:rsidR="00DC38B9" w:rsidRPr="00A8564C">
        <w:rPr>
          <w:lang w:val="es-ES"/>
        </w:rPr>
        <w:t xml:space="preserve">promover el uso del </w:t>
      </w:r>
      <w:r w:rsidR="002C70DB" w:rsidRPr="00A8564C">
        <w:rPr>
          <w:lang w:val="es-ES"/>
        </w:rPr>
        <w:t>PPH</w:t>
      </w:r>
      <w:r w:rsidR="00672F2C" w:rsidRPr="00A8564C">
        <w:rPr>
          <w:lang w:val="es-ES"/>
        </w:rPr>
        <w:t>,</w:t>
      </w:r>
      <w:r w:rsidR="002C70DB" w:rsidRPr="00A8564C">
        <w:rPr>
          <w:lang w:val="es-ES"/>
        </w:rPr>
        <w:t xml:space="preserve"> </w:t>
      </w:r>
      <w:r w:rsidR="00DC38B9" w:rsidRPr="00A8564C">
        <w:rPr>
          <w:lang w:val="es-ES"/>
        </w:rPr>
        <w:t xml:space="preserve">y </w:t>
      </w:r>
      <w:r w:rsidR="00672F2C" w:rsidRPr="00A8564C">
        <w:rPr>
          <w:lang w:val="es-ES"/>
        </w:rPr>
        <w:t xml:space="preserve">las visitas periódicas de los examinadores de la OEP, que </w:t>
      </w:r>
      <w:r w:rsidR="00DC38B9" w:rsidRPr="00A8564C">
        <w:rPr>
          <w:lang w:val="es-ES"/>
        </w:rPr>
        <w:t xml:space="preserve">participan en sesiones de </w:t>
      </w:r>
      <w:r w:rsidR="00672F4E" w:rsidRPr="00A8564C">
        <w:rPr>
          <w:lang w:val="es-ES"/>
        </w:rPr>
        <w:t>información</w:t>
      </w:r>
      <w:r w:rsidR="00DC38B9" w:rsidRPr="00A8564C">
        <w:rPr>
          <w:lang w:val="es-ES"/>
        </w:rPr>
        <w:t xml:space="preserve"> </w:t>
      </w:r>
      <w:r w:rsidR="00672F4E" w:rsidRPr="00A8564C">
        <w:rPr>
          <w:lang w:val="es-ES"/>
        </w:rPr>
        <w:t>profesional</w:t>
      </w:r>
      <w:r w:rsidR="00DC38B9" w:rsidRPr="00A8564C">
        <w:rPr>
          <w:lang w:val="es-ES"/>
        </w:rPr>
        <w:t xml:space="preserve"> con </w:t>
      </w:r>
      <w:r w:rsidR="00B85468">
        <w:rPr>
          <w:lang w:val="es-ES"/>
        </w:rPr>
        <w:t>nuestro</w:t>
      </w:r>
      <w:r w:rsidR="00DC38B9" w:rsidRPr="00A8564C">
        <w:rPr>
          <w:lang w:val="es-ES"/>
        </w:rPr>
        <w:t>s examinadores</w:t>
      </w:r>
      <w:r w:rsidR="002C70DB" w:rsidRPr="00A8564C">
        <w:rPr>
          <w:lang w:val="es-ES"/>
        </w:rPr>
        <w:t xml:space="preserve">. </w:t>
      </w:r>
    </w:p>
    <w:p w14:paraId="0D5161BD" w14:textId="49193EF5" w:rsidR="002C70DB" w:rsidRPr="00A8564C" w:rsidRDefault="00FE3058" w:rsidP="00A933CF">
      <w:pPr>
        <w:pStyle w:val="SectionHeading"/>
        <w:rPr>
          <w:lang w:val="es-ES"/>
        </w:rPr>
      </w:pPr>
      <w:r w:rsidRPr="00A8564C">
        <w:rPr>
          <w:lang w:val="es-ES"/>
        </w:rPr>
        <w:t>7</w:t>
      </w:r>
      <w:r w:rsidR="009E7E5E" w:rsidRPr="00A8564C">
        <w:rPr>
          <w:lang w:val="es-ES"/>
        </w:rPr>
        <w:t xml:space="preserve">.  </w:t>
      </w:r>
      <w:r w:rsidR="00DC38B9" w:rsidRPr="00A8564C">
        <w:rPr>
          <w:lang w:val="es-ES"/>
        </w:rPr>
        <w:t>CONCLUSIÓ</w:t>
      </w:r>
      <w:r w:rsidR="00A933CF" w:rsidRPr="00A8564C">
        <w:rPr>
          <w:lang w:val="es-ES"/>
        </w:rPr>
        <w:t>N</w:t>
      </w:r>
    </w:p>
    <w:p w14:paraId="061F519A" w14:textId="18C513D2" w:rsidR="002C70DB" w:rsidRPr="00A8564C" w:rsidRDefault="00DC38B9" w:rsidP="00A933CF">
      <w:pPr>
        <w:rPr>
          <w:lang w:val="es-ES"/>
        </w:rPr>
      </w:pPr>
      <w:r w:rsidRPr="00A8564C">
        <w:rPr>
          <w:lang w:val="es-ES"/>
        </w:rPr>
        <w:t xml:space="preserve">Habida cuenta de lo que precede, la </w:t>
      </w:r>
      <w:r w:rsidR="00B06CD7" w:rsidRPr="00A8564C">
        <w:rPr>
          <w:lang w:val="es-ES"/>
        </w:rPr>
        <w:t>ILPO</w:t>
      </w:r>
      <w:r w:rsidRPr="00A8564C">
        <w:rPr>
          <w:lang w:val="es-ES"/>
        </w:rPr>
        <w:t xml:space="preserve"> considera que ha demostrado su capacidad para cumplir </w:t>
      </w:r>
      <w:r w:rsidR="00672F4E" w:rsidRPr="00A8564C">
        <w:rPr>
          <w:lang w:val="es-ES"/>
        </w:rPr>
        <w:t>todos</w:t>
      </w:r>
      <w:r w:rsidRPr="00A8564C">
        <w:rPr>
          <w:lang w:val="es-ES"/>
        </w:rPr>
        <w:t xml:space="preserve"> los </w:t>
      </w:r>
      <w:r w:rsidR="00672F4E" w:rsidRPr="00A8564C">
        <w:rPr>
          <w:lang w:val="es-ES"/>
        </w:rPr>
        <w:t>requisitos</w:t>
      </w:r>
      <w:r w:rsidRPr="00A8564C">
        <w:rPr>
          <w:lang w:val="es-ES"/>
        </w:rPr>
        <w:t xml:space="preserve"> para seguir </w:t>
      </w:r>
      <w:r w:rsidR="00672F4E" w:rsidRPr="00A8564C">
        <w:rPr>
          <w:lang w:val="es-ES"/>
        </w:rPr>
        <w:t>funcionando</w:t>
      </w:r>
      <w:r w:rsidRPr="00A8564C">
        <w:rPr>
          <w:lang w:val="es-ES"/>
        </w:rPr>
        <w:t xml:space="preserve"> como</w:t>
      </w:r>
      <w:r w:rsidR="002C70DB" w:rsidRPr="00A8564C">
        <w:rPr>
          <w:lang w:val="es-ES"/>
        </w:rPr>
        <w:t xml:space="preserve"> ISA/IPEA </w:t>
      </w:r>
      <w:r w:rsidRPr="00A8564C">
        <w:rPr>
          <w:lang w:val="es-ES"/>
        </w:rPr>
        <w:t xml:space="preserve">en </w:t>
      </w:r>
      <w:r w:rsidR="00672F4E" w:rsidRPr="00A8564C">
        <w:rPr>
          <w:lang w:val="es-ES"/>
        </w:rPr>
        <w:t>virtud</w:t>
      </w:r>
      <w:r w:rsidRPr="00A8564C">
        <w:rPr>
          <w:lang w:val="es-ES"/>
        </w:rPr>
        <w:t xml:space="preserve"> del </w:t>
      </w:r>
      <w:r w:rsidR="002C70DB" w:rsidRPr="00A8564C">
        <w:rPr>
          <w:lang w:val="es-ES"/>
        </w:rPr>
        <w:t>PCT</w:t>
      </w:r>
      <w:r w:rsidR="00B944AE" w:rsidRPr="00A8564C">
        <w:rPr>
          <w:lang w:val="es-ES"/>
        </w:rPr>
        <w:t>,</w:t>
      </w:r>
      <w:r w:rsidR="002C70DB" w:rsidRPr="00A8564C">
        <w:rPr>
          <w:lang w:val="es-ES"/>
        </w:rPr>
        <w:t xml:space="preserve"> </w:t>
      </w:r>
      <w:r w:rsidRPr="00A8564C">
        <w:rPr>
          <w:lang w:val="es-ES"/>
        </w:rPr>
        <w:t xml:space="preserve">y que la prórroga de su </w:t>
      </w:r>
      <w:r w:rsidR="00672F4E" w:rsidRPr="00A8564C">
        <w:rPr>
          <w:lang w:val="es-ES"/>
        </w:rPr>
        <w:t>designación</w:t>
      </w:r>
      <w:r w:rsidRPr="00A8564C">
        <w:rPr>
          <w:lang w:val="es-ES"/>
        </w:rPr>
        <w:t xml:space="preserve"> es necesaria</w:t>
      </w:r>
      <w:r w:rsidR="00C751E4" w:rsidRPr="00A8564C">
        <w:rPr>
          <w:lang w:val="es-ES"/>
        </w:rPr>
        <w:t>, ya que dispone de</w:t>
      </w:r>
      <w:r w:rsidR="002C70DB" w:rsidRPr="00A8564C">
        <w:rPr>
          <w:lang w:val="es-ES"/>
        </w:rPr>
        <w:t>:</w:t>
      </w:r>
    </w:p>
    <w:p w14:paraId="7A8A2E6C" w14:textId="77777777" w:rsidR="00A933CF" w:rsidRPr="00A8564C" w:rsidRDefault="00A933CF" w:rsidP="00A933CF">
      <w:pPr>
        <w:rPr>
          <w:lang w:val="es-ES"/>
        </w:rPr>
      </w:pPr>
    </w:p>
    <w:p w14:paraId="2223EF41" w14:textId="118A8089" w:rsidR="002C70DB" w:rsidRPr="00A8564C" w:rsidRDefault="00A41B96" w:rsidP="00A933CF">
      <w:pPr>
        <w:ind w:left="567" w:hanging="567"/>
        <w:rPr>
          <w:lang w:val="es-ES"/>
        </w:rPr>
      </w:pPr>
      <w:r w:rsidRPr="00A8564C">
        <w:rPr>
          <w:lang w:val="es-ES"/>
        </w:rPr>
        <w:t>-</w:t>
      </w:r>
      <w:r w:rsidRPr="00A8564C">
        <w:rPr>
          <w:lang w:val="es-ES"/>
        </w:rPr>
        <w:tab/>
      </w:r>
      <w:r w:rsidR="00B944AE" w:rsidRPr="00A8564C">
        <w:rPr>
          <w:lang w:val="es-ES"/>
        </w:rPr>
        <w:t xml:space="preserve">una </w:t>
      </w:r>
      <w:r w:rsidR="00C751E4" w:rsidRPr="00A8564C">
        <w:rPr>
          <w:lang w:val="es-ES"/>
        </w:rPr>
        <w:t xml:space="preserve">plantilla </w:t>
      </w:r>
      <w:r w:rsidR="00B944AE" w:rsidRPr="00A8564C">
        <w:rPr>
          <w:lang w:val="es-ES"/>
        </w:rPr>
        <w:t xml:space="preserve">cada vez más numerosa </w:t>
      </w:r>
      <w:r w:rsidR="00C751E4" w:rsidRPr="00A8564C">
        <w:rPr>
          <w:lang w:val="es-ES"/>
        </w:rPr>
        <w:t>d</w:t>
      </w:r>
      <w:r w:rsidR="00B944AE" w:rsidRPr="00A8564C">
        <w:rPr>
          <w:lang w:val="es-ES"/>
        </w:rPr>
        <w:t>e examinadores de patente muy c</w:t>
      </w:r>
      <w:r w:rsidR="00C751E4" w:rsidRPr="00A8564C">
        <w:rPr>
          <w:lang w:val="es-ES"/>
        </w:rPr>
        <w:t>alificados</w:t>
      </w:r>
      <w:r w:rsidR="002C70DB" w:rsidRPr="00A8564C">
        <w:rPr>
          <w:lang w:val="es-ES"/>
        </w:rPr>
        <w:t xml:space="preserve">, </w:t>
      </w:r>
      <w:r w:rsidR="00672F4E" w:rsidRPr="00A8564C">
        <w:rPr>
          <w:lang w:val="es-ES"/>
        </w:rPr>
        <w:t>dinámicos</w:t>
      </w:r>
      <w:r w:rsidR="00C751E4" w:rsidRPr="00A8564C">
        <w:rPr>
          <w:lang w:val="es-ES"/>
        </w:rPr>
        <w:t xml:space="preserve">, motivados </w:t>
      </w:r>
      <w:r w:rsidR="004323AD" w:rsidRPr="00A8564C">
        <w:rPr>
          <w:lang w:val="es-ES"/>
        </w:rPr>
        <w:t>y competentes en to</w:t>
      </w:r>
      <w:r w:rsidR="00C751E4" w:rsidRPr="00A8564C">
        <w:rPr>
          <w:lang w:val="es-ES"/>
        </w:rPr>
        <w:t xml:space="preserve">dos los </w:t>
      </w:r>
      <w:r w:rsidR="00672F4E" w:rsidRPr="00A8564C">
        <w:rPr>
          <w:lang w:val="es-ES"/>
        </w:rPr>
        <w:t>campos técnicos</w:t>
      </w:r>
      <w:r w:rsidR="004323AD" w:rsidRPr="00A8564C">
        <w:rPr>
          <w:lang w:val="es-ES"/>
        </w:rPr>
        <w:t>, que</w:t>
      </w:r>
      <w:r w:rsidR="00C751E4" w:rsidRPr="00A8564C">
        <w:rPr>
          <w:lang w:val="es-ES"/>
        </w:rPr>
        <w:t xml:space="preserve"> son capaces de trabajar en dos o </w:t>
      </w:r>
      <w:r w:rsidR="00672F4E" w:rsidRPr="00A8564C">
        <w:rPr>
          <w:lang w:val="es-ES"/>
        </w:rPr>
        <w:t>más</w:t>
      </w:r>
      <w:r w:rsidR="00C751E4" w:rsidRPr="00A8564C">
        <w:rPr>
          <w:lang w:val="es-ES"/>
        </w:rPr>
        <w:t xml:space="preserve"> idiomas</w:t>
      </w:r>
      <w:r w:rsidR="002C70DB" w:rsidRPr="00A8564C">
        <w:rPr>
          <w:lang w:val="es-ES"/>
        </w:rPr>
        <w:t xml:space="preserve">; </w:t>
      </w:r>
    </w:p>
    <w:p w14:paraId="579E5A91" w14:textId="77777777" w:rsidR="00A933CF" w:rsidRPr="00A8564C" w:rsidRDefault="00A933CF" w:rsidP="00A933CF">
      <w:pPr>
        <w:ind w:left="567" w:hanging="567"/>
        <w:rPr>
          <w:lang w:val="es-ES"/>
        </w:rPr>
      </w:pPr>
    </w:p>
    <w:p w14:paraId="7105513A" w14:textId="5C2FDF27" w:rsidR="002C70DB" w:rsidRPr="00A8564C" w:rsidRDefault="00A41B96" w:rsidP="00A933CF">
      <w:pPr>
        <w:ind w:left="567" w:hanging="567"/>
        <w:rPr>
          <w:lang w:val="es-ES"/>
        </w:rPr>
      </w:pPr>
      <w:r w:rsidRPr="00A8564C">
        <w:rPr>
          <w:lang w:val="es-ES"/>
        </w:rPr>
        <w:t>-</w:t>
      </w:r>
      <w:r w:rsidRPr="00A8564C">
        <w:rPr>
          <w:lang w:val="es-ES"/>
        </w:rPr>
        <w:tab/>
      </w:r>
      <w:r w:rsidR="00C751E4" w:rsidRPr="00A8564C">
        <w:rPr>
          <w:lang w:val="es-ES"/>
        </w:rPr>
        <w:t xml:space="preserve">un sistema de </w:t>
      </w:r>
      <w:r w:rsidR="004323AD" w:rsidRPr="00A8564C">
        <w:rPr>
          <w:lang w:val="es-ES"/>
        </w:rPr>
        <w:t>forma</w:t>
      </w:r>
      <w:r w:rsidR="00672F4E" w:rsidRPr="00A8564C">
        <w:rPr>
          <w:lang w:val="es-ES"/>
        </w:rPr>
        <w:t>ción</w:t>
      </w:r>
      <w:r w:rsidR="00C751E4" w:rsidRPr="00A8564C">
        <w:rPr>
          <w:lang w:val="es-ES"/>
        </w:rPr>
        <w:t xml:space="preserve"> bien organizado</w:t>
      </w:r>
      <w:r w:rsidR="004323AD" w:rsidRPr="00A8564C">
        <w:rPr>
          <w:lang w:val="es-ES"/>
        </w:rPr>
        <w:t>,</w:t>
      </w:r>
      <w:r w:rsidR="00C751E4" w:rsidRPr="00A8564C">
        <w:rPr>
          <w:lang w:val="es-ES"/>
        </w:rPr>
        <w:t xml:space="preserve"> que</w:t>
      </w:r>
      <w:r w:rsidR="004323AD" w:rsidRPr="00A8564C">
        <w:rPr>
          <w:lang w:val="es-ES"/>
        </w:rPr>
        <w:t xml:space="preserve"> asegura</w:t>
      </w:r>
      <w:r w:rsidR="00C751E4" w:rsidRPr="00A8564C">
        <w:rPr>
          <w:lang w:val="es-ES"/>
        </w:rPr>
        <w:t xml:space="preserve"> la </w:t>
      </w:r>
      <w:r w:rsidR="00672F4E" w:rsidRPr="00A8564C">
        <w:rPr>
          <w:lang w:val="es-ES"/>
        </w:rPr>
        <w:t>formación</w:t>
      </w:r>
      <w:r w:rsidR="00C751E4" w:rsidRPr="00A8564C">
        <w:rPr>
          <w:lang w:val="es-ES"/>
        </w:rPr>
        <w:t xml:space="preserve"> </w:t>
      </w:r>
      <w:proofErr w:type="gramStart"/>
      <w:r w:rsidR="00C751E4" w:rsidRPr="00A8564C">
        <w:rPr>
          <w:lang w:val="es-ES"/>
        </w:rPr>
        <w:t>continua</w:t>
      </w:r>
      <w:proofErr w:type="gramEnd"/>
      <w:r w:rsidR="00C751E4" w:rsidRPr="00A8564C">
        <w:rPr>
          <w:lang w:val="es-ES"/>
        </w:rPr>
        <w:t xml:space="preserve"> de los </w:t>
      </w:r>
      <w:r w:rsidR="00B06CD7" w:rsidRPr="00A8564C">
        <w:rPr>
          <w:lang w:val="es-ES"/>
        </w:rPr>
        <w:t>examinadores</w:t>
      </w:r>
      <w:r w:rsidR="002C70DB" w:rsidRPr="00A8564C">
        <w:rPr>
          <w:lang w:val="es-ES"/>
        </w:rPr>
        <w:t xml:space="preserve"> </w:t>
      </w:r>
      <w:r w:rsidR="00C751E4" w:rsidRPr="00A8564C">
        <w:rPr>
          <w:lang w:val="es-ES"/>
        </w:rPr>
        <w:t xml:space="preserve">en todos los aspectos de la </w:t>
      </w:r>
      <w:r w:rsidR="00672F4E" w:rsidRPr="00A8564C">
        <w:rPr>
          <w:lang w:val="es-ES"/>
        </w:rPr>
        <w:t>búsqueda</w:t>
      </w:r>
      <w:r w:rsidR="00C751E4" w:rsidRPr="00A8564C">
        <w:rPr>
          <w:lang w:val="es-ES"/>
        </w:rPr>
        <w:t xml:space="preserve"> y el examen de</w:t>
      </w:r>
      <w:r w:rsidR="002C70DB" w:rsidRPr="00A8564C">
        <w:rPr>
          <w:lang w:val="es-ES"/>
        </w:rPr>
        <w:t xml:space="preserve"> </w:t>
      </w:r>
      <w:r w:rsidR="00C751E4" w:rsidRPr="00A8564C">
        <w:rPr>
          <w:lang w:val="es-ES"/>
        </w:rPr>
        <w:t xml:space="preserve">las </w:t>
      </w:r>
      <w:r w:rsidR="00B06CD7" w:rsidRPr="00A8564C">
        <w:rPr>
          <w:lang w:val="es-ES"/>
        </w:rPr>
        <w:t>solicitudes de patente</w:t>
      </w:r>
      <w:r w:rsidR="004323AD" w:rsidRPr="00A8564C">
        <w:rPr>
          <w:lang w:val="es-ES"/>
        </w:rPr>
        <w:t>,</w:t>
      </w:r>
      <w:r w:rsidR="00C751E4" w:rsidRPr="00A8564C">
        <w:rPr>
          <w:lang w:val="es-ES"/>
        </w:rPr>
        <w:t xml:space="preserve"> y </w:t>
      </w:r>
      <w:r w:rsidR="004323AD" w:rsidRPr="00A8564C">
        <w:rPr>
          <w:lang w:val="es-ES"/>
        </w:rPr>
        <w:t xml:space="preserve">que </w:t>
      </w:r>
      <w:r w:rsidR="00672F4E" w:rsidRPr="00A8564C">
        <w:rPr>
          <w:lang w:val="es-ES"/>
        </w:rPr>
        <w:t>potencia</w:t>
      </w:r>
      <w:r w:rsidR="00C751E4" w:rsidRPr="00A8564C">
        <w:rPr>
          <w:lang w:val="es-ES"/>
        </w:rPr>
        <w:t xml:space="preserve"> y mant</w:t>
      </w:r>
      <w:r w:rsidR="004323AD" w:rsidRPr="00A8564C">
        <w:rPr>
          <w:lang w:val="es-ES"/>
        </w:rPr>
        <w:t>iene</w:t>
      </w:r>
      <w:r w:rsidR="00C751E4" w:rsidRPr="00A8564C">
        <w:rPr>
          <w:lang w:val="es-ES"/>
        </w:rPr>
        <w:t xml:space="preserve"> al </w:t>
      </w:r>
      <w:r w:rsidR="00672F4E" w:rsidRPr="00A8564C">
        <w:rPr>
          <w:lang w:val="es-ES"/>
        </w:rPr>
        <w:t>día</w:t>
      </w:r>
      <w:r w:rsidR="00C751E4" w:rsidRPr="00A8564C">
        <w:rPr>
          <w:lang w:val="es-ES"/>
        </w:rPr>
        <w:t xml:space="preserve"> sus </w:t>
      </w:r>
      <w:r w:rsidR="00672F4E" w:rsidRPr="00A8564C">
        <w:rPr>
          <w:lang w:val="es-ES"/>
        </w:rPr>
        <w:t>conocimientos</w:t>
      </w:r>
      <w:r w:rsidR="00C751E4" w:rsidRPr="00A8564C">
        <w:rPr>
          <w:lang w:val="es-ES"/>
        </w:rPr>
        <w:t xml:space="preserve"> </w:t>
      </w:r>
      <w:r w:rsidR="00672F4E" w:rsidRPr="00A8564C">
        <w:rPr>
          <w:lang w:val="es-ES"/>
        </w:rPr>
        <w:t>científicos</w:t>
      </w:r>
      <w:r w:rsidR="00C751E4" w:rsidRPr="00A8564C">
        <w:rPr>
          <w:lang w:val="es-ES"/>
        </w:rPr>
        <w:t xml:space="preserve"> y </w:t>
      </w:r>
      <w:r w:rsidR="00672F4E" w:rsidRPr="00A8564C">
        <w:rPr>
          <w:lang w:val="es-ES"/>
        </w:rPr>
        <w:t>profesionales</w:t>
      </w:r>
      <w:r w:rsidR="002C70DB" w:rsidRPr="00A8564C">
        <w:rPr>
          <w:lang w:val="es-ES"/>
        </w:rPr>
        <w:t>;</w:t>
      </w:r>
    </w:p>
    <w:p w14:paraId="740A1521" w14:textId="77777777" w:rsidR="00A933CF" w:rsidRPr="00A8564C" w:rsidRDefault="00A933CF" w:rsidP="00A933CF">
      <w:pPr>
        <w:ind w:left="567" w:hanging="567"/>
        <w:rPr>
          <w:lang w:val="es-ES"/>
        </w:rPr>
      </w:pPr>
    </w:p>
    <w:p w14:paraId="41D984F4" w14:textId="64A2EAC0" w:rsidR="002C70DB" w:rsidRPr="00A8564C" w:rsidRDefault="00A41B96" w:rsidP="00A933CF">
      <w:pPr>
        <w:ind w:left="567" w:hanging="567"/>
        <w:rPr>
          <w:lang w:val="es-ES"/>
        </w:rPr>
      </w:pPr>
      <w:r w:rsidRPr="00A8564C">
        <w:rPr>
          <w:lang w:val="es-ES"/>
        </w:rPr>
        <w:t>-</w:t>
      </w:r>
      <w:r w:rsidRPr="00A8564C">
        <w:rPr>
          <w:lang w:val="es-ES"/>
        </w:rPr>
        <w:tab/>
      </w:r>
      <w:r w:rsidR="0030027D" w:rsidRPr="00A8564C">
        <w:rPr>
          <w:lang w:val="es-ES"/>
        </w:rPr>
        <w:t xml:space="preserve">una </w:t>
      </w:r>
      <w:r w:rsidR="00672F4E" w:rsidRPr="00A8564C">
        <w:rPr>
          <w:lang w:val="es-ES"/>
        </w:rPr>
        <w:t>gestión</w:t>
      </w:r>
      <w:r w:rsidR="0030027D" w:rsidRPr="00A8564C">
        <w:rPr>
          <w:lang w:val="es-ES"/>
        </w:rPr>
        <w:t xml:space="preserve"> oportuna de la carga de trabajo y </w:t>
      </w:r>
      <w:r w:rsidR="004323AD" w:rsidRPr="00A8564C">
        <w:rPr>
          <w:lang w:val="es-ES"/>
        </w:rPr>
        <w:t>d</w:t>
      </w:r>
      <w:r w:rsidR="0030027D" w:rsidRPr="00A8564C">
        <w:rPr>
          <w:lang w:val="es-ES"/>
        </w:rPr>
        <w:t>el cumplimiento de los objetivos establecidos por el Gobierno</w:t>
      </w:r>
      <w:r w:rsidR="002C70DB" w:rsidRPr="00A8564C">
        <w:rPr>
          <w:lang w:val="es-ES"/>
        </w:rPr>
        <w:t>;</w:t>
      </w:r>
    </w:p>
    <w:p w14:paraId="50CE691E" w14:textId="77777777" w:rsidR="00A933CF" w:rsidRPr="00A8564C" w:rsidRDefault="00A933CF" w:rsidP="00A933CF">
      <w:pPr>
        <w:ind w:left="567" w:hanging="567"/>
        <w:rPr>
          <w:lang w:val="es-ES"/>
        </w:rPr>
      </w:pPr>
    </w:p>
    <w:p w14:paraId="19A393FE" w14:textId="61CC6945" w:rsidR="002C70DB" w:rsidRPr="00A8564C" w:rsidRDefault="00A41B96" w:rsidP="00A933CF">
      <w:pPr>
        <w:ind w:left="567" w:hanging="567"/>
        <w:rPr>
          <w:lang w:val="es-ES"/>
        </w:rPr>
      </w:pPr>
      <w:r w:rsidRPr="00A8564C">
        <w:rPr>
          <w:lang w:val="es-ES"/>
        </w:rPr>
        <w:t>-</w:t>
      </w:r>
      <w:r w:rsidRPr="00A8564C">
        <w:rPr>
          <w:lang w:val="es-ES"/>
        </w:rPr>
        <w:tab/>
      </w:r>
      <w:r w:rsidR="0030027D" w:rsidRPr="00A8564C">
        <w:rPr>
          <w:lang w:val="es-ES"/>
        </w:rPr>
        <w:t>un sistema automatizado, avanzado, eficaz y moderno</w:t>
      </w:r>
      <w:r w:rsidR="002C70DB" w:rsidRPr="00A8564C">
        <w:rPr>
          <w:lang w:val="es-ES"/>
        </w:rPr>
        <w:t xml:space="preserve">, </w:t>
      </w:r>
      <w:r w:rsidR="0030027D" w:rsidRPr="00A8564C">
        <w:rPr>
          <w:lang w:val="es-ES"/>
        </w:rPr>
        <w:t>que p</w:t>
      </w:r>
      <w:r w:rsidR="004323AD" w:rsidRPr="00A8564C">
        <w:rPr>
          <w:lang w:val="es-ES"/>
        </w:rPr>
        <w:t>osibilita</w:t>
      </w:r>
      <w:r w:rsidR="0030027D" w:rsidRPr="00A8564C">
        <w:rPr>
          <w:lang w:val="es-ES"/>
        </w:rPr>
        <w:t xml:space="preserve"> la </w:t>
      </w:r>
      <w:r w:rsidR="00672F4E" w:rsidRPr="00A8564C">
        <w:rPr>
          <w:lang w:val="es-ES"/>
        </w:rPr>
        <w:t>presentación</w:t>
      </w:r>
      <w:r w:rsidR="0030027D" w:rsidRPr="00A8564C">
        <w:rPr>
          <w:lang w:val="es-ES"/>
        </w:rPr>
        <w:t xml:space="preserve"> </w:t>
      </w:r>
      <w:r w:rsidR="004323AD" w:rsidRPr="00A8564C">
        <w:rPr>
          <w:lang w:val="es-ES"/>
        </w:rPr>
        <w:t xml:space="preserve">enteramente electrónica </w:t>
      </w:r>
      <w:r w:rsidR="0030027D" w:rsidRPr="00A8564C">
        <w:rPr>
          <w:lang w:val="es-ES"/>
        </w:rPr>
        <w:t xml:space="preserve">de </w:t>
      </w:r>
      <w:r w:rsidR="004323AD" w:rsidRPr="00A8564C">
        <w:rPr>
          <w:lang w:val="es-ES"/>
        </w:rPr>
        <w:t xml:space="preserve">las </w:t>
      </w:r>
      <w:r w:rsidR="0030027D" w:rsidRPr="00A8564C">
        <w:rPr>
          <w:lang w:val="es-ES"/>
        </w:rPr>
        <w:t xml:space="preserve">solicitudes y </w:t>
      </w:r>
      <w:r w:rsidR="00672F4E" w:rsidRPr="00A8564C">
        <w:rPr>
          <w:lang w:val="es-ES"/>
        </w:rPr>
        <w:t>comunicaciones</w:t>
      </w:r>
      <w:r w:rsidR="002C70DB" w:rsidRPr="00A8564C">
        <w:rPr>
          <w:lang w:val="es-ES"/>
        </w:rPr>
        <w:t xml:space="preserve">, </w:t>
      </w:r>
      <w:r w:rsidR="004323AD" w:rsidRPr="00A8564C">
        <w:rPr>
          <w:lang w:val="es-ES"/>
        </w:rPr>
        <w:t>la</w:t>
      </w:r>
      <w:r w:rsidR="0030027D" w:rsidRPr="00A8564C">
        <w:rPr>
          <w:lang w:val="es-ES"/>
        </w:rPr>
        <w:t xml:space="preserve"> </w:t>
      </w:r>
      <w:r w:rsidR="00672F4E" w:rsidRPr="00A8564C">
        <w:rPr>
          <w:lang w:val="es-ES"/>
        </w:rPr>
        <w:t>tramitación</w:t>
      </w:r>
      <w:r w:rsidR="0030027D" w:rsidRPr="00A8564C">
        <w:rPr>
          <w:lang w:val="es-ES"/>
        </w:rPr>
        <w:t xml:space="preserve"> de las solicitudes de </w:t>
      </w:r>
      <w:r w:rsidR="00672F4E" w:rsidRPr="00A8564C">
        <w:rPr>
          <w:lang w:val="es-ES"/>
        </w:rPr>
        <w:t>patentes</w:t>
      </w:r>
      <w:r w:rsidR="0030027D" w:rsidRPr="00A8564C">
        <w:rPr>
          <w:lang w:val="es-ES"/>
        </w:rPr>
        <w:t xml:space="preserve"> </w:t>
      </w:r>
      <w:r w:rsidR="00672F4E" w:rsidRPr="00A8564C">
        <w:rPr>
          <w:lang w:val="es-ES"/>
        </w:rPr>
        <w:t>nacionales</w:t>
      </w:r>
      <w:r w:rsidR="0030027D" w:rsidRPr="00A8564C">
        <w:rPr>
          <w:lang w:val="es-ES"/>
        </w:rPr>
        <w:t xml:space="preserve"> e </w:t>
      </w:r>
      <w:r w:rsidR="00672F4E" w:rsidRPr="00A8564C">
        <w:rPr>
          <w:lang w:val="es-ES"/>
        </w:rPr>
        <w:t>internacionales</w:t>
      </w:r>
      <w:r w:rsidR="0030027D" w:rsidRPr="00A8564C">
        <w:rPr>
          <w:lang w:val="es-ES"/>
        </w:rPr>
        <w:t xml:space="preserve"> centrada en tareas </w:t>
      </w:r>
      <w:r w:rsidR="00672F4E" w:rsidRPr="00A8564C">
        <w:rPr>
          <w:lang w:val="es-ES"/>
        </w:rPr>
        <w:t>específicas</w:t>
      </w:r>
      <w:r w:rsidR="0030027D" w:rsidRPr="00A8564C">
        <w:rPr>
          <w:lang w:val="es-ES"/>
        </w:rPr>
        <w:t xml:space="preserve"> y sin papel, y </w:t>
      </w:r>
      <w:r w:rsidR="004323AD" w:rsidRPr="00A8564C">
        <w:rPr>
          <w:lang w:val="es-ES"/>
        </w:rPr>
        <w:t xml:space="preserve">que prevé la </w:t>
      </w:r>
      <w:r w:rsidR="0030027D" w:rsidRPr="00A8564C">
        <w:rPr>
          <w:lang w:val="es-ES"/>
        </w:rPr>
        <w:t xml:space="preserve">flexibilidad </w:t>
      </w:r>
      <w:r w:rsidR="004323AD" w:rsidRPr="00A8564C">
        <w:rPr>
          <w:lang w:val="es-ES"/>
        </w:rPr>
        <w:t xml:space="preserve">necesaria </w:t>
      </w:r>
      <w:r w:rsidR="0030027D" w:rsidRPr="00A8564C">
        <w:rPr>
          <w:lang w:val="es-ES"/>
        </w:rPr>
        <w:t>para efectuar mejoras en caso necesario;</w:t>
      </w:r>
      <w:r w:rsidR="002C70DB" w:rsidRPr="00A8564C">
        <w:rPr>
          <w:lang w:val="es-ES"/>
        </w:rPr>
        <w:t xml:space="preserve"> </w:t>
      </w:r>
    </w:p>
    <w:p w14:paraId="337146EC" w14:textId="77777777" w:rsidR="00A933CF" w:rsidRPr="00A8564C" w:rsidRDefault="00A933CF" w:rsidP="00A933CF">
      <w:pPr>
        <w:ind w:left="567" w:hanging="567"/>
        <w:rPr>
          <w:lang w:val="es-ES"/>
        </w:rPr>
      </w:pPr>
    </w:p>
    <w:p w14:paraId="1BBAA8CC" w14:textId="40F09AE4" w:rsidR="002C70DB" w:rsidRPr="00A8564C" w:rsidRDefault="00A41B96" w:rsidP="00A933CF">
      <w:pPr>
        <w:ind w:left="567" w:hanging="567"/>
        <w:rPr>
          <w:lang w:val="es-ES"/>
        </w:rPr>
      </w:pPr>
      <w:r w:rsidRPr="00A8564C">
        <w:rPr>
          <w:lang w:val="es-ES"/>
        </w:rPr>
        <w:t>-</w:t>
      </w:r>
      <w:r w:rsidRPr="00A8564C">
        <w:rPr>
          <w:lang w:val="es-ES"/>
        </w:rPr>
        <w:tab/>
      </w:r>
      <w:r w:rsidR="0030027D" w:rsidRPr="00A8564C">
        <w:rPr>
          <w:lang w:val="es-ES"/>
        </w:rPr>
        <w:t xml:space="preserve">bases de datos </w:t>
      </w:r>
      <w:r w:rsidR="004323AD" w:rsidRPr="00A8564C">
        <w:rPr>
          <w:lang w:val="es-ES"/>
        </w:rPr>
        <w:t xml:space="preserve">avanzadas </w:t>
      </w:r>
      <w:r w:rsidR="0030027D" w:rsidRPr="00A8564C">
        <w:rPr>
          <w:lang w:val="es-ES"/>
        </w:rPr>
        <w:t xml:space="preserve">para la </w:t>
      </w:r>
      <w:r w:rsidR="00672F4E" w:rsidRPr="00A8564C">
        <w:rPr>
          <w:lang w:val="es-ES"/>
        </w:rPr>
        <w:t>búsqueda</w:t>
      </w:r>
      <w:r w:rsidR="004323AD" w:rsidRPr="00A8564C">
        <w:rPr>
          <w:lang w:val="es-ES"/>
        </w:rPr>
        <w:t>,</w:t>
      </w:r>
      <w:r w:rsidR="0030027D" w:rsidRPr="00A8564C">
        <w:rPr>
          <w:lang w:val="es-ES"/>
        </w:rPr>
        <w:t xml:space="preserve"> en todos los campos </w:t>
      </w:r>
      <w:r w:rsidR="00672F4E" w:rsidRPr="00A8564C">
        <w:rPr>
          <w:lang w:val="es-ES"/>
        </w:rPr>
        <w:t>técnicos</w:t>
      </w:r>
      <w:r w:rsidR="004323AD" w:rsidRPr="00A8564C">
        <w:rPr>
          <w:lang w:val="es-ES"/>
        </w:rPr>
        <w:t>,</w:t>
      </w:r>
      <w:r w:rsidR="0030027D" w:rsidRPr="00A8564C">
        <w:rPr>
          <w:lang w:val="es-ES"/>
        </w:rPr>
        <w:t xml:space="preserve"> en </w:t>
      </w:r>
      <w:r w:rsidR="00672F4E" w:rsidRPr="00A8564C">
        <w:rPr>
          <w:lang w:val="es-ES"/>
        </w:rPr>
        <w:t>document</w:t>
      </w:r>
      <w:r w:rsidR="004323AD" w:rsidRPr="00A8564C">
        <w:rPr>
          <w:lang w:val="es-ES"/>
        </w:rPr>
        <w:t>os</w:t>
      </w:r>
      <w:r w:rsidR="0030027D" w:rsidRPr="00A8564C">
        <w:rPr>
          <w:lang w:val="es-ES"/>
        </w:rPr>
        <w:t xml:space="preserve"> relacionad</w:t>
      </w:r>
      <w:r w:rsidR="004323AD" w:rsidRPr="00A8564C">
        <w:rPr>
          <w:lang w:val="es-ES"/>
        </w:rPr>
        <w:t>os</w:t>
      </w:r>
      <w:r w:rsidR="0030027D" w:rsidRPr="00A8564C">
        <w:rPr>
          <w:lang w:val="es-ES"/>
        </w:rPr>
        <w:t xml:space="preserve"> o no </w:t>
      </w:r>
      <w:r w:rsidR="004323AD" w:rsidRPr="00A8564C">
        <w:rPr>
          <w:lang w:val="es-ES"/>
        </w:rPr>
        <w:t xml:space="preserve">relacionados </w:t>
      </w:r>
      <w:r w:rsidR="0030027D" w:rsidRPr="00A8564C">
        <w:rPr>
          <w:lang w:val="es-ES"/>
        </w:rPr>
        <w:t xml:space="preserve">con </w:t>
      </w:r>
      <w:r w:rsidR="00672F4E" w:rsidRPr="00A8564C">
        <w:rPr>
          <w:lang w:val="es-ES"/>
        </w:rPr>
        <w:t>patentes</w:t>
      </w:r>
      <w:r w:rsidR="002C70DB" w:rsidRPr="00A8564C">
        <w:rPr>
          <w:lang w:val="es-ES"/>
        </w:rPr>
        <w:t xml:space="preserve">, </w:t>
      </w:r>
      <w:r w:rsidR="0030027D" w:rsidRPr="00A8564C">
        <w:rPr>
          <w:lang w:val="es-ES"/>
        </w:rPr>
        <w:t>que ofrece</w:t>
      </w:r>
      <w:r w:rsidR="00D11421" w:rsidRPr="00A8564C">
        <w:rPr>
          <w:lang w:val="es-ES"/>
        </w:rPr>
        <w:t>n</w:t>
      </w:r>
      <w:r w:rsidR="0030027D" w:rsidRPr="00A8564C">
        <w:rPr>
          <w:lang w:val="es-ES"/>
        </w:rPr>
        <w:t xml:space="preserve"> una cobertura que excede ampliamente el criterio de </w:t>
      </w:r>
      <w:r w:rsidR="00672F4E" w:rsidRPr="00A8564C">
        <w:rPr>
          <w:lang w:val="es-ES"/>
        </w:rPr>
        <w:t>documentación</w:t>
      </w:r>
      <w:r w:rsidR="00AA330B" w:rsidRPr="00A8564C">
        <w:rPr>
          <w:lang w:val="es-ES"/>
        </w:rPr>
        <w:t xml:space="preserve"> </w:t>
      </w:r>
      <w:r w:rsidR="00672F4E" w:rsidRPr="00A8564C">
        <w:rPr>
          <w:lang w:val="es-ES"/>
        </w:rPr>
        <w:t>mínima</w:t>
      </w:r>
      <w:r w:rsidR="00AA330B" w:rsidRPr="00A8564C">
        <w:rPr>
          <w:lang w:val="es-ES"/>
        </w:rPr>
        <w:t xml:space="preserve"> del </w:t>
      </w:r>
      <w:r w:rsidR="002C70DB" w:rsidRPr="00A8564C">
        <w:rPr>
          <w:lang w:val="es-ES"/>
        </w:rPr>
        <w:t xml:space="preserve">PCT; </w:t>
      </w:r>
      <w:r w:rsidR="0030027D" w:rsidRPr="00A8564C">
        <w:rPr>
          <w:lang w:val="es-ES"/>
        </w:rPr>
        <w:t xml:space="preserve">un </w:t>
      </w:r>
      <w:r w:rsidR="00672F4E" w:rsidRPr="00A8564C">
        <w:rPr>
          <w:lang w:val="es-ES"/>
        </w:rPr>
        <w:t>sistema</w:t>
      </w:r>
      <w:r w:rsidR="0030027D" w:rsidRPr="00A8564C">
        <w:rPr>
          <w:lang w:val="es-ES"/>
        </w:rPr>
        <w:t xml:space="preserve"> de </w:t>
      </w:r>
      <w:r w:rsidR="00672F4E" w:rsidRPr="00A8564C">
        <w:rPr>
          <w:lang w:val="es-ES"/>
        </w:rPr>
        <w:t>gestión</w:t>
      </w:r>
      <w:r w:rsidR="0030027D" w:rsidRPr="00A8564C">
        <w:rPr>
          <w:lang w:val="es-ES"/>
        </w:rPr>
        <w:t xml:space="preserve"> de la calidad bien implantado que cumple la norma ISO 9001:2015, </w:t>
      </w:r>
      <w:r w:rsidR="00672F4E" w:rsidRPr="00A8564C">
        <w:rPr>
          <w:lang w:val="es-ES"/>
        </w:rPr>
        <w:t>además</w:t>
      </w:r>
      <w:r w:rsidR="0030027D" w:rsidRPr="00A8564C">
        <w:rPr>
          <w:lang w:val="es-ES"/>
        </w:rPr>
        <w:t xml:space="preserve"> de </w:t>
      </w:r>
      <w:r w:rsidR="00D11421" w:rsidRPr="00A8564C">
        <w:rPr>
          <w:lang w:val="es-ES"/>
        </w:rPr>
        <w:t xml:space="preserve">los </w:t>
      </w:r>
      <w:r w:rsidR="00672F4E" w:rsidRPr="00A8564C">
        <w:rPr>
          <w:lang w:val="es-ES"/>
        </w:rPr>
        <w:t>mecanismo</w:t>
      </w:r>
      <w:r w:rsidR="00D11421" w:rsidRPr="00A8564C">
        <w:rPr>
          <w:lang w:val="es-ES"/>
        </w:rPr>
        <w:t>s</w:t>
      </w:r>
      <w:r w:rsidR="0030027D" w:rsidRPr="00A8564C">
        <w:rPr>
          <w:lang w:val="es-ES"/>
        </w:rPr>
        <w:t xml:space="preserve"> de </w:t>
      </w:r>
      <w:r w:rsidR="00672F4E" w:rsidRPr="00A8564C">
        <w:rPr>
          <w:lang w:val="es-ES"/>
        </w:rPr>
        <w:t>revisión</w:t>
      </w:r>
      <w:r w:rsidR="0030027D" w:rsidRPr="00A8564C">
        <w:rPr>
          <w:lang w:val="es-ES"/>
        </w:rPr>
        <w:t xml:space="preserve"> interna</w:t>
      </w:r>
      <w:r w:rsidR="002C70DB" w:rsidRPr="00A8564C">
        <w:rPr>
          <w:lang w:val="es-ES"/>
        </w:rPr>
        <w:t xml:space="preserve">; </w:t>
      </w:r>
    </w:p>
    <w:p w14:paraId="62EA6483" w14:textId="77777777" w:rsidR="00A933CF" w:rsidRPr="00A8564C" w:rsidRDefault="00A933CF" w:rsidP="00A933CF">
      <w:pPr>
        <w:ind w:left="567" w:hanging="567"/>
        <w:rPr>
          <w:lang w:val="es-ES"/>
        </w:rPr>
      </w:pPr>
    </w:p>
    <w:p w14:paraId="551EDD97" w14:textId="47D44C81" w:rsidR="002C70DB" w:rsidRPr="00A8564C" w:rsidRDefault="00A41B96" w:rsidP="00A933CF">
      <w:pPr>
        <w:ind w:left="567" w:hanging="567"/>
        <w:rPr>
          <w:lang w:val="es-ES"/>
        </w:rPr>
      </w:pPr>
      <w:r w:rsidRPr="00A8564C">
        <w:rPr>
          <w:lang w:val="es-ES"/>
        </w:rPr>
        <w:t>-</w:t>
      </w:r>
      <w:r w:rsidRPr="00A8564C">
        <w:rPr>
          <w:lang w:val="es-ES"/>
        </w:rPr>
        <w:tab/>
      </w:r>
      <w:r w:rsidR="00295ACB" w:rsidRPr="00A8564C">
        <w:rPr>
          <w:lang w:val="es-ES"/>
        </w:rPr>
        <w:t>di</w:t>
      </w:r>
      <w:r w:rsidR="0030027D" w:rsidRPr="00A8564C">
        <w:rPr>
          <w:lang w:val="es-ES"/>
        </w:rPr>
        <w:t xml:space="preserve">sponibilidad y </w:t>
      </w:r>
      <w:r w:rsidR="00672F4E" w:rsidRPr="00A8564C">
        <w:rPr>
          <w:lang w:val="es-ES"/>
        </w:rPr>
        <w:t>flexibilidad</w:t>
      </w:r>
      <w:r w:rsidR="0030027D" w:rsidRPr="00A8564C">
        <w:rPr>
          <w:lang w:val="es-ES"/>
        </w:rPr>
        <w:t xml:space="preserve"> para </w:t>
      </w:r>
      <w:r w:rsidR="00672F4E" w:rsidRPr="00A8564C">
        <w:rPr>
          <w:lang w:val="es-ES"/>
        </w:rPr>
        <w:t>adoptar</w:t>
      </w:r>
      <w:r w:rsidR="0030027D" w:rsidRPr="00A8564C">
        <w:rPr>
          <w:lang w:val="es-ES"/>
        </w:rPr>
        <w:t xml:space="preserve"> cambios de procedimiento y de </w:t>
      </w:r>
      <w:r w:rsidR="00672F4E" w:rsidRPr="00A8564C">
        <w:rPr>
          <w:lang w:val="es-ES"/>
        </w:rPr>
        <w:t>automatización</w:t>
      </w:r>
      <w:r w:rsidR="0030027D" w:rsidRPr="00A8564C">
        <w:rPr>
          <w:lang w:val="es-ES"/>
        </w:rPr>
        <w:t xml:space="preserve">, e iniciativas para la mejora del </w:t>
      </w:r>
      <w:r w:rsidR="002C70DB" w:rsidRPr="00A8564C">
        <w:rPr>
          <w:lang w:val="es-ES"/>
        </w:rPr>
        <w:t>PCT</w:t>
      </w:r>
      <w:r w:rsidR="00295ACB" w:rsidRPr="00A8564C">
        <w:rPr>
          <w:lang w:val="es-ES"/>
        </w:rPr>
        <w:t>, sin el apoy</w:t>
      </w:r>
      <w:r w:rsidR="00D11421" w:rsidRPr="00A8564C">
        <w:rPr>
          <w:lang w:val="es-ES"/>
        </w:rPr>
        <w:t>o o con apoyo puramente nominal</w:t>
      </w:r>
      <w:r w:rsidR="00295ACB" w:rsidRPr="00A8564C">
        <w:rPr>
          <w:lang w:val="es-ES"/>
        </w:rPr>
        <w:t xml:space="preserve"> de la </w:t>
      </w:r>
      <w:r w:rsidR="00B06CD7" w:rsidRPr="00A8564C">
        <w:rPr>
          <w:lang w:val="es-ES"/>
        </w:rPr>
        <w:t>OMPI</w:t>
      </w:r>
      <w:r w:rsidR="00295ACB" w:rsidRPr="00A8564C">
        <w:rPr>
          <w:lang w:val="es-ES"/>
        </w:rPr>
        <w:t xml:space="preserve"> </w:t>
      </w:r>
      <w:r w:rsidR="00D11421" w:rsidRPr="00A8564C">
        <w:rPr>
          <w:lang w:val="es-ES"/>
        </w:rPr>
        <w:t xml:space="preserve">o de </w:t>
      </w:r>
      <w:r w:rsidR="00295ACB" w:rsidRPr="00A8564C">
        <w:rPr>
          <w:lang w:val="es-ES"/>
        </w:rPr>
        <w:t xml:space="preserve">otras </w:t>
      </w:r>
      <w:r w:rsidR="00672F4E" w:rsidRPr="00A8564C">
        <w:rPr>
          <w:lang w:val="es-ES"/>
        </w:rPr>
        <w:t>administraciones</w:t>
      </w:r>
      <w:r w:rsidR="00295ACB" w:rsidRPr="00A8564C">
        <w:rPr>
          <w:lang w:val="es-ES"/>
        </w:rPr>
        <w:t xml:space="preserve"> </w:t>
      </w:r>
      <w:r w:rsidR="00672F4E" w:rsidRPr="00A8564C">
        <w:rPr>
          <w:lang w:val="es-ES"/>
        </w:rPr>
        <w:t>internacionales</w:t>
      </w:r>
      <w:r w:rsidR="00295ACB" w:rsidRPr="00A8564C">
        <w:rPr>
          <w:lang w:val="es-ES"/>
        </w:rPr>
        <w:t xml:space="preserve"> y </w:t>
      </w:r>
      <w:r w:rsidR="00672F4E" w:rsidRPr="00A8564C">
        <w:rPr>
          <w:lang w:val="es-ES"/>
        </w:rPr>
        <w:t>Estados</w:t>
      </w:r>
      <w:r w:rsidR="00295ACB" w:rsidRPr="00A8564C">
        <w:rPr>
          <w:lang w:val="es-ES"/>
        </w:rPr>
        <w:t xml:space="preserve"> </w:t>
      </w:r>
      <w:r w:rsidR="00672F4E" w:rsidRPr="00A8564C">
        <w:rPr>
          <w:lang w:val="es-ES"/>
        </w:rPr>
        <w:t>miembros</w:t>
      </w:r>
      <w:r w:rsidR="00295ACB" w:rsidRPr="00A8564C">
        <w:rPr>
          <w:lang w:val="es-ES"/>
        </w:rPr>
        <w:t xml:space="preserve">, </w:t>
      </w:r>
      <w:r w:rsidR="00D11421" w:rsidRPr="00A8564C">
        <w:rPr>
          <w:lang w:val="es-ES"/>
        </w:rPr>
        <w:t>manteniendo</w:t>
      </w:r>
      <w:r w:rsidR="00672F4E" w:rsidRPr="00A8564C">
        <w:rPr>
          <w:lang w:val="es-ES"/>
        </w:rPr>
        <w:t>,</w:t>
      </w:r>
      <w:r w:rsidR="00295ACB" w:rsidRPr="00A8564C">
        <w:rPr>
          <w:lang w:val="es-ES"/>
        </w:rPr>
        <w:t xml:space="preserve"> </w:t>
      </w:r>
      <w:r w:rsidR="00D11421" w:rsidRPr="00A8564C">
        <w:rPr>
          <w:lang w:val="es-ES"/>
        </w:rPr>
        <w:t>no obstante</w:t>
      </w:r>
      <w:r w:rsidR="00295ACB" w:rsidRPr="00A8564C">
        <w:rPr>
          <w:lang w:val="es-ES"/>
        </w:rPr>
        <w:t>, la capacidad para ayuda</w:t>
      </w:r>
      <w:r w:rsidR="00D11421" w:rsidRPr="00A8564C">
        <w:rPr>
          <w:lang w:val="es-ES"/>
        </w:rPr>
        <w:t>r</w:t>
      </w:r>
      <w:r w:rsidR="00295ACB" w:rsidRPr="00A8564C">
        <w:rPr>
          <w:lang w:val="es-ES"/>
        </w:rPr>
        <w:t xml:space="preserve"> a otros</w:t>
      </w:r>
      <w:r w:rsidR="002C70DB" w:rsidRPr="00A8564C">
        <w:rPr>
          <w:lang w:val="es-ES"/>
        </w:rPr>
        <w:t>;</w:t>
      </w:r>
    </w:p>
    <w:p w14:paraId="1C27C831" w14:textId="77777777" w:rsidR="00A933CF" w:rsidRPr="00A8564C" w:rsidRDefault="00A933CF" w:rsidP="00A933CF">
      <w:pPr>
        <w:ind w:left="567" w:hanging="567"/>
        <w:rPr>
          <w:lang w:val="es-ES"/>
        </w:rPr>
      </w:pPr>
    </w:p>
    <w:p w14:paraId="3D37CD94" w14:textId="54AC21A1" w:rsidR="002C70DB" w:rsidRPr="00A8564C" w:rsidRDefault="00A41B96" w:rsidP="00A933CF">
      <w:pPr>
        <w:ind w:left="567" w:hanging="567"/>
        <w:rPr>
          <w:lang w:val="es-ES"/>
        </w:rPr>
      </w:pPr>
      <w:r w:rsidRPr="00A8564C">
        <w:rPr>
          <w:lang w:val="es-ES"/>
        </w:rPr>
        <w:t>-</w:t>
      </w:r>
      <w:r w:rsidRPr="00A8564C">
        <w:rPr>
          <w:lang w:val="es-ES"/>
        </w:rPr>
        <w:tab/>
      </w:r>
      <w:r w:rsidR="00295ACB" w:rsidRPr="00A8564C">
        <w:rPr>
          <w:lang w:val="es-ES"/>
        </w:rPr>
        <w:t xml:space="preserve">apertura a la </w:t>
      </w:r>
      <w:r w:rsidR="00672F4E" w:rsidRPr="00A8564C">
        <w:rPr>
          <w:lang w:val="es-ES"/>
        </w:rPr>
        <w:t>cooperación</w:t>
      </w:r>
      <w:r w:rsidR="00295ACB" w:rsidRPr="00A8564C">
        <w:rPr>
          <w:lang w:val="es-ES"/>
        </w:rPr>
        <w:t xml:space="preserve"> internacional (como </w:t>
      </w:r>
      <w:r w:rsidR="00D11421" w:rsidRPr="00A8564C">
        <w:rPr>
          <w:lang w:val="es-ES"/>
        </w:rPr>
        <w:t>el reparto</w:t>
      </w:r>
      <w:r w:rsidR="00295ACB" w:rsidRPr="00A8564C">
        <w:rPr>
          <w:lang w:val="es-ES"/>
        </w:rPr>
        <w:t xml:space="preserve"> de tareas</w:t>
      </w:r>
      <w:r w:rsidR="002C70DB" w:rsidRPr="00A8564C">
        <w:rPr>
          <w:lang w:val="es-ES"/>
        </w:rPr>
        <w:t xml:space="preserve">, </w:t>
      </w:r>
      <w:r w:rsidR="00295ACB" w:rsidRPr="00A8564C">
        <w:rPr>
          <w:lang w:val="es-ES"/>
        </w:rPr>
        <w:t xml:space="preserve">intercambio de </w:t>
      </w:r>
      <w:r w:rsidR="00672F4E" w:rsidRPr="00A8564C">
        <w:rPr>
          <w:lang w:val="es-ES"/>
        </w:rPr>
        <w:t>información</w:t>
      </w:r>
      <w:r w:rsidR="00295ACB" w:rsidRPr="00A8564C">
        <w:rPr>
          <w:lang w:val="es-ES"/>
        </w:rPr>
        <w:t xml:space="preserve">, </w:t>
      </w:r>
      <w:r w:rsidR="00672F4E" w:rsidRPr="00A8564C">
        <w:rPr>
          <w:lang w:val="es-ES"/>
        </w:rPr>
        <w:t>participación</w:t>
      </w:r>
      <w:r w:rsidR="00295ACB" w:rsidRPr="00A8564C">
        <w:rPr>
          <w:lang w:val="es-ES"/>
        </w:rPr>
        <w:t xml:space="preserve"> en debates internacionales</w:t>
      </w:r>
      <w:r w:rsidR="002C70DB" w:rsidRPr="00A8564C">
        <w:rPr>
          <w:lang w:val="es-ES"/>
        </w:rPr>
        <w:t xml:space="preserve">); </w:t>
      </w:r>
    </w:p>
    <w:p w14:paraId="20D66F13" w14:textId="77777777" w:rsidR="00A933CF" w:rsidRPr="00A8564C" w:rsidRDefault="00A933CF" w:rsidP="00A933CF">
      <w:pPr>
        <w:ind w:left="567" w:hanging="567"/>
        <w:rPr>
          <w:lang w:val="es-ES"/>
        </w:rPr>
      </w:pPr>
    </w:p>
    <w:p w14:paraId="5D6FEA3E" w14:textId="3D03C333" w:rsidR="002C70DB" w:rsidRPr="00A8564C" w:rsidRDefault="00A41B96" w:rsidP="00A933CF">
      <w:pPr>
        <w:ind w:left="567" w:hanging="567"/>
        <w:rPr>
          <w:lang w:val="es-ES"/>
        </w:rPr>
      </w:pPr>
      <w:r w:rsidRPr="00A8564C">
        <w:rPr>
          <w:lang w:val="es-ES"/>
        </w:rPr>
        <w:t>-</w:t>
      </w:r>
      <w:r w:rsidRPr="00A8564C">
        <w:rPr>
          <w:lang w:val="es-ES"/>
        </w:rPr>
        <w:tab/>
      </w:r>
      <w:r w:rsidR="00295ACB" w:rsidRPr="00A8564C">
        <w:rPr>
          <w:lang w:val="es-ES"/>
        </w:rPr>
        <w:t xml:space="preserve">compromiso </w:t>
      </w:r>
      <w:r w:rsidR="00D11421" w:rsidRPr="00A8564C">
        <w:rPr>
          <w:lang w:val="es-ES"/>
        </w:rPr>
        <w:t>institucional</w:t>
      </w:r>
      <w:r w:rsidR="00295ACB" w:rsidRPr="00A8564C">
        <w:rPr>
          <w:lang w:val="es-ES"/>
        </w:rPr>
        <w:t xml:space="preserve"> </w:t>
      </w:r>
      <w:r w:rsidR="009D6133" w:rsidRPr="00A8564C">
        <w:rPr>
          <w:lang w:val="es-ES"/>
        </w:rPr>
        <w:t xml:space="preserve">con la </w:t>
      </w:r>
      <w:r w:rsidR="00295ACB" w:rsidRPr="00A8564C">
        <w:rPr>
          <w:lang w:val="es-ES"/>
        </w:rPr>
        <w:t xml:space="preserve">excelencia en la </w:t>
      </w:r>
      <w:r w:rsidR="00672F4E" w:rsidRPr="00A8564C">
        <w:rPr>
          <w:lang w:val="es-ES"/>
        </w:rPr>
        <w:t>relación</w:t>
      </w:r>
      <w:r w:rsidR="00295ACB" w:rsidRPr="00A8564C">
        <w:rPr>
          <w:lang w:val="es-ES"/>
        </w:rPr>
        <w:t xml:space="preserve"> con los usuarios</w:t>
      </w:r>
      <w:r w:rsidR="002C70DB" w:rsidRPr="00A8564C">
        <w:rPr>
          <w:lang w:val="es-ES"/>
        </w:rPr>
        <w:t xml:space="preserve">, </w:t>
      </w:r>
      <w:r w:rsidR="00295ACB" w:rsidRPr="00A8564C">
        <w:rPr>
          <w:lang w:val="es-ES"/>
        </w:rPr>
        <w:t xml:space="preserve">la </w:t>
      </w:r>
      <w:r w:rsidR="009D6133" w:rsidRPr="00A8564C">
        <w:rPr>
          <w:lang w:val="es-ES"/>
        </w:rPr>
        <w:t xml:space="preserve">recopilación de las opiniones </w:t>
      </w:r>
      <w:r w:rsidR="00295ACB" w:rsidRPr="00A8564C">
        <w:rPr>
          <w:lang w:val="es-ES"/>
        </w:rPr>
        <w:t xml:space="preserve">de los usuarios y </w:t>
      </w:r>
      <w:r w:rsidR="00D11421" w:rsidRPr="00A8564C">
        <w:rPr>
          <w:lang w:val="es-ES"/>
        </w:rPr>
        <w:t xml:space="preserve">la </w:t>
      </w:r>
      <w:r w:rsidR="00672F4E" w:rsidRPr="00A8564C">
        <w:rPr>
          <w:lang w:val="es-ES"/>
        </w:rPr>
        <w:t>prestación</w:t>
      </w:r>
      <w:r w:rsidR="00295ACB" w:rsidRPr="00A8564C">
        <w:rPr>
          <w:lang w:val="es-ES"/>
        </w:rPr>
        <w:t xml:space="preserve"> de servicios</w:t>
      </w:r>
      <w:r w:rsidR="002C70DB" w:rsidRPr="00A8564C">
        <w:rPr>
          <w:lang w:val="es-ES"/>
        </w:rPr>
        <w:t xml:space="preserve">, </w:t>
      </w:r>
      <w:r w:rsidR="00672F4E" w:rsidRPr="00A8564C">
        <w:rPr>
          <w:lang w:val="es-ES"/>
        </w:rPr>
        <w:t>sin</w:t>
      </w:r>
      <w:r w:rsidR="00295ACB" w:rsidRPr="00A8564C">
        <w:rPr>
          <w:lang w:val="es-ES"/>
        </w:rPr>
        <w:t xml:space="preserve"> </w:t>
      </w:r>
      <w:r w:rsidR="00D11421" w:rsidRPr="00A8564C">
        <w:rPr>
          <w:lang w:val="es-ES"/>
        </w:rPr>
        <w:t xml:space="preserve">cejar en los esfuerzos por </w:t>
      </w:r>
      <w:r w:rsidR="00295ACB" w:rsidRPr="00A8564C">
        <w:rPr>
          <w:lang w:val="es-ES"/>
        </w:rPr>
        <w:t xml:space="preserve">reducir la carga </w:t>
      </w:r>
      <w:r w:rsidR="00672F4E" w:rsidRPr="00A8564C">
        <w:rPr>
          <w:lang w:val="es-ES"/>
        </w:rPr>
        <w:t>reglamentaria</w:t>
      </w:r>
      <w:r w:rsidR="00295ACB" w:rsidRPr="00A8564C">
        <w:rPr>
          <w:lang w:val="es-ES"/>
        </w:rPr>
        <w:t xml:space="preserve"> que </w:t>
      </w:r>
      <w:r w:rsidR="00D11421" w:rsidRPr="00A8564C">
        <w:rPr>
          <w:lang w:val="es-ES"/>
        </w:rPr>
        <w:t>pesa sobre el público en</w:t>
      </w:r>
      <w:r w:rsidR="00295ACB" w:rsidRPr="00A8564C">
        <w:rPr>
          <w:lang w:val="es-ES"/>
        </w:rPr>
        <w:t xml:space="preserve"> genera</w:t>
      </w:r>
      <w:r w:rsidR="009D6133" w:rsidRPr="00A8564C">
        <w:rPr>
          <w:lang w:val="es-ES"/>
        </w:rPr>
        <w:t>l, contribuyendo al fortalecimiento</w:t>
      </w:r>
      <w:r w:rsidR="00295ACB" w:rsidRPr="00A8564C">
        <w:rPr>
          <w:lang w:val="es-ES"/>
        </w:rPr>
        <w:t xml:space="preserve"> de</w:t>
      </w:r>
      <w:r w:rsidR="009D6133" w:rsidRPr="00A8564C">
        <w:rPr>
          <w:lang w:val="es-ES"/>
        </w:rPr>
        <w:t xml:space="preserve"> los sistemas nacionales e internacionales de </w:t>
      </w:r>
      <w:r w:rsidR="00672F4E" w:rsidRPr="00A8564C">
        <w:rPr>
          <w:lang w:val="es-ES"/>
        </w:rPr>
        <w:t>patentes</w:t>
      </w:r>
      <w:r w:rsidR="002C70DB" w:rsidRPr="00A8564C">
        <w:rPr>
          <w:lang w:val="es-ES"/>
        </w:rPr>
        <w:t>.</w:t>
      </w:r>
    </w:p>
    <w:p w14:paraId="297A2B29" w14:textId="77777777" w:rsidR="00A933CF" w:rsidRPr="00A8564C" w:rsidRDefault="00A933CF" w:rsidP="00A933CF">
      <w:pPr>
        <w:rPr>
          <w:lang w:val="es-ES"/>
        </w:rPr>
      </w:pPr>
    </w:p>
    <w:p w14:paraId="4ED6872E" w14:textId="169199AA" w:rsidR="002C70DB" w:rsidRPr="00A8564C" w:rsidRDefault="00295ACB" w:rsidP="00A933CF">
      <w:pPr>
        <w:rPr>
          <w:lang w:val="es-ES"/>
        </w:rPr>
      </w:pPr>
      <w:r w:rsidRPr="00A8564C">
        <w:rPr>
          <w:lang w:val="es-ES"/>
        </w:rPr>
        <w:t xml:space="preserve">Una trayectoria de </w:t>
      </w:r>
      <w:r w:rsidR="00672F4E" w:rsidRPr="00A8564C">
        <w:rPr>
          <w:lang w:val="es-ES"/>
        </w:rPr>
        <w:t>éxitos</w:t>
      </w:r>
      <w:r w:rsidRPr="00A8564C">
        <w:rPr>
          <w:lang w:val="es-ES"/>
        </w:rPr>
        <w:t xml:space="preserve"> y eficacia demostrada en la </w:t>
      </w:r>
      <w:r w:rsidR="00672F4E" w:rsidRPr="00A8564C">
        <w:rPr>
          <w:lang w:val="es-ES"/>
        </w:rPr>
        <w:t>prestación</w:t>
      </w:r>
      <w:r w:rsidRPr="00A8564C">
        <w:rPr>
          <w:lang w:val="es-ES"/>
        </w:rPr>
        <w:t xml:space="preserve"> de servicios </w:t>
      </w:r>
      <w:r w:rsidR="002C70DB" w:rsidRPr="00A8564C">
        <w:rPr>
          <w:lang w:val="es-ES"/>
        </w:rPr>
        <w:t xml:space="preserve">ISA/IPEA </w:t>
      </w:r>
      <w:r w:rsidRPr="00A8564C">
        <w:rPr>
          <w:lang w:val="es-ES"/>
        </w:rPr>
        <w:t xml:space="preserve">en </w:t>
      </w:r>
      <w:r w:rsidR="00672F4E" w:rsidRPr="00A8564C">
        <w:rPr>
          <w:lang w:val="es-ES"/>
        </w:rPr>
        <w:t>constante</w:t>
      </w:r>
      <w:r w:rsidRPr="00A8564C">
        <w:rPr>
          <w:lang w:val="es-ES"/>
        </w:rPr>
        <w:t xml:space="preserve"> aumento </w:t>
      </w:r>
      <w:r w:rsidR="00585B48" w:rsidRPr="00A8564C">
        <w:rPr>
          <w:lang w:val="es-ES"/>
        </w:rPr>
        <w:t>y</w:t>
      </w:r>
      <w:r w:rsidRPr="00A8564C">
        <w:rPr>
          <w:lang w:val="es-ES"/>
        </w:rPr>
        <w:t xml:space="preserve"> comentarios sumamente positivos de los interesados y </w:t>
      </w:r>
      <w:r w:rsidR="00672F4E" w:rsidRPr="00A8564C">
        <w:rPr>
          <w:lang w:val="es-ES"/>
        </w:rPr>
        <w:t>demás</w:t>
      </w:r>
      <w:r w:rsidRPr="00A8564C">
        <w:rPr>
          <w:lang w:val="es-ES"/>
        </w:rPr>
        <w:t xml:space="preserve"> oficinas </w:t>
      </w:r>
      <w:r w:rsidR="001816C5" w:rsidRPr="00A8564C">
        <w:rPr>
          <w:lang w:val="es-ES"/>
        </w:rPr>
        <w:t xml:space="preserve">de patentes en </w:t>
      </w:r>
      <w:r w:rsidR="009D6133" w:rsidRPr="00A8564C">
        <w:rPr>
          <w:lang w:val="es-ES"/>
        </w:rPr>
        <w:t>relación con</w:t>
      </w:r>
      <w:r w:rsidR="001816C5" w:rsidRPr="00A8564C">
        <w:rPr>
          <w:lang w:val="es-ES"/>
        </w:rPr>
        <w:t xml:space="preserve"> la puntualidad y </w:t>
      </w:r>
      <w:r w:rsidR="009D6133" w:rsidRPr="00A8564C">
        <w:rPr>
          <w:lang w:val="es-ES"/>
        </w:rPr>
        <w:t xml:space="preserve">la </w:t>
      </w:r>
      <w:r w:rsidR="001816C5" w:rsidRPr="00A8564C">
        <w:rPr>
          <w:lang w:val="es-ES"/>
        </w:rPr>
        <w:t>calidad</w:t>
      </w:r>
      <w:r w:rsidR="009D6133" w:rsidRPr="00A8564C">
        <w:rPr>
          <w:lang w:val="es-ES"/>
        </w:rPr>
        <w:t xml:space="preserve"> de esos servicios</w:t>
      </w:r>
      <w:r w:rsidR="002C70DB" w:rsidRPr="00A8564C">
        <w:rPr>
          <w:lang w:val="es-ES"/>
        </w:rPr>
        <w:t>.</w:t>
      </w:r>
      <w:bookmarkStart w:id="6" w:name="DEG"/>
      <w:bookmarkStart w:id="7" w:name="JP"/>
      <w:bookmarkEnd w:id="6"/>
      <w:bookmarkEnd w:id="7"/>
    </w:p>
    <w:p w14:paraId="170CCDE6" w14:textId="77777777" w:rsidR="00AA5F79" w:rsidRDefault="00AA5F79" w:rsidP="00A933CF">
      <w:pPr>
        <w:rPr>
          <w:lang w:val="es-ES"/>
        </w:rPr>
      </w:pPr>
    </w:p>
    <w:p w14:paraId="12780C1A" w14:textId="77777777" w:rsidR="00B85468" w:rsidRPr="00A8564C" w:rsidRDefault="00B85468" w:rsidP="00A933CF">
      <w:pPr>
        <w:rPr>
          <w:lang w:val="es-ES"/>
        </w:rPr>
      </w:pPr>
    </w:p>
    <w:p w14:paraId="41647F1D" w14:textId="1266D049" w:rsidR="00AA5F79" w:rsidRPr="00A8564C" w:rsidRDefault="00FA4CE0" w:rsidP="00FA4CE0">
      <w:pPr>
        <w:pStyle w:val="Endofdocument-Annex"/>
        <w:rPr>
          <w:lang w:val="es-ES"/>
        </w:rPr>
      </w:pPr>
      <w:r w:rsidRPr="00A8564C">
        <w:rPr>
          <w:lang w:val="es-ES"/>
        </w:rPr>
        <w:t>[</w:t>
      </w:r>
      <w:r w:rsidR="004C2780" w:rsidRPr="00A8564C">
        <w:rPr>
          <w:lang w:val="es-ES"/>
        </w:rPr>
        <w:t xml:space="preserve">Fin del </w:t>
      </w:r>
      <w:r w:rsidR="00184BCD" w:rsidRPr="00A8564C">
        <w:rPr>
          <w:lang w:val="es-ES"/>
        </w:rPr>
        <w:t>Anexo</w:t>
      </w:r>
      <w:r w:rsidR="004C2780" w:rsidRPr="00A8564C">
        <w:rPr>
          <w:lang w:val="es-ES"/>
        </w:rPr>
        <w:t xml:space="preserve"> y del </w:t>
      </w:r>
      <w:r w:rsidR="00184BCD" w:rsidRPr="00A8564C">
        <w:rPr>
          <w:lang w:val="es-ES"/>
        </w:rPr>
        <w:t>documento</w:t>
      </w:r>
      <w:r w:rsidRPr="00A8564C">
        <w:rPr>
          <w:lang w:val="es-ES"/>
        </w:rPr>
        <w:t>]</w:t>
      </w:r>
    </w:p>
    <w:sectPr w:rsidR="00AA5F79" w:rsidRPr="00A8564C" w:rsidSect="00AA5F79">
      <w:headerReference w:type="default" r:id="rId12"/>
      <w:headerReference w:type="first" r:id="rId1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DD4634" w14:textId="77777777" w:rsidR="00611FA5" w:rsidRDefault="00611FA5">
      <w:r>
        <w:separator/>
      </w:r>
    </w:p>
  </w:endnote>
  <w:endnote w:type="continuationSeparator" w:id="0">
    <w:p w14:paraId="03198E36" w14:textId="77777777" w:rsidR="00611FA5" w:rsidRDefault="00611FA5" w:rsidP="003B38C1">
      <w:r>
        <w:separator/>
      </w:r>
    </w:p>
    <w:p w14:paraId="06715C4D" w14:textId="77777777" w:rsidR="00611FA5" w:rsidRPr="003B38C1" w:rsidRDefault="00611FA5" w:rsidP="003B38C1">
      <w:pPr>
        <w:spacing w:after="60"/>
        <w:rPr>
          <w:sz w:val="17"/>
        </w:rPr>
      </w:pPr>
      <w:r>
        <w:rPr>
          <w:sz w:val="17"/>
        </w:rPr>
        <w:t>[Endnote continued from previous page]</w:t>
      </w:r>
    </w:p>
  </w:endnote>
  <w:endnote w:type="continuationNotice" w:id="1">
    <w:p w14:paraId="70D61EB5" w14:textId="77777777" w:rsidR="00611FA5" w:rsidRPr="003B38C1" w:rsidRDefault="00611FA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altName w:val="Arial"/>
    <w:panose1 w:val="020B0704020202020204"/>
    <w:charset w:val="00"/>
    <w:family w:val="auto"/>
    <w:pitch w:val="variable"/>
    <w:sig w:usb0="00000000"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B15F14" w14:textId="77777777" w:rsidR="00611FA5" w:rsidRDefault="00611FA5">
      <w:r>
        <w:separator/>
      </w:r>
    </w:p>
  </w:footnote>
  <w:footnote w:type="continuationSeparator" w:id="0">
    <w:p w14:paraId="7EABFDC8" w14:textId="77777777" w:rsidR="00611FA5" w:rsidRDefault="00611FA5" w:rsidP="008B60B2">
      <w:r>
        <w:separator/>
      </w:r>
    </w:p>
    <w:p w14:paraId="2733DC51" w14:textId="77777777" w:rsidR="00611FA5" w:rsidRPr="00ED77FB" w:rsidRDefault="00611FA5" w:rsidP="008B60B2">
      <w:pPr>
        <w:spacing w:after="60"/>
        <w:rPr>
          <w:sz w:val="17"/>
          <w:szCs w:val="17"/>
        </w:rPr>
      </w:pPr>
      <w:r w:rsidRPr="00ED77FB">
        <w:rPr>
          <w:sz w:val="17"/>
          <w:szCs w:val="17"/>
        </w:rPr>
        <w:t>[Footnote continued from previous page]</w:t>
      </w:r>
    </w:p>
  </w:footnote>
  <w:footnote w:type="continuationNotice" w:id="1">
    <w:p w14:paraId="5A1C9292" w14:textId="77777777" w:rsidR="00611FA5" w:rsidRPr="00ED77FB" w:rsidRDefault="00611FA5" w:rsidP="008B60B2">
      <w:pPr>
        <w:spacing w:before="60"/>
        <w:jc w:val="right"/>
        <w:rPr>
          <w:sz w:val="17"/>
          <w:szCs w:val="17"/>
        </w:rPr>
      </w:pPr>
      <w:r w:rsidRPr="00ED77FB">
        <w:rPr>
          <w:sz w:val="17"/>
          <w:szCs w:val="17"/>
        </w:rPr>
        <w:t>[Footnote continued on next page]</w:t>
      </w:r>
    </w:p>
  </w:footnote>
  <w:footnote w:id="2">
    <w:p w14:paraId="10021388" w14:textId="0C2BC8EE" w:rsidR="00611FA5" w:rsidRPr="000326A8" w:rsidRDefault="00611FA5" w:rsidP="00957557">
      <w:pPr>
        <w:pStyle w:val="FootnoteText"/>
        <w:rPr>
          <w:lang w:val="es-AR"/>
        </w:rPr>
      </w:pPr>
      <w:r w:rsidRPr="000326A8">
        <w:rPr>
          <w:rStyle w:val="FootnoteReference"/>
        </w:rPr>
        <w:footnoteRef/>
      </w:r>
      <w:r w:rsidRPr="000326A8">
        <w:rPr>
          <w:lang w:val="es-ES"/>
        </w:rPr>
        <w:t xml:space="preserve"> </w:t>
      </w:r>
      <w:r w:rsidRPr="000326A8">
        <w:rPr>
          <w:lang w:val="es-ES"/>
        </w:rPr>
        <w:tab/>
      </w:r>
      <w:r w:rsidRPr="000326A8">
        <w:rPr>
          <w:lang w:val="es-AR"/>
        </w:rPr>
        <w:t xml:space="preserve">El número de solicitudes PCT presentadas por israelíes </w:t>
      </w:r>
      <w:r w:rsidR="00A17088" w:rsidRPr="000326A8">
        <w:rPr>
          <w:lang w:val="es-AR"/>
        </w:rPr>
        <w:t>pas</w:t>
      </w:r>
      <w:r w:rsidR="00C663CF" w:rsidRPr="000326A8">
        <w:rPr>
          <w:lang w:val="es-AR"/>
        </w:rPr>
        <w:t>ó del 48% en 2012 al 64% en </w:t>
      </w:r>
      <w:r w:rsidRPr="000326A8">
        <w:rPr>
          <w:lang w:val="es-AR"/>
        </w:rPr>
        <w:t>2016.</w:t>
      </w:r>
    </w:p>
  </w:footnote>
  <w:footnote w:id="3">
    <w:p w14:paraId="3AB4065F" w14:textId="2E9D15EA" w:rsidR="00611FA5" w:rsidRPr="00E55E12" w:rsidRDefault="00611FA5" w:rsidP="00A41B96">
      <w:pPr>
        <w:pStyle w:val="FootnoteText"/>
        <w:rPr>
          <w:lang w:val="es-ES"/>
        </w:rPr>
      </w:pPr>
      <w:r w:rsidRPr="00A41B96">
        <w:rPr>
          <w:rStyle w:val="FootnoteReference"/>
        </w:rPr>
        <w:footnoteRef/>
      </w:r>
      <w:r w:rsidRPr="00E55E12">
        <w:rPr>
          <w:lang w:val="es-ES"/>
        </w:rPr>
        <w:t xml:space="preserve"> </w:t>
      </w:r>
      <w:r w:rsidRPr="00920B5B">
        <w:rPr>
          <w:lang w:val="es-ES"/>
        </w:rPr>
        <w:t xml:space="preserve">La legislación relativa a la propiedad intelectual se ha desarrollado considerablemente en Israel tras las tres enmiendas introducidas en la Ley de Patentes y la nueva Ley de Dibujos y </w:t>
      </w:r>
      <w:r w:rsidR="00AF6549">
        <w:rPr>
          <w:lang w:val="es-ES"/>
        </w:rPr>
        <w:t>Modelos</w:t>
      </w:r>
      <w:r w:rsidRPr="00920B5B">
        <w:rPr>
          <w:lang w:val="es-ES"/>
        </w:rPr>
        <w:t xml:space="preserve"> Industriales (que reemplaza la Orden de Patentes y Dibujos y Diseños Industriales) cuya en</w:t>
      </w:r>
      <w:r w:rsidR="001D6AD7">
        <w:rPr>
          <w:lang w:val="es-ES"/>
        </w:rPr>
        <w:t>trada en vigor está prevista en </w:t>
      </w:r>
      <w:r w:rsidRPr="00920B5B">
        <w:rPr>
          <w:lang w:val="es-ES"/>
        </w:rPr>
        <w:t>2018</w:t>
      </w:r>
      <w:r w:rsidRPr="00E55E12">
        <w:rPr>
          <w:lang w:val="es-ES"/>
        </w:rPr>
        <w:t>.</w:t>
      </w:r>
    </w:p>
  </w:footnote>
  <w:footnote w:id="4">
    <w:p w14:paraId="27654CAB" w14:textId="04103674" w:rsidR="00611FA5" w:rsidRPr="000326A8" w:rsidRDefault="00611FA5" w:rsidP="003259B1">
      <w:pPr>
        <w:pStyle w:val="FootnoteText"/>
        <w:rPr>
          <w:lang w:val="es-ES"/>
        </w:rPr>
      </w:pPr>
      <w:r w:rsidRPr="000326A8">
        <w:rPr>
          <w:rStyle w:val="FootnoteReference"/>
        </w:rPr>
        <w:footnoteRef/>
      </w:r>
      <w:r w:rsidRPr="000326A8">
        <w:rPr>
          <w:lang w:val="es-ES"/>
        </w:rPr>
        <w:tab/>
        <w:t>La sanción por importar o crear copias infractoras de obras protegidas con fines comerciales es de hasta cinco años de prisión y una multa de aproximadamente 500.000 dólares EE.UU. La sanción por distribuir copias infractoras y detenerlas con fines comerciales es de hasta tres años de prisión y una multa de hasta 350.000 dólares. Los tribunales han condenado a infractores del derecho de autor, en especial, a los reincidentes, a diferentes penas de prisión, y algunos estaban detenidos en espera de juicio.</w:t>
      </w:r>
    </w:p>
  </w:footnote>
  <w:footnote w:id="5">
    <w:p w14:paraId="743B1402" w14:textId="7B25E2CE" w:rsidR="00611FA5" w:rsidRPr="000326A8" w:rsidRDefault="00611FA5" w:rsidP="003259B1">
      <w:pPr>
        <w:pStyle w:val="FootnoteText"/>
        <w:rPr>
          <w:lang w:val="es-ES"/>
        </w:rPr>
      </w:pPr>
      <w:r w:rsidRPr="000326A8">
        <w:rPr>
          <w:rStyle w:val="FootnoteReference"/>
          <w:lang w:val="es-ES"/>
        </w:rPr>
        <w:footnoteRef/>
      </w:r>
      <w:r w:rsidRPr="000326A8">
        <w:rPr>
          <w:lang w:val="es-ES"/>
        </w:rPr>
        <w:tab/>
      </w:r>
      <w:hyperlink r:id="rId1" w:history="1">
        <w:r w:rsidRPr="000326A8">
          <w:rPr>
            <w:rStyle w:val="Hyperlink"/>
            <w:lang w:val="es-ES"/>
          </w:rPr>
          <w:t>http://www.wipo.int/wipolex/e</w:t>
        </w:r>
        <w:r w:rsidR="00170975" w:rsidRPr="000326A8">
          <w:rPr>
            <w:rStyle w:val="Hyperlink"/>
            <w:lang w:val="es-ES"/>
          </w:rPr>
          <w:t>s</w:t>
        </w:r>
        <w:r w:rsidRPr="000326A8">
          <w:rPr>
            <w:rStyle w:val="Hyperlink"/>
            <w:lang w:val="es-ES"/>
          </w:rPr>
          <w:t>/profile.jsp?code=IL</w:t>
        </w:r>
      </w:hyperlink>
    </w:p>
  </w:footnote>
  <w:footnote w:id="6">
    <w:p w14:paraId="197B9367" w14:textId="77777777" w:rsidR="00611FA5" w:rsidRPr="000326A8" w:rsidRDefault="00611FA5" w:rsidP="003259B1">
      <w:pPr>
        <w:pStyle w:val="FootnoteText"/>
        <w:rPr>
          <w:lang w:val="es-ES"/>
        </w:rPr>
      </w:pPr>
      <w:r w:rsidRPr="000326A8">
        <w:rPr>
          <w:rStyle w:val="FootnoteReference"/>
          <w:lang w:val="es-ES"/>
        </w:rPr>
        <w:footnoteRef/>
      </w:r>
      <w:r w:rsidRPr="000326A8">
        <w:rPr>
          <w:lang w:val="es-ES"/>
        </w:rPr>
        <w:t xml:space="preserve"> </w:t>
      </w:r>
      <w:r w:rsidRPr="000326A8">
        <w:rPr>
          <w:lang w:val="es-ES"/>
        </w:rPr>
        <w:tab/>
      </w:r>
      <w:hyperlink r:id="rId2" w:history="1">
        <w:r w:rsidRPr="000326A8">
          <w:rPr>
            <w:rStyle w:val="Hyperlink"/>
            <w:lang w:val="es-ES"/>
          </w:rPr>
          <w:t>http://databank.worldbank.org/data/download/GDP.pdf</w:t>
        </w:r>
      </w:hyperlink>
    </w:p>
  </w:footnote>
  <w:footnote w:id="7">
    <w:p w14:paraId="34D2A7DE" w14:textId="77777777" w:rsidR="00611FA5" w:rsidRPr="000326A8" w:rsidRDefault="00611FA5" w:rsidP="003259B1">
      <w:pPr>
        <w:pStyle w:val="FootnoteText"/>
        <w:rPr>
          <w:lang w:val="es-ES"/>
        </w:rPr>
      </w:pPr>
      <w:r w:rsidRPr="000326A8">
        <w:rPr>
          <w:rStyle w:val="FootnoteReference"/>
          <w:lang w:val="es-ES"/>
        </w:rPr>
        <w:footnoteRef/>
      </w:r>
      <w:r w:rsidRPr="000326A8">
        <w:rPr>
          <w:lang w:val="es-ES"/>
        </w:rPr>
        <w:t xml:space="preserve"> </w:t>
      </w:r>
      <w:r w:rsidRPr="000326A8">
        <w:rPr>
          <w:lang w:val="es-ES"/>
        </w:rPr>
        <w:tab/>
      </w:r>
      <w:hyperlink r:id="rId3" w:history="1">
        <w:r w:rsidRPr="000326A8">
          <w:rPr>
            <w:rStyle w:val="Hyperlink"/>
            <w:lang w:val="es-ES"/>
          </w:rPr>
          <w:t>http://reports.weforum.org/global-competitiveness-index/results-overview-and-main-findings/</w:t>
        </w:r>
      </w:hyperlink>
    </w:p>
  </w:footnote>
  <w:footnote w:id="8">
    <w:p w14:paraId="107EB423" w14:textId="5EA169E1" w:rsidR="00611FA5" w:rsidRPr="000326A8" w:rsidRDefault="00611FA5" w:rsidP="003259B1">
      <w:pPr>
        <w:pStyle w:val="FootnoteText"/>
        <w:rPr>
          <w:lang w:val="es-ES"/>
        </w:rPr>
      </w:pPr>
      <w:r w:rsidRPr="000326A8">
        <w:rPr>
          <w:rStyle w:val="FootnoteReference"/>
          <w:lang w:val="es-ES"/>
        </w:rPr>
        <w:footnoteRef/>
      </w:r>
      <w:r w:rsidRPr="000326A8">
        <w:rPr>
          <w:lang w:val="es-ES"/>
        </w:rPr>
        <w:t xml:space="preserve"> </w:t>
      </w:r>
      <w:r w:rsidRPr="000326A8">
        <w:rPr>
          <w:lang w:val="es-ES"/>
        </w:rPr>
        <w:tab/>
      </w:r>
      <w:hyperlink r:id="rId4" w:history="1">
        <w:r w:rsidRPr="000326A8">
          <w:rPr>
            <w:rStyle w:val="Hyperlink"/>
            <w:lang w:val="es-ES"/>
          </w:rPr>
          <w:t>http://hdr.undp.org/en/content/human-development-index-hdi</w:t>
        </w:r>
      </w:hyperlink>
      <w:r w:rsidRPr="000326A8">
        <w:rPr>
          <w:lang w:val="es-ES"/>
        </w:rPr>
        <w:t xml:space="preserve"> (El año 2015 aparece en el archivo Excel:  </w:t>
      </w:r>
      <w:hyperlink r:id="rId5" w:history="1">
        <w:r w:rsidRPr="000326A8">
          <w:rPr>
            <w:rStyle w:val="Hyperlink"/>
            <w:lang w:val="es-ES"/>
          </w:rPr>
          <w:t>http://hdr.undp.org/sites/default/files/2015_statistical_annex_tables_all.xls</w:t>
        </w:r>
      </w:hyperlink>
      <w:r w:rsidRPr="000326A8">
        <w:rPr>
          <w:lang w:val="es-ES"/>
        </w:rPr>
        <w:t>).</w:t>
      </w:r>
    </w:p>
  </w:footnote>
  <w:footnote w:id="9">
    <w:p w14:paraId="67D156F0" w14:textId="77777777" w:rsidR="00611FA5" w:rsidRPr="000326A8" w:rsidRDefault="00611FA5" w:rsidP="003259B1">
      <w:pPr>
        <w:pStyle w:val="FootnoteText"/>
        <w:rPr>
          <w:lang w:val="es-ES"/>
        </w:rPr>
      </w:pPr>
      <w:r w:rsidRPr="000326A8">
        <w:rPr>
          <w:rStyle w:val="FootnoteReference"/>
          <w:lang w:val="es-ES"/>
        </w:rPr>
        <w:footnoteRef/>
      </w:r>
      <w:r w:rsidRPr="000326A8">
        <w:rPr>
          <w:lang w:val="es-ES"/>
        </w:rPr>
        <w:t xml:space="preserve"> </w:t>
      </w:r>
      <w:r w:rsidRPr="000326A8">
        <w:rPr>
          <w:lang w:val="es-ES"/>
        </w:rPr>
        <w:tab/>
      </w:r>
      <w:hyperlink r:id="rId6" w:history="1">
        <w:r w:rsidRPr="000326A8">
          <w:rPr>
            <w:rStyle w:val="Hyperlink"/>
            <w:lang w:val="es-ES"/>
          </w:rPr>
          <w:t>http://www.imd.org/uupload/imd.website/wcc/scoreboard.pdf</w:t>
        </w:r>
      </w:hyperlink>
    </w:p>
  </w:footnote>
  <w:footnote w:id="10">
    <w:p w14:paraId="6501262D" w14:textId="77777777" w:rsidR="00611FA5" w:rsidRPr="00920B5B" w:rsidRDefault="00611FA5" w:rsidP="003259B1">
      <w:pPr>
        <w:pStyle w:val="FootnoteText"/>
        <w:rPr>
          <w:lang w:val="es-ES"/>
        </w:rPr>
      </w:pPr>
      <w:r w:rsidRPr="000326A8">
        <w:rPr>
          <w:rStyle w:val="FootnoteReference"/>
          <w:lang w:val="es-ES"/>
        </w:rPr>
        <w:footnoteRef/>
      </w:r>
      <w:r w:rsidRPr="000326A8">
        <w:rPr>
          <w:lang w:val="es-ES"/>
        </w:rPr>
        <w:t xml:space="preserve"> </w:t>
      </w:r>
      <w:r w:rsidRPr="000326A8">
        <w:rPr>
          <w:lang w:val="es-ES"/>
        </w:rPr>
        <w:tab/>
      </w:r>
      <w:hyperlink r:id="rId7" w:history="1">
        <w:r w:rsidRPr="00920B5B">
          <w:rPr>
            <w:rStyle w:val="Hyperlink"/>
            <w:lang w:val="es-ES"/>
          </w:rPr>
          <w:t>http://data.worldbank.org/indicator/NY.GDP.MKTP.CD?locations=IL</w:t>
        </w:r>
      </w:hyperlink>
    </w:p>
  </w:footnote>
  <w:footnote w:id="11">
    <w:p w14:paraId="78228940" w14:textId="77777777" w:rsidR="00611FA5" w:rsidRPr="000326A8" w:rsidRDefault="00611FA5" w:rsidP="003259B1">
      <w:pPr>
        <w:pStyle w:val="FootnoteText"/>
        <w:rPr>
          <w:lang w:val="es-ES"/>
        </w:rPr>
      </w:pPr>
      <w:r w:rsidRPr="000326A8">
        <w:rPr>
          <w:rStyle w:val="FootnoteReference"/>
          <w:lang w:val="es-ES"/>
        </w:rPr>
        <w:footnoteRef/>
      </w:r>
      <w:r w:rsidRPr="000326A8">
        <w:rPr>
          <w:lang w:val="es-ES"/>
        </w:rPr>
        <w:t xml:space="preserve"> </w:t>
      </w:r>
      <w:r w:rsidRPr="000326A8">
        <w:rPr>
          <w:lang w:val="es-ES"/>
        </w:rPr>
        <w:tab/>
      </w:r>
      <w:hyperlink r:id="rId8" w:history="1">
        <w:r w:rsidRPr="000326A8">
          <w:rPr>
            <w:rStyle w:val="Hyperlink"/>
            <w:lang w:val="es-ES"/>
          </w:rPr>
          <w:t>http://data.worldbank.org/indicator/NY.GDP.PCAP.PP.CD?locations=IL</w:t>
        </w:r>
      </w:hyperlink>
    </w:p>
  </w:footnote>
  <w:footnote w:id="12">
    <w:p w14:paraId="5FF85495" w14:textId="77777777" w:rsidR="00611FA5" w:rsidRPr="000326A8" w:rsidRDefault="00611FA5" w:rsidP="003259B1">
      <w:pPr>
        <w:pStyle w:val="FootnoteText"/>
        <w:rPr>
          <w:lang w:val="es-ES"/>
        </w:rPr>
      </w:pPr>
      <w:r w:rsidRPr="000326A8">
        <w:rPr>
          <w:rStyle w:val="FootnoteReference"/>
          <w:lang w:val="es-ES"/>
        </w:rPr>
        <w:footnoteRef/>
      </w:r>
      <w:r w:rsidRPr="000326A8">
        <w:rPr>
          <w:lang w:val="es-ES"/>
        </w:rPr>
        <w:t xml:space="preserve"> </w:t>
      </w:r>
      <w:r w:rsidRPr="000326A8">
        <w:rPr>
          <w:lang w:val="es-ES"/>
        </w:rPr>
        <w:tab/>
      </w:r>
      <w:hyperlink r:id="rId9" w:history="1">
        <w:r w:rsidRPr="000326A8">
          <w:rPr>
            <w:rStyle w:val="Hyperlink"/>
            <w:lang w:val="es-ES"/>
          </w:rPr>
          <w:t>http://data.worldbank.org/indicator/GB.XPD.RSDV.GD.ZS?locations=IL</w:t>
        </w:r>
      </w:hyperlink>
    </w:p>
  </w:footnote>
  <w:footnote w:id="13">
    <w:p w14:paraId="54D1CD8A" w14:textId="08D3073E" w:rsidR="00611FA5" w:rsidRPr="000326A8" w:rsidRDefault="00611FA5" w:rsidP="003259B1">
      <w:pPr>
        <w:pStyle w:val="FootnoteText"/>
        <w:rPr>
          <w:lang w:val="es-ES"/>
        </w:rPr>
      </w:pPr>
      <w:r w:rsidRPr="000326A8">
        <w:rPr>
          <w:rStyle w:val="FootnoteReference"/>
          <w:lang w:val="es-ES"/>
        </w:rPr>
        <w:footnoteRef/>
      </w:r>
      <w:r w:rsidRPr="000326A8">
        <w:rPr>
          <w:lang w:val="es-ES"/>
        </w:rPr>
        <w:t xml:space="preserve"> </w:t>
      </w:r>
      <w:r w:rsidRPr="000326A8">
        <w:rPr>
          <w:lang w:val="es-ES"/>
        </w:rPr>
        <w:tab/>
        <w:t>Según el Índice Mundial de Innovación [</w:t>
      </w:r>
      <w:hyperlink r:id="rId10" w:history="1">
        <w:r w:rsidRPr="000326A8">
          <w:rPr>
            <w:rStyle w:val="Hyperlink"/>
            <w:lang w:val="es-ES"/>
          </w:rPr>
          <w:t>https://www.globalinnovationindex.org</w:t>
        </w:r>
      </w:hyperlink>
      <w:r w:rsidRPr="000326A8">
        <w:rPr>
          <w:lang w:val="es-ES"/>
        </w:rPr>
        <w:t xml:space="preserve">], Israel ocupó los puestos 14 a 22 entre 2013 y 2016. </w:t>
      </w:r>
    </w:p>
  </w:footnote>
  <w:footnote w:id="14">
    <w:p w14:paraId="0FC7192D" w14:textId="77777777" w:rsidR="00611FA5" w:rsidRPr="000326A8" w:rsidRDefault="00611FA5" w:rsidP="003259B1">
      <w:pPr>
        <w:pStyle w:val="FootnoteText"/>
        <w:rPr>
          <w:lang w:val="es-ES"/>
        </w:rPr>
      </w:pPr>
      <w:r w:rsidRPr="000326A8">
        <w:rPr>
          <w:rStyle w:val="FootnoteReference"/>
          <w:lang w:val="es-ES"/>
        </w:rPr>
        <w:footnoteRef/>
      </w:r>
      <w:r w:rsidRPr="000326A8">
        <w:rPr>
          <w:lang w:val="es-ES"/>
        </w:rPr>
        <w:t xml:space="preserve"> </w:t>
      </w:r>
      <w:r w:rsidRPr="000326A8">
        <w:rPr>
          <w:lang w:val="es-ES"/>
        </w:rPr>
        <w:tab/>
      </w:r>
      <w:hyperlink r:id="rId11" w:history="1">
        <w:r w:rsidRPr="000326A8">
          <w:rPr>
            <w:rStyle w:val="Hyperlink"/>
            <w:lang w:val="es-ES"/>
          </w:rPr>
          <w:t>https://www.bloomberg.com/news/articles/2017-01-17/sweden-gains-south-korea-reigns-as-world-s-most-innovative-economies</w:t>
        </w:r>
      </w:hyperlink>
      <w:r w:rsidRPr="000326A8">
        <w:rPr>
          <w:lang w:val="es-ES"/>
        </w:rPr>
        <w:t xml:space="preserve">; </w:t>
      </w:r>
      <w:hyperlink r:id="rId12" w:history="1">
        <w:r w:rsidRPr="000326A8">
          <w:rPr>
            <w:rStyle w:val="Hyperlink"/>
            <w:lang w:val="es-ES"/>
          </w:rPr>
          <w:t>https://www.bloomberg.com/graphics/2015-innovative-countries/</w:t>
        </w:r>
      </w:hyperlink>
    </w:p>
  </w:footnote>
  <w:footnote w:id="15">
    <w:p w14:paraId="641D985B" w14:textId="77777777" w:rsidR="00611FA5" w:rsidRPr="000326A8" w:rsidRDefault="00611FA5" w:rsidP="003259B1">
      <w:pPr>
        <w:pStyle w:val="FootnoteText"/>
        <w:rPr>
          <w:lang w:val="es-ES"/>
        </w:rPr>
      </w:pPr>
      <w:r w:rsidRPr="000326A8">
        <w:rPr>
          <w:rStyle w:val="FootnoteReference"/>
          <w:lang w:val="es-ES"/>
        </w:rPr>
        <w:footnoteRef/>
      </w:r>
      <w:r w:rsidRPr="000326A8">
        <w:rPr>
          <w:lang w:val="es-ES"/>
        </w:rPr>
        <w:t xml:space="preserve"> </w:t>
      </w:r>
      <w:r w:rsidRPr="000326A8">
        <w:rPr>
          <w:lang w:val="es-ES"/>
        </w:rPr>
        <w:tab/>
      </w:r>
      <w:hyperlink r:id="rId13" w:history="1">
        <w:r w:rsidRPr="000326A8">
          <w:rPr>
            <w:rStyle w:val="Hyperlink"/>
            <w:lang w:val="es-ES"/>
          </w:rPr>
          <w:t>http://lang.che.org.il/en/?page_id=15417</w:t>
        </w:r>
      </w:hyperlink>
    </w:p>
  </w:footnote>
  <w:footnote w:id="16">
    <w:p w14:paraId="5E6AC00F" w14:textId="77777777" w:rsidR="00611FA5" w:rsidRPr="000326A8" w:rsidRDefault="00611FA5" w:rsidP="003259B1">
      <w:pPr>
        <w:pStyle w:val="FootnoteText"/>
        <w:rPr>
          <w:lang w:val="es-ES"/>
        </w:rPr>
      </w:pPr>
      <w:r w:rsidRPr="000326A8">
        <w:rPr>
          <w:rStyle w:val="FootnoteReference"/>
          <w:lang w:val="es-ES"/>
        </w:rPr>
        <w:footnoteRef/>
      </w:r>
      <w:r w:rsidRPr="000326A8">
        <w:rPr>
          <w:lang w:val="es-ES"/>
        </w:rPr>
        <w:t xml:space="preserve"> </w:t>
      </w:r>
      <w:r w:rsidRPr="000326A8">
        <w:rPr>
          <w:lang w:val="es-ES"/>
        </w:rPr>
        <w:tab/>
      </w:r>
      <w:hyperlink r:id="rId14" w:history="1">
        <w:r w:rsidRPr="000326A8">
          <w:rPr>
            <w:rStyle w:val="Hyperlink"/>
            <w:lang w:val="es-ES"/>
          </w:rPr>
          <w:t>http://www.iati.co.il/category/24/1/technology-transfer-offices-tto</w:t>
        </w:r>
      </w:hyperlink>
    </w:p>
  </w:footnote>
  <w:footnote w:id="17">
    <w:p w14:paraId="4056F9F5" w14:textId="5C407907" w:rsidR="00611FA5" w:rsidRPr="000326A8" w:rsidRDefault="00611FA5" w:rsidP="003259B1">
      <w:pPr>
        <w:pStyle w:val="FootnoteText"/>
        <w:rPr>
          <w:lang w:val="es-ES"/>
        </w:rPr>
      </w:pPr>
      <w:r w:rsidRPr="000326A8">
        <w:rPr>
          <w:rStyle w:val="FootnoteReference"/>
          <w:lang w:val="es-ES"/>
        </w:rPr>
        <w:footnoteRef/>
      </w:r>
      <w:r w:rsidRPr="000326A8">
        <w:rPr>
          <w:lang w:val="es-ES"/>
        </w:rPr>
        <w:t xml:space="preserve"> </w:t>
      </w:r>
      <w:r w:rsidRPr="000326A8">
        <w:rPr>
          <w:lang w:val="es-ES"/>
        </w:rPr>
        <w:tab/>
        <w:t>Para obtener más información acerca de los principales solicitantes PCT, véase la sección 5 más abajo.</w:t>
      </w:r>
    </w:p>
  </w:footnote>
  <w:footnote w:id="18">
    <w:p w14:paraId="63C0052B" w14:textId="2D8B613D" w:rsidR="00611FA5" w:rsidRPr="000326A8" w:rsidRDefault="00611FA5" w:rsidP="003259B1">
      <w:pPr>
        <w:pStyle w:val="FootnoteText"/>
        <w:rPr>
          <w:lang w:val="es-ES"/>
        </w:rPr>
      </w:pPr>
      <w:r w:rsidRPr="000326A8">
        <w:rPr>
          <w:rStyle w:val="FootnoteReference"/>
          <w:lang w:val="es-ES"/>
        </w:rPr>
        <w:footnoteRef/>
      </w:r>
      <w:r w:rsidRPr="000326A8">
        <w:rPr>
          <w:lang w:val="es-ES"/>
        </w:rPr>
        <w:t xml:space="preserve"> </w:t>
      </w:r>
      <w:r w:rsidRPr="000326A8">
        <w:rPr>
          <w:lang w:val="es-ES"/>
        </w:rPr>
        <w:tab/>
        <w:t xml:space="preserve">El Programa de Incubadoras Tecnológicas se estableció en 1991 y es administrado por la Oficina del Experto Científico del Ministerio de Industria, Comercio y Trabajo (para obtener más información, consúltese: </w:t>
      </w:r>
      <w:hyperlink r:id="rId15" w:history="1">
        <w:r w:rsidRPr="000326A8">
          <w:rPr>
            <w:rStyle w:val="Hyperlink"/>
            <w:lang w:val="es-ES"/>
          </w:rPr>
          <w:t>http://www.incubators.org.il/article.aspx?id=1703</w:t>
        </w:r>
      </w:hyperlink>
      <w:r w:rsidRPr="000326A8">
        <w:rPr>
          <w:lang w:val="es-ES"/>
        </w:rPr>
        <w:t>)</w:t>
      </w:r>
    </w:p>
  </w:footnote>
  <w:footnote w:id="19">
    <w:p w14:paraId="5893224E" w14:textId="77777777" w:rsidR="00611FA5" w:rsidRPr="000326A8" w:rsidRDefault="00611FA5" w:rsidP="003259B1">
      <w:pPr>
        <w:pStyle w:val="FootnoteText"/>
        <w:rPr>
          <w:lang w:val="es-ES"/>
        </w:rPr>
      </w:pPr>
      <w:r w:rsidRPr="000326A8">
        <w:rPr>
          <w:rStyle w:val="FootnoteReference"/>
          <w:lang w:val="es-ES"/>
        </w:rPr>
        <w:footnoteRef/>
      </w:r>
      <w:r w:rsidRPr="000326A8">
        <w:rPr>
          <w:lang w:val="es-ES"/>
        </w:rPr>
        <w:t xml:space="preserve"> </w:t>
      </w:r>
      <w:r w:rsidRPr="000326A8">
        <w:rPr>
          <w:lang w:val="es-ES"/>
        </w:rPr>
        <w:tab/>
      </w:r>
      <w:hyperlink r:id="rId16" w:history="1">
        <w:r w:rsidRPr="000326A8">
          <w:rPr>
            <w:rStyle w:val="Hyperlink"/>
            <w:lang w:val="es-ES"/>
          </w:rPr>
          <w:t>http://www.ivc-online.com/Research-Center/IVC-Publications/Exits-Report</w:t>
        </w:r>
      </w:hyperlink>
    </w:p>
  </w:footnote>
  <w:footnote w:id="20">
    <w:p w14:paraId="1F97E274" w14:textId="77777777" w:rsidR="00611FA5" w:rsidRPr="000326A8" w:rsidRDefault="00611FA5" w:rsidP="003259B1">
      <w:pPr>
        <w:pStyle w:val="FootnoteText"/>
        <w:rPr>
          <w:lang w:val="es-ES"/>
        </w:rPr>
      </w:pPr>
      <w:r w:rsidRPr="000326A8">
        <w:rPr>
          <w:rStyle w:val="FootnoteReference"/>
          <w:lang w:val="es-ES"/>
        </w:rPr>
        <w:footnoteRef/>
      </w:r>
      <w:r w:rsidRPr="000326A8">
        <w:rPr>
          <w:lang w:val="es-ES"/>
        </w:rPr>
        <w:t xml:space="preserve"> </w:t>
      </w:r>
      <w:r w:rsidRPr="000326A8">
        <w:rPr>
          <w:lang w:val="es-ES"/>
        </w:rPr>
        <w:tab/>
      </w:r>
      <w:hyperlink r:id="rId17" w:history="1">
        <w:r w:rsidRPr="000326A8">
          <w:rPr>
            <w:rStyle w:val="Hyperlink"/>
            <w:lang w:val="es-ES"/>
          </w:rPr>
          <w:t>http://www.ivc-online.com/Research-Center/IVC-Publications/VC-Fund-Reports/VC-Fund-Raising</w:t>
        </w:r>
      </w:hyperlink>
    </w:p>
  </w:footnote>
  <w:footnote w:id="21">
    <w:p w14:paraId="20D746FF" w14:textId="77777777" w:rsidR="00611FA5" w:rsidRPr="000326A8" w:rsidRDefault="00611FA5" w:rsidP="003259B1">
      <w:pPr>
        <w:pStyle w:val="FootnoteText"/>
        <w:rPr>
          <w:lang w:val="es-ES"/>
        </w:rPr>
      </w:pPr>
      <w:r w:rsidRPr="000326A8">
        <w:rPr>
          <w:rStyle w:val="FootnoteReference"/>
          <w:lang w:val="es-ES"/>
        </w:rPr>
        <w:footnoteRef/>
      </w:r>
      <w:r w:rsidRPr="000326A8">
        <w:rPr>
          <w:lang w:val="es-ES"/>
        </w:rPr>
        <w:t xml:space="preserve">  </w:t>
      </w:r>
      <w:r w:rsidRPr="000326A8">
        <w:rPr>
          <w:lang w:val="es-ES"/>
        </w:rPr>
        <w:tab/>
      </w:r>
      <w:hyperlink r:id="rId18" w:history="1">
        <w:r w:rsidRPr="000326A8">
          <w:rPr>
            <w:rStyle w:val="Hyperlink"/>
            <w:lang w:val="es-ES"/>
          </w:rPr>
          <w:t>http://www.cbs.gov.il/reader/cw_usr_view_SHTML?ID=461</w:t>
        </w:r>
      </w:hyperlink>
    </w:p>
  </w:footnote>
  <w:footnote w:id="22">
    <w:p w14:paraId="7DCB69B8" w14:textId="77777777" w:rsidR="00611FA5" w:rsidRPr="00920B5B" w:rsidRDefault="00611FA5" w:rsidP="003259B1">
      <w:pPr>
        <w:pStyle w:val="FootnoteText"/>
        <w:rPr>
          <w:lang w:val="es-ES"/>
        </w:rPr>
      </w:pPr>
      <w:r w:rsidRPr="000326A8">
        <w:rPr>
          <w:rStyle w:val="FootnoteReference"/>
          <w:lang w:val="es-ES"/>
        </w:rPr>
        <w:footnoteRef/>
      </w:r>
      <w:r w:rsidRPr="00920B5B">
        <w:rPr>
          <w:lang w:val="es-ES"/>
        </w:rPr>
        <w:t xml:space="preserve"> </w:t>
      </w:r>
      <w:r w:rsidRPr="00920B5B">
        <w:rPr>
          <w:lang w:val="es-ES"/>
        </w:rPr>
        <w:tab/>
      </w:r>
      <w:hyperlink r:id="rId19" w:history="1">
        <w:r w:rsidRPr="00920B5B">
          <w:rPr>
            <w:rStyle w:val="Hyperlink"/>
            <w:lang w:val="es-ES"/>
          </w:rPr>
          <w:t>http://www.cbs.gov.il/reader/?MIval=cw_usr_view_SHTML&amp;ID=705</w:t>
        </w:r>
      </w:hyperlink>
    </w:p>
  </w:footnote>
  <w:footnote w:id="23">
    <w:p w14:paraId="7FA3A3D0" w14:textId="2B3249D7" w:rsidR="00611FA5" w:rsidRPr="00920B5B" w:rsidRDefault="00611FA5" w:rsidP="00957557">
      <w:pPr>
        <w:pStyle w:val="FootnoteText"/>
        <w:rPr>
          <w:lang w:val="es-ES"/>
        </w:rPr>
      </w:pPr>
      <w:r w:rsidRPr="000326A8">
        <w:rPr>
          <w:rStyle w:val="FootnoteReference"/>
          <w:lang w:val="es-ES"/>
        </w:rPr>
        <w:footnoteRef/>
      </w:r>
      <w:r w:rsidRPr="000326A8">
        <w:rPr>
          <w:lang w:val="es-ES"/>
        </w:rPr>
        <w:t xml:space="preserve"> </w:t>
      </w:r>
      <w:r>
        <w:rPr>
          <w:lang w:val="es-ES"/>
        </w:rPr>
        <w:tab/>
        <w:t xml:space="preserve">Esa herramienta se </w:t>
      </w:r>
      <w:r w:rsidRPr="00920B5B">
        <w:rPr>
          <w:lang w:val="es-ES"/>
        </w:rPr>
        <w:t xml:space="preserve">puede consultar en el sitio web de la ILPO: </w:t>
      </w:r>
    </w:p>
    <w:p w14:paraId="43D05906" w14:textId="77777777" w:rsidR="00611FA5" w:rsidRPr="00E55E12" w:rsidRDefault="00611FA5" w:rsidP="00957557">
      <w:pPr>
        <w:pStyle w:val="FootnoteText"/>
        <w:rPr>
          <w:lang w:val="es-ES"/>
        </w:rPr>
      </w:pPr>
      <w:r w:rsidRPr="00920B5B">
        <w:rPr>
          <w:lang w:val="es-ES"/>
        </w:rPr>
        <w:t>http://www.justice.gov.il/En/Units/ILPO/Departments/PCT/Pages/PctDas</w:t>
      </w:r>
      <w:r w:rsidRPr="00E55E12">
        <w:rPr>
          <w:lang w:val="es-ES"/>
        </w:rPr>
        <w:t>hboard.aspx</w:t>
      </w:r>
    </w:p>
  </w:footnote>
  <w:footnote w:id="24">
    <w:p w14:paraId="2AF41BC4" w14:textId="49DE6419" w:rsidR="00611FA5" w:rsidRPr="00E55E12" w:rsidRDefault="00611FA5" w:rsidP="00957557">
      <w:pPr>
        <w:pStyle w:val="FootnoteText"/>
        <w:rPr>
          <w:lang w:val="es-ES"/>
        </w:rPr>
      </w:pPr>
      <w:r w:rsidRPr="000326A8">
        <w:rPr>
          <w:rStyle w:val="FootnoteReference"/>
        </w:rPr>
        <w:footnoteRef/>
      </w:r>
      <w:r w:rsidRPr="000326A8">
        <w:rPr>
          <w:lang w:val="es-ES"/>
        </w:rPr>
        <w:t xml:space="preserve"> </w:t>
      </w:r>
      <w:r w:rsidRPr="00E55E12">
        <w:rPr>
          <w:lang w:val="es-ES"/>
        </w:rPr>
        <w:tab/>
        <w:t>Para obtener más información, véase “Recursos materiales” en la sección 2.1.</w:t>
      </w:r>
      <w:r w:rsidR="00044CAE">
        <w:rPr>
          <w:lang w:val="es-ES"/>
        </w:rPr>
        <w:t>3</w:t>
      </w:r>
      <w:r w:rsidRPr="00E55E12">
        <w:rPr>
          <w:lang w:val="es-ES"/>
        </w:rPr>
        <w:t xml:space="preserve"> más arriba.</w:t>
      </w:r>
    </w:p>
  </w:footnote>
  <w:footnote w:id="25">
    <w:p w14:paraId="71D9E6D9" w14:textId="565C6C88" w:rsidR="00611FA5" w:rsidRPr="00E55E12" w:rsidRDefault="00611FA5" w:rsidP="002F4BA8">
      <w:pPr>
        <w:pStyle w:val="FootnoteText"/>
        <w:rPr>
          <w:lang w:val="es-ES"/>
        </w:rPr>
      </w:pPr>
      <w:r w:rsidRPr="000326A8">
        <w:rPr>
          <w:rStyle w:val="FootnoteReference"/>
        </w:rPr>
        <w:footnoteRef/>
      </w:r>
      <w:r w:rsidRPr="000326A8">
        <w:rPr>
          <w:lang w:val="es-ES"/>
        </w:rPr>
        <w:t xml:space="preserve"> </w:t>
      </w:r>
      <w:r w:rsidRPr="00E55E12">
        <w:rPr>
          <w:lang w:val="es-ES"/>
        </w:rPr>
        <w:tab/>
        <w:t xml:space="preserve">Para obtener más información, véase "Acceso a la documentación </w:t>
      </w:r>
      <w:proofErr w:type="gramStart"/>
      <w:r w:rsidRPr="00E55E12">
        <w:rPr>
          <w:lang w:val="es-ES"/>
        </w:rPr>
        <w:t>mínima …</w:t>
      </w:r>
      <w:proofErr w:type="gramEnd"/>
      <w:r w:rsidRPr="00E55E12">
        <w:rPr>
          <w:lang w:val="es-ES"/>
        </w:rPr>
        <w:t>" en la sección 2.1.</w:t>
      </w:r>
      <w:r w:rsidR="00044CAE">
        <w:rPr>
          <w:lang w:val="es-ES"/>
        </w:rPr>
        <w:t>5</w:t>
      </w:r>
      <w:r w:rsidRPr="00E55E12">
        <w:rPr>
          <w:lang w:val="es-ES"/>
        </w:rPr>
        <w:t xml:space="preserve"> más arriba.</w:t>
      </w:r>
    </w:p>
  </w:footnote>
  <w:footnote w:id="26">
    <w:p w14:paraId="4F79F8F5" w14:textId="581BFF9C" w:rsidR="00611FA5" w:rsidRPr="00E55E12" w:rsidRDefault="00611FA5" w:rsidP="00957557">
      <w:pPr>
        <w:pStyle w:val="FootnoteText"/>
        <w:rPr>
          <w:lang w:val="es-ES"/>
        </w:rPr>
      </w:pPr>
      <w:r w:rsidRPr="00B85468">
        <w:rPr>
          <w:rStyle w:val="FootnoteReference"/>
        </w:rPr>
        <w:footnoteRef/>
      </w:r>
      <w:r w:rsidRPr="00B85468">
        <w:rPr>
          <w:lang w:val="es-ES"/>
        </w:rPr>
        <w:t xml:space="preserve"> </w:t>
      </w:r>
      <w:r w:rsidRPr="00B85468">
        <w:rPr>
          <w:lang w:val="es-ES"/>
        </w:rPr>
        <w:tab/>
      </w:r>
      <w:r w:rsidRPr="00E55E12">
        <w:rPr>
          <w:lang w:val="es-ES"/>
        </w:rPr>
        <w:t>Fuente</w:t>
      </w:r>
      <w:proofErr w:type="gramStart"/>
      <w:r w:rsidRPr="00E55E12">
        <w:rPr>
          <w:lang w:val="es-ES"/>
        </w:rPr>
        <w:t>:  Base</w:t>
      </w:r>
      <w:proofErr w:type="gramEnd"/>
      <w:r w:rsidRPr="00E55E12">
        <w:rPr>
          <w:lang w:val="es-ES"/>
        </w:rPr>
        <w:t xml:space="preserve"> de datos estadísticos de la OMPI. Última actualización:  enero de 2017 (http://ipstats.wipo.int/ipstatv2/pmhindex.htm?tab=pct)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8EBC2" w14:textId="77777777" w:rsidR="00611FA5" w:rsidRDefault="00611FA5" w:rsidP="00477D6B">
    <w:pPr>
      <w:jc w:val="right"/>
    </w:pPr>
    <w:bookmarkStart w:id="4" w:name="Code2"/>
    <w:bookmarkEnd w:id="4"/>
    <w:r>
      <w:t>PCT/CTC/30/13</w:t>
    </w:r>
  </w:p>
  <w:p w14:paraId="3FC93E21" w14:textId="4EFAF067" w:rsidR="00611FA5" w:rsidRDefault="00611FA5" w:rsidP="00477D6B">
    <w:pPr>
      <w:jc w:val="right"/>
    </w:pPr>
    <w:proofErr w:type="gramStart"/>
    <w:r>
      <w:t>page</w:t>
    </w:r>
    <w:proofErr w:type="gramEnd"/>
    <w:r>
      <w:t xml:space="preserve"> </w:t>
    </w:r>
    <w:r>
      <w:fldChar w:fldCharType="begin"/>
    </w:r>
    <w:r>
      <w:instrText xml:space="preserve"> PAGE  \* MERGEFORMAT </w:instrText>
    </w:r>
    <w:r>
      <w:fldChar w:fldCharType="separate"/>
    </w:r>
    <w:r>
      <w:rPr>
        <w:noProof/>
      </w:rPr>
      <w:t>2</w:t>
    </w:r>
    <w:r>
      <w:fldChar w:fldCharType="end"/>
    </w:r>
  </w:p>
  <w:p w14:paraId="26614ADC" w14:textId="77777777" w:rsidR="00611FA5" w:rsidRDefault="00611FA5"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3ED87E" w14:textId="77777777" w:rsidR="00611FA5" w:rsidRPr="00A8564C" w:rsidRDefault="00611FA5" w:rsidP="00477D6B">
    <w:pPr>
      <w:jc w:val="right"/>
      <w:rPr>
        <w:lang w:val="es-ES"/>
      </w:rPr>
    </w:pPr>
    <w:r w:rsidRPr="00A8564C">
      <w:rPr>
        <w:lang w:val="es-ES"/>
      </w:rPr>
      <w:t>PCT/CTC/30/13</w:t>
    </w:r>
  </w:p>
  <w:p w14:paraId="4D0451E2" w14:textId="04A2588C" w:rsidR="00611FA5" w:rsidRPr="00A8564C" w:rsidRDefault="00611FA5" w:rsidP="00477D6B">
    <w:pPr>
      <w:jc w:val="right"/>
      <w:rPr>
        <w:lang w:val="es-ES"/>
      </w:rPr>
    </w:pPr>
    <w:r w:rsidRPr="00A8564C">
      <w:rPr>
        <w:lang w:val="es-ES"/>
      </w:rPr>
      <w:t xml:space="preserve">Anexo, página </w:t>
    </w:r>
    <w:r w:rsidRPr="00A8564C">
      <w:rPr>
        <w:lang w:val="es-ES"/>
      </w:rPr>
      <w:fldChar w:fldCharType="begin"/>
    </w:r>
    <w:r w:rsidRPr="00A8564C">
      <w:rPr>
        <w:lang w:val="es-ES"/>
      </w:rPr>
      <w:instrText xml:space="preserve"> PAGE  \* MERGEFORMAT </w:instrText>
    </w:r>
    <w:r w:rsidRPr="00A8564C">
      <w:rPr>
        <w:lang w:val="es-ES"/>
      </w:rPr>
      <w:fldChar w:fldCharType="separate"/>
    </w:r>
    <w:r w:rsidR="00D852EC">
      <w:rPr>
        <w:noProof/>
        <w:lang w:val="es-ES"/>
      </w:rPr>
      <w:t>20</w:t>
    </w:r>
    <w:r w:rsidRPr="00A8564C">
      <w:rPr>
        <w:lang w:val="es-ES"/>
      </w:rPr>
      <w:fldChar w:fldCharType="end"/>
    </w:r>
  </w:p>
  <w:p w14:paraId="39C62B89" w14:textId="77777777" w:rsidR="00611FA5" w:rsidRPr="00A8564C" w:rsidRDefault="00611FA5" w:rsidP="00477D6B">
    <w:pPr>
      <w:jc w:val="right"/>
      <w:rPr>
        <w:lang w:val="es-E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B0E17A" w14:textId="77777777" w:rsidR="00611FA5" w:rsidRPr="00611FA5" w:rsidRDefault="00611FA5" w:rsidP="00AA5F79">
    <w:pPr>
      <w:pStyle w:val="Header"/>
      <w:jc w:val="right"/>
      <w:rPr>
        <w:lang w:val="es-ES"/>
      </w:rPr>
    </w:pPr>
    <w:r w:rsidRPr="00611FA5">
      <w:rPr>
        <w:lang w:val="es-ES"/>
      </w:rPr>
      <w:t>PCT/CTC/30/13</w:t>
    </w:r>
  </w:p>
  <w:p w14:paraId="24C6CE28" w14:textId="424A71DE" w:rsidR="00611FA5" w:rsidRPr="00611FA5" w:rsidRDefault="00611FA5" w:rsidP="00AA5F79">
    <w:pPr>
      <w:pStyle w:val="Header"/>
      <w:jc w:val="right"/>
      <w:rPr>
        <w:lang w:val="es-ES"/>
      </w:rPr>
    </w:pPr>
    <w:r w:rsidRPr="00611FA5">
      <w:rPr>
        <w:lang w:val="es-ES"/>
      </w:rPr>
      <w:t>ANEXO</w:t>
    </w:r>
  </w:p>
  <w:p w14:paraId="79DF8DEC" w14:textId="77777777" w:rsidR="00611FA5" w:rsidRDefault="00611F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1460E43"/>
    <w:multiLevelType w:val="multilevel"/>
    <w:tmpl w:val="0409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5B82534"/>
    <w:multiLevelType w:val="hybridMultilevel"/>
    <w:tmpl w:val="FEB29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1208AD"/>
    <w:multiLevelType w:val="multilevel"/>
    <w:tmpl w:val="0CAC89FE"/>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63F3EEE"/>
    <w:multiLevelType w:val="hybridMultilevel"/>
    <w:tmpl w:val="D2D48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5B005E"/>
    <w:multiLevelType w:val="hybridMultilevel"/>
    <w:tmpl w:val="4718D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11D24E26"/>
    <w:multiLevelType w:val="hybridMultilevel"/>
    <w:tmpl w:val="431C0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E53BE7"/>
    <w:multiLevelType w:val="hybridMultilevel"/>
    <w:tmpl w:val="943893CA"/>
    <w:lvl w:ilvl="0" w:tplc="0409000D">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nsid w:val="12AA4431"/>
    <w:multiLevelType w:val="hybridMultilevel"/>
    <w:tmpl w:val="E8AE0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7D5000"/>
    <w:multiLevelType w:val="singleLevel"/>
    <w:tmpl w:val="0409000F"/>
    <w:lvl w:ilvl="0">
      <w:start w:val="1"/>
      <w:numFmt w:val="decimal"/>
      <w:lvlText w:val="%1."/>
      <w:lvlJc w:val="left"/>
      <w:pPr>
        <w:tabs>
          <w:tab w:val="num" w:pos="360"/>
        </w:tabs>
        <w:ind w:left="360" w:hanging="360"/>
      </w:pPr>
    </w:lvl>
  </w:abstractNum>
  <w:abstractNum w:abstractNumId="11">
    <w:nsid w:val="18C97A40"/>
    <w:multiLevelType w:val="hybridMultilevel"/>
    <w:tmpl w:val="789434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239E2101"/>
    <w:multiLevelType w:val="hybridMultilevel"/>
    <w:tmpl w:val="D0EA2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30400B"/>
    <w:multiLevelType w:val="multilevel"/>
    <w:tmpl w:val="491E7712"/>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A2C26FA"/>
    <w:multiLevelType w:val="hybridMultilevel"/>
    <w:tmpl w:val="E8D6D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4C04F0"/>
    <w:multiLevelType w:val="multilevel"/>
    <w:tmpl w:val="0426709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EBA6089"/>
    <w:multiLevelType w:val="hybridMultilevel"/>
    <w:tmpl w:val="1AEC18E0"/>
    <w:lvl w:ilvl="0" w:tplc="10090003">
      <w:start w:val="1"/>
      <w:numFmt w:val="bullet"/>
      <w:lvlText w:val="o"/>
      <w:lvlJc w:val="left"/>
      <w:pPr>
        <w:ind w:left="720" w:hanging="360"/>
      </w:pPr>
      <w:rPr>
        <w:rFonts w:ascii="Courier New" w:hAnsi="Courier New" w:cs="Courier New"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nsid w:val="315F4EDD"/>
    <w:multiLevelType w:val="hybridMultilevel"/>
    <w:tmpl w:val="505424EC"/>
    <w:lvl w:ilvl="0" w:tplc="98EC331A">
      <w:start w:val="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E113D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48E6977"/>
    <w:multiLevelType w:val="hybridMultilevel"/>
    <w:tmpl w:val="AD401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C80A08"/>
    <w:multiLevelType w:val="hybridMultilevel"/>
    <w:tmpl w:val="F184DCC4"/>
    <w:lvl w:ilvl="0" w:tplc="98EC331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B6D7F73"/>
    <w:multiLevelType w:val="hybridMultilevel"/>
    <w:tmpl w:val="8B827C94"/>
    <w:lvl w:ilvl="0" w:tplc="98EC331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4A167D1F"/>
    <w:multiLevelType w:val="hybridMultilevel"/>
    <w:tmpl w:val="C18CC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1154D19"/>
    <w:multiLevelType w:val="multilevel"/>
    <w:tmpl w:val="838E7B9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51502EE8"/>
    <w:multiLevelType w:val="hybridMultilevel"/>
    <w:tmpl w:val="D6A402FA"/>
    <w:lvl w:ilvl="0" w:tplc="FCC491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9321D20"/>
    <w:multiLevelType w:val="hybridMultilevel"/>
    <w:tmpl w:val="F2124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AB05131"/>
    <w:multiLevelType w:val="multilevel"/>
    <w:tmpl w:val="F3E64DF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19279A3"/>
    <w:multiLevelType w:val="hybridMultilevel"/>
    <w:tmpl w:val="8912F558"/>
    <w:lvl w:ilvl="0" w:tplc="04AEE76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4560EEB"/>
    <w:multiLevelType w:val="hybridMultilevel"/>
    <w:tmpl w:val="1B68A3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7A45EDA"/>
    <w:multiLevelType w:val="hybridMultilevel"/>
    <w:tmpl w:val="F2B00E42"/>
    <w:lvl w:ilvl="0" w:tplc="98EC331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8250E36"/>
    <w:multiLevelType w:val="hybridMultilevel"/>
    <w:tmpl w:val="D786C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A185C23"/>
    <w:multiLevelType w:val="hybridMultilevel"/>
    <w:tmpl w:val="D3526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A6C1073"/>
    <w:multiLevelType w:val="multilevel"/>
    <w:tmpl w:val="0409001F"/>
    <w:numStyleLink w:val="Style1"/>
  </w:abstractNum>
  <w:abstractNum w:abstractNumId="36">
    <w:nsid w:val="709C571E"/>
    <w:multiLevelType w:val="multilevel"/>
    <w:tmpl w:val="CF0C8ADA"/>
    <w:lvl w:ilvl="0">
      <w:start w:val="1"/>
      <w:numFmt w:val="decimal"/>
      <w:lvlText w:val="%1"/>
      <w:lvlJc w:val="left"/>
      <w:pPr>
        <w:ind w:left="480" w:hanging="480"/>
      </w:pPr>
      <w:rPr>
        <w:rFonts w:hint="default"/>
        <w:u w:val="single"/>
      </w:rPr>
    </w:lvl>
    <w:lvl w:ilvl="1">
      <w:start w:val="1"/>
      <w:numFmt w:val="decimal"/>
      <w:lvlText w:val="%1.%2"/>
      <w:lvlJc w:val="left"/>
      <w:pPr>
        <w:ind w:left="480" w:hanging="480"/>
      </w:pPr>
      <w:rPr>
        <w:rFonts w:hint="default"/>
        <w:u w:val="none"/>
      </w:rPr>
    </w:lvl>
    <w:lvl w:ilvl="2">
      <w:start w:val="6"/>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37">
    <w:nsid w:val="71F817D4"/>
    <w:multiLevelType w:val="hybridMultilevel"/>
    <w:tmpl w:val="AD16B7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62B0E1A"/>
    <w:multiLevelType w:val="multilevel"/>
    <w:tmpl w:val="0409001F"/>
    <w:numStyleLink w:val="Style1"/>
  </w:abstractNum>
  <w:abstractNum w:abstractNumId="39">
    <w:nsid w:val="7ACF3C7D"/>
    <w:multiLevelType w:val="multilevel"/>
    <w:tmpl w:val="1E7A923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0"/>
  </w:num>
  <w:num w:numId="2">
    <w:abstractNumId w:val="23"/>
  </w:num>
  <w:num w:numId="3">
    <w:abstractNumId w:val="0"/>
  </w:num>
  <w:num w:numId="4">
    <w:abstractNumId w:val="25"/>
  </w:num>
  <w:num w:numId="5">
    <w:abstractNumId w:val="6"/>
  </w:num>
  <w:num w:numId="6">
    <w:abstractNumId w:val="12"/>
  </w:num>
  <w:num w:numId="7">
    <w:abstractNumId w:val="33"/>
  </w:num>
  <w:num w:numId="8">
    <w:abstractNumId w:val="7"/>
  </w:num>
  <w:num w:numId="9">
    <w:abstractNumId w:val="13"/>
  </w:num>
  <w:num w:numId="10">
    <w:abstractNumId w:val="19"/>
  </w:num>
  <w:num w:numId="11">
    <w:abstractNumId w:val="35"/>
  </w:num>
  <w:num w:numId="12">
    <w:abstractNumId w:val="1"/>
  </w:num>
  <w:num w:numId="13">
    <w:abstractNumId w:val="38"/>
  </w:num>
  <w:num w:numId="14">
    <w:abstractNumId w:val="39"/>
  </w:num>
  <w:num w:numId="15">
    <w:abstractNumId w:val="26"/>
  </w:num>
  <w:num w:numId="16">
    <w:abstractNumId w:val="16"/>
  </w:num>
  <w:num w:numId="17">
    <w:abstractNumId w:val="16"/>
    <w:lvlOverride w:ilvl="0">
      <w:lvl w:ilvl="0">
        <w:start w:val="3"/>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abstractNumId w:val="20"/>
  </w:num>
  <w:num w:numId="19">
    <w:abstractNumId w:val="34"/>
  </w:num>
  <w:num w:numId="20">
    <w:abstractNumId w:val="5"/>
  </w:num>
  <w:num w:numId="21">
    <w:abstractNumId w:val="30"/>
  </w:num>
  <w:num w:numId="22">
    <w:abstractNumId w:val="4"/>
  </w:num>
  <w:num w:numId="23">
    <w:abstractNumId w:val="3"/>
  </w:num>
  <w:num w:numId="24">
    <w:abstractNumId w:val="37"/>
  </w:num>
  <w:num w:numId="25">
    <w:abstractNumId w:val="8"/>
  </w:num>
  <w:num w:numId="26">
    <w:abstractNumId w:val="36"/>
  </w:num>
  <w:num w:numId="27">
    <w:abstractNumId w:val="32"/>
  </w:num>
  <w:num w:numId="28">
    <w:abstractNumId w:val="14"/>
  </w:num>
  <w:num w:numId="29">
    <w:abstractNumId w:val="29"/>
  </w:num>
  <w:num w:numId="30">
    <w:abstractNumId w:val="18"/>
  </w:num>
  <w:num w:numId="31">
    <w:abstractNumId w:val="21"/>
  </w:num>
  <w:num w:numId="32">
    <w:abstractNumId w:val="22"/>
  </w:num>
  <w:num w:numId="33">
    <w:abstractNumId w:val="9"/>
  </w:num>
  <w:num w:numId="34">
    <w:abstractNumId w:val="24"/>
  </w:num>
  <w:num w:numId="35">
    <w:abstractNumId w:val="27"/>
  </w:num>
  <w:num w:numId="36">
    <w:abstractNumId w:val="15"/>
  </w:num>
  <w:num w:numId="37">
    <w:abstractNumId w:val="11"/>
  </w:num>
  <w:num w:numId="38">
    <w:abstractNumId w:val="2"/>
  </w:num>
  <w:num w:numId="39">
    <w:abstractNumId w:val="28"/>
  </w:num>
  <w:num w:numId="40">
    <w:abstractNumId w:val="17"/>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0A4"/>
    <w:rsid w:val="00011582"/>
    <w:rsid w:val="00022F8B"/>
    <w:rsid w:val="00025911"/>
    <w:rsid w:val="00025BE1"/>
    <w:rsid w:val="00026310"/>
    <w:rsid w:val="00031E4E"/>
    <w:rsid w:val="000326A8"/>
    <w:rsid w:val="000400B6"/>
    <w:rsid w:val="00043CAA"/>
    <w:rsid w:val="00044CAE"/>
    <w:rsid w:val="0005707D"/>
    <w:rsid w:val="00063848"/>
    <w:rsid w:val="00067F2A"/>
    <w:rsid w:val="00073787"/>
    <w:rsid w:val="00075432"/>
    <w:rsid w:val="00083531"/>
    <w:rsid w:val="0009396D"/>
    <w:rsid w:val="000968ED"/>
    <w:rsid w:val="000B2A2F"/>
    <w:rsid w:val="000B3FA9"/>
    <w:rsid w:val="000B57F8"/>
    <w:rsid w:val="000B5CBB"/>
    <w:rsid w:val="000B646E"/>
    <w:rsid w:val="000B7D0E"/>
    <w:rsid w:val="000D0971"/>
    <w:rsid w:val="000E12F6"/>
    <w:rsid w:val="000F5E56"/>
    <w:rsid w:val="00107C28"/>
    <w:rsid w:val="00113BB5"/>
    <w:rsid w:val="001362EE"/>
    <w:rsid w:val="001571A7"/>
    <w:rsid w:val="00170975"/>
    <w:rsid w:val="00174852"/>
    <w:rsid w:val="001755C3"/>
    <w:rsid w:val="00180BE0"/>
    <w:rsid w:val="001816C5"/>
    <w:rsid w:val="001832A6"/>
    <w:rsid w:val="001839ED"/>
    <w:rsid w:val="00184BCD"/>
    <w:rsid w:val="00187602"/>
    <w:rsid w:val="001A0509"/>
    <w:rsid w:val="001A1B45"/>
    <w:rsid w:val="001A2860"/>
    <w:rsid w:val="001B4847"/>
    <w:rsid w:val="001B6EC3"/>
    <w:rsid w:val="001C3666"/>
    <w:rsid w:val="001C37BC"/>
    <w:rsid w:val="001D3092"/>
    <w:rsid w:val="001D4DAE"/>
    <w:rsid w:val="001D6AD7"/>
    <w:rsid w:val="001E237C"/>
    <w:rsid w:val="001F1F0C"/>
    <w:rsid w:val="00200C6A"/>
    <w:rsid w:val="00204915"/>
    <w:rsid w:val="00206A4A"/>
    <w:rsid w:val="0021217E"/>
    <w:rsid w:val="00221C06"/>
    <w:rsid w:val="00227A3F"/>
    <w:rsid w:val="002426BA"/>
    <w:rsid w:val="00260743"/>
    <w:rsid w:val="002634C4"/>
    <w:rsid w:val="00264831"/>
    <w:rsid w:val="00266403"/>
    <w:rsid w:val="002928D3"/>
    <w:rsid w:val="00295ACB"/>
    <w:rsid w:val="002A2B1F"/>
    <w:rsid w:val="002A4B99"/>
    <w:rsid w:val="002B751D"/>
    <w:rsid w:val="002C0CCE"/>
    <w:rsid w:val="002C166D"/>
    <w:rsid w:val="002C70DB"/>
    <w:rsid w:val="002E0881"/>
    <w:rsid w:val="002F1FE6"/>
    <w:rsid w:val="002F4BA8"/>
    <w:rsid w:val="002F4E68"/>
    <w:rsid w:val="0030027D"/>
    <w:rsid w:val="00312F7F"/>
    <w:rsid w:val="00315BAC"/>
    <w:rsid w:val="003259B1"/>
    <w:rsid w:val="00336487"/>
    <w:rsid w:val="0035027E"/>
    <w:rsid w:val="003545EF"/>
    <w:rsid w:val="003610C8"/>
    <w:rsid w:val="00361450"/>
    <w:rsid w:val="003644D6"/>
    <w:rsid w:val="003673CF"/>
    <w:rsid w:val="00371573"/>
    <w:rsid w:val="003744F6"/>
    <w:rsid w:val="00375D49"/>
    <w:rsid w:val="0037799C"/>
    <w:rsid w:val="003805C2"/>
    <w:rsid w:val="003831D2"/>
    <w:rsid w:val="00384231"/>
    <w:rsid w:val="003845C1"/>
    <w:rsid w:val="00393326"/>
    <w:rsid w:val="003A0916"/>
    <w:rsid w:val="003A6F89"/>
    <w:rsid w:val="003B38C1"/>
    <w:rsid w:val="003C5C4F"/>
    <w:rsid w:val="003D2C06"/>
    <w:rsid w:val="003D3996"/>
    <w:rsid w:val="003D6002"/>
    <w:rsid w:val="003E6686"/>
    <w:rsid w:val="003F2783"/>
    <w:rsid w:val="003F6D62"/>
    <w:rsid w:val="00401377"/>
    <w:rsid w:val="004107AC"/>
    <w:rsid w:val="004239EA"/>
    <w:rsid w:val="00423E3E"/>
    <w:rsid w:val="00427AF4"/>
    <w:rsid w:val="004323AD"/>
    <w:rsid w:val="004407EE"/>
    <w:rsid w:val="004413C9"/>
    <w:rsid w:val="0045542A"/>
    <w:rsid w:val="004555A1"/>
    <w:rsid w:val="0046131A"/>
    <w:rsid w:val="00462E60"/>
    <w:rsid w:val="004647DA"/>
    <w:rsid w:val="004718F7"/>
    <w:rsid w:val="00474062"/>
    <w:rsid w:val="004756C3"/>
    <w:rsid w:val="00477D6B"/>
    <w:rsid w:val="0048294B"/>
    <w:rsid w:val="004A6DF3"/>
    <w:rsid w:val="004C2420"/>
    <w:rsid w:val="004C2780"/>
    <w:rsid w:val="004C7BB6"/>
    <w:rsid w:val="004D6564"/>
    <w:rsid w:val="004F74E6"/>
    <w:rsid w:val="005019FF"/>
    <w:rsid w:val="00503FBD"/>
    <w:rsid w:val="00504552"/>
    <w:rsid w:val="0052153D"/>
    <w:rsid w:val="00530537"/>
    <w:rsid w:val="0053057A"/>
    <w:rsid w:val="00543BC5"/>
    <w:rsid w:val="00550034"/>
    <w:rsid w:val="00560A29"/>
    <w:rsid w:val="00565BE1"/>
    <w:rsid w:val="005741CB"/>
    <w:rsid w:val="0058136D"/>
    <w:rsid w:val="0058295C"/>
    <w:rsid w:val="00585B48"/>
    <w:rsid w:val="005A6A26"/>
    <w:rsid w:val="005B25F8"/>
    <w:rsid w:val="005B4052"/>
    <w:rsid w:val="005C40A3"/>
    <w:rsid w:val="005C6649"/>
    <w:rsid w:val="005D2A4B"/>
    <w:rsid w:val="005F2DC3"/>
    <w:rsid w:val="00600943"/>
    <w:rsid w:val="00605827"/>
    <w:rsid w:val="00611FA5"/>
    <w:rsid w:val="00627733"/>
    <w:rsid w:val="00640155"/>
    <w:rsid w:val="00640AFC"/>
    <w:rsid w:val="00645740"/>
    <w:rsid w:val="00646050"/>
    <w:rsid w:val="0066167E"/>
    <w:rsid w:val="00664CBD"/>
    <w:rsid w:val="0066576B"/>
    <w:rsid w:val="006713CA"/>
    <w:rsid w:val="00672F2C"/>
    <w:rsid w:val="00672F4E"/>
    <w:rsid w:val="0067606C"/>
    <w:rsid w:val="00676C5C"/>
    <w:rsid w:val="00687880"/>
    <w:rsid w:val="00694825"/>
    <w:rsid w:val="00697184"/>
    <w:rsid w:val="006A0791"/>
    <w:rsid w:val="006B4201"/>
    <w:rsid w:val="006E73A7"/>
    <w:rsid w:val="006E75E0"/>
    <w:rsid w:val="00700D6C"/>
    <w:rsid w:val="00704A83"/>
    <w:rsid w:val="00712DD3"/>
    <w:rsid w:val="0071439A"/>
    <w:rsid w:val="0073538C"/>
    <w:rsid w:val="0073717E"/>
    <w:rsid w:val="007377B2"/>
    <w:rsid w:val="007425E8"/>
    <w:rsid w:val="00742E82"/>
    <w:rsid w:val="00747253"/>
    <w:rsid w:val="00764B74"/>
    <w:rsid w:val="00770A01"/>
    <w:rsid w:val="00773766"/>
    <w:rsid w:val="0078162C"/>
    <w:rsid w:val="007922DF"/>
    <w:rsid w:val="0079450A"/>
    <w:rsid w:val="007A215A"/>
    <w:rsid w:val="007A7912"/>
    <w:rsid w:val="007B1505"/>
    <w:rsid w:val="007B19C2"/>
    <w:rsid w:val="007B3CF6"/>
    <w:rsid w:val="007D1613"/>
    <w:rsid w:val="007D287E"/>
    <w:rsid w:val="007D4238"/>
    <w:rsid w:val="007D66D3"/>
    <w:rsid w:val="007E1122"/>
    <w:rsid w:val="007E4C0E"/>
    <w:rsid w:val="00814EF6"/>
    <w:rsid w:val="00835AB7"/>
    <w:rsid w:val="00837953"/>
    <w:rsid w:val="008506E1"/>
    <w:rsid w:val="008654C1"/>
    <w:rsid w:val="00867B34"/>
    <w:rsid w:val="00873F8B"/>
    <w:rsid w:val="008742D9"/>
    <w:rsid w:val="00885167"/>
    <w:rsid w:val="008854B9"/>
    <w:rsid w:val="00887912"/>
    <w:rsid w:val="00887A4C"/>
    <w:rsid w:val="00894565"/>
    <w:rsid w:val="008A28E0"/>
    <w:rsid w:val="008A3CC6"/>
    <w:rsid w:val="008A5B94"/>
    <w:rsid w:val="008B2CC1"/>
    <w:rsid w:val="008B50A2"/>
    <w:rsid w:val="008B56A1"/>
    <w:rsid w:val="008B60B2"/>
    <w:rsid w:val="008C137B"/>
    <w:rsid w:val="008C27F6"/>
    <w:rsid w:val="008E0E8B"/>
    <w:rsid w:val="008F4158"/>
    <w:rsid w:val="009043F7"/>
    <w:rsid w:val="0090731E"/>
    <w:rsid w:val="00911A06"/>
    <w:rsid w:val="00916EE2"/>
    <w:rsid w:val="00917FAE"/>
    <w:rsid w:val="00920B5B"/>
    <w:rsid w:val="00933CB2"/>
    <w:rsid w:val="00957557"/>
    <w:rsid w:val="009603D1"/>
    <w:rsid w:val="00963276"/>
    <w:rsid w:val="00966A22"/>
    <w:rsid w:val="0096722F"/>
    <w:rsid w:val="009737C2"/>
    <w:rsid w:val="009743FE"/>
    <w:rsid w:val="00980843"/>
    <w:rsid w:val="00992355"/>
    <w:rsid w:val="00993F42"/>
    <w:rsid w:val="00997352"/>
    <w:rsid w:val="009A4DA5"/>
    <w:rsid w:val="009A795B"/>
    <w:rsid w:val="009B04B4"/>
    <w:rsid w:val="009B2256"/>
    <w:rsid w:val="009B56A2"/>
    <w:rsid w:val="009C1A56"/>
    <w:rsid w:val="009C67A8"/>
    <w:rsid w:val="009C7054"/>
    <w:rsid w:val="009D6133"/>
    <w:rsid w:val="009D640E"/>
    <w:rsid w:val="009E1D81"/>
    <w:rsid w:val="009E2791"/>
    <w:rsid w:val="009E3F6F"/>
    <w:rsid w:val="009E7E5E"/>
    <w:rsid w:val="009F499F"/>
    <w:rsid w:val="00A03230"/>
    <w:rsid w:val="00A033FE"/>
    <w:rsid w:val="00A0646D"/>
    <w:rsid w:val="00A17088"/>
    <w:rsid w:val="00A20864"/>
    <w:rsid w:val="00A35F8A"/>
    <w:rsid w:val="00A40E8B"/>
    <w:rsid w:val="00A41B96"/>
    <w:rsid w:val="00A42DAF"/>
    <w:rsid w:val="00A45BD8"/>
    <w:rsid w:val="00A61AD2"/>
    <w:rsid w:val="00A759C3"/>
    <w:rsid w:val="00A8564C"/>
    <w:rsid w:val="00A869B7"/>
    <w:rsid w:val="00A933CF"/>
    <w:rsid w:val="00A93428"/>
    <w:rsid w:val="00A93FC2"/>
    <w:rsid w:val="00A960AA"/>
    <w:rsid w:val="00AA330B"/>
    <w:rsid w:val="00AA5F79"/>
    <w:rsid w:val="00AB3F26"/>
    <w:rsid w:val="00AB6F4C"/>
    <w:rsid w:val="00AB76FA"/>
    <w:rsid w:val="00AC205C"/>
    <w:rsid w:val="00AC2355"/>
    <w:rsid w:val="00AC2BEA"/>
    <w:rsid w:val="00AC6584"/>
    <w:rsid w:val="00AD5660"/>
    <w:rsid w:val="00AD6C0C"/>
    <w:rsid w:val="00AF0A6B"/>
    <w:rsid w:val="00AF28B1"/>
    <w:rsid w:val="00AF6549"/>
    <w:rsid w:val="00AF7199"/>
    <w:rsid w:val="00B03370"/>
    <w:rsid w:val="00B05A69"/>
    <w:rsid w:val="00B06CD7"/>
    <w:rsid w:val="00B07141"/>
    <w:rsid w:val="00B1507E"/>
    <w:rsid w:val="00B230E7"/>
    <w:rsid w:val="00B25942"/>
    <w:rsid w:val="00B27E24"/>
    <w:rsid w:val="00B3474C"/>
    <w:rsid w:val="00B62D5B"/>
    <w:rsid w:val="00B67456"/>
    <w:rsid w:val="00B7139A"/>
    <w:rsid w:val="00B7212F"/>
    <w:rsid w:val="00B73B40"/>
    <w:rsid w:val="00B74190"/>
    <w:rsid w:val="00B815C3"/>
    <w:rsid w:val="00B85468"/>
    <w:rsid w:val="00B917FE"/>
    <w:rsid w:val="00B944AE"/>
    <w:rsid w:val="00B9734B"/>
    <w:rsid w:val="00BA299F"/>
    <w:rsid w:val="00BA30E2"/>
    <w:rsid w:val="00BA7B96"/>
    <w:rsid w:val="00BA7F8B"/>
    <w:rsid w:val="00BB306C"/>
    <w:rsid w:val="00BB50F0"/>
    <w:rsid w:val="00BD078D"/>
    <w:rsid w:val="00BD2847"/>
    <w:rsid w:val="00BE67ED"/>
    <w:rsid w:val="00BF18B9"/>
    <w:rsid w:val="00BF2FA2"/>
    <w:rsid w:val="00BF6E62"/>
    <w:rsid w:val="00BF705C"/>
    <w:rsid w:val="00C02638"/>
    <w:rsid w:val="00C11BFE"/>
    <w:rsid w:val="00C1783C"/>
    <w:rsid w:val="00C244F3"/>
    <w:rsid w:val="00C30A75"/>
    <w:rsid w:val="00C313DF"/>
    <w:rsid w:val="00C35CAA"/>
    <w:rsid w:val="00C36092"/>
    <w:rsid w:val="00C37C03"/>
    <w:rsid w:val="00C43C35"/>
    <w:rsid w:val="00C46076"/>
    <w:rsid w:val="00C5068F"/>
    <w:rsid w:val="00C650A4"/>
    <w:rsid w:val="00C65F7E"/>
    <w:rsid w:val="00C663CF"/>
    <w:rsid w:val="00C703AA"/>
    <w:rsid w:val="00C751E4"/>
    <w:rsid w:val="00C76DC3"/>
    <w:rsid w:val="00C86597"/>
    <w:rsid w:val="00C95BCC"/>
    <w:rsid w:val="00CB2D1F"/>
    <w:rsid w:val="00CB3A56"/>
    <w:rsid w:val="00CB4DDA"/>
    <w:rsid w:val="00CB7E15"/>
    <w:rsid w:val="00CD04F1"/>
    <w:rsid w:val="00CE1883"/>
    <w:rsid w:val="00CE696D"/>
    <w:rsid w:val="00CE7ACE"/>
    <w:rsid w:val="00D02D32"/>
    <w:rsid w:val="00D0660F"/>
    <w:rsid w:val="00D11421"/>
    <w:rsid w:val="00D256FF"/>
    <w:rsid w:val="00D34E02"/>
    <w:rsid w:val="00D378F7"/>
    <w:rsid w:val="00D45252"/>
    <w:rsid w:val="00D46156"/>
    <w:rsid w:val="00D47102"/>
    <w:rsid w:val="00D71B4D"/>
    <w:rsid w:val="00D76B9E"/>
    <w:rsid w:val="00D852EC"/>
    <w:rsid w:val="00D87D92"/>
    <w:rsid w:val="00D93D55"/>
    <w:rsid w:val="00D95D86"/>
    <w:rsid w:val="00DA5325"/>
    <w:rsid w:val="00DA5AF1"/>
    <w:rsid w:val="00DC236F"/>
    <w:rsid w:val="00DC38B9"/>
    <w:rsid w:val="00DD0FF9"/>
    <w:rsid w:val="00DD1601"/>
    <w:rsid w:val="00DE0C96"/>
    <w:rsid w:val="00DE4453"/>
    <w:rsid w:val="00DE6522"/>
    <w:rsid w:val="00E017B8"/>
    <w:rsid w:val="00E02485"/>
    <w:rsid w:val="00E07CEC"/>
    <w:rsid w:val="00E1209A"/>
    <w:rsid w:val="00E12EF3"/>
    <w:rsid w:val="00E15015"/>
    <w:rsid w:val="00E20B40"/>
    <w:rsid w:val="00E319BE"/>
    <w:rsid w:val="00E335FE"/>
    <w:rsid w:val="00E338A9"/>
    <w:rsid w:val="00E55E12"/>
    <w:rsid w:val="00E61E1F"/>
    <w:rsid w:val="00E71FAA"/>
    <w:rsid w:val="00E826DF"/>
    <w:rsid w:val="00E82D0C"/>
    <w:rsid w:val="00E86729"/>
    <w:rsid w:val="00E9275F"/>
    <w:rsid w:val="00E946CB"/>
    <w:rsid w:val="00E97F4D"/>
    <w:rsid w:val="00EA3C1A"/>
    <w:rsid w:val="00EA4C7B"/>
    <w:rsid w:val="00EB2FA0"/>
    <w:rsid w:val="00EB682C"/>
    <w:rsid w:val="00EC4B0C"/>
    <w:rsid w:val="00EC4E49"/>
    <w:rsid w:val="00ED1252"/>
    <w:rsid w:val="00ED5334"/>
    <w:rsid w:val="00ED77FB"/>
    <w:rsid w:val="00EE0E16"/>
    <w:rsid w:val="00EE45FA"/>
    <w:rsid w:val="00EE5BA8"/>
    <w:rsid w:val="00F0612A"/>
    <w:rsid w:val="00F13BB0"/>
    <w:rsid w:val="00F241A3"/>
    <w:rsid w:val="00F33930"/>
    <w:rsid w:val="00F368FC"/>
    <w:rsid w:val="00F424D6"/>
    <w:rsid w:val="00F442B2"/>
    <w:rsid w:val="00F620B9"/>
    <w:rsid w:val="00F64DB9"/>
    <w:rsid w:val="00F65EED"/>
    <w:rsid w:val="00F66152"/>
    <w:rsid w:val="00F8354E"/>
    <w:rsid w:val="00F92A02"/>
    <w:rsid w:val="00F96BB2"/>
    <w:rsid w:val="00FA4CE0"/>
    <w:rsid w:val="00FC68C6"/>
    <w:rsid w:val="00FC71E4"/>
    <w:rsid w:val="00FD06A7"/>
    <w:rsid w:val="00FD111E"/>
    <w:rsid w:val="00FE3058"/>
    <w:rsid w:val="00FF04EF"/>
    <w:rsid w:val="00FF2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1630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toc 4" w:uiPriority="39"/>
    <w:lsdException w:name="footnote text" w:uiPriority="99"/>
    <w:lsdException w:name="header" w:uiPriority="99"/>
    <w:lsdException w:name="footer" w:uiPriority="99"/>
    <w:lsdException w:name="caption" w:qFormat="1"/>
    <w:lsdException w:name="footnote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Body Text" w:uiPriority="1"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Indent 3" w:uiPriority="99"/>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uiPriority w:val="1"/>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A41B96"/>
    <w:pPr>
      <w:keepNext/>
      <w:outlineLvl w:val="1"/>
    </w:pPr>
    <w:rPr>
      <w:rFonts w:ascii="Arial Bold" w:hAnsi="Arial Bold"/>
      <w:b/>
      <w:bCs/>
      <w:iCs/>
      <w:szCs w:val="28"/>
    </w:rPr>
  </w:style>
  <w:style w:type="paragraph" w:styleId="Heading3">
    <w:name w:val="heading 3"/>
    <w:basedOn w:val="Normal"/>
    <w:next w:val="Normal"/>
    <w:link w:val="Heading3Char"/>
    <w:qFormat/>
    <w:rsid w:val="00A41B96"/>
    <w:pPr>
      <w:keepNext/>
      <w:tabs>
        <w:tab w:val="left" w:pos="709"/>
      </w:tabs>
      <w:outlineLvl w:val="2"/>
    </w:pPr>
    <w:rPr>
      <w:bCs/>
      <w:szCs w:val="26"/>
      <w:u w:val="single"/>
    </w:rPr>
  </w:style>
  <w:style w:type="paragraph" w:styleId="Heading4">
    <w:name w:val="heading 4"/>
    <w:basedOn w:val="Normal"/>
    <w:next w:val="Normal"/>
    <w:link w:val="Heading4Char"/>
    <w:qFormat/>
    <w:rsid w:val="003259B1"/>
    <w:pPr>
      <w:keepNext/>
      <w:outlineLvl w:val="3"/>
    </w:pPr>
    <w:rPr>
      <w:bCs/>
      <w:i/>
      <w:szCs w:val="28"/>
    </w:rPr>
  </w:style>
  <w:style w:type="paragraph" w:styleId="Heading5">
    <w:name w:val="heading 5"/>
    <w:basedOn w:val="Normal"/>
    <w:next w:val="Normal"/>
    <w:link w:val="Heading5Char"/>
    <w:qFormat/>
    <w:rsid w:val="002C70DB"/>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1"/>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rsid w:val="00A41B96"/>
    <w:rPr>
      <w:sz w:val="20"/>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rsid w:val="00C650A4"/>
    <w:rPr>
      <w:rFonts w:ascii="Tahoma" w:hAnsi="Tahoma" w:cs="Tahoma"/>
      <w:sz w:val="16"/>
      <w:szCs w:val="16"/>
    </w:rPr>
  </w:style>
  <w:style w:type="character" w:customStyle="1" w:styleId="BalloonTextChar">
    <w:name w:val="Balloon Text Char"/>
    <w:basedOn w:val="DefaultParagraphFont"/>
    <w:link w:val="BalloonText"/>
    <w:rsid w:val="00C650A4"/>
    <w:rPr>
      <w:rFonts w:ascii="Tahoma" w:eastAsia="SimSun" w:hAnsi="Tahoma" w:cs="Tahoma"/>
      <w:sz w:val="16"/>
      <w:szCs w:val="16"/>
      <w:lang w:eastAsia="zh-CN"/>
    </w:rPr>
  </w:style>
  <w:style w:type="character" w:customStyle="1" w:styleId="ONUMEChar">
    <w:name w:val="ONUM E Char"/>
    <w:basedOn w:val="DefaultParagraphFont"/>
    <w:link w:val="ONUME"/>
    <w:uiPriority w:val="99"/>
    <w:locked/>
    <w:rsid w:val="005C40A3"/>
    <w:rPr>
      <w:rFonts w:ascii="Arial" w:eastAsia="SimSun" w:hAnsi="Arial" w:cs="Arial"/>
      <w:sz w:val="22"/>
      <w:lang w:eastAsia="zh-CN"/>
    </w:rPr>
  </w:style>
  <w:style w:type="character" w:customStyle="1" w:styleId="Heading5Char">
    <w:name w:val="Heading 5 Char"/>
    <w:basedOn w:val="DefaultParagraphFont"/>
    <w:link w:val="Heading5"/>
    <w:rsid w:val="002C70DB"/>
    <w:rPr>
      <w:rFonts w:ascii="Arial" w:eastAsia="SimSun" w:hAnsi="Arial" w:cs="Arial"/>
      <w:b/>
      <w:bCs/>
      <w:i/>
      <w:iCs/>
      <w:sz w:val="26"/>
      <w:szCs w:val="26"/>
      <w:lang w:eastAsia="zh-CN"/>
    </w:rPr>
  </w:style>
  <w:style w:type="character" w:customStyle="1" w:styleId="Heading1Char">
    <w:name w:val="Heading 1 Char"/>
    <w:link w:val="Heading1"/>
    <w:uiPriority w:val="1"/>
    <w:rsid w:val="002C70DB"/>
    <w:rPr>
      <w:rFonts w:ascii="Arial" w:eastAsia="SimSun" w:hAnsi="Arial" w:cs="Arial"/>
      <w:b/>
      <w:bCs/>
      <w:caps/>
      <w:kern w:val="32"/>
      <w:sz w:val="22"/>
      <w:szCs w:val="32"/>
      <w:lang w:eastAsia="zh-CN"/>
    </w:rPr>
  </w:style>
  <w:style w:type="character" w:customStyle="1" w:styleId="Heading2Char">
    <w:name w:val="Heading 2 Char"/>
    <w:link w:val="Heading2"/>
    <w:rsid w:val="00A41B96"/>
    <w:rPr>
      <w:rFonts w:ascii="Arial Bold" w:eastAsia="SimSun" w:hAnsi="Arial Bold" w:cs="Arial"/>
      <w:b/>
      <w:bCs/>
      <w:iCs/>
      <w:sz w:val="22"/>
      <w:szCs w:val="28"/>
      <w:lang w:eastAsia="zh-CN"/>
    </w:rPr>
  </w:style>
  <w:style w:type="character" w:customStyle="1" w:styleId="Heading3Char">
    <w:name w:val="Heading 3 Char"/>
    <w:link w:val="Heading3"/>
    <w:rsid w:val="00A41B96"/>
    <w:rPr>
      <w:rFonts w:ascii="Arial" w:eastAsia="SimSun" w:hAnsi="Arial" w:cs="Arial"/>
      <w:bCs/>
      <w:sz w:val="22"/>
      <w:szCs w:val="26"/>
      <w:u w:val="single"/>
      <w:lang w:eastAsia="zh-CN"/>
    </w:rPr>
  </w:style>
  <w:style w:type="character" w:customStyle="1" w:styleId="Heading4Char">
    <w:name w:val="Heading 4 Char"/>
    <w:link w:val="Heading4"/>
    <w:rsid w:val="003259B1"/>
    <w:rPr>
      <w:rFonts w:ascii="Arial" w:eastAsia="SimSun" w:hAnsi="Arial" w:cs="Arial"/>
      <w:bCs/>
      <w:i/>
      <w:sz w:val="22"/>
      <w:szCs w:val="28"/>
      <w:lang w:eastAsia="zh-CN"/>
    </w:rPr>
  </w:style>
  <w:style w:type="character" w:customStyle="1" w:styleId="BodyTextChar">
    <w:name w:val="Body Text Char"/>
    <w:link w:val="BodyText"/>
    <w:uiPriority w:val="1"/>
    <w:rsid w:val="002C70DB"/>
    <w:rPr>
      <w:rFonts w:ascii="Arial" w:eastAsia="SimSun" w:hAnsi="Arial" w:cs="Arial"/>
      <w:sz w:val="22"/>
      <w:lang w:eastAsia="zh-CN"/>
    </w:rPr>
  </w:style>
  <w:style w:type="character" w:customStyle="1" w:styleId="CommentTextChar">
    <w:name w:val="Comment Text Char"/>
    <w:semiHidden/>
    <w:rsid w:val="002C70DB"/>
    <w:rPr>
      <w:rFonts w:ascii="Arial" w:eastAsia="SimSun" w:hAnsi="Arial"/>
      <w:sz w:val="18"/>
      <w:lang w:eastAsia="zh-CN" w:bidi="ar-SA"/>
    </w:rPr>
  </w:style>
  <w:style w:type="character" w:customStyle="1" w:styleId="EndnoteTextChar">
    <w:name w:val="Endnote Text Char"/>
    <w:link w:val="EndnoteText"/>
    <w:semiHidden/>
    <w:rsid w:val="002C70DB"/>
    <w:rPr>
      <w:rFonts w:ascii="Arial" w:eastAsia="SimSun" w:hAnsi="Arial" w:cs="Arial"/>
      <w:sz w:val="18"/>
      <w:lang w:eastAsia="zh-CN"/>
    </w:rPr>
  </w:style>
  <w:style w:type="character" w:customStyle="1" w:styleId="FooterChar">
    <w:name w:val="Footer Char"/>
    <w:link w:val="Footer"/>
    <w:uiPriority w:val="99"/>
    <w:rsid w:val="002C70DB"/>
    <w:rPr>
      <w:rFonts w:ascii="Arial" w:eastAsia="SimSun" w:hAnsi="Arial" w:cs="Arial"/>
      <w:sz w:val="22"/>
      <w:lang w:eastAsia="zh-CN"/>
    </w:rPr>
  </w:style>
  <w:style w:type="character" w:customStyle="1" w:styleId="FootnoteTextChar">
    <w:name w:val="Footnote Text Char"/>
    <w:link w:val="FootnoteText"/>
    <w:uiPriority w:val="99"/>
    <w:rsid w:val="00A41B96"/>
    <w:rPr>
      <w:rFonts w:ascii="Arial" w:eastAsia="SimSun" w:hAnsi="Arial" w:cs="Arial"/>
      <w:lang w:eastAsia="zh-CN"/>
    </w:rPr>
  </w:style>
  <w:style w:type="character" w:customStyle="1" w:styleId="HeaderChar">
    <w:name w:val="Header Char"/>
    <w:link w:val="Header"/>
    <w:uiPriority w:val="99"/>
    <w:rsid w:val="002C70DB"/>
    <w:rPr>
      <w:rFonts w:ascii="Arial" w:eastAsia="SimSun" w:hAnsi="Arial" w:cs="Arial"/>
      <w:sz w:val="22"/>
      <w:lang w:eastAsia="zh-CN"/>
    </w:rPr>
  </w:style>
  <w:style w:type="character" w:customStyle="1" w:styleId="SalutationChar">
    <w:name w:val="Salutation Char"/>
    <w:link w:val="Salutation"/>
    <w:semiHidden/>
    <w:rsid w:val="002C70DB"/>
    <w:rPr>
      <w:rFonts w:ascii="Arial" w:eastAsia="SimSun" w:hAnsi="Arial" w:cs="Arial"/>
      <w:sz w:val="22"/>
      <w:lang w:eastAsia="zh-CN"/>
    </w:rPr>
  </w:style>
  <w:style w:type="character" w:customStyle="1" w:styleId="SignatureChar">
    <w:name w:val="Signature Char"/>
    <w:link w:val="Signature"/>
    <w:semiHidden/>
    <w:rsid w:val="002C70DB"/>
    <w:rPr>
      <w:rFonts w:ascii="Arial" w:eastAsia="SimSun" w:hAnsi="Arial" w:cs="Arial"/>
      <w:sz w:val="22"/>
      <w:lang w:eastAsia="zh-CN"/>
    </w:rPr>
  </w:style>
  <w:style w:type="paragraph" w:customStyle="1" w:styleId="Guidance">
    <w:name w:val="Guidance"/>
    <w:basedOn w:val="Normal"/>
    <w:rsid w:val="002C70DB"/>
    <w:pPr>
      <w:pBdr>
        <w:top w:val="single" w:sz="4" w:space="1" w:color="auto"/>
        <w:left w:val="single" w:sz="4" w:space="4" w:color="auto"/>
        <w:bottom w:val="single" w:sz="4" w:space="1" w:color="auto"/>
        <w:right w:val="single" w:sz="4" w:space="4" w:color="auto"/>
      </w:pBdr>
      <w:shd w:val="clear" w:color="auto" w:fill="FFFF99"/>
      <w:spacing w:after="120" w:line="240" w:lineRule="atLeast"/>
    </w:pPr>
    <w:rPr>
      <w:rFonts w:eastAsia="Times New Roman" w:cs="Times New Roman"/>
      <w:i/>
      <w:sz w:val="18"/>
      <w:lang w:eastAsia="en-US"/>
    </w:rPr>
  </w:style>
  <w:style w:type="paragraph" w:styleId="MacroText">
    <w:name w:val="macro"/>
    <w:link w:val="MacroTextChar"/>
    <w:rsid w:val="002C70DB"/>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
    <w:name w:val="Macro Text Char"/>
    <w:basedOn w:val="DefaultParagraphFont"/>
    <w:link w:val="MacroText"/>
    <w:rsid w:val="002C70DB"/>
    <w:rPr>
      <w:rFonts w:ascii="Courier New" w:hAnsi="Courier New"/>
      <w:sz w:val="16"/>
    </w:rPr>
  </w:style>
  <w:style w:type="table" w:styleId="TableGrid">
    <w:name w:val="Table Grid"/>
    <w:basedOn w:val="TableNormal"/>
    <w:rsid w:val="002C70DB"/>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2C70DB"/>
  </w:style>
  <w:style w:type="paragraph" w:customStyle="1" w:styleId="GuidanceNumbered">
    <w:name w:val="Guidance Numbered"/>
    <w:basedOn w:val="Guidance"/>
    <w:rsid w:val="002C70DB"/>
    <w:pPr>
      <w:keepNext/>
      <w:keepLines/>
      <w:ind w:left="567" w:hanging="567"/>
    </w:pPr>
    <w:rPr>
      <w:rFonts w:eastAsia="SimSun"/>
    </w:rPr>
  </w:style>
  <w:style w:type="paragraph" w:customStyle="1" w:styleId="GuidanceNumbereda">
    <w:name w:val="Guidance Numbered (a)"/>
    <w:basedOn w:val="GuidanceNumbered"/>
    <w:rsid w:val="002C70DB"/>
    <w:pPr>
      <w:tabs>
        <w:tab w:val="left" w:pos="567"/>
      </w:tabs>
      <w:ind w:left="1134" w:hanging="1134"/>
    </w:pPr>
  </w:style>
  <w:style w:type="paragraph" w:customStyle="1" w:styleId="GuidanceNumberedai">
    <w:name w:val="Guidance Numbered (a)(i)"/>
    <w:basedOn w:val="GuidanceNumbereda"/>
    <w:rsid w:val="002C70DB"/>
    <w:pPr>
      <w:tabs>
        <w:tab w:val="clear" w:pos="567"/>
        <w:tab w:val="left" w:pos="1134"/>
      </w:tabs>
      <w:ind w:left="1701" w:hanging="1701"/>
    </w:pPr>
  </w:style>
  <w:style w:type="paragraph" w:customStyle="1" w:styleId="Default">
    <w:name w:val="Default"/>
    <w:rsid w:val="002C70DB"/>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2C70DB"/>
    <w:pPr>
      <w:ind w:left="720"/>
      <w:contextualSpacing/>
    </w:pPr>
  </w:style>
  <w:style w:type="numbering" w:customStyle="1" w:styleId="Style1">
    <w:name w:val="Style1"/>
    <w:rsid w:val="002C70DB"/>
    <w:pPr>
      <w:numPr>
        <w:numId w:val="12"/>
      </w:numPr>
    </w:pPr>
  </w:style>
  <w:style w:type="character" w:styleId="CommentReference">
    <w:name w:val="annotation reference"/>
    <w:unhideWhenUsed/>
    <w:rsid w:val="002C70DB"/>
    <w:rPr>
      <w:sz w:val="16"/>
      <w:szCs w:val="16"/>
    </w:rPr>
  </w:style>
  <w:style w:type="paragraph" w:styleId="CommentSubject">
    <w:name w:val="annotation subject"/>
    <w:basedOn w:val="CommentText"/>
    <w:next w:val="CommentText"/>
    <w:link w:val="CommentSubjectChar"/>
    <w:unhideWhenUsed/>
    <w:rsid w:val="002C70DB"/>
    <w:rPr>
      <w:b/>
      <w:bCs/>
      <w:sz w:val="20"/>
    </w:rPr>
  </w:style>
  <w:style w:type="character" w:customStyle="1" w:styleId="CommentTextChar1">
    <w:name w:val="Comment Text Char1"/>
    <w:basedOn w:val="DefaultParagraphFont"/>
    <w:link w:val="CommentText"/>
    <w:semiHidden/>
    <w:rsid w:val="002C70DB"/>
    <w:rPr>
      <w:rFonts w:ascii="Arial" w:eastAsia="SimSun" w:hAnsi="Arial" w:cs="Arial"/>
      <w:sz w:val="18"/>
      <w:lang w:eastAsia="zh-CN"/>
    </w:rPr>
  </w:style>
  <w:style w:type="character" w:customStyle="1" w:styleId="CommentSubjectChar">
    <w:name w:val="Comment Subject Char"/>
    <w:basedOn w:val="CommentTextChar1"/>
    <w:link w:val="CommentSubject"/>
    <w:rsid w:val="002C70DB"/>
    <w:rPr>
      <w:rFonts w:ascii="Arial" w:eastAsia="SimSun" w:hAnsi="Arial" w:cs="Arial"/>
      <w:b/>
      <w:bCs/>
      <w:sz w:val="18"/>
      <w:lang w:eastAsia="zh-CN"/>
    </w:rPr>
  </w:style>
  <w:style w:type="numbering" w:customStyle="1" w:styleId="1">
    <w:name w:val="ללא רשימה1"/>
    <w:next w:val="NoList"/>
    <w:uiPriority w:val="99"/>
    <w:semiHidden/>
    <w:unhideWhenUsed/>
    <w:rsid w:val="002C70DB"/>
  </w:style>
  <w:style w:type="paragraph" w:styleId="List2">
    <w:name w:val="List 2"/>
    <w:basedOn w:val="Normal"/>
    <w:rsid w:val="002C70DB"/>
    <w:pPr>
      <w:ind w:left="566" w:hanging="283"/>
    </w:pPr>
  </w:style>
  <w:style w:type="paragraph" w:customStyle="1" w:styleId="DateSignatureAligned">
    <w:name w:val="Date / Signature Aligned"/>
    <w:basedOn w:val="Normal"/>
    <w:rsid w:val="002C70DB"/>
    <w:pPr>
      <w:ind w:left="5250"/>
    </w:pPr>
  </w:style>
  <w:style w:type="character" w:styleId="Hyperlink">
    <w:name w:val="Hyperlink"/>
    <w:uiPriority w:val="99"/>
    <w:rsid w:val="00BA7F8B"/>
    <w:rPr>
      <w:color w:val="auto"/>
      <w:u w:val="none"/>
    </w:rPr>
  </w:style>
  <w:style w:type="paragraph" w:customStyle="1" w:styleId="ArtRuleRef">
    <w:name w:val="Art/Rule Ref"/>
    <w:basedOn w:val="Normal"/>
    <w:rsid w:val="002C70DB"/>
    <w:pPr>
      <w:keepNext/>
      <w:keepLines/>
      <w:jc w:val="right"/>
    </w:pPr>
    <w:rPr>
      <w:rFonts w:eastAsia="Arial Unicode MS"/>
      <w:i/>
      <w:snapToGrid w:val="0"/>
      <w:sz w:val="16"/>
      <w:lang w:eastAsia="ja-JP"/>
    </w:rPr>
  </w:style>
  <w:style w:type="character" w:styleId="FootnoteReference">
    <w:name w:val="footnote reference"/>
    <w:uiPriority w:val="99"/>
    <w:rsid w:val="002C70DB"/>
    <w:rPr>
      <w:vertAlign w:val="superscript"/>
    </w:rPr>
  </w:style>
  <w:style w:type="table" w:styleId="TableContemporary">
    <w:name w:val="Table Contemporary"/>
    <w:basedOn w:val="TableNormal"/>
    <w:rsid w:val="002C70DB"/>
    <w:pPr>
      <w:suppressAutoHyphens/>
    </w:pPr>
    <w:rPr>
      <w:rFonts w:eastAsia="SimSun"/>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EPODocNormal">
    <w:name w:val="EPODocNormal"/>
    <w:basedOn w:val="Normal"/>
    <w:rsid w:val="002C70DB"/>
    <w:pPr>
      <w:suppressAutoHyphens/>
      <w:ind w:left="1134"/>
    </w:pPr>
    <w:rPr>
      <w:rFonts w:eastAsia="Times New Roman"/>
      <w:sz w:val="24"/>
      <w:szCs w:val="24"/>
      <w:lang w:val="en-GB" w:eastAsia="en-GB"/>
    </w:rPr>
  </w:style>
  <w:style w:type="character" w:styleId="Emphasis">
    <w:name w:val="Emphasis"/>
    <w:qFormat/>
    <w:rsid w:val="002C70DB"/>
    <w:rPr>
      <w:i/>
      <w:iCs/>
    </w:rPr>
  </w:style>
  <w:style w:type="table" w:styleId="TableElegant">
    <w:name w:val="Table Elegant"/>
    <w:basedOn w:val="TableNormal"/>
    <w:rsid w:val="002C70DB"/>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BodyTexti">
    <w:name w:val="Body Text (i)"/>
    <w:basedOn w:val="Normal"/>
    <w:rsid w:val="002C70DB"/>
    <w:pPr>
      <w:tabs>
        <w:tab w:val="right" w:pos="851"/>
        <w:tab w:val="left" w:pos="1134"/>
      </w:tabs>
      <w:spacing w:after="120"/>
    </w:pPr>
    <w:rPr>
      <w:rFonts w:eastAsia="Times New Roman" w:cs="Times New Roman"/>
      <w:snapToGrid w:val="0"/>
      <w:lang w:eastAsia="en-US"/>
    </w:rPr>
  </w:style>
  <w:style w:type="paragraph" w:customStyle="1" w:styleId="BodyTexta">
    <w:name w:val="Body Text (a)"/>
    <w:basedOn w:val="Normal"/>
    <w:rsid w:val="002C70DB"/>
    <w:pPr>
      <w:spacing w:after="120"/>
      <w:ind w:firstLine="567"/>
    </w:pPr>
    <w:rPr>
      <w:rFonts w:eastAsia="Times New Roman" w:cs="Times New Roman"/>
      <w:lang w:eastAsia="en-US"/>
    </w:rPr>
  </w:style>
  <w:style w:type="paragraph" w:customStyle="1" w:styleId="ExampleClaim">
    <w:name w:val="Example Claim"/>
    <w:basedOn w:val="ExampleText"/>
    <w:rsid w:val="002C70DB"/>
    <w:pPr>
      <w:ind w:left="1134" w:hanging="567"/>
    </w:pPr>
  </w:style>
  <w:style w:type="paragraph" w:customStyle="1" w:styleId="ExampleText">
    <w:name w:val="Example Text"/>
    <w:basedOn w:val="BodyTextIndent"/>
    <w:rsid w:val="002C70DB"/>
    <w:pPr>
      <w:ind w:left="567"/>
    </w:pPr>
    <w:rPr>
      <w:rFonts w:eastAsia="Times New Roman" w:cs="Times New Roman"/>
      <w:i/>
      <w:lang w:eastAsia="en-US"/>
    </w:rPr>
  </w:style>
  <w:style w:type="paragraph" w:customStyle="1" w:styleId="ExampleClaimSub">
    <w:name w:val="Example Claim Sub"/>
    <w:basedOn w:val="ExampleClaim"/>
    <w:rsid w:val="002C70DB"/>
    <w:pPr>
      <w:ind w:firstLine="567"/>
    </w:pPr>
  </w:style>
  <w:style w:type="paragraph" w:customStyle="1" w:styleId="ExampleClaimEnd">
    <w:name w:val="Example Claim End"/>
    <w:basedOn w:val="ExampleClaimSub"/>
    <w:rsid w:val="002C70DB"/>
    <w:pPr>
      <w:ind w:firstLine="0"/>
    </w:pPr>
  </w:style>
  <w:style w:type="paragraph" w:customStyle="1" w:styleId="ExamplePolymorphism">
    <w:name w:val="Example Polymorphism"/>
    <w:basedOn w:val="ExampleClaim"/>
    <w:rsid w:val="002C70DB"/>
    <w:pPr>
      <w:tabs>
        <w:tab w:val="right" w:pos="1980"/>
        <w:tab w:val="right" w:pos="3600"/>
        <w:tab w:val="right" w:pos="5400"/>
        <w:tab w:val="left" w:pos="5580"/>
      </w:tabs>
      <w:spacing w:after="0"/>
      <w:ind w:left="567" w:firstLine="0"/>
    </w:pPr>
  </w:style>
  <w:style w:type="paragraph" w:customStyle="1" w:styleId="ExamplePolyHeader">
    <w:name w:val="Example Poly Header"/>
    <w:basedOn w:val="ExamplePolymorphism"/>
    <w:rsid w:val="002C70DB"/>
    <w:pPr>
      <w:tabs>
        <w:tab w:val="clear" w:pos="1980"/>
        <w:tab w:val="clear" w:pos="5400"/>
        <w:tab w:val="clear" w:pos="5580"/>
        <w:tab w:val="left" w:pos="1134"/>
        <w:tab w:val="left" w:pos="3969"/>
      </w:tabs>
    </w:pPr>
  </w:style>
  <w:style w:type="character" w:customStyle="1" w:styleId="InsertedText">
    <w:name w:val="Inserted Text"/>
    <w:qFormat/>
    <w:rsid w:val="002C70DB"/>
    <w:rPr>
      <w:color w:val="0000FF"/>
      <w:u w:val="single"/>
    </w:rPr>
  </w:style>
  <w:style w:type="paragraph" w:styleId="BodyTextIndent">
    <w:name w:val="Body Text Indent"/>
    <w:basedOn w:val="Normal"/>
    <w:link w:val="BodyTextIndentChar"/>
    <w:rsid w:val="002C70DB"/>
    <w:pPr>
      <w:spacing w:after="120"/>
      <w:ind w:left="283"/>
    </w:pPr>
  </w:style>
  <w:style w:type="character" w:customStyle="1" w:styleId="BodyTextIndentChar">
    <w:name w:val="Body Text Indent Char"/>
    <w:basedOn w:val="DefaultParagraphFont"/>
    <w:link w:val="BodyTextIndent"/>
    <w:rsid w:val="002C70DB"/>
    <w:rPr>
      <w:rFonts w:ascii="Arial" w:eastAsia="SimSun" w:hAnsi="Arial" w:cs="Arial"/>
      <w:sz w:val="22"/>
      <w:lang w:eastAsia="zh-CN"/>
    </w:rPr>
  </w:style>
  <w:style w:type="paragraph" w:styleId="TOC1">
    <w:name w:val="toc 1"/>
    <w:basedOn w:val="Normal"/>
    <w:next w:val="Normal"/>
    <w:autoRedefine/>
    <w:uiPriority w:val="39"/>
    <w:rsid w:val="002C70DB"/>
    <w:pPr>
      <w:spacing w:after="100"/>
    </w:pPr>
  </w:style>
  <w:style w:type="paragraph" w:styleId="TOC3">
    <w:name w:val="toc 3"/>
    <w:basedOn w:val="Normal"/>
    <w:next w:val="Normal"/>
    <w:autoRedefine/>
    <w:uiPriority w:val="39"/>
    <w:rsid w:val="002C70DB"/>
    <w:pPr>
      <w:spacing w:after="100"/>
      <w:ind w:left="440"/>
    </w:pPr>
  </w:style>
  <w:style w:type="paragraph" w:styleId="TOC4">
    <w:name w:val="toc 4"/>
    <w:basedOn w:val="Normal"/>
    <w:next w:val="Normal"/>
    <w:autoRedefine/>
    <w:uiPriority w:val="39"/>
    <w:rsid w:val="002C70DB"/>
    <w:pPr>
      <w:spacing w:after="100"/>
      <w:ind w:left="660"/>
    </w:pPr>
  </w:style>
  <w:style w:type="paragraph" w:styleId="Revision">
    <w:name w:val="Revision"/>
    <w:hidden/>
    <w:uiPriority w:val="99"/>
    <w:semiHidden/>
    <w:rsid w:val="002C70DB"/>
    <w:rPr>
      <w:rFonts w:ascii="Arial" w:eastAsia="SimSun" w:hAnsi="Arial" w:cs="Arial"/>
      <w:sz w:val="22"/>
      <w:lang w:eastAsia="zh-CN"/>
    </w:rPr>
  </w:style>
  <w:style w:type="paragraph" w:customStyle="1" w:styleId="SectionHeading">
    <w:name w:val="Section Heading"/>
    <w:basedOn w:val="Heading1"/>
    <w:link w:val="SectionHeadingChar"/>
    <w:qFormat/>
    <w:rsid w:val="002C70DB"/>
    <w:pPr>
      <w:pBdr>
        <w:top w:val="single" w:sz="4" w:space="1" w:color="auto"/>
        <w:bottom w:val="single" w:sz="4" w:space="1" w:color="auto"/>
      </w:pBdr>
      <w:spacing w:before="360" w:after="200"/>
    </w:pPr>
  </w:style>
  <w:style w:type="character" w:customStyle="1" w:styleId="SectionHeadingChar">
    <w:name w:val="Section Heading Char"/>
    <w:link w:val="SectionHeading"/>
    <w:rsid w:val="002C70DB"/>
    <w:rPr>
      <w:rFonts w:ascii="Arial" w:eastAsia="SimSun" w:hAnsi="Arial" w:cs="Arial"/>
      <w:b/>
      <w:bCs/>
      <w:caps/>
      <w:kern w:val="32"/>
      <w:sz w:val="22"/>
      <w:szCs w:val="32"/>
      <w:lang w:eastAsia="zh-CN"/>
    </w:rPr>
  </w:style>
  <w:style w:type="numbering" w:customStyle="1" w:styleId="2">
    <w:name w:val="ללא רשימה2"/>
    <w:next w:val="NoList"/>
    <w:semiHidden/>
    <w:rsid w:val="002C70DB"/>
  </w:style>
  <w:style w:type="paragraph" w:customStyle="1" w:styleId="eng">
    <w:name w:val="eng"/>
    <w:basedOn w:val="Normal"/>
    <w:rsid w:val="002C70DB"/>
    <w:pPr>
      <w:spacing w:before="120" w:after="120" w:line="300" w:lineRule="atLeast"/>
    </w:pPr>
    <w:rPr>
      <w:rFonts w:ascii="Times New Roman" w:eastAsia="Times New Roman" w:hAnsi="Times New Roman" w:cs="Times New Roman"/>
      <w:szCs w:val="22"/>
      <w:lang w:eastAsia="he-IL" w:bidi="he-IL"/>
    </w:rPr>
  </w:style>
  <w:style w:type="table" w:customStyle="1" w:styleId="10">
    <w:name w:val="טבלת רשת1"/>
    <w:basedOn w:val="TableNormal"/>
    <w:next w:val="TableGrid"/>
    <w:rsid w:val="002C70DB"/>
    <w:pPr>
      <w:bidi/>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2C70DB"/>
  </w:style>
  <w:style w:type="character" w:styleId="FollowedHyperlink">
    <w:name w:val="FollowedHyperlink"/>
    <w:uiPriority w:val="99"/>
    <w:unhideWhenUsed/>
    <w:rsid w:val="002C70DB"/>
    <w:rPr>
      <w:color w:val="800080"/>
      <w:u w:val="single"/>
    </w:rPr>
  </w:style>
  <w:style w:type="paragraph" w:styleId="BodyTextIndent3">
    <w:name w:val="Body Text Indent 3"/>
    <w:basedOn w:val="Normal"/>
    <w:link w:val="BodyTextIndent3Char"/>
    <w:uiPriority w:val="99"/>
    <w:unhideWhenUsed/>
    <w:rsid w:val="002C70DB"/>
    <w:pPr>
      <w:bidi/>
      <w:spacing w:after="120" w:line="276" w:lineRule="auto"/>
      <w:ind w:left="283"/>
    </w:pPr>
    <w:rPr>
      <w:rFonts w:ascii="Calibri" w:eastAsia="Calibri" w:hAnsi="Calibri"/>
      <w:sz w:val="16"/>
      <w:szCs w:val="16"/>
      <w:lang w:eastAsia="en-US" w:bidi="he-IL"/>
    </w:rPr>
  </w:style>
  <w:style w:type="character" w:customStyle="1" w:styleId="BodyTextIndent3Char">
    <w:name w:val="Body Text Indent 3 Char"/>
    <w:basedOn w:val="DefaultParagraphFont"/>
    <w:link w:val="BodyTextIndent3"/>
    <w:uiPriority w:val="99"/>
    <w:rsid w:val="002C70DB"/>
    <w:rPr>
      <w:rFonts w:ascii="Calibri" w:eastAsia="Calibri" w:hAnsi="Calibri" w:cs="Arial"/>
      <w:sz w:val="16"/>
      <w:szCs w:val="16"/>
      <w:lang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toc 4" w:uiPriority="39"/>
    <w:lsdException w:name="footnote text" w:uiPriority="99"/>
    <w:lsdException w:name="header" w:uiPriority="99"/>
    <w:lsdException w:name="footer" w:uiPriority="99"/>
    <w:lsdException w:name="caption" w:qFormat="1"/>
    <w:lsdException w:name="footnote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Body Text" w:uiPriority="1"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Indent 3" w:uiPriority="99"/>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uiPriority w:val="1"/>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A41B96"/>
    <w:pPr>
      <w:keepNext/>
      <w:outlineLvl w:val="1"/>
    </w:pPr>
    <w:rPr>
      <w:rFonts w:ascii="Arial Bold" w:hAnsi="Arial Bold"/>
      <w:b/>
      <w:bCs/>
      <w:iCs/>
      <w:szCs w:val="28"/>
    </w:rPr>
  </w:style>
  <w:style w:type="paragraph" w:styleId="Heading3">
    <w:name w:val="heading 3"/>
    <w:basedOn w:val="Normal"/>
    <w:next w:val="Normal"/>
    <w:link w:val="Heading3Char"/>
    <w:qFormat/>
    <w:rsid w:val="00A41B96"/>
    <w:pPr>
      <w:keepNext/>
      <w:tabs>
        <w:tab w:val="left" w:pos="709"/>
      </w:tabs>
      <w:outlineLvl w:val="2"/>
    </w:pPr>
    <w:rPr>
      <w:bCs/>
      <w:szCs w:val="26"/>
      <w:u w:val="single"/>
    </w:rPr>
  </w:style>
  <w:style w:type="paragraph" w:styleId="Heading4">
    <w:name w:val="heading 4"/>
    <w:basedOn w:val="Normal"/>
    <w:next w:val="Normal"/>
    <w:link w:val="Heading4Char"/>
    <w:qFormat/>
    <w:rsid w:val="003259B1"/>
    <w:pPr>
      <w:keepNext/>
      <w:outlineLvl w:val="3"/>
    </w:pPr>
    <w:rPr>
      <w:bCs/>
      <w:i/>
      <w:szCs w:val="28"/>
    </w:rPr>
  </w:style>
  <w:style w:type="paragraph" w:styleId="Heading5">
    <w:name w:val="heading 5"/>
    <w:basedOn w:val="Normal"/>
    <w:next w:val="Normal"/>
    <w:link w:val="Heading5Char"/>
    <w:qFormat/>
    <w:rsid w:val="002C70DB"/>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1"/>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rsid w:val="00A41B96"/>
    <w:rPr>
      <w:sz w:val="20"/>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rsid w:val="00C650A4"/>
    <w:rPr>
      <w:rFonts w:ascii="Tahoma" w:hAnsi="Tahoma" w:cs="Tahoma"/>
      <w:sz w:val="16"/>
      <w:szCs w:val="16"/>
    </w:rPr>
  </w:style>
  <w:style w:type="character" w:customStyle="1" w:styleId="BalloonTextChar">
    <w:name w:val="Balloon Text Char"/>
    <w:basedOn w:val="DefaultParagraphFont"/>
    <w:link w:val="BalloonText"/>
    <w:rsid w:val="00C650A4"/>
    <w:rPr>
      <w:rFonts w:ascii="Tahoma" w:eastAsia="SimSun" w:hAnsi="Tahoma" w:cs="Tahoma"/>
      <w:sz w:val="16"/>
      <w:szCs w:val="16"/>
      <w:lang w:eastAsia="zh-CN"/>
    </w:rPr>
  </w:style>
  <w:style w:type="character" w:customStyle="1" w:styleId="ONUMEChar">
    <w:name w:val="ONUM E Char"/>
    <w:basedOn w:val="DefaultParagraphFont"/>
    <w:link w:val="ONUME"/>
    <w:uiPriority w:val="99"/>
    <w:locked/>
    <w:rsid w:val="005C40A3"/>
    <w:rPr>
      <w:rFonts w:ascii="Arial" w:eastAsia="SimSun" w:hAnsi="Arial" w:cs="Arial"/>
      <w:sz w:val="22"/>
      <w:lang w:eastAsia="zh-CN"/>
    </w:rPr>
  </w:style>
  <w:style w:type="character" w:customStyle="1" w:styleId="Heading5Char">
    <w:name w:val="Heading 5 Char"/>
    <w:basedOn w:val="DefaultParagraphFont"/>
    <w:link w:val="Heading5"/>
    <w:rsid w:val="002C70DB"/>
    <w:rPr>
      <w:rFonts w:ascii="Arial" w:eastAsia="SimSun" w:hAnsi="Arial" w:cs="Arial"/>
      <w:b/>
      <w:bCs/>
      <w:i/>
      <w:iCs/>
      <w:sz w:val="26"/>
      <w:szCs w:val="26"/>
      <w:lang w:eastAsia="zh-CN"/>
    </w:rPr>
  </w:style>
  <w:style w:type="character" w:customStyle="1" w:styleId="Heading1Char">
    <w:name w:val="Heading 1 Char"/>
    <w:link w:val="Heading1"/>
    <w:uiPriority w:val="1"/>
    <w:rsid w:val="002C70DB"/>
    <w:rPr>
      <w:rFonts w:ascii="Arial" w:eastAsia="SimSun" w:hAnsi="Arial" w:cs="Arial"/>
      <w:b/>
      <w:bCs/>
      <w:caps/>
      <w:kern w:val="32"/>
      <w:sz w:val="22"/>
      <w:szCs w:val="32"/>
      <w:lang w:eastAsia="zh-CN"/>
    </w:rPr>
  </w:style>
  <w:style w:type="character" w:customStyle="1" w:styleId="Heading2Char">
    <w:name w:val="Heading 2 Char"/>
    <w:link w:val="Heading2"/>
    <w:rsid w:val="00A41B96"/>
    <w:rPr>
      <w:rFonts w:ascii="Arial Bold" w:eastAsia="SimSun" w:hAnsi="Arial Bold" w:cs="Arial"/>
      <w:b/>
      <w:bCs/>
      <w:iCs/>
      <w:sz w:val="22"/>
      <w:szCs w:val="28"/>
      <w:lang w:eastAsia="zh-CN"/>
    </w:rPr>
  </w:style>
  <w:style w:type="character" w:customStyle="1" w:styleId="Heading3Char">
    <w:name w:val="Heading 3 Char"/>
    <w:link w:val="Heading3"/>
    <w:rsid w:val="00A41B96"/>
    <w:rPr>
      <w:rFonts w:ascii="Arial" w:eastAsia="SimSun" w:hAnsi="Arial" w:cs="Arial"/>
      <w:bCs/>
      <w:sz w:val="22"/>
      <w:szCs w:val="26"/>
      <w:u w:val="single"/>
      <w:lang w:eastAsia="zh-CN"/>
    </w:rPr>
  </w:style>
  <w:style w:type="character" w:customStyle="1" w:styleId="Heading4Char">
    <w:name w:val="Heading 4 Char"/>
    <w:link w:val="Heading4"/>
    <w:rsid w:val="003259B1"/>
    <w:rPr>
      <w:rFonts w:ascii="Arial" w:eastAsia="SimSun" w:hAnsi="Arial" w:cs="Arial"/>
      <w:bCs/>
      <w:i/>
      <w:sz w:val="22"/>
      <w:szCs w:val="28"/>
      <w:lang w:eastAsia="zh-CN"/>
    </w:rPr>
  </w:style>
  <w:style w:type="character" w:customStyle="1" w:styleId="BodyTextChar">
    <w:name w:val="Body Text Char"/>
    <w:link w:val="BodyText"/>
    <w:uiPriority w:val="1"/>
    <w:rsid w:val="002C70DB"/>
    <w:rPr>
      <w:rFonts w:ascii="Arial" w:eastAsia="SimSun" w:hAnsi="Arial" w:cs="Arial"/>
      <w:sz w:val="22"/>
      <w:lang w:eastAsia="zh-CN"/>
    </w:rPr>
  </w:style>
  <w:style w:type="character" w:customStyle="1" w:styleId="CommentTextChar">
    <w:name w:val="Comment Text Char"/>
    <w:semiHidden/>
    <w:rsid w:val="002C70DB"/>
    <w:rPr>
      <w:rFonts w:ascii="Arial" w:eastAsia="SimSun" w:hAnsi="Arial"/>
      <w:sz w:val="18"/>
      <w:lang w:eastAsia="zh-CN" w:bidi="ar-SA"/>
    </w:rPr>
  </w:style>
  <w:style w:type="character" w:customStyle="1" w:styleId="EndnoteTextChar">
    <w:name w:val="Endnote Text Char"/>
    <w:link w:val="EndnoteText"/>
    <w:semiHidden/>
    <w:rsid w:val="002C70DB"/>
    <w:rPr>
      <w:rFonts w:ascii="Arial" w:eastAsia="SimSun" w:hAnsi="Arial" w:cs="Arial"/>
      <w:sz w:val="18"/>
      <w:lang w:eastAsia="zh-CN"/>
    </w:rPr>
  </w:style>
  <w:style w:type="character" w:customStyle="1" w:styleId="FooterChar">
    <w:name w:val="Footer Char"/>
    <w:link w:val="Footer"/>
    <w:uiPriority w:val="99"/>
    <w:rsid w:val="002C70DB"/>
    <w:rPr>
      <w:rFonts w:ascii="Arial" w:eastAsia="SimSun" w:hAnsi="Arial" w:cs="Arial"/>
      <w:sz w:val="22"/>
      <w:lang w:eastAsia="zh-CN"/>
    </w:rPr>
  </w:style>
  <w:style w:type="character" w:customStyle="1" w:styleId="FootnoteTextChar">
    <w:name w:val="Footnote Text Char"/>
    <w:link w:val="FootnoteText"/>
    <w:uiPriority w:val="99"/>
    <w:rsid w:val="00A41B96"/>
    <w:rPr>
      <w:rFonts w:ascii="Arial" w:eastAsia="SimSun" w:hAnsi="Arial" w:cs="Arial"/>
      <w:lang w:eastAsia="zh-CN"/>
    </w:rPr>
  </w:style>
  <w:style w:type="character" w:customStyle="1" w:styleId="HeaderChar">
    <w:name w:val="Header Char"/>
    <w:link w:val="Header"/>
    <w:uiPriority w:val="99"/>
    <w:rsid w:val="002C70DB"/>
    <w:rPr>
      <w:rFonts w:ascii="Arial" w:eastAsia="SimSun" w:hAnsi="Arial" w:cs="Arial"/>
      <w:sz w:val="22"/>
      <w:lang w:eastAsia="zh-CN"/>
    </w:rPr>
  </w:style>
  <w:style w:type="character" w:customStyle="1" w:styleId="SalutationChar">
    <w:name w:val="Salutation Char"/>
    <w:link w:val="Salutation"/>
    <w:semiHidden/>
    <w:rsid w:val="002C70DB"/>
    <w:rPr>
      <w:rFonts w:ascii="Arial" w:eastAsia="SimSun" w:hAnsi="Arial" w:cs="Arial"/>
      <w:sz w:val="22"/>
      <w:lang w:eastAsia="zh-CN"/>
    </w:rPr>
  </w:style>
  <w:style w:type="character" w:customStyle="1" w:styleId="SignatureChar">
    <w:name w:val="Signature Char"/>
    <w:link w:val="Signature"/>
    <w:semiHidden/>
    <w:rsid w:val="002C70DB"/>
    <w:rPr>
      <w:rFonts w:ascii="Arial" w:eastAsia="SimSun" w:hAnsi="Arial" w:cs="Arial"/>
      <w:sz w:val="22"/>
      <w:lang w:eastAsia="zh-CN"/>
    </w:rPr>
  </w:style>
  <w:style w:type="paragraph" w:customStyle="1" w:styleId="Guidance">
    <w:name w:val="Guidance"/>
    <w:basedOn w:val="Normal"/>
    <w:rsid w:val="002C70DB"/>
    <w:pPr>
      <w:pBdr>
        <w:top w:val="single" w:sz="4" w:space="1" w:color="auto"/>
        <w:left w:val="single" w:sz="4" w:space="4" w:color="auto"/>
        <w:bottom w:val="single" w:sz="4" w:space="1" w:color="auto"/>
        <w:right w:val="single" w:sz="4" w:space="4" w:color="auto"/>
      </w:pBdr>
      <w:shd w:val="clear" w:color="auto" w:fill="FFFF99"/>
      <w:spacing w:after="120" w:line="240" w:lineRule="atLeast"/>
    </w:pPr>
    <w:rPr>
      <w:rFonts w:eastAsia="Times New Roman" w:cs="Times New Roman"/>
      <w:i/>
      <w:sz w:val="18"/>
      <w:lang w:eastAsia="en-US"/>
    </w:rPr>
  </w:style>
  <w:style w:type="paragraph" w:styleId="MacroText">
    <w:name w:val="macro"/>
    <w:link w:val="MacroTextChar"/>
    <w:rsid w:val="002C70DB"/>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
    <w:name w:val="Macro Text Char"/>
    <w:basedOn w:val="DefaultParagraphFont"/>
    <w:link w:val="MacroText"/>
    <w:rsid w:val="002C70DB"/>
    <w:rPr>
      <w:rFonts w:ascii="Courier New" w:hAnsi="Courier New"/>
      <w:sz w:val="16"/>
    </w:rPr>
  </w:style>
  <w:style w:type="table" w:styleId="TableGrid">
    <w:name w:val="Table Grid"/>
    <w:basedOn w:val="TableNormal"/>
    <w:rsid w:val="002C70DB"/>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2C70DB"/>
  </w:style>
  <w:style w:type="paragraph" w:customStyle="1" w:styleId="GuidanceNumbered">
    <w:name w:val="Guidance Numbered"/>
    <w:basedOn w:val="Guidance"/>
    <w:rsid w:val="002C70DB"/>
    <w:pPr>
      <w:keepNext/>
      <w:keepLines/>
      <w:ind w:left="567" w:hanging="567"/>
    </w:pPr>
    <w:rPr>
      <w:rFonts w:eastAsia="SimSun"/>
    </w:rPr>
  </w:style>
  <w:style w:type="paragraph" w:customStyle="1" w:styleId="GuidanceNumbereda">
    <w:name w:val="Guidance Numbered (a)"/>
    <w:basedOn w:val="GuidanceNumbered"/>
    <w:rsid w:val="002C70DB"/>
    <w:pPr>
      <w:tabs>
        <w:tab w:val="left" w:pos="567"/>
      </w:tabs>
      <w:ind w:left="1134" w:hanging="1134"/>
    </w:pPr>
  </w:style>
  <w:style w:type="paragraph" w:customStyle="1" w:styleId="GuidanceNumberedai">
    <w:name w:val="Guidance Numbered (a)(i)"/>
    <w:basedOn w:val="GuidanceNumbereda"/>
    <w:rsid w:val="002C70DB"/>
    <w:pPr>
      <w:tabs>
        <w:tab w:val="clear" w:pos="567"/>
        <w:tab w:val="left" w:pos="1134"/>
      </w:tabs>
      <w:ind w:left="1701" w:hanging="1701"/>
    </w:pPr>
  </w:style>
  <w:style w:type="paragraph" w:customStyle="1" w:styleId="Default">
    <w:name w:val="Default"/>
    <w:rsid w:val="002C70DB"/>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2C70DB"/>
    <w:pPr>
      <w:ind w:left="720"/>
      <w:contextualSpacing/>
    </w:pPr>
  </w:style>
  <w:style w:type="numbering" w:customStyle="1" w:styleId="Style1">
    <w:name w:val="Style1"/>
    <w:rsid w:val="002C70DB"/>
    <w:pPr>
      <w:numPr>
        <w:numId w:val="12"/>
      </w:numPr>
    </w:pPr>
  </w:style>
  <w:style w:type="character" w:styleId="CommentReference">
    <w:name w:val="annotation reference"/>
    <w:unhideWhenUsed/>
    <w:rsid w:val="002C70DB"/>
    <w:rPr>
      <w:sz w:val="16"/>
      <w:szCs w:val="16"/>
    </w:rPr>
  </w:style>
  <w:style w:type="paragraph" w:styleId="CommentSubject">
    <w:name w:val="annotation subject"/>
    <w:basedOn w:val="CommentText"/>
    <w:next w:val="CommentText"/>
    <w:link w:val="CommentSubjectChar"/>
    <w:unhideWhenUsed/>
    <w:rsid w:val="002C70DB"/>
    <w:rPr>
      <w:b/>
      <w:bCs/>
      <w:sz w:val="20"/>
    </w:rPr>
  </w:style>
  <w:style w:type="character" w:customStyle="1" w:styleId="CommentTextChar1">
    <w:name w:val="Comment Text Char1"/>
    <w:basedOn w:val="DefaultParagraphFont"/>
    <w:link w:val="CommentText"/>
    <w:semiHidden/>
    <w:rsid w:val="002C70DB"/>
    <w:rPr>
      <w:rFonts w:ascii="Arial" w:eastAsia="SimSun" w:hAnsi="Arial" w:cs="Arial"/>
      <w:sz w:val="18"/>
      <w:lang w:eastAsia="zh-CN"/>
    </w:rPr>
  </w:style>
  <w:style w:type="character" w:customStyle="1" w:styleId="CommentSubjectChar">
    <w:name w:val="Comment Subject Char"/>
    <w:basedOn w:val="CommentTextChar1"/>
    <w:link w:val="CommentSubject"/>
    <w:rsid w:val="002C70DB"/>
    <w:rPr>
      <w:rFonts w:ascii="Arial" w:eastAsia="SimSun" w:hAnsi="Arial" w:cs="Arial"/>
      <w:b/>
      <w:bCs/>
      <w:sz w:val="18"/>
      <w:lang w:eastAsia="zh-CN"/>
    </w:rPr>
  </w:style>
  <w:style w:type="numbering" w:customStyle="1" w:styleId="1">
    <w:name w:val="ללא רשימה1"/>
    <w:next w:val="NoList"/>
    <w:uiPriority w:val="99"/>
    <w:semiHidden/>
    <w:unhideWhenUsed/>
    <w:rsid w:val="002C70DB"/>
  </w:style>
  <w:style w:type="paragraph" w:styleId="List2">
    <w:name w:val="List 2"/>
    <w:basedOn w:val="Normal"/>
    <w:rsid w:val="002C70DB"/>
    <w:pPr>
      <w:ind w:left="566" w:hanging="283"/>
    </w:pPr>
  </w:style>
  <w:style w:type="paragraph" w:customStyle="1" w:styleId="DateSignatureAligned">
    <w:name w:val="Date / Signature Aligned"/>
    <w:basedOn w:val="Normal"/>
    <w:rsid w:val="002C70DB"/>
    <w:pPr>
      <w:ind w:left="5250"/>
    </w:pPr>
  </w:style>
  <w:style w:type="character" w:styleId="Hyperlink">
    <w:name w:val="Hyperlink"/>
    <w:uiPriority w:val="99"/>
    <w:rsid w:val="00BA7F8B"/>
    <w:rPr>
      <w:color w:val="auto"/>
      <w:u w:val="none"/>
    </w:rPr>
  </w:style>
  <w:style w:type="paragraph" w:customStyle="1" w:styleId="ArtRuleRef">
    <w:name w:val="Art/Rule Ref"/>
    <w:basedOn w:val="Normal"/>
    <w:rsid w:val="002C70DB"/>
    <w:pPr>
      <w:keepNext/>
      <w:keepLines/>
      <w:jc w:val="right"/>
    </w:pPr>
    <w:rPr>
      <w:rFonts w:eastAsia="Arial Unicode MS"/>
      <w:i/>
      <w:snapToGrid w:val="0"/>
      <w:sz w:val="16"/>
      <w:lang w:eastAsia="ja-JP"/>
    </w:rPr>
  </w:style>
  <w:style w:type="character" w:styleId="FootnoteReference">
    <w:name w:val="footnote reference"/>
    <w:uiPriority w:val="99"/>
    <w:rsid w:val="002C70DB"/>
    <w:rPr>
      <w:vertAlign w:val="superscript"/>
    </w:rPr>
  </w:style>
  <w:style w:type="table" w:styleId="TableContemporary">
    <w:name w:val="Table Contemporary"/>
    <w:basedOn w:val="TableNormal"/>
    <w:rsid w:val="002C70DB"/>
    <w:pPr>
      <w:suppressAutoHyphens/>
    </w:pPr>
    <w:rPr>
      <w:rFonts w:eastAsia="SimSun"/>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EPODocNormal">
    <w:name w:val="EPODocNormal"/>
    <w:basedOn w:val="Normal"/>
    <w:rsid w:val="002C70DB"/>
    <w:pPr>
      <w:suppressAutoHyphens/>
      <w:ind w:left="1134"/>
    </w:pPr>
    <w:rPr>
      <w:rFonts w:eastAsia="Times New Roman"/>
      <w:sz w:val="24"/>
      <w:szCs w:val="24"/>
      <w:lang w:val="en-GB" w:eastAsia="en-GB"/>
    </w:rPr>
  </w:style>
  <w:style w:type="character" w:styleId="Emphasis">
    <w:name w:val="Emphasis"/>
    <w:qFormat/>
    <w:rsid w:val="002C70DB"/>
    <w:rPr>
      <w:i/>
      <w:iCs/>
    </w:rPr>
  </w:style>
  <w:style w:type="table" w:styleId="TableElegant">
    <w:name w:val="Table Elegant"/>
    <w:basedOn w:val="TableNormal"/>
    <w:rsid w:val="002C70DB"/>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BodyTexti">
    <w:name w:val="Body Text (i)"/>
    <w:basedOn w:val="Normal"/>
    <w:rsid w:val="002C70DB"/>
    <w:pPr>
      <w:tabs>
        <w:tab w:val="right" w:pos="851"/>
        <w:tab w:val="left" w:pos="1134"/>
      </w:tabs>
      <w:spacing w:after="120"/>
    </w:pPr>
    <w:rPr>
      <w:rFonts w:eastAsia="Times New Roman" w:cs="Times New Roman"/>
      <w:snapToGrid w:val="0"/>
      <w:lang w:eastAsia="en-US"/>
    </w:rPr>
  </w:style>
  <w:style w:type="paragraph" w:customStyle="1" w:styleId="BodyTexta">
    <w:name w:val="Body Text (a)"/>
    <w:basedOn w:val="Normal"/>
    <w:rsid w:val="002C70DB"/>
    <w:pPr>
      <w:spacing w:after="120"/>
      <w:ind w:firstLine="567"/>
    </w:pPr>
    <w:rPr>
      <w:rFonts w:eastAsia="Times New Roman" w:cs="Times New Roman"/>
      <w:lang w:eastAsia="en-US"/>
    </w:rPr>
  </w:style>
  <w:style w:type="paragraph" w:customStyle="1" w:styleId="ExampleClaim">
    <w:name w:val="Example Claim"/>
    <w:basedOn w:val="ExampleText"/>
    <w:rsid w:val="002C70DB"/>
    <w:pPr>
      <w:ind w:left="1134" w:hanging="567"/>
    </w:pPr>
  </w:style>
  <w:style w:type="paragraph" w:customStyle="1" w:styleId="ExampleText">
    <w:name w:val="Example Text"/>
    <w:basedOn w:val="BodyTextIndent"/>
    <w:rsid w:val="002C70DB"/>
    <w:pPr>
      <w:ind w:left="567"/>
    </w:pPr>
    <w:rPr>
      <w:rFonts w:eastAsia="Times New Roman" w:cs="Times New Roman"/>
      <w:i/>
      <w:lang w:eastAsia="en-US"/>
    </w:rPr>
  </w:style>
  <w:style w:type="paragraph" w:customStyle="1" w:styleId="ExampleClaimSub">
    <w:name w:val="Example Claim Sub"/>
    <w:basedOn w:val="ExampleClaim"/>
    <w:rsid w:val="002C70DB"/>
    <w:pPr>
      <w:ind w:firstLine="567"/>
    </w:pPr>
  </w:style>
  <w:style w:type="paragraph" w:customStyle="1" w:styleId="ExampleClaimEnd">
    <w:name w:val="Example Claim End"/>
    <w:basedOn w:val="ExampleClaimSub"/>
    <w:rsid w:val="002C70DB"/>
    <w:pPr>
      <w:ind w:firstLine="0"/>
    </w:pPr>
  </w:style>
  <w:style w:type="paragraph" w:customStyle="1" w:styleId="ExamplePolymorphism">
    <w:name w:val="Example Polymorphism"/>
    <w:basedOn w:val="ExampleClaim"/>
    <w:rsid w:val="002C70DB"/>
    <w:pPr>
      <w:tabs>
        <w:tab w:val="right" w:pos="1980"/>
        <w:tab w:val="right" w:pos="3600"/>
        <w:tab w:val="right" w:pos="5400"/>
        <w:tab w:val="left" w:pos="5580"/>
      </w:tabs>
      <w:spacing w:after="0"/>
      <w:ind w:left="567" w:firstLine="0"/>
    </w:pPr>
  </w:style>
  <w:style w:type="paragraph" w:customStyle="1" w:styleId="ExamplePolyHeader">
    <w:name w:val="Example Poly Header"/>
    <w:basedOn w:val="ExamplePolymorphism"/>
    <w:rsid w:val="002C70DB"/>
    <w:pPr>
      <w:tabs>
        <w:tab w:val="clear" w:pos="1980"/>
        <w:tab w:val="clear" w:pos="5400"/>
        <w:tab w:val="clear" w:pos="5580"/>
        <w:tab w:val="left" w:pos="1134"/>
        <w:tab w:val="left" w:pos="3969"/>
      </w:tabs>
    </w:pPr>
  </w:style>
  <w:style w:type="character" w:customStyle="1" w:styleId="InsertedText">
    <w:name w:val="Inserted Text"/>
    <w:qFormat/>
    <w:rsid w:val="002C70DB"/>
    <w:rPr>
      <w:color w:val="0000FF"/>
      <w:u w:val="single"/>
    </w:rPr>
  </w:style>
  <w:style w:type="paragraph" w:styleId="BodyTextIndent">
    <w:name w:val="Body Text Indent"/>
    <w:basedOn w:val="Normal"/>
    <w:link w:val="BodyTextIndentChar"/>
    <w:rsid w:val="002C70DB"/>
    <w:pPr>
      <w:spacing w:after="120"/>
      <w:ind w:left="283"/>
    </w:pPr>
  </w:style>
  <w:style w:type="character" w:customStyle="1" w:styleId="BodyTextIndentChar">
    <w:name w:val="Body Text Indent Char"/>
    <w:basedOn w:val="DefaultParagraphFont"/>
    <w:link w:val="BodyTextIndent"/>
    <w:rsid w:val="002C70DB"/>
    <w:rPr>
      <w:rFonts w:ascii="Arial" w:eastAsia="SimSun" w:hAnsi="Arial" w:cs="Arial"/>
      <w:sz w:val="22"/>
      <w:lang w:eastAsia="zh-CN"/>
    </w:rPr>
  </w:style>
  <w:style w:type="paragraph" w:styleId="TOC1">
    <w:name w:val="toc 1"/>
    <w:basedOn w:val="Normal"/>
    <w:next w:val="Normal"/>
    <w:autoRedefine/>
    <w:uiPriority w:val="39"/>
    <w:rsid w:val="002C70DB"/>
    <w:pPr>
      <w:spacing w:after="100"/>
    </w:pPr>
  </w:style>
  <w:style w:type="paragraph" w:styleId="TOC3">
    <w:name w:val="toc 3"/>
    <w:basedOn w:val="Normal"/>
    <w:next w:val="Normal"/>
    <w:autoRedefine/>
    <w:uiPriority w:val="39"/>
    <w:rsid w:val="002C70DB"/>
    <w:pPr>
      <w:spacing w:after="100"/>
      <w:ind w:left="440"/>
    </w:pPr>
  </w:style>
  <w:style w:type="paragraph" w:styleId="TOC4">
    <w:name w:val="toc 4"/>
    <w:basedOn w:val="Normal"/>
    <w:next w:val="Normal"/>
    <w:autoRedefine/>
    <w:uiPriority w:val="39"/>
    <w:rsid w:val="002C70DB"/>
    <w:pPr>
      <w:spacing w:after="100"/>
      <w:ind w:left="660"/>
    </w:pPr>
  </w:style>
  <w:style w:type="paragraph" w:styleId="Revision">
    <w:name w:val="Revision"/>
    <w:hidden/>
    <w:uiPriority w:val="99"/>
    <w:semiHidden/>
    <w:rsid w:val="002C70DB"/>
    <w:rPr>
      <w:rFonts w:ascii="Arial" w:eastAsia="SimSun" w:hAnsi="Arial" w:cs="Arial"/>
      <w:sz w:val="22"/>
      <w:lang w:eastAsia="zh-CN"/>
    </w:rPr>
  </w:style>
  <w:style w:type="paragraph" w:customStyle="1" w:styleId="SectionHeading">
    <w:name w:val="Section Heading"/>
    <w:basedOn w:val="Heading1"/>
    <w:link w:val="SectionHeadingChar"/>
    <w:qFormat/>
    <w:rsid w:val="002C70DB"/>
    <w:pPr>
      <w:pBdr>
        <w:top w:val="single" w:sz="4" w:space="1" w:color="auto"/>
        <w:bottom w:val="single" w:sz="4" w:space="1" w:color="auto"/>
      </w:pBdr>
      <w:spacing w:before="360" w:after="200"/>
    </w:pPr>
  </w:style>
  <w:style w:type="character" w:customStyle="1" w:styleId="SectionHeadingChar">
    <w:name w:val="Section Heading Char"/>
    <w:link w:val="SectionHeading"/>
    <w:rsid w:val="002C70DB"/>
    <w:rPr>
      <w:rFonts w:ascii="Arial" w:eastAsia="SimSun" w:hAnsi="Arial" w:cs="Arial"/>
      <w:b/>
      <w:bCs/>
      <w:caps/>
      <w:kern w:val="32"/>
      <w:sz w:val="22"/>
      <w:szCs w:val="32"/>
      <w:lang w:eastAsia="zh-CN"/>
    </w:rPr>
  </w:style>
  <w:style w:type="numbering" w:customStyle="1" w:styleId="2">
    <w:name w:val="ללא רשימה2"/>
    <w:next w:val="NoList"/>
    <w:semiHidden/>
    <w:rsid w:val="002C70DB"/>
  </w:style>
  <w:style w:type="paragraph" w:customStyle="1" w:styleId="eng">
    <w:name w:val="eng"/>
    <w:basedOn w:val="Normal"/>
    <w:rsid w:val="002C70DB"/>
    <w:pPr>
      <w:spacing w:before="120" w:after="120" w:line="300" w:lineRule="atLeast"/>
    </w:pPr>
    <w:rPr>
      <w:rFonts w:ascii="Times New Roman" w:eastAsia="Times New Roman" w:hAnsi="Times New Roman" w:cs="Times New Roman"/>
      <w:szCs w:val="22"/>
      <w:lang w:eastAsia="he-IL" w:bidi="he-IL"/>
    </w:rPr>
  </w:style>
  <w:style w:type="table" w:customStyle="1" w:styleId="10">
    <w:name w:val="טבלת רשת1"/>
    <w:basedOn w:val="TableNormal"/>
    <w:next w:val="TableGrid"/>
    <w:rsid w:val="002C70DB"/>
    <w:pPr>
      <w:bidi/>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2C70DB"/>
  </w:style>
  <w:style w:type="character" w:styleId="FollowedHyperlink">
    <w:name w:val="FollowedHyperlink"/>
    <w:uiPriority w:val="99"/>
    <w:unhideWhenUsed/>
    <w:rsid w:val="002C70DB"/>
    <w:rPr>
      <w:color w:val="800080"/>
      <w:u w:val="single"/>
    </w:rPr>
  </w:style>
  <w:style w:type="paragraph" w:styleId="BodyTextIndent3">
    <w:name w:val="Body Text Indent 3"/>
    <w:basedOn w:val="Normal"/>
    <w:link w:val="BodyTextIndent3Char"/>
    <w:uiPriority w:val="99"/>
    <w:unhideWhenUsed/>
    <w:rsid w:val="002C70DB"/>
    <w:pPr>
      <w:bidi/>
      <w:spacing w:after="120" w:line="276" w:lineRule="auto"/>
      <w:ind w:left="283"/>
    </w:pPr>
    <w:rPr>
      <w:rFonts w:ascii="Calibri" w:eastAsia="Calibri" w:hAnsi="Calibri"/>
      <w:sz w:val="16"/>
      <w:szCs w:val="16"/>
      <w:lang w:eastAsia="en-US" w:bidi="he-IL"/>
    </w:rPr>
  </w:style>
  <w:style w:type="character" w:customStyle="1" w:styleId="BodyTextIndent3Char">
    <w:name w:val="Body Text Indent 3 Char"/>
    <w:basedOn w:val="DefaultParagraphFont"/>
    <w:link w:val="BodyTextIndent3"/>
    <w:uiPriority w:val="99"/>
    <w:rsid w:val="002C70DB"/>
    <w:rPr>
      <w:rFonts w:ascii="Calibri" w:eastAsia="Calibri" w:hAnsi="Calibri" w:cs="Arial"/>
      <w:sz w:val="16"/>
      <w:szCs w:val="16"/>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pct/en/quality/authorities.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data.worldbank.org/indicator/NY.GDP.PCAP.PP.CD?locations=IL" TargetMode="External"/><Relationship Id="rId13" Type="http://schemas.openxmlformats.org/officeDocument/2006/relationships/hyperlink" Target="http://lang.che.org.il/en/?page_id=15417" TargetMode="External"/><Relationship Id="rId18" Type="http://schemas.openxmlformats.org/officeDocument/2006/relationships/hyperlink" Target="http://www.cbs.gov.il/reader/cw_usr_view_SHTML?ID=461" TargetMode="External"/><Relationship Id="rId3" Type="http://schemas.openxmlformats.org/officeDocument/2006/relationships/hyperlink" Target="http://reports.weforum.org/global-competitiveness-index/results-overview-and-main-findings/" TargetMode="External"/><Relationship Id="rId7" Type="http://schemas.openxmlformats.org/officeDocument/2006/relationships/hyperlink" Target="http://data.worldbank.org/indicator/NY.GDP.MKTP.CD?locations=IL" TargetMode="External"/><Relationship Id="rId12" Type="http://schemas.openxmlformats.org/officeDocument/2006/relationships/hyperlink" Target="https://www.bloomberg.com/graphics/2015-innovative-countries/" TargetMode="External"/><Relationship Id="rId17" Type="http://schemas.openxmlformats.org/officeDocument/2006/relationships/hyperlink" Target="http://www.ivc-online.com/Research-Center/IVC-Publications/VC-Fund-Reports/VC-Fund-Raising" TargetMode="External"/><Relationship Id="rId2" Type="http://schemas.openxmlformats.org/officeDocument/2006/relationships/hyperlink" Target="http://databank.worldbank.org/data/download/GDP.pdf" TargetMode="External"/><Relationship Id="rId16" Type="http://schemas.openxmlformats.org/officeDocument/2006/relationships/hyperlink" Target="http://www.ivc-online.com/Research-Center/IVC-Publications/Exits-Report" TargetMode="External"/><Relationship Id="rId1" Type="http://schemas.openxmlformats.org/officeDocument/2006/relationships/hyperlink" Target="http://www.wipo.int/wipolex/es/profile.jsp?code=IL" TargetMode="External"/><Relationship Id="rId6" Type="http://schemas.openxmlformats.org/officeDocument/2006/relationships/hyperlink" Target="http://www.imd.org/uupload/imd.website/wcc/scoreboard.pdf" TargetMode="External"/><Relationship Id="rId11" Type="http://schemas.openxmlformats.org/officeDocument/2006/relationships/hyperlink" Target="https://www.bloomberg.com/news/articles/2017-01-17/sweden-gains-south-korea-reigns-as-world-s-most-innovative-economies" TargetMode="External"/><Relationship Id="rId5" Type="http://schemas.openxmlformats.org/officeDocument/2006/relationships/hyperlink" Target="http://hdr.undp.org/sites/default/files/2015_statistical_annex_tables_all.xls" TargetMode="External"/><Relationship Id="rId15" Type="http://schemas.openxmlformats.org/officeDocument/2006/relationships/hyperlink" Target="http://www.incubators.org.il/article.aspx?id=1703" TargetMode="External"/><Relationship Id="rId10" Type="http://schemas.openxmlformats.org/officeDocument/2006/relationships/hyperlink" Target="https://www.globalinnovationindex.org" TargetMode="External"/><Relationship Id="rId19" Type="http://schemas.openxmlformats.org/officeDocument/2006/relationships/hyperlink" Target="http://www.cbs.gov.il/reader/?MIval=cw_usr_view_SHTML&amp;ID=705" TargetMode="External"/><Relationship Id="rId4" Type="http://schemas.openxmlformats.org/officeDocument/2006/relationships/hyperlink" Target="http://hdr.undp.org/en/content/human-development-index-hdi" TargetMode="External"/><Relationship Id="rId9" Type="http://schemas.openxmlformats.org/officeDocument/2006/relationships/hyperlink" Target="http://data.worldbank.org/indicator/GB.XPD.RSDV.GD.ZS?locations=IL" TargetMode="External"/><Relationship Id="rId14" Type="http://schemas.openxmlformats.org/officeDocument/2006/relationships/hyperlink" Target="http://www.iati.co.il/category/24/1/technology-transfer-offices-t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DF8A8-B6EA-472A-875C-41DA4514F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10013</Words>
  <Characters>54058</Characters>
  <Application>Microsoft Office Word</Application>
  <DocSecurity>0</DocSecurity>
  <Lines>450</Lines>
  <Paragraphs>127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PCT/CTC/30/13</vt:lpstr>
      <vt:lpstr>PCT/CTC/30/13</vt:lpstr>
    </vt:vector>
  </TitlesOfParts>
  <Company>WIPO</Company>
  <LinksUpToDate>false</LinksUpToDate>
  <CharactersWithSpaces>63944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PCT/CTC/30/13</dc:title>
  <dc:subject>Extension of Appointment of the Israel Patent Office as an International Searching and Preliminary Examining Authority</dc:subject>
  <dc:creator>MARLOW Thomas</dc:creator>
  <cp:lastModifiedBy>MARLOW Thomas</cp:lastModifiedBy>
  <cp:revision>3</cp:revision>
  <cp:lastPrinted>2017-02-28T14:25:00Z</cp:lastPrinted>
  <dcterms:created xsi:type="dcterms:W3CDTF">2017-03-29T15:11:00Z</dcterms:created>
  <dcterms:modified xsi:type="dcterms:W3CDTF">2017-03-29T15:14:00Z</dcterms:modified>
</cp:coreProperties>
</file>