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00272"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700272" w:rsidRDefault="00B66E1D" w:rsidP="00AB613D">
            <w:r w:rsidRPr="00700272">
              <w:rPr>
                <w:noProof/>
                <w:lang w:val="en-US" w:eastAsia="en-US"/>
              </w:rPr>
              <w:drawing>
                <wp:inline distT="0" distB="0" distL="0" distR="0" wp14:anchorId="7C9DD4E7" wp14:editId="4DFD93BC">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00272" w:rsidRDefault="00E504E5" w:rsidP="00AB613D">
            <w:pPr>
              <w:jc w:val="right"/>
            </w:pPr>
            <w:r w:rsidRPr="00700272">
              <w:rPr>
                <w:b/>
                <w:sz w:val="40"/>
                <w:szCs w:val="40"/>
              </w:rPr>
              <w:t>S</w:t>
            </w:r>
          </w:p>
        </w:tc>
      </w:tr>
      <w:tr w:rsidR="008B2CC1" w:rsidRPr="0070027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700272" w:rsidRDefault="00B66E1D" w:rsidP="00FF6821">
            <w:pPr>
              <w:jc w:val="right"/>
              <w:rPr>
                <w:rFonts w:ascii="Arial Black" w:hAnsi="Arial Black"/>
                <w:caps/>
                <w:sz w:val="15"/>
              </w:rPr>
            </w:pPr>
            <w:r w:rsidRPr="00700272">
              <w:rPr>
                <w:rFonts w:ascii="Arial Black" w:hAnsi="Arial Black"/>
                <w:caps/>
                <w:sz w:val="15"/>
              </w:rPr>
              <w:t>PCT/CTC/30/</w:t>
            </w:r>
            <w:bookmarkStart w:id="0" w:name="Code"/>
            <w:bookmarkEnd w:id="0"/>
            <w:r w:rsidR="00FF6821" w:rsidRPr="00700272">
              <w:rPr>
                <w:rFonts w:ascii="Arial Black" w:hAnsi="Arial Black"/>
                <w:caps/>
                <w:sz w:val="15"/>
              </w:rPr>
              <w:t>15</w:t>
            </w:r>
          </w:p>
        </w:tc>
      </w:tr>
      <w:tr w:rsidR="008B2CC1" w:rsidRPr="00700272" w:rsidTr="00AB613D">
        <w:trPr>
          <w:trHeight w:hRule="exact" w:val="170"/>
        </w:trPr>
        <w:tc>
          <w:tcPr>
            <w:tcW w:w="9356" w:type="dxa"/>
            <w:gridSpan w:val="3"/>
            <w:noWrap/>
            <w:tcMar>
              <w:left w:w="0" w:type="dxa"/>
              <w:right w:w="0" w:type="dxa"/>
            </w:tcMar>
            <w:vAlign w:val="bottom"/>
          </w:tcPr>
          <w:p w:rsidR="008B2CC1" w:rsidRPr="00700272" w:rsidRDefault="008B2CC1" w:rsidP="0046793F">
            <w:pPr>
              <w:jc w:val="right"/>
              <w:rPr>
                <w:rFonts w:ascii="Arial Black" w:hAnsi="Arial Black"/>
                <w:caps/>
                <w:sz w:val="15"/>
              </w:rPr>
            </w:pPr>
            <w:r w:rsidRPr="00700272">
              <w:rPr>
                <w:rFonts w:ascii="Arial Black" w:hAnsi="Arial Black"/>
                <w:caps/>
                <w:sz w:val="15"/>
              </w:rPr>
              <w:t xml:space="preserve">ORIGINAL: </w:t>
            </w:r>
            <w:bookmarkStart w:id="1" w:name="Original"/>
            <w:bookmarkEnd w:id="1"/>
            <w:r w:rsidR="00396AE9" w:rsidRPr="00700272">
              <w:rPr>
                <w:rFonts w:ascii="Arial Black" w:hAnsi="Arial Black"/>
                <w:caps/>
                <w:sz w:val="15"/>
              </w:rPr>
              <w:t xml:space="preserve"> </w:t>
            </w:r>
            <w:r w:rsidR="003F5AAE" w:rsidRPr="00700272">
              <w:rPr>
                <w:rFonts w:ascii="Arial Black" w:hAnsi="Arial Black"/>
                <w:caps/>
                <w:sz w:val="15"/>
              </w:rPr>
              <w:t>INGLÉS</w:t>
            </w:r>
          </w:p>
        </w:tc>
      </w:tr>
      <w:tr w:rsidR="008B2CC1" w:rsidRPr="00700272" w:rsidTr="00AB613D">
        <w:trPr>
          <w:trHeight w:hRule="exact" w:val="198"/>
        </w:trPr>
        <w:tc>
          <w:tcPr>
            <w:tcW w:w="9356" w:type="dxa"/>
            <w:gridSpan w:val="3"/>
            <w:tcMar>
              <w:left w:w="0" w:type="dxa"/>
              <w:right w:w="0" w:type="dxa"/>
            </w:tcMar>
            <w:vAlign w:val="bottom"/>
          </w:tcPr>
          <w:p w:rsidR="008B2CC1" w:rsidRPr="00700272" w:rsidRDefault="00675021" w:rsidP="0046793F">
            <w:pPr>
              <w:jc w:val="right"/>
              <w:rPr>
                <w:rFonts w:ascii="Arial Black" w:hAnsi="Arial Black"/>
                <w:caps/>
                <w:sz w:val="15"/>
              </w:rPr>
            </w:pPr>
            <w:r w:rsidRPr="00700272">
              <w:rPr>
                <w:rFonts w:ascii="Arial Black" w:hAnsi="Arial Black"/>
                <w:caps/>
                <w:sz w:val="15"/>
              </w:rPr>
              <w:t>fecha</w:t>
            </w:r>
            <w:r w:rsidR="008B2CC1" w:rsidRPr="00700272">
              <w:rPr>
                <w:rFonts w:ascii="Arial Black" w:hAnsi="Arial Black"/>
                <w:caps/>
                <w:sz w:val="15"/>
              </w:rPr>
              <w:t xml:space="preserve">: </w:t>
            </w:r>
            <w:bookmarkStart w:id="2" w:name="Date"/>
            <w:bookmarkEnd w:id="2"/>
            <w:r w:rsidR="00396AE9" w:rsidRPr="00700272">
              <w:rPr>
                <w:rFonts w:ascii="Arial Black" w:hAnsi="Arial Black"/>
                <w:caps/>
                <w:sz w:val="15"/>
              </w:rPr>
              <w:t xml:space="preserve"> </w:t>
            </w:r>
            <w:r w:rsidR="003F5AAE" w:rsidRPr="00700272">
              <w:rPr>
                <w:rFonts w:ascii="Arial Black" w:hAnsi="Arial Black"/>
                <w:caps/>
                <w:sz w:val="15"/>
              </w:rPr>
              <w:t>16 DE MARZO DE 2017</w:t>
            </w:r>
          </w:p>
        </w:tc>
      </w:tr>
    </w:tbl>
    <w:p w:rsidR="008B2CC1" w:rsidRPr="00700272" w:rsidRDefault="008B2CC1" w:rsidP="008B2CC1"/>
    <w:p w:rsidR="008B2CC1" w:rsidRPr="00700272" w:rsidRDefault="008B2CC1" w:rsidP="008B2CC1"/>
    <w:p w:rsidR="008B2CC1" w:rsidRPr="00700272" w:rsidRDefault="008B2CC1" w:rsidP="008B2CC1"/>
    <w:p w:rsidR="008B2CC1" w:rsidRPr="00700272" w:rsidRDefault="008B2CC1" w:rsidP="008B2CC1"/>
    <w:p w:rsidR="008B2CC1" w:rsidRPr="00700272" w:rsidRDefault="008B2CC1" w:rsidP="008B2CC1"/>
    <w:p w:rsidR="00B67CDC" w:rsidRPr="00700272" w:rsidRDefault="00B66E1D" w:rsidP="00B67CDC">
      <w:pPr>
        <w:rPr>
          <w:b/>
          <w:sz w:val="28"/>
          <w:szCs w:val="28"/>
        </w:rPr>
      </w:pPr>
      <w:r w:rsidRPr="00700272">
        <w:rPr>
          <w:b/>
          <w:sz w:val="28"/>
          <w:szCs w:val="28"/>
        </w:rPr>
        <w:t>Tratado de Cooperac</w:t>
      </w:r>
      <w:r w:rsidR="007D2978" w:rsidRPr="00700272">
        <w:rPr>
          <w:b/>
          <w:sz w:val="28"/>
          <w:szCs w:val="28"/>
        </w:rPr>
        <w:t>ió</w:t>
      </w:r>
      <w:r w:rsidRPr="00700272">
        <w:rPr>
          <w:b/>
          <w:sz w:val="28"/>
          <w:szCs w:val="28"/>
        </w:rPr>
        <w:t>n en materia de Patentes (PCT)</w:t>
      </w:r>
    </w:p>
    <w:p w:rsidR="00B66E1D" w:rsidRPr="00700272" w:rsidRDefault="007D2978" w:rsidP="00B67CDC">
      <w:pPr>
        <w:rPr>
          <w:b/>
          <w:sz w:val="28"/>
          <w:szCs w:val="28"/>
        </w:rPr>
      </w:pPr>
      <w:r w:rsidRPr="00700272">
        <w:rPr>
          <w:b/>
          <w:sz w:val="28"/>
          <w:szCs w:val="28"/>
        </w:rPr>
        <w:t>Comité de Cooperació</w:t>
      </w:r>
      <w:r w:rsidR="00B66E1D" w:rsidRPr="00700272">
        <w:rPr>
          <w:b/>
          <w:sz w:val="28"/>
          <w:szCs w:val="28"/>
        </w:rPr>
        <w:t>n Técnica</w:t>
      </w:r>
    </w:p>
    <w:p w:rsidR="003845C1" w:rsidRPr="00700272" w:rsidRDefault="003845C1" w:rsidP="003845C1"/>
    <w:p w:rsidR="003845C1" w:rsidRPr="00700272" w:rsidRDefault="003845C1" w:rsidP="003845C1"/>
    <w:p w:rsidR="00B67CDC" w:rsidRPr="00700272" w:rsidRDefault="007D2978" w:rsidP="00B67CDC">
      <w:pPr>
        <w:rPr>
          <w:b/>
          <w:sz w:val="24"/>
          <w:szCs w:val="24"/>
        </w:rPr>
      </w:pPr>
      <w:r w:rsidRPr="00700272">
        <w:rPr>
          <w:b/>
          <w:sz w:val="24"/>
          <w:szCs w:val="24"/>
        </w:rPr>
        <w:t>Trigésima sesió</w:t>
      </w:r>
      <w:r w:rsidR="00B66E1D" w:rsidRPr="00700272">
        <w:rPr>
          <w:b/>
          <w:sz w:val="24"/>
          <w:szCs w:val="24"/>
        </w:rPr>
        <w:t>n</w:t>
      </w:r>
    </w:p>
    <w:p w:rsidR="00B67CDC" w:rsidRPr="00700272" w:rsidRDefault="00B66E1D" w:rsidP="00B67CDC">
      <w:pPr>
        <w:rPr>
          <w:b/>
          <w:sz w:val="24"/>
          <w:szCs w:val="24"/>
        </w:rPr>
      </w:pPr>
      <w:r w:rsidRPr="00700272">
        <w:rPr>
          <w:b/>
          <w:sz w:val="24"/>
          <w:szCs w:val="24"/>
        </w:rPr>
        <w:t>Ginebra, 8 a 12 de mayo de 2017</w:t>
      </w:r>
    </w:p>
    <w:p w:rsidR="008B2CC1" w:rsidRPr="00700272" w:rsidRDefault="008B2CC1" w:rsidP="008B2CC1"/>
    <w:p w:rsidR="008B2CC1" w:rsidRPr="00700272" w:rsidRDefault="008B2CC1" w:rsidP="008B2CC1"/>
    <w:p w:rsidR="008B2CC1" w:rsidRPr="00700272" w:rsidRDefault="008B2CC1" w:rsidP="008B2CC1"/>
    <w:p w:rsidR="00FF6821" w:rsidRPr="00700272" w:rsidRDefault="00C96B78" w:rsidP="00C96B78">
      <w:pPr>
        <w:rPr>
          <w:caps/>
          <w:sz w:val="24"/>
        </w:rPr>
      </w:pPr>
      <w:bookmarkStart w:id="3" w:name="TitleOfDoc"/>
      <w:bookmarkEnd w:id="3"/>
      <w:r w:rsidRPr="00700272">
        <w:rPr>
          <w:caps/>
          <w:sz w:val="24"/>
        </w:rPr>
        <w:t xml:space="preserve">Prórroga de la designación de la Oficina Japonesa de Patentes </w:t>
      </w:r>
      <w:r w:rsidR="00395F7A">
        <w:rPr>
          <w:caps/>
          <w:sz w:val="24"/>
        </w:rPr>
        <w:t>COMO</w:t>
      </w:r>
      <w:r w:rsidRPr="00700272">
        <w:rPr>
          <w:caps/>
          <w:sz w:val="24"/>
        </w:rPr>
        <w:t xml:space="preserve"> Administración encargada de la búsqueda y del examen preliminar internacional</w:t>
      </w:r>
      <w:r w:rsidR="00395F7A">
        <w:rPr>
          <w:caps/>
          <w:sz w:val="24"/>
        </w:rPr>
        <w:t>es</w:t>
      </w:r>
      <w:r w:rsidRPr="00700272">
        <w:rPr>
          <w:caps/>
          <w:sz w:val="24"/>
        </w:rPr>
        <w:t xml:space="preserve"> en virtud del </w:t>
      </w:r>
      <w:r w:rsidR="00FF6821" w:rsidRPr="00700272">
        <w:rPr>
          <w:caps/>
          <w:sz w:val="24"/>
        </w:rPr>
        <w:t>PCT</w:t>
      </w:r>
    </w:p>
    <w:p w:rsidR="00FF6821" w:rsidRPr="00700272" w:rsidRDefault="00FF6821" w:rsidP="00FF6821"/>
    <w:p w:rsidR="00C96B78" w:rsidRPr="00700272" w:rsidRDefault="00C96B78" w:rsidP="00C96B78">
      <w:pPr>
        <w:rPr>
          <w:i/>
        </w:rPr>
      </w:pPr>
      <w:bookmarkStart w:id="4" w:name="Prepared"/>
      <w:bookmarkEnd w:id="4"/>
      <w:r w:rsidRPr="00700272">
        <w:rPr>
          <w:i/>
        </w:rPr>
        <w:t xml:space="preserve">Documento preparado por la Oficina Internacional  </w:t>
      </w:r>
    </w:p>
    <w:p w:rsidR="00FF6821" w:rsidRPr="00700272" w:rsidRDefault="00FF6821" w:rsidP="00FF6821"/>
    <w:p w:rsidR="00FF6821" w:rsidRPr="00700272" w:rsidRDefault="00FF6821" w:rsidP="00FF6821"/>
    <w:p w:rsidR="00FF6821" w:rsidRPr="00700272" w:rsidRDefault="00FF6821" w:rsidP="00FF6821"/>
    <w:p w:rsidR="00FF6821" w:rsidRPr="00700272" w:rsidRDefault="00FF6821" w:rsidP="00FF6821"/>
    <w:p w:rsidR="00395F7A" w:rsidRPr="001510B7" w:rsidRDefault="00395F7A" w:rsidP="00395F7A">
      <w:pPr>
        <w:pStyle w:val="ONUMFS"/>
      </w:pPr>
      <w:bookmarkStart w:id="5" w:name="_Ref447032909"/>
      <w:r>
        <w:t>Todas las Administraciones internacionales existentes fueron designadas por la Asamblea de la Unión del PCT por un plazo que expirará el 31 de diciembre de 2017.  Por consiguiente, en 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bookmarkEnd w:id="5"/>
      <w:r>
        <w:t xml:space="preserve">  El documento PCT/CTC/30/INF/1contiene más información sobre este proceso y sobre la función del Comité en el marco del mismo. </w:t>
      </w:r>
    </w:p>
    <w:p w:rsidR="00FF6821" w:rsidRPr="00700272" w:rsidRDefault="00C96B78" w:rsidP="002A26C0">
      <w:pPr>
        <w:pStyle w:val="ONUMFS"/>
      </w:pPr>
      <w:r w:rsidRPr="00700272">
        <w:t>E</w:t>
      </w:r>
      <w:r w:rsidR="00700272" w:rsidRPr="00700272">
        <w:t>l 8</w:t>
      </w:r>
      <w:r w:rsidRPr="00700272">
        <w:t xml:space="preserve"> de marzo d</w:t>
      </w:r>
      <w:r w:rsidR="00700272" w:rsidRPr="00700272">
        <w:t>e 2</w:t>
      </w:r>
      <w:r w:rsidR="00FF6821" w:rsidRPr="00700272">
        <w:t xml:space="preserve">017, </w:t>
      </w:r>
      <w:r w:rsidRPr="00700272">
        <w:t>la Oficina Japonesa de Patentes presentó la solicitud de prórroga de su designación como Administración encargada de la búsqueda y del examen preliminar internacional</w:t>
      </w:r>
      <w:r w:rsidR="00395F7A">
        <w:t>es en virtud del PCT.  Es</w:t>
      </w:r>
      <w:r w:rsidRPr="00700272">
        <w:t>a solicitud se reproduc</w:t>
      </w:r>
      <w:r w:rsidR="00395F7A">
        <w:t>e</w:t>
      </w:r>
      <w:r w:rsidRPr="00700272">
        <w:t xml:space="preserve"> en el Anexo del presente documento.</w:t>
      </w:r>
    </w:p>
    <w:p w:rsidR="00FF6821" w:rsidRPr="00700272" w:rsidRDefault="00C96B78" w:rsidP="00395F7A">
      <w:pPr>
        <w:pStyle w:val="ONUMFS"/>
        <w:tabs>
          <w:tab w:val="left" w:pos="6096"/>
        </w:tabs>
        <w:ind w:left="5534"/>
        <w:rPr>
          <w:i/>
        </w:rPr>
      </w:pPr>
      <w:r w:rsidRPr="00700272">
        <w:rPr>
          <w:i/>
        </w:rPr>
        <w:t>Se invita al Comité a dar su opinión sobre este asunto</w:t>
      </w:r>
      <w:r w:rsidR="00FF6821" w:rsidRPr="00700272">
        <w:rPr>
          <w:i/>
        </w:rPr>
        <w:t>.</w:t>
      </w:r>
    </w:p>
    <w:p w:rsidR="00D949B9" w:rsidRPr="00700272" w:rsidRDefault="00D949B9" w:rsidP="002A26C0">
      <w:pPr>
        <w:pStyle w:val="ONUMFS"/>
        <w:numPr>
          <w:ilvl w:val="0"/>
          <w:numId w:val="0"/>
        </w:numPr>
      </w:pPr>
    </w:p>
    <w:p w:rsidR="00F84474" w:rsidRPr="00700272" w:rsidRDefault="00D949B9" w:rsidP="00D949B9">
      <w:pPr>
        <w:pStyle w:val="Endofdocument-Annex"/>
        <w:rPr>
          <w:lang w:val="es-ES"/>
        </w:rPr>
      </w:pPr>
      <w:r w:rsidRPr="00700272">
        <w:rPr>
          <w:lang w:val="es-ES"/>
        </w:rPr>
        <w:t>[Sigue el Anexo]</w:t>
      </w:r>
    </w:p>
    <w:p w:rsidR="00D949B9" w:rsidRPr="00700272" w:rsidRDefault="00D949B9" w:rsidP="00D949B9">
      <w:pPr>
        <w:pStyle w:val="Endofdocument-Annex"/>
        <w:rPr>
          <w:lang w:val="es-ES"/>
        </w:rPr>
      </w:pPr>
      <w:bookmarkStart w:id="6" w:name="_GoBack"/>
      <w:bookmarkEnd w:id="6"/>
    </w:p>
    <w:p w:rsidR="00D949B9" w:rsidRPr="00700272" w:rsidRDefault="00D949B9">
      <w:pPr>
        <w:sectPr w:rsidR="00D949B9" w:rsidRPr="00700272" w:rsidSect="003F5AAE">
          <w:headerReference w:type="default" r:id="rId10"/>
          <w:pgSz w:w="11907" w:h="16840" w:code="9"/>
          <w:pgMar w:top="567" w:right="1134" w:bottom="1418" w:left="1418" w:header="510" w:footer="1021" w:gutter="0"/>
          <w:cols w:space="720"/>
          <w:titlePg/>
          <w:docGrid w:linePitch="299"/>
        </w:sectPr>
      </w:pPr>
    </w:p>
    <w:p w:rsidR="00FF6821" w:rsidRPr="00700272" w:rsidRDefault="00397820" w:rsidP="00FF6821">
      <w:pPr>
        <w:spacing w:after="220"/>
        <w:jc w:val="center"/>
        <w:rPr>
          <w:caps/>
        </w:rPr>
      </w:pPr>
      <w:r w:rsidRPr="00700272">
        <w:rPr>
          <w:caps/>
        </w:rPr>
        <w:lastRenderedPageBreak/>
        <w:t xml:space="preserve">solicitud DE </w:t>
      </w:r>
      <w:r w:rsidR="00395F7A">
        <w:rPr>
          <w:caps/>
        </w:rPr>
        <w:t xml:space="preserve">prórroga de la designación de </w:t>
      </w:r>
      <w:r w:rsidRPr="00700272">
        <w:rPr>
          <w:caps/>
        </w:rPr>
        <w:t>LA OFICINA Japonesa DE PATENTES como Administración encargada de la búsqueda y del examen preliminar internacional</w:t>
      </w:r>
      <w:r w:rsidR="00395F7A">
        <w:rPr>
          <w:caps/>
        </w:rPr>
        <w:t>es</w:t>
      </w:r>
      <w:r w:rsidRPr="00700272">
        <w:rPr>
          <w:caps/>
        </w:rPr>
        <w:t xml:space="preserve"> en virtud del </w:t>
      </w:r>
      <w:r w:rsidR="00FF6821" w:rsidRPr="00700272">
        <w:rPr>
          <w:caps/>
        </w:rPr>
        <w:t>PCT</w:t>
      </w:r>
    </w:p>
    <w:p w:rsidR="00FF6821" w:rsidRPr="00700272" w:rsidRDefault="00FF6821" w:rsidP="00FF6821"/>
    <w:p w:rsidR="00FF6821" w:rsidRPr="00700272" w:rsidRDefault="00FF6821" w:rsidP="00FF6821">
      <w:pPr>
        <w:keepNext/>
        <w:pBdr>
          <w:top w:val="single" w:sz="4" w:space="1" w:color="auto"/>
          <w:bottom w:val="single" w:sz="4" w:space="1" w:color="auto"/>
        </w:pBdr>
        <w:spacing w:before="360" w:after="200"/>
        <w:outlineLvl w:val="0"/>
        <w:rPr>
          <w:b/>
          <w:bCs/>
          <w:caps/>
          <w:kern w:val="32"/>
          <w:szCs w:val="32"/>
        </w:rPr>
      </w:pPr>
      <w:r w:rsidRPr="00700272">
        <w:rPr>
          <w:b/>
          <w:bCs/>
          <w:caps/>
          <w:kern w:val="32"/>
          <w:szCs w:val="32"/>
        </w:rPr>
        <w:t>1 – General</w:t>
      </w:r>
    </w:p>
    <w:p w:rsidR="00FF6821" w:rsidRPr="00700272" w:rsidRDefault="00397820" w:rsidP="00FF6821">
      <w:pPr>
        <w:rPr>
          <w:bCs/>
          <w:szCs w:val="22"/>
        </w:rPr>
      </w:pPr>
      <w:r w:rsidRPr="00700272">
        <w:rPr>
          <w:b/>
        </w:rPr>
        <w:t>Denominación de la Oficina</w:t>
      </w:r>
      <w:r w:rsidR="00FF6821" w:rsidRPr="00700272">
        <w:rPr>
          <w:b/>
          <w:bCs/>
          <w:szCs w:val="22"/>
        </w:rPr>
        <w:t xml:space="preserve">:  </w:t>
      </w:r>
      <w:r w:rsidRPr="00700272">
        <w:rPr>
          <w:bCs/>
          <w:szCs w:val="22"/>
        </w:rPr>
        <w:t xml:space="preserve">Oficina Japonesa de Patentes </w:t>
      </w:r>
    </w:p>
    <w:p w:rsidR="00FF6821" w:rsidRPr="00700272" w:rsidRDefault="00FF6821" w:rsidP="00FF6821">
      <w:pPr>
        <w:rPr>
          <w:szCs w:val="22"/>
        </w:rPr>
      </w:pPr>
    </w:p>
    <w:p w:rsidR="00FF6821" w:rsidRPr="00700272" w:rsidRDefault="00397820" w:rsidP="00FF6821">
      <w:r w:rsidRPr="00700272">
        <w:rPr>
          <w:b/>
          <w:bCs/>
          <w:szCs w:val="22"/>
        </w:rPr>
        <w:t>Período de sesiones de la Asamblea en el cual aspira a ser designada</w:t>
      </w:r>
      <w:r w:rsidR="00FF6821" w:rsidRPr="00700272">
        <w:rPr>
          <w:b/>
          <w:bCs/>
          <w:szCs w:val="22"/>
        </w:rPr>
        <w:t>:</w:t>
      </w:r>
      <w:r w:rsidR="00FF6821" w:rsidRPr="00700272">
        <w:rPr>
          <w:szCs w:val="22"/>
        </w:rPr>
        <w:t xml:space="preserve">  </w:t>
      </w:r>
      <w:r w:rsidRPr="00700272">
        <w:t>Cuadragésimo noveno</w:t>
      </w:r>
    </w:p>
    <w:p w:rsidR="00FF6821" w:rsidRPr="00700272" w:rsidRDefault="00FF6821" w:rsidP="00FF6821">
      <w:pPr>
        <w:rPr>
          <w:szCs w:val="22"/>
        </w:rPr>
      </w:pPr>
    </w:p>
    <w:p w:rsidR="00FF6821" w:rsidRPr="00700272" w:rsidRDefault="00397820" w:rsidP="00FF6821">
      <w:pPr>
        <w:rPr>
          <w:szCs w:val="22"/>
        </w:rPr>
      </w:pPr>
      <w:r w:rsidRPr="00700272">
        <w:rPr>
          <w:b/>
          <w:bCs/>
          <w:szCs w:val="22"/>
        </w:rPr>
        <w:t xml:space="preserve">Fecha prevista </w:t>
      </w:r>
      <w:r w:rsidR="00395F7A">
        <w:rPr>
          <w:b/>
          <w:bCs/>
          <w:szCs w:val="22"/>
        </w:rPr>
        <w:t>para el inicio de la actividad como ISA/IPEA</w:t>
      </w:r>
      <w:proofErr w:type="gramStart"/>
      <w:r w:rsidR="00FF6821" w:rsidRPr="00700272">
        <w:rPr>
          <w:b/>
          <w:bCs/>
          <w:szCs w:val="22"/>
        </w:rPr>
        <w:t>:</w:t>
      </w:r>
      <w:r w:rsidR="00FF6821" w:rsidRPr="00700272">
        <w:rPr>
          <w:szCs w:val="22"/>
        </w:rPr>
        <w:t xml:space="preserve">  </w:t>
      </w:r>
      <w:r w:rsidRPr="00700272">
        <w:rPr>
          <w:noProof/>
        </w:rPr>
        <w:t>1</w:t>
      </w:r>
      <w:proofErr w:type="gramEnd"/>
      <w:r w:rsidRPr="00700272">
        <w:rPr>
          <w:noProof/>
        </w:rPr>
        <w:t xml:space="preserve"> de enero d</w:t>
      </w:r>
      <w:r w:rsidR="00700272" w:rsidRPr="00700272">
        <w:rPr>
          <w:noProof/>
        </w:rPr>
        <w:t>e </w:t>
      </w:r>
      <w:r w:rsidR="00700272" w:rsidRPr="00700272">
        <w:rPr>
          <w:szCs w:val="22"/>
        </w:rPr>
        <w:t>2</w:t>
      </w:r>
      <w:r w:rsidR="00FF6821" w:rsidRPr="00700272">
        <w:rPr>
          <w:szCs w:val="22"/>
        </w:rPr>
        <w:t xml:space="preserve">018 </w:t>
      </w:r>
    </w:p>
    <w:p w:rsidR="00FF6821" w:rsidRPr="00700272" w:rsidRDefault="00FF6821" w:rsidP="00FF6821">
      <w:pPr>
        <w:rPr>
          <w:szCs w:val="22"/>
        </w:rPr>
      </w:pPr>
    </w:p>
    <w:p w:rsidR="00FF6821" w:rsidRPr="00700272" w:rsidRDefault="00397820" w:rsidP="00FF6821">
      <w:pPr>
        <w:rPr>
          <w:szCs w:val="22"/>
        </w:rPr>
      </w:pPr>
      <w:r w:rsidRPr="00700272">
        <w:rPr>
          <w:b/>
          <w:bCs/>
          <w:szCs w:val="22"/>
        </w:rPr>
        <w:t>Funcionario de contacto</w:t>
      </w:r>
      <w:proofErr w:type="gramStart"/>
      <w:r w:rsidR="00FF6821" w:rsidRPr="00700272">
        <w:rPr>
          <w:b/>
          <w:bCs/>
          <w:szCs w:val="22"/>
        </w:rPr>
        <w:t xml:space="preserve">:  </w:t>
      </w:r>
      <w:r w:rsidR="00395F7A">
        <w:rPr>
          <w:bCs/>
          <w:szCs w:val="22"/>
        </w:rPr>
        <w:t>S</w:t>
      </w:r>
      <w:r w:rsidR="00FF6821" w:rsidRPr="00700272">
        <w:rPr>
          <w:bCs/>
          <w:szCs w:val="22"/>
        </w:rPr>
        <w:t>r</w:t>
      </w:r>
      <w:proofErr w:type="gramEnd"/>
      <w:r w:rsidR="00700272" w:rsidRPr="00700272">
        <w:rPr>
          <w:bCs/>
          <w:szCs w:val="22"/>
        </w:rPr>
        <w:t>. T</w:t>
      </w:r>
      <w:r w:rsidR="00FF6821" w:rsidRPr="00700272">
        <w:rPr>
          <w:bCs/>
          <w:szCs w:val="22"/>
        </w:rPr>
        <w:t xml:space="preserve">atsuo Takeshige, </w:t>
      </w:r>
      <w:r w:rsidR="00395F7A" w:rsidRPr="00700272">
        <w:rPr>
          <w:bCs/>
          <w:szCs w:val="22"/>
        </w:rPr>
        <w:t>director</w:t>
      </w:r>
      <w:r w:rsidR="00FF6821" w:rsidRPr="00700272">
        <w:rPr>
          <w:bCs/>
          <w:szCs w:val="22"/>
        </w:rPr>
        <w:t xml:space="preserve">, </w:t>
      </w:r>
      <w:r w:rsidR="00395F7A">
        <w:rPr>
          <w:bCs/>
          <w:szCs w:val="22"/>
        </w:rPr>
        <w:t xml:space="preserve">Oficina de Política </w:t>
      </w:r>
      <w:r w:rsidR="00FF6821" w:rsidRPr="00700272">
        <w:rPr>
          <w:bCs/>
          <w:szCs w:val="22"/>
        </w:rPr>
        <w:t xml:space="preserve">Multilateral, </w:t>
      </w:r>
      <w:r w:rsidR="00395F7A">
        <w:rPr>
          <w:bCs/>
          <w:szCs w:val="22"/>
        </w:rPr>
        <w:t>División de Políticas Internac</w:t>
      </w:r>
      <w:r w:rsidR="00FF6821" w:rsidRPr="00700272">
        <w:rPr>
          <w:bCs/>
          <w:szCs w:val="22"/>
        </w:rPr>
        <w:t>ional</w:t>
      </w:r>
      <w:r w:rsidR="00395F7A">
        <w:rPr>
          <w:bCs/>
          <w:szCs w:val="22"/>
        </w:rPr>
        <w:t>es</w:t>
      </w:r>
    </w:p>
    <w:p w:rsidR="00FF6821" w:rsidRPr="00700272" w:rsidRDefault="00FF6821" w:rsidP="00FF6821">
      <w:pPr>
        <w:rPr>
          <w:szCs w:val="22"/>
        </w:rPr>
      </w:pPr>
    </w:p>
    <w:p w:rsidR="00FF6821" w:rsidRPr="00700272" w:rsidRDefault="00B16125" w:rsidP="00FF6821">
      <w:pPr>
        <w:rPr>
          <w:b/>
          <w:szCs w:val="22"/>
        </w:rPr>
      </w:pPr>
      <w:r>
        <w:rPr>
          <w:b/>
          <w:szCs w:val="22"/>
        </w:rPr>
        <w:t>Declaración de motivos</w:t>
      </w:r>
      <w:r w:rsidR="00FF6821" w:rsidRPr="00700272">
        <w:rPr>
          <w:b/>
          <w:szCs w:val="22"/>
        </w:rPr>
        <w:t>:</w:t>
      </w:r>
    </w:p>
    <w:p w:rsidR="00FF6821" w:rsidRPr="00700272" w:rsidRDefault="00FF6821" w:rsidP="00FF6821">
      <w:pPr>
        <w:rPr>
          <w:szCs w:val="22"/>
        </w:rPr>
      </w:pPr>
    </w:p>
    <w:p w:rsidR="00FF6821" w:rsidRPr="00700272" w:rsidRDefault="00F4034F" w:rsidP="00FF6821">
      <w:r w:rsidRPr="00700272">
        <w:t>Desde su adhesión al Tratado de Cooperación en materia de Patentes (PCT) y simultánea designación como Administración encargada de la búsqueda y del examen preliminar internacional</w:t>
      </w:r>
      <w:r w:rsidR="00B16125">
        <w:t>es</w:t>
      </w:r>
      <w:r w:rsidRPr="00700272">
        <w:t xml:space="preserve"> en virtud del PCT (ISA/IPEA por sus siglas en inglés), la Oficina Japonesa de Patentes </w:t>
      </w:r>
      <w:r w:rsidR="00FF6821" w:rsidRPr="00700272">
        <w:t>(JPO)</w:t>
      </w:r>
      <w:r w:rsidRPr="00700272">
        <w:t xml:space="preserve"> es la única Administración competente </w:t>
      </w:r>
      <w:r w:rsidR="00CB1866" w:rsidRPr="00700272">
        <w:t xml:space="preserve">con capacidad para </w:t>
      </w:r>
      <w:r w:rsidRPr="00700272">
        <w:t xml:space="preserve">realizar búsquedas internacionales y exámenes preliminares internacionales en lengua japonesa.  </w:t>
      </w:r>
      <w:r w:rsidR="00CB1866" w:rsidRPr="00700272">
        <w:t>E</w:t>
      </w:r>
      <w:r w:rsidR="00700272" w:rsidRPr="00700272">
        <w:t>n 2</w:t>
      </w:r>
      <w:r w:rsidR="008E45BB" w:rsidRPr="00700272">
        <w:t>001, la JPO comenzó a efectuar también búsquedas internacionales en inglés.  En la actualidad, la Oficina actúa en calidad de ISA/IPEA competente con respecto a las solicitudes internacionales presentadas por solicitantes de nacionalidad japonesa o residentes en Japón, así como por solicitantes de otro</w:t>
      </w:r>
      <w:r w:rsidR="00700272" w:rsidRPr="00700272">
        <w:t>s 1</w:t>
      </w:r>
      <w:r w:rsidR="008E45BB" w:rsidRPr="00700272">
        <w:t>1 Estados miembros.</w:t>
      </w:r>
    </w:p>
    <w:p w:rsidR="00FF6821" w:rsidRPr="00700272" w:rsidRDefault="00FF6821" w:rsidP="00FF6821"/>
    <w:p w:rsidR="00FF6821" w:rsidRPr="00700272" w:rsidRDefault="00445496" w:rsidP="00FF6821">
      <w:r w:rsidRPr="00700272">
        <w:t xml:space="preserve">Pese a realizar búsquedas internacionales y exámenes preliminares internacionales en un número elevado de solicitudes PCT, la JPO logra tramitar estas últimas puntualmente.  En las encuestas de satisfacción que realiza la JPO, </w:t>
      </w:r>
      <w:r w:rsidR="00CB1866" w:rsidRPr="00700272">
        <w:t xml:space="preserve">los usuarios otorgan consistentemente puntuaciones muy positivas a los niveles de </w:t>
      </w:r>
      <w:r w:rsidRPr="00700272">
        <w:t xml:space="preserve">calidad de los informes </w:t>
      </w:r>
      <w:r w:rsidR="007E370D" w:rsidRPr="00700272">
        <w:t xml:space="preserve">de búsqueda internacional y demás </w:t>
      </w:r>
      <w:r w:rsidR="00CB1866" w:rsidRPr="00700272">
        <w:t>resultados de la tramitación por parte</w:t>
      </w:r>
      <w:r w:rsidR="007E370D" w:rsidRPr="00700272">
        <w:t xml:space="preserve"> de la </w:t>
      </w:r>
      <w:r w:rsidR="00FF6821" w:rsidRPr="00700272">
        <w:t>JPO.</w:t>
      </w:r>
    </w:p>
    <w:p w:rsidR="00FF6821" w:rsidRPr="00700272" w:rsidRDefault="00FF6821" w:rsidP="00FF6821"/>
    <w:p w:rsidR="008A66F4" w:rsidRPr="00700272" w:rsidRDefault="00BE372F" w:rsidP="00FF6821">
      <w:r w:rsidRPr="00700272">
        <w:t>Por otra parte,</w:t>
      </w:r>
      <w:r w:rsidR="00627971" w:rsidRPr="00700272">
        <w:t xml:space="preserve"> teniendo en cuenta que uno de los aspectos clave que deben ser objeto de atención es la mejora de la calidad de los </w:t>
      </w:r>
      <w:r w:rsidR="00DF0F55" w:rsidRPr="00700272">
        <w:t xml:space="preserve">resultados de la tramitación en la fase internacional del PCT, </w:t>
      </w:r>
      <w:r w:rsidRPr="00700272">
        <w:t xml:space="preserve">la JPO </w:t>
      </w:r>
      <w:r w:rsidR="00DF0F55" w:rsidRPr="00700272">
        <w:t>viene</w:t>
      </w:r>
      <w:r w:rsidRPr="00700272">
        <w:t xml:space="preserve"> trabaja</w:t>
      </w:r>
      <w:r w:rsidR="00DF0F55" w:rsidRPr="00700272">
        <w:t>n</w:t>
      </w:r>
      <w:r w:rsidRPr="00700272">
        <w:t>do activamente</w:t>
      </w:r>
      <w:r w:rsidR="00627971" w:rsidRPr="00700272">
        <w:t xml:space="preserve"> en </w:t>
      </w:r>
      <w:r w:rsidR="00DF0F55" w:rsidRPr="00700272">
        <w:t xml:space="preserve">el diseño de </w:t>
      </w:r>
      <w:r w:rsidR="00627971" w:rsidRPr="00700272">
        <w:t>medidas de mejora</w:t>
      </w:r>
      <w:r w:rsidR="00DF0F55" w:rsidRPr="00700272">
        <w:t xml:space="preserve"> a dichos efectos</w:t>
      </w:r>
      <w:r w:rsidR="008A66F4" w:rsidRPr="00700272">
        <w:t>.</w:t>
      </w:r>
    </w:p>
    <w:p w:rsidR="00FF6821" w:rsidRPr="00700272" w:rsidRDefault="00FF6821" w:rsidP="00FF6821"/>
    <w:p w:rsidR="008A66F4" w:rsidRPr="00700272" w:rsidRDefault="00DF0F55" w:rsidP="00FF6821">
      <w:r w:rsidRPr="00700272">
        <w:t>Por lo que se refiere a su práctica en el ámbito interno, por ejemplo, la JPO elaboró e</w:t>
      </w:r>
      <w:r w:rsidR="00700272" w:rsidRPr="00700272">
        <w:t>n 2</w:t>
      </w:r>
      <w:r w:rsidRPr="00700272">
        <w:t xml:space="preserve">015 un “Manual </w:t>
      </w:r>
      <w:r w:rsidR="001E62B5" w:rsidRPr="00700272">
        <w:t>para la</w:t>
      </w:r>
      <w:r w:rsidRPr="00700272">
        <w:t xml:space="preserve"> búsqueda y </w:t>
      </w:r>
      <w:r w:rsidR="001E62B5" w:rsidRPr="00700272">
        <w:t xml:space="preserve">el </w:t>
      </w:r>
      <w:r w:rsidRPr="00700272">
        <w:t>examen preliminar internacional</w:t>
      </w:r>
      <w:r w:rsidR="00B16125">
        <w:t>es</w:t>
      </w:r>
      <w:r w:rsidRPr="00700272">
        <w:t xml:space="preserve"> en el marco del PCT” destinado a ayudar a sus examinadores a efectuar las búsquedas internacionales y</w:t>
      </w:r>
      <w:r w:rsidR="00CB1866" w:rsidRPr="00700272">
        <w:t xml:space="preserve"> los </w:t>
      </w:r>
      <w:r w:rsidRPr="00700272">
        <w:t>exámenes preliminares internacionales de un modo más racionalizado</w:t>
      </w:r>
      <w:r w:rsidR="001E62B5" w:rsidRPr="00700272">
        <w:t xml:space="preserve">, y a mejorar la transparencia de su trabajo </w:t>
      </w:r>
      <w:r w:rsidR="003B3E01" w:rsidRPr="00700272">
        <w:t>de cara a los usuarios</w:t>
      </w:r>
      <w:r w:rsidR="008A66F4" w:rsidRPr="00700272">
        <w:t>.</w:t>
      </w:r>
    </w:p>
    <w:p w:rsidR="00FF6821" w:rsidRPr="00700272" w:rsidRDefault="00FF6821" w:rsidP="00FF6821"/>
    <w:p w:rsidR="00FF6821" w:rsidRPr="00700272" w:rsidRDefault="003B3E01" w:rsidP="00FF6821">
      <w:r w:rsidRPr="00700272">
        <w:t>En cuanto a las relaciones con terceros países, la JPO ha seguido participando en diversas iniciativas de cooperación, no sólo bajo los auspicios de la OMPI sino también con otras oficinas de P.I. en el marco de acuerdos bilaterales o plurilaterales, entre los cuales cabe mencionar la Cooperación Pentalateral (IP</w:t>
      </w:r>
      <w:r w:rsidR="00CB1866" w:rsidRPr="00700272">
        <w:t>5).  La JPO también h</w:t>
      </w:r>
      <w:r w:rsidRPr="00700272">
        <w:t>a compartido su</w:t>
      </w:r>
      <w:r w:rsidR="00E47B75" w:rsidRPr="00700272">
        <w:t>s</w:t>
      </w:r>
      <w:r w:rsidRPr="00700272">
        <w:t xml:space="preserve"> experiencia</w:t>
      </w:r>
      <w:r w:rsidR="00E47B75" w:rsidRPr="00700272">
        <w:t xml:space="preserve">s </w:t>
      </w:r>
      <w:r w:rsidR="00CB1866" w:rsidRPr="00700272">
        <w:t>en el afán</w:t>
      </w:r>
      <w:r w:rsidR="00E47B75" w:rsidRPr="00700272">
        <w:t xml:space="preserve"> por desempeñar adecuadamente su labor como </w:t>
      </w:r>
      <w:r w:rsidR="00FF6821" w:rsidRPr="00700272">
        <w:t>ISA/IPEA</w:t>
      </w:r>
      <w:r w:rsidR="00E47B75" w:rsidRPr="00700272">
        <w:t xml:space="preserve"> con </w:t>
      </w:r>
      <w:r w:rsidR="00CB1866" w:rsidRPr="00700272">
        <w:t xml:space="preserve">otras </w:t>
      </w:r>
      <w:r w:rsidR="00E47B75" w:rsidRPr="00700272">
        <w:t>Administraciones recientemente designadas</w:t>
      </w:r>
      <w:r w:rsidR="00FF6821" w:rsidRPr="00700272">
        <w:t>.</w:t>
      </w:r>
    </w:p>
    <w:p w:rsidR="00FF6821" w:rsidRPr="00700272" w:rsidRDefault="00FF6821" w:rsidP="00FF6821"/>
    <w:p w:rsidR="008A66F4" w:rsidRPr="00700272" w:rsidRDefault="00E47B75" w:rsidP="00FF6821">
      <w:r w:rsidRPr="00700272">
        <w:lastRenderedPageBreak/>
        <w:t xml:space="preserve">Estos son los </w:t>
      </w:r>
      <w:r w:rsidR="003147D1" w:rsidRPr="00700272">
        <w:t>argumentos</w:t>
      </w:r>
      <w:r w:rsidRPr="00700272">
        <w:t xml:space="preserve"> en los que la JPO fundamenta la solicitud de prórroga de su designación como </w:t>
      </w:r>
      <w:r w:rsidR="00FF6821" w:rsidRPr="00700272">
        <w:t xml:space="preserve">ISA/IPEA. </w:t>
      </w:r>
      <w:r w:rsidR="003147D1" w:rsidRPr="00700272">
        <w:t xml:space="preserve"> Confiando en volver a ser designada como </w:t>
      </w:r>
      <w:r w:rsidR="00FF6821" w:rsidRPr="00700272">
        <w:t>ISA/IPEA</w:t>
      </w:r>
      <w:r w:rsidR="003147D1" w:rsidRPr="00700272">
        <w:t xml:space="preserve"> competente, la </w:t>
      </w:r>
      <w:r w:rsidR="00FF6821" w:rsidRPr="00700272">
        <w:t>JPO</w:t>
      </w:r>
      <w:r w:rsidR="003147D1" w:rsidRPr="00700272">
        <w:t xml:space="preserve"> </w:t>
      </w:r>
      <w:r w:rsidR="006511B7" w:rsidRPr="00700272">
        <w:t xml:space="preserve">alberga la sincera esperanza de poder </w:t>
      </w:r>
      <w:r w:rsidR="003147D1" w:rsidRPr="00700272">
        <w:t>contribuir al futuro desarrollo del sistema del P</w:t>
      </w:r>
      <w:r w:rsidR="00B16125">
        <w:t>CT, tal como ha venido hacié</w:t>
      </w:r>
      <w:r w:rsidR="006511B7" w:rsidRPr="00700272">
        <w:t>ndo</w:t>
      </w:r>
      <w:r w:rsidR="00B16125">
        <w:t>lo</w:t>
      </w:r>
      <w:r w:rsidR="003147D1" w:rsidRPr="00700272">
        <w:t xml:space="preserve"> hasta la fecha</w:t>
      </w:r>
      <w:r w:rsidR="008A66F4" w:rsidRPr="00700272">
        <w:t>.</w:t>
      </w:r>
    </w:p>
    <w:p w:rsidR="00FF6821" w:rsidRPr="00700272" w:rsidRDefault="00FF6821" w:rsidP="00FF6821">
      <w:pPr>
        <w:keepNext/>
        <w:pBdr>
          <w:top w:val="single" w:sz="4" w:space="1" w:color="auto"/>
          <w:bottom w:val="single" w:sz="4" w:space="1" w:color="auto"/>
        </w:pBdr>
        <w:spacing w:before="360" w:after="200"/>
        <w:outlineLvl w:val="0"/>
        <w:rPr>
          <w:b/>
          <w:bCs/>
          <w:caps/>
          <w:kern w:val="32"/>
          <w:szCs w:val="32"/>
        </w:rPr>
      </w:pPr>
      <w:r w:rsidRPr="00700272">
        <w:rPr>
          <w:b/>
          <w:bCs/>
          <w:caps/>
          <w:kern w:val="32"/>
          <w:szCs w:val="32"/>
        </w:rPr>
        <w:t xml:space="preserve">2 – </w:t>
      </w:r>
      <w:r w:rsidR="003147D1" w:rsidRPr="00700272">
        <w:rPr>
          <w:b/>
          <w:bCs/>
          <w:caps/>
          <w:kern w:val="32"/>
          <w:szCs w:val="32"/>
        </w:rPr>
        <w:t>Criterios sustantivos</w:t>
      </w:r>
      <w:proofErr w:type="gramStart"/>
      <w:r w:rsidRPr="00700272">
        <w:rPr>
          <w:b/>
          <w:bCs/>
          <w:caps/>
          <w:kern w:val="32"/>
          <w:szCs w:val="32"/>
        </w:rPr>
        <w:t xml:space="preserve">:  </w:t>
      </w:r>
      <w:r w:rsidR="003147D1" w:rsidRPr="00700272">
        <w:rPr>
          <w:b/>
          <w:bCs/>
          <w:caps/>
          <w:kern w:val="32"/>
          <w:szCs w:val="32"/>
        </w:rPr>
        <w:t>REQUISITOS</w:t>
      </w:r>
      <w:proofErr w:type="gramEnd"/>
      <w:r w:rsidR="003147D1" w:rsidRPr="00700272">
        <w:rPr>
          <w:b/>
          <w:bCs/>
          <w:caps/>
          <w:kern w:val="32"/>
          <w:szCs w:val="32"/>
        </w:rPr>
        <w:t xml:space="preserve"> MÍNIMOS PARA LA DESIGNACIÓN</w:t>
      </w:r>
    </w:p>
    <w:p w:rsidR="00FF6821" w:rsidRPr="00700272" w:rsidRDefault="00FF6821" w:rsidP="00FF6821">
      <w:pPr>
        <w:keepNext/>
      </w:pPr>
    </w:p>
    <w:p w:rsidR="00FF6821" w:rsidRPr="00700272" w:rsidRDefault="00FF6821" w:rsidP="00FF6821">
      <w:pPr>
        <w:keepNext/>
        <w:pBdr>
          <w:top w:val="single" w:sz="4" w:space="1" w:color="auto"/>
          <w:bottom w:val="single" w:sz="4" w:space="1" w:color="auto"/>
        </w:pBdr>
        <w:spacing w:after="200"/>
        <w:outlineLvl w:val="0"/>
        <w:rPr>
          <w:b/>
          <w:bCs/>
          <w:caps/>
          <w:kern w:val="32"/>
          <w:szCs w:val="32"/>
        </w:rPr>
      </w:pPr>
      <w:r w:rsidRPr="00700272">
        <w:rPr>
          <w:b/>
          <w:bCs/>
          <w:caps/>
          <w:kern w:val="32"/>
          <w:szCs w:val="32"/>
        </w:rPr>
        <w:t xml:space="preserve">2.1 – </w:t>
      </w:r>
      <w:r w:rsidR="003147D1" w:rsidRPr="00700272">
        <w:rPr>
          <w:b/>
          <w:bCs/>
          <w:caps/>
          <w:kern w:val="32"/>
          <w:szCs w:val="32"/>
        </w:rPr>
        <w:t>CAPACIDAD DE BÚSQUEDA Y EXAMEN</w:t>
      </w:r>
    </w:p>
    <w:p w:rsidR="00FF6821" w:rsidRPr="00700272" w:rsidRDefault="0092439F" w:rsidP="00FF6821">
      <w:pPr>
        <w:rPr>
          <w:b/>
          <w:bCs/>
          <w:i/>
          <w:iCs/>
        </w:rPr>
      </w:pPr>
      <w:r w:rsidRPr="00700272">
        <w:rPr>
          <w:b/>
          <w:i/>
        </w:rPr>
        <w:t>Regla</w:t>
      </w:r>
      <w:r w:rsidR="00700272" w:rsidRPr="00700272">
        <w:rPr>
          <w:b/>
          <w:i/>
        </w:rPr>
        <w:t>s 3</w:t>
      </w:r>
      <w:r w:rsidRPr="00700272">
        <w:rPr>
          <w:b/>
          <w:i/>
        </w:rPr>
        <w:t xml:space="preserve">6.1.i) </w:t>
      </w:r>
      <w:r w:rsidR="00700272" w:rsidRPr="00700272">
        <w:rPr>
          <w:b/>
          <w:i/>
        </w:rPr>
        <w:t>y 6</w:t>
      </w:r>
      <w:r w:rsidRPr="00700272">
        <w:rPr>
          <w:b/>
          <w:i/>
        </w:rPr>
        <w:t>3.1.i)</w:t>
      </w:r>
      <w:proofErr w:type="gramStart"/>
      <w:r w:rsidRPr="00700272">
        <w:rPr>
          <w:b/>
          <w:i/>
        </w:rPr>
        <w:t>:  la</w:t>
      </w:r>
      <w:proofErr w:type="gramEnd"/>
      <w:r w:rsidRPr="00700272">
        <w:rPr>
          <w:b/>
          <w:i/>
        </w:rPr>
        <w:t xml:space="preserve"> Oficina nacional o la organización intergubernamental deberá tener, por lo menos, 100 empleados con plena dedicación, con calificaciones técnicas suficientes para efectuar las búsquedas y los exámenes</w:t>
      </w:r>
      <w:r w:rsidR="00FF6821" w:rsidRPr="00700272">
        <w:rPr>
          <w:b/>
          <w:bCs/>
          <w:i/>
          <w:iCs/>
        </w:rPr>
        <w:t>.</w:t>
      </w:r>
    </w:p>
    <w:p w:rsidR="00FF6821" w:rsidRPr="00700272" w:rsidRDefault="00FF6821" w:rsidP="00FF6821">
      <w:pPr>
        <w:rPr>
          <w:b/>
          <w:bCs/>
          <w:i/>
          <w:iCs/>
        </w:rPr>
      </w:pPr>
    </w:p>
    <w:p w:rsidR="00FF6821" w:rsidRPr="00700272" w:rsidRDefault="0090548A" w:rsidP="00FF6821">
      <w:pPr>
        <w:keepNext/>
        <w:keepLines/>
        <w:rPr>
          <w:b/>
          <w:bCs/>
          <w:szCs w:val="22"/>
        </w:rPr>
      </w:pPr>
      <w:r w:rsidRPr="00700272">
        <w:rPr>
          <w:b/>
          <w:bCs/>
          <w:szCs w:val="22"/>
        </w:rPr>
        <w:t xml:space="preserve">Número de empleados cualificados para efectuar la búsqueda y </w:t>
      </w:r>
      <w:r w:rsidR="006511B7" w:rsidRPr="00700272">
        <w:rPr>
          <w:b/>
          <w:bCs/>
          <w:szCs w:val="22"/>
        </w:rPr>
        <w:t>el</w:t>
      </w:r>
      <w:r w:rsidRPr="00700272">
        <w:rPr>
          <w:b/>
          <w:bCs/>
          <w:szCs w:val="22"/>
        </w:rPr>
        <w:t xml:space="preserve"> ex</w:t>
      </w:r>
      <w:r w:rsidR="006511B7" w:rsidRPr="00700272">
        <w:rPr>
          <w:b/>
          <w:bCs/>
          <w:szCs w:val="22"/>
        </w:rPr>
        <w:t>a</w:t>
      </w:r>
      <w:r w:rsidRPr="00700272">
        <w:rPr>
          <w:b/>
          <w:bCs/>
          <w:szCs w:val="22"/>
        </w:rPr>
        <w:t>men</w:t>
      </w:r>
      <w:r w:rsidR="00FF6821" w:rsidRPr="00700272">
        <w:rPr>
          <w:b/>
          <w:bCs/>
          <w:szCs w:val="22"/>
        </w:rPr>
        <w:t>:</w:t>
      </w:r>
      <w:r w:rsidR="00FF6821" w:rsidRPr="00700272">
        <w:rPr>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692"/>
        <w:gridCol w:w="1701"/>
        <w:gridCol w:w="3195"/>
      </w:tblGrid>
      <w:tr w:rsidR="00FF6821" w:rsidRPr="00700272" w:rsidTr="00D96D6F">
        <w:trPr>
          <w:cantSplit/>
        </w:trPr>
        <w:tc>
          <w:tcPr>
            <w:tcW w:w="2405" w:type="dxa"/>
            <w:shd w:val="clear" w:color="auto" w:fill="auto"/>
          </w:tcPr>
          <w:p w:rsidR="00FF6821" w:rsidRPr="00700272" w:rsidRDefault="0090548A" w:rsidP="00FF6821">
            <w:pPr>
              <w:keepNext/>
              <w:keepLines/>
              <w:rPr>
                <w:b/>
                <w:bCs/>
                <w:szCs w:val="22"/>
              </w:rPr>
            </w:pPr>
            <w:r w:rsidRPr="00700272">
              <w:rPr>
                <w:b/>
                <w:bCs/>
                <w:szCs w:val="22"/>
              </w:rPr>
              <w:t>Campo técnico</w:t>
            </w:r>
          </w:p>
        </w:tc>
        <w:tc>
          <w:tcPr>
            <w:tcW w:w="1701" w:type="dxa"/>
            <w:shd w:val="clear" w:color="auto" w:fill="auto"/>
          </w:tcPr>
          <w:p w:rsidR="00FF6821" w:rsidRPr="00700272" w:rsidRDefault="0090548A" w:rsidP="00FF6821">
            <w:pPr>
              <w:keepNext/>
              <w:keepLines/>
              <w:rPr>
                <w:b/>
                <w:bCs/>
                <w:szCs w:val="22"/>
              </w:rPr>
            </w:pPr>
            <w:r w:rsidRPr="00700272">
              <w:rPr>
                <w:b/>
              </w:rPr>
              <w:t>Número (equivalente de puestos a tiempo completo)</w:t>
            </w:r>
          </w:p>
        </w:tc>
        <w:tc>
          <w:tcPr>
            <w:tcW w:w="1701" w:type="dxa"/>
          </w:tcPr>
          <w:p w:rsidR="00FF6821" w:rsidRPr="00700272" w:rsidRDefault="0090548A" w:rsidP="00FF6821">
            <w:pPr>
              <w:rPr>
                <w:b/>
                <w:bCs/>
              </w:rPr>
            </w:pPr>
            <w:r w:rsidRPr="00700272">
              <w:rPr>
                <w:b/>
              </w:rPr>
              <w:t>Experiencia media como examinadores (años)</w:t>
            </w:r>
          </w:p>
        </w:tc>
        <w:tc>
          <w:tcPr>
            <w:tcW w:w="3260" w:type="dxa"/>
          </w:tcPr>
          <w:p w:rsidR="00FF6821" w:rsidRPr="00700272" w:rsidRDefault="0090548A" w:rsidP="00FF6821">
            <w:pPr>
              <w:rPr>
                <w:b/>
                <w:bCs/>
              </w:rPr>
            </w:pPr>
            <w:r w:rsidRPr="00700272">
              <w:rPr>
                <w:b/>
              </w:rPr>
              <w:t>Desglose de las cualificaciones</w:t>
            </w:r>
          </w:p>
        </w:tc>
      </w:tr>
      <w:tr w:rsidR="0090548A" w:rsidRPr="00700272" w:rsidTr="00D96D6F">
        <w:trPr>
          <w:cantSplit/>
        </w:trPr>
        <w:tc>
          <w:tcPr>
            <w:tcW w:w="2405" w:type="dxa"/>
            <w:shd w:val="clear" w:color="auto" w:fill="auto"/>
          </w:tcPr>
          <w:p w:rsidR="0090548A" w:rsidRPr="00700272" w:rsidRDefault="0090548A" w:rsidP="00D96D6F">
            <w:r w:rsidRPr="00700272">
              <w:t>Mecánica</w:t>
            </w:r>
          </w:p>
        </w:tc>
        <w:tc>
          <w:tcPr>
            <w:tcW w:w="1701" w:type="dxa"/>
            <w:shd w:val="clear" w:color="auto" w:fill="auto"/>
          </w:tcPr>
          <w:p w:rsidR="0090548A" w:rsidRPr="00700272" w:rsidRDefault="0090548A" w:rsidP="00FF6821">
            <w:pPr>
              <w:keepNext/>
              <w:keepLines/>
              <w:rPr>
                <w:szCs w:val="22"/>
              </w:rPr>
            </w:pPr>
            <w:r w:rsidRPr="00700272">
              <w:rPr>
                <w:szCs w:val="22"/>
              </w:rPr>
              <w:t>662</w:t>
            </w:r>
          </w:p>
        </w:tc>
        <w:tc>
          <w:tcPr>
            <w:tcW w:w="1701" w:type="dxa"/>
          </w:tcPr>
          <w:p w:rsidR="0090548A" w:rsidRPr="00700272" w:rsidRDefault="00C63FE0" w:rsidP="00FF6821">
            <w:pPr>
              <w:keepNext/>
              <w:keepLines/>
              <w:rPr>
                <w:rFonts w:eastAsiaTheme="minorEastAsia"/>
                <w:szCs w:val="22"/>
                <w:lang w:eastAsia="ja-JP"/>
              </w:rPr>
            </w:pPr>
            <w:r w:rsidRPr="00700272">
              <w:rPr>
                <w:rFonts w:eastAsiaTheme="minorEastAsia"/>
                <w:szCs w:val="22"/>
                <w:lang w:eastAsia="ja-JP"/>
              </w:rPr>
              <w:t>12,</w:t>
            </w:r>
            <w:r w:rsidR="0090548A" w:rsidRPr="00700272">
              <w:rPr>
                <w:rFonts w:eastAsiaTheme="minorEastAsia"/>
                <w:szCs w:val="22"/>
                <w:lang w:eastAsia="ja-JP"/>
              </w:rPr>
              <w:t>7</w:t>
            </w:r>
          </w:p>
        </w:tc>
        <w:tc>
          <w:tcPr>
            <w:tcW w:w="3260" w:type="dxa"/>
            <w:vMerge w:val="restart"/>
          </w:tcPr>
          <w:p w:rsidR="0090548A" w:rsidRPr="00700272" w:rsidRDefault="008F01DB" w:rsidP="00FF6821">
            <w:pPr>
              <w:keepNext/>
              <w:keepLines/>
              <w:rPr>
                <w:rFonts w:eastAsiaTheme="minorEastAsia"/>
                <w:szCs w:val="22"/>
                <w:lang w:eastAsia="ja-JP"/>
              </w:rPr>
            </w:pPr>
            <w:r w:rsidRPr="00700272">
              <w:rPr>
                <w:rFonts w:eastAsiaTheme="minorEastAsia"/>
                <w:szCs w:val="22"/>
                <w:lang w:eastAsia="ja-JP"/>
              </w:rPr>
              <w:t>Cualificaciones mínimas</w:t>
            </w:r>
            <w:r w:rsidR="00C63FE0" w:rsidRPr="00700272">
              <w:rPr>
                <w:rFonts w:eastAsiaTheme="minorEastAsia"/>
                <w:szCs w:val="22"/>
                <w:lang w:eastAsia="ja-JP"/>
              </w:rPr>
              <w:t xml:space="preserve"> requeridas</w:t>
            </w:r>
            <w:r w:rsidRPr="00700272">
              <w:rPr>
                <w:rFonts w:eastAsiaTheme="minorEastAsia"/>
                <w:szCs w:val="22"/>
                <w:lang w:eastAsia="ja-JP"/>
              </w:rPr>
              <w:t>:</w:t>
            </w:r>
          </w:p>
          <w:p w:rsidR="0090548A" w:rsidRPr="00700272" w:rsidRDefault="0090548A" w:rsidP="00FF6821">
            <w:pPr>
              <w:keepNext/>
              <w:keepLines/>
              <w:rPr>
                <w:rFonts w:eastAsiaTheme="minorEastAsia"/>
                <w:szCs w:val="22"/>
                <w:lang w:eastAsia="ja-JP"/>
              </w:rPr>
            </w:pPr>
            <w:r w:rsidRPr="00700272">
              <w:rPr>
                <w:rFonts w:eastAsiaTheme="minorEastAsia"/>
                <w:szCs w:val="22"/>
                <w:lang w:eastAsia="ja-JP"/>
              </w:rPr>
              <w:t xml:space="preserve">1) </w:t>
            </w:r>
            <w:r w:rsidR="00C84AD2" w:rsidRPr="00700272">
              <w:rPr>
                <w:rFonts w:eastAsiaTheme="minorEastAsia"/>
                <w:szCs w:val="22"/>
                <w:lang w:eastAsia="ja-JP"/>
              </w:rPr>
              <w:t xml:space="preserve">aprobar el Examen </w:t>
            </w:r>
            <w:r w:rsidR="00C63FE0" w:rsidRPr="00700272">
              <w:rPr>
                <w:rFonts w:eastAsiaTheme="minorEastAsia"/>
                <w:szCs w:val="22"/>
                <w:lang w:eastAsia="ja-JP"/>
              </w:rPr>
              <w:t>General de Acceso a la Función Pública (</w:t>
            </w:r>
            <w:r w:rsidRPr="00700272">
              <w:rPr>
                <w:rFonts w:eastAsiaTheme="minorEastAsia"/>
                <w:i/>
                <w:szCs w:val="22"/>
                <w:lang w:eastAsia="ja-JP"/>
              </w:rPr>
              <w:t>Examination for Comprehensive Service</w:t>
            </w:r>
            <w:r w:rsidR="00C63FE0" w:rsidRPr="00700272">
              <w:rPr>
                <w:rFonts w:eastAsiaTheme="minorEastAsia"/>
                <w:szCs w:val="22"/>
                <w:lang w:eastAsia="ja-JP"/>
              </w:rPr>
              <w:t xml:space="preserve">) </w:t>
            </w:r>
            <w:r w:rsidRPr="00700272">
              <w:rPr>
                <w:rFonts w:eastAsiaTheme="minorEastAsia"/>
                <w:szCs w:val="22"/>
                <w:lang w:eastAsia="ja-JP"/>
              </w:rPr>
              <w:t xml:space="preserve"> (</w:t>
            </w:r>
            <w:r w:rsidR="00C63FE0" w:rsidRPr="00700272">
              <w:rPr>
                <w:rFonts w:eastAsiaTheme="minorEastAsia"/>
                <w:szCs w:val="22"/>
                <w:lang w:eastAsia="ja-JP"/>
              </w:rPr>
              <w:t xml:space="preserve">titulados universitarios/ </w:t>
            </w:r>
            <w:r w:rsidRPr="00700272">
              <w:rPr>
                <w:rFonts w:eastAsiaTheme="minorEastAsia"/>
                <w:szCs w:val="22"/>
                <w:lang w:eastAsia="ja-JP"/>
              </w:rPr>
              <w:t>/gradua</w:t>
            </w:r>
            <w:r w:rsidR="00C63FE0" w:rsidRPr="00700272">
              <w:rPr>
                <w:rFonts w:eastAsiaTheme="minorEastAsia"/>
                <w:szCs w:val="22"/>
                <w:lang w:eastAsia="ja-JP"/>
              </w:rPr>
              <w:t>dos de institutos superiores</w:t>
            </w:r>
            <w:r w:rsidRPr="00700272">
              <w:rPr>
                <w:rFonts w:eastAsiaTheme="minorEastAsia"/>
                <w:szCs w:val="22"/>
                <w:lang w:eastAsia="ja-JP"/>
              </w:rPr>
              <w:t xml:space="preserve">) </w:t>
            </w:r>
            <w:r w:rsidR="00C84AD2" w:rsidRPr="00700272">
              <w:rPr>
                <w:rFonts w:eastAsiaTheme="minorEastAsia"/>
                <w:szCs w:val="22"/>
                <w:lang w:eastAsia="ja-JP"/>
              </w:rPr>
              <w:t xml:space="preserve">que convoca la </w:t>
            </w:r>
            <w:r w:rsidR="008F01DB" w:rsidRPr="00700272">
              <w:rPr>
                <w:rFonts w:eastAsiaTheme="minorEastAsia"/>
                <w:szCs w:val="22"/>
                <w:lang w:eastAsia="ja-JP"/>
              </w:rPr>
              <w:t xml:space="preserve">Autoridad Nacional de Personal </w:t>
            </w:r>
            <w:r w:rsidR="00C84AD2" w:rsidRPr="00700272">
              <w:rPr>
                <w:rFonts w:eastAsiaTheme="minorEastAsia"/>
                <w:szCs w:val="22"/>
                <w:lang w:eastAsia="ja-JP"/>
              </w:rPr>
              <w:t>(</w:t>
            </w:r>
            <w:r w:rsidRPr="00700272">
              <w:rPr>
                <w:rFonts w:eastAsiaTheme="minorEastAsia"/>
                <w:i/>
                <w:szCs w:val="22"/>
                <w:lang w:eastAsia="ja-JP"/>
              </w:rPr>
              <w:t>National Personnel Authority</w:t>
            </w:r>
            <w:r w:rsidR="00C84AD2" w:rsidRPr="00700272">
              <w:rPr>
                <w:rFonts w:eastAsiaTheme="minorEastAsia"/>
                <w:szCs w:val="22"/>
                <w:lang w:eastAsia="ja-JP"/>
              </w:rPr>
              <w:t>)</w:t>
            </w:r>
            <w:r w:rsidR="00700272" w:rsidRPr="00700272">
              <w:rPr>
                <w:rFonts w:eastAsiaTheme="minorEastAsia"/>
                <w:szCs w:val="22"/>
                <w:lang w:eastAsia="ja-JP"/>
              </w:rPr>
              <w:t>;  o</w:t>
            </w:r>
          </w:p>
          <w:p w:rsidR="0090548A" w:rsidRPr="00700272" w:rsidRDefault="0090548A" w:rsidP="00C63FE0">
            <w:pPr>
              <w:keepNext/>
              <w:keepLines/>
              <w:rPr>
                <w:rFonts w:eastAsiaTheme="minorEastAsia"/>
                <w:szCs w:val="22"/>
                <w:lang w:eastAsia="ja-JP"/>
              </w:rPr>
            </w:pPr>
            <w:r w:rsidRPr="00700272">
              <w:rPr>
                <w:rFonts w:eastAsiaTheme="minorEastAsia"/>
                <w:szCs w:val="22"/>
                <w:lang w:eastAsia="ja-JP"/>
              </w:rPr>
              <w:t xml:space="preserve">2) </w:t>
            </w:r>
            <w:r w:rsidR="00C63FE0" w:rsidRPr="00700272">
              <w:rPr>
                <w:rFonts w:eastAsiaTheme="minorEastAsia"/>
                <w:szCs w:val="22"/>
                <w:lang w:eastAsia="ja-JP"/>
              </w:rPr>
              <w:t>poseer un título de grado universitario (o superior) en alguna carrera técnica y contar con un total de más d</w:t>
            </w:r>
            <w:r w:rsidR="00700272" w:rsidRPr="00700272">
              <w:rPr>
                <w:rFonts w:eastAsiaTheme="minorEastAsia"/>
                <w:szCs w:val="22"/>
                <w:lang w:eastAsia="ja-JP"/>
              </w:rPr>
              <w:t>e 4</w:t>
            </w:r>
            <w:r w:rsidR="00C63FE0" w:rsidRPr="00700272">
              <w:rPr>
                <w:rFonts w:eastAsiaTheme="minorEastAsia"/>
                <w:szCs w:val="22"/>
                <w:lang w:eastAsia="ja-JP"/>
              </w:rPr>
              <w:t xml:space="preserve"> años de experiencia profesional en actividades de I+D o en el ámbito de la propiedad intelectual, ya sea en el sector privado o en la universidad.</w:t>
            </w:r>
            <w:r w:rsidRPr="00700272">
              <w:rPr>
                <w:rFonts w:eastAsiaTheme="minorEastAsia"/>
                <w:szCs w:val="22"/>
                <w:lang w:eastAsia="ja-JP"/>
              </w:rPr>
              <w:t xml:space="preserve"> </w:t>
            </w:r>
          </w:p>
        </w:tc>
      </w:tr>
      <w:tr w:rsidR="0090548A" w:rsidRPr="00700272" w:rsidTr="00D96D6F">
        <w:trPr>
          <w:cantSplit/>
        </w:trPr>
        <w:tc>
          <w:tcPr>
            <w:tcW w:w="2405" w:type="dxa"/>
            <w:shd w:val="clear" w:color="auto" w:fill="auto"/>
          </w:tcPr>
          <w:p w:rsidR="0090548A" w:rsidRPr="00700272" w:rsidRDefault="0090548A" w:rsidP="00D96D6F">
            <w:r w:rsidRPr="00700272">
              <w:t>Electricidad/electrónica</w:t>
            </w:r>
          </w:p>
        </w:tc>
        <w:tc>
          <w:tcPr>
            <w:tcW w:w="1701" w:type="dxa"/>
            <w:shd w:val="clear" w:color="auto" w:fill="auto"/>
          </w:tcPr>
          <w:p w:rsidR="0090548A" w:rsidRPr="00700272" w:rsidRDefault="0090548A" w:rsidP="00FF6821">
            <w:pPr>
              <w:keepNext/>
              <w:keepLines/>
              <w:rPr>
                <w:rFonts w:eastAsiaTheme="minorEastAsia"/>
                <w:szCs w:val="22"/>
                <w:lang w:eastAsia="ja-JP"/>
              </w:rPr>
            </w:pPr>
            <w:r w:rsidRPr="00700272">
              <w:rPr>
                <w:rFonts w:eastAsiaTheme="minorEastAsia"/>
                <w:szCs w:val="22"/>
                <w:lang w:eastAsia="ja-JP"/>
              </w:rPr>
              <w:t>595</w:t>
            </w:r>
          </w:p>
        </w:tc>
        <w:tc>
          <w:tcPr>
            <w:tcW w:w="1701" w:type="dxa"/>
          </w:tcPr>
          <w:p w:rsidR="0090548A" w:rsidRPr="00700272" w:rsidRDefault="00C63FE0" w:rsidP="00FF6821">
            <w:pPr>
              <w:keepNext/>
              <w:keepLines/>
              <w:rPr>
                <w:rFonts w:eastAsiaTheme="minorEastAsia"/>
                <w:szCs w:val="22"/>
                <w:lang w:eastAsia="ja-JP"/>
              </w:rPr>
            </w:pPr>
            <w:r w:rsidRPr="00700272">
              <w:rPr>
                <w:rFonts w:eastAsiaTheme="minorEastAsia"/>
                <w:szCs w:val="22"/>
                <w:lang w:eastAsia="ja-JP"/>
              </w:rPr>
              <w:t>12,</w:t>
            </w:r>
            <w:r w:rsidR="0090548A" w:rsidRPr="00700272">
              <w:rPr>
                <w:rFonts w:eastAsiaTheme="minorEastAsia"/>
                <w:szCs w:val="22"/>
                <w:lang w:eastAsia="ja-JP"/>
              </w:rPr>
              <w:t>6</w:t>
            </w:r>
          </w:p>
        </w:tc>
        <w:tc>
          <w:tcPr>
            <w:tcW w:w="3260" w:type="dxa"/>
            <w:vMerge/>
          </w:tcPr>
          <w:p w:rsidR="0090548A" w:rsidRPr="00700272" w:rsidRDefault="0090548A" w:rsidP="00FF6821">
            <w:pPr>
              <w:keepNext/>
              <w:keepLines/>
              <w:rPr>
                <w:szCs w:val="22"/>
              </w:rPr>
            </w:pPr>
          </w:p>
        </w:tc>
      </w:tr>
      <w:tr w:rsidR="0090548A" w:rsidRPr="00700272" w:rsidTr="00D96D6F">
        <w:trPr>
          <w:cantSplit/>
        </w:trPr>
        <w:tc>
          <w:tcPr>
            <w:tcW w:w="2405" w:type="dxa"/>
            <w:shd w:val="clear" w:color="auto" w:fill="auto"/>
          </w:tcPr>
          <w:p w:rsidR="0090548A" w:rsidRPr="00700272" w:rsidRDefault="0090548A" w:rsidP="00D96D6F">
            <w:r w:rsidRPr="00700272">
              <w:t>Química</w:t>
            </w:r>
          </w:p>
        </w:tc>
        <w:tc>
          <w:tcPr>
            <w:tcW w:w="1701" w:type="dxa"/>
            <w:shd w:val="clear" w:color="auto" w:fill="auto"/>
          </w:tcPr>
          <w:p w:rsidR="0090548A" w:rsidRPr="00700272" w:rsidRDefault="0090548A" w:rsidP="00FF6821">
            <w:pPr>
              <w:keepNext/>
              <w:keepLines/>
              <w:rPr>
                <w:rFonts w:eastAsiaTheme="minorEastAsia"/>
                <w:szCs w:val="22"/>
                <w:lang w:eastAsia="ja-JP"/>
              </w:rPr>
            </w:pPr>
            <w:r w:rsidRPr="00700272">
              <w:rPr>
                <w:rFonts w:eastAsiaTheme="minorEastAsia"/>
                <w:szCs w:val="22"/>
                <w:lang w:eastAsia="ja-JP"/>
              </w:rPr>
              <w:t>266</w:t>
            </w:r>
          </w:p>
        </w:tc>
        <w:tc>
          <w:tcPr>
            <w:tcW w:w="1701" w:type="dxa"/>
          </w:tcPr>
          <w:p w:rsidR="0090548A" w:rsidRPr="00700272" w:rsidRDefault="00C63FE0" w:rsidP="00FF6821">
            <w:pPr>
              <w:keepNext/>
              <w:keepLines/>
              <w:rPr>
                <w:rFonts w:eastAsiaTheme="minorEastAsia"/>
                <w:szCs w:val="22"/>
                <w:lang w:eastAsia="ja-JP"/>
              </w:rPr>
            </w:pPr>
            <w:r w:rsidRPr="00700272">
              <w:rPr>
                <w:rFonts w:eastAsiaTheme="minorEastAsia"/>
                <w:szCs w:val="22"/>
                <w:lang w:eastAsia="ja-JP"/>
              </w:rPr>
              <w:t>11,</w:t>
            </w:r>
            <w:r w:rsidR="0090548A" w:rsidRPr="00700272">
              <w:rPr>
                <w:rFonts w:eastAsiaTheme="minorEastAsia"/>
                <w:szCs w:val="22"/>
                <w:lang w:eastAsia="ja-JP"/>
              </w:rPr>
              <w:t>8</w:t>
            </w:r>
          </w:p>
        </w:tc>
        <w:tc>
          <w:tcPr>
            <w:tcW w:w="3260" w:type="dxa"/>
            <w:vMerge/>
          </w:tcPr>
          <w:p w:rsidR="0090548A" w:rsidRPr="00700272" w:rsidRDefault="0090548A" w:rsidP="00FF6821">
            <w:pPr>
              <w:keepNext/>
              <w:keepLines/>
              <w:rPr>
                <w:szCs w:val="22"/>
              </w:rPr>
            </w:pPr>
          </w:p>
        </w:tc>
      </w:tr>
      <w:tr w:rsidR="0090548A" w:rsidRPr="00700272" w:rsidTr="00D96D6F">
        <w:trPr>
          <w:cantSplit/>
        </w:trPr>
        <w:tc>
          <w:tcPr>
            <w:tcW w:w="2405" w:type="dxa"/>
            <w:shd w:val="clear" w:color="auto" w:fill="auto"/>
          </w:tcPr>
          <w:p w:rsidR="0090548A" w:rsidRPr="00700272" w:rsidRDefault="0090548A" w:rsidP="00D96D6F">
            <w:r w:rsidRPr="00700272">
              <w:t>Biotecnología</w:t>
            </w:r>
          </w:p>
        </w:tc>
        <w:tc>
          <w:tcPr>
            <w:tcW w:w="1701" w:type="dxa"/>
            <w:shd w:val="clear" w:color="auto" w:fill="auto"/>
          </w:tcPr>
          <w:p w:rsidR="0090548A" w:rsidRPr="00700272" w:rsidRDefault="0090548A" w:rsidP="00FF6821">
            <w:pPr>
              <w:keepNext/>
              <w:keepLines/>
              <w:rPr>
                <w:rFonts w:eastAsiaTheme="minorEastAsia"/>
                <w:szCs w:val="22"/>
                <w:lang w:eastAsia="ja-JP"/>
              </w:rPr>
            </w:pPr>
            <w:r w:rsidRPr="00700272">
              <w:rPr>
                <w:rFonts w:eastAsiaTheme="minorEastAsia"/>
                <w:szCs w:val="22"/>
                <w:lang w:eastAsia="ja-JP"/>
              </w:rPr>
              <w:t>179</w:t>
            </w:r>
          </w:p>
        </w:tc>
        <w:tc>
          <w:tcPr>
            <w:tcW w:w="1701" w:type="dxa"/>
          </w:tcPr>
          <w:p w:rsidR="0090548A" w:rsidRPr="00700272" w:rsidRDefault="00C63FE0" w:rsidP="00FF6821">
            <w:pPr>
              <w:keepNext/>
              <w:keepLines/>
              <w:rPr>
                <w:rFonts w:eastAsiaTheme="minorEastAsia"/>
                <w:szCs w:val="22"/>
                <w:lang w:eastAsia="ja-JP"/>
              </w:rPr>
            </w:pPr>
            <w:r w:rsidRPr="00700272">
              <w:rPr>
                <w:rFonts w:eastAsiaTheme="minorEastAsia"/>
                <w:szCs w:val="22"/>
                <w:lang w:eastAsia="ja-JP"/>
              </w:rPr>
              <w:t>11,</w:t>
            </w:r>
            <w:r w:rsidR="0090548A" w:rsidRPr="00700272">
              <w:rPr>
                <w:rFonts w:eastAsiaTheme="minorEastAsia"/>
                <w:szCs w:val="22"/>
                <w:lang w:eastAsia="ja-JP"/>
              </w:rPr>
              <w:t>0</w:t>
            </w:r>
          </w:p>
        </w:tc>
        <w:tc>
          <w:tcPr>
            <w:tcW w:w="3260" w:type="dxa"/>
            <w:vMerge/>
          </w:tcPr>
          <w:p w:rsidR="0090548A" w:rsidRPr="00700272" w:rsidRDefault="0090548A" w:rsidP="00FF6821">
            <w:pPr>
              <w:keepNext/>
              <w:keepLines/>
              <w:rPr>
                <w:szCs w:val="22"/>
              </w:rPr>
            </w:pPr>
          </w:p>
        </w:tc>
      </w:tr>
      <w:tr w:rsidR="00FF6821" w:rsidRPr="00700272" w:rsidTr="00D96D6F">
        <w:trPr>
          <w:cantSplit/>
        </w:trPr>
        <w:tc>
          <w:tcPr>
            <w:tcW w:w="2405" w:type="dxa"/>
            <w:shd w:val="clear" w:color="auto" w:fill="auto"/>
          </w:tcPr>
          <w:p w:rsidR="00FF6821" w:rsidRPr="00700272" w:rsidRDefault="00FF6821" w:rsidP="00FF6821">
            <w:pPr>
              <w:rPr>
                <w:i/>
                <w:iCs/>
                <w:szCs w:val="22"/>
              </w:rPr>
            </w:pPr>
            <w:r w:rsidRPr="00700272">
              <w:rPr>
                <w:i/>
                <w:iCs/>
                <w:szCs w:val="22"/>
              </w:rPr>
              <w:t>Total</w:t>
            </w:r>
          </w:p>
        </w:tc>
        <w:tc>
          <w:tcPr>
            <w:tcW w:w="1701" w:type="dxa"/>
            <w:shd w:val="clear" w:color="auto" w:fill="auto"/>
          </w:tcPr>
          <w:p w:rsidR="00FF6821" w:rsidRPr="00700272" w:rsidRDefault="00C63FE0" w:rsidP="00FF6821">
            <w:pPr>
              <w:rPr>
                <w:iCs/>
                <w:szCs w:val="22"/>
              </w:rPr>
            </w:pPr>
            <w:r w:rsidRPr="00700272">
              <w:rPr>
                <w:iCs/>
                <w:szCs w:val="22"/>
              </w:rPr>
              <w:t>1.</w:t>
            </w:r>
            <w:r w:rsidR="00FF6821" w:rsidRPr="00700272">
              <w:rPr>
                <w:iCs/>
                <w:szCs w:val="22"/>
              </w:rPr>
              <w:t>702</w:t>
            </w:r>
          </w:p>
        </w:tc>
        <w:tc>
          <w:tcPr>
            <w:tcW w:w="1701" w:type="dxa"/>
          </w:tcPr>
          <w:p w:rsidR="00FF6821" w:rsidRPr="00700272" w:rsidRDefault="00C63FE0" w:rsidP="00FF6821">
            <w:pPr>
              <w:rPr>
                <w:rFonts w:eastAsiaTheme="minorEastAsia"/>
                <w:iCs/>
                <w:szCs w:val="22"/>
                <w:lang w:eastAsia="ja-JP"/>
              </w:rPr>
            </w:pPr>
            <w:r w:rsidRPr="00700272">
              <w:rPr>
                <w:rFonts w:eastAsiaTheme="minorEastAsia"/>
                <w:iCs/>
                <w:szCs w:val="22"/>
                <w:lang w:eastAsia="ja-JP"/>
              </w:rPr>
              <w:t>12,</w:t>
            </w:r>
            <w:r w:rsidR="00FF6821" w:rsidRPr="00700272">
              <w:rPr>
                <w:rFonts w:eastAsiaTheme="minorEastAsia"/>
                <w:iCs/>
                <w:szCs w:val="22"/>
                <w:lang w:eastAsia="ja-JP"/>
              </w:rPr>
              <w:t>2</w:t>
            </w:r>
          </w:p>
        </w:tc>
        <w:tc>
          <w:tcPr>
            <w:tcW w:w="3260" w:type="dxa"/>
          </w:tcPr>
          <w:p w:rsidR="00FF6821" w:rsidRPr="00700272" w:rsidRDefault="00FF6821" w:rsidP="00FF6821">
            <w:pPr>
              <w:rPr>
                <w:i/>
                <w:iCs/>
                <w:szCs w:val="22"/>
              </w:rPr>
            </w:pPr>
          </w:p>
        </w:tc>
      </w:tr>
    </w:tbl>
    <w:p w:rsidR="00FF6821" w:rsidRPr="00700272" w:rsidRDefault="00FF6821" w:rsidP="00FF6821">
      <w:pPr>
        <w:rPr>
          <w:szCs w:val="22"/>
        </w:rPr>
      </w:pPr>
    </w:p>
    <w:p w:rsidR="00FF6821" w:rsidRPr="00700272" w:rsidRDefault="00FF6821" w:rsidP="00FF6821">
      <w:pPr>
        <w:rPr>
          <w:b/>
          <w:bCs/>
        </w:rPr>
      </w:pPr>
      <w:r w:rsidRPr="00700272">
        <w:rPr>
          <w:b/>
          <w:bCs/>
        </w:rPr>
        <w:t>Program</w:t>
      </w:r>
      <w:r w:rsidR="0090548A" w:rsidRPr="00700272">
        <w:rPr>
          <w:b/>
          <w:bCs/>
        </w:rPr>
        <w:t>a</w:t>
      </w:r>
      <w:r w:rsidRPr="00700272">
        <w:rPr>
          <w:b/>
          <w:bCs/>
        </w:rPr>
        <w:t>s</w:t>
      </w:r>
      <w:r w:rsidR="0090548A" w:rsidRPr="00700272">
        <w:rPr>
          <w:b/>
          <w:bCs/>
        </w:rPr>
        <w:t xml:space="preserve"> de formación</w:t>
      </w:r>
    </w:p>
    <w:p w:rsidR="00FF6821" w:rsidRPr="00700272" w:rsidRDefault="00FF6821" w:rsidP="00FF6821">
      <w:pPr>
        <w:rPr>
          <w:szCs w:val="22"/>
        </w:rPr>
      </w:pPr>
    </w:p>
    <w:p w:rsidR="00FF6821" w:rsidRPr="00395F7A" w:rsidRDefault="00FF6821"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C</w:t>
      </w:r>
      <w:r w:rsidR="0090548A" w:rsidRPr="00395F7A">
        <w:rPr>
          <w:rFonts w:eastAsia="MS PGothic"/>
          <w:szCs w:val="22"/>
          <w:u w:val="single"/>
          <w:lang w:val="es-ES" w:eastAsia="ja-JP"/>
        </w:rPr>
        <w:t>ursos de formación (dirigidos a los examinadores recién incorporados)</w:t>
      </w:r>
    </w:p>
    <w:p w:rsidR="00FF6821" w:rsidRPr="00700272" w:rsidRDefault="00FF6821" w:rsidP="00FF6821"/>
    <w:p w:rsidR="00FF6821" w:rsidRPr="00700272" w:rsidRDefault="008F01DB" w:rsidP="00FF6821">
      <w:r w:rsidRPr="00700272">
        <w:t>Para adquirir la condición de examinador de patentes cualificado conforme a la legislación de Japón, es imprescindible superar los cursos de formación de examinadores.</w:t>
      </w:r>
    </w:p>
    <w:p w:rsidR="00FF6821" w:rsidRPr="00700272" w:rsidRDefault="00FF6821" w:rsidP="00FF6821"/>
    <w:p w:rsidR="008A66F4" w:rsidRPr="00700272" w:rsidRDefault="0058187F" w:rsidP="00FF6821">
      <w:r w:rsidRPr="00700272">
        <w:t>Todo funcionario contratado por la JPO debe asistir a dos cursos de formación y aprobar una serie de exámenes.  Ambos cursos suman un total d</w:t>
      </w:r>
      <w:r w:rsidR="00700272" w:rsidRPr="00700272">
        <w:t>e 2</w:t>
      </w:r>
      <w:r w:rsidRPr="00700272">
        <w:t xml:space="preserve">50 horas aproximadamente.  </w:t>
      </w:r>
      <w:r w:rsidR="006511B7" w:rsidRPr="00700272">
        <w:t xml:space="preserve">Este programa </w:t>
      </w:r>
      <w:r w:rsidRPr="00700272">
        <w:t xml:space="preserve">formativo </w:t>
      </w:r>
      <w:r w:rsidR="006511B7" w:rsidRPr="00700272">
        <w:t>es impartido por</w:t>
      </w:r>
      <w:r w:rsidRPr="00700272">
        <w:t xml:space="preserve"> catedráticos universitarios, abogados de patentes y examinadores principales.  El contenido curricular de los cursos </w:t>
      </w:r>
      <w:r w:rsidR="00332857" w:rsidRPr="00700272">
        <w:t xml:space="preserve">abarca el conocimiento de </w:t>
      </w:r>
      <w:r w:rsidRPr="00700272">
        <w:t xml:space="preserve">la </w:t>
      </w:r>
      <w:r w:rsidR="00E467DE" w:rsidRPr="00700272">
        <w:lastRenderedPageBreak/>
        <w:t xml:space="preserve">legislación </w:t>
      </w:r>
      <w:r w:rsidRPr="00700272">
        <w:t xml:space="preserve">internacional </w:t>
      </w:r>
      <w:r w:rsidR="00E467DE" w:rsidRPr="00700272">
        <w:t>y otras regulaciones conexas, en particular el Tratado de Cooperación en materia de Patentes</w:t>
      </w:r>
      <w:r w:rsidR="006511B7" w:rsidRPr="00700272">
        <w:t xml:space="preserve"> y</w:t>
      </w:r>
      <w:r w:rsidR="00E467DE" w:rsidRPr="00700272">
        <w:t xml:space="preserve"> las Directrices de búsqueda y de examen preliminar internacionales del PCT, y prácticas</w:t>
      </w:r>
      <w:r w:rsidR="00332857" w:rsidRPr="00700272">
        <w:t xml:space="preserve"> de búsqueda internacional y examen preliminar internacional</w:t>
      </w:r>
      <w:r w:rsidR="008A66F4" w:rsidRPr="00700272">
        <w:t>.</w:t>
      </w:r>
    </w:p>
    <w:p w:rsidR="00FF6821" w:rsidRPr="00700272" w:rsidRDefault="00FF6821" w:rsidP="00FF6821">
      <w:pPr>
        <w:rPr>
          <w:szCs w:val="22"/>
        </w:rPr>
      </w:pPr>
    </w:p>
    <w:p w:rsidR="00FF6821" w:rsidRPr="00395F7A" w:rsidRDefault="0090548A"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 xml:space="preserve">Formación en el lugar de trabajo </w:t>
      </w:r>
      <w:r w:rsidR="00A6032F" w:rsidRPr="00395F7A">
        <w:rPr>
          <w:rFonts w:eastAsia="MS PGothic"/>
          <w:szCs w:val="22"/>
          <w:u w:val="single"/>
          <w:lang w:val="es-ES" w:eastAsia="ja-JP"/>
        </w:rPr>
        <w:t xml:space="preserve">por parte de </w:t>
      </w:r>
      <w:r w:rsidR="006511B7" w:rsidRPr="00395F7A">
        <w:rPr>
          <w:rFonts w:eastAsia="MS PGothic"/>
          <w:szCs w:val="22"/>
          <w:u w:val="single"/>
          <w:lang w:val="es-ES" w:eastAsia="ja-JP"/>
        </w:rPr>
        <w:t xml:space="preserve">los </w:t>
      </w:r>
      <w:r w:rsidR="00A6032F" w:rsidRPr="00395F7A">
        <w:rPr>
          <w:rFonts w:eastAsia="MS PGothic"/>
          <w:szCs w:val="22"/>
          <w:u w:val="single"/>
          <w:lang w:val="es-ES" w:eastAsia="ja-JP"/>
        </w:rPr>
        <w:t>examinadores supervisores (dirigida a los examinadores adjuntos</w:t>
      </w:r>
      <w:r w:rsidR="00FF6821" w:rsidRPr="00395F7A">
        <w:rPr>
          <w:rFonts w:eastAsia="MS PGothic"/>
          <w:szCs w:val="22"/>
          <w:u w:val="single"/>
          <w:lang w:val="es-ES" w:eastAsia="ja-JP"/>
        </w:rPr>
        <w:t>)</w:t>
      </w:r>
    </w:p>
    <w:p w:rsidR="00FF6821" w:rsidRPr="00700272" w:rsidRDefault="00FF6821" w:rsidP="00FF6821"/>
    <w:p w:rsidR="008A66F4" w:rsidRPr="00700272" w:rsidRDefault="00332857" w:rsidP="00FF6821">
      <w:r w:rsidRPr="00700272">
        <w:t>Los funcionarios contratados por la JPO reciben formación en el lugar de trabajo en su condición de examinadores adjuntos</w:t>
      </w:r>
      <w:r w:rsidR="00434F6F" w:rsidRPr="00700272">
        <w:t xml:space="preserve"> durante un período que oscila entr</w:t>
      </w:r>
      <w:r w:rsidR="00700272" w:rsidRPr="00700272">
        <w:t>e 2</w:t>
      </w:r>
      <w:r w:rsidR="00434F6F" w:rsidRPr="00700272">
        <w:t xml:space="preserve"> </w:t>
      </w:r>
      <w:r w:rsidR="00700272" w:rsidRPr="00700272">
        <w:t>y 4</w:t>
      </w:r>
      <w:r w:rsidR="00434F6F" w:rsidRPr="00700272">
        <w:t xml:space="preserve"> años, dependiendo de la experiencia previa de cada uno</w:t>
      </w:r>
      <w:r w:rsidR="008A66F4" w:rsidRPr="00700272">
        <w:t>.</w:t>
      </w:r>
    </w:p>
    <w:p w:rsidR="00FF6821" w:rsidRPr="00700272" w:rsidRDefault="00FF6821" w:rsidP="00FF6821">
      <w:pPr>
        <w:rPr>
          <w:szCs w:val="22"/>
        </w:rPr>
      </w:pPr>
    </w:p>
    <w:p w:rsidR="00FF6821" w:rsidRPr="00395F7A" w:rsidRDefault="00434F6F"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 xml:space="preserve">Formación técnica, visitas a empresas, becas y estancias de estudios en universidades nacionales y extranjeras </w:t>
      </w:r>
      <w:r w:rsidR="00FF6821" w:rsidRPr="00395F7A">
        <w:rPr>
          <w:rFonts w:eastAsia="MS PGothic"/>
          <w:szCs w:val="22"/>
          <w:u w:val="single"/>
          <w:lang w:val="es-ES" w:eastAsia="ja-JP"/>
        </w:rPr>
        <w:t>(</w:t>
      </w:r>
      <w:r w:rsidRPr="00395F7A">
        <w:rPr>
          <w:rFonts w:eastAsia="MS PGothic"/>
          <w:szCs w:val="22"/>
          <w:u w:val="single"/>
          <w:lang w:val="es-ES" w:eastAsia="ja-JP"/>
        </w:rPr>
        <w:t>para</w:t>
      </w:r>
      <w:r w:rsidR="00FF6821" w:rsidRPr="00395F7A">
        <w:rPr>
          <w:rFonts w:eastAsia="MS PGothic"/>
          <w:szCs w:val="22"/>
          <w:u w:val="single"/>
          <w:lang w:val="es-ES" w:eastAsia="ja-JP"/>
        </w:rPr>
        <w:t xml:space="preserve"> </w:t>
      </w:r>
      <w:r w:rsidR="009F3237" w:rsidRPr="00395F7A">
        <w:rPr>
          <w:rFonts w:eastAsia="MS PGothic"/>
          <w:szCs w:val="22"/>
          <w:u w:val="single"/>
          <w:lang w:val="es-ES" w:eastAsia="ja-JP"/>
        </w:rPr>
        <w:t xml:space="preserve">los </w:t>
      </w:r>
      <w:r w:rsidR="00FF6821" w:rsidRPr="00395F7A">
        <w:rPr>
          <w:rFonts w:eastAsia="MS PGothic"/>
          <w:szCs w:val="22"/>
          <w:u w:val="single"/>
          <w:lang w:val="es-ES" w:eastAsia="ja-JP"/>
        </w:rPr>
        <w:t>examin</w:t>
      </w:r>
      <w:r w:rsidRPr="00395F7A">
        <w:rPr>
          <w:rFonts w:eastAsia="MS PGothic"/>
          <w:szCs w:val="22"/>
          <w:u w:val="single"/>
          <w:lang w:val="es-ES" w:eastAsia="ja-JP"/>
        </w:rPr>
        <w:t>adores</w:t>
      </w:r>
      <w:r w:rsidR="00FF6821" w:rsidRPr="00395F7A">
        <w:rPr>
          <w:rFonts w:eastAsia="MS PGothic"/>
          <w:szCs w:val="22"/>
          <w:u w:val="single"/>
          <w:lang w:val="es-ES" w:eastAsia="ja-JP"/>
        </w:rPr>
        <w:t>)</w:t>
      </w:r>
    </w:p>
    <w:p w:rsidR="00FF6821" w:rsidRPr="00700272" w:rsidRDefault="00FF6821" w:rsidP="00FF6821">
      <w:pPr>
        <w:keepNext/>
      </w:pPr>
    </w:p>
    <w:p w:rsidR="00FF6821" w:rsidRPr="00700272" w:rsidRDefault="009F3237" w:rsidP="00FF6821">
      <w:r w:rsidRPr="00700272">
        <w:t xml:space="preserve">A los examinadores se les ofrecen </w:t>
      </w:r>
      <w:r w:rsidR="006511B7" w:rsidRPr="00700272">
        <w:t xml:space="preserve">diversas </w:t>
      </w:r>
      <w:r w:rsidRPr="00700272">
        <w:t xml:space="preserve">oportunidades para adquirir conocimientos sobre las tecnologías más punteras de última generación, ya sea atendiendo a seminarios tecnológicos, realizando visitas a empresas, o </w:t>
      </w:r>
      <w:r w:rsidR="006511B7" w:rsidRPr="00700272">
        <w:t>a través de</w:t>
      </w:r>
      <w:r w:rsidRPr="00700272">
        <w:t xml:space="preserve"> becas y estancias de estudios en universidades nacionales y extranjeras.</w:t>
      </w:r>
    </w:p>
    <w:p w:rsidR="00FF6821" w:rsidRPr="00700272" w:rsidRDefault="00FF6821" w:rsidP="00FF6821">
      <w:pPr>
        <w:rPr>
          <w:szCs w:val="22"/>
        </w:rPr>
      </w:pPr>
    </w:p>
    <w:p w:rsidR="00FF6821" w:rsidRPr="00395F7A" w:rsidRDefault="009F3237"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Formación de idiomas (para los examinadores</w:t>
      </w:r>
      <w:r w:rsidR="00FF6821" w:rsidRPr="00395F7A">
        <w:rPr>
          <w:rFonts w:eastAsia="MS PGothic"/>
          <w:szCs w:val="22"/>
          <w:u w:val="single"/>
          <w:lang w:val="es-ES" w:eastAsia="ja-JP"/>
        </w:rPr>
        <w:t>)</w:t>
      </w:r>
    </w:p>
    <w:p w:rsidR="00FF6821" w:rsidRPr="00700272" w:rsidRDefault="00FF6821" w:rsidP="00FF6821"/>
    <w:p w:rsidR="00FF6821" w:rsidRPr="00700272" w:rsidRDefault="009F3237" w:rsidP="00FF6821">
      <w:r w:rsidRPr="00700272">
        <w:t>Los examinadores también tienen la oportunidad de recibir clases de inglés y de otras lenguas extranjeras, en función de las necesidades.</w:t>
      </w:r>
    </w:p>
    <w:p w:rsidR="00FF6821" w:rsidRPr="00700272" w:rsidRDefault="00FF6821" w:rsidP="00FF6821">
      <w:pPr>
        <w:rPr>
          <w:szCs w:val="22"/>
        </w:rPr>
      </w:pPr>
    </w:p>
    <w:p w:rsidR="00FF6821" w:rsidRPr="00700272" w:rsidRDefault="00FF6821" w:rsidP="00FF6821">
      <w:pPr>
        <w:rPr>
          <w:szCs w:val="22"/>
        </w:rPr>
      </w:pPr>
    </w:p>
    <w:p w:rsidR="00FF6821" w:rsidRPr="00700272" w:rsidRDefault="00A6032F" w:rsidP="00FF6821">
      <w:pPr>
        <w:rPr>
          <w:b/>
          <w:bCs/>
          <w:i/>
        </w:rPr>
      </w:pPr>
      <w:r w:rsidRPr="00700272">
        <w:rPr>
          <w:b/>
          <w:i/>
        </w:rPr>
        <w:t>Regla</w:t>
      </w:r>
      <w:r w:rsidR="00700272" w:rsidRPr="00700272">
        <w:rPr>
          <w:b/>
          <w:i/>
        </w:rPr>
        <w:t>s 3</w:t>
      </w:r>
      <w:r w:rsidRPr="00700272">
        <w:rPr>
          <w:b/>
          <w:i/>
        </w:rPr>
        <w:t xml:space="preserve">6.1.ii) </w:t>
      </w:r>
      <w:r w:rsidR="00700272" w:rsidRPr="00700272">
        <w:rPr>
          <w:b/>
          <w:i/>
        </w:rPr>
        <w:t>y 6</w:t>
      </w:r>
      <w:r w:rsidRPr="00700272">
        <w:rPr>
          <w:b/>
          <w:i/>
        </w:rPr>
        <w:t>3.1.ii):  esa Oficina u organización deberá poseer, por lo menos, la documentación mínima mencionada en la Regl</w:t>
      </w:r>
      <w:r w:rsidR="00700272" w:rsidRPr="00700272">
        <w:rPr>
          <w:b/>
          <w:i/>
        </w:rPr>
        <w:t>a 3</w:t>
      </w:r>
      <w:r w:rsidRPr="00700272">
        <w:rPr>
          <w:b/>
          <w:i/>
        </w:rPr>
        <w:t>4, o tener acceso a esa documentación mínima, la cual deberá estar ordenada en forma adecuada a los fines de la búsqueda y presentarse en papel, en microformato o en soporte electrónico</w:t>
      </w:r>
      <w:r w:rsidR="00FF6821" w:rsidRPr="00700272">
        <w:rPr>
          <w:b/>
          <w:bCs/>
          <w:i/>
        </w:rPr>
        <w:t>.</w:t>
      </w:r>
    </w:p>
    <w:p w:rsidR="00FF6821" w:rsidRPr="00700272" w:rsidRDefault="00FF6821" w:rsidP="00FF6821">
      <w:pPr>
        <w:rPr>
          <w:szCs w:val="22"/>
        </w:rPr>
      </w:pPr>
    </w:p>
    <w:p w:rsidR="00FF6821" w:rsidRPr="00700272" w:rsidRDefault="00C72FEE" w:rsidP="00FF6821">
      <w:pPr>
        <w:keepNext/>
        <w:rPr>
          <w:b/>
          <w:bCs/>
          <w:szCs w:val="22"/>
        </w:rPr>
      </w:pPr>
      <w:r w:rsidRPr="00700272">
        <w:rPr>
          <w:b/>
          <w:bCs/>
          <w:szCs w:val="22"/>
        </w:rPr>
        <w:t>Acceso a la documentación mínima a los fines de la búsqueda</w:t>
      </w:r>
      <w:r w:rsidR="00FF6821" w:rsidRPr="00700272">
        <w:rPr>
          <w:b/>
          <w:bCs/>
          <w:szCs w:val="22"/>
        </w:rPr>
        <w:t>:</w:t>
      </w:r>
      <w:r w:rsidR="00FF6821" w:rsidRPr="00700272">
        <w:rPr>
          <w:szCs w:val="22"/>
        </w:rPr>
        <w:t xml:space="preserve">  </w:t>
      </w:r>
    </w:p>
    <w:p w:rsidR="00FF6821" w:rsidRPr="00700272" w:rsidRDefault="00FF6821" w:rsidP="00FF6821">
      <w:pPr>
        <w:rPr>
          <w:szCs w:val="22"/>
        </w:rPr>
      </w:pPr>
      <w:r w:rsidRPr="00700272">
        <w:rPr>
          <w:szCs w:val="22"/>
        </w:rPr>
        <w:t>(</w:t>
      </w:r>
      <w:r w:rsidRPr="00700272">
        <w:rPr>
          <w:rFonts w:ascii="Segoe UI Symbol" w:hAnsi="Segoe UI Symbol" w:cs="Segoe UI Symbol"/>
          <w:szCs w:val="22"/>
        </w:rPr>
        <w:t>✓</w:t>
      </w:r>
      <w:r w:rsidRPr="00700272">
        <w:rPr>
          <w:szCs w:val="22"/>
        </w:rPr>
        <w:t>)</w:t>
      </w:r>
      <w:r w:rsidRPr="00700272">
        <w:rPr>
          <w:szCs w:val="22"/>
        </w:rPr>
        <w:tab/>
      </w:r>
      <w:r w:rsidR="00C72FEE" w:rsidRPr="00700272">
        <w:rPr>
          <w:szCs w:val="22"/>
        </w:rPr>
        <w:t>Pleno acceso</w:t>
      </w:r>
    </w:p>
    <w:p w:rsidR="00FF6821" w:rsidRPr="00700272" w:rsidRDefault="00FF6821" w:rsidP="00FF6821">
      <w:pPr>
        <w:rPr>
          <w:szCs w:val="22"/>
        </w:rPr>
      </w:pPr>
    </w:p>
    <w:p w:rsidR="00FF6821" w:rsidRPr="00700272" w:rsidRDefault="00C72FEE" w:rsidP="00FF6821">
      <w:pPr>
        <w:rPr>
          <w:szCs w:val="22"/>
        </w:rPr>
      </w:pPr>
      <w:r w:rsidRPr="00700272">
        <w:rPr>
          <w:b/>
          <w:bCs/>
          <w:szCs w:val="22"/>
        </w:rPr>
        <w:t>Sistemas de búsqueda</w:t>
      </w:r>
      <w:r w:rsidR="00FF6821" w:rsidRPr="00700272">
        <w:rPr>
          <w:b/>
          <w:bCs/>
          <w:szCs w:val="22"/>
        </w:rPr>
        <w:t>:</w:t>
      </w:r>
      <w:r w:rsidR="00FF6821" w:rsidRPr="00700272">
        <w:rPr>
          <w:szCs w:val="22"/>
        </w:rPr>
        <w:t xml:space="preserve">  </w:t>
      </w:r>
    </w:p>
    <w:p w:rsidR="00FF6821" w:rsidRPr="00700272" w:rsidRDefault="00FF6821" w:rsidP="00FF6821">
      <w:pPr>
        <w:rPr>
          <w:szCs w:val="22"/>
        </w:rPr>
      </w:pPr>
    </w:p>
    <w:p w:rsidR="008A66F4" w:rsidRPr="00700272" w:rsidRDefault="00EB3EF4" w:rsidP="00FF6821">
      <w:r w:rsidRPr="00700272">
        <w:t xml:space="preserve">La </w:t>
      </w:r>
      <w:r w:rsidR="00FF6821" w:rsidRPr="00700272">
        <w:t>JPO pos</w:t>
      </w:r>
      <w:r w:rsidRPr="00700272">
        <w:t xml:space="preserve">ee </w:t>
      </w:r>
      <w:r w:rsidR="00B311F4" w:rsidRPr="00700272">
        <w:t xml:space="preserve">una cantidad sustancial de documentación, que incluye tanto </w:t>
      </w:r>
      <w:r w:rsidR="004C72AE" w:rsidRPr="00700272">
        <w:t xml:space="preserve">documentos de </w:t>
      </w:r>
      <w:r w:rsidR="00B311F4" w:rsidRPr="00700272">
        <w:t xml:space="preserve">patentes como literatura distinta de la de patentes.  Los examinadores de la JPO pueden </w:t>
      </w:r>
      <w:r w:rsidR="006511B7" w:rsidRPr="00700272">
        <w:t>acceder a</w:t>
      </w:r>
      <w:r w:rsidR="00B311F4" w:rsidRPr="00700272">
        <w:t xml:space="preserve"> las publicaciones de patentes correspondientes a</w:t>
      </w:r>
      <w:r w:rsidR="00C9573D" w:rsidRPr="00700272">
        <w:t>l requisito de</w:t>
      </w:r>
      <w:r w:rsidR="00B311F4" w:rsidRPr="00700272">
        <w:t xml:space="preserve"> documentación mínima </w:t>
      </w:r>
      <w:r w:rsidR="006511B7" w:rsidRPr="00700272">
        <w:t xml:space="preserve">utilizando </w:t>
      </w:r>
      <w:r w:rsidR="00B311F4" w:rsidRPr="00700272">
        <w:t>sistemas de búsqueda internos y bases de datos comerciales</w:t>
      </w:r>
      <w:r w:rsidR="008A66F4" w:rsidRPr="00700272">
        <w:t>.</w:t>
      </w:r>
    </w:p>
    <w:p w:rsidR="00FF6821" w:rsidRPr="00700272" w:rsidRDefault="00FF6821" w:rsidP="00FF6821"/>
    <w:p w:rsidR="00FF6821" w:rsidRPr="00700272" w:rsidRDefault="006511B7" w:rsidP="00FF6821">
      <w:r w:rsidRPr="00700272">
        <w:t xml:space="preserve">Tratándose de </w:t>
      </w:r>
      <w:r w:rsidR="00B311F4" w:rsidRPr="00700272">
        <w:t xml:space="preserve">literatura distinta de la de patentes, los examinadores de la JPO pueden </w:t>
      </w:r>
      <w:r w:rsidRPr="00700272">
        <w:t xml:space="preserve">buscar bien en </w:t>
      </w:r>
      <w:r w:rsidR="004C72AE" w:rsidRPr="00700272">
        <w:t>l</w:t>
      </w:r>
      <w:r w:rsidR="00B311F4" w:rsidRPr="00700272">
        <w:t>a documentación almacenada en la JPO</w:t>
      </w:r>
      <w:r w:rsidRPr="00700272">
        <w:t xml:space="preserve">, o bien en </w:t>
      </w:r>
      <w:r w:rsidR="00B311F4" w:rsidRPr="00700272">
        <w:t xml:space="preserve">las bases de datos comerciales.  De este modo, </w:t>
      </w:r>
      <w:r w:rsidRPr="00700272">
        <w:t xml:space="preserve">está asegurado el acceso de </w:t>
      </w:r>
      <w:r w:rsidR="00B311F4" w:rsidRPr="00700272">
        <w:t xml:space="preserve">los examinadores a la literatura </w:t>
      </w:r>
      <w:r w:rsidR="004C72AE" w:rsidRPr="00700272">
        <w:t>no-</w:t>
      </w:r>
      <w:r w:rsidR="00B311F4" w:rsidRPr="00700272">
        <w:t>patente</w:t>
      </w:r>
      <w:r w:rsidR="004C72AE" w:rsidRPr="00700272">
        <w:t xml:space="preserve"> correspondiente a</w:t>
      </w:r>
      <w:r w:rsidR="00C9573D" w:rsidRPr="00700272">
        <w:t>l requisito de</w:t>
      </w:r>
      <w:r w:rsidR="004C72AE" w:rsidRPr="00700272">
        <w:t xml:space="preserve"> documentación mínima, </w:t>
      </w:r>
      <w:r w:rsidR="00C9573D" w:rsidRPr="00700272">
        <w:t>cumpliéndose así</w:t>
      </w:r>
      <w:r w:rsidR="004C72AE" w:rsidRPr="00700272">
        <w:t xml:space="preserve"> </w:t>
      </w:r>
      <w:r w:rsidRPr="00700272">
        <w:t>dicho</w:t>
      </w:r>
      <w:r w:rsidR="004C72AE" w:rsidRPr="00700272">
        <w:t xml:space="preserve"> requisito de documentación mínima a los fines de la búsqueda </w:t>
      </w:r>
      <w:r w:rsidR="00C9573D" w:rsidRPr="00700272">
        <w:t>establecido</w:t>
      </w:r>
      <w:r w:rsidR="004C72AE" w:rsidRPr="00700272">
        <w:t xml:space="preserve"> para las Administraciones encargadas de la búsqueda internacional</w:t>
      </w:r>
      <w:r w:rsidR="00FF6821" w:rsidRPr="00700272">
        <w:t>.</w:t>
      </w:r>
    </w:p>
    <w:p w:rsidR="00FF6821" w:rsidRPr="00700272" w:rsidRDefault="00FF6821" w:rsidP="00FF6821"/>
    <w:p w:rsidR="00FF6821" w:rsidRPr="00395F7A" w:rsidRDefault="00817E91"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 xml:space="preserve">Tecnologías de la </w:t>
      </w:r>
      <w:r w:rsidR="00364C62" w:rsidRPr="00395F7A">
        <w:rPr>
          <w:rFonts w:eastAsia="MS PGothic"/>
          <w:szCs w:val="22"/>
          <w:u w:val="single"/>
          <w:lang w:val="es-ES" w:eastAsia="ja-JP"/>
        </w:rPr>
        <w:t>información</w:t>
      </w:r>
      <w:r w:rsidRPr="00395F7A">
        <w:rPr>
          <w:rFonts w:eastAsia="MS PGothic"/>
          <w:szCs w:val="22"/>
          <w:u w:val="single"/>
          <w:lang w:val="es-ES" w:eastAsia="ja-JP"/>
        </w:rPr>
        <w:t xml:space="preserve">, </w:t>
      </w:r>
      <w:r w:rsidRPr="00364C62">
        <w:rPr>
          <w:rFonts w:eastAsia="MS PGothic"/>
          <w:i/>
          <w:szCs w:val="22"/>
          <w:u w:val="single"/>
          <w:lang w:val="es-ES" w:eastAsia="ja-JP"/>
        </w:rPr>
        <w:t>h</w:t>
      </w:r>
      <w:r w:rsidR="00FF6821" w:rsidRPr="00364C62">
        <w:rPr>
          <w:rFonts w:eastAsia="MS PGothic"/>
          <w:i/>
          <w:szCs w:val="22"/>
          <w:u w:val="single"/>
          <w:lang w:val="es-ES" w:eastAsia="ja-JP"/>
        </w:rPr>
        <w:t>ardware</w:t>
      </w:r>
      <w:r w:rsidR="00FF6821" w:rsidRPr="00395F7A">
        <w:rPr>
          <w:rFonts w:eastAsia="MS PGothic"/>
          <w:szCs w:val="22"/>
          <w:u w:val="single"/>
          <w:lang w:val="es-ES" w:eastAsia="ja-JP"/>
        </w:rPr>
        <w:t xml:space="preserve"> </w:t>
      </w:r>
      <w:r w:rsidR="009D07EA" w:rsidRPr="00395F7A">
        <w:rPr>
          <w:rFonts w:eastAsia="MS PGothic"/>
          <w:szCs w:val="22"/>
          <w:u w:val="single"/>
          <w:lang w:val="es-ES" w:eastAsia="ja-JP"/>
        </w:rPr>
        <w:t xml:space="preserve">y </w:t>
      </w:r>
      <w:r w:rsidR="009D07EA" w:rsidRPr="00364C62">
        <w:rPr>
          <w:rFonts w:eastAsia="MS PGothic"/>
          <w:i/>
          <w:szCs w:val="22"/>
          <w:u w:val="single"/>
          <w:lang w:val="es-ES" w:eastAsia="ja-JP"/>
        </w:rPr>
        <w:t>s</w:t>
      </w:r>
      <w:r w:rsidR="00FF6821" w:rsidRPr="00364C62">
        <w:rPr>
          <w:rFonts w:eastAsia="MS PGothic"/>
          <w:i/>
          <w:szCs w:val="22"/>
          <w:u w:val="single"/>
          <w:lang w:val="es-ES" w:eastAsia="ja-JP"/>
        </w:rPr>
        <w:t>oftware</w:t>
      </w:r>
      <w:r w:rsidR="00FF6821" w:rsidRPr="00395F7A">
        <w:rPr>
          <w:rFonts w:eastAsia="MS PGothic"/>
          <w:szCs w:val="22"/>
          <w:u w:val="single"/>
          <w:lang w:val="es-ES" w:eastAsia="ja-JP"/>
        </w:rPr>
        <w:t xml:space="preserve"> </w:t>
      </w:r>
      <w:r w:rsidR="009D07EA" w:rsidRPr="00395F7A">
        <w:rPr>
          <w:rFonts w:eastAsia="MS PGothic"/>
          <w:szCs w:val="22"/>
          <w:u w:val="single"/>
          <w:lang w:val="es-ES" w:eastAsia="ja-JP"/>
        </w:rPr>
        <w:t>que soportan los procesos de búsqueda y examen</w:t>
      </w:r>
    </w:p>
    <w:p w:rsidR="0017339E" w:rsidRPr="00395F7A" w:rsidRDefault="0017339E" w:rsidP="0017339E">
      <w:pPr>
        <w:pStyle w:val="ListParagraph"/>
        <w:ind w:left="567"/>
        <w:rPr>
          <w:rFonts w:eastAsia="MS PGothic"/>
          <w:szCs w:val="22"/>
          <w:u w:val="single"/>
          <w:lang w:val="es-ES" w:eastAsia="ja-JP"/>
        </w:rPr>
      </w:pPr>
    </w:p>
    <w:p w:rsidR="008A66F4" w:rsidRPr="00700272" w:rsidRDefault="009D07EA" w:rsidP="00FF6821">
      <w:r w:rsidRPr="00700272">
        <w:t xml:space="preserve">Entre los recursos </w:t>
      </w:r>
      <w:r w:rsidR="006511B7" w:rsidRPr="00700272">
        <w:t>con los que cuenta la JPO</w:t>
      </w:r>
      <w:r w:rsidRPr="00700272">
        <w:t xml:space="preserve"> cabe destacar un sistema de búsqueda diseñado para efectuar eficazmente las búsquedas de documentos sobre el estado de la técnica </w:t>
      </w:r>
      <w:r w:rsidR="006511B7" w:rsidRPr="00700272">
        <w:t>a los que se refiere el requisito de la documentación mínima</w:t>
      </w:r>
      <w:r w:rsidR="00FF6821" w:rsidRPr="00700272">
        <w:t xml:space="preserve">, </w:t>
      </w:r>
      <w:r w:rsidRPr="00700272">
        <w:t xml:space="preserve">y un sistema de redacción </w:t>
      </w:r>
      <w:r w:rsidR="001A4C6A" w:rsidRPr="00700272">
        <w:t xml:space="preserve">que facilita la elaboración de </w:t>
      </w:r>
      <w:r w:rsidRPr="00700272">
        <w:t>los informes de búsqueda internacional</w:t>
      </w:r>
      <w:r w:rsidR="00912299" w:rsidRPr="00700272">
        <w:t xml:space="preserve"> y los informes de examen preliminar internacional </w:t>
      </w:r>
      <w:r w:rsidR="001A4C6A" w:rsidRPr="00700272">
        <w:t>(</w:t>
      </w:r>
      <w:r w:rsidR="00FF6821" w:rsidRPr="00700272">
        <w:t xml:space="preserve">ISR </w:t>
      </w:r>
      <w:r w:rsidR="001A4C6A" w:rsidRPr="00700272">
        <w:t>e</w:t>
      </w:r>
      <w:r w:rsidR="00FF6821" w:rsidRPr="00700272">
        <w:t xml:space="preserve"> IPER</w:t>
      </w:r>
      <w:r w:rsidR="00364C62">
        <w:t>, de sus siglas en inglés</w:t>
      </w:r>
      <w:r w:rsidR="001A4C6A" w:rsidRPr="00700272">
        <w:t>)</w:t>
      </w:r>
      <w:r w:rsidR="00FF6821" w:rsidRPr="00700272">
        <w:t xml:space="preserve">.  </w:t>
      </w:r>
      <w:r w:rsidR="00912299" w:rsidRPr="00700272">
        <w:t xml:space="preserve">Estos recursos son extremadamente </w:t>
      </w:r>
      <w:r w:rsidR="00912299" w:rsidRPr="00700272">
        <w:lastRenderedPageBreak/>
        <w:t>importantes para que los examinadores puedan realizar su trabajo,</w:t>
      </w:r>
      <w:r w:rsidR="00817E91" w:rsidRPr="00700272">
        <w:t xml:space="preserve"> </w:t>
      </w:r>
      <w:r w:rsidR="001A4C6A" w:rsidRPr="00700272">
        <w:t xml:space="preserve">y </w:t>
      </w:r>
      <w:r w:rsidR="00817E91" w:rsidRPr="00700272">
        <w:t>son actualizados periódicamente y mejorados según las necesidades y demandas de los examinadores.  Estos últimos también cuentan con un soporte técnico que garantiza constantemente el mantenimiento de las mejores condiciones de funcionamiento</w:t>
      </w:r>
      <w:r w:rsidR="008A66F4" w:rsidRPr="00700272">
        <w:t>.</w:t>
      </w:r>
    </w:p>
    <w:p w:rsidR="00FF6821" w:rsidRPr="00700272" w:rsidRDefault="00FF6821" w:rsidP="00FF6821"/>
    <w:p w:rsidR="008A66F4" w:rsidRPr="00700272" w:rsidRDefault="00817E91" w:rsidP="00FF6821">
      <w:r w:rsidRPr="00700272">
        <w:t>La</w:t>
      </w:r>
      <w:r w:rsidR="00FF6821" w:rsidRPr="00700272">
        <w:t xml:space="preserve"> JPO </w:t>
      </w:r>
      <w:r w:rsidRPr="00700272">
        <w:t xml:space="preserve">hace uso de su sistema de búsqueda </w:t>
      </w:r>
      <w:r w:rsidR="00940C0E" w:rsidRPr="00700272">
        <w:t xml:space="preserve">propio </w:t>
      </w:r>
      <w:r w:rsidRPr="00700272">
        <w:t>para acceder a los documentos de patente nacionales y extranjeros así como a la literatura no-patente.  Además, la JPO tiene concertados acuerdos con uno</w:t>
      </w:r>
      <w:r w:rsidR="00700272" w:rsidRPr="00700272">
        <w:t>s 4</w:t>
      </w:r>
      <w:r w:rsidRPr="00700272">
        <w:t xml:space="preserve">0 proveedores externos de bases de datos comerciales para la realización de </w:t>
      </w:r>
      <w:r w:rsidR="001A4C6A" w:rsidRPr="00700272">
        <w:t xml:space="preserve">búsquedas sobre </w:t>
      </w:r>
      <w:r w:rsidRPr="00700272">
        <w:t>el estado de la técnica.</w:t>
      </w:r>
      <w:r w:rsidR="00940C0E" w:rsidRPr="00700272">
        <w:t xml:space="preserve">  Los estilos de recuperación utilizados en las búsquedas y los conjuntos de documentos obtenidos a través de los estilos de recuperación pueden ser guardados automáticamente.  Esto permite que los examinadores compartan sus conocimientos </w:t>
      </w:r>
      <w:r w:rsidR="001A4C6A" w:rsidRPr="00700272">
        <w:t>en materia de</w:t>
      </w:r>
      <w:r w:rsidR="00940C0E" w:rsidRPr="00700272">
        <w:t xml:space="preserve"> búsqueda, lo cual </w:t>
      </w:r>
      <w:r w:rsidR="001A4C6A" w:rsidRPr="00700272">
        <w:t xml:space="preserve">tiene un importante reflejo posteriormente en </w:t>
      </w:r>
      <w:r w:rsidR="00940C0E" w:rsidRPr="00700272">
        <w:t>las auditorías de calidad</w:t>
      </w:r>
      <w:r w:rsidR="008A66F4" w:rsidRPr="00700272">
        <w:t>.</w:t>
      </w:r>
    </w:p>
    <w:p w:rsidR="00FF6821" w:rsidRPr="00700272" w:rsidRDefault="00FF6821" w:rsidP="00FF6821"/>
    <w:p w:rsidR="00FF6821" w:rsidRPr="00700272" w:rsidRDefault="00940C0E" w:rsidP="00FF6821">
      <w:r w:rsidRPr="00700272">
        <w:t>La</w:t>
      </w:r>
      <w:r w:rsidR="00FF6821" w:rsidRPr="00700272">
        <w:t xml:space="preserve"> JPO </w:t>
      </w:r>
      <w:r w:rsidRPr="00700272">
        <w:t xml:space="preserve">ha desarrollado determinadas funciones de apoyo que ayudan a los examinadores a elaborar los </w:t>
      </w:r>
      <w:r w:rsidR="00FF6821" w:rsidRPr="00700272">
        <w:t>ISR</w:t>
      </w:r>
      <w:r w:rsidR="001A4C6A" w:rsidRPr="00700272">
        <w:t xml:space="preserve"> e</w:t>
      </w:r>
      <w:r w:rsidR="00FF6821" w:rsidRPr="00700272">
        <w:t xml:space="preserve"> IPER </w:t>
      </w:r>
      <w:r w:rsidR="004A6F97" w:rsidRPr="00700272">
        <w:t>utilizando</w:t>
      </w:r>
      <w:r w:rsidRPr="00700272">
        <w:t xml:space="preserve"> un sistema de redacción</w:t>
      </w:r>
      <w:r w:rsidR="004A6F97" w:rsidRPr="00700272">
        <w:t xml:space="preserve">.  </w:t>
      </w:r>
      <w:r w:rsidRPr="00700272">
        <w:t xml:space="preserve">Estas funciones de apoyo permiten </w:t>
      </w:r>
      <w:r w:rsidR="004A6F97" w:rsidRPr="00700272">
        <w:t xml:space="preserve">trabajar simultáneamente en la redacción de </w:t>
      </w:r>
      <w:r w:rsidRPr="00700272">
        <w:t>los diversos documentos necesarios, importar automáticamente los datos bibliográficos a los documentos que se están redactando, y comprobar el contenido de los informes, por ejemplo.  Además, est</w:t>
      </w:r>
      <w:r w:rsidR="004A6F97" w:rsidRPr="00700272">
        <w:t xml:space="preserve">e sistema posibilita la tramitación y aprobación de </w:t>
      </w:r>
      <w:r w:rsidR="00CD3504" w:rsidRPr="00700272">
        <w:t xml:space="preserve">los procedimientos </w:t>
      </w:r>
      <w:r w:rsidR="004A6F97" w:rsidRPr="00700272">
        <w:t xml:space="preserve">por vía electrónica </w:t>
      </w:r>
      <w:r w:rsidR="00CD3504" w:rsidRPr="00700272">
        <w:t>en las solicitudes PCT.</w:t>
      </w:r>
    </w:p>
    <w:p w:rsidR="00CD3504" w:rsidRPr="00700272" w:rsidRDefault="00CD3504" w:rsidP="00FF6821"/>
    <w:p w:rsidR="00FF6821" w:rsidRPr="00700272" w:rsidRDefault="00A239F9" w:rsidP="00FF6821">
      <w:r w:rsidRPr="00700272">
        <w:t>Todos los examinadores tienen asignado un terminal con doble pantalla para facilitar la proyección de los documentos de patente y la literatura no-patente con un mayor tamaño en las pantallas.</w:t>
      </w:r>
    </w:p>
    <w:p w:rsidR="00FF6821" w:rsidRPr="00700272" w:rsidRDefault="00FF6821" w:rsidP="00FF6821"/>
    <w:p w:rsidR="00FF6821" w:rsidRPr="00395F7A" w:rsidRDefault="00A239F9"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Índices de búsqueda de documentos de patente</w:t>
      </w:r>
    </w:p>
    <w:p w:rsidR="00FF6821" w:rsidRPr="00700272" w:rsidRDefault="00FF6821" w:rsidP="00FF6821">
      <w:pPr>
        <w:rPr>
          <w:rFonts w:eastAsia="MS PGothic"/>
          <w:sz w:val="21"/>
          <w:szCs w:val="21"/>
          <w:lang w:eastAsia="ja-JP"/>
        </w:rPr>
      </w:pPr>
    </w:p>
    <w:p w:rsidR="00FF6821" w:rsidRPr="00700272" w:rsidRDefault="002672D2" w:rsidP="00FF6821">
      <w:r w:rsidRPr="00700272">
        <w:t xml:space="preserve">Para la búsqueda eficiente de documentos de patente japoneses, la JPO mantiene la clasificación denominada </w:t>
      </w:r>
      <w:r w:rsidR="00FF6821" w:rsidRPr="00700272">
        <w:t>“</w:t>
      </w:r>
      <w:r w:rsidR="00FF6821" w:rsidRPr="00700272">
        <w:rPr>
          <w:i/>
        </w:rPr>
        <w:t>File Index</w:t>
      </w:r>
      <w:r w:rsidR="00FF6821" w:rsidRPr="00700272">
        <w:t xml:space="preserve">” (FI) </w:t>
      </w:r>
      <w:r w:rsidRPr="00700272">
        <w:t xml:space="preserve">y el índice de búsqueda </w:t>
      </w:r>
      <w:r w:rsidR="000B3A1F" w:rsidRPr="00700272">
        <w:t xml:space="preserve">denominado </w:t>
      </w:r>
      <w:r w:rsidR="00FF6821" w:rsidRPr="00700272">
        <w:t>“</w:t>
      </w:r>
      <w:r w:rsidR="00FF6821" w:rsidRPr="00700272">
        <w:rPr>
          <w:i/>
        </w:rPr>
        <w:t>F term</w:t>
      </w:r>
      <w:r w:rsidR="00FF6821" w:rsidRPr="00700272">
        <w:t xml:space="preserve">”.  FI </w:t>
      </w:r>
      <w:r w:rsidR="000B3A1F" w:rsidRPr="00700272">
        <w:t>es la subdivisión de la CIP para la literatura de patentes japonesa</w:t>
      </w:r>
      <w:r w:rsidR="00FF6821" w:rsidRPr="00700272">
        <w:t xml:space="preserve">.  </w:t>
      </w:r>
      <w:r w:rsidR="00FF6821" w:rsidRPr="00BA6FDE">
        <w:rPr>
          <w:i/>
        </w:rPr>
        <w:t>F term</w:t>
      </w:r>
      <w:r w:rsidR="00FF6821" w:rsidRPr="00700272">
        <w:t xml:space="preserve"> </w:t>
      </w:r>
      <w:r w:rsidR="006141CB" w:rsidRPr="00700272">
        <w:t>es un índice de búsqueda en el que se han desarrollado múltiples aspectos para cada uno de los aproximadament</w:t>
      </w:r>
      <w:r w:rsidR="00700272" w:rsidRPr="00700272">
        <w:t>e 2</w:t>
      </w:r>
      <w:r w:rsidR="006141CB" w:rsidRPr="00700272">
        <w:t xml:space="preserve">.600 grupos técnicos basados en </w:t>
      </w:r>
      <w:r w:rsidR="00FF6821" w:rsidRPr="00700272">
        <w:t xml:space="preserve">FI.  </w:t>
      </w:r>
      <w:r w:rsidR="006141CB" w:rsidRPr="00700272">
        <w:t xml:space="preserve">Los examinadores de la JPO pueden combinar búsquedas de texto completo con FI y </w:t>
      </w:r>
      <w:r w:rsidR="00FF6821" w:rsidRPr="00BA6FDE">
        <w:rPr>
          <w:i/>
        </w:rPr>
        <w:t>F term</w:t>
      </w:r>
      <w:r w:rsidR="006141CB" w:rsidRPr="00700272">
        <w:t xml:space="preserve"> </w:t>
      </w:r>
      <w:r w:rsidR="00BA6FDE">
        <w:t>cuando hacen</w:t>
      </w:r>
      <w:r w:rsidR="006141CB" w:rsidRPr="00700272">
        <w:t xml:space="preserve"> búsqueda</w:t>
      </w:r>
      <w:r w:rsidR="00BA6FDE">
        <w:t xml:space="preserve">s en </w:t>
      </w:r>
      <w:r w:rsidR="006141CB" w:rsidRPr="00700272">
        <w:t xml:space="preserve">el estado de la técnica.  También pueden identificar grupos de documentos de patente utilizando FI y </w:t>
      </w:r>
      <w:r w:rsidR="00FF6821" w:rsidRPr="00BA6FDE">
        <w:rPr>
          <w:i/>
        </w:rPr>
        <w:t>F term</w:t>
      </w:r>
      <w:r w:rsidR="00FF6821" w:rsidRPr="00700272">
        <w:t xml:space="preserve">.  </w:t>
      </w:r>
      <w:r w:rsidR="006141CB" w:rsidRPr="00700272">
        <w:t>Así pues, con estas herramientas, la JPO consigue realizar unas búsquedas muy eficientes y precisas.  En las búsquedas de documentos de patentes extranjeros, los examinadores de la JPO utilizan, además de la CIP y de la búsqueda de texto completo,</w:t>
      </w:r>
      <w:r w:rsidR="00186D78" w:rsidRPr="00700272">
        <w:t xml:space="preserve"> los sistemas </w:t>
      </w:r>
      <w:r w:rsidR="00BA6FDE">
        <w:t>ECLA, CPC</w:t>
      </w:r>
      <w:r w:rsidR="00FF6821" w:rsidRPr="00700272">
        <w:t xml:space="preserve"> o USPC.</w:t>
      </w:r>
    </w:p>
    <w:p w:rsidR="00FF6821" w:rsidRPr="00700272" w:rsidRDefault="00FF6821" w:rsidP="00FF6821"/>
    <w:p w:rsidR="00FF6821" w:rsidRPr="00395F7A" w:rsidRDefault="00A239F9" w:rsidP="008E3632">
      <w:pPr>
        <w:pStyle w:val="ListParagraph"/>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t>Herramientas y equipos para la búsqueda de literatura no-patente</w:t>
      </w:r>
    </w:p>
    <w:p w:rsidR="00FF6821" w:rsidRPr="00700272" w:rsidRDefault="00FF6821" w:rsidP="00FF6821"/>
    <w:p w:rsidR="00FF6821" w:rsidRPr="00700272" w:rsidRDefault="004A6F97" w:rsidP="00FF6821">
      <w:r w:rsidRPr="00700272">
        <w:t>Las o</w:t>
      </w:r>
      <w:r w:rsidR="004429B2" w:rsidRPr="00700272">
        <w:t>ficinas de P.I. necesitan realizar búsquedas meticulosas</w:t>
      </w:r>
      <w:r w:rsidRPr="00700272">
        <w:t xml:space="preserve"> y </w:t>
      </w:r>
      <w:r w:rsidR="004429B2" w:rsidRPr="00700272">
        <w:t>exhaustivas tanto en</w:t>
      </w:r>
      <w:r w:rsidRPr="00700272">
        <w:t xml:space="preserve">tre </w:t>
      </w:r>
      <w:r w:rsidR="004429B2" w:rsidRPr="00700272">
        <w:t>documentos de patente como en la literatura distinta de la de patentes</w:t>
      </w:r>
      <w:r w:rsidR="00FF6821" w:rsidRPr="00700272">
        <w:t>.</w:t>
      </w:r>
    </w:p>
    <w:p w:rsidR="00FF6821" w:rsidRPr="00700272" w:rsidRDefault="00FF6821" w:rsidP="00FF6821"/>
    <w:p w:rsidR="00FF6821" w:rsidRPr="00700272" w:rsidRDefault="00B72313" w:rsidP="00FF6821">
      <w:r w:rsidRPr="00700272">
        <w:t>Por dicho motivo</w:t>
      </w:r>
      <w:r w:rsidR="004429B2" w:rsidRPr="00700272">
        <w:t>, la JPO almacena en su base de datos interna la literatura no-patente que pueda resultar de utilidad.  El sistema de búsqueda exclusivo diseñado por la JPO proporciona búsquedas sin fisuras</w:t>
      </w:r>
      <w:r w:rsidRPr="00700272">
        <w:t xml:space="preserve">, </w:t>
      </w:r>
      <w:r w:rsidR="004429B2" w:rsidRPr="00700272">
        <w:t>tanto entre los documentos de patente</w:t>
      </w:r>
      <w:r w:rsidRPr="00700272">
        <w:t>s</w:t>
      </w:r>
      <w:r w:rsidR="004429B2" w:rsidRPr="00700272">
        <w:t xml:space="preserve"> como en la literatura no-patente</w:t>
      </w:r>
      <w:r w:rsidR="00FF6821" w:rsidRPr="00700272">
        <w:t>.</w:t>
      </w:r>
    </w:p>
    <w:p w:rsidR="00FF6821" w:rsidRPr="00700272" w:rsidRDefault="00FF6821" w:rsidP="00FF6821"/>
    <w:p w:rsidR="00FF6821" w:rsidRPr="00700272" w:rsidRDefault="004429B2" w:rsidP="00FF6821">
      <w:r w:rsidRPr="00700272">
        <w:t xml:space="preserve">La JPO </w:t>
      </w:r>
      <w:r w:rsidR="00B72313" w:rsidRPr="00700272">
        <w:t xml:space="preserve">también </w:t>
      </w:r>
      <w:r w:rsidR="00F46D3C" w:rsidRPr="00700272">
        <w:t xml:space="preserve">ha </w:t>
      </w:r>
      <w:r w:rsidRPr="00700272">
        <w:t>incorpor</w:t>
      </w:r>
      <w:r w:rsidR="00F46D3C" w:rsidRPr="00700272">
        <w:t>ado</w:t>
      </w:r>
      <w:r w:rsidRPr="00700272">
        <w:t xml:space="preserve"> mejoras en su entorno de búsqueda </w:t>
      </w:r>
      <w:r w:rsidR="00B72313" w:rsidRPr="00700272">
        <w:t xml:space="preserve">relativo a </w:t>
      </w:r>
      <w:r w:rsidRPr="00700272">
        <w:t xml:space="preserve">las normas técnicas y </w:t>
      </w:r>
      <w:r w:rsidR="00B72313" w:rsidRPr="00700272">
        <w:t xml:space="preserve">a </w:t>
      </w:r>
      <w:r w:rsidRPr="00700272">
        <w:t xml:space="preserve">las versiones no definitivas de normas técnicas pendientes de aprobación en los últimos años.  La JPO ha </w:t>
      </w:r>
      <w:r w:rsidR="00163500" w:rsidRPr="00700272">
        <w:t xml:space="preserve">ampliado </w:t>
      </w:r>
      <w:r w:rsidR="00F46D3C" w:rsidRPr="00700272">
        <w:t>la gama</w:t>
      </w:r>
      <w:r w:rsidR="00163500" w:rsidRPr="00700272">
        <w:t xml:space="preserve"> de documentos relativos a normas que pueden ser almacenados en </w:t>
      </w:r>
      <w:r w:rsidR="00B72313" w:rsidRPr="00700272">
        <w:t>su</w:t>
      </w:r>
      <w:r w:rsidR="00163500" w:rsidRPr="00700272">
        <w:t xml:space="preserve"> base de datos interna</w:t>
      </w:r>
      <w:r w:rsidR="00F46D3C" w:rsidRPr="00700272">
        <w:t>, gracias al</w:t>
      </w:r>
      <w:r w:rsidR="00163500" w:rsidRPr="00700272">
        <w:t xml:space="preserve"> estableci</w:t>
      </w:r>
      <w:r w:rsidR="00F46D3C" w:rsidRPr="00700272">
        <w:t>miento de</w:t>
      </w:r>
      <w:r w:rsidR="00163500" w:rsidRPr="00700272">
        <w:t xml:space="preserve"> relaciones de colaboración con las organizaciones de normalizaci</w:t>
      </w:r>
      <w:r w:rsidR="00F46D3C" w:rsidRPr="00700272">
        <w:t>ón</w:t>
      </w:r>
      <w:r w:rsidR="00FF6821" w:rsidRPr="00700272">
        <w:t>.</w:t>
      </w:r>
    </w:p>
    <w:p w:rsidR="00FF6821" w:rsidRPr="00700272" w:rsidRDefault="00FF6821" w:rsidP="00FF6821"/>
    <w:p w:rsidR="00FF6821" w:rsidRPr="00395F7A" w:rsidRDefault="00A239F9" w:rsidP="00BA6FDE">
      <w:pPr>
        <w:pStyle w:val="ListParagraph"/>
        <w:keepNext/>
        <w:keepLines/>
        <w:numPr>
          <w:ilvl w:val="0"/>
          <w:numId w:val="21"/>
        </w:numPr>
        <w:ind w:left="567" w:hanging="567"/>
        <w:rPr>
          <w:rFonts w:eastAsia="MS PGothic"/>
          <w:szCs w:val="22"/>
          <w:u w:val="single"/>
          <w:lang w:val="es-ES" w:eastAsia="ja-JP"/>
        </w:rPr>
      </w:pPr>
      <w:r w:rsidRPr="00395F7A">
        <w:rPr>
          <w:rFonts w:eastAsia="MS PGothic"/>
          <w:szCs w:val="22"/>
          <w:u w:val="single"/>
          <w:lang w:val="es-ES" w:eastAsia="ja-JP"/>
        </w:rPr>
        <w:lastRenderedPageBreak/>
        <w:t>Índices de búsqueda de literatura no-patente</w:t>
      </w:r>
    </w:p>
    <w:p w:rsidR="00FF6821" w:rsidRPr="00700272" w:rsidRDefault="00FF6821" w:rsidP="00BA6FDE">
      <w:pPr>
        <w:keepNext/>
        <w:keepLines/>
      </w:pPr>
    </w:p>
    <w:p w:rsidR="00FF6821" w:rsidRPr="00700272" w:rsidRDefault="00D721EB" w:rsidP="00BA6FDE">
      <w:pPr>
        <w:keepNext/>
        <w:keepLines/>
      </w:pPr>
      <w:r w:rsidRPr="00700272">
        <w:t>La</w:t>
      </w:r>
      <w:r w:rsidR="00FF6821" w:rsidRPr="00700272">
        <w:t xml:space="preserve"> JPO </w:t>
      </w:r>
      <w:r w:rsidRPr="00700272">
        <w:t xml:space="preserve">utiliza el índice de búsqueda denominado </w:t>
      </w:r>
      <w:r w:rsidR="00FF6821" w:rsidRPr="00700272">
        <w:t>“</w:t>
      </w:r>
      <w:r w:rsidR="00FF6821" w:rsidRPr="00700272">
        <w:rPr>
          <w:i/>
        </w:rPr>
        <w:t>CS term</w:t>
      </w:r>
      <w:r w:rsidR="00FF6821" w:rsidRPr="00700272">
        <w:t xml:space="preserve">” </w:t>
      </w:r>
      <w:r w:rsidRPr="00700272">
        <w:t>para efectuar búsquedas eficientes en la literatura no-patente.  Dicho índice es similar al índice “</w:t>
      </w:r>
      <w:r w:rsidR="00FF6821" w:rsidRPr="00700272">
        <w:t>F term</w:t>
      </w:r>
      <w:r w:rsidRPr="00700272">
        <w:t>” mencionado anteriormente</w:t>
      </w:r>
      <w:r w:rsidR="00FF6821" w:rsidRPr="00700272">
        <w:t>.</w:t>
      </w:r>
      <w:r w:rsidRPr="00700272">
        <w:t xml:space="preserve">  </w:t>
      </w:r>
      <w:r w:rsidR="00FF6821" w:rsidRPr="00700272">
        <w:t xml:space="preserve">CS term </w:t>
      </w:r>
      <w:r w:rsidRPr="00700272">
        <w:t>es un índice de búsqueda basado en un software específico en el que se han desarrollado múltiples aspectos para cada uno de los grupos técnicos</w:t>
      </w:r>
      <w:r w:rsidR="00FF6821" w:rsidRPr="00700272">
        <w:t>.</w:t>
      </w:r>
    </w:p>
    <w:p w:rsidR="00FF6821" w:rsidRPr="00700272" w:rsidRDefault="00FF6821" w:rsidP="00FF6821"/>
    <w:p w:rsidR="00FF6821" w:rsidRPr="00700272" w:rsidRDefault="00D721EB" w:rsidP="00FF6821">
      <w:r w:rsidRPr="00700272">
        <w:t xml:space="preserve">De manera similar a lo indicado al referirnos al índice </w:t>
      </w:r>
      <w:r w:rsidR="00FF6821" w:rsidRPr="00700272">
        <w:t xml:space="preserve">F term </w:t>
      </w:r>
      <w:r w:rsidRPr="00700272">
        <w:t>de documentos de patente, los examinadores de la JPO pueden combinar búsquedas de texto completo con CS term.  También mediante este índice CS ter</w:t>
      </w:r>
      <w:r w:rsidR="008A66F4" w:rsidRPr="00700272">
        <w:t>m p</w:t>
      </w:r>
      <w:r w:rsidRPr="00700272">
        <w:t>ueden localizar grupos de documentos de literatura no-patente</w:t>
      </w:r>
      <w:r w:rsidR="00FF6821" w:rsidRPr="00700272">
        <w:t>.</w:t>
      </w:r>
    </w:p>
    <w:p w:rsidR="00FF6821" w:rsidRPr="00700272" w:rsidRDefault="00FF6821" w:rsidP="00FF6821"/>
    <w:p w:rsidR="00FF6821" w:rsidRPr="00700272" w:rsidRDefault="00FF6821" w:rsidP="00FF6821"/>
    <w:p w:rsidR="00FF6821" w:rsidRPr="00700272" w:rsidRDefault="00C72FEE" w:rsidP="00FF6821">
      <w:pPr>
        <w:rPr>
          <w:b/>
          <w:i/>
        </w:rPr>
      </w:pPr>
      <w:r w:rsidRPr="00700272">
        <w:rPr>
          <w:b/>
          <w:i/>
        </w:rPr>
        <w:t>Regla</w:t>
      </w:r>
      <w:r w:rsidR="00700272" w:rsidRPr="00700272">
        <w:rPr>
          <w:b/>
          <w:i/>
        </w:rPr>
        <w:t>s 3</w:t>
      </w:r>
      <w:r w:rsidRPr="00700272">
        <w:rPr>
          <w:b/>
          <w:i/>
        </w:rPr>
        <w:t xml:space="preserve">6.1.iii) </w:t>
      </w:r>
      <w:r w:rsidR="00700272" w:rsidRPr="00700272">
        <w:rPr>
          <w:b/>
          <w:i/>
        </w:rPr>
        <w:t>y 6</w:t>
      </w:r>
      <w:r w:rsidRPr="00700272">
        <w:rPr>
          <w:b/>
          <w:i/>
        </w:rPr>
        <w:t>3.1.iii):  esa Oficina u organización deberá disponer de un personal capacitado para proceder a la búsqueda y al examen en los sectores técnicos adecuados y que posea los conocimientos lingüísticos necesarios para comprender, por lo menos, los idiomas en los que esté redactada o traducida la documentación mínima mencionada en la Regl</w:t>
      </w:r>
      <w:r w:rsidR="00700272" w:rsidRPr="00700272">
        <w:rPr>
          <w:b/>
          <w:i/>
        </w:rPr>
        <w:t>a 3</w:t>
      </w:r>
      <w:r w:rsidRPr="00700272">
        <w:rPr>
          <w:b/>
          <w:i/>
        </w:rPr>
        <w:t>4</w:t>
      </w:r>
      <w:r w:rsidR="00FF6821" w:rsidRPr="00700272">
        <w:rPr>
          <w:b/>
          <w:i/>
        </w:rPr>
        <w:t>.</w:t>
      </w:r>
    </w:p>
    <w:p w:rsidR="00FF6821" w:rsidRPr="00700272" w:rsidRDefault="00FF6821" w:rsidP="00FF6821"/>
    <w:p w:rsidR="00FF6821" w:rsidRPr="00700272" w:rsidRDefault="001068A9" w:rsidP="00FF6821">
      <w:pPr>
        <w:rPr>
          <w:b/>
        </w:rPr>
      </w:pPr>
      <w:r>
        <w:rPr>
          <w:b/>
          <w:bCs/>
          <w:szCs w:val="22"/>
        </w:rPr>
        <w:t>Idioma</w:t>
      </w:r>
      <w:r w:rsidR="00C72FEE" w:rsidRPr="00700272">
        <w:rPr>
          <w:b/>
          <w:bCs/>
          <w:szCs w:val="22"/>
        </w:rPr>
        <w:t>s en los que las solicitudes nacionales pueden ser presentadas y tramitadas</w:t>
      </w:r>
      <w:r w:rsidR="00FF6821" w:rsidRPr="00700272">
        <w:rPr>
          <w:b/>
        </w:rPr>
        <w:t xml:space="preserve">:  </w:t>
      </w:r>
    </w:p>
    <w:p w:rsidR="00FF6821" w:rsidRPr="00700272" w:rsidRDefault="00FF6821" w:rsidP="00FF6821">
      <w:r w:rsidRPr="00700272">
        <w:t>Jap</w:t>
      </w:r>
      <w:r w:rsidR="00C72FEE" w:rsidRPr="00700272">
        <w:t>onés</w:t>
      </w:r>
      <w:r w:rsidRPr="00700272">
        <w:t>*</w:t>
      </w:r>
    </w:p>
    <w:p w:rsidR="00FF6821" w:rsidRPr="00700272" w:rsidRDefault="00FF6821" w:rsidP="00FF6821"/>
    <w:p w:rsidR="008A66F4" w:rsidRPr="00700272" w:rsidRDefault="00FF6821" w:rsidP="00FF6821">
      <w:r w:rsidRPr="00700272">
        <w:t xml:space="preserve">*  </w:t>
      </w:r>
      <w:r w:rsidR="00DA1C35" w:rsidRPr="00700272">
        <w:t xml:space="preserve">El solicitante puede presentar la descripción, las reivindicaciones, los dibujos (en su caso) y el resumen </w:t>
      </w:r>
      <w:proofErr w:type="gramStart"/>
      <w:r w:rsidR="00DA1C35" w:rsidRPr="00700272">
        <w:t>redactados</w:t>
      </w:r>
      <w:proofErr w:type="gramEnd"/>
      <w:r w:rsidR="00DA1C35" w:rsidRPr="00700272">
        <w:t xml:space="preserve"> en cualquier otro idioma, siempre y cuando aporte sus correspondientes traducciones al japonés dentro del plazo de un año y cuatro meses a contar desde la fecha de presentación (o de</w:t>
      </w:r>
      <w:r w:rsidR="00A143F2" w:rsidRPr="00700272">
        <w:t>sde</w:t>
      </w:r>
      <w:r w:rsidR="00DA1C35" w:rsidRPr="00700272">
        <w:t xml:space="preserve"> la fecha de prioridad anterior)</w:t>
      </w:r>
      <w:r w:rsidR="008A66F4" w:rsidRPr="00700272">
        <w:t>.</w:t>
      </w:r>
    </w:p>
    <w:p w:rsidR="00FF6821" w:rsidRPr="00700272" w:rsidRDefault="00FF6821" w:rsidP="00FF6821"/>
    <w:p w:rsidR="00FF6821" w:rsidRPr="00700272" w:rsidRDefault="00C72FEE" w:rsidP="00FF6821">
      <w:pPr>
        <w:rPr>
          <w:b/>
        </w:rPr>
      </w:pPr>
      <w:r w:rsidRPr="00700272">
        <w:rPr>
          <w:b/>
          <w:bCs/>
          <w:szCs w:val="22"/>
        </w:rPr>
        <w:t>Otros idiomas en los que un gran número de examinadores tienen competencias avanzadas</w:t>
      </w:r>
      <w:r w:rsidR="00FF6821" w:rsidRPr="00700272">
        <w:rPr>
          <w:b/>
        </w:rPr>
        <w:t xml:space="preserve">:  </w:t>
      </w:r>
    </w:p>
    <w:p w:rsidR="00FF6821" w:rsidRPr="00700272" w:rsidRDefault="00C72FEE" w:rsidP="00FF6821">
      <w:r w:rsidRPr="00700272">
        <w:t>Inglés</w:t>
      </w:r>
    </w:p>
    <w:p w:rsidR="00FF6821" w:rsidRPr="00700272" w:rsidRDefault="00FF6821" w:rsidP="00FF6821"/>
    <w:p w:rsidR="00FF6821" w:rsidRPr="00700272" w:rsidRDefault="00DA1C35" w:rsidP="00FF6821">
      <w:pPr>
        <w:rPr>
          <w:szCs w:val="22"/>
        </w:rPr>
      </w:pPr>
      <w:r w:rsidRPr="00700272">
        <w:t xml:space="preserve">El inglés es una de las materias del </w:t>
      </w:r>
      <w:r w:rsidRPr="00700272">
        <w:rPr>
          <w:rFonts w:eastAsiaTheme="minorEastAsia"/>
          <w:szCs w:val="22"/>
          <w:lang w:eastAsia="ja-JP"/>
        </w:rPr>
        <w:t xml:space="preserve">Examen General de Acceso a la </w:t>
      </w:r>
      <w:r w:rsidR="001068A9">
        <w:rPr>
          <w:rFonts w:eastAsiaTheme="minorEastAsia"/>
          <w:szCs w:val="22"/>
          <w:lang w:eastAsia="ja-JP"/>
        </w:rPr>
        <w:t>Administraci</w:t>
      </w:r>
      <w:r w:rsidRPr="00700272">
        <w:rPr>
          <w:rFonts w:eastAsiaTheme="minorEastAsia"/>
          <w:szCs w:val="22"/>
          <w:lang w:eastAsia="ja-JP"/>
        </w:rPr>
        <w:t>ón Pública (</w:t>
      </w:r>
      <w:r w:rsidRPr="00700272">
        <w:rPr>
          <w:rFonts w:eastAsiaTheme="minorEastAsia"/>
          <w:i/>
          <w:szCs w:val="22"/>
          <w:lang w:eastAsia="ja-JP"/>
        </w:rPr>
        <w:t>Examination for Comprehensive Service</w:t>
      </w:r>
      <w:r w:rsidRPr="00700272">
        <w:rPr>
          <w:rFonts w:eastAsiaTheme="minorEastAsia"/>
          <w:szCs w:val="22"/>
          <w:lang w:eastAsia="ja-JP"/>
        </w:rPr>
        <w:t xml:space="preserve">).  </w:t>
      </w:r>
      <w:r w:rsidR="00A143F2" w:rsidRPr="00700272">
        <w:rPr>
          <w:rFonts w:eastAsiaTheme="minorEastAsia"/>
          <w:szCs w:val="22"/>
          <w:lang w:eastAsia="ja-JP"/>
        </w:rPr>
        <w:t>L</w:t>
      </w:r>
      <w:r w:rsidRPr="00700272">
        <w:rPr>
          <w:rFonts w:eastAsiaTheme="minorEastAsia"/>
          <w:szCs w:val="22"/>
          <w:lang w:eastAsia="ja-JP"/>
        </w:rPr>
        <w:t>a JPO</w:t>
      </w:r>
      <w:r w:rsidR="00A143F2" w:rsidRPr="00700272">
        <w:rPr>
          <w:rFonts w:eastAsiaTheme="minorEastAsia"/>
          <w:szCs w:val="22"/>
          <w:lang w:eastAsia="ja-JP"/>
        </w:rPr>
        <w:t xml:space="preserve"> considera</w:t>
      </w:r>
      <w:r w:rsidRPr="00700272">
        <w:rPr>
          <w:rFonts w:eastAsiaTheme="minorEastAsia"/>
          <w:szCs w:val="22"/>
          <w:lang w:eastAsia="ja-JP"/>
        </w:rPr>
        <w:t xml:space="preserve"> la competencia lingüística en inglés </w:t>
      </w:r>
      <w:r w:rsidR="00A143F2" w:rsidRPr="00700272">
        <w:rPr>
          <w:rFonts w:eastAsiaTheme="minorEastAsia"/>
          <w:szCs w:val="22"/>
          <w:lang w:eastAsia="ja-JP"/>
        </w:rPr>
        <w:t>como</w:t>
      </w:r>
      <w:r w:rsidRPr="00700272">
        <w:rPr>
          <w:rFonts w:eastAsiaTheme="minorEastAsia"/>
          <w:szCs w:val="22"/>
          <w:lang w:eastAsia="ja-JP"/>
        </w:rPr>
        <w:t xml:space="preserve"> un elemento esencial para la contratación de su personal.  Además, los examinadores </w:t>
      </w:r>
      <w:r w:rsidRPr="00700272">
        <w:t xml:space="preserve">adjuntos tienen la oportunidad de recibir clases </w:t>
      </w:r>
      <w:r w:rsidR="008B0016" w:rsidRPr="00700272">
        <w:t>de inglés específicas antes de ascender al cargo de examinador.  Los examinadores también pueden tomar parte en cursos de formación para e</w:t>
      </w:r>
      <w:r w:rsidR="005866F7" w:rsidRPr="00700272">
        <w:t>l</w:t>
      </w:r>
      <w:r w:rsidR="008B0016" w:rsidRPr="00700272">
        <w:t xml:space="preserve"> aprendizaje de otras lenguas extranjeras como el francés, alemán, coreano, chino, </w:t>
      </w:r>
      <w:r w:rsidR="008A66F4" w:rsidRPr="00700272">
        <w:t>etcétera.</w:t>
      </w:r>
      <w:r w:rsidR="008A66F4" w:rsidRPr="00700272">
        <w:cr/>
      </w:r>
    </w:p>
    <w:p w:rsidR="00FF6821" w:rsidRPr="00700272" w:rsidRDefault="00C72FEE" w:rsidP="00FF6821">
      <w:pPr>
        <w:rPr>
          <w:szCs w:val="22"/>
        </w:rPr>
      </w:pPr>
      <w:r w:rsidRPr="00700272">
        <w:rPr>
          <w:b/>
          <w:bCs/>
          <w:szCs w:val="22"/>
        </w:rPr>
        <w:t>Servicios disponibles de ayuda a la búsqueda y para la comprensión del estado de la técnica en otras lenguas</w:t>
      </w:r>
      <w:r w:rsidR="00FF6821" w:rsidRPr="00700272">
        <w:rPr>
          <w:b/>
          <w:bCs/>
          <w:szCs w:val="22"/>
        </w:rPr>
        <w:t>:</w:t>
      </w:r>
      <w:r w:rsidR="00FF6821" w:rsidRPr="00700272">
        <w:rPr>
          <w:szCs w:val="22"/>
        </w:rPr>
        <w:t xml:space="preserve">  </w:t>
      </w:r>
    </w:p>
    <w:p w:rsidR="008A66F4" w:rsidRPr="00700272" w:rsidRDefault="00085F33" w:rsidP="00FF6821">
      <w:pPr>
        <w:rPr>
          <w:lang w:eastAsia="ja-JP"/>
        </w:rPr>
      </w:pPr>
      <w:r w:rsidRPr="00700272">
        <w:t>Todos los examinadores disponen de un servicio de traducción automática</w:t>
      </w:r>
      <w:r w:rsidR="008A66F4" w:rsidRPr="00700272">
        <w:rPr>
          <w:lang w:eastAsia="ja-JP"/>
        </w:rPr>
        <w:t>.</w:t>
      </w:r>
    </w:p>
    <w:p w:rsidR="00FF6821" w:rsidRPr="00700272" w:rsidRDefault="00FF6821" w:rsidP="00FF6821">
      <w:pPr>
        <w:keepNext/>
        <w:pBdr>
          <w:top w:val="single" w:sz="4" w:space="1" w:color="auto"/>
          <w:bottom w:val="single" w:sz="4" w:space="1" w:color="auto"/>
        </w:pBdr>
        <w:spacing w:before="360" w:after="200"/>
        <w:outlineLvl w:val="0"/>
        <w:rPr>
          <w:b/>
          <w:bCs/>
          <w:caps/>
          <w:kern w:val="32"/>
          <w:szCs w:val="32"/>
        </w:rPr>
      </w:pPr>
      <w:r w:rsidRPr="00700272">
        <w:rPr>
          <w:b/>
          <w:bCs/>
          <w:caps/>
          <w:kern w:val="32"/>
          <w:szCs w:val="32"/>
        </w:rPr>
        <w:t xml:space="preserve">2.2 – </w:t>
      </w:r>
      <w:r w:rsidR="00CB22EF" w:rsidRPr="00700272">
        <w:rPr>
          <w:b/>
          <w:bCs/>
          <w:caps/>
          <w:kern w:val="32"/>
          <w:szCs w:val="32"/>
        </w:rPr>
        <w:t>GESTIÓN DE LA CALIDAD</w:t>
      </w:r>
    </w:p>
    <w:p w:rsidR="00FF6821" w:rsidRPr="00700272" w:rsidRDefault="00CB22EF" w:rsidP="00FF6821">
      <w:pPr>
        <w:rPr>
          <w:b/>
          <w:i/>
        </w:rPr>
      </w:pPr>
      <w:r w:rsidRPr="00700272">
        <w:rPr>
          <w:b/>
          <w:i/>
        </w:rPr>
        <w:t>Regla</w:t>
      </w:r>
      <w:r w:rsidR="00700272" w:rsidRPr="00700272">
        <w:rPr>
          <w:b/>
          <w:i/>
        </w:rPr>
        <w:t>s 3</w:t>
      </w:r>
      <w:r w:rsidRPr="00700272">
        <w:rPr>
          <w:b/>
          <w:i/>
        </w:rPr>
        <w:t xml:space="preserve">6.1.iv) </w:t>
      </w:r>
      <w:r w:rsidR="00700272" w:rsidRPr="00700272">
        <w:rPr>
          <w:b/>
          <w:i/>
        </w:rPr>
        <w:t>y 6</w:t>
      </w:r>
      <w:r w:rsidRPr="00700272">
        <w:rPr>
          <w:b/>
          <w:i/>
        </w:rPr>
        <w:t>3.1.iv)</w:t>
      </w:r>
      <w:proofErr w:type="gramStart"/>
      <w:r w:rsidRPr="00700272">
        <w:rPr>
          <w:b/>
          <w:i/>
        </w:rPr>
        <w:t>:  esa</w:t>
      </w:r>
      <w:proofErr w:type="gramEnd"/>
      <w:r w:rsidRPr="00700272">
        <w:rPr>
          <w:b/>
          <w:i/>
        </w:rPr>
        <w:t xml:space="preserve"> Oficina u organización deberá disponer de un sistema de gestión de calidad y un sistema de revisión interna, conforme a las reglas comunes de la búsqueda internacional</w:t>
      </w:r>
      <w:r w:rsidR="00FF6821" w:rsidRPr="00700272">
        <w:rPr>
          <w:b/>
          <w:i/>
        </w:rPr>
        <w:t>.</w:t>
      </w:r>
    </w:p>
    <w:p w:rsidR="00FF6821" w:rsidRPr="00700272" w:rsidRDefault="00FF6821" w:rsidP="00FF6821">
      <w:pPr>
        <w:rPr>
          <w:szCs w:val="22"/>
        </w:rPr>
      </w:pPr>
    </w:p>
    <w:p w:rsidR="00FF6821" w:rsidRPr="00700272" w:rsidRDefault="00A143F2" w:rsidP="00FF6821">
      <w:pPr>
        <w:rPr>
          <w:rFonts w:eastAsiaTheme="minorEastAsia"/>
          <w:szCs w:val="22"/>
          <w:lang w:eastAsia="ja-JP"/>
        </w:rPr>
      </w:pPr>
      <w:r w:rsidRPr="00700272">
        <w:t>El Informe sobre c</w:t>
      </w:r>
      <w:r w:rsidR="005D24F2" w:rsidRPr="00700272">
        <w:t>alidad presentado por la Oficina Japonesa de Patentes en diciembre d</w:t>
      </w:r>
      <w:r w:rsidR="00700272" w:rsidRPr="00700272">
        <w:t>e 2</w:t>
      </w:r>
      <w:r w:rsidR="005D24F2" w:rsidRPr="00700272">
        <w:t xml:space="preserve">016 puede ser consultado en el sitio web de la OMPI:  </w:t>
      </w:r>
      <w:hyperlink r:id="rId11" w:history="1">
        <w:r w:rsidR="00FF6821" w:rsidRPr="00700272">
          <w:rPr>
            <w:rFonts w:eastAsiaTheme="minorEastAsia"/>
            <w:szCs w:val="22"/>
            <w:lang w:eastAsia="ja-JP"/>
          </w:rPr>
          <w:t>http://www.wipo.int/pct/en/quality/authorities.html</w:t>
        </w:r>
      </w:hyperlink>
    </w:p>
    <w:p w:rsidR="00FF6821" w:rsidRPr="00700272" w:rsidRDefault="00FF6821" w:rsidP="00FF6821">
      <w:pPr>
        <w:keepNext/>
        <w:pBdr>
          <w:top w:val="single" w:sz="4" w:space="1" w:color="auto"/>
          <w:bottom w:val="single" w:sz="4" w:space="1" w:color="auto"/>
        </w:pBdr>
        <w:spacing w:before="360" w:after="200"/>
        <w:outlineLvl w:val="0"/>
        <w:rPr>
          <w:b/>
          <w:bCs/>
          <w:caps/>
          <w:kern w:val="32"/>
          <w:szCs w:val="32"/>
          <w:lang w:eastAsia="ja-JP"/>
        </w:rPr>
      </w:pPr>
      <w:r w:rsidRPr="00700272">
        <w:rPr>
          <w:b/>
          <w:bCs/>
          <w:caps/>
          <w:kern w:val="32"/>
          <w:szCs w:val="32"/>
        </w:rPr>
        <w:lastRenderedPageBreak/>
        <w:t xml:space="preserve">2.3 – </w:t>
      </w:r>
      <w:r w:rsidR="00CF030E" w:rsidRPr="00700272">
        <w:rPr>
          <w:b/>
          <w:bCs/>
          <w:caps/>
          <w:kern w:val="32"/>
          <w:szCs w:val="32"/>
        </w:rPr>
        <w:t xml:space="preserve">Intercambios de información y sugerencias sobre buenas prácticas con otras administraciones internacionales </w:t>
      </w:r>
    </w:p>
    <w:p w:rsidR="00FF6821" w:rsidRPr="00700272" w:rsidRDefault="00CF030E" w:rsidP="00FF6821">
      <w:r w:rsidRPr="00700272">
        <w:t xml:space="preserve">La JPO asume el compromiso por la mejora constante de la calidad, tanto por lo que se refiere a esa misma Oficina, como con relación al sistema del PCT en su conjunto.  A tal fin, su actividad no se limita a llevar a cabo auditorías internas de calidad, sino que también trabaja activamente junto con otras Administraciones internacionales y Oficinas en el intercambio de información y buenas prácticas, así como en la búsqueda de nuevos métodos susceptibles de </w:t>
      </w:r>
      <w:r w:rsidR="006D3F80" w:rsidRPr="00700272">
        <w:t xml:space="preserve">conducir a la obtención de </w:t>
      </w:r>
      <w:r w:rsidRPr="00700272">
        <w:t xml:space="preserve">mejores resultados.  </w:t>
      </w:r>
      <w:r w:rsidR="007B5609" w:rsidRPr="00700272">
        <w:t>A continuación se mencionan algunos ejemplos.</w:t>
      </w:r>
    </w:p>
    <w:p w:rsidR="00FF6821" w:rsidRPr="00700272" w:rsidRDefault="00FF6821" w:rsidP="00FF6821"/>
    <w:p w:rsidR="00FF6821" w:rsidRPr="00700272" w:rsidRDefault="00FF6821" w:rsidP="00FF6821">
      <w:pPr>
        <w:rPr>
          <w:i/>
          <w:lang w:eastAsia="ja-JP"/>
        </w:rPr>
      </w:pPr>
      <w:r w:rsidRPr="00700272">
        <w:rPr>
          <w:i/>
          <w:lang w:eastAsia="ja-JP"/>
        </w:rPr>
        <w:t>i)</w:t>
      </w:r>
      <w:r w:rsidRPr="00700272">
        <w:rPr>
          <w:i/>
          <w:lang w:eastAsia="ja-JP"/>
        </w:rPr>
        <w:tab/>
      </w:r>
      <w:r w:rsidR="006C597E" w:rsidRPr="00700272">
        <w:rPr>
          <w:i/>
          <w:lang w:eastAsia="ja-JP"/>
        </w:rPr>
        <w:t xml:space="preserve">Programa piloto Japón </w:t>
      </w:r>
      <w:r w:rsidR="006D3F80" w:rsidRPr="00700272">
        <w:rPr>
          <w:i/>
          <w:lang w:eastAsia="ja-JP"/>
        </w:rPr>
        <w:t>-</w:t>
      </w:r>
      <w:r w:rsidR="006C597E" w:rsidRPr="00700272">
        <w:rPr>
          <w:i/>
          <w:lang w:eastAsia="ja-JP"/>
        </w:rPr>
        <w:t xml:space="preserve"> Estados Unidos de América para la realización de búsquedas y exámenes en colaboración</w:t>
      </w:r>
    </w:p>
    <w:p w:rsidR="00FF6821" w:rsidRPr="00700272" w:rsidRDefault="00FF6821" w:rsidP="00FF6821">
      <w:pPr>
        <w:tabs>
          <w:tab w:val="left" w:pos="426"/>
        </w:tabs>
        <w:rPr>
          <w:rFonts w:eastAsiaTheme="minorEastAsia"/>
          <w:szCs w:val="22"/>
          <w:lang w:eastAsia="ja-JP"/>
        </w:rPr>
      </w:pPr>
    </w:p>
    <w:p w:rsidR="008A66F4" w:rsidRPr="00700272" w:rsidRDefault="006C597E" w:rsidP="00FF6821">
      <w:pPr>
        <w:rPr>
          <w:lang w:eastAsia="ja-JP"/>
        </w:rPr>
      </w:pPr>
      <w:r w:rsidRPr="00700272">
        <w:rPr>
          <w:lang w:eastAsia="ja-JP"/>
        </w:rPr>
        <w:t xml:space="preserve">El Programa piloto para la realización de búsquedas y exámenes en colaboración, que están llevando a cabo conjuntamente la JPO y la </w:t>
      </w:r>
      <w:r w:rsidR="00076ABC" w:rsidRPr="00700272">
        <w:rPr>
          <w:lang w:eastAsia="ja-JP"/>
        </w:rPr>
        <w:t>Oficina de Patentes y Marcas de los Estados Unidos de América (USPTO)</w:t>
      </w:r>
      <w:r w:rsidRPr="00700272">
        <w:rPr>
          <w:lang w:eastAsia="ja-JP"/>
        </w:rPr>
        <w:t xml:space="preserve"> es un programa en el cual los examinadores de ambas oficinas efectúan cada uno por su lado sus propias búsquedas del estado de la técnica en relación con las invenciones descritas en las solicitudes de patente presentadas tanto en </w:t>
      </w:r>
      <w:r w:rsidR="00D640B8" w:rsidRPr="00700272">
        <w:rPr>
          <w:lang w:eastAsia="ja-JP"/>
        </w:rPr>
        <w:t xml:space="preserve">el </w:t>
      </w:r>
      <w:r w:rsidRPr="00700272">
        <w:rPr>
          <w:lang w:eastAsia="ja-JP"/>
        </w:rPr>
        <w:t>Japón como en los Estados Unidos de América.  Seguidamente, los examinadores de la JPO y de la USPTO comparten los resultados de sus respectivas búsquedas y opiniones, e intercambian los resultados de</w:t>
      </w:r>
      <w:r w:rsidR="00D640B8" w:rsidRPr="00700272">
        <w:rPr>
          <w:lang w:eastAsia="ja-JP"/>
        </w:rPr>
        <w:t xml:space="preserve">l </w:t>
      </w:r>
      <w:r w:rsidR="00D96D6F" w:rsidRPr="00700272">
        <w:rPr>
          <w:lang w:eastAsia="ja-JP"/>
        </w:rPr>
        <w:t xml:space="preserve">primer </w:t>
      </w:r>
      <w:r w:rsidR="00D640B8" w:rsidRPr="00700272">
        <w:rPr>
          <w:lang w:eastAsia="ja-JP"/>
        </w:rPr>
        <w:t xml:space="preserve">examen </w:t>
      </w:r>
      <w:r w:rsidRPr="00700272">
        <w:rPr>
          <w:lang w:eastAsia="ja-JP"/>
        </w:rPr>
        <w:t>enviándoselos recíprocamente al mismo tiempo.  Esta iniciativa colaborativa fue lanzada en agosto d</w:t>
      </w:r>
      <w:r w:rsidR="00700272" w:rsidRPr="00700272">
        <w:rPr>
          <w:lang w:eastAsia="ja-JP"/>
        </w:rPr>
        <w:t>e 2</w:t>
      </w:r>
      <w:r w:rsidRPr="00700272">
        <w:rPr>
          <w:lang w:eastAsia="ja-JP"/>
        </w:rPr>
        <w:t xml:space="preserve">015, con el propósito de mejorar </w:t>
      </w:r>
      <w:r w:rsidR="00D96D6F" w:rsidRPr="00700272">
        <w:rPr>
          <w:lang w:eastAsia="ja-JP"/>
        </w:rPr>
        <w:t>la previsibilidad</w:t>
      </w:r>
      <w:r w:rsidRPr="00700272">
        <w:rPr>
          <w:lang w:eastAsia="ja-JP"/>
        </w:rPr>
        <w:t xml:space="preserve"> de la concesión de patentes, en lo referente a la realización de los exámenes y a la adquisición de derechos sobre las</w:t>
      </w:r>
      <w:r w:rsidR="00026B25">
        <w:rPr>
          <w:lang w:eastAsia="ja-JP"/>
        </w:rPr>
        <w:t xml:space="preserve"> solicitudes de patentes de</w:t>
      </w:r>
      <w:r w:rsidRPr="00700272">
        <w:rPr>
          <w:lang w:eastAsia="ja-JP"/>
        </w:rPr>
        <w:t xml:space="preserve"> invenci</w:t>
      </w:r>
      <w:r w:rsidR="00026B25">
        <w:rPr>
          <w:lang w:eastAsia="ja-JP"/>
        </w:rPr>
        <w:t>ó</w:t>
      </w:r>
      <w:r w:rsidRPr="00700272">
        <w:rPr>
          <w:lang w:eastAsia="ja-JP"/>
        </w:rPr>
        <w:t xml:space="preserve">n presentadas tanto en Japón como en los Estados Unidos de América.  Otro de los objetivos sería </w:t>
      </w:r>
      <w:r w:rsidR="006D3F80" w:rsidRPr="00700272">
        <w:rPr>
          <w:lang w:eastAsia="ja-JP"/>
        </w:rPr>
        <w:t xml:space="preserve">que los derechos obtenidos por los solicitantes fueran unos </w:t>
      </w:r>
      <w:r w:rsidRPr="00700272">
        <w:rPr>
          <w:lang w:eastAsia="ja-JP"/>
        </w:rPr>
        <w:t>derechos de patente más sólidos y estables</w:t>
      </w:r>
      <w:r w:rsidR="006D3F80" w:rsidRPr="00700272">
        <w:rPr>
          <w:lang w:eastAsia="ja-JP"/>
        </w:rPr>
        <w:t xml:space="preserve">, y que pudieran ser concedidos </w:t>
      </w:r>
      <w:r w:rsidRPr="00700272">
        <w:rPr>
          <w:lang w:eastAsia="ja-JP"/>
        </w:rPr>
        <w:t>en plazos más cortos</w:t>
      </w:r>
      <w:r w:rsidR="006D3F80" w:rsidRPr="00700272">
        <w:rPr>
          <w:lang w:eastAsia="ja-JP"/>
        </w:rPr>
        <w:t>,</w:t>
      </w:r>
      <w:r w:rsidRPr="00700272">
        <w:rPr>
          <w:lang w:eastAsia="ja-JP"/>
        </w:rPr>
        <w:t xml:space="preserve"> tanto en </w:t>
      </w:r>
      <w:r w:rsidR="006D3F80" w:rsidRPr="00700272">
        <w:rPr>
          <w:lang w:eastAsia="ja-JP"/>
        </w:rPr>
        <w:t xml:space="preserve">el </w:t>
      </w:r>
      <w:r w:rsidRPr="00700272">
        <w:rPr>
          <w:lang w:eastAsia="ja-JP"/>
        </w:rPr>
        <w:t>Japón como en los Estados Unidos de América.  Hasta enero d</w:t>
      </w:r>
      <w:r w:rsidR="00700272" w:rsidRPr="00700272">
        <w:rPr>
          <w:lang w:eastAsia="ja-JP"/>
        </w:rPr>
        <w:t>e 2</w:t>
      </w:r>
      <w:r w:rsidRPr="00700272">
        <w:rPr>
          <w:lang w:eastAsia="ja-JP"/>
        </w:rPr>
        <w:t>017, se han presentad</w:t>
      </w:r>
      <w:r w:rsidR="00700272" w:rsidRPr="00700272">
        <w:rPr>
          <w:lang w:eastAsia="ja-JP"/>
        </w:rPr>
        <w:t>o 4</w:t>
      </w:r>
      <w:r w:rsidRPr="00700272">
        <w:rPr>
          <w:lang w:eastAsia="ja-JP"/>
        </w:rPr>
        <w:t>5 solicitudes de patente en el marco de este programa</w:t>
      </w:r>
      <w:r w:rsidR="008A66F4" w:rsidRPr="00700272">
        <w:rPr>
          <w:lang w:eastAsia="ja-JP"/>
        </w:rPr>
        <w:t>.</w:t>
      </w:r>
    </w:p>
    <w:p w:rsidR="00FF6821" w:rsidRPr="00700272" w:rsidRDefault="00FF6821" w:rsidP="00FF6821"/>
    <w:p w:rsidR="00FF6821" w:rsidRPr="00700272" w:rsidRDefault="006C597E" w:rsidP="00FF6821">
      <w:pPr>
        <w:rPr>
          <w:i/>
          <w:lang w:eastAsia="ja-JP"/>
        </w:rPr>
      </w:pPr>
      <w:r w:rsidRPr="00700272">
        <w:rPr>
          <w:i/>
          <w:lang w:eastAsia="ja-JP"/>
        </w:rPr>
        <w:t>ii)</w:t>
      </w:r>
      <w:r w:rsidRPr="00700272">
        <w:rPr>
          <w:i/>
          <w:lang w:eastAsia="ja-JP"/>
        </w:rPr>
        <w:tab/>
        <w:t>Programa piloto de colaboración en la búsqueda y el examen</w:t>
      </w:r>
      <w:r w:rsidR="008B7189" w:rsidRPr="00700272">
        <w:rPr>
          <w:i/>
          <w:lang w:eastAsia="ja-JP"/>
        </w:rPr>
        <w:t xml:space="preserve"> en el marco del PCT entre las O</w:t>
      </w:r>
      <w:r w:rsidRPr="00700272">
        <w:rPr>
          <w:i/>
          <w:lang w:eastAsia="ja-JP"/>
        </w:rPr>
        <w:t xml:space="preserve">ficinas de la Cooperación Pentalateral  </w:t>
      </w:r>
    </w:p>
    <w:p w:rsidR="00FF6821" w:rsidRPr="00700272" w:rsidRDefault="00FF6821" w:rsidP="00FF6821"/>
    <w:p w:rsidR="008A66F4" w:rsidRPr="00700272" w:rsidRDefault="006C597E" w:rsidP="00FF6821">
      <w:pPr>
        <w:rPr>
          <w:lang w:eastAsia="ja-JP"/>
        </w:rPr>
      </w:pPr>
      <w:r w:rsidRPr="00700272">
        <w:rPr>
          <w:lang w:eastAsia="ja-JP"/>
        </w:rPr>
        <w:t>En el marco del Proyecto piloto de colaboración en la búsqueda y el examen del PCT en el que participan las cinco oficinas de P.I. más grandes del mundo, a saber, las oficinas de P.I. de China, Japón, República de Corea, Estados Unidos de América y la Oficina Europea de Patentes (en adelante, la</w:t>
      </w:r>
      <w:r w:rsidR="008B7189" w:rsidRPr="00700272">
        <w:rPr>
          <w:lang w:eastAsia="ja-JP"/>
        </w:rPr>
        <w:t>s Oficinas de la</w:t>
      </w:r>
      <w:r w:rsidRPr="00700272">
        <w:rPr>
          <w:lang w:eastAsia="ja-JP"/>
        </w:rPr>
        <w:t xml:space="preserve"> </w:t>
      </w:r>
      <w:r w:rsidR="008B7189" w:rsidRPr="00700272">
        <w:rPr>
          <w:lang w:eastAsia="ja-JP"/>
        </w:rPr>
        <w:t>Cooperación Pentalateral</w:t>
      </w:r>
      <w:r w:rsidRPr="00700272">
        <w:rPr>
          <w:lang w:eastAsia="ja-JP"/>
        </w:rPr>
        <w:t>), una oficina principal</w:t>
      </w:r>
      <w:r w:rsidR="008B7189" w:rsidRPr="00700272">
        <w:rPr>
          <w:lang w:eastAsia="ja-JP"/>
        </w:rPr>
        <w:t xml:space="preserve"> establecida como</w:t>
      </w:r>
      <w:r w:rsidRPr="00700272">
        <w:rPr>
          <w:lang w:eastAsia="ja-JP"/>
        </w:rPr>
        <w:t xml:space="preserve"> encargada </w:t>
      </w:r>
      <w:r w:rsidR="008B7189" w:rsidRPr="00700272">
        <w:rPr>
          <w:lang w:eastAsia="ja-JP"/>
        </w:rPr>
        <w:t>efectúa el juicio sobre</w:t>
      </w:r>
      <w:r w:rsidRPr="00700272">
        <w:rPr>
          <w:lang w:eastAsia="ja-JP"/>
        </w:rPr>
        <w:t xml:space="preserve"> la patentabilidad de una solicitud internacional presentada a través del sistema PCT, en colaboración con las oficinas de P.I. subordinadas.  Seguidamente, las oficinas elaboran un único informe de búsqueda internacional que es enviado al solicitante.  En junio d</w:t>
      </w:r>
      <w:r w:rsidR="00700272" w:rsidRPr="00700272">
        <w:rPr>
          <w:lang w:eastAsia="ja-JP"/>
        </w:rPr>
        <w:t>e 2</w:t>
      </w:r>
      <w:r w:rsidRPr="00700272">
        <w:rPr>
          <w:lang w:eastAsia="ja-JP"/>
        </w:rPr>
        <w:t xml:space="preserve">016, en la Reunión de </w:t>
      </w:r>
      <w:r w:rsidR="008B7189" w:rsidRPr="00700272">
        <w:rPr>
          <w:lang w:eastAsia="ja-JP"/>
        </w:rPr>
        <w:t xml:space="preserve">los Directores de las Oficinas de </w:t>
      </w:r>
      <w:r w:rsidRPr="00700272">
        <w:rPr>
          <w:lang w:eastAsia="ja-JP"/>
        </w:rPr>
        <w:t>la Cooperación</w:t>
      </w:r>
      <w:r w:rsidR="008B7189" w:rsidRPr="00700272">
        <w:rPr>
          <w:lang w:eastAsia="ja-JP"/>
        </w:rPr>
        <w:t xml:space="preserve"> Pentalateral</w:t>
      </w:r>
      <w:r w:rsidRPr="00700272">
        <w:rPr>
          <w:lang w:eastAsia="ja-JP"/>
        </w:rPr>
        <w:t>, los</w:t>
      </w:r>
      <w:r w:rsidR="008B7189" w:rsidRPr="00700272">
        <w:rPr>
          <w:lang w:eastAsia="ja-JP"/>
        </w:rPr>
        <w:t xml:space="preserve"> Directores </w:t>
      </w:r>
      <w:r w:rsidRPr="00700272">
        <w:rPr>
          <w:lang w:eastAsia="ja-JP"/>
        </w:rPr>
        <w:t xml:space="preserve">acordaron las </w:t>
      </w:r>
      <w:r w:rsidR="00412898" w:rsidRPr="00700272">
        <w:rPr>
          <w:lang w:eastAsia="ja-JP"/>
        </w:rPr>
        <w:t>líneas</w:t>
      </w:r>
      <w:r w:rsidRPr="00700272">
        <w:rPr>
          <w:lang w:eastAsia="ja-JP"/>
        </w:rPr>
        <w:t> básicas para el lanzamiento de</w:t>
      </w:r>
      <w:r w:rsidR="008B7189" w:rsidRPr="00700272">
        <w:rPr>
          <w:lang w:eastAsia="ja-JP"/>
        </w:rPr>
        <w:t xml:space="preserve"> este</w:t>
      </w:r>
      <w:r w:rsidRPr="00700272">
        <w:rPr>
          <w:lang w:eastAsia="ja-JP"/>
        </w:rPr>
        <w:t xml:space="preserve"> programa piloto entre las Oficinas de la </w:t>
      </w:r>
      <w:r w:rsidR="008B7189" w:rsidRPr="00700272">
        <w:rPr>
          <w:lang w:eastAsia="ja-JP"/>
        </w:rPr>
        <w:t>Cooperación Pentalateral</w:t>
      </w:r>
      <w:r w:rsidRPr="00700272">
        <w:rPr>
          <w:lang w:eastAsia="ja-JP"/>
        </w:rPr>
        <w:t>.  En la actualidad, a nivel del personal técnico se están debatiendo los detalles de los procedimientos operativos, con el objetivo de que el lanzamiento del programa piloto pueda producirse a partir de junio d</w:t>
      </w:r>
      <w:r w:rsidR="00700272" w:rsidRPr="00700272">
        <w:rPr>
          <w:lang w:eastAsia="ja-JP"/>
        </w:rPr>
        <w:t>e 2</w:t>
      </w:r>
      <w:r w:rsidRPr="00700272">
        <w:rPr>
          <w:lang w:eastAsia="ja-JP"/>
        </w:rPr>
        <w:t>017</w:t>
      </w:r>
      <w:r w:rsidR="008A66F4" w:rsidRPr="00700272">
        <w:rPr>
          <w:lang w:eastAsia="ja-JP"/>
        </w:rPr>
        <w:t>.</w:t>
      </w:r>
    </w:p>
    <w:p w:rsidR="00FF6821" w:rsidRPr="00700272" w:rsidRDefault="00FF6821" w:rsidP="00FF6821"/>
    <w:p w:rsidR="00FF6821" w:rsidRPr="00700272" w:rsidRDefault="00FF6821" w:rsidP="00FF6821">
      <w:pPr>
        <w:rPr>
          <w:i/>
          <w:lang w:eastAsia="ja-JP"/>
        </w:rPr>
      </w:pPr>
      <w:r w:rsidRPr="00700272">
        <w:rPr>
          <w:i/>
          <w:lang w:eastAsia="ja-JP"/>
        </w:rPr>
        <w:t>iii)</w:t>
      </w:r>
      <w:r w:rsidRPr="00700272">
        <w:rPr>
          <w:i/>
          <w:lang w:eastAsia="ja-JP"/>
        </w:rPr>
        <w:tab/>
        <w:t>“</w:t>
      </w:r>
      <w:r w:rsidR="006C597E" w:rsidRPr="00700272">
        <w:rPr>
          <w:i/>
          <w:lang w:eastAsia="ja-JP"/>
        </w:rPr>
        <w:t>Conferencias Internacionales de Examinadores</w:t>
      </w:r>
      <w:r w:rsidRPr="00700272">
        <w:rPr>
          <w:i/>
          <w:lang w:eastAsia="ja-JP"/>
        </w:rPr>
        <w:t>”</w:t>
      </w:r>
    </w:p>
    <w:p w:rsidR="00FF6821" w:rsidRPr="00700272" w:rsidRDefault="00FF6821" w:rsidP="00FF6821"/>
    <w:p w:rsidR="00FF6821" w:rsidRPr="00700272" w:rsidRDefault="00C95D14" w:rsidP="00FF6821">
      <w:pPr>
        <w:rPr>
          <w:lang w:eastAsia="ja-JP"/>
        </w:rPr>
      </w:pPr>
      <w:r w:rsidRPr="00700272">
        <w:t>Las “Conferencias I</w:t>
      </w:r>
      <w:r w:rsidR="006C597E" w:rsidRPr="00700272">
        <w:t>ntern</w:t>
      </w:r>
      <w:r w:rsidRPr="00700272">
        <w:t>acionales de E</w:t>
      </w:r>
      <w:r w:rsidR="006C597E" w:rsidRPr="00700272">
        <w:t xml:space="preserve">xaminadores” son encuentros en los que examinadores de diversos países se reúnen </w:t>
      </w:r>
      <w:r w:rsidRPr="00700272">
        <w:t>presencialmente</w:t>
      </w:r>
      <w:r w:rsidR="006C597E" w:rsidRPr="00700272">
        <w:t xml:space="preserve">, </w:t>
      </w:r>
      <w:r w:rsidRPr="00700272">
        <w:t xml:space="preserve">en un clima propicio para el intercambio fluido de opiniones y el debate abierto sobre </w:t>
      </w:r>
      <w:r w:rsidR="006C597E" w:rsidRPr="00700272">
        <w:t>las prácticas en materia de examen.  Estas conferencias han sido convocadas, principalmente, con un triple objetivo:</w:t>
      </w:r>
      <w:proofErr w:type="gramStart"/>
      <w:r w:rsidR="006C597E" w:rsidRPr="00700272">
        <w:t>  1</w:t>
      </w:r>
      <w:proofErr w:type="gramEnd"/>
      <w:r w:rsidR="006C597E" w:rsidRPr="00700272">
        <w:t xml:space="preserve">) promover </w:t>
      </w:r>
      <w:r w:rsidR="00D96D6F" w:rsidRPr="00700272">
        <w:t>la</w:t>
      </w:r>
      <w:r w:rsidR="006C597E" w:rsidRPr="00700272">
        <w:t xml:space="preserve"> </w:t>
      </w:r>
      <w:r w:rsidR="00D96D6F" w:rsidRPr="00700272">
        <w:t xml:space="preserve">reutilización eficaz de los resultados de la búsqueda y el examen </w:t>
      </w:r>
      <w:r w:rsidR="006C597E" w:rsidRPr="00700272">
        <w:rPr>
          <w:lang w:eastAsia="ja-JP"/>
        </w:rPr>
        <w:t xml:space="preserve">de patentes a partir del análisis conjunto de las </w:t>
      </w:r>
      <w:r w:rsidR="006C597E" w:rsidRPr="00700272">
        <w:rPr>
          <w:lang w:eastAsia="ja-JP"/>
        </w:rPr>
        <w:lastRenderedPageBreak/>
        <w:t xml:space="preserve">búsquedas del estado de la técnica y de las prácticas de examen;  2) armonizar las prácticas de examen de patentes </w:t>
      </w:r>
      <w:r w:rsidRPr="00700272">
        <w:rPr>
          <w:lang w:eastAsia="ja-JP"/>
        </w:rPr>
        <w:t>asegurando</w:t>
      </w:r>
      <w:r w:rsidR="006C597E" w:rsidRPr="00700272">
        <w:rPr>
          <w:lang w:eastAsia="ja-JP"/>
        </w:rPr>
        <w:t xml:space="preserve"> un alto nivel de calidad;  </w:t>
      </w:r>
      <w:r w:rsidR="00700272" w:rsidRPr="00700272">
        <w:rPr>
          <w:lang w:eastAsia="ja-JP"/>
        </w:rPr>
        <w:t>y 3</w:t>
      </w:r>
      <w:r w:rsidR="006C597E" w:rsidRPr="00700272">
        <w:rPr>
          <w:lang w:eastAsia="ja-JP"/>
        </w:rPr>
        <w:t>) armonizar las clasificaciones de patentes.  </w:t>
      </w:r>
      <w:r w:rsidRPr="00700272">
        <w:rPr>
          <w:lang w:eastAsia="ja-JP"/>
        </w:rPr>
        <w:t>En el período comprendido entre</w:t>
      </w:r>
      <w:r w:rsidR="006C597E" w:rsidRPr="00700272">
        <w:rPr>
          <w:lang w:eastAsia="ja-JP"/>
        </w:rPr>
        <w:t xml:space="preserve"> abril d</w:t>
      </w:r>
      <w:r w:rsidR="00700272" w:rsidRPr="00700272">
        <w:rPr>
          <w:lang w:eastAsia="ja-JP"/>
        </w:rPr>
        <w:t>e 2</w:t>
      </w:r>
      <w:r w:rsidR="006C597E" w:rsidRPr="00700272">
        <w:rPr>
          <w:lang w:eastAsia="ja-JP"/>
        </w:rPr>
        <w:t xml:space="preserve">000 </w:t>
      </w:r>
      <w:r w:rsidRPr="00700272">
        <w:rPr>
          <w:lang w:eastAsia="ja-JP"/>
        </w:rPr>
        <w:t>y</w:t>
      </w:r>
      <w:r w:rsidR="006C597E" w:rsidRPr="00700272">
        <w:rPr>
          <w:lang w:eastAsia="ja-JP"/>
        </w:rPr>
        <w:t xml:space="preserve"> enero d</w:t>
      </w:r>
      <w:r w:rsidR="00700272" w:rsidRPr="00700272">
        <w:rPr>
          <w:lang w:eastAsia="ja-JP"/>
        </w:rPr>
        <w:t>e 2</w:t>
      </w:r>
      <w:r w:rsidR="006C597E" w:rsidRPr="00700272">
        <w:rPr>
          <w:lang w:eastAsia="ja-JP"/>
        </w:rPr>
        <w:t xml:space="preserve">017, la JPO ha liderado </w:t>
      </w:r>
      <w:r w:rsidRPr="00700272">
        <w:rPr>
          <w:lang w:eastAsia="ja-JP"/>
        </w:rPr>
        <w:t xml:space="preserve">la organización de </w:t>
      </w:r>
      <w:r w:rsidR="006C597E" w:rsidRPr="00700272">
        <w:rPr>
          <w:lang w:eastAsia="ja-JP"/>
        </w:rPr>
        <w:t xml:space="preserve">conferencias internacionales de examinadores </w:t>
      </w:r>
      <w:r w:rsidRPr="00700272">
        <w:rPr>
          <w:lang w:eastAsia="ja-JP"/>
        </w:rPr>
        <w:t xml:space="preserve">durante períodos más o menos largos, reuniendo a </w:t>
      </w:r>
      <w:r w:rsidR="006C597E" w:rsidRPr="00700272">
        <w:rPr>
          <w:lang w:eastAsia="ja-JP"/>
        </w:rPr>
        <w:t>un total d</w:t>
      </w:r>
      <w:r w:rsidR="00700272" w:rsidRPr="00700272">
        <w:rPr>
          <w:lang w:eastAsia="ja-JP"/>
        </w:rPr>
        <w:t>e 2</w:t>
      </w:r>
      <w:r w:rsidR="006C597E" w:rsidRPr="00700272">
        <w:rPr>
          <w:lang w:eastAsia="ja-JP"/>
        </w:rPr>
        <w:t>9 oficinas de</w:t>
      </w:r>
      <w:r w:rsidR="008A66F4" w:rsidRPr="00700272">
        <w:rPr>
          <w:lang w:eastAsia="ja-JP"/>
        </w:rPr>
        <w:t xml:space="preserve"> P.I. </w:t>
      </w:r>
      <w:r w:rsidR="006C597E" w:rsidRPr="00700272">
        <w:rPr>
          <w:lang w:eastAsia="ja-JP"/>
        </w:rPr>
        <w:t>y organizaciones</w:t>
      </w:r>
      <w:r w:rsidR="00FF6821" w:rsidRPr="00700272">
        <w:rPr>
          <w:lang w:eastAsia="ja-JP"/>
        </w:rPr>
        <w:t>.</w:t>
      </w:r>
    </w:p>
    <w:p w:rsidR="00FF6821" w:rsidRPr="00700272" w:rsidRDefault="00FF6821" w:rsidP="00FF6821"/>
    <w:p w:rsidR="00FF6821" w:rsidRPr="00700272" w:rsidRDefault="00FF6821" w:rsidP="00FF6821">
      <w:pPr>
        <w:keepNext/>
        <w:rPr>
          <w:i/>
          <w:lang w:eastAsia="ja-JP"/>
        </w:rPr>
      </w:pPr>
      <w:r w:rsidRPr="00700272">
        <w:rPr>
          <w:i/>
          <w:lang w:eastAsia="ja-JP"/>
        </w:rPr>
        <w:t>iv)</w:t>
      </w:r>
      <w:r w:rsidRPr="00700272">
        <w:rPr>
          <w:i/>
          <w:lang w:eastAsia="ja-JP"/>
        </w:rPr>
        <w:tab/>
      </w:r>
      <w:r w:rsidR="00C95D14" w:rsidRPr="00700272">
        <w:rPr>
          <w:i/>
          <w:iCs/>
          <w:lang w:eastAsia="ja-JP"/>
        </w:rPr>
        <w:t>Iniciativas de c</w:t>
      </w:r>
      <w:r w:rsidR="006C597E" w:rsidRPr="00700272">
        <w:rPr>
          <w:i/>
          <w:iCs/>
          <w:lang w:eastAsia="ja-JP"/>
        </w:rPr>
        <w:t>ooperación en materia de examen de patentes para países emergentes</w:t>
      </w:r>
      <w:r w:rsidR="008A66F4" w:rsidRPr="00700272">
        <w:rPr>
          <w:i/>
          <w:iCs/>
          <w:lang w:eastAsia="ja-JP"/>
        </w:rPr>
        <w:t xml:space="preserve"> </w:t>
      </w:r>
    </w:p>
    <w:p w:rsidR="00FF6821" w:rsidRPr="00700272" w:rsidRDefault="00FF6821" w:rsidP="00FF6821">
      <w:pPr>
        <w:keepNext/>
      </w:pPr>
    </w:p>
    <w:p w:rsidR="00FF6821" w:rsidRPr="00700272" w:rsidRDefault="00FF6821" w:rsidP="00FF6821">
      <w:pPr>
        <w:keepNext/>
        <w:ind w:left="567"/>
      </w:pPr>
      <w:r w:rsidRPr="00700272">
        <w:t>a)</w:t>
      </w:r>
      <w:r w:rsidRPr="00700272">
        <w:tab/>
        <w:t>Singap</w:t>
      </w:r>
      <w:r w:rsidR="00CB1866" w:rsidRPr="00700272">
        <w:t>ur</w:t>
      </w:r>
    </w:p>
    <w:p w:rsidR="00FF6821" w:rsidRPr="00700272" w:rsidRDefault="00FF6821" w:rsidP="00FF6821">
      <w:pPr>
        <w:keepNext/>
        <w:ind w:left="567"/>
      </w:pPr>
    </w:p>
    <w:p w:rsidR="008A66F4" w:rsidRPr="00700272" w:rsidRDefault="006C597E" w:rsidP="00FF6821">
      <w:pPr>
        <w:ind w:left="567"/>
      </w:pPr>
      <w:r w:rsidRPr="00700272">
        <w:t xml:space="preserve">La JPO ha llevado a cabo actividades </w:t>
      </w:r>
      <w:r w:rsidR="00C418E7" w:rsidRPr="00700272">
        <w:t>destinadas a</w:t>
      </w:r>
      <w:r w:rsidRPr="00700272">
        <w:t xml:space="preserve"> </w:t>
      </w:r>
      <w:r w:rsidR="00C418E7" w:rsidRPr="00700272">
        <w:t xml:space="preserve">potenciar las capacidades </w:t>
      </w:r>
      <w:r w:rsidRPr="00700272">
        <w:t>de los examinadores de patentes de la Oficina de Propiedad Intelectual de Singapur, que empezó a funcionar en calidad de ISA/IPEA en virtud del PCT e</w:t>
      </w:r>
      <w:r w:rsidR="00700272" w:rsidRPr="00700272">
        <w:t>n 2</w:t>
      </w:r>
      <w:r w:rsidRPr="00700272">
        <w:t>015.  Una de las acciones de la JPO consistió en desplazar a un examinador principal de la JPO desde diciembre d</w:t>
      </w:r>
      <w:r w:rsidR="00700272" w:rsidRPr="00700272">
        <w:t>e 2</w:t>
      </w:r>
      <w:r w:rsidRPr="00700272">
        <w:t>014 y por un plazo largo, con el propósito de desarrollar en la Oficina de Propiedad Intelectual de Singapur las competencias en materia de examen de patentes y en general la operativa de funcionamiento en el marco del PCT</w:t>
      </w:r>
      <w:r w:rsidR="008A66F4" w:rsidRPr="00700272">
        <w:t>.</w:t>
      </w:r>
    </w:p>
    <w:p w:rsidR="00FF6821" w:rsidRPr="00700272" w:rsidRDefault="00FF6821" w:rsidP="00FF6821">
      <w:pPr>
        <w:ind w:left="567"/>
      </w:pPr>
    </w:p>
    <w:p w:rsidR="00FF6821" w:rsidRPr="00700272" w:rsidRDefault="00FF6821" w:rsidP="00FF6821">
      <w:pPr>
        <w:ind w:left="567"/>
      </w:pPr>
      <w:r w:rsidRPr="00700272">
        <w:t>b)</w:t>
      </w:r>
      <w:r w:rsidRPr="00700272">
        <w:tab/>
        <w:t>India</w:t>
      </w:r>
    </w:p>
    <w:p w:rsidR="00FF6821" w:rsidRPr="00700272" w:rsidRDefault="00FF6821" w:rsidP="00FF6821">
      <w:pPr>
        <w:ind w:left="567"/>
      </w:pPr>
    </w:p>
    <w:p w:rsidR="008A66F4" w:rsidRPr="00700272" w:rsidRDefault="006C597E" w:rsidP="00FF6821">
      <w:pPr>
        <w:ind w:left="567"/>
      </w:pPr>
      <w:r w:rsidRPr="00700272">
        <w:t>La  JPO también ha prestado su apoyo al Contro</w:t>
      </w:r>
      <w:r w:rsidR="00C418E7" w:rsidRPr="00700272">
        <w:t xml:space="preserve">lador General de </w:t>
      </w:r>
      <w:r w:rsidRPr="00700272">
        <w:t>Patent</w:t>
      </w:r>
      <w:r w:rsidR="00C418E7" w:rsidRPr="00700272">
        <w:t>e</w:t>
      </w:r>
      <w:r w:rsidRPr="00700272">
        <w:t>s, D</w:t>
      </w:r>
      <w:r w:rsidR="00C418E7" w:rsidRPr="00700272">
        <w:t xml:space="preserve">iseños y Marcas </w:t>
      </w:r>
      <w:r w:rsidRPr="00700272">
        <w:t>de la India</w:t>
      </w:r>
      <w:r w:rsidR="00C418E7" w:rsidRPr="00700272">
        <w:t xml:space="preserve"> (CGPDTM, por sus siglas en inglés)</w:t>
      </w:r>
      <w:r w:rsidRPr="00700272">
        <w:t>, que comenzó a operar como ISA/IPEA e</w:t>
      </w:r>
      <w:r w:rsidR="00700272" w:rsidRPr="00700272">
        <w:t>n 2</w:t>
      </w:r>
      <w:r w:rsidRPr="00700272">
        <w:t>013.  Desde el ejercici</w:t>
      </w:r>
      <w:r w:rsidR="00700272" w:rsidRPr="00700272">
        <w:t>o 2</w:t>
      </w:r>
      <w:r w:rsidRPr="00700272">
        <w:t xml:space="preserve">013, la JPO ha enviado a varios examinadores al CGPDTM para prestar </w:t>
      </w:r>
      <w:r w:rsidR="00C95D14" w:rsidRPr="00700272">
        <w:t>asistencia con respecto</w:t>
      </w:r>
      <w:r w:rsidRPr="00700272">
        <w:t xml:space="preserve"> al funcionamiento </w:t>
      </w:r>
      <w:r w:rsidR="00C95D14" w:rsidRPr="00700272">
        <w:t xml:space="preserve">de la </w:t>
      </w:r>
      <w:r w:rsidR="00D1440D" w:rsidRPr="00700272">
        <w:t xml:space="preserve">Oficina </w:t>
      </w:r>
      <w:r w:rsidRPr="00700272">
        <w:t>conforme al sistema PCT.  Además, en noviembre d</w:t>
      </w:r>
      <w:r w:rsidR="00700272" w:rsidRPr="00700272">
        <w:t>e 2</w:t>
      </w:r>
      <w:r w:rsidRPr="00700272">
        <w:t xml:space="preserve">016, </w:t>
      </w:r>
      <w:r w:rsidR="00D52C3E" w:rsidRPr="00700272">
        <w:t xml:space="preserve">al amparo </w:t>
      </w:r>
      <w:r w:rsidRPr="00700272">
        <w:t>del</w:t>
      </w:r>
      <w:r w:rsidR="00D52C3E" w:rsidRPr="00700272">
        <w:t xml:space="preserve"> Fondo Fiduciario del Japón administrado por la OMPI, </w:t>
      </w:r>
      <w:r w:rsidRPr="00700272">
        <w:t xml:space="preserve">la JPO organizó un taller para </w:t>
      </w:r>
      <w:r w:rsidR="00D52C3E" w:rsidRPr="00700272">
        <w:t xml:space="preserve">el fortalecimiento </w:t>
      </w:r>
      <w:r w:rsidRPr="00700272">
        <w:t>de las capacidades de búsqueda y examen de los examinadores de patentes de</w:t>
      </w:r>
      <w:r w:rsidR="00D52C3E" w:rsidRPr="00700272">
        <w:t>l</w:t>
      </w:r>
      <w:r w:rsidRPr="00700272">
        <w:t xml:space="preserve"> CGPDTM en su actividad como ISA/IPEA.  Esta acción se enmarcó </w:t>
      </w:r>
      <w:r w:rsidR="00D1440D" w:rsidRPr="00700272">
        <w:t>dentro d</w:t>
      </w:r>
      <w:r w:rsidRPr="00700272">
        <w:t xml:space="preserve">el programa de formación </w:t>
      </w:r>
      <w:r w:rsidR="00D1440D" w:rsidRPr="00700272">
        <w:t>que llevó a cabo el</w:t>
      </w:r>
      <w:r w:rsidRPr="00700272">
        <w:t xml:space="preserve"> CGPDTM para sus examinadores de reciente incorporación</w:t>
      </w:r>
      <w:r w:rsidR="008A66F4" w:rsidRPr="00700272">
        <w:t>.</w:t>
      </w:r>
    </w:p>
    <w:p w:rsidR="00FF6821" w:rsidRPr="00700272" w:rsidRDefault="00FF6821" w:rsidP="00FF6821"/>
    <w:p w:rsidR="00FF6821" w:rsidRPr="00700272" w:rsidRDefault="00FF6821" w:rsidP="00FF6821"/>
    <w:p w:rsidR="00F0310F" w:rsidRPr="00700272" w:rsidRDefault="00F0310F" w:rsidP="00F0310F"/>
    <w:p w:rsidR="0045694F" w:rsidRPr="00700272" w:rsidRDefault="0045694F" w:rsidP="0045694F"/>
    <w:p w:rsidR="0045694F" w:rsidRPr="00563FF6" w:rsidRDefault="0045694F" w:rsidP="0045694F">
      <w:pPr>
        <w:ind w:left="5534"/>
      </w:pPr>
      <w:r w:rsidRPr="00700272">
        <w:t>[</w:t>
      </w:r>
      <w:r w:rsidR="00F0310F" w:rsidRPr="00700272">
        <w:t>Fin del Anexo y del documento</w:t>
      </w:r>
      <w:r w:rsidRPr="00700272">
        <w:t>]</w:t>
      </w:r>
    </w:p>
    <w:p w:rsidR="00152CEA" w:rsidRPr="00563FF6" w:rsidRDefault="00152CEA" w:rsidP="0045694F">
      <w:pPr>
        <w:pStyle w:val="ONUME"/>
        <w:numPr>
          <w:ilvl w:val="0"/>
          <w:numId w:val="0"/>
        </w:numPr>
        <w:jc w:val="center"/>
      </w:pPr>
    </w:p>
    <w:sectPr w:rsidR="00152CEA" w:rsidRPr="00563FF6" w:rsidSect="00D96D6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DB3" w:rsidRDefault="00A04DB3">
      <w:r>
        <w:separator/>
      </w:r>
    </w:p>
  </w:endnote>
  <w:endnote w:type="continuationSeparator" w:id="0">
    <w:p w:rsidR="00A04DB3" w:rsidRPr="009D30E6" w:rsidRDefault="00A04DB3" w:rsidP="007E663E">
      <w:pPr>
        <w:rPr>
          <w:sz w:val="17"/>
          <w:szCs w:val="17"/>
        </w:rPr>
      </w:pPr>
      <w:r w:rsidRPr="009D30E6">
        <w:rPr>
          <w:sz w:val="17"/>
          <w:szCs w:val="17"/>
        </w:rPr>
        <w:separator/>
      </w:r>
    </w:p>
    <w:p w:rsidR="00A04DB3" w:rsidRPr="007E663E" w:rsidRDefault="00A04DB3" w:rsidP="007E663E">
      <w:pPr>
        <w:spacing w:after="60"/>
        <w:rPr>
          <w:sz w:val="17"/>
          <w:szCs w:val="17"/>
        </w:rPr>
      </w:pPr>
      <w:r>
        <w:rPr>
          <w:sz w:val="17"/>
        </w:rPr>
        <w:t>[Continuación de la nota de la página anterior]</w:t>
      </w:r>
    </w:p>
  </w:endnote>
  <w:endnote w:type="continuationNotice" w:id="1">
    <w:p w:rsidR="00A04DB3" w:rsidRPr="007E663E" w:rsidRDefault="00A04D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DB3" w:rsidRDefault="00A04DB3">
      <w:r>
        <w:separator/>
      </w:r>
    </w:p>
  </w:footnote>
  <w:footnote w:type="continuationSeparator" w:id="0">
    <w:p w:rsidR="00A04DB3" w:rsidRPr="009D30E6" w:rsidRDefault="00A04DB3" w:rsidP="007E663E">
      <w:pPr>
        <w:rPr>
          <w:sz w:val="17"/>
          <w:szCs w:val="17"/>
        </w:rPr>
      </w:pPr>
      <w:r w:rsidRPr="009D30E6">
        <w:rPr>
          <w:sz w:val="17"/>
          <w:szCs w:val="17"/>
        </w:rPr>
        <w:separator/>
      </w:r>
    </w:p>
    <w:p w:rsidR="00A04DB3" w:rsidRPr="007E663E" w:rsidRDefault="00A04DB3" w:rsidP="007E663E">
      <w:pPr>
        <w:spacing w:after="60"/>
        <w:rPr>
          <w:sz w:val="17"/>
          <w:szCs w:val="17"/>
        </w:rPr>
      </w:pPr>
      <w:r>
        <w:rPr>
          <w:sz w:val="17"/>
        </w:rPr>
        <w:t>[Continuación de la nota de la página anterior]</w:t>
      </w:r>
    </w:p>
  </w:footnote>
  <w:footnote w:type="continuationNotice" w:id="1">
    <w:p w:rsidR="00A04DB3" w:rsidRPr="007E663E" w:rsidRDefault="00A04DB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6F" w:rsidRDefault="00D96D6F" w:rsidP="00477D6B">
    <w:pPr>
      <w:jc w:val="right"/>
    </w:pPr>
    <w:bookmarkStart w:id="7" w:name="Code2"/>
    <w:bookmarkEnd w:id="7"/>
    <w:r>
      <w:t>PCT/CTC/30/6</w:t>
    </w:r>
  </w:p>
  <w:p w:rsidR="00D96D6F" w:rsidRDefault="00D96D6F"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D96D6F" w:rsidRDefault="00D96D6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6F" w:rsidRPr="00AA5F79" w:rsidRDefault="00D96D6F" w:rsidP="00477D6B">
    <w:pPr>
      <w:jc w:val="right"/>
      <w:rPr>
        <w:lang w:val="fr-FR"/>
      </w:rPr>
    </w:pPr>
    <w:r w:rsidRPr="00AA5F79">
      <w:rPr>
        <w:lang w:val="fr-FR"/>
      </w:rPr>
      <w:t>PCT/CTC/30</w:t>
    </w:r>
    <w:r>
      <w:rPr>
        <w:lang w:val="fr-FR"/>
      </w:rPr>
      <w:t>/15</w:t>
    </w:r>
  </w:p>
  <w:p w:rsidR="00D96D6F" w:rsidRPr="00AA5F79" w:rsidRDefault="00D96D6F" w:rsidP="00477D6B">
    <w:pPr>
      <w:jc w:val="right"/>
      <w:rPr>
        <w:lang w:val="fr-FR"/>
      </w:rPr>
    </w:pPr>
    <w:r w:rsidRPr="00AA5F79">
      <w:rPr>
        <w:lang w:val="fr-FR"/>
      </w:rPr>
      <w:t>Anex</w:t>
    </w:r>
    <w:r>
      <w:rPr>
        <w:lang w:val="fr-FR"/>
      </w:rPr>
      <w:t>o</w:t>
    </w:r>
    <w:r w:rsidRPr="00AA5F79">
      <w:rPr>
        <w:lang w:val="fr-FR"/>
      </w:rPr>
      <w:t xml:space="preserve">, </w:t>
    </w:r>
    <w:r>
      <w:rPr>
        <w:lang w:val="fr-FR"/>
      </w:rPr>
      <w:t>página</w:t>
    </w:r>
    <w:r w:rsidRPr="00AA5F79">
      <w:rPr>
        <w:lang w:val="fr-FR"/>
      </w:rPr>
      <w:t xml:space="preserve"> </w:t>
    </w:r>
    <w:r>
      <w:fldChar w:fldCharType="begin"/>
    </w:r>
    <w:r w:rsidRPr="00AA5F79">
      <w:rPr>
        <w:lang w:val="fr-FR"/>
      </w:rPr>
      <w:instrText xml:space="preserve"> PAGE  \* MERGEFORMAT </w:instrText>
    </w:r>
    <w:r>
      <w:fldChar w:fldCharType="separate"/>
    </w:r>
    <w:r w:rsidR="00EA15FF">
      <w:rPr>
        <w:noProof/>
        <w:lang w:val="fr-FR"/>
      </w:rPr>
      <w:t>2</w:t>
    </w:r>
    <w:r>
      <w:fldChar w:fldCharType="end"/>
    </w:r>
  </w:p>
  <w:p w:rsidR="00D96D6F" w:rsidRPr="00AA5F79" w:rsidRDefault="00D96D6F"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6F" w:rsidRDefault="00D96D6F" w:rsidP="00D96D6F">
    <w:pPr>
      <w:pStyle w:val="Header"/>
      <w:jc w:val="right"/>
    </w:pPr>
    <w:r>
      <w:t>PCT/CTC/30/15</w:t>
    </w:r>
  </w:p>
  <w:p w:rsidR="00D96D6F" w:rsidRDefault="00D96D6F" w:rsidP="00D96D6F">
    <w:pPr>
      <w:pStyle w:val="Header"/>
      <w:jc w:val="right"/>
    </w:pPr>
    <w:r>
      <w:t>ANEXO</w:t>
    </w:r>
  </w:p>
  <w:p w:rsidR="00D96D6F" w:rsidRDefault="00D96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43D1022"/>
    <w:multiLevelType w:val="hybridMultilevel"/>
    <w:tmpl w:val="26C0F032"/>
    <w:lvl w:ilvl="0" w:tplc="B8FE65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216577"/>
    <w:multiLevelType w:val="hybridMultilevel"/>
    <w:tmpl w:val="E97848D6"/>
    <w:lvl w:ilvl="0" w:tplc="B8FE6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21">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8"/>
  </w:num>
  <w:num w:numId="5">
    <w:abstractNumId w:val="1"/>
  </w:num>
  <w:num w:numId="6">
    <w:abstractNumId w:val="9"/>
  </w:num>
  <w:num w:numId="7">
    <w:abstractNumId w:val="20"/>
  </w:num>
  <w:num w:numId="8">
    <w:abstractNumId w:val="6"/>
  </w:num>
  <w:num w:numId="9">
    <w:abstractNumId w:val="10"/>
  </w:num>
  <w:num w:numId="10">
    <w:abstractNumId w:val="5"/>
  </w:num>
  <w:num w:numId="11">
    <w:abstractNumId w:val="4"/>
  </w:num>
  <w:num w:numId="12">
    <w:abstractNumId w:val="2"/>
  </w:num>
  <w:num w:numId="13">
    <w:abstractNumId w:val="21"/>
  </w:num>
  <w:num w:numId="14">
    <w:abstractNumId w:val="12"/>
  </w:num>
  <w:num w:numId="15">
    <w:abstractNumId w:val="8"/>
  </w:num>
  <w:num w:numId="16">
    <w:abstractNumId w:val="11"/>
  </w:num>
  <w:num w:numId="17">
    <w:abstractNumId w:val="15"/>
  </w:num>
  <w:num w:numId="18">
    <w:abstractNumId w:val="13"/>
  </w:num>
  <w:num w:numId="19">
    <w:abstractNumId w:val="14"/>
  </w:num>
  <w:num w:numId="20">
    <w:abstractNumId w:val="19"/>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10686"/>
    <w:rsid w:val="00026B25"/>
    <w:rsid w:val="000446C4"/>
    <w:rsid w:val="00052915"/>
    <w:rsid w:val="00076ABC"/>
    <w:rsid w:val="00085F33"/>
    <w:rsid w:val="0009380F"/>
    <w:rsid w:val="00095145"/>
    <w:rsid w:val="000A0517"/>
    <w:rsid w:val="000B3A1F"/>
    <w:rsid w:val="000E3BB3"/>
    <w:rsid w:val="000F5E56"/>
    <w:rsid w:val="000F69CD"/>
    <w:rsid w:val="001068A9"/>
    <w:rsid w:val="001362EE"/>
    <w:rsid w:val="00152CEA"/>
    <w:rsid w:val="00163500"/>
    <w:rsid w:val="0017339E"/>
    <w:rsid w:val="001832A6"/>
    <w:rsid w:val="00186D78"/>
    <w:rsid w:val="001A4C6A"/>
    <w:rsid w:val="001E62B5"/>
    <w:rsid w:val="001F44FD"/>
    <w:rsid w:val="002634C4"/>
    <w:rsid w:val="002672D2"/>
    <w:rsid w:val="002A26C0"/>
    <w:rsid w:val="002E0F47"/>
    <w:rsid w:val="002F4E68"/>
    <w:rsid w:val="00307A6F"/>
    <w:rsid w:val="003147D1"/>
    <w:rsid w:val="00317FB8"/>
    <w:rsid w:val="003221B0"/>
    <w:rsid w:val="00332857"/>
    <w:rsid w:val="00354007"/>
    <w:rsid w:val="00354647"/>
    <w:rsid w:val="00364C62"/>
    <w:rsid w:val="00377273"/>
    <w:rsid w:val="003845C1"/>
    <w:rsid w:val="00387287"/>
    <w:rsid w:val="00395F7A"/>
    <w:rsid w:val="00396AE9"/>
    <w:rsid w:val="00397820"/>
    <w:rsid w:val="003B3E01"/>
    <w:rsid w:val="003C20F0"/>
    <w:rsid w:val="003D58BE"/>
    <w:rsid w:val="003E48F1"/>
    <w:rsid w:val="003F347A"/>
    <w:rsid w:val="003F5AAE"/>
    <w:rsid w:val="00412898"/>
    <w:rsid w:val="00423E3E"/>
    <w:rsid w:val="00427AF4"/>
    <w:rsid w:val="00434F6F"/>
    <w:rsid w:val="004429B2"/>
    <w:rsid w:val="00445496"/>
    <w:rsid w:val="0045231F"/>
    <w:rsid w:val="00454791"/>
    <w:rsid w:val="0045694F"/>
    <w:rsid w:val="004647DA"/>
    <w:rsid w:val="0046793F"/>
    <w:rsid w:val="00477808"/>
    <w:rsid w:val="00477D6B"/>
    <w:rsid w:val="004A6C37"/>
    <w:rsid w:val="004A6F97"/>
    <w:rsid w:val="004C588E"/>
    <w:rsid w:val="004C72AE"/>
    <w:rsid w:val="004E297D"/>
    <w:rsid w:val="004E670A"/>
    <w:rsid w:val="00531B02"/>
    <w:rsid w:val="005332F0"/>
    <w:rsid w:val="0055013B"/>
    <w:rsid w:val="00563FF6"/>
    <w:rsid w:val="00571B99"/>
    <w:rsid w:val="0058187F"/>
    <w:rsid w:val="005866F7"/>
    <w:rsid w:val="005D24F2"/>
    <w:rsid w:val="00605827"/>
    <w:rsid w:val="006141CB"/>
    <w:rsid w:val="00627971"/>
    <w:rsid w:val="006511B7"/>
    <w:rsid w:val="00654BAA"/>
    <w:rsid w:val="00675021"/>
    <w:rsid w:val="00680540"/>
    <w:rsid w:val="0069533F"/>
    <w:rsid w:val="006A06C6"/>
    <w:rsid w:val="006C597E"/>
    <w:rsid w:val="006D3F80"/>
    <w:rsid w:val="00700272"/>
    <w:rsid w:val="007224C8"/>
    <w:rsid w:val="00794BE2"/>
    <w:rsid w:val="007A5581"/>
    <w:rsid w:val="007B5609"/>
    <w:rsid w:val="007B71FE"/>
    <w:rsid w:val="007D2978"/>
    <w:rsid w:val="007D781E"/>
    <w:rsid w:val="007E370D"/>
    <w:rsid w:val="007E663E"/>
    <w:rsid w:val="00813F8D"/>
    <w:rsid w:val="00815082"/>
    <w:rsid w:val="00817E91"/>
    <w:rsid w:val="0082283D"/>
    <w:rsid w:val="0088395E"/>
    <w:rsid w:val="008A66F4"/>
    <w:rsid w:val="008B0016"/>
    <w:rsid w:val="008B2CC1"/>
    <w:rsid w:val="008B7189"/>
    <w:rsid w:val="008E3632"/>
    <w:rsid w:val="008E45BB"/>
    <w:rsid w:val="008E6BD6"/>
    <w:rsid w:val="008F01DB"/>
    <w:rsid w:val="0090548A"/>
    <w:rsid w:val="0090731E"/>
    <w:rsid w:val="00912299"/>
    <w:rsid w:val="0092439F"/>
    <w:rsid w:val="00940C0E"/>
    <w:rsid w:val="00966A22"/>
    <w:rsid w:val="00972F03"/>
    <w:rsid w:val="009A0C8B"/>
    <w:rsid w:val="009B6241"/>
    <w:rsid w:val="009D07EA"/>
    <w:rsid w:val="009F3237"/>
    <w:rsid w:val="00A04DB3"/>
    <w:rsid w:val="00A143F2"/>
    <w:rsid w:val="00A16FC0"/>
    <w:rsid w:val="00A20C8F"/>
    <w:rsid w:val="00A239F9"/>
    <w:rsid w:val="00A32C9E"/>
    <w:rsid w:val="00A6032F"/>
    <w:rsid w:val="00AB613D"/>
    <w:rsid w:val="00AE7F20"/>
    <w:rsid w:val="00B16125"/>
    <w:rsid w:val="00B311F4"/>
    <w:rsid w:val="00B65A0A"/>
    <w:rsid w:val="00B66E1D"/>
    <w:rsid w:val="00B67CDC"/>
    <w:rsid w:val="00B72313"/>
    <w:rsid w:val="00B72D36"/>
    <w:rsid w:val="00B91F1F"/>
    <w:rsid w:val="00BA6FDE"/>
    <w:rsid w:val="00BC4164"/>
    <w:rsid w:val="00BD2DCC"/>
    <w:rsid w:val="00BE372F"/>
    <w:rsid w:val="00C418E7"/>
    <w:rsid w:val="00C46903"/>
    <w:rsid w:val="00C63FE0"/>
    <w:rsid w:val="00C72FEE"/>
    <w:rsid w:val="00C84AD2"/>
    <w:rsid w:val="00C90559"/>
    <w:rsid w:val="00C9573D"/>
    <w:rsid w:val="00C95D14"/>
    <w:rsid w:val="00C96B78"/>
    <w:rsid w:val="00CA2251"/>
    <w:rsid w:val="00CB1866"/>
    <w:rsid w:val="00CB22EF"/>
    <w:rsid w:val="00CD3504"/>
    <w:rsid w:val="00CF030E"/>
    <w:rsid w:val="00D12B81"/>
    <w:rsid w:val="00D1440D"/>
    <w:rsid w:val="00D52C3E"/>
    <w:rsid w:val="00D56C7C"/>
    <w:rsid w:val="00D640B8"/>
    <w:rsid w:val="00D71B4D"/>
    <w:rsid w:val="00D721EB"/>
    <w:rsid w:val="00D72A5D"/>
    <w:rsid w:val="00D86991"/>
    <w:rsid w:val="00D90289"/>
    <w:rsid w:val="00D93D55"/>
    <w:rsid w:val="00D949B9"/>
    <w:rsid w:val="00D96D6F"/>
    <w:rsid w:val="00DA1C35"/>
    <w:rsid w:val="00DC4C60"/>
    <w:rsid w:val="00DF0F55"/>
    <w:rsid w:val="00E0079A"/>
    <w:rsid w:val="00E051BE"/>
    <w:rsid w:val="00E444DA"/>
    <w:rsid w:val="00E45C84"/>
    <w:rsid w:val="00E467DE"/>
    <w:rsid w:val="00E47B75"/>
    <w:rsid w:val="00E504E5"/>
    <w:rsid w:val="00E6279D"/>
    <w:rsid w:val="00EA15FF"/>
    <w:rsid w:val="00EB20A3"/>
    <w:rsid w:val="00EB3EF4"/>
    <w:rsid w:val="00EB7A3E"/>
    <w:rsid w:val="00EC401A"/>
    <w:rsid w:val="00EF530A"/>
    <w:rsid w:val="00EF6622"/>
    <w:rsid w:val="00EF78A9"/>
    <w:rsid w:val="00F0310F"/>
    <w:rsid w:val="00F36616"/>
    <w:rsid w:val="00F4034F"/>
    <w:rsid w:val="00F46D3C"/>
    <w:rsid w:val="00F55408"/>
    <w:rsid w:val="00F66152"/>
    <w:rsid w:val="00F80845"/>
    <w:rsid w:val="00F84474"/>
    <w:rsid w:val="00FA0F0D"/>
    <w:rsid w:val="00FD4A62"/>
    <w:rsid w:val="00FD59D1"/>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Normal"/>
    <w:qFormat/>
    <w:rsid w:val="00395F7A"/>
    <w:pPr>
      <w:numPr>
        <w:numId w:val="22"/>
      </w:numPr>
      <w:suppressAutoHyphens/>
    </w:pPr>
    <w:rPr>
      <w:rFonts w:eastAsia="Times New Roman"/>
      <w:szCs w:val="24"/>
      <w:lang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Normal"/>
    <w:qFormat/>
    <w:rsid w:val="00395F7A"/>
    <w:pPr>
      <w:numPr>
        <w:numId w:val="22"/>
      </w:numPr>
      <w:suppressAutoHyphens/>
    </w:pPr>
    <w:rPr>
      <w:rFonts w:eastAsia="Times New Roman"/>
      <w:szCs w:val="24"/>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E9D6-CE36-4600-8748-E9D65EE6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3355</Words>
  <Characters>18429</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PCT/CTC/30/15</vt:lpstr>
      <vt:lpstr>PCT/CTC/30/6</vt:lpstr>
    </vt:vector>
  </TitlesOfParts>
  <Company>WIPO</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PCT/CTC/30/15</dc:title>
  <dc:subject>Extension of Appointment of the Japan Patent Office as an International Searching and Preliminary Examining Authority under the PCT</dc:subject>
  <dc:creator>CEVALLOS DUQUE Nilo</dc:creator>
  <cp:lastModifiedBy>MARLOW Thomas</cp:lastModifiedBy>
  <cp:revision>2</cp:revision>
  <dcterms:created xsi:type="dcterms:W3CDTF">2017-04-03T07:54:00Z</dcterms:created>
  <dcterms:modified xsi:type="dcterms:W3CDTF">2017-04-03T07:54:00Z</dcterms:modified>
</cp:coreProperties>
</file>