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4330DB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4330DB" w:rsidRDefault="00EC4E49" w:rsidP="00916EE2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330DB" w:rsidRDefault="00342BCC" w:rsidP="00916EE2">
            <w:pPr>
              <w:rPr>
                <w:lang w:val="es-ES"/>
              </w:rPr>
            </w:pPr>
            <w:r w:rsidRPr="004330DB">
              <w:rPr>
                <w:noProof/>
                <w:color w:val="808080"/>
                <w:lang w:eastAsia="en-US"/>
              </w:rPr>
              <w:drawing>
                <wp:inline distT="0" distB="0" distL="0" distR="0" wp14:anchorId="66684AC0" wp14:editId="4A089046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330DB" w:rsidRDefault="00342BCC" w:rsidP="00916EE2">
            <w:pPr>
              <w:jc w:val="right"/>
              <w:rPr>
                <w:lang w:val="es-ES"/>
              </w:rPr>
            </w:pPr>
            <w:r w:rsidRPr="004330DB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2CC1" w:rsidRPr="004330DB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330DB" w:rsidRDefault="00BD078D" w:rsidP="00A31735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4330DB">
              <w:rPr>
                <w:rFonts w:ascii="Arial Black" w:hAnsi="Arial Black"/>
                <w:caps/>
                <w:sz w:val="15"/>
                <w:lang w:val="es-ES"/>
              </w:rPr>
              <w:t>PCT/CTC/30/</w:t>
            </w:r>
            <w:bookmarkStart w:id="1" w:name="Code"/>
            <w:bookmarkEnd w:id="1"/>
            <w:r w:rsidR="00A31735" w:rsidRPr="004330DB">
              <w:rPr>
                <w:rFonts w:ascii="Arial Black" w:hAnsi="Arial Black"/>
                <w:caps/>
                <w:sz w:val="15"/>
                <w:lang w:val="es-ES"/>
              </w:rPr>
              <w:t>17</w:t>
            </w:r>
          </w:p>
        </w:tc>
      </w:tr>
      <w:tr w:rsidR="008B2CC1" w:rsidRPr="004330DB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330DB" w:rsidRDefault="008B2CC1" w:rsidP="00342BCC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4330DB">
              <w:rPr>
                <w:rFonts w:ascii="Arial Black" w:hAnsi="Arial Black"/>
                <w:caps/>
                <w:sz w:val="15"/>
                <w:lang w:val="es-ES"/>
              </w:rPr>
              <w:t xml:space="preserve">ORIGINAL: </w:t>
            </w:r>
            <w:bookmarkStart w:id="2" w:name="Original"/>
            <w:bookmarkEnd w:id="2"/>
            <w:r w:rsidR="00342BCC" w:rsidRPr="004330DB">
              <w:rPr>
                <w:rFonts w:ascii="Arial Black" w:hAnsi="Arial Black"/>
                <w:caps/>
                <w:sz w:val="15"/>
                <w:lang w:val="es-ES"/>
              </w:rPr>
              <w:t xml:space="preserve"> INGLÉS</w:t>
            </w:r>
          </w:p>
        </w:tc>
      </w:tr>
      <w:tr w:rsidR="008B2CC1" w:rsidRPr="004330DB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330DB" w:rsidRDefault="00342BCC" w:rsidP="00342BCC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4330DB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4330DB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Pr="004330DB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4330DB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3" w:name="Date"/>
            <w:bookmarkEnd w:id="3"/>
            <w:r w:rsidR="009F2A05" w:rsidRPr="004330DB">
              <w:rPr>
                <w:rFonts w:ascii="Arial Black" w:hAnsi="Arial Black"/>
                <w:caps/>
                <w:sz w:val="15"/>
                <w:lang w:val="es-ES"/>
              </w:rPr>
              <w:t>16</w:t>
            </w:r>
            <w:r w:rsidRPr="004330DB">
              <w:rPr>
                <w:rFonts w:ascii="Arial Black" w:hAnsi="Arial Black"/>
                <w:caps/>
                <w:sz w:val="15"/>
                <w:lang w:val="es-ES"/>
              </w:rPr>
              <w:t xml:space="preserve"> DE MARZO DE</w:t>
            </w:r>
            <w:r w:rsidR="00C650A4" w:rsidRPr="004330DB">
              <w:rPr>
                <w:rFonts w:ascii="Arial Black" w:hAnsi="Arial Black"/>
                <w:caps/>
                <w:sz w:val="15"/>
                <w:lang w:val="es-ES"/>
              </w:rPr>
              <w:t xml:space="preserve"> 2017</w:t>
            </w:r>
          </w:p>
        </w:tc>
      </w:tr>
    </w:tbl>
    <w:p w:rsidR="008B2CC1" w:rsidRPr="004330DB" w:rsidRDefault="008B2CC1" w:rsidP="008B2CC1">
      <w:pPr>
        <w:rPr>
          <w:lang w:val="es-ES"/>
        </w:rPr>
      </w:pPr>
    </w:p>
    <w:p w:rsidR="008B2CC1" w:rsidRPr="004330DB" w:rsidRDefault="008B2CC1" w:rsidP="008B2CC1">
      <w:pPr>
        <w:rPr>
          <w:lang w:val="es-ES"/>
        </w:rPr>
      </w:pPr>
    </w:p>
    <w:p w:rsidR="008B2CC1" w:rsidRPr="004330DB" w:rsidRDefault="008B2CC1" w:rsidP="008B2CC1">
      <w:pPr>
        <w:rPr>
          <w:lang w:val="es-ES"/>
        </w:rPr>
      </w:pPr>
    </w:p>
    <w:p w:rsidR="008B2CC1" w:rsidRPr="004330DB" w:rsidRDefault="008B2CC1" w:rsidP="008B2CC1">
      <w:pPr>
        <w:rPr>
          <w:lang w:val="es-ES"/>
        </w:rPr>
      </w:pPr>
    </w:p>
    <w:p w:rsidR="008B2CC1" w:rsidRPr="004330DB" w:rsidRDefault="008B2CC1" w:rsidP="008B2CC1">
      <w:pPr>
        <w:rPr>
          <w:lang w:val="es-ES"/>
        </w:rPr>
      </w:pPr>
    </w:p>
    <w:p w:rsidR="00342BCC" w:rsidRPr="004330DB" w:rsidRDefault="00342BCC" w:rsidP="00342BCC">
      <w:pPr>
        <w:rPr>
          <w:b/>
          <w:sz w:val="28"/>
          <w:szCs w:val="28"/>
          <w:lang w:val="es-ES"/>
        </w:rPr>
      </w:pPr>
      <w:r w:rsidRPr="004330DB">
        <w:rPr>
          <w:b/>
          <w:sz w:val="28"/>
          <w:szCs w:val="28"/>
          <w:lang w:val="es-ES"/>
        </w:rPr>
        <w:t>Tratado de Cooperación en materia de Patentes (PCT)</w:t>
      </w:r>
    </w:p>
    <w:p w:rsidR="00342BCC" w:rsidRPr="004330DB" w:rsidRDefault="00342BCC" w:rsidP="00342BCC">
      <w:pPr>
        <w:rPr>
          <w:b/>
          <w:sz w:val="28"/>
          <w:szCs w:val="28"/>
          <w:lang w:val="es-ES"/>
        </w:rPr>
      </w:pPr>
      <w:r w:rsidRPr="004330DB">
        <w:rPr>
          <w:b/>
          <w:sz w:val="28"/>
          <w:szCs w:val="28"/>
          <w:lang w:val="es-ES"/>
        </w:rPr>
        <w:t>Comité de Cooperación Técnica</w:t>
      </w:r>
    </w:p>
    <w:p w:rsidR="00342BCC" w:rsidRPr="004330DB" w:rsidRDefault="00342BCC" w:rsidP="00342BCC">
      <w:pPr>
        <w:rPr>
          <w:b/>
          <w:sz w:val="28"/>
          <w:szCs w:val="28"/>
          <w:lang w:val="es-ES"/>
        </w:rPr>
      </w:pPr>
    </w:p>
    <w:p w:rsidR="00342BCC" w:rsidRPr="004330DB" w:rsidRDefault="00342BCC" w:rsidP="00342BCC">
      <w:pPr>
        <w:rPr>
          <w:b/>
          <w:sz w:val="28"/>
          <w:szCs w:val="28"/>
          <w:lang w:val="es-ES"/>
        </w:rPr>
      </w:pPr>
    </w:p>
    <w:p w:rsidR="00342BCC" w:rsidRPr="004330DB" w:rsidRDefault="00342BCC" w:rsidP="00342BCC">
      <w:pPr>
        <w:rPr>
          <w:b/>
          <w:sz w:val="28"/>
          <w:szCs w:val="28"/>
          <w:lang w:val="es-ES"/>
        </w:rPr>
      </w:pPr>
      <w:r w:rsidRPr="004330DB">
        <w:rPr>
          <w:b/>
          <w:sz w:val="28"/>
          <w:szCs w:val="28"/>
          <w:lang w:val="es-ES"/>
        </w:rPr>
        <w:t>Trigésima sesión</w:t>
      </w:r>
    </w:p>
    <w:p w:rsidR="008B2CC1" w:rsidRPr="004330DB" w:rsidRDefault="00342BCC" w:rsidP="00342BCC">
      <w:pPr>
        <w:rPr>
          <w:b/>
          <w:sz w:val="24"/>
          <w:szCs w:val="24"/>
          <w:lang w:val="es-ES"/>
        </w:rPr>
      </w:pPr>
      <w:r w:rsidRPr="004330DB">
        <w:rPr>
          <w:b/>
          <w:sz w:val="28"/>
          <w:szCs w:val="28"/>
          <w:lang w:val="es-ES"/>
        </w:rPr>
        <w:t>Ginebra, 8 a 12 de mayo de 2017</w:t>
      </w:r>
    </w:p>
    <w:p w:rsidR="008B2CC1" w:rsidRPr="004330DB" w:rsidRDefault="008B2CC1" w:rsidP="008B2CC1">
      <w:pPr>
        <w:rPr>
          <w:lang w:val="es-ES"/>
        </w:rPr>
      </w:pPr>
    </w:p>
    <w:p w:rsidR="008B2CC1" w:rsidRPr="004330DB" w:rsidRDefault="008B2CC1" w:rsidP="008B2CC1">
      <w:pPr>
        <w:rPr>
          <w:lang w:val="es-ES"/>
        </w:rPr>
      </w:pPr>
    </w:p>
    <w:p w:rsidR="008B2CC1" w:rsidRPr="004330DB" w:rsidRDefault="008B2CC1" w:rsidP="008B2CC1">
      <w:pPr>
        <w:rPr>
          <w:lang w:val="es-ES"/>
        </w:rPr>
      </w:pPr>
    </w:p>
    <w:p w:rsidR="008B2CC1" w:rsidRPr="004330DB" w:rsidRDefault="00342BCC" w:rsidP="008B2CC1">
      <w:pPr>
        <w:rPr>
          <w:caps/>
          <w:sz w:val="24"/>
          <w:lang w:val="es-ES"/>
        </w:rPr>
      </w:pPr>
      <w:bookmarkStart w:id="4" w:name="TitleOfDoc"/>
      <w:bookmarkEnd w:id="4"/>
      <w:r w:rsidRPr="004330DB">
        <w:rPr>
          <w:caps/>
          <w:sz w:val="24"/>
          <w:lang w:val="es-ES"/>
        </w:rPr>
        <w:t>PRÓRROGA DE LA DESIGNACIÓN DEL</w:t>
      </w:r>
      <w:r w:rsidR="00C650A4" w:rsidRPr="004330DB">
        <w:rPr>
          <w:caps/>
          <w:sz w:val="24"/>
          <w:lang w:val="es-ES"/>
        </w:rPr>
        <w:t xml:space="preserve"> </w:t>
      </w:r>
      <w:r w:rsidR="00D456A6" w:rsidRPr="004330DB">
        <w:rPr>
          <w:caps/>
          <w:sz w:val="24"/>
          <w:lang w:val="es-ES"/>
        </w:rPr>
        <w:t>Servicio Federal de la Propiedad Intelectual de la Federación de Rusia</w:t>
      </w:r>
      <w:r w:rsidR="00C37C03" w:rsidRPr="004330DB">
        <w:rPr>
          <w:caps/>
          <w:sz w:val="24"/>
          <w:lang w:val="es-ES"/>
        </w:rPr>
        <w:t xml:space="preserve"> </w:t>
      </w:r>
      <w:r w:rsidRPr="004330DB">
        <w:rPr>
          <w:caps/>
          <w:sz w:val="24"/>
          <w:lang w:val="es-ES"/>
        </w:rPr>
        <w:t>EN CALIDAD DE Administración encargada de la búsqueda internacional y del examen preliminar internacional EN VIRTUD DEL PCT</w:t>
      </w:r>
    </w:p>
    <w:p w:rsidR="008B2CC1" w:rsidRPr="004330DB" w:rsidRDefault="008B2CC1" w:rsidP="008B2CC1">
      <w:pPr>
        <w:rPr>
          <w:lang w:val="es-ES"/>
        </w:rPr>
      </w:pPr>
    </w:p>
    <w:p w:rsidR="008B2CC1" w:rsidRPr="004330DB" w:rsidRDefault="004330DB" w:rsidP="008B2CC1">
      <w:pPr>
        <w:rPr>
          <w:i/>
          <w:lang w:val="es-ES"/>
        </w:rPr>
      </w:pPr>
      <w:bookmarkStart w:id="5" w:name="Prepared"/>
      <w:bookmarkEnd w:id="5"/>
      <w:r w:rsidRPr="004330DB">
        <w:rPr>
          <w:i/>
          <w:lang w:val="es-ES"/>
        </w:rPr>
        <w:t>Documento</w:t>
      </w:r>
      <w:r w:rsidR="00C650A4" w:rsidRPr="004330DB">
        <w:rPr>
          <w:i/>
          <w:lang w:val="es-ES"/>
        </w:rPr>
        <w:t xml:space="preserve"> </w:t>
      </w:r>
      <w:r w:rsidRPr="004330DB">
        <w:rPr>
          <w:i/>
          <w:lang w:val="es-ES"/>
        </w:rPr>
        <w:t>preparado</w:t>
      </w:r>
      <w:r w:rsidR="00DD0F33" w:rsidRPr="004330DB">
        <w:rPr>
          <w:i/>
          <w:lang w:val="es-ES"/>
        </w:rPr>
        <w:t xml:space="preserve"> por la Oficina Internacional</w:t>
      </w:r>
    </w:p>
    <w:p w:rsidR="00AC205C" w:rsidRPr="004330DB" w:rsidRDefault="00AC205C">
      <w:pPr>
        <w:rPr>
          <w:lang w:val="es-ES"/>
        </w:rPr>
      </w:pPr>
    </w:p>
    <w:p w:rsidR="000F5E56" w:rsidRPr="004330DB" w:rsidRDefault="000F5E56">
      <w:pPr>
        <w:rPr>
          <w:lang w:val="es-ES"/>
        </w:rPr>
      </w:pPr>
    </w:p>
    <w:p w:rsidR="002928D3" w:rsidRPr="004330DB" w:rsidRDefault="002928D3">
      <w:pPr>
        <w:rPr>
          <w:lang w:val="es-ES"/>
        </w:rPr>
      </w:pPr>
    </w:p>
    <w:p w:rsidR="002928D3" w:rsidRPr="004330DB" w:rsidRDefault="002928D3" w:rsidP="0053057A">
      <w:pPr>
        <w:rPr>
          <w:lang w:val="es-ES"/>
        </w:rPr>
      </w:pPr>
    </w:p>
    <w:p w:rsidR="005C40A3" w:rsidRPr="004330DB" w:rsidRDefault="00DD0F33" w:rsidP="007C4E55">
      <w:pPr>
        <w:pStyle w:val="ONUMFS"/>
        <w:rPr>
          <w:lang w:val="es-ES"/>
        </w:rPr>
      </w:pPr>
      <w:bookmarkStart w:id="6" w:name="_Ref447032909"/>
      <w:r w:rsidRPr="004330DB">
        <w:rPr>
          <w:lang w:val="es-ES"/>
        </w:rPr>
        <w:t xml:space="preserve">Todas las Administraciones internacionales existentes fueron designadas por la Asamblea de la Unión del PCT por un plazo que expirará el 31 diciembre de 2017.  </w:t>
      </w:r>
      <w:bookmarkEnd w:id="6"/>
      <w:r w:rsidRPr="004330DB">
        <w:rPr>
          <w:lang w:val="es-ES"/>
        </w:rPr>
        <w:t>Por consiguiente, en 2017 la Asamblea estará llamada a adoptar una decisión con respecto a la prórroga de la designación de cada una de las Administraciones internacionales existentes que aspiren a una prórroga de su designación, teniendo en cuenta la recomendación previamente solicitada a este Comité (véanse los Artículos 16.3)e) y 32.3) del PCT).  El documento PCT/CTC/30/INF/1 contiene más información sobre este proceso y sobre la función del Comité en el marco del mismo.</w:t>
      </w:r>
    </w:p>
    <w:p w:rsidR="005C40A3" w:rsidRPr="004330DB" w:rsidRDefault="00DD0F33" w:rsidP="007C4E55">
      <w:pPr>
        <w:pStyle w:val="ONUMFS"/>
        <w:rPr>
          <w:lang w:val="es-ES"/>
        </w:rPr>
      </w:pPr>
      <w:r w:rsidRPr="004330DB">
        <w:rPr>
          <w:lang w:val="es-ES"/>
        </w:rPr>
        <w:t>El</w:t>
      </w:r>
      <w:r w:rsidR="00A31735" w:rsidRPr="004330DB">
        <w:rPr>
          <w:lang w:val="es-ES"/>
        </w:rPr>
        <w:t> 7</w:t>
      </w:r>
      <w:r w:rsidRPr="004330DB">
        <w:rPr>
          <w:lang w:val="es-ES"/>
        </w:rPr>
        <w:t xml:space="preserve"> de marzo de</w:t>
      </w:r>
      <w:r w:rsidR="00AA5F79" w:rsidRPr="004330DB">
        <w:rPr>
          <w:lang w:val="es-ES"/>
        </w:rPr>
        <w:t xml:space="preserve"> 2017, </w:t>
      </w:r>
      <w:r w:rsidRPr="004330DB">
        <w:rPr>
          <w:lang w:val="es-ES"/>
        </w:rPr>
        <w:t xml:space="preserve">el Servicio Federal de la Propiedad Intelectual de la Federación de Rusia presentó una solicitud de </w:t>
      </w:r>
      <w:r w:rsidR="000B58B3" w:rsidRPr="004330DB">
        <w:rPr>
          <w:lang w:val="es-ES"/>
        </w:rPr>
        <w:t>prórroga</w:t>
      </w:r>
      <w:r w:rsidRPr="004330DB">
        <w:rPr>
          <w:lang w:val="es-ES"/>
        </w:rPr>
        <w:t xml:space="preserve"> de su designación en calidad de </w:t>
      </w:r>
      <w:r w:rsidR="000B58B3" w:rsidRPr="004330DB">
        <w:rPr>
          <w:lang w:val="es-ES"/>
        </w:rPr>
        <w:t>Administración encargada de la búsqueda internacional y Administración encargada del examen preliminar internacional en virtud del PCT.  Dicha solicitud se reproduce en el Anexo del presente documento.</w:t>
      </w:r>
    </w:p>
    <w:p w:rsidR="005C40A3" w:rsidRPr="004330DB" w:rsidRDefault="000B58B3" w:rsidP="007C4E55">
      <w:pPr>
        <w:pStyle w:val="ONUMFS"/>
        <w:ind w:left="5534"/>
        <w:rPr>
          <w:i/>
          <w:lang w:val="es-ES"/>
        </w:rPr>
      </w:pPr>
      <w:r w:rsidRPr="004330DB">
        <w:rPr>
          <w:i/>
          <w:lang w:val="es-ES"/>
        </w:rPr>
        <w:t>Se invita al Comité a dar su opinión sobre este asunto</w:t>
      </w:r>
      <w:r w:rsidR="00AA5F79" w:rsidRPr="004330DB">
        <w:rPr>
          <w:i/>
          <w:lang w:val="es-ES"/>
        </w:rPr>
        <w:t>.</w:t>
      </w:r>
    </w:p>
    <w:p w:rsidR="00AA5F79" w:rsidRPr="004330DB" w:rsidRDefault="00AA5F79" w:rsidP="00AA5F79">
      <w:pPr>
        <w:pStyle w:val="ONUME"/>
        <w:numPr>
          <w:ilvl w:val="0"/>
          <w:numId w:val="0"/>
        </w:numPr>
        <w:rPr>
          <w:lang w:val="es-ES"/>
        </w:rPr>
      </w:pPr>
    </w:p>
    <w:p w:rsidR="00AA5F79" w:rsidRPr="004330DB" w:rsidRDefault="00AA5F79" w:rsidP="00AA5F79">
      <w:pPr>
        <w:pStyle w:val="ONUME"/>
        <w:numPr>
          <w:ilvl w:val="0"/>
          <w:numId w:val="0"/>
        </w:numPr>
        <w:ind w:left="5533"/>
        <w:rPr>
          <w:lang w:val="es-ES"/>
        </w:rPr>
        <w:sectPr w:rsidR="00AA5F79" w:rsidRPr="004330DB" w:rsidSect="00C650A4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4330DB">
        <w:rPr>
          <w:lang w:val="es-ES"/>
        </w:rPr>
        <w:t>[</w:t>
      </w:r>
      <w:r w:rsidR="000B58B3" w:rsidRPr="004330DB">
        <w:rPr>
          <w:lang w:val="es-ES"/>
        </w:rPr>
        <w:t>Sigue el Anexo</w:t>
      </w:r>
      <w:r w:rsidRPr="004330DB">
        <w:rPr>
          <w:lang w:val="es-ES"/>
        </w:rPr>
        <w:t>]</w:t>
      </w:r>
    </w:p>
    <w:p w:rsidR="00D202A4" w:rsidRPr="004330DB" w:rsidRDefault="000B58B3" w:rsidP="00D202A4">
      <w:pPr>
        <w:pStyle w:val="ONUME"/>
        <w:numPr>
          <w:ilvl w:val="0"/>
          <w:numId w:val="0"/>
        </w:numPr>
        <w:jc w:val="center"/>
        <w:rPr>
          <w:caps/>
          <w:lang w:val="es-ES"/>
        </w:rPr>
      </w:pPr>
      <w:r w:rsidRPr="004330DB">
        <w:rPr>
          <w:caps/>
          <w:lang w:val="es-ES"/>
        </w:rPr>
        <w:lastRenderedPageBreak/>
        <w:t>SOLICITUD DE</w:t>
      </w:r>
      <w:r w:rsidR="00AA5F79" w:rsidRPr="004330DB">
        <w:rPr>
          <w:caps/>
          <w:lang w:val="es-ES"/>
        </w:rPr>
        <w:t xml:space="preserve"> </w:t>
      </w:r>
      <w:r w:rsidRPr="004330DB">
        <w:rPr>
          <w:caps/>
          <w:lang w:val="es-ES"/>
        </w:rPr>
        <w:t>PRÓRROGA DE LA DESIGNACIÓN DEL SERVICIO FEDERAL DE LA PROPIEDAD INTELECTUAL DE LA FEDERACIÓN DE RUSIA EN CALIDAD DE Administración encargada de la búsqueda internacional y del examen preliminar internacional EN VIRTUD DEL PCT</w:t>
      </w:r>
    </w:p>
    <w:p w:rsidR="00D202A4" w:rsidRPr="004330DB" w:rsidRDefault="00D202A4" w:rsidP="00D202A4">
      <w:pPr>
        <w:pStyle w:val="SectionHeading"/>
        <w:rPr>
          <w:lang w:val="es-ES"/>
        </w:rPr>
      </w:pPr>
      <w:r w:rsidRPr="004330DB">
        <w:rPr>
          <w:lang w:val="es-ES"/>
        </w:rPr>
        <w:t>1 – General</w:t>
      </w:r>
    </w:p>
    <w:p w:rsidR="00D202A4" w:rsidRPr="004330DB" w:rsidRDefault="00D202A4" w:rsidP="00D202A4">
      <w:pPr>
        <w:rPr>
          <w:rFonts w:eastAsia="Calibri"/>
          <w:b/>
          <w:bCs/>
          <w:lang w:val="es-ES"/>
        </w:rPr>
      </w:pPr>
      <w:r w:rsidRPr="004330DB">
        <w:rPr>
          <w:b/>
          <w:bCs/>
          <w:lang w:val="es-ES"/>
        </w:rPr>
        <w:t>N</w:t>
      </w:r>
      <w:r w:rsidR="006D777D" w:rsidRPr="004330DB">
        <w:rPr>
          <w:b/>
          <w:bCs/>
          <w:lang w:val="es-ES"/>
        </w:rPr>
        <w:t xml:space="preserve">ombre de la Oficina nacional u </w:t>
      </w:r>
      <w:r w:rsidR="004330DB" w:rsidRPr="004330DB">
        <w:rPr>
          <w:b/>
          <w:bCs/>
          <w:lang w:val="es-ES"/>
        </w:rPr>
        <w:t>organización</w:t>
      </w:r>
      <w:r w:rsidR="006D777D" w:rsidRPr="004330DB">
        <w:rPr>
          <w:b/>
          <w:bCs/>
          <w:lang w:val="es-ES"/>
        </w:rPr>
        <w:t xml:space="preserve"> </w:t>
      </w:r>
      <w:r w:rsidR="004330DB" w:rsidRPr="004330DB">
        <w:rPr>
          <w:b/>
          <w:bCs/>
          <w:lang w:val="es-ES"/>
        </w:rPr>
        <w:t>intergubernamental</w:t>
      </w:r>
      <w:r w:rsidR="006D777D" w:rsidRPr="004330DB">
        <w:rPr>
          <w:b/>
          <w:bCs/>
          <w:lang w:val="es-ES"/>
        </w:rPr>
        <w:t>:</w:t>
      </w:r>
    </w:p>
    <w:p w:rsidR="00D202A4" w:rsidRPr="004330DB" w:rsidRDefault="00D202A4" w:rsidP="00D202A4">
      <w:pPr>
        <w:autoSpaceDE w:val="0"/>
        <w:autoSpaceDN w:val="0"/>
        <w:adjustRightInd w:val="0"/>
        <w:spacing w:line="288" w:lineRule="auto"/>
        <w:jc w:val="both"/>
        <w:rPr>
          <w:szCs w:val="22"/>
          <w:lang w:val="es-ES" w:eastAsia="ru-RU"/>
        </w:rPr>
      </w:pPr>
      <w:r w:rsidRPr="004330DB">
        <w:rPr>
          <w:szCs w:val="22"/>
          <w:lang w:val="es-ES" w:eastAsia="ru-RU"/>
        </w:rPr>
        <w:t xml:space="preserve">Rospatent </w:t>
      </w:r>
      <w:r w:rsidR="006D777D" w:rsidRPr="004330DB">
        <w:rPr>
          <w:szCs w:val="22"/>
          <w:lang w:val="es-ES" w:eastAsia="ru-RU"/>
        </w:rPr>
        <w:t>–</w:t>
      </w:r>
      <w:r w:rsidRPr="004330DB">
        <w:rPr>
          <w:szCs w:val="22"/>
          <w:lang w:val="es-ES" w:eastAsia="ru-RU"/>
        </w:rPr>
        <w:t xml:space="preserve"> </w:t>
      </w:r>
      <w:r w:rsidR="006D777D" w:rsidRPr="004330DB">
        <w:rPr>
          <w:szCs w:val="22"/>
          <w:lang w:val="es-ES" w:eastAsia="ru-RU"/>
        </w:rPr>
        <w:t xml:space="preserve">Servicio </w:t>
      </w:r>
      <w:r w:rsidRPr="004330DB">
        <w:rPr>
          <w:szCs w:val="22"/>
          <w:lang w:val="es-ES" w:eastAsia="ru-RU"/>
        </w:rPr>
        <w:t xml:space="preserve">Federal </w:t>
      </w:r>
      <w:r w:rsidR="006D777D" w:rsidRPr="004330DB">
        <w:rPr>
          <w:szCs w:val="22"/>
          <w:lang w:val="es-ES" w:eastAsia="ru-RU"/>
        </w:rPr>
        <w:t>de la Propiedad Intelectual</w:t>
      </w:r>
    </w:p>
    <w:p w:rsidR="00D202A4" w:rsidRPr="004330DB" w:rsidRDefault="00D202A4" w:rsidP="00D202A4">
      <w:pPr>
        <w:rPr>
          <w:szCs w:val="22"/>
          <w:lang w:val="es-ES" w:eastAsia="en-US"/>
        </w:rPr>
      </w:pPr>
    </w:p>
    <w:p w:rsidR="00D202A4" w:rsidRPr="004330DB" w:rsidRDefault="006D777D" w:rsidP="00D202A4">
      <w:pPr>
        <w:rPr>
          <w:b/>
          <w:bCs/>
          <w:szCs w:val="22"/>
          <w:lang w:val="es-ES"/>
        </w:rPr>
      </w:pPr>
      <w:r w:rsidRPr="004330DB">
        <w:rPr>
          <w:b/>
          <w:bCs/>
          <w:szCs w:val="22"/>
          <w:lang w:val="es-ES"/>
        </w:rPr>
        <w:t>Período de sesiones de la Asamblea en el que se solicita la prórroga de la designación</w:t>
      </w:r>
      <w:r w:rsidR="00D202A4" w:rsidRPr="004330DB">
        <w:rPr>
          <w:b/>
          <w:bCs/>
          <w:szCs w:val="22"/>
          <w:lang w:val="es-ES"/>
        </w:rPr>
        <w:t>:</w:t>
      </w:r>
    </w:p>
    <w:p w:rsidR="00D202A4" w:rsidRPr="004330DB" w:rsidRDefault="00D202A4" w:rsidP="00D202A4">
      <w:pPr>
        <w:rPr>
          <w:b/>
          <w:bCs/>
          <w:szCs w:val="22"/>
          <w:lang w:val="es-ES"/>
        </w:rPr>
      </w:pPr>
      <w:r w:rsidRPr="004330DB">
        <w:rPr>
          <w:rFonts w:eastAsia="Calibri"/>
          <w:szCs w:val="22"/>
          <w:lang w:val="es-ES"/>
        </w:rPr>
        <w:t>PCT/A/49</w:t>
      </w:r>
    </w:p>
    <w:p w:rsidR="00D202A4" w:rsidRPr="004330DB" w:rsidRDefault="00D202A4" w:rsidP="00D202A4">
      <w:pPr>
        <w:rPr>
          <w:rFonts w:eastAsia="Calibri"/>
          <w:szCs w:val="22"/>
          <w:lang w:val="es-ES"/>
        </w:rPr>
      </w:pPr>
    </w:p>
    <w:p w:rsidR="00D202A4" w:rsidRPr="004330DB" w:rsidRDefault="004330DB" w:rsidP="00D202A4">
      <w:pPr>
        <w:rPr>
          <w:b/>
          <w:bCs/>
          <w:szCs w:val="22"/>
          <w:lang w:val="es-ES"/>
        </w:rPr>
      </w:pPr>
      <w:r w:rsidRPr="004330DB">
        <w:rPr>
          <w:b/>
          <w:bCs/>
          <w:szCs w:val="22"/>
          <w:lang w:val="es-ES"/>
        </w:rPr>
        <w:t>Información</w:t>
      </w:r>
      <w:r w:rsidR="00D202A4" w:rsidRPr="004330DB">
        <w:rPr>
          <w:b/>
          <w:bCs/>
          <w:szCs w:val="22"/>
          <w:lang w:val="es-ES"/>
        </w:rPr>
        <w:t xml:space="preserve"> </w:t>
      </w:r>
      <w:r w:rsidR="006D777D" w:rsidRPr="004330DB">
        <w:rPr>
          <w:b/>
          <w:bCs/>
          <w:szCs w:val="22"/>
          <w:lang w:val="es-ES"/>
        </w:rPr>
        <w:t xml:space="preserve">sobre </w:t>
      </w:r>
      <w:r w:rsidR="00700EAC" w:rsidRPr="004330DB">
        <w:rPr>
          <w:b/>
          <w:bCs/>
          <w:szCs w:val="22"/>
          <w:lang w:val="es-ES"/>
        </w:rPr>
        <w:t>la actividad como ISA/IPEA:</w:t>
      </w:r>
    </w:p>
    <w:p w:rsidR="00D202A4" w:rsidRPr="004330DB" w:rsidRDefault="00700EAC" w:rsidP="00D202A4">
      <w:pPr>
        <w:rPr>
          <w:bCs/>
          <w:szCs w:val="22"/>
          <w:lang w:val="es-ES"/>
        </w:rPr>
      </w:pPr>
      <w:r w:rsidRPr="004330DB">
        <w:rPr>
          <w:bCs/>
          <w:szCs w:val="22"/>
          <w:lang w:val="es-ES"/>
        </w:rPr>
        <w:t>Desde</w:t>
      </w:r>
      <w:r w:rsidR="00D202A4" w:rsidRPr="004330DB">
        <w:rPr>
          <w:bCs/>
          <w:szCs w:val="22"/>
          <w:lang w:val="es-ES"/>
        </w:rPr>
        <w:t xml:space="preserve"> 1978</w:t>
      </w:r>
    </w:p>
    <w:p w:rsidR="00D202A4" w:rsidRPr="004330DB" w:rsidRDefault="00D202A4" w:rsidP="00D202A4">
      <w:pPr>
        <w:pStyle w:val="SectionHeading"/>
        <w:rPr>
          <w:lang w:val="es-ES"/>
        </w:rPr>
      </w:pPr>
      <w:r w:rsidRPr="004330DB">
        <w:rPr>
          <w:lang w:val="es-ES"/>
        </w:rPr>
        <w:t xml:space="preserve">2 – </w:t>
      </w:r>
      <w:r w:rsidR="000B58B3" w:rsidRPr="004330DB">
        <w:rPr>
          <w:lang w:val="es-ES"/>
        </w:rPr>
        <w:t>CRITERIOS SUSTANTIVOS:  REQUISITOS MÍNIMOS PARA LAS ISA/IPEA</w:t>
      </w:r>
    </w:p>
    <w:p w:rsidR="00D202A4" w:rsidRPr="004330DB" w:rsidRDefault="00D202A4" w:rsidP="00D202A4">
      <w:pPr>
        <w:rPr>
          <w:lang w:val="es-ES"/>
        </w:rPr>
      </w:pPr>
    </w:p>
    <w:p w:rsidR="00D202A4" w:rsidRPr="004330DB" w:rsidRDefault="00D202A4" w:rsidP="00D202A4">
      <w:pPr>
        <w:pStyle w:val="SectionHeading"/>
        <w:rPr>
          <w:lang w:val="es-ES"/>
        </w:rPr>
      </w:pPr>
      <w:r w:rsidRPr="004330DB">
        <w:rPr>
          <w:lang w:val="es-ES"/>
        </w:rPr>
        <w:t xml:space="preserve">2.1 – </w:t>
      </w:r>
      <w:r w:rsidR="000B58B3" w:rsidRPr="004330DB">
        <w:rPr>
          <w:lang w:val="es-ES"/>
        </w:rPr>
        <w:t>CAPACIDAD DE BÚSQUEDA Y EXAMEN</w:t>
      </w:r>
    </w:p>
    <w:p w:rsidR="00D202A4" w:rsidRPr="004330DB" w:rsidRDefault="000B58B3" w:rsidP="00D202A4">
      <w:pPr>
        <w:rPr>
          <w:b/>
          <w:bCs/>
          <w:i/>
          <w:iCs/>
          <w:lang w:val="es-ES"/>
        </w:rPr>
      </w:pPr>
      <w:r w:rsidRPr="004330DB">
        <w:rPr>
          <w:b/>
          <w:bCs/>
          <w:i/>
          <w:iCs/>
          <w:lang w:val="es-ES"/>
        </w:rPr>
        <w:t>Reglas 36.1(i) y 63.1(i):  La Oficina nacional o la organización intergubernamental deberá tener, por lo menos, 100 empleados con plena dedicación, con calificaciones técnicas suficientes para efectuar las búsquedas</w:t>
      </w:r>
    </w:p>
    <w:p w:rsidR="00D202A4" w:rsidRPr="004330DB" w:rsidRDefault="00D202A4" w:rsidP="00D202A4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4"/>
          <w:szCs w:val="24"/>
          <w:highlight w:val="yellow"/>
          <w:lang w:val="es-ES" w:eastAsia="ru-RU"/>
        </w:rPr>
      </w:pPr>
    </w:p>
    <w:p w:rsidR="00D202A4" w:rsidRPr="004330DB" w:rsidRDefault="00D202A4" w:rsidP="00897A57">
      <w:pPr>
        <w:autoSpaceDE w:val="0"/>
        <w:autoSpaceDN w:val="0"/>
        <w:adjustRightInd w:val="0"/>
        <w:rPr>
          <w:szCs w:val="22"/>
          <w:lang w:val="es-ES" w:eastAsia="en-US"/>
        </w:rPr>
      </w:pPr>
      <w:r w:rsidRPr="004330DB">
        <w:rPr>
          <w:szCs w:val="22"/>
          <w:lang w:val="es-ES" w:eastAsia="ru-RU"/>
        </w:rPr>
        <w:t xml:space="preserve">Rospatent </w:t>
      </w:r>
      <w:r w:rsidR="00700EAC" w:rsidRPr="004330DB">
        <w:rPr>
          <w:szCs w:val="22"/>
          <w:lang w:val="es-ES" w:eastAsia="ru-RU"/>
        </w:rPr>
        <w:t>cuenta entre su personal con un número suficiente de examinadores cualificados para la realización de la búsqueda y el examen</w:t>
      </w:r>
      <w:r w:rsidR="00120237" w:rsidRPr="004330DB">
        <w:rPr>
          <w:szCs w:val="22"/>
          <w:lang w:val="es-ES" w:eastAsia="ru-RU"/>
        </w:rPr>
        <w:t xml:space="preserve">, y prevé un número </w:t>
      </w:r>
      <w:r w:rsidR="004330DB" w:rsidRPr="004330DB">
        <w:rPr>
          <w:szCs w:val="22"/>
          <w:lang w:val="es-ES" w:eastAsia="ru-RU"/>
        </w:rPr>
        <w:t>suficiente</w:t>
      </w:r>
      <w:r w:rsidRPr="004330DB">
        <w:rPr>
          <w:szCs w:val="22"/>
          <w:lang w:val="es-ES" w:eastAsia="ru-RU"/>
        </w:rPr>
        <w:t xml:space="preserve"> </w:t>
      </w:r>
      <w:r w:rsidR="00120237" w:rsidRPr="004330DB">
        <w:rPr>
          <w:szCs w:val="22"/>
          <w:lang w:val="es-ES" w:eastAsia="ru-RU"/>
        </w:rPr>
        <w:t>de vacantes para ajustar el número de examinadores en función de los cambios en el volumen de trabajo y la materia de las solicitudes presentadas</w:t>
      </w:r>
      <w:r w:rsidR="00120237" w:rsidRPr="004330DB">
        <w:rPr>
          <w:szCs w:val="22"/>
          <w:lang w:val="es-ES"/>
        </w:rPr>
        <w:t>.</w:t>
      </w:r>
    </w:p>
    <w:p w:rsidR="00D202A4" w:rsidRPr="004330DB" w:rsidRDefault="00D4074F" w:rsidP="00897A57">
      <w:pPr>
        <w:autoSpaceDE w:val="0"/>
        <w:autoSpaceDN w:val="0"/>
        <w:adjustRightInd w:val="0"/>
        <w:rPr>
          <w:bCs/>
          <w:szCs w:val="22"/>
          <w:lang w:val="es-ES"/>
        </w:rPr>
      </w:pPr>
      <w:r w:rsidRPr="004330DB">
        <w:rPr>
          <w:color w:val="000000"/>
          <w:szCs w:val="22"/>
          <w:lang w:val="es-ES" w:eastAsia="ru-RU"/>
        </w:rPr>
        <w:t xml:space="preserve">Todos los examinadores </w:t>
      </w:r>
      <w:r w:rsidR="00D3126C" w:rsidRPr="004330DB">
        <w:rPr>
          <w:color w:val="000000"/>
          <w:szCs w:val="22"/>
          <w:lang w:val="es-ES" w:eastAsia="ru-RU"/>
        </w:rPr>
        <w:t>han cursado estudios</w:t>
      </w:r>
      <w:r w:rsidRPr="004330DB">
        <w:rPr>
          <w:color w:val="000000"/>
          <w:szCs w:val="22"/>
          <w:lang w:val="es-ES" w:eastAsia="ru-RU"/>
        </w:rPr>
        <w:t xml:space="preserve"> superior</w:t>
      </w:r>
      <w:r w:rsidR="00D3126C" w:rsidRPr="004330DB">
        <w:rPr>
          <w:color w:val="000000"/>
          <w:szCs w:val="22"/>
          <w:lang w:val="es-ES" w:eastAsia="ru-RU"/>
        </w:rPr>
        <w:t>es</w:t>
      </w:r>
      <w:r w:rsidR="00D202A4" w:rsidRPr="004330DB">
        <w:rPr>
          <w:color w:val="000000"/>
          <w:szCs w:val="22"/>
          <w:lang w:val="es-ES" w:eastAsia="ru-RU"/>
        </w:rPr>
        <w:t xml:space="preserve"> (</w:t>
      </w:r>
      <w:r w:rsidR="00D3126C" w:rsidRPr="004330DB">
        <w:rPr>
          <w:color w:val="000000"/>
          <w:szCs w:val="22"/>
          <w:lang w:val="es-ES" w:eastAsia="ru-RU"/>
        </w:rPr>
        <w:t xml:space="preserve">poseer un </w:t>
      </w:r>
      <w:r w:rsidRPr="004330DB">
        <w:rPr>
          <w:color w:val="000000"/>
          <w:szCs w:val="22"/>
          <w:lang w:val="es-ES" w:eastAsia="ru-RU"/>
        </w:rPr>
        <w:t xml:space="preserve">diploma de </w:t>
      </w:r>
      <w:r w:rsidR="00D202A4" w:rsidRPr="004330DB">
        <w:rPr>
          <w:color w:val="000000"/>
          <w:szCs w:val="22"/>
          <w:lang w:val="es-ES" w:eastAsia="ru-RU"/>
        </w:rPr>
        <w:t>posgrad</w:t>
      </w:r>
      <w:r w:rsidRPr="004330DB">
        <w:rPr>
          <w:color w:val="000000"/>
          <w:szCs w:val="22"/>
          <w:lang w:val="es-ES" w:eastAsia="ru-RU"/>
        </w:rPr>
        <w:t>o</w:t>
      </w:r>
      <w:r w:rsidR="00D202A4" w:rsidRPr="004330DB">
        <w:rPr>
          <w:color w:val="000000"/>
          <w:szCs w:val="22"/>
          <w:lang w:val="es-ES" w:eastAsia="ru-RU"/>
        </w:rPr>
        <w:t xml:space="preserve"> </w:t>
      </w:r>
      <w:r w:rsidR="00950B8A">
        <w:rPr>
          <w:color w:val="000000"/>
          <w:szCs w:val="22"/>
          <w:lang w:val="es-ES" w:eastAsia="ru-RU"/>
        </w:rPr>
        <w:t xml:space="preserve">constituye </w:t>
      </w:r>
      <w:r w:rsidR="00D3126C" w:rsidRPr="004330DB">
        <w:rPr>
          <w:color w:val="000000"/>
          <w:szCs w:val="22"/>
          <w:lang w:val="es-ES" w:eastAsia="ru-RU"/>
        </w:rPr>
        <w:t>una notable ventaja</w:t>
      </w:r>
      <w:r w:rsidR="00D202A4" w:rsidRPr="004330DB">
        <w:rPr>
          <w:szCs w:val="22"/>
          <w:lang w:val="es-ES" w:eastAsia="ru-RU"/>
        </w:rPr>
        <w:t>)</w:t>
      </w:r>
      <w:r w:rsidR="00D202A4" w:rsidRPr="004330DB">
        <w:rPr>
          <w:bCs/>
          <w:szCs w:val="22"/>
          <w:lang w:val="es-ES"/>
        </w:rPr>
        <w:t>.</w:t>
      </w:r>
    </w:p>
    <w:p w:rsidR="00D202A4" w:rsidRPr="004330DB" w:rsidRDefault="00D3126C" w:rsidP="00897A57">
      <w:pPr>
        <w:autoSpaceDE w:val="0"/>
        <w:autoSpaceDN w:val="0"/>
        <w:adjustRightInd w:val="0"/>
        <w:rPr>
          <w:i/>
          <w:szCs w:val="22"/>
          <w:lang w:val="es-ES"/>
        </w:rPr>
      </w:pPr>
      <w:r w:rsidRPr="004330DB">
        <w:rPr>
          <w:rStyle w:val="shorttext"/>
          <w:szCs w:val="22"/>
          <w:lang w:val="es-ES"/>
        </w:rPr>
        <w:t xml:space="preserve">A finales de 2016, el número de miembros del personal dedicados al examen que realizaban tareas relacionadas con la búsqueda </w:t>
      </w:r>
      <w:r w:rsidR="004330DB" w:rsidRPr="004330DB">
        <w:rPr>
          <w:szCs w:val="22"/>
          <w:lang w:val="es-ES" w:eastAsia="ru-RU"/>
        </w:rPr>
        <w:t>internacional</w:t>
      </w:r>
      <w:r w:rsidR="00D202A4" w:rsidRPr="004330DB">
        <w:rPr>
          <w:szCs w:val="22"/>
          <w:lang w:val="es-ES" w:eastAsia="ru-RU"/>
        </w:rPr>
        <w:t xml:space="preserve"> </w:t>
      </w:r>
      <w:r w:rsidRPr="004330DB">
        <w:rPr>
          <w:szCs w:val="22"/>
          <w:lang w:val="es-ES" w:eastAsia="ru-RU"/>
        </w:rPr>
        <w:t xml:space="preserve">y el examen preliminar </w:t>
      </w:r>
      <w:r w:rsidR="004330DB" w:rsidRPr="004330DB">
        <w:rPr>
          <w:szCs w:val="22"/>
          <w:lang w:val="es-ES" w:eastAsia="ru-RU"/>
        </w:rPr>
        <w:t>internacional</w:t>
      </w:r>
      <w:r w:rsidR="00D202A4" w:rsidRPr="004330DB">
        <w:rPr>
          <w:szCs w:val="22"/>
          <w:lang w:val="es-ES" w:eastAsia="ru-RU"/>
        </w:rPr>
        <w:t xml:space="preserve"> </w:t>
      </w:r>
      <w:r w:rsidRPr="004330DB">
        <w:rPr>
          <w:szCs w:val="22"/>
          <w:lang w:val="es-ES" w:eastAsia="ru-RU"/>
        </w:rPr>
        <w:t>ascendía a </w:t>
      </w:r>
      <w:r w:rsidR="00D202A4" w:rsidRPr="004330DB">
        <w:rPr>
          <w:szCs w:val="22"/>
          <w:lang w:val="es-ES" w:eastAsia="ru-RU"/>
        </w:rPr>
        <w:t>489</w:t>
      </w:r>
      <w:r w:rsidR="00D202A4" w:rsidRPr="004330DB">
        <w:rPr>
          <w:i/>
          <w:szCs w:val="22"/>
          <w:lang w:val="es-ES"/>
        </w:rPr>
        <w:t>.</w:t>
      </w:r>
    </w:p>
    <w:p w:rsidR="00D202A4" w:rsidRPr="004330DB" w:rsidRDefault="00D3126C" w:rsidP="00897A57">
      <w:pPr>
        <w:autoSpaceDE w:val="0"/>
        <w:autoSpaceDN w:val="0"/>
        <w:adjustRightInd w:val="0"/>
        <w:rPr>
          <w:i/>
          <w:szCs w:val="22"/>
          <w:lang w:val="es-ES"/>
        </w:rPr>
      </w:pPr>
      <w:r w:rsidRPr="004330DB">
        <w:rPr>
          <w:rStyle w:val="shorttext"/>
          <w:szCs w:val="22"/>
          <w:lang w:val="es-ES"/>
        </w:rPr>
        <w:t xml:space="preserve">Las tareas relacionadas con la búsqueda </w:t>
      </w:r>
      <w:r w:rsidRPr="004330DB">
        <w:rPr>
          <w:szCs w:val="22"/>
          <w:lang w:val="es-ES" w:eastAsia="ru-RU"/>
        </w:rPr>
        <w:t xml:space="preserve">y el examen preliminar </w:t>
      </w:r>
      <w:r w:rsidR="004330DB" w:rsidRPr="004330DB">
        <w:rPr>
          <w:szCs w:val="22"/>
          <w:lang w:val="es-ES" w:eastAsia="ru-RU"/>
        </w:rPr>
        <w:t>internacional</w:t>
      </w:r>
      <w:r w:rsidR="00950B8A">
        <w:rPr>
          <w:szCs w:val="22"/>
          <w:lang w:val="es-ES" w:eastAsia="ru-RU"/>
        </w:rPr>
        <w:t>es</w:t>
      </w:r>
      <w:r w:rsidRPr="004330DB">
        <w:rPr>
          <w:szCs w:val="22"/>
          <w:lang w:val="es-ES" w:eastAsia="ru-RU"/>
        </w:rPr>
        <w:t xml:space="preserve"> son objeto de supervisión</w:t>
      </w:r>
      <w:r w:rsidR="00950B8A">
        <w:rPr>
          <w:szCs w:val="22"/>
          <w:lang w:val="es-ES" w:eastAsia="ru-RU"/>
        </w:rPr>
        <w:t>,</w:t>
      </w:r>
      <w:r w:rsidRPr="004330DB">
        <w:rPr>
          <w:szCs w:val="22"/>
          <w:lang w:val="es-ES" w:eastAsia="ru-RU"/>
        </w:rPr>
        <w:t xml:space="preserve"> y los examinadores de la División de Cooperación en materia de Patentes (</w:t>
      </w:r>
      <w:r w:rsidR="00950B8A">
        <w:rPr>
          <w:szCs w:val="22"/>
          <w:lang w:val="es-ES" w:eastAsia="ru-RU"/>
        </w:rPr>
        <w:t xml:space="preserve">cuyo </w:t>
      </w:r>
      <w:r w:rsidRPr="004330DB">
        <w:rPr>
          <w:szCs w:val="22"/>
          <w:lang w:val="es-ES" w:eastAsia="ru-RU"/>
        </w:rPr>
        <w:t xml:space="preserve">personal </w:t>
      </w:r>
      <w:r w:rsidR="00950B8A">
        <w:rPr>
          <w:szCs w:val="22"/>
          <w:lang w:val="es-ES" w:eastAsia="ru-RU"/>
        </w:rPr>
        <w:t xml:space="preserve">está </w:t>
      </w:r>
      <w:r w:rsidRPr="004330DB">
        <w:rPr>
          <w:szCs w:val="22"/>
          <w:lang w:val="es-ES" w:eastAsia="ru-RU"/>
        </w:rPr>
        <w:t>compuesto por 12</w:t>
      </w:r>
      <w:r w:rsidRPr="004330DB">
        <w:rPr>
          <w:i/>
          <w:szCs w:val="22"/>
          <w:lang w:val="es-ES" w:eastAsia="ru-RU"/>
        </w:rPr>
        <w:t xml:space="preserve"> </w:t>
      </w:r>
      <w:r w:rsidR="004330DB" w:rsidRPr="004330DB">
        <w:rPr>
          <w:szCs w:val="22"/>
          <w:lang w:val="es-ES" w:eastAsia="ru-RU"/>
        </w:rPr>
        <w:t>examinadores</w:t>
      </w:r>
      <w:r w:rsidRPr="004330DB">
        <w:rPr>
          <w:szCs w:val="22"/>
          <w:lang w:val="es-ES"/>
        </w:rPr>
        <w:t xml:space="preserve">) </w:t>
      </w:r>
      <w:r w:rsidRPr="004330DB">
        <w:rPr>
          <w:szCs w:val="22"/>
          <w:lang w:val="es-ES" w:eastAsia="ru-RU"/>
        </w:rPr>
        <w:t>se encargan de supervisar la calidad de los informes</w:t>
      </w:r>
      <w:r w:rsidR="00D202A4" w:rsidRPr="004330DB">
        <w:rPr>
          <w:i/>
          <w:szCs w:val="22"/>
          <w:lang w:val="es-ES"/>
        </w:rPr>
        <w:t>.</w:t>
      </w:r>
    </w:p>
    <w:p w:rsidR="00D202A4" w:rsidRPr="004330DB" w:rsidRDefault="00D202A4" w:rsidP="00D202A4">
      <w:pPr>
        <w:rPr>
          <w:lang w:val="es-ES"/>
        </w:rPr>
      </w:pPr>
    </w:p>
    <w:p w:rsidR="00D202A4" w:rsidRPr="004330DB" w:rsidRDefault="000B58B3" w:rsidP="0040198B">
      <w:pPr>
        <w:rPr>
          <w:b/>
          <w:bCs/>
          <w:szCs w:val="22"/>
          <w:lang w:val="es-ES"/>
        </w:rPr>
      </w:pPr>
      <w:r w:rsidRPr="004330DB">
        <w:rPr>
          <w:b/>
          <w:bCs/>
          <w:szCs w:val="22"/>
          <w:lang w:val="es-ES"/>
        </w:rPr>
        <w:t>Número de empleados cualificados para realizar la búsqueda y el examen</w:t>
      </w:r>
    </w:p>
    <w:p w:rsidR="00D202A4" w:rsidRPr="004330DB" w:rsidRDefault="00D202A4" w:rsidP="0040198B">
      <w:pPr>
        <w:rPr>
          <w:rFonts w:ascii="Times New Roman" w:hAnsi="Times New Roman"/>
          <w:sz w:val="24"/>
          <w:szCs w:val="24"/>
          <w:lang w:val="es-E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1984"/>
      </w:tblGrid>
      <w:tr w:rsidR="00D202A4" w:rsidRPr="00101082" w:rsidTr="00D202A4">
        <w:trPr>
          <w:cantSplit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0B58B3" w:rsidP="0040198B">
            <w:pPr>
              <w:rPr>
                <w:b/>
                <w:bCs/>
                <w:szCs w:val="22"/>
                <w:lang w:val="es-ES"/>
              </w:rPr>
            </w:pPr>
            <w:r w:rsidRPr="004330DB">
              <w:rPr>
                <w:b/>
                <w:bCs/>
                <w:szCs w:val="22"/>
                <w:lang w:val="es-ES"/>
              </w:rPr>
              <w:t>Campo técnico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0B58B3" w:rsidP="0040198B">
            <w:pPr>
              <w:rPr>
                <w:b/>
                <w:bCs/>
                <w:szCs w:val="22"/>
                <w:lang w:val="es-ES"/>
              </w:rPr>
            </w:pPr>
            <w:r w:rsidRPr="004330DB">
              <w:rPr>
                <w:b/>
                <w:bCs/>
                <w:szCs w:val="22"/>
                <w:lang w:val="es-ES"/>
              </w:rPr>
              <w:t>Número</w:t>
            </w:r>
            <w:r w:rsidR="00D202A4" w:rsidRPr="004330DB">
              <w:rPr>
                <w:b/>
                <w:bCs/>
                <w:szCs w:val="22"/>
                <w:lang w:val="es-ES"/>
              </w:rPr>
              <w:t xml:space="preserve"> (equivalent</w:t>
            </w:r>
            <w:r w:rsidRPr="004330DB">
              <w:rPr>
                <w:b/>
                <w:bCs/>
                <w:szCs w:val="22"/>
                <w:lang w:val="es-ES"/>
              </w:rPr>
              <w:t>e de tiempo completo</w:t>
            </w:r>
            <w:r w:rsidR="00D202A4" w:rsidRPr="004330DB">
              <w:rPr>
                <w:b/>
                <w:bCs/>
                <w:szCs w:val="22"/>
                <w:lang w:val="es-ES"/>
              </w:rPr>
              <w:t xml:space="preserve">) </w:t>
            </w:r>
          </w:p>
        </w:tc>
      </w:tr>
      <w:tr w:rsidR="00D202A4" w:rsidRPr="004330DB" w:rsidTr="00D202A4">
        <w:trPr>
          <w:cantSplit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4330DB" w:rsidP="00D3126C">
            <w:pPr>
              <w:rPr>
                <w:szCs w:val="22"/>
                <w:highlight w:val="yellow"/>
                <w:lang w:val="es-ES"/>
              </w:rPr>
            </w:pPr>
            <w:r w:rsidRPr="004330DB">
              <w:rPr>
                <w:szCs w:val="22"/>
                <w:lang w:val="es-ES"/>
              </w:rPr>
              <w:t>Mecánica</w:t>
            </w:r>
            <w:r w:rsidR="00D202A4" w:rsidRPr="004330DB">
              <w:rPr>
                <w:szCs w:val="22"/>
                <w:lang w:val="es-ES"/>
              </w:rPr>
              <w:t xml:space="preserve"> (</w:t>
            </w:r>
            <w:r w:rsidR="00D3126C" w:rsidRPr="004330DB">
              <w:rPr>
                <w:szCs w:val="22"/>
                <w:lang w:val="es-ES"/>
              </w:rPr>
              <w:t>motores</w:t>
            </w:r>
            <w:r w:rsidR="00D202A4" w:rsidRPr="004330DB">
              <w:rPr>
                <w:szCs w:val="22"/>
                <w:lang w:val="es-ES"/>
              </w:rPr>
              <w:t xml:space="preserve">, </w:t>
            </w:r>
            <w:r w:rsidR="00D3126C" w:rsidRPr="004330DB">
              <w:rPr>
                <w:szCs w:val="22"/>
                <w:lang w:val="es-ES"/>
              </w:rPr>
              <w:t>máquinas-herramientas</w:t>
            </w:r>
            <w:r w:rsidR="00D202A4" w:rsidRPr="004330DB">
              <w:rPr>
                <w:szCs w:val="22"/>
                <w:lang w:val="es-ES"/>
              </w:rPr>
              <w:t xml:space="preserve">, </w:t>
            </w:r>
            <w:r w:rsidR="00D3126C" w:rsidRPr="004330DB">
              <w:rPr>
                <w:szCs w:val="22"/>
                <w:lang w:val="es-ES"/>
              </w:rPr>
              <w:t>transporte</w:t>
            </w:r>
            <w:r w:rsidR="00D202A4" w:rsidRPr="004330DB">
              <w:rPr>
                <w:szCs w:val="22"/>
                <w:lang w:val="es-ES"/>
              </w:rPr>
              <w:t xml:space="preserve">, </w:t>
            </w:r>
            <w:r w:rsidR="00D3126C" w:rsidRPr="004330DB">
              <w:rPr>
                <w:szCs w:val="22"/>
                <w:lang w:val="es-ES"/>
              </w:rPr>
              <w:t>ingeniería c</w:t>
            </w:r>
            <w:r w:rsidR="00D202A4" w:rsidRPr="004330DB">
              <w:rPr>
                <w:szCs w:val="22"/>
                <w:lang w:val="es-ES"/>
              </w:rPr>
              <w:t xml:space="preserve">ivil, etc.)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 w:rsidP="00D202A4">
            <w:pPr>
              <w:keepNext/>
              <w:keepLines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179</w:t>
            </w:r>
          </w:p>
        </w:tc>
      </w:tr>
      <w:tr w:rsidR="00D202A4" w:rsidRPr="004330DB" w:rsidTr="00D202A4">
        <w:trPr>
          <w:cantSplit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 w:rsidP="00387890">
            <w:pPr>
              <w:rPr>
                <w:szCs w:val="22"/>
                <w:highlight w:val="yellow"/>
                <w:lang w:val="es-ES"/>
              </w:rPr>
            </w:pPr>
            <w:r w:rsidRPr="004330DB">
              <w:rPr>
                <w:szCs w:val="22"/>
                <w:lang w:val="es-ES"/>
              </w:rPr>
              <w:t>Electric</w:t>
            </w:r>
            <w:r w:rsidR="00387890" w:rsidRPr="004330DB">
              <w:rPr>
                <w:szCs w:val="22"/>
                <w:lang w:val="es-ES"/>
              </w:rPr>
              <w:t>idad</w:t>
            </w:r>
            <w:r w:rsidRPr="004330DB">
              <w:rPr>
                <w:szCs w:val="22"/>
                <w:lang w:val="es-ES"/>
              </w:rPr>
              <w:t xml:space="preserve">, </w:t>
            </w:r>
            <w:r w:rsidR="00387890" w:rsidRPr="004330DB">
              <w:rPr>
                <w:szCs w:val="22"/>
                <w:lang w:val="es-ES"/>
              </w:rPr>
              <w:t>electrónica</w:t>
            </w:r>
            <w:r w:rsidRPr="004330DB">
              <w:rPr>
                <w:szCs w:val="22"/>
                <w:lang w:val="es-ES"/>
              </w:rPr>
              <w:t xml:space="preserve">, </w:t>
            </w:r>
            <w:r w:rsidR="00387890" w:rsidRPr="004330DB">
              <w:rPr>
                <w:szCs w:val="22"/>
                <w:lang w:val="es-ES"/>
              </w:rPr>
              <w:t>medición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 w:rsidP="00D202A4">
            <w:pPr>
              <w:keepNext/>
              <w:keepLines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98</w:t>
            </w:r>
          </w:p>
        </w:tc>
      </w:tr>
      <w:tr w:rsidR="00D202A4" w:rsidRPr="004330DB" w:rsidTr="00D202A4">
        <w:trPr>
          <w:cantSplit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387890" w:rsidP="00387890">
            <w:pPr>
              <w:rPr>
                <w:szCs w:val="22"/>
                <w:highlight w:val="yellow"/>
                <w:lang w:val="es-ES"/>
              </w:rPr>
            </w:pPr>
            <w:r w:rsidRPr="004330DB">
              <w:rPr>
                <w:szCs w:val="22"/>
                <w:lang w:val="es-ES"/>
              </w:rPr>
              <w:t>Química</w:t>
            </w:r>
            <w:r w:rsidR="00D202A4" w:rsidRPr="004330DB">
              <w:rPr>
                <w:szCs w:val="22"/>
                <w:lang w:val="es-ES"/>
              </w:rPr>
              <w:t xml:space="preserve">, </w:t>
            </w:r>
            <w:r w:rsidR="004330DB" w:rsidRPr="004330DB">
              <w:rPr>
                <w:szCs w:val="22"/>
                <w:lang w:val="es-ES"/>
              </w:rPr>
              <w:t>materiales</w:t>
            </w:r>
            <w:r w:rsidR="00D202A4" w:rsidRPr="004330DB">
              <w:rPr>
                <w:szCs w:val="22"/>
                <w:lang w:val="es-ES"/>
              </w:rPr>
              <w:t xml:space="preserve">, </w:t>
            </w:r>
            <w:r w:rsidRPr="004330DB">
              <w:rPr>
                <w:szCs w:val="22"/>
                <w:lang w:val="es-ES"/>
              </w:rPr>
              <w:t>metalurgia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 w:rsidP="00D202A4">
            <w:pPr>
              <w:keepNext/>
              <w:keepLines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122</w:t>
            </w:r>
          </w:p>
        </w:tc>
      </w:tr>
      <w:tr w:rsidR="00D202A4" w:rsidRPr="004330DB" w:rsidTr="00D202A4">
        <w:trPr>
          <w:cantSplit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387890" w:rsidP="00387890">
            <w:pPr>
              <w:rPr>
                <w:szCs w:val="22"/>
                <w:lang w:val="es-ES"/>
              </w:rPr>
            </w:pPr>
            <w:r w:rsidRPr="004330DB">
              <w:rPr>
                <w:iCs/>
                <w:szCs w:val="22"/>
                <w:lang w:val="es-ES"/>
              </w:rPr>
              <w:t>Tecnología médica</w:t>
            </w:r>
            <w:r w:rsidR="00D202A4" w:rsidRPr="004330DB">
              <w:rPr>
                <w:iCs/>
                <w:szCs w:val="22"/>
                <w:lang w:val="es-ES"/>
              </w:rPr>
              <w:t>,</w:t>
            </w:r>
            <w:r w:rsidR="00D202A4" w:rsidRPr="004330DB">
              <w:rPr>
                <w:szCs w:val="22"/>
                <w:lang w:val="es-ES"/>
              </w:rPr>
              <w:t xml:space="preserve"> </w:t>
            </w:r>
            <w:r w:rsidRPr="004330DB">
              <w:rPr>
                <w:szCs w:val="22"/>
                <w:lang w:val="es-ES"/>
              </w:rPr>
              <w:t>productos farmacéuticos</w:t>
            </w:r>
            <w:r w:rsidR="00D202A4" w:rsidRPr="004330DB">
              <w:rPr>
                <w:szCs w:val="22"/>
                <w:lang w:val="es-ES"/>
              </w:rPr>
              <w:t xml:space="preserve">, </w:t>
            </w:r>
            <w:r w:rsidRPr="004330DB">
              <w:rPr>
                <w:szCs w:val="22"/>
                <w:lang w:val="es-ES"/>
              </w:rPr>
              <w:t>biotecnología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 w:rsidP="00D202A4">
            <w:pPr>
              <w:keepNext/>
              <w:keepLines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90</w:t>
            </w:r>
          </w:p>
        </w:tc>
      </w:tr>
      <w:tr w:rsidR="00D202A4" w:rsidRPr="004330DB" w:rsidTr="00D202A4">
        <w:trPr>
          <w:cantSplit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 w:rsidP="00387890">
            <w:pPr>
              <w:rPr>
                <w:iCs/>
                <w:szCs w:val="22"/>
                <w:lang w:val="es-ES"/>
              </w:rPr>
            </w:pPr>
            <w:r w:rsidRPr="004330DB">
              <w:rPr>
                <w:iCs/>
                <w:szCs w:val="22"/>
                <w:lang w:val="es-ES"/>
              </w:rPr>
              <w:t>Ot</w:t>
            </w:r>
            <w:r w:rsidR="00387890" w:rsidRPr="004330DB">
              <w:rPr>
                <w:iCs/>
                <w:szCs w:val="22"/>
                <w:lang w:val="es-ES"/>
              </w:rPr>
              <w:t>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 w:rsidP="00D202A4">
            <w:pPr>
              <w:keepNext/>
              <w:keepLines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12</w:t>
            </w:r>
          </w:p>
        </w:tc>
      </w:tr>
      <w:tr w:rsidR="00D202A4" w:rsidRPr="004330DB" w:rsidTr="00D202A4">
        <w:trPr>
          <w:cantSplit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387890">
            <w:pPr>
              <w:rPr>
                <w:i/>
                <w:iCs/>
                <w:szCs w:val="22"/>
                <w:lang w:val="es-ES"/>
              </w:rPr>
            </w:pPr>
            <w:r w:rsidRPr="004330DB">
              <w:rPr>
                <w:i/>
                <w:iCs/>
                <w:szCs w:val="22"/>
                <w:lang w:val="es-ES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 w:rsidP="00D202A4">
            <w:pPr>
              <w:keepNext/>
              <w:keepLines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501</w:t>
            </w:r>
          </w:p>
        </w:tc>
      </w:tr>
    </w:tbl>
    <w:p w:rsidR="00D202A4" w:rsidRPr="004330DB" w:rsidRDefault="00D202A4" w:rsidP="00D202A4">
      <w:pPr>
        <w:rPr>
          <w:i/>
          <w:iCs/>
          <w:lang w:val="es-ES"/>
        </w:rPr>
      </w:pPr>
    </w:p>
    <w:p w:rsidR="00D202A4" w:rsidRPr="004330DB" w:rsidRDefault="00D202A4" w:rsidP="00D202A4">
      <w:pPr>
        <w:rPr>
          <w:b/>
          <w:bCs/>
          <w:i/>
          <w:color w:val="1F497D"/>
          <w:lang w:val="es-ES"/>
        </w:rPr>
      </w:pPr>
    </w:p>
    <w:p w:rsidR="00D202A4" w:rsidRPr="004330DB" w:rsidRDefault="00D202A4" w:rsidP="0040198B">
      <w:pPr>
        <w:rPr>
          <w:b/>
          <w:bCs/>
          <w:i/>
          <w:lang w:val="es-ES"/>
        </w:rPr>
      </w:pPr>
      <w:r w:rsidRPr="004330DB">
        <w:rPr>
          <w:b/>
          <w:bCs/>
          <w:i/>
          <w:lang w:val="es-ES"/>
        </w:rPr>
        <w:t>Re</w:t>
      </w:r>
      <w:r w:rsidR="000B58B3" w:rsidRPr="004330DB">
        <w:rPr>
          <w:b/>
          <w:bCs/>
          <w:i/>
          <w:lang w:val="es-ES"/>
        </w:rPr>
        <w:t>gla</w:t>
      </w:r>
      <w:r w:rsidRPr="004330DB">
        <w:rPr>
          <w:b/>
          <w:bCs/>
          <w:i/>
          <w:lang w:val="es-ES"/>
        </w:rPr>
        <w:t xml:space="preserve"> 36.1</w:t>
      </w:r>
      <w:r w:rsidR="000B58B3" w:rsidRPr="004330DB">
        <w:rPr>
          <w:b/>
          <w:bCs/>
          <w:i/>
          <w:lang w:val="es-ES"/>
        </w:rPr>
        <w:t>.</w:t>
      </w:r>
      <w:r w:rsidRPr="004330DB">
        <w:rPr>
          <w:b/>
          <w:bCs/>
          <w:i/>
          <w:lang w:val="es-ES"/>
        </w:rPr>
        <w:t xml:space="preserve">ii) </w:t>
      </w:r>
      <w:r w:rsidR="000B58B3" w:rsidRPr="004330DB">
        <w:rPr>
          <w:b/>
          <w:bCs/>
          <w:i/>
          <w:lang w:val="es-ES"/>
        </w:rPr>
        <w:t>Esa Oficina u organización deberá poseer, por lo menos, la documentación mínima mencionada en la Regla 34, o tener acceso a esa documentación mínima, la cual deberá estar ordenada en forma adecuada a los fines de la búsqueda y presentarse en papel, en microformato o en soporte electrónico</w:t>
      </w:r>
    </w:p>
    <w:p w:rsidR="00D202A4" w:rsidRPr="004330DB" w:rsidRDefault="00D202A4" w:rsidP="0040198B">
      <w:pPr>
        <w:rPr>
          <w:b/>
          <w:bCs/>
          <w:color w:val="1F497D"/>
          <w:lang w:val="es-ES"/>
        </w:rPr>
      </w:pPr>
    </w:p>
    <w:p w:rsidR="00D202A4" w:rsidRPr="004330DB" w:rsidRDefault="000B58B3" w:rsidP="0040198B">
      <w:pPr>
        <w:rPr>
          <w:b/>
          <w:bCs/>
          <w:lang w:val="es-ES"/>
        </w:rPr>
      </w:pPr>
      <w:r w:rsidRPr="004330DB">
        <w:rPr>
          <w:b/>
          <w:bCs/>
          <w:lang w:val="es-ES"/>
        </w:rPr>
        <w:t>Acceso a la documentación mínima para fines de búsqueda</w:t>
      </w:r>
      <w:r w:rsidR="00D202A4" w:rsidRPr="004330DB">
        <w:rPr>
          <w:b/>
          <w:bCs/>
          <w:lang w:val="es-ES"/>
        </w:rPr>
        <w:t>:</w:t>
      </w:r>
    </w:p>
    <w:p w:rsidR="00D202A4" w:rsidRPr="004330DB" w:rsidRDefault="00D202A4" w:rsidP="0040198B">
      <w:pPr>
        <w:rPr>
          <w:b/>
          <w:bCs/>
          <w:lang w:val="es-ES"/>
        </w:rPr>
      </w:pPr>
    </w:p>
    <w:p w:rsidR="00D202A4" w:rsidRPr="004330DB" w:rsidRDefault="00D202A4" w:rsidP="00D202A4">
      <w:pPr>
        <w:rPr>
          <w:lang w:val="es-ES"/>
        </w:rPr>
      </w:pPr>
      <w:r w:rsidRPr="004330DB">
        <w:rPr>
          <w:lang w:val="es-ES"/>
        </w:rPr>
        <w:t>(X)</w:t>
      </w:r>
      <w:r w:rsidRPr="004330DB">
        <w:rPr>
          <w:lang w:val="es-ES"/>
        </w:rPr>
        <w:tab/>
      </w:r>
      <w:r w:rsidR="000B58B3" w:rsidRPr="004330DB">
        <w:rPr>
          <w:lang w:val="es-ES"/>
        </w:rPr>
        <w:t>Acceso completo</w:t>
      </w:r>
    </w:p>
    <w:p w:rsidR="00D202A4" w:rsidRPr="004330DB" w:rsidRDefault="00D202A4" w:rsidP="00D202A4">
      <w:pPr>
        <w:rPr>
          <w:b/>
          <w:bCs/>
          <w:lang w:val="es-ES"/>
        </w:rPr>
      </w:pPr>
    </w:p>
    <w:p w:rsidR="00D202A4" w:rsidRPr="004330DB" w:rsidRDefault="000B58B3" w:rsidP="00D202A4">
      <w:pPr>
        <w:rPr>
          <w:lang w:val="es-ES"/>
        </w:rPr>
      </w:pPr>
      <w:r w:rsidRPr="004330DB">
        <w:rPr>
          <w:b/>
          <w:bCs/>
          <w:lang w:val="es-ES"/>
        </w:rPr>
        <w:t>Sistemas de búsqueda</w:t>
      </w:r>
      <w:r w:rsidR="00D202A4" w:rsidRPr="004330DB">
        <w:rPr>
          <w:bCs/>
          <w:lang w:val="es-ES"/>
        </w:rPr>
        <w:t>:</w:t>
      </w:r>
    </w:p>
    <w:p w:rsidR="00D202A4" w:rsidRPr="004330DB" w:rsidRDefault="00D202A4" w:rsidP="00D202A4">
      <w:pPr>
        <w:rPr>
          <w:lang w:val="es-ES"/>
        </w:rPr>
      </w:pPr>
      <w:r w:rsidRPr="004330DB">
        <w:rPr>
          <w:i/>
          <w:iCs/>
          <w:lang w:val="es-ES"/>
        </w:rPr>
        <w:t>[Indi</w:t>
      </w:r>
      <w:r w:rsidR="000B58B3" w:rsidRPr="004330DB">
        <w:rPr>
          <w:i/>
          <w:iCs/>
          <w:lang w:val="es-ES"/>
        </w:rPr>
        <w:t>que</w:t>
      </w:r>
      <w:r w:rsidRPr="004330DB">
        <w:rPr>
          <w:i/>
          <w:iCs/>
          <w:lang w:val="es-ES"/>
        </w:rPr>
        <w:t xml:space="preserve"> </w:t>
      </w:r>
      <w:r w:rsidR="000B58B3" w:rsidRPr="004330DB">
        <w:rPr>
          <w:i/>
          <w:lang w:val="es-ES"/>
        </w:rPr>
        <w:t>los sistemas informáticos o las colecciones de papel utilizados para la búsqueda de diferentes tipos de estado de la técnica]</w:t>
      </w:r>
    </w:p>
    <w:p w:rsidR="00D202A4" w:rsidRPr="004330DB" w:rsidRDefault="00D202A4" w:rsidP="00D202A4">
      <w:pPr>
        <w:autoSpaceDE w:val="0"/>
        <w:autoSpaceDN w:val="0"/>
        <w:adjustRightInd w:val="0"/>
        <w:spacing w:line="288" w:lineRule="auto"/>
        <w:jc w:val="both"/>
        <w:rPr>
          <w:lang w:val="es-ES"/>
        </w:rPr>
      </w:pPr>
    </w:p>
    <w:p w:rsidR="00D202A4" w:rsidRPr="004330DB" w:rsidRDefault="00AB4E82" w:rsidP="00897A57">
      <w:pPr>
        <w:autoSpaceDE w:val="0"/>
        <w:autoSpaceDN w:val="0"/>
        <w:adjustRightInd w:val="0"/>
        <w:jc w:val="both"/>
        <w:rPr>
          <w:szCs w:val="22"/>
          <w:lang w:val="es-ES"/>
        </w:rPr>
      </w:pPr>
      <w:r w:rsidRPr="004330DB">
        <w:rPr>
          <w:szCs w:val="22"/>
          <w:lang w:val="es-ES" w:eastAsia="ru-RU"/>
        </w:rPr>
        <w:t>Cada uno de los examinadores tiene acceso ilimitado desde su puesto de trabajo al sistema interno de búsqueda</w:t>
      </w:r>
      <w:r w:rsidR="00D202A4" w:rsidRPr="004330DB">
        <w:rPr>
          <w:szCs w:val="22"/>
          <w:lang w:val="es-ES" w:eastAsia="ru-RU"/>
        </w:rPr>
        <w:t xml:space="preserve"> PatSearch.  </w:t>
      </w:r>
      <w:r w:rsidR="00950B8A" w:rsidRPr="004330DB">
        <w:rPr>
          <w:szCs w:val="22"/>
          <w:lang w:val="es-ES" w:eastAsia="ru-RU"/>
        </w:rPr>
        <w:t xml:space="preserve">En </w:t>
      </w:r>
      <w:r w:rsidR="00950B8A">
        <w:rPr>
          <w:szCs w:val="22"/>
          <w:lang w:val="es-ES" w:eastAsia="ru-RU"/>
        </w:rPr>
        <w:t>ese</w:t>
      </w:r>
      <w:r w:rsidRPr="004330DB">
        <w:rPr>
          <w:szCs w:val="22"/>
          <w:lang w:val="es-ES" w:eastAsia="ru-RU"/>
        </w:rPr>
        <w:t xml:space="preserve"> sistema </w:t>
      </w:r>
      <w:r w:rsidR="00950B8A">
        <w:rPr>
          <w:szCs w:val="22"/>
          <w:lang w:val="es-ES" w:eastAsia="ru-RU"/>
        </w:rPr>
        <w:t xml:space="preserve">se carga </w:t>
      </w:r>
      <w:r w:rsidRPr="004330DB">
        <w:rPr>
          <w:szCs w:val="22"/>
          <w:lang w:val="es-ES" w:eastAsia="ru-RU"/>
        </w:rPr>
        <w:t xml:space="preserve">el texto completo de todos los documentos de </w:t>
      </w:r>
      <w:r w:rsidR="004330DB" w:rsidRPr="004330DB">
        <w:rPr>
          <w:szCs w:val="22"/>
          <w:lang w:val="es-ES" w:eastAsia="ru-RU"/>
        </w:rPr>
        <w:t>patente</w:t>
      </w:r>
      <w:r w:rsidR="00D202A4" w:rsidRPr="004330DB">
        <w:rPr>
          <w:szCs w:val="22"/>
          <w:lang w:val="es-ES" w:eastAsia="ru-RU"/>
        </w:rPr>
        <w:t xml:space="preserve"> </w:t>
      </w:r>
      <w:r w:rsidRPr="004330DB">
        <w:rPr>
          <w:szCs w:val="22"/>
          <w:lang w:val="es-ES" w:eastAsia="ru-RU"/>
        </w:rPr>
        <w:t>de la Unión Soviética y la Federación de Rusia, desde</w:t>
      </w:r>
      <w:r w:rsidR="00D202A4" w:rsidRPr="004330DB">
        <w:rPr>
          <w:szCs w:val="22"/>
          <w:lang w:val="es-ES" w:eastAsia="ru-RU"/>
        </w:rPr>
        <w:t xml:space="preserve"> 1924, </w:t>
      </w:r>
      <w:r w:rsidRPr="004330DB">
        <w:rPr>
          <w:szCs w:val="22"/>
          <w:lang w:val="es-ES" w:eastAsia="ru-RU"/>
        </w:rPr>
        <w:t xml:space="preserve">los documentos de </w:t>
      </w:r>
      <w:r w:rsidR="004330DB" w:rsidRPr="004330DB">
        <w:rPr>
          <w:szCs w:val="22"/>
          <w:lang w:val="es-ES" w:eastAsia="ru-RU"/>
        </w:rPr>
        <w:t>patente</w:t>
      </w:r>
      <w:r w:rsidR="00D202A4" w:rsidRPr="004330DB">
        <w:rPr>
          <w:szCs w:val="22"/>
          <w:lang w:val="es-ES" w:eastAsia="ru-RU"/>
        </w:rPr>
        <w:t xml:space="preserve"> </w:t>
      </w:r>
      <w:r w:rsidRPr="004330DB">
        <w:rPr>
          <w:szCs w:val="22"/>
          <w:lang w:val="es-ES" w:eastAsia="ru-RU"/>
        </w:rPr>
        <w:t>de los países de la CEI</w:t>
      </w:r>
      <w:r w:rsidR="00D202A4" w:rsidRPr="004330DB">
        <w:rPr>
          <w:szCs w:val="22"/>
          <w:lang w:val="es-ES" w:eastAsia="ru-RU"/>
        </w:rPr>
        <w:t xml:space="preserve">, </w:t>
      </w:r>
      <w:r w:rsidRPr="004330DB">
        <w:rPr>
          <w:szCs w:val="22"/>
          <w:lang w:val="es-ES" w:eastAsia="ru-RU"/>
        </w:rPr>
        <w:t xml:space="preserve">los </w:t>
      </w:r>
      <w:r w:rsidR="004330DB" w:rsidRPr="004330DB">
        <w:rPr>
          <w:szCs w:val="22"/>
          <w:lang w:val="es-ES" w:eastAsia="ru-RU"/>
        </w:rPr>
        <w:t>documentos</w:t>
      </w:r>
      <w:r w:rsidR="00D202A4" w:rsidRPr="004330DB">
        <w:rPr>
          <w:szCs w:val="22"/>
          <w:lang w:val="es-ES" w:eastAsia="ru-RU"/>
        </w:rPr>
        <w:t xml:space="preserve"> </w:t>
      </w:r>
      <w:r w:rsidRPr="004330DB">
        <w:rPr>
          <w:szCs w:val="22"/>
          <w:lang w:val="es-ES" w:eastAsia="ru-RU"/>
        </w:rPr>
        <w:t xml:space="preserve">de </w:t>
      </w:r>
      <w:r w:rsidR="004330DB" w:rsidRPr="004330DB">
        <w:rPr>
          <w:szCs w:val="22"/>
          <w:lang w:val="es-ES" w:eastAsia="ru-RU"/>
        </w:rPr>
        <w:t>patente</w:t>
      </w:r>
      <w:r w:rsidRPr="004330DB">
        <w:rPr>
          <w:szCs w:val="22"/>
          <w:lang w:val="es-ES" w:eastAsia="ru-RU"/>
        </w:rPr>
        <w:t xml:space="preserve"> de países extranjeros y organizaciones </w:t>
      </w:r>
      <w:r w:rsidR="004330DB" w:rsidRPr="004330DB">
        <w:rPr>
          <w:szCs w:val="22"/>
          <w:lang w:val="es-ES" w:eastAsia="ru-RU"/>
        </w:rPr>
        <w:t>internacionales</w:t>
      </w:r>
      <w:r w:rsidRPr="004330DB">
        <w:rPr>
          <w:szCs w:val="22"/>
          <w:lang w:val="es-ES" w:eastAsia="ru-RU"/>
        </w:rPr>
        <w:t xml:space="preserve"> cuya </w:t>
      </w:r>
      <w:r w:rsidR="004330DB" w:rsidRPr="004330DB">
        <w:rPr>
          <w:szCs w:val="22"/>
          <w:lang w:val="es-ES" w:eastAsia="ru-RU"/>
        </w:rPr>
        <w:t>documentación</w:t>
      </w:r>
      <w:r w:rsidR="00D202A4" w:rsidRPr="004330DB">
        <w:rPr>
          <w:szCs w:val="22"/>
          <w:lang w:val="es-ES" w:eastAsia="ru-RU"/>
        </w:rPr>
        <w:t xml:space="preserve"> </w:t>
      </w:r>
      <w:r w:rsidRPr="004330DB">
        <w:rPr>
          <w:szCs w:val="22"/>
          <w:lang w:val="es-ES" w:eastAsia="ru-RU"/>
        </w:rPr>
        <w:t>forma parte de la documentación mínima del</w:t>
      </w:r>
      <w:r w:rsidR="00D202A4" w:rsidRPr="004330DB">
        <w:rPr>
          <w:szCs w:val="22"/>
          <w:lang w:val="es-ES" w:eastAsia="ru-RU"/>
        </w:rPr>
        <w:t xml:space="preserve"> РСТ, </w:t>
      </w:r>
      <w:r w:rsidRPr="004330DB">
        <w:rPr>
          <w:szCs w:val="22"/>
          <w:lang w:val="es-ES" w:eastAsia="ru-RU"/>
        </w:rPr>
        <w:t xml:space="preserve">la base de datos </w:t>
      </w:r>
      <w:r w:rsidR="00D202A4" w:rsidRPr="004330DB">
        <w:rPr>
          <w:szCs w:val="22"/>
          <w:lang w:val="es-ES" w:eastAsia="ru-RU"/>
        </w:rPr>
        <w:t xml:space="preserve">DWPI.  </w:t>
      </w:r>
      <w:r w:rsidRPr="004330DB">
        <w:rPr>
          <w:szCs w:val="22"/>
          <w:lang w:val="es-ES" w:eastAsia="ru-RU"/>
        </w:rPr>
        <w:t>A través del sistema PatSearch, los examinadores tienen acceso a la biblioteca científica electrónica</w:t>
      </w:r>
      <w:r w:rsidR="00D202A4" w:rsidRPr="004330DB">
        <w:rPr>
          <w:szCs w:val="22"/>
          <w:lang w:val="es-ES" w:eastAsia="ru-RU"/>
        </w:rPr>
        <w:t xml:space="preserve"> eLibrary.ru</w:t>
      </w:r>
      <w:r w:rsidR="00D202A4" w:rsidRPr="004330DB">
        <w:rPr>
          <w:szCs w:val="22"/>
          <w:lang w:val="es-ES"/>
        </w:rPr>
        <w:t xml:space="preserve">., </w:t>
      </w:r>
      <w:r w:rsidR="00950B8A">
        <w:rPr>
          <w:szCs w:val="22"/>
          <w:lang w:val="es-ES"/>
        </w:rPr>
        <w:t>a</w:t>
      </w:r>
      <w:r w:rsidRPr="004330DB">
        <w:rPr>
          <w:szCs w:val="22"/>
          <w:lang w:val="es-ES"/>
        </w:rPr>
        <w:t xml:space="preserve">l sistema de búsqueda </w:t>
      </w:r>
      <w:r w:rsidR="00D202A4" w:rsidRPr="004330DB">
        <w:rPr>
          <w:szCs w:val="22"/>
          <w:lang w:val="es-ES"/>
        </w:rPr>
        <w:t xml:space="preserve">Espacenet </w:t>
      </w:r>
      <w:r w:rsidRPr="004330DB">
        <w:rPr>
          <w:szCs w:val="22"/>
          <w:lang w:val="es-ES"/>
        </w:rPr>
        <w:t>de la OEP</w:t>
      </w:r>
      <w:r w:rsidR="00D202A4" w:rsidRPr="004330DB">
        <w:rPr>
          <w:szCs w:val="22"/>
          <w:lang w:val="es-ES"/>
        </w:rPr>
        <w:t xml:space="preserve"> </w:t>
      </w:r>
      <w:r w:rsidRPr="004330DB">
        <w:rPr>
          <w:szCs w:val="22"/>
          <w:lang w:val="es-ES"/>
        </w:rPr>
        <w:t xml:space="preserve">y </w:t>
      </w:r>
      <w:r w:rsidR="00950B8A">
        <w:rPr>
          <w:szCs w:val="22"/>
          <w:lang w:val="es-ES"/>
        </w:rPr>
        <w:t xml:space="preserve">a </w:t>
      </w:r>
      <w:r w:rsidRPr="004330DB">
        <w:rPr>
          <w:szCs w:val="22"/>
          <w:lang w:val="es-ES"/>
        </w:rPr>
        <w:t>la base de datos europea</w:t>
      </w:r>
      <w:r w:rsidR="00D202A4" w:rsidRPr="004330DB">
        <w:rPr>
          <w:szCs w:val="22"/>
          <w:lang w:val="es-ES"/>
        </w:rPr>
        <w:t xml:space="preserve"> EMBL </w:t>
      </w:r>
      <w:r w:rsidRPr="004330DB">
        <w:rPr>
          <w:szCs w:val="22"/>
          <w:lang w:val="es-ES"/>
        </w:rPr>
        <w:t>de secuencias genéticas</w:t>
      </w:r>
      <w:r w:rsidR="00D202A4" w:rsidRPr="004330DB">
        <w:rPr>
          <w:szCs w:val="22"/>
          <w:lang w:val="es-ES"/>
        </w:rPr>
        <w:t>.</w:t>
      </w:r>
    </w:p>
    <w:p w:rsidR="00D202A4" w:rsidRPr="004330DB" w:rsidRDefault="00D202A4" w:rsidP="00897A57">
      <w:pPr>
        <w:autoSpaceDE w:val="0"/>
        <w:autoSpaceDN w:val="0"/>
        <w:adjustRightInd w:val="0"/>
        <w:jc w:val="both"/>
        <w:rPr>
          <w:szCs w:val="22"/>
          <w:lang w:val="es-ES"/>
        </w:rPr>
      </w:pPr>
    </w:p>
    <w:p w:rsidR="00D202A4" w:rsidRPr="004330DB" w:rsidRDefault="00AB4E82" w:rsidP="00897A57">
      <w:pPr>
        <w:autoSpaceDE w:val="0"/>
        <w:autoSpaceDN w:val="0"/>
        <w:adjustRightInd w:val="0"/>
        <w:jc w:val="both"/>
        <w:rPr>
          <w:strike/>
          <w:szCs w:val="22"/>
          <w:lang w:val="es-ES"/>
        </w:rPr>
      </w:pPr>
      <w:r w:rsidRPr="004330DB">
        <w:rPr>
          <w:szCs w:val="22"/>
          <w:lang w:val="es-ES" w:eastAsia="ru-RU"/>
        </w:rPr>
        <w:t xml:space="preserve">Los examinadores tienen acceso por </w:t>
      </w:r>
      <w:r w:rsidR="00D202A4" w:rsidRPr="004330DB">
        <w:rPr>
          <w:szCs w:val="22"/>
          <w:lang w:val="es-ES" w:eastAsia="ru-RU"/>
        </w:rPr>
        <w:t xml:space="preserve">Internet </w:t>
      </w:r>
      <w:r w:rsidR="00EC2FC0" w:rsidRPr="004330DB">
        <w:rPr>
          <w:szCs w:val="22"/>
          <w:lang w:val="es-ES" w:eastAsia="ru-RU"/>
        </w:rPr>
        <w:t>a recursos de búsqueda actualizados</w:t>
      </w:r>
      <w:r w:rsidR="00D202A4" w:rsidRPr="004330DB">
        <w:rPr>
          <w:szCs w:val="22"/>
          <w:lang w:val="es-ES" w:eastAsia="ru-RU"/>
        </w:rPr>
        <w:t xml:space="preserve">, </w:t>
      </w:r>
      <w:r w:rsidR="00EC2FC0" w:rsidRPr="004330DB">
        <w:rPr>
          <w:szCs w:val="22"/>
          <w:lang w:val="es-ES" w:eastAsia="ru-RU"/>
        </w:rPr>
        <w:t>por ejemplo, sitios</w:t>
      </w:r>
      <w:r w:rsidR="00D202A4" w:rsidRPr="004330DB">
        <w:rPr>
          <w:szCs w:val="22"/>
          <w:lang w:val="es-ES" w:eastAsia="ru-RU"/>
        </w:rPr>
        <w:t xml:space="preserve"> web </w:t>
      </w:r>
      <w:r w:rsidR="00EC2FC0" w:rsidRPr="004330DB">
        <w:rPr>
          <w:szCs w:val="22"/>
          <w:lang w:val="es-ES" w:eastAsia="ru-RU"/>
        </w:rPr>
        <w:t>de las oficinas de patentes extranjeras</w:t>
      </w:r>
      <w:r w:rsidR="00D202A4" w:rsidRPr="004330DB">
        <w:rPr>
          <w:szCs w:val="22"/>
          <w:lang w:val="es-ES" w:eastAsia="ru-RU"/>
        </w:rPr>
        <w:t xml:space="preserve"> (</w:t>
      </w:r>
      <w:r w:rsidR="00EC2FC0" w:rsidRPr="004330DB">
        <w:rPr>
          <w:szCs w:val="22"/>
          <w:lang w:val="es-ES" w:eastAsia="ru-RU"/>
        </w:rPr>
        <w:t>la OEP</w:t>
      </w:r>
      <w:r w:rsidR="00D202A4" w:rsidRPr="004330DB">
        <w:rPr>
          <w:szCs w:val="22"/>
          <w:lang w:val="es-ES" w:eastAsia="ru-RU"/>
        </w:rPr>
        <w:t xml:space="preserve">, </w:t>
      </w:r>
      <w:r w:rsidR="00EC2FC0" w:rsidRPr="004330DB">
        <w:rPr>
          <w:szCs w:val="22"/>
          <w:lang w:val="es-ES" w:eastAsia="ru-RU"/>
        </w:rPr>
        <w:t>las Oficinas de los EE.UU.</w:t>
      </w:r>
      <w:r w:rsidR="00D202A4" w:rsidRPr="004330DB">
        <w:rPr>
          <w:szCs w:val="22"/>
          <w:lang w:val="es-ES" w:eastAsia="ru-RU"/>
        </w:rPr>
        <w:t xml:space="preserve">, </w:t>
      </w:r>
      <w:r w:rsidR="00EC2FC0" w:rsidRPr="004330DB">
        <w:rPr>
          <w:szCs w:val="22"/>
          <w:lang w:val="es-ES" w:eastAsia="ru-RU"/>
        </w:rPr>
        <w:t>el Japón</w:t>
      </w:r>
      <w:r w:rsidR="00D202A4" w:rsidRPr="004330DB">
        <w:rPr>
          <w:szCs w:val="22"/>
          <w:lang w:val="es-ES" w:eastAsia="ru-RU"/>
        </w:rPr>
        <w:t xml:space="preserve">, </w:t>
      </w:r>
      <w:r w:rsidR="00EC2FC0" w:rsidRPr="004330DB">
        <w:rPr>
          <w:szCs w:val="22"/>
          <w:lang w:val="es-ES" w:eastAsia="ru-RU"/>
        </w:rPr>
        <w:t>la República de Corea</w:t>
      </w:r>
      <w:r w:rsidR="00D202A4" w:rsidRPr="004330DB">
        <w:rPr>
          <w:szCs w:val="22"/>
          <w:lang w:val="es-ES" w:eastAsia="ru-RU"/>
        </w:rPr>
        <w:t xml:space="preserve">, </w:t>
      </w:r>
      <w:r w:rsidR="00EC2FC0" w:rsidRPr="004330DB">
        <w:rPr>
          <w:szCs w:val="22"/>
          <w:lang w:val="es-ES" w:eastAsia="ru-RU"/>
        </w:rPr>
        <w:t>la OMPI</w:t>
      </w:r>
      <w:r w:rsidR="00D202A4" w:rsidRPr="004330DB">
        <w:rPr>
          <w:szCs w:val="22"/>
          <w:lang w:val="es-ES" w:eastAsia="ru-RU"/>
        </w:rPr>
        <w:t xml:space="preserve">, </w:t>
      </w:r>
      <w:r w:rsidR="00EC2FC0" w:rsidRPr="004330DB">
        <w:rPr>
          <w:szCs w:val="22"/>
          <w:lang w:val="es-ES" w:eastAsia="ru-RU"/>
        </w:rPr>
        <w:t>Alemania</w:t>
      </w:r>
      <w:r w:rsidR="00D202A4" w:rsidRPr="004330DB">
        <w:rPr>
          <w:szCs w:val="22"/>
          <w:lang w:val="es-ES" w:eastAsia="ru-RU"/>
        </w:rPr>
        <w:t>, etc.)</w:t>
      </w:r>
      <w:r w:rsidR="00D202A4" w:rsidRPr="004330DB">
        <w:rPr>
          <w:szCs w:val="22"/>
          <w:lang w:val="es-ES"/>
        </w:rPr>
        <w:t>.</w:t>
      </w:r>
    </w:p>
    <w:p w:rsidR="00D202A4" w:rsidRPr="004330DB" w:rsidRDefault="00AA705A" w:rsidP="00897A57">
      <w:pPr>
        <w:autoSpaceDE w:val="0"/>
        <w:autoSpaceDN w:val="0"/>
        <w:adjustRightInd w:val="0"/>
        <w:jc w:val="both"/>
        <w:rPr>
          <w:szCs w:val="22"/>
          <w:lang w:val="es-ES" w:eastAsia="ru-RU"/>
        </w:rPr>
      </w:pPr>
      <w:r w:rsidRPr="004330DB">
        <w:rPr>
          <w:szCs w:val="22"/>
          <w:lang w:val="es-ES" w:eastAsia="ru-RU"/>
        </w:rPr>
        <w:t xml:space="preserve">Los </w:t>
      </w:r>
      <w:r w:rsidR="000020B8" w:rsidRPr="004330DB">
        <w:rPr>
          <w:szCs w:val="22"/>
          <w:lang w:val="es-ES" w:eastAsia="ru-RU"/>
        </w:rPr>
        <w:t xml:space="preserve">examinadores tienen acceso asimismo a </w:t>
      </w:r>
      <w:r w:rsidRPr="004330DB">
        <w:rPr>
          <w:szCs w:val="22"/>
          <w:lang w:val="es-ES" w:eastAsia="ru-RU"/>
        </w:rPr>
        <w:t xml:space="preserve">sitios web que contienen información </w:t>
      </w:r>
      <w:r w:rsidR="000020B8" w:rsidRPr="004330DB">
        <w:rPr>
          <w:szCs w:val="22"/>
          <w:lang w:val="es-ES" w:eastAsia="ru-RU"/>
        </w:rPr>
        <w:t>distinta de la de patentes</w:t>
      </w:r>
      <w:r w:rsidR="00D202A4" w:rsidRPr="004330DB">
        <w:rPr>
          <w:szCs w:val="22"/>
          <w:lang w:val="es-ES" w:eastAsia="ru-RU"/>
        </w:rPr>
        <w:t xml:space="preserve">, </w:t>
      </w:r>
      <w:r w:rsidR="000020B8" w:rsidRPr="004330DB">
        <w:rPr>
          <w:szCs w:val="22"/>
          <w:lang w:val="es-ES" w:eastAsia="ru-RU"/>
        </w:rPr>
        <w:t>e</w:t>
      </w:r>
      <w:r w:rsidR="00D202A4" w:rsidRPr="004330DB">
        <w:rPr>
          <w:szCs w:val="22"/>
          <w:lang w:val="es-ES" w:eastAsia="ru-RU"/>
        </w:rPr>
        <w:t xml:space="preserve">n particular </w:t>
      </w:r>
      <w:r w:rsidR="000020B8" w:rsidRPr="004330DB">
        <w:rPr>
          <w:szCs w:val="22"/>
          <w:lang w:val="es-ES" w:eastAsia="ru-RU"/>
        </w:rPr>
        <w:t xml:space="preserve">la base de datos multidisciplinaria </w:t>
      </w:r>
      <w:r w:rsidR="00D202A4" w:rsidRPr="004330DB">
        <w:rPr>
          <w:i/>
          <w:szCs w:val="22"/>
          <w:lang w:val="es-ES" w:eastAsia="ru-RU"/>
        </w:rPr>
        <w:t>Science Direct</w:t>
      </w:r>
      <w:r w:rsidR="00D202A4" w:rsidRPr="004330DB">
        <w:rPr>
          <w:szCs w:val="22"/>
          <w:lang w:val="es-ES" w:eastAsia="ru-RU"/>
        </w:rPr>
        <w:t xml:space="preserve">, </w:t>
      </w:r>
      <w:r w:rsidR="00950B8A">
        <w:rPr>
          <w:szCs w:val="22"/>
          <w:lang w:val="es-ES" w:eastAsia="ru-RU"/>
        </w:rPr>
        <w:t xml:space="preserve">e información del ámbito de </w:t>
      </w:r>
      <w:r w:rsidR="000020B8" w:rsidRPr="004330DB">
        <w:rPr>
          <w:szCs w:val="22"/>
          <w:lang w:val="es-ES" w:eastAsia="ru-RU"/>
        </w:rPr>
        <w:t xml:space="preserve">la </w:t>
      </w:r>
      <w:r w:rsidR="00D202A4" w:rsidRPr="004330DB">
        <w:rPr>
          <w:szCs w:val="22"/>
          <w:lang w:val="es-ES" w:eastAsia="ru-RU"/>
        </w:rPr>
        <w:t>medicin</w:t>
      </w:r>
      <w:r w:rsidR="004330DB">
        <w:rPr>
          <w:szCs w:val="22"/>
          <w:lang w:val="es-ES" w:eastAsia="ru-RU"/>
        </w:rPr>
        <w:t>a</w:t>
      </w:r>
      <w:r w:rsidR="00D202A4" w:rsidRPr="004330DB">
        <w:rPr>
          <w:szCs w:val="22"/>
          <w:lang w:val="es-ES" w:eastAsia="ru-RU"/>
        </w:rPr>
        <w:t xml:space="preserve">, </w:t>
      </w:r>
      <w:r w:rsidR="000020B8" w:rsidRPr="004330DB">
        <w:rPr>
          <w:szCs w:val="22"/>
          <w:lang w:val="es-ES" w:eastAsia="ru-RU"/>
        </w:rPr>
        <w:t>los productos farmacéuticos</w:t>
      </w:r>
      <w:r w:rsidR="00D202A4" w:rsidRPr="004330DB">
        <w:rPr>
          <w:szCs w:val="22"/>
          <w:lang w:val="es-ES" w:eastAsia="ru-RU"/>
        </w:rPr>
        <w:t xml:space="preserve">, </w:t>
      </w:r>
      <w:r w:rsidR="000020B8" w:rsidRPr="004330DB">
        <w:rPr>
          <w:szCs w:val="22"/>
          <w:lang w:val="es-ES" w:eastAsia="ru-RU"/>
        </w:rPr>
        <w:t>la química y la biotecnología</w:t>
      </w:r>
      <w:r w:rsidR="00D202A4" w:rsidRPr="004330DB">
        <w:rPr>
          <w:szCs w:val="22"/>
          <w:lang w:val="es-ES" w:eastAsia="ru-RU"/>
        </w:rPr>
        <w:t xml:space="preserve"> (</w:t>
      </w:r>
      <w:r w:rsidR="000020B8" w:rsidRPr="004330DB">
        <w:rPr>
          <w:szCs w:val="22"/>
          <w:lang w:val="es-ES" w:eastAsia="ru-RU"/>
        </w:rPr>
        <w:t>por ejemplo</w:t>
      </w:r>
      <w:r w:rsidR="00D202A4" w:rsidRPr="004330DB">
        <w:rPr>
          <w:szCs w:val="22"/>
          <w:lang w:val="es-ES" w:eastAsia="ru-RU"/>
        </w:rPr>
        <w:t xml:space="preserve">, </w:t>
      </w:r>
      <w:r w:rsidR="000020B8" w:rsidRPr="004330DB">
        <w:rPr>
          <w:szCs w:val="22"/>
          <w:lang w:val="es-ES" w:eastAsia="ru-RU"/>
        </w:rPr>
        <w:t>la base de datos</w:t>
      </w:r>
      <w:r w:rsidR="00D202A4" w:rsidRPr="004330DB">
        <w:rPr>
          <w:szCs w:val="22"/>
          <w:lang w:val="es-ES" w:eastAsia="ru-RU"/>
        </w:rPr>
        <w:t xml:space="preserve"> MEDLINE, </w:t>
      </w:r>
      <w:r w:rsidR="000020B8" w:rsidRPr="004330DB">
        <w:rPr>
          <w:szCs w:val="22"/>
          <w:lang w:val="es-ES" w:eastAsia="ru-RU"/>
        </w:rPr>
        <w:t xml:space="preserve">las bases de datos sobre </w:t>
      </w:r>
      <w:r w:rsidR="004330DB" w:rsidRPr="004330DB">
        <w:rPr>
          <w:szCs w:val="22"/>
          <w:lang w:val="es-ES" w:eastAsia="ru-RU"/>
        </w:rPr>
        <w:t>biotecnología</w:t>
      </w:r>
      <w:r w:rsidR="00D202A4" w:rsidRPr="004330DB">
        <w:rPr>
          <w:szCs w:val="22"/>
          <w:lang w:val="es-ES" w:eastAsia="ru-RU"/>
        </w:rPr>
        <w:t xml:space="preserve"> </w:t>
      </w:r>
      <w:r w:rsidR="000020B8" w:rsidRPr="004330DB">
        <w:rPr>
          <w:szCs w:val="22"/>
          <w:lang w:val="es-ES" w:eastAsia="ru-RU"/>
        </w:rPr>
        <w:t>de la biblioteca nacional de medicina de los EE.UU. y el Instituto Europe</w:t>
      </w:r>
      <w:r w:rsidR="00D202A4" w:rsidRPr="004330DB">
        <w:rPr>
          <w:szCs w:val="22"/>
          <w:lang w:val="es-ES" w:eastAsia="ru-RU"/>
        </w:rPr>
        <w:t>o</w:t>
      </w:r>
      <w:r w:rsidR="000020B8" w:rsidRPr="004330DB">
        <w:rPr>
          <w:szCs w:val="22"/>
          <w:lang w:val="es-ES" w:eastAsia="ru-RU"/>
        </w:rPr>
        <w:t xml:space="preserve"> de bio</w:t>
      </w:r>
      <w:r w:rsidR="00D202A4" w:rsidRPr="004330DB">
        <w:rPr>
          <w:szCs w:val="22"/>
          <w:lang w:val="es-ES" w:eastAsia="ru-RU"/>
        </w:rPr>
        <w:t>inform</w:t>
      </w:r>
      <w:r w:rsidR="000020B8" w:rsidRPr="004330DB">
        <w:rPr>
          <w:szCs w:val="22"/>
          <w:lang w:val="es-ES" w:eastAsia="ru-RU"/>
        </w:rPr>
        <w:t>ática</w:t>
      </w:r>
      <w:r w:rsidR="00D202A4" w:rsidRPr="004330DB">
        <w:rPr>
          <w:szCs w:val="22"/>
          <w:lang w:val="es-ES" w:eastAsia="ru-RU"/>
        </w:rPr>
        <w:t>)</w:t>
      </w:r>
      <w:r w:rsidR="00C45681" w:rsidRPr="004330DB">
        <w:rPr>
          <w:szCs w:val="22"/>
          <w:lang w:val="es-ES" w:eastAsia="ru-RU"/>
        </w:rPr>
        <w:t>.</w:t>
      </w:r>
    </w:p>
    <w:p w:rsidR="00D202A4" w:rsidRPr="004330DB" w:rsidRDefault="00D202A4" w:rsidP="00D202A4">
      <w:pPr>
        <w:autoSpaceDE w:val="0"/>
        <w:autoSpaceDN w:val="0"/>
        <w:adjustRightInd w:val="0"/>
        <w:spacing w:line="264" w:lineRule="auto"/>
        <w:jc w:val="both"/>
        <w:rPr>
          <w:strike/>
          <w:szCs w:val="22"/>
          <w:lang w:val="es-ES"/>
        </w:rPr>
      </w:pPr>
    </w:p>
    <w:p w:rsidR="00D202A4" w:rsidRPr="004330DB" w:rsidRDefault="000020B8" w:rsidP="00897A57">
      <w:pPr>
        <w:autoSpaceDE w:val="0"/>
        <w:autoSpaceDN w:val="0"/>
        <w:adjustRightInd w:val="0"/>
        <w:jc w:val="both"/>
        <w:rPr>
          <w:color w:val="000000"/>
          <w:szCs w:val="22"/>
          <w:lang w:val="es-ES" w:eastAsia="ru-RU"/>
        </w:rPr>
      </w:pPr>
      <w:r w:rsidRPr="004330DB">
        <w:rPr>
          <w:color w:val="000000"/>
          <w:szCs w:val="22"/>
          <w:lang w:val="es-ES" w:eastAsia="ru-RU"/>
        </w:rPr>
        <w:t>Además de las bases de datos de acceso libre, antes mencionadas</w:t>
      </w:r>
      <w:r w:rsidR="00D202A4" w:rsidRPr="004330DB">
        <w:rPr>
          <w:color w:val="000000"/>
          <w:szCs w:val="22"/>
          <w:lang w:val="es-ES" w:eastAsia="ru-RU"/>
        </w:rPr>
        <w:t xml:space="preserve">, </w:t>
      </w:r>
      <w:r w:rsidRPr="004330DB">
        <w:rPr>
          <w:color w:val="000000"/>
          <w:szCs w:val="22"/>
          <w:lang w:val="es-ES" w:eastAsia="ru-RU"/>
        </w:rPr>
        <w:t>los examinadores tienen acceso a bases de datos</w:t>
      </w:r>
      <w:r w:rsidR="00D202A4" w:rsidRPr="004330DB">
        <w:rPr>
          <w:color w:val="000000"/>
          <w:szCs w:val="22"/>
          <w:lang w:val="es-ES" w:eastAsia="ru-RU"/>
        </w:rPr>
        <w:t xml:space="preserve"> </w:t>
      </w:r>
      <w:r w:rsidR="004330DB" w:rsidRPr="004330DB">
        <w:rPr>
          <w:color w:val="000000"/>
          <w:szCs w:val="22"/>
          <w:lang w:val="es-ES" w:eastAsia="ru-RU"/>
        </w:rPr>
        <w:t>comerciales</w:t>
      </w:r>
      <w:r w:rsidRPr="004330DB">
        <w:rPr>
          <w:color w:val="000000"/>
          <w:szCs w:val="22"/>
          <w:lang w:val="es-ES" w:eastAsia="ru-RU"/>
        </w:rPr>
        <w:t xml:space="preserve"> </w:t>
      </w:r>
      <w:r w:rsidR="00950B8A">
        <w:rPr>
          <w:color w:val="000000"/>
          <w:szCs w:val="22"/>
          <w:lang w:val="es-ES" w:eastAsia="ru-RU"/>
        </w:rPr>
        <w:t>de</w:t>
      </w:r>
      <w:r w:rsidRPr="004330DB">
        <w:rPr>
          <w:color w:val="000000"/>
          <w:szCs w:val="22"/>
          <w:lang w:val="es-ES" w:eastAsia="ru-RU"/>
        </w:rPr>
        <w:t xml:space="preserve"> la red internacional</w:t>
      </w:r>
      <w:r w:rsidR="00D202A4" w:rsidRPr="004330DB">
        <w:rPr>
          <w:color w:val="000000"/>
          <w:szCs w:val="22"/>
          <w:lang w:val="es-ES" w:eastAsia="ru-RU"/>
        </w:rPr>
        <w:t xml:space="preserve"> STN, </w:t>
      </w:r>
      <w:r w:rsidR="00200079" w:rsidRPr="004330DB">
        <w:rPr>
          <w:color w:val="000000"/>
          <w:szCs w:val="22"/>
          <w:lang w:val="es-ES" w:eastAsia="ru-RU"/>
        </w:rPr>
        <w:t xml:space="preserve">que abarcan tanto </w:t>
      </w:r>
      <w:r w:rsidR="00950B8A">
        <w:rPr>
          <w:color w:val="000000"/>
          <w:szCs w:val="22"/>
          <w:lang w:val="es-ES" w:eastAsia="ru-RU"/>
        </w:rPr>
        <w:t xml:space="preserve">la </w:t>
      </w:r>
      <w:r w:rsidR="00200079" w:rsidRPr="004330DB">
        <w:rPr>
          <w:color w:val="000000"/>
          <w:szCs w:val="22"/>
          <w:lang w:val="es-ES" w:eastAsia="ru-RU"/>
        </w:rPr>
        <w:t xml:space="preserve">literatura de patentes como </w:t>
      </w:r>
      <w:r w:rsidR="00950B8A">
        <w:rPr>
          <w:color w:val="000000"/>
          <w:szCs w:val="22"/>
          <w:lang w:val="es-ES" w:eastAsia="ru-RU"/>
        </w:rPr>
        <w:t xml:space="preserve">la </w:t>
      </w:r>
      <w:r w:rsidR="00200079" w:rsidRPr="004330DB">
        <w:rPr>
          <w:color w:val="000000"/>
          <w:szCs w:val="22"/>
          <w:lang w:val="es-ES" w:eastAsia="ru-RU"/>
        </w:rPr>
        <w:t>literatura distinta de la de patentes</w:t>
      </w:r>
      <w:r w:rsidR="00D202A4" w:rsidRPr="004330DB">
        <w:rPr>
          <w:color w:val="000000"/>
          <w:szCs w:val="22"/>
          <w:lang w:val="es-ES" w:eastAsia="ru-RU"/>
        </w:rPr>
        <w:t>;</w:t>
      </w:r>
      <w:r w:rsidR="00200079" w:rsidRPr="004330DB">
        <w:rPr>
          <w:color w:val="000000"/>
          <w:szCs w:val="22"/>
          <w:lang w:val="es-ES" w:eastAsia="ru-RU"/>
        </w:rPr>
        <w:t xml:space="preserve"> </w:t>
      </w:r>
      <w:r w:rsidR="00D202A4" w:rsidRPr="004330DB">
        <w:rPr>
          <w:szCs w:val="22"/>
          <w:lang w:val="es-ES" w:eastAsia="ru-RU"/>
        </w:rPr>
        <w:t xml:space="preserve"> </w:t>
      </w:r>
      <w:r w:rsidR="00200079" w:rsidRPr="004330DB">
        <w:rPr>
          <w:szCs w:val="22"/>
          <w:lang w:val="es-ES" w:eastAsia="ru-RU"/>
        </w:rPr>
        <w:t xml:space="preserve">y a la base de datos </w:t>
      </w:r>
      <w:r w:rsidR="00950B8A">
        <w:rPr>
          <w:szCs w:val="22"/>
          <w:lang w:val="es-ES" w:eastAsia="ru-RU"/>
        </w:rPr>
        <w:t xml:space="preserve">sobre </w:t>
      </w:r>
      <w:r w:rsidR="00950B8A" w:rsidRPr="004330DB">
        <w:rPr>
          <w:color w:val="000000"/>
          <w:szCs w:val="22"/>
          <w:lang w:val="es-ES" w:eastAsia="ru-RU"/>
        </w:rPr>
        <w:t xml:space="preserve">resúmenes </w:t>
      </w:r>
      <w:r w:rsidR="00200079" w:rsidRPr="004330DB">
        <w:rPr>
          <w:color w:val="000000"/>
          <w:szCs w:val="22"/>
          <w:lang w:val="es-ES" w:eastAsia="ru-RU"/>
        </w:rPr>
        <w:t>«RZ VINITI».</w:t>
      </w:r>
    </w:p>
    <w:p w:rsidR="00D202A4" w:rsidRPr="004330DB" w:rsidRDefault="00D202A4" w:rsidP="00897A57">
      <w:pPr>
        <w:autoSpaceDE w:val="0"/>
        <w:autoSpaceDN w:val="0"/>
        <w:adjustRightInd w:val="0"/>
        <w:jc w:val="both"/>
        <w:rPr>
          <w:color w:val="000000"/>
          <w:szCs w:val="22"/>
          <w:lang w:val="es-ES" w:eastAsia="ru-RU"/>
        </w:rPr>
      </w:pPr>
    </w:p>
    <w:p w:rsidR="00D202A4" w:rsidRPr="004330DB" w:rsidRDefault="00E55808" w:rsidP="00897A57">
      <w:pPr>
        <w:autoSpaceDE w:val="0"/>
        <w:autoSpaceDN w:val="0"/>
        <w:adjustRightInd w:val="0"/>
        <w:jc w:val="both"/>
        <w:rPr>
          <w:szCs w:val="22"/>
          <w:lang w:val="es-ES" w:eastAsia="en-US"/>
        </w:rPr>
      </w:pPr>
      <w:r w:rsidRPr="004330DB">
        <w:rPr>
          <w:szCs w:val="22"/>
          <w:lang w:val="es-ES" w:eastAsia="ru-RU"/>
        </w:rPr>
        <w:t xml:space="preserve">De ser </w:t>
      </w:r>
      <w:r w:rsidR="004330DB" w:rsidRPr="004330DB">
        <w:rPr>
          <w:szCs w:val="22"/>
          <w:lang w:val="es-ES" w:eastAsia="ru-RU"/>
        </w:rPr>
        <w:t>necesario</w:t>
      </w:r>
      <w:r w:rsidR="00D202A4" w:rsidRPr="004330DB">
        <w:rPr>
          <w:szCs w:val="22"/>
          <w:lang w:val="es-ES" w:eastAsia="ru-RU"/>
        </w:rPr>
        <w:t xml:space="preserve">, </w:t>
      </w:r>
      <w:r w:rsidRPr="004330DB">
        <w:rPr>
          <w:szCs w:val="22"/>
          <w:lang w:val="es-ES" w:eastAsia="ru-RU"/>
        </w:rPr>
        <w:t xml:space="preserve">la búsqueda automatizada puede completarse con una </w:t>
      </w:r>
      <w:r w:rsidR="004330DB" w:rsidRPr="004330DB">
        <w:rPr>
          <w:szCs w:val="22"/>
          <w:lang w:val="es-ES" w:eastAsia="ru-RU"/>
        </w:rPr>
        <w:t>búsqueda</w:t>
      </w:r>
      <w:r w:rsidRPr="004330DB">
        <w:rPr>
          <w:szCs w:val="22"/>
          <w:lang w:val="es-ES" w:eastAsia="ru-RU"/>
        </w:rPr>
        <w:t xml:space="preserve"> tradicional en las colecciones de patentes e</w:t>
      </w:r>
      <w:r w:rsidR="00D202A4" w:rsidRPr="004330DB">
        <w:rPr>
          <w:szCs w:val="22"/>
          <w:lang w:val="es-ES" w:eastAsia="ru-RU"/>
        </w:rPr>
        <w:t xml:space="preserve">n </w:t>
      </w:r>
      <w:r w:rsidR="004330DB" w:rsidRPr="004330DB">
        <w:rPr>
          <w:szCs w:val="22"/>
          <w:lang w:val="es-ES" w:eastAsia="ru-RU"/>
        </w:rPr>
        <w:t>papel</w:t>
      </w:r>
      <w:r w:rsidR="00D202A4" w:rsidRPr="004330DB">
        <w:rPr>
          <w:szCs w:val="22"/>
          <w:lang w:val="es-ES" w:eastAsia="ru-RU"/>
        </w:rPr>
        <w:t xml:space="preserve"> o</w:t>
      </w:r>
      <w:r w:rsidRPr="004330DB">
        <w:rPr>
          <w:szCs w:val="22"/>
          <w:lang w:val="es-ES" w:eastAsia="ru-RU"/>
        </w:rPr>
        <w:t xml:space="preserve"> en discos</w:t>
      </w:r>
      <w:r w:rsidR="00D202A4" w:rsidRPr="004330DB">
        <w:rPr>
          <w:szCs w:val="22"/>
          <w:lang w:val="es-ES" w:eastAsia="ru-RU"/>
        </w:rPr>
        <w:t xml:space="preserve"> </w:t>
      </w:r>
      <w:r w:rsidR="004330DB" w:rsidRPr="004330DB">
        <w:rPr>
          <w:szCs w:val="22"/>
          <w:lang w:val="es-ES" w:eastAsia="ru-RU"/>
        </w:rPr>
        <w:t>ópticos</w:t>
      </w:r>
      <w:r w:rsidR="00D202A4" w:rsidRPr="004330DB">
        <w:rPr>
          <w:szCs w:val="22"/>
          <w:lang w:val="es-ES" w:eastAsia="ru-RU"/>
        </w:rPr>
        <w:t xml:space="preserve"> </w:t>
      </w:r>
      <w:r w:rsidRPr="004330DB">
        <w:rPr>
          <w:szCs w:val="22"/>
          <w:lang w:val="es-ES" w:eastAsia="ru-RU"/>
        </w:rPr>
        <w:t>que están disponibles en la biblioteca técnica y de patentes de la Federación de Rusia</w:t>
      </w:r>
      <w:r w:rsidR="00D202A4" w:rsidRPr="004330DB">
        <w:rPr>
          <w:szCs w:val="22"/>
          <w:lang w:val="es-ES" w:eastAsia="ru-RU"/>
        </w:rPr>
        <w:t xml:space="preserve">.  </w:t>
      </w:r>
      <w:r w:rsidRPr="004330DB">
        <w:rPr>
          <w:szCs w:val="22"/>
          <w:lang w:val="es-ES" w:eastAsia="ru-RU"/>
        </w:rPr>
        <w:t xml:space="preserve">En el marco de acuerdos entre bibliotecas y de suministro de documentos electrónicos, los </w:t>
      </w:r>
      <w:r w:rsidR="004330DB" w:rsidRPr="004330DB">
        <w:rPr>
          <w:szCs w:val="22"/>
          <w:lang w:val="es-ES" w:eastAsia="ru-RU"/>
        </w:rPr>
        <w:t>examinadores</w:t>
      </w:r>
      <w:r w:rsidR="00D202A4" w:rsidRPr="004330DB">
        <w:rPr>
          <w:szCs w:val="22"/>
          <w:lang w:val="es-ES" w:eastAsia="ru-RU"/>
        </w:rPr>
        <w:t xml:space="preserve"> </w:t>
      </w:r>
      <w:r w:rsidRPr="004330DB">
        <w:rPr>
          <w:szCs w:val="22"/>
          <w:lang w:val="es-ES" w:eastAsia="ru-RU"/>
        </w:rPr>
        <w:t xml:space="preserve">tienen la posibilidad de </w:t>
      </w:r>
      <w:r w:rsidR="00950B8A">
        <w:rPr>
          <w:szCs w:val="22"/>
          <w:lang w:val="es-ES" w:eastAsia="ru-RU"/>
        </w:rPr>
        <w:t>consultar</w:t>
      </w:r>
      <w:r w:rsidRPr="004330DB">
        <w:rPr>
          <w:szCs w:val="22"/>
          <w:lang w:val="es-ES" w:eastAsia="ru-RU"/>
        </w:rPr>
        <w:t xml:space="preserve"> el material necesario de </w:t>
      </w:r>
      <w:r w:rsidR="00C1634E" w:rsidRPr="004330DB">
        <w:rPr>
          <w:szCs w:val="22"/>
          <w:lang w:val="es-ES" w:eastAsia="ru-RU"/>
        </w:rPr>
        <w:t xml:space="preserve">entre </w:t>
      </w:r>
      <w:r w:rsidRPr="004330DB">
        <w:rPr>
          <w:szCs w:val="22"/>
          <w:lang w:val="es-ES" w:eastAsia="ru-RU"/>
        </w:rPr>
        <w:t>la documentación distinta de la de patentes de las ocho bibliotecas más importantes de Moscú</w:t>
      </w:r>
      <w:r w:rsidR="00D202A4" w:rsidRPr="004330DB">
        <w:rPr>
          <w:szCs w:val="22"/>
          <w:lang w:val="es-ES" w:eastAsia="ru-RU"/>
        </w:rPr>
        <w:t>.</w:t>
      </w:r>
    </w:p>
    <w:p w:rsidR="00D202A4" w:rsidRPr="004330DB" w:rsidRDefault="00D202A4" w:rsidP="00D202A4">
      <w:pPr>
        <w:rPr>
          <w:b/>
          <w:bCs/>
          <w:color w:val="1F497D"/>
          <w:lang w:val="es-ES"/>
        </w:rPr>
      </w:pPr>
    </w:p>
    <w:p w:rsidR="008F36ED" w:rsidRPr="004330DB" w:rsidRDefault="008F36ED" w:rsidP="00D202A4">
      <w:pPr>
        <w:rPr>
          <w:b/>
          <w:bCs/>
          <w:color w:val="1F497D"/>
          <w:lang w:val="es-ES"/>
        </w:rPr>
      </w:pPr>
    </w:p>
    <w:p w:rsidR="00D202A4" w:rsidRPr="004330DB" w:rsidRDefault="000B58B3" w:rsidP="00D202A4">
      <w:pPr>
        <w:rPr>
          <w:b/>
          <w:bCs/>
          <w:i/>
          <w:lang w:val="es-ES"/>
        </w:rPr>
      </w:pPr>
      <w:r w:rsidRPr="004330DB">
        <w:rPr>
          <w:b/>
          <w:bCs/>
          <w:i/>
          <w:lang w:val="es-ES"/>
        </w:rPr>
        <w:t>Regla</w:t>
      </w:r>
      <w:r w:rsidR="00D202A4" w:rsidRPr="004330DB">
        <w:rPr>
          <w:b/>
          <w:bCs/>
          <w:i/>
          <w:lang w:val="es-ES"/>
        </w:rPr>
        <w:t xml:space="preserve"> 36.1</w:t>
      </w:r>
      <w:r w:rsidRPr="004330DB">
        <w:rPr>
          <w:b/>
          <w:bCs/>
          <w:i/>
          <w:lang w:val="es-ES"/>
        </w:rPr>
        <w:t>.</w:t>
      </w:r>
      <w:r w:rsidR="00D202A4" w:rsidRPr="004330DB">
        <w:rPr>
          <w:b/>
          <w:bCs/>
          <w:i/>
          <w:lang w:val="es-ES"/>
        </w:rPr>
        <w:t xml:space="preserve">iii) </w:t>
      </w:r>
      <w:r w:rsidRPr="004330DB">
        <w:rPr>
          <w:b/>
          <w:bCs/>
          <w:i/>
          <w:lang w:val="es-ES"/>
        </w:rPr>
        <w:t>esa Oficina u organización deberá disponer de un personal capacitado para proceder a la búsqueda en los sectores técnicos en los que deba realizarse la búsqueda y que posea los conocimientos lingüísticos necesarios para comprender, por lo menos, los idiomas en los que esté redactada o traducida la documentación mínima mencionada en la Regla 34</w:t>
      </w:r>
    </w:p>
    <w:p w:rsidR="00D202A4" w:rsidRPr="004330DB" w:rsidRDefault="00D202A4" w:rsidP="00D202A4">
      <w:pPr>
        <w:rPr>
          <w:b/>
          <w:bCs/>
          <w:color w:val="1F497D"/>
          <w:lang w:val="es-ES"/>
        </w:rPr>
      </w:pPr>
    </w:p>
    <w:p w:rsidR="00D202A4" w:rsidRPr="004330DB" w:rsidRDefault="000B58B3" w:rsidP="00D202A4">
      <w:pPr>
        <w:rPr>
          <w:b/>
          <w:bCs/>
          <w:lang w:val="es-ES"/>
        </w:rPr>
      </w:pPr>
      <w:r w:rsidRPr="004330DB">
        <w:rPr>
          <w:b/>
          <w:bCs/>
          <w:lang w:val="es-ES"/>
        </w:rPr>
        <w:t>Idioma</w:t>
      </w:r>
      <w:r w:rsidR="006D777D" w:rsidRPr="004330DB">
        <w:rPr>
          <w:b/>
          <w:bCs/>
          <w:lang w:val="es-ES"/>
        </w:rPr>
        <w:t>(</w:t>
      </w:r>
      <w:r w:rsidRPr="004330DB">
        <w:rPr>
          <w:b/>
          <w:bCs/>
          <w:lang w:val="es-ES"/>
        </w:rPr>
        <w:t>s</w:t>
      </w:r>
      <w:r w:rsidR="006D777D" w:rsidRPr="004330DB">
        <w:rPr>
          <w:b/>
          <w:bCs/>
          <w:lang w:val="es-ES"/>
        </w:rPr>
        <w:t>)</w:t>
      </w:r>
      <w:r w:rsidRPr="004330DB">
        <w:rPr>
          <w:b/>
          <w:bCs/>
          <w:lang w:val="es-ES"/>
        </w:rPr>
        <w:t xml:space="preserve"> en los que las solicitudes nacionales pueden ser presentadas y tramitadas</w:t>
      </w:r>
      <w:r w:rsidR="00D202A4" w:rsidRPr="004330DB">
        <w:rPr>
          <w:b/>
          <w:bCs/>
          <w:lang w:val="es-ES"/>
        </w:rPr>
        <w:t>:</w:t>
      </w:r>
    </w:p>
    <w:p w:rsidR="00D202A4" w:rsidRPr="004330DB" w:rsidRDefault="00D202A4" w:rsidP="00D202A4">
      <w:pPr>
        <w:rPr>
          <w:lang w:val="es-ES"/>
        </w:rPr>
      </w:pPr>
    </w:p>
    <w:p w:rsidR="00D202A4" w:rsidRPr="004330DB" w:rsidRDefault="00D202A4" w:rsidP="00D202A4">
      <w:pPr>
        <w:rPr>
          <w:szCs w:val="22"/>
          <w:lang w:val="es-ES"/>
        </w:rPr>
      </w:pPr>
      <w:r w:rsidRPr="004330DB">
        <w:rPr>
          <w:szCs w:val="22"/>
          <w:lang w:val="es-ES"/>
        </w:rPr>
        <w:t>Rus</w:t>
      </w:r>
      <w:r w:rsidR="000B58B3" w:rsidRPr="004330DB">
        <w:rPr>
          <w:szCs w:val="22"/>
          <w:lang w:val="es-ES"/>
        </w:rPr>
        <w:t>o</w:t>
      </w:r>
    </w:p>
    <w:p w:rsidR="00D202A4" w:rsidRPr="004330DB" w:rsidRDefault="00D202A4" w:rsidP="00D202A4">
      <w:pPr>
        <w:rPr>
          <w:lang w:val="es-ES"/>
        </w:rPr>
      </w:pPr>
    </w:p>
    <w:p w:rsidR="00D202A4" w:rsidRPr="004330DB" w:rsidRDefault="006D777D" w:rsidP="00477FEC">
      <w:pPr>
        <w:rPr>
          <w:lang w:val="es-ES"/>
        </w:rPr>
      </w:pPr>
      <w:r w:rsidRPr="004330DB">
        <w:rPr>
          <w:b/>
          <w:bCs/>
          <w:lang w:val="es-ES"/>
        </w:rPr>
        <w:t>Otros idiomas en los que un gran número de examinadores son competentes/</w:t>
      </w:r>
      <w:r w:rsidR="00950B8A" w:rsidRPr="004330DB">
        <w:rPr>
          <w:b/>
          <w:bCs/>
          <w:lang w:val="es-ES"/>
        </w:rPr>
        <w:t xml:space="preserve">servicios </w:t>
      </w:r>
      <w:r w:rsidRPr="004330DB">
        <w:rPr>
          <w:b/>
          <w:bCs/>
          <w:lang w:val="es-ES"/>
        </w:rPr>
        <w:t>disponibles de ayuda a la búsqueda y para la comprensión del estado de la técnica en otros idiomas</w:t>
      </w:r>
      <w:r w:rsidR="00D202A4" w:rsidRPr="004330DB">
        <w:rPr>
          <w:b/>
          <w:bCs/>
          <w:lang w:val="es-ES"/>
        </w:rPr>
        <w:t>:</w:t>
      </w:r>
    </w:p>
    <w:p w:rsidR="00D202A4" w:rsidRPr="004330DB" w:rsidRDefault="00D202A4" w:rsidP="00477FEC">
      <w:pPr>
        <w:rPr>
          <w:lang w:val="es-ES"/>
        </w:rPr>
      </w:pPr>
    </w:p>
    <w:p w:rsidR="00D202A4" w:rsidRPr="004330DB" w:rsidRDefault="00C1634E" w:rsidP="00477FEC">
      <w:pPr>
        <w:autoSpaceDE w:val="0"/>
        <w:autoSpaceDN w:val="0"/>
        <w:adjustRightInd w:val="0"/>
        <w:spacing w:line="264" w:lineRule="auto"/>
        <w:jc w:val="both"/>
        <w:rPr>
          <w:b/>
          <w:bCs/>
          <w:szCs w:val="22"/>
          <w:lang w:val="es-ES"/>
        </w:rPr>
      </w:pPr>
      <w:r w:rsidRPr="004330DB">
        <w:rPr>
          <w:szCs w:val="22"/>
          <w:lang w:val="es-ES" w:eastAsia="ru-RU"/>
        </w:rPr>
        <w:t xml:space="preserve">Todos los examinadores </w:t>
      </w:r>
      <w:r w:rsidR="00950B8A">
        <w:rPr>
          <w:szCs w:val="22"/>
          <w:lang w:val="es-ES" w:eastAsia="ru-RU"/>
        </w:rPr>
        <w:t>poseen un dominio</w:t>
      </w:r>
      <w:r w:rsidRPr="004330DB">
        <w:rPr>
          <w:szCs w:val="22"/>
          <w:lang w:val="es-ES" w:eastAsia="ru-RU"/>
        </w:rPr>
        <w:t xml:space="preserve"> de idiomas suficiente para efectuar la búsqueda y el examen</w:t>
      </w:r>
      <w:r w:rsidR="00D202A4" w:rsidRPr="004330DB">
        <w:rPr>
          <w:szCs w:val="22"/>
          <w:lang w:val="es-ES" w:eastAsia="ru-RU"/>
        </w:rPr>
        <w:t xml:space="preserve">, </w:t>
      </w:r>
      <w:r w:rsidRPr="004330DB">
        <w:rPr>
          <w:szCs w:val="22"/>
          <w:lang w:val="es-ES" w:eastAsia="ru-RU"/>
        </w:rPr>
        <w:t>principalmente, en inglés</w:t>
      </w:r>
      <w:r w:rsidR="00D202A4" w:rsidRPr="004330DB">
        <w:rPr>
          <w:bCs/>
          <w:szCs w:val="22"/>
          <w:lang w:val="es-ES"/>
        </w:rPr>
        <w:t xml:space="preserve">. </w:t>
      </w:r>
      <w:r w:rsidR="008F36ED" w:rsidRPr="004330DB">
        <w:rPr>
          <w:bCs/>
          <w:szCs w:val="22"/>
          <w:lang w:val="es-ES"/>
        </w:rPr>
        <w:t xml:space="preserve"> </w:t>
      </w:r>
      <w:r w:rsidRPr="004330DB">
        <w:rPr>
          <w:bCs/>
          <w:szCs w:val="22"/>
          <w:lang w:val="es-ES"/>
        </w:rPr>
        <w:t>Los examinadores tienen acceso al sistema de traducción automática</w:t>
      </w:r>
      <w:r w:rsidR="00D202A4" w:rsidRPr="004330DB">
        <w:rPr>
          <w:szCs w:val="22"/>
          <w:lang w:val="es-ES" w:eastAsia="ru-RU"/>
        </w:rPr>
        <w:t xml:space="preserve"> (PROMT Professional</w:t>
      </w:r>
      <w:r w:rsidR="008F36ED" w:rsidRPr="004330DB">
        <w:rPr>
          <w:szCs w:val="22"/>
          <w:lang w:val="es-ES" w:eastAsia="ru-RU"/>
        </w:rPr>
        <w:t xml:space="preserve"> </w:t>
      </w:r>
      <w:r w:rsidR="00D202A4" w:rsidRPr="004330DB">
        <w:rPr>
          <w:szCs w:val="22"/>
          <w:lang w:val="es-ES" w:eastAsia="ru-RU"/>
        </w:rPr>
        <w:t xml:space="preserve">11.0). </w:t>
      </w:r>
      <w:r w:rsidR="008F36ED" w:rsidRPr="004330DB">
        <w:rPr>
          <w:szCs w:val="22"/>
          <w:lang w:val="es-ES" w:eastAsia="ru-RU"/>
        </w:rPr>
        <w:t xml:space="preserve"> </w:t>
      </w:r>
      <w:r w:rsidRPr="004330DB">
        <w:rPr>
          <w:szCs w:val="22"/>
          <w:lang w:val="es-ES" w:eastAsia="ru-RU"/>
        </w:rPr>
        <w:t>La Oficina cuenta con un grupo de traductores de idiomas europeos que pueden ayudar a los examinadores a entender los documentos consultados</w:t>
      </w:r>
      <w:r w:rsidR="00D202A4" w:rsidRPr="004330DB">
        <w:rPr>
          <w:bCs/>
          <w:szCs w:val="22"/>
          <w:lang w:val="es-ES"/>
        </w:rPr>
        <w:t>.</w:t>
      </w:r>
      <w:r w:rsidR="00D202A4" w:rsidRPr="004330DB">
        <w:rPr>
          <w:szCs w:val="22"/>
          <w:lang w:val="es-ES" w:eastAsia="ru-RU"/>
        </w:rPr>
        <w:t xml:space="preserve"> </w:t>
      </w:r>
      <w:r w:rsidRPr="004330DB">
        <w:rPr>
          <w:szCs w:val="22"/>
          <w:lang w:val="es-ES" w:eastAsia="ru-RU"/>
        </w:rPr>
        <w:t xml:space="preserve"> Además</w:t>
      </w:r>
      <w:r w:rsidR="00D202A4" w:rsidRPr="004330DB">
        <w:rPr>
          <w:szCs w:val="22"/>
          <w:lang w:val="es-ES" w:eastAsia="ru-RU"/>
        </w:rPr>
        <w:t xml:space="preserve">, Rospatent </w:t>
      </w:r>
      <w:r w:rsidRPr="004330DB">
        <w:rPr>
          <w:szCs w:val="22"/>
          <w:lang w:val="es-ES" w:eastAsia="ru-RU"/>
        </w:rPr>
        <w:t>subcontrata servicios de traducción a</w:t>
      </w:r>
      <w:r w:rsidR="00950B8A">
        <w:rPr>
          <w:szCs w:val="22"/>
          <w:lang w:val="es-ES" w:eastAsia="ru-RU"/>
        </w:rPr>
        <w:t>l</w:t>
      </w:r>
      <w:r w:rsidRPr="004330DB">
        <w:rPr>
          <w:szCs w:val="22"/>
          <w:lang w:val="es-ES" w:eastAsia="ru-RU"/>
        </w:rPr>
        <w:t xml:space="preserve"> inglés de las opiniones escritas.</w:t>
      </w:r>
    </w:p>
    <w:p w:rsidR="008F36ED" w:rsidRPr="004330DB" w:rsidRDefault="008F36ED" w:rsidP="008F36ED">
      <w:pPr>
        <w:rPr>
          <w:szCs w:val="22"/>
          <w:lang w:val="es-ES"/>
        </w:rPr>
      </w:pPr>
    </w:p>
    <w:p w:rsidR="008F36ED" w:rsidRPr="004330DB" w:rsidRDefault="008F36ED" w:rsidP="00F14C56">
      <w:pPr>
        <w:widowControl w:val="0"/>
        <w:pBdr>
          <w:top w:val="single" w:sz="4" w:space="1" w:color="auto"/>
          <w:bottom w:val="single" w:sz="4" w:space="1" w:color="auto"/>
        </w:pBdr>
        <w:spacing w:before="360" w:after="200"/>
        <w:outlineLvl w:val="0"/>
        <w:rPr>
          <w:b/>
          <w:bCs/>
          <w:caps/>
          <w:kern w:val="32"/>
          <w:lang w:val="es-ES"/>
        </w:rPr>
      </w:pPr>
      <w:r w:rsidRPr="00C65739">
        <w:rPr>
          <w:b/>
          <w:lang w:val="es-ES"/>
        </w:rPr>
        <w:t xml:space="preserve">2.2 – </w:t>
      </w:r>
      <w:r w:rsidR="006D777D" w:rsidRPr="00C65739">
        <w:rPr>
          <w:b/>
          <w:bCs/>
          <w:caps/>
          <w:kern w:val="32"/>
          <w:lang w:val="es-ES"/>
        </w:rPr>
        <w:t>GESTIóN</w:t>
      </w:r>
      <w:r w:rsidR="006D777D" w:rsidRPr="004330DB">
        <w:rPr>
          <w:b/>
          <w:bCs/>
          <w:caps/>
          <w:kern w:val="32"/>
          <w:lang w:val="es-ES"/>
        </w:rPr>
        <w:t xml:space="preserve"> DE CALIDAD</w:t>
      </w:r>
    </w:p>
    <w:p w:rsidR="008F36ED" w:rsidRPr="00101082" w:rsidRDefault="006D777D" w:rsidP="008F36ED">
      <w:pPr>
        <w:rPr>
          <w:b/>
          <w:bCs/>
          <w:lang w:val="es-ES"/>
        </w:rPr>
      </w:pPr>
      <w:r w:rsidRPr="00101082">
        <w:rPr>
          <w:b/>
          <w:bCs/>
          <w:lang w:val="es-ES"/>
        </w:rPr>
        <w:t>Reglas 36.1.iv) y 63.1.iv):  esa Oficina u organización deberá disponer de un sistema de gestión de calidad y un sistema de revisión interna, conforme a las reglas comunes de la búsqueda internacional</w:t>
      </w:r>
    </w:p>
    <w:p w:rsidR="00D202A4" w:rsidRPr="004330DB" w:rsidRDefault="00D202A4" w:rsidP="00D202A4">
      <w:pPr>
        <w:rPr>
          <w:i/>
          <w:iCs/>
          <w:lang w:val="es-ES"/>
        </w:rPr>
      </w:pPr>
    </w:p>
    <w:p w:rsidR="00D202A4" w:rsidRPr="004330DB" w:rsidRDefault="00C1634E" w:rsidP="00D202A4">
      <w:pPr>
        <w:rPr>
          <w:iCs/>
          <w:szCs w:val="22"/>
          <w:lang w:val="es-ES"/>
        </w:rPr>
      </w:pPr>
      <w:r w:rsidRPr="004330DB">
        <w:rPr>
          <w:iCs/>
          <w:szCs w:val="22"/>
          <w:lang w:val="es-ES"/>
        </w:rPr>
        <w:t xml:space="preserve">El Informe sobre </w:t>
      </w:r>
      <w:r w:rsidR="004330DB" w:rsidRPr="004330DB">
        <w:rPr>
          <w:iCs/>
          <w:szCs w:val="22"/>
          <w:lang w:val="es-ES"/>
        </w:rPr>
        <w:t>gestión</w:t>
      </w:r>
      <w:r w:rsidRPr="004330DB">
        <w:rPr>
          <w:iCs/>
          <w:szCs w:val="22"/>
          <w:lang w:val="es-ES"/>
        </w:rPr>
        <w:t xml:space="preserve"> de calidad de</w:t>
      </w:r>
      <w:r w:rsidR="00D202A4" w:rsidRPr="004330DB">
        <w:rPr>
          <w:iCs/>
          <w:szCs w:val="22"/>
          <w:lang w:val="es-ES"/>
        </w:rPr>
        <w:t xml:space="preserve"> Rospatent</w:t>
      </w:r>
      <w:r w:rsidRPr="004330DB">
        <w:rPr>
          <w:iCs/>
          <w:szCs w:val="22"/>
          <w:lang w:val="es-ES"/>
        </w:rPr>
        <w:t xml:space="preserve"> correspondiente a</w:t>
      </w:r>
      <w:r w:rsidR="00D202A4" w:rsidRPr="004330DB">
        <w:rPr>
          <w:iCs/>
          <w:szCs w:val="22"/>
          <w:lang w:val="es-ES"/>
        </w:rPr>
        <w:t xml:space="preserve"> 2</w:t>
      </w:r>
      <w:r w:rsidR="008F36ED" w:rsidRPr="004330DB">
        <w:rPr>
          <w:iCs/>
          <w:szCs w:val="22"/>
          <w:lang w:val="es-ES"/>
        </w:rPr>
        <w:t xml:space="preserve">016 ha </w:t>
      </w:r>
      <w:r w:rsidRPr="004330DB">
        <w:rPr>
          <w:iCs/>
          <w:szCs w:val="22"/>
          <w:lang w:val="es-ES"/>
        </w:rPr>
        <w:t xml:space="preserve">sido presentado </w:t>
      </w:r>
      <w:r w:rsidR="00950B8A">
        <w:rPr>
          <w:iCs/>
          <w:szCs w:val="22"/>
          <w:lang w:val="es-ES"/>
        </w:rPr>
        <w:t>a</w:t>
      </w:r>
      <w:r w:rsidRPr="004330DB">
        <w:rPr>
          <w:iCs/>
          <w:szCs w:val="22"/>
          <w:lang w:val="es-ES"/>
        </w:rPr>
        <w:t xml:space="preserve"> la OMPI y está disponible en la dirección</w:t>
      </w:r>
      <w:r w:rsidR="008F36ED" w:rsidRPr="004330DB">
        <w:rPr>
          <w:iCs/>
          <w:szCs w:val="22"/>
          <w:lang w:val="es-ES"/>
        </w:rPr>
        <w:t xml:space="preserve"> </w:t>
      </w:r>
      <w:hyperlink r:id="rId11" w:history="1">
        <w:r w:rsidR="008F36ED" w:rsidRPr="004330DB">
          <w:rPr>
            <w:rStyle w:val="Hyperlink"/>
            <w:iCs/>
            <w:color w:val="auto"/>
            <w:szCs w:val="22"/>
            <w:u w:val="none"/>
            <w:lang w:val="es-ES"/>
          </w:rPr>
          <w:t>http://www.wipo.int/pct/en/quality/authorities.html</w:t>
        </w:r>
      </w:hyperlink>
      <w:r w:rsidRPr="004330DB">
        <w:rPr>
          <w:iCs/>
          <w:szCs w:val="22"/>
          <w:lang w:val="es-ES"/>
        </w:rPr>
        <w:t>.</w:t>
      </w:r>
    </w:p>
    <w:p w:rsidR="008F36ED" w:rsidRPr="004330DB" w:rsidRDefault="008F36ED" w:rsidP="008F36ED">
      <w:pPr>
        <w:pStyle w:val="SectionHeading"/>
        <w:rPr>
          <w:lang w:val="es-ES"/>
        </w:rPr>
      </w:pPr>
      <w:r w:rsidRPr="004330DB">
        <w:rPr>
          <w:lang w:val="es-ES"/>
        </w:rPr>
        <w:t xml:space="preserve">3 – </w:t>
      </w:r>
      <w:r w:rsidR="00E51D51" w:rsidRPr="004330DB">
        <w:rPr>
          <w:lang w:val="es-ES"/>
        </w:rPr>
        <w:t>EVALUACIÓN POR OTRAS ADMINISTRACIONES</w:t>
      </w:r>
    </w:p>
    <w:p w:rsidR="008F36ED" w:rsidRPr="004330DB" w:rsidRDefault="00E51D51" w:rsidP="008F36ED">
      <w:pPr>
        <w:rPr>
          <w:szCs w:val="22"/>
          <w:lang w:val="es-ES"/>
        </w:rPr>
      </w:pPr>
      <w:r w:rsidRPr="004330DB">
        <w:rPr>
          <w:rStyle w:val="alt-edited"/>
          <w:szCs w:val="22"/>
          <w:lang w:val="es-ES"/>
        </w:rPr>
        <w:t>Se considera la posibilidad de evaluación por otras Administraciones.</w:t>
      </w:r>
    </w:p>
    <w:p w:rsidR="008F36ED" w:rsidRPr="004330DB" w:rsidRDefault="008F36ED" w:rsidP="008F36ED">
      <w:pPr>
        <w:pStyle w:val="SectionHeading"/>
        <w:rPr>
          <w:lang w:val="es-ES"/>
        </w:rPr>
      </w:pPr>
      <w:r w:rsidRPr="004330DB">
        <w:rPr>
          <w:lang w:val="es-ES"/>
        </w:rPr>
        <w:t xml:space="preserve">4 – </w:t>
      </w:r>
      <w:r w:rsidR="006D777D" w:rsidRPr="004330DB">
        <w:rPr>
          <w:lang w:val="es-ES"/>
        </w:rPr>
        <w:t>DECLARACIÓN DE</w:t>
      </w:r>
      <w:r w:rsidRPr="004330DB">
        <w:rPr>
          <w:lang w:val="es-ES"/>
        </w:rPr>
        <w:t xml:space="preserve"> Motiva</w:t>
      </w:r>
      <w:r w:rsidR="006D777D" w:rsidRPr="004330DB">
        <w:rPr>
          <w:lang w:val="es-ES"/>
        </w:rPr>
        <w:t>CIÓ</w:t>
      </w:r>
      <w:r w:rsidRPr="004330DB">
        <w:rPr>
          <w:lang w:val="es-ES"/>
        </w:rPr>
        <w:t>n</w:t>
      </w:r>
    </w:p>
    <w:p w:rsidR="00D202A4" w:rsidRPr="004330DB" w:rsidRDefault="00D202A4" w:rsidP="00D202A4">
      <w:pPr>
        <w:rPr>
          <w:szCs w:val="22"/>
          <w:lang w:val="es-ES"/>
        </w:rPr>
      </w:pPr>
      <w:r w:rsidRPr="004330DB">
        <w:rPr>
          <w:szCs w:val="22"/>
          <w:lang w:val="es-ES"/>
        </w:rPr>
        <w:t xml:space="preserve">Rospatent ha </w:t>
      </w:r>
      <w:r w:rsidR="00E51D51" w:rsidRPr="004330DB">
        <w:rPr>
          <w:szCs w:val="22"/>
          <w:lang w:val="es-ES"/>
        </w:rPr>
        <w:t xml:space="preserve">sido designada como </w:t>
      </w:r>
      <w:r w:rsidRPr="004330DB">
        <w:rPr>
          <w:szCs w:val="22"/>
          <w:lang w:val="es-ES"/>
        </w:rPr>
        <w:t xml:space="preserve">ISA/IPEA </w:t>
      </w:r>
      <w:r w:rsidR="00E51D51" w:rsidRPr="004330DB">
        <w:rPr>
          <w:szCs w:val="22"/>
          <w:lang w:val="es-ES"/>
        </w:rPr>
        <w:t xml:space="preserve">competente por </w:t>
      </w:r>
      <w:r w:rsidRPr="004330DB">
        <w:rPr>
          <w:szCs w:val="22"/>
          <w:lang w:val="es-ES"/>
        </w:rPr>
        <w:t>32</w:t>
      </w:r>
      <w:r w:rsidR="008F36ED" w:rsidRPr="004330DB">
        <w:rPr>
          <w:szCs w:val="22"/>
          <w:lang w:val="es-ES"/>
        </w:rPr>
        <w:t> </w:t>
      </w:r>
      <w:r w:rsidR="00E51D51" w:rsidRPr="004330DB">
        <w:rPr>
          <w:szCs w:val="22"/>
          <w:lang w:val="es-ES"/>
        </w:rPr>
        <w:t>Oficinas receptoras</w:t>
      </w:r>
      <w:r w:rsidRPr="004330DB">
        <w:rPr>
          <w:szCs w:val="22"/>
          <w:lang w:val="es-ES"/>
        </w:rPr>
        <w:t xml:space="preserve"> </w:t>
      </w:r>
      <w:r w:rsidR="00E51D51" w:rsidRPr="004330DB">
        <w:rPr>
          <w:szCs w:val="22"/>
          <w:lang w:val="es-ES"/>
        </w:rPr>
        <w:t xml:space="preserve">de Estados contratantes y </w:t>
      </w:r>
      <w:r w:rsidR="004330DB" w:rsidRPr="004330DB">
        <w:rPr>
          <w:szCs w:val="22"/>
          <w:lang w:val="es-ES"/>
        </w:rPr>
        <w:t>organizaciones</w:t>
      </w:r>
      <w:r w:rsidRPr="004330DB">
        <w:rPr>
          <w:szCs w:val="22"/>
          <w:lang w:val="es-ES"/>
        </w:rPr>
        <w:t xml:space="preserve"> (</w:t>
      </w:r>
      <w:r w:rsidR="00E51D51" w:rsidRPr="004330DB">
        <w:rPr>
          <w:szCs w:val="22"/>
          <w:lang w:val="es-ES"/>
        </w:rPr>
        <w:t xml:space="preserve">uno de los números </w:t>
      </w:r>
      <w:r w:rsidR="004330DB" w:rsidRPr="004330DB">
        <w:rPr>
          <w:szCs w:val="22"/>
          <w:lang w:val="es-ES"/>
        </w:rPr>
        <w:t>más</w:t>
      </w:r>
      <w:r w:rsidR="00E51D51" w:rsidRPr="004330DB">
        <w:rPr>
          <w:szCs w:val="22"/>
          <w:lang w:val="es-ES"/>
        </w:rPr>
        <w:t xml:space="preserve"> elevados entre todas las</w:t>
      </w:r>
      <w:r w:rsidRPr="004330DB">
        <w:rPr>
          <w:szCs w:val="22"/>
          <w:lang w:val="es-ES"/>
        </w:rPr>
        <w:t xml:space="preserve"> ISA/IPEA). </w:t>
      </w:r>
      <w:r w:rsidR="008F36ED" w:rsidRPr="004330DB">
        <w:rPr>
          <w:szCs w:val="22"/>
          <w:lang w:val="es-ES"/>
        </w:rPr>
        <w:t xml:space="preserve"> </w:t>
      </w:r>
      <w:r w:rsidR="00E51D51" w:rsidRPr="004330DB">
        <w:rPr>
          <w:szCs w:val="22"/>
          <w:lang w:val="es-ES"/>
        </w:rPr>
        <w:t>La Administración</w:t>
      </w:r>
      <w:r w:rsidRPr="004330DB">
        <w:rPr>
          <w:szCs w:val="22"/>
          <w:lang w:val="es-ES"/>
        </w:rPr>
        <w:t xml:space="preserve"> </w:t>
      </w:r>
      <w:r w:rsidR="004330DB" w:rsidRPr="004330DB">
        <w:rPr>
          <w:szCs w:val="22"/>
          <w:lang w:val="es-ES"/>
        </w:rPr>
        <w:t>acepta</w:t>
      </w:r>
      <w:r w:rsidR="00E51D51" w:rsidRPr="004330DB">
        <w:rPr>
          <w:szCs w:val="22"/>
          <w:lang w:val="es-ES"/>
        </w:rPr>
        <w:t xml:space="preserve"> dos idiomas</w:t>
      </w:r>
      <w:r w:rsidRPr="004330DB">
        <w:rPr>
          <w:szCs w:val="22"/>
          <w:lang w:val="es-ES"/>
        </w:rPr>
        <w:t>:</w:t>
      </w:r>
      <w:r w:rsidR="00E51D51" w:rsidRPr="004330DB">
        <w:rPr>
          <w:szCs w:val="22"/>
          <w:lang w:val="es-ES"/>
        </w:rPr>
        <w:t xml:space="preserve"> </w:t>
      </w:r>
      <w:r w:rsidRPr="004330DB">
        <w:rPr>
          <w:szCs w:val="22"/>
          <w:lang w:val="es-ES"/>
        </w:rPr>
        <w:t xml:space="preserve"> </w:t>
      </w:r>
      <w:r w:rsidR="00E51D51" w:rsidRPr="004330DB">
        <w:rPr>
          <w:szCs w:val="22"/>
          <w:lang w:val="es-ES"/>
        </w:rPr>
        <w:t>inglés y ruso</w:t>
      </w:r>
      <w:r w:rsidRPr="004330DB">
        <w:rPr>
          <w:szCs w:val="22"/>
          <w:lang w:val="es-ES"/>
        </w:rPr>
        <w:t xml:space="preserve">. </w:t>
      </w:r>
      <w:r w:rsidR="008F36ED" w:rsidRPr="004330DB">
        <w:rPr>
          <w:szCs w:val="22"/>
          <w:lang w:val="es-ES"/>
        </w:rPr>
        <w:t xml:space="preserve"> </w:t>
      </w:r>
      <w:r w:rsidR="00E51D51" w:rsidRPr="004330DB">
        <w:rPr>
          <w:szCs w:val="22"/>
          <w:lang w:val="es-ES"/>
        </w:rPr>
        <w:t>El mayor número de solicitudes</w:t>
      </w:r>
      <w:r w:rsidRPr="004330DB">
        <w:rPr>
          <w:szCs w:val="22"/>
          <w:lang w:val="es-ES"/>
        </w:rPr>
        <w:t xml:space="preserve"> </w:t>
      </w:r>
      <w:r w:rsidR="004330DB" w:rsidRPr="004330DB">
        <w:rPr>
          <w:szCs w:val="22"/>
          <w:lang w:val="es-ES"/>
        </w:rPr>
        <w:t>internacionales</w:t>
      </w:r>
      <w:r w:rsidR="00E51D51" w:rsidRPr="004330DB">
        <w:rPr>
          <w:szCs w:val="22"/>
          <w:lang w:val="es-ES"/>
        </w:rPr>
        <w:t xml:space="preserve"> procede de los Estados Unidos de América</w:t>
      </w:r>
      <w:r w:rsidRPr="004330DB">
        <w:rPr>
          <w:szCs w:val="22"/>
          <w:lang w:val="es-ES"/>
        </w:rPr>
        <w:t xml:space="preserve"> (</w:t>
      </w:r>
      <w:r w:rsidR="00E51D51" w:rsidRPr="004330DB">
        <w:rPr>
          <w:szCs w:val="22"/>
          <w:lang w:val="es-ES"/>
        </w:rPr>
        <w:t>e</w:t>
      </w:r>
      <w:r w:rsidRPr="004330DB">
        <w:rPr>
          <w:szCs w:val="22"/>
          <w:lang w:val="es-ES"/>
        </w:rPr>
        <w:t xml:space="preserve">n </w:t>
      </w:r>
      <w:r w:rsidR="00E51D51" w:rsidRPr="004330DB">
        <w:rPr>
          <w:szCs w:val="22"/>
          <w:lang w:val="es-ES"/>
        </w:rPr>
        <w:t>inglés</w:t>
      </w:r>
      <w:r w:rsidRPr="004330DB">
        <w:rPr>
          <w:szCs w:val="22"/>
          <w:lang w:val="es-ES"/>
        </w:rPr>
        <w:t xml:space="preserve">) </w:t>
      </w:r>
      <w:r w:rsidR="00E51D51" w:rsidRPr="004330DB">
        <w:rPr>
          <w:szCs w:val="22"/>
          <w:lang w:val="es-ES"/>
        </w:rPr>
        <w:t>y la Federación de</w:t>
      </w:r>
      <w:r w:rsidR="008F36ED" w:rsidRPr="004330DB">
        <w:rPr>
          <w:szCs w:val="22"/>
          <w:lang w:val="es-ES"/>
        </w:rPr>
        <w:t xml:space="preserve"> </w:t>
      </w:r>
      <w:r w:rsidR="004330DB" w:rsidRPr="004330DB">
        <w:rPr>
          <w:szCs w:val="22"/>
          <w:lang w:val="es-ES"/>
        </w:rPr>
        <w:t>Rusia</w:t>
      </w:r>
      <w:r w:rsidR="008F36ED" w:rsidRPr="004330DB">
        <w:rPr>
          <w:szCs w:val="22"/>
          <w:lang w:val="es-ES"/>
        </w:rPr>
        <w:t xml:space="preserve"> </w:t>
      </w:r>
      <w:r w:rsidRPr="004330DB">
        <w:rPr>
          <w:szCs w:val="22"/>
          <w:lang w:val="es-ES"/>
        </w:rPr>
        <w:t>(</w:t>
      </w:r>
      <w:r w:rsidR="00E51D51" w:rsidRPr="004330DB">
        <w:rPr>
          <w:szCs w:val="22"/>
          <w:lang w:val="es-ES"/>
        </w:rPr>
        <w:t>e</w:t>
      </w:r>
      <w:r w:rsidRPr="004330DB">
        <w:rPr>
          <w:szCs w:val="22"/>
          <w:lang w:val="es-ES"/>
        </w:rPr>
        <w:t xml:space="preserve">n </w:t>
      </w:r>
      <w:r w:rsidR="00E51D51" w:rsidRPr="004330DB">
        <w:rPr>
          <w:szCs w:val="22"/>
          <w:lang w:val="es-ES"/>
        </w:rPr>
        <w:t>ruso</w:t>
      </w:r>
      <w:r w:rsidRPr="004330DB">
        <w:rPr>
          <w:szCs w:val="22"/>
          <w:lang w:val="es-ES"/>
        </w:rPr>
        <w:t>).</w:t>
      </w:r>
    </w:p>
    <w:p w:rsidR="008F36ED" w:rsidRPr="004330DB" w:rsidRDefault="008F36ED" w:rsidP="00D202A4">
      <w:pPr>
        <w:rPr>
          <w:rFonts w:eastAsia="Calibri"/>
          <w:szCs w:val="22"/>
          <w:lang w:val="es-ES"/>
        </w:rPr>
      </w:pPr>
    </w:p>
    <w:p w:rsidR="00D202A4" w:rsidRPr="004330DB" w:rsidRDefault="004E7840" w:rsidP="00D202A4">
      <w:pPr>
        <w:rPr>
          <w:szCs w:val="22"/>
          <w:lang w:val="es-ES"/>
        </w:rPr>
      </w:pPr>
      <w:r w:rsidRPr="004330DB">
        <w:rPr>
          <w:szCs w:val="22"/>
          <w:lang w:val="es-ES"/>
        </w:rPr>
        <w:t xml:space="preserve">El número </w:t>
      </w:r>
      <w:r w:rsidR="00D202A4" w:rsidRPr="004330DB">
        <w:rPr>
          <w:szCs w:val="22"/>
          <w:lang w:val="es-ES"/>
        </w:rPr>
        <w:t xml:space="preserve">total </w:t>
      </w:r>
      <w:r w:rsidRPr="004330DB">
        <w:rPr>
          <w:szCs w:val="22"/>
          <w:lang w:val="es-ES"/>
        </w:rPr>
        <w:t xml:space="preserve">de solicitudes </w:t>
      </w:r>
      <w:r w:rsidR="004330DB" w:rsidRPr="004330DB">
        <w:rPr>
          <w:szCs w:val="22"/>
          <w:lang w:val="es-ES"/>
        </w:rPr>
        <w:t>internacionales</w:t>
      </w:r>
      <w:r w:rsidR="00D202A4" w:rsidRPr="004330DB">
        <w:rPr>
          <w:szCs w:val="22"/>
          <w:lang w:val="es-ES"/>
        </w:rPr>
        <w:t xml:space="preserve"> </w:t>
      </w:r>
      <w:r w:rsidRPr="004330DB">
        <w:rPr>
          <w:szCs w:val="22"/>
          <w:lang w:val="es-ES"/>
        </w:rPr>
        <w:t>respecto de las que se prepararon informes de búsqueda internacional e</w:t>
      </w:r>
      <w:r w:rsidR="00D202A4" w:rsidRPr="004330DB">
        <w:rPr>
          <w:szCs w:val="22"/>
          <w:lang w:val="es-ES"/>
        </w:rPr>
        <w:t xml:space="preserve">n 2012-2016 </w:t>
      </w:r>
      <w:r w:rsidRPr="004330DB">
        <w:rPr>
          <w:szCs w:val="22"/>
          <w:lang w:val="es-ES"/>
        </w:rPr>
        <w:t>se indica en el cuadro que figura a continuación</w:t>
      </w:r>
      <w:r w:rsidR="00D202A4" w:rsidRPr="004330DB">
        <w:rPr>
          <w:szCs w:val="22"/>
          <w:lang w:val="es-ES"/>
        </w:rPr>
        <w:t>:</w:t>
      </w:r>
    </w:p>
    <w:p w:rsidR="00D202A4" w:rsidRPr="004330DB" w:rsidRDefault="00D202A4" w:rsidP="00D202A4">
      <w:pPr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134"/>
        <w:gridCol w:w="1134"/>
        <w:gridCol w:w="1134"/>
        <w:gridCol w:w="1134"/>
        <w:gridCol w:w="1099"/>
      </w:tblGrid>
      <w:tr w:rsidR="00D202A4" w:rsidRPr="004330DB" w:rsidTr="00D202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4E7840">
            <w:pPr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Año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2015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2016</w:t>
            </w:r>
          </w:p>
        </w:tc>
      </w:tr>
      <w:tr w:rsidR="00D202A4" w:rsidRPr="004330DB" w:rsidTr="00D202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4E7840">
            <w:pPr>
              <w:pStyle w:val="t-t-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30DB">
              <w:rPr>
                <w:rFonts w:ascii="Arial" w:hAnsi="Arial" w:cs="Arial"/>
                <w:sz w:val="22"/>
                <w:szCs w:val="22"/>
                <w:lang w:val="es-ES"/>
              </w:rPr>
              <w:t>Número de informes de búsqueda internacional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1</w:t>
            </w:r>
            <w:r w:rsidR="004E7840" w:rsidRPr="004330DB">
              <w:rPr>
                <w:szCs w:val="22"/>
                <w:lang w:val="es-ES"/>
              </w:rPr>
              <w:t>.</w:t>
            </w:r>
            <w:r w:rsidRPr="004330DB">
              <w:rPr>
                <w:szCs w:val="22"/>
                <w:lang w:val="es-ES"/>
              </w:rPr>
              <w:t>904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2</w:t>
            </w:r>
            <w:r w:rsidR="004E7840" w:rsidRPr="004330DB">
              <w:rPr>
                <w:szCs w:val="22"/>
                <w:lang w:val="es-ES"/>
              </w:rPr>
              <w:t>.</w:t>
            </w:r>
            <w:r w:rsidRPr="004330DB">
              <w:rPr>
                <w:szCs w:val="22"/>
                <w:lang w:val="es-ES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3</w:t>
            </w:r>
            <w:r w:rsidR="004E7840" w:rsidRPr="004330DB">
              <w:rPr>
                <w:szCs w:val="22"/>
                <w:lang w:val="es-ES"/>
              </w:rPr>
              <w:t>.</w:t>
            </w:r>
            <w:r w:rsidRPr="004330DB">
              <w:rPr>
                <w:szCs w:val="22"/>
                <w:lang w:val="es-ES"/>
              </w:rPr>
              <w:t>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2</w:t>
            </w:r>
            <w:r w:rsidR="004E7840" w:rsidRPr="004330DB">
              <w:rPr>
                <w:szCs w:val="22"/>
                <w:lang w:val="es-ES"/>
              </w:rPr>
              <w:t>.</w:t>
            </w:r>
            <w:r w:rsidRPr="004330DB">
              <w:rPr>
                <w:szCs w:val="22"/>
                <w:lang w:val="es-ES"/>
              </w:rPr>
              <w:t>447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2</w:t>
            </w:r>
            <w:r w:rsidR="004E7840" w:rsidRPr="004330DB">
              <w:rPr>
                <w:szCs w:val="22"/>
                <w:lang w:val="es-ES"/>
              </w:rPr>
              <w:t>.</w:t>
            </w:r>
            <w:r w:rsidRPr="004330DB">
              <w:rPr>
                <w:szCs w:val="22"/>
                <w:lang w:val="es-ES"/>
              </w:rPr>
              <w:t>903</w:t>
            </w:r>
          </w:p>
        </w:tc>
      </w:tr>
    </w:tbl>
    <w:p w:rsidR="00E5482A" w:rsidRPr="004330DB" w:rsidRDefault="00E5482A" w:rsidP="00E5482A">
      <w:pPr>
        <w:pStyle w:val="SectionHeading"/>
        <w:rPr>
          <w:lang w:val="es-ES"/>
        </w:rPr>
      </w:pPr>
      <w:r w:rsidRPr="004330DB">
        <w:rPr>
          <w:lang w:val="es-ES"/>
        </w:rPr>
        <w:t xml:space="preserve">5 – </w:t>
      </w:r>
      <w:r w:rsidR="006D777D" w:rsidRPr="004330DB">
        <w:rPr>
          <w:lang w:val="es-ES"/>
        </w:rPr>
        <w:t>ESTADO SOLICITANTE</w:t>
      </w:r>
    </w:p>
    <w:p w:rsidR="00D202A4" w:rsidRPr="004330DB" w:rsidRDefault="004E7840" w:rsidP="00D202A4">
      <w:pPr>
        <w:rPr>
          <w:lang w:val="es-ES"/>
        </w:rPr>
      </w:pPr>
      <w:r w:rsidRPr="004330DB">
        <w:rPr>
          <w:lang w:val="es-ES"/>
        </w:rPr>
        <w:t xml:space="preserve">Federación de </w:t>
      </w:r>
      <w:r w:rsidR="004330DB" w:rsidRPr="004330DB">
        <w:rPr>
          <w:lang w:val="es-ES"/>
        </w:rPr>
        <w:t>Rusia</w:t>
      </w:r>
    </w:p>
    <w:p w:rsidR="008F36ED" w:rsidRPr="004330DB" w:rsidRDefault="008F36ED" w:rsidP="00D202A4">
      <w:pPr>
        <w:rPr>
          <w:lang w:val="es-ES"/>
        </w:rPr>
      </w:pPr>
    </w:p>
    <w:p w:rsidR="00D202A4" w:rsidRPr="004330DB" w:rsidRDefault="00D202A4" w:rsidP="00D202A4">
      <w:pPr>
        <w:rPr>
          <w:szCs w:val="22"/>
          <w:lang w:val="es-ES"/>
        </w:rPr>
      </w:pPr>
      <w:r w:rsidRPr="004330DB">
        <w:rPr>
          <w:b/>
          <w:bCs/>
          <w:szCs w:val="22"/>
          <w:lang w:val="es-ES"/>
        </w:rPr>
        <w:t>Po</w:t>
      </w:r>
      <w:r w:rsidR="004E7840" w:rsidRPr="004330DB">
        <w:rPr>
          <w:b/>
          <w:bCs/>
          <w:szCs w:val="22"/>
          <w:lang w:val="es-ES"/>
        </w:rPr>
        <w:t>blació</w:t>
      </w:r>
      <w:r w:rsidRPr="004330DB">
        <w:rPr>
          <w:b/>
          <w:bCs/>
          <w:szCs w:val="22"/>
          <w:lang w:val="es-ES"/>
        </w:rPr>
        <w:t>n:</w:t>
      </w:r>
    </w:p>
    <w:p w:rsidR="00D202A4" w:rsidRPr="004330DB" w:rsidRDefault="00D202A4" w:rsidP="00D202A4">
      <w:pPr>
        <w:rPr>
          <w:rStyle w:val="Strong"/>
          <w:b w:val="0"/>
          <w:szCs w:val="22"/>
          <w:lang w:val="es-ES"/>
        </w:rPr>
      </w:pPr>
      <w:r w:rsidRPr="004330DB">
        <w:rPr>
          <w:bCs/>
          <w:szCs w:val="22"/>
          <w:lang w:val="es-ES"/>
        </w:rPr>
        <w:t>146</w:t>
      </w:r>
      <w:r w:rsidR="004E7840" w:rsidRPr="004330DB">
        <w:rPr>
          <w:bCs/>
          <w:szCs w:val="22"/>
          <w:lang w:val="es-ES"/>
        </w:rPr>
        <w:t>.</w:t>
      </w:r>
      <w:r w:rsidRPr="004330DB">
        <w:rPr>
          <w:bCs/>
          <w:szCs w:val="22"/>
          <w:lang w:val="es-ES"/>
        </w:rPr>
        <w:t>838</w:t>
      </w:r>
      <w:r w:rsidR="004E7840" w:rsidRPr="004330DB">
        <w:rPr>
          <w:bCs/>
          <w:szCs w:val="22"/>
          <w:lang w:val="es-ES"/>
        </w:rPr>
        <w:t>.</w:t>
      </w:r>
      <w:r w:rsidRPr="004330DB">
        <w:rPr>
          <w:bCs/>
          <w:szCs w:val="22"/>
          <w:lang w:val="es-ES"/>
        </w:rPr>
        <w:t xml:space="preserve">993 </w:t>
      </w:r>
      <w:r w:rsidR="004E7840" w:rsidRPr="004330DB">
        <w:rPr>
          <w:bCs/>
          <w:szCs w:val="22"/>
          <w:lang w:val="es-ES"/>
        </w:rPr>
        <w:t xml:space="preserve">de habitantes </w:t>
      </w:r>
      <w:r w:rsidRPr="004330DB">
        <w:rPr>
          <w:bCs/>
          <w:szCs w:val="22"/>
          <w:lang w:val="es-ES"/>
        </w:rPr>
        <w:t>(</w:t>
      </w:r>
      <w:r w:rsidR="004E7840" w:rsidRPr="004330DB">
        <w:rPr>
          <w:bCs/>
          <w:szCs w:val="22"/>
          <w:lang w:val="es-ES"/>
        </w:rPr>
        <w:t>en</w:t>
      </w:r>
      <w:r w:rsidRPr="004330DB">
        <w:rPr>
          <w:bCs/>
          <w:szCs w:val="22"/>
          <w:lang w:val="es-ES"/>
        </w:rPr>
        <w:t xml:space="preserve"> 2016)</w:t>
      </w:r>
    </w:p>
    <w:p w:rsidR="00D202A4" w:rsidRPr="004330DB" w:rsidRDefault="00D202A4" w:rsidP="00D202A4">
      <w:pPr>
        <w:rPr>
          <w:szCs w:val="22"/>
          <w:lang w:val="es-ES"/>
        </w:rPr>
      </w:pPr>
    </w:p>
    <w:p w:rsidR="00D202A4" w:rsidRPr="004330DB" w:rsidRDefault="00D202A4" w:rsidP="00D202A4">
      <w:pPr>
        <w:rPr>
          <w:rStyle w:val="Strong"/>
          <w:szCs w:val="22"/>
          <w:lang w:val="es-ES"/>
        </w:rPr>
      </w:pPr>
      <w:r w:rsidRPr="004330DB">
        <w:rPr>
          <w:b/>
          <w:bCs/>
          <w:szCs w:val="22"/>
          <w:lang w:val="es-ES"/>
        </w:rPr>
        <w:t>P</w:t>
      </w:r>
      <w:r w:rsidR="004E7840" w:rsidRPr="004330DB">
        <w:rPr>
          <w:b/>
          <w:bCs/>
          <w:szCs w:val="22"/>
          <w:lang w:val="es-ES"/>
        </w:rPr>
        <w:t>IB</w:t>
      </w:r>
      <w:r w:rsidRPr="004330DB">
        <w:rPr>
          <w:b/>
          <w:bCs/>
          <w:szCs w:val="22"/>
          <w:lang w:val="es-ES"/>
        </w:rPr>
        <w:t xml:space="preserve"> </w:t>
      </w:r>
      <w:r w:rsidR="004E7840" w:rsidRPr="004330DB">
        <w:rPr>
          <w:b/>
          <w:bCs/>
          <w:iCs/>
          <w:szCs w:val="22"/>
          <w:lang w:val="es-ES"/>
        </w:rPr>
        <w:t>per cá</w:t>
      </w:r>
      <w:r w:rsidRPr="004330DB">
        <w:rPr>
          <w:b/>
          <w:bCs/>
          <w:iCs/>
          <w:szCs w:val="22"/>
          <w:lang w:val="es-ES"/>
        </w:rPr>
        <w:t>pita</w:t>
      </w:r>
      <w:r w:rsidRPr="004330DB">
        <w:rPr>
          <w:b/>
          <w:bCs/>
          <w:szCs w:val="22"/>
          <w:lang w:val="es-ES"/>
        </w:rPr>
        <w:t>:</w:t>
      </w:r>
    </w:p>
    <w:p w:rsidR="00D202A4" w:rsidRPr="004330DB" w:rsidRDefault="00D202A4" w:rsidP="00D202A4">
      <w:pPr>
        <w:rPr>
          <w:rStyle w:val="Strong"/>
          <w:szCs w:val="22"/>
          <w:lang w:val="es-ES"/>
        </w:rPr>
      </w:pPr>
      <w:r w:rsidRPr="004330DB">
        <w:rPr>
          <w:bCs/>
          <w:szCs w:val="22"/>
          <w:lang w:val="es-ES"/>
        </w:rPr>
        <w:t>8</w:t>
      </w:r>
      <w:r w:rsidR="004E7840" w:rsidRPr="004330DB">
        <w:rPr>
          <w:bCs/>
          <w:szCs w:val="22"/>
          <w:lang w:val="es-ES"/>
        </w:rPr>
        <w:t>.</w:t>
      </w:r>
      <w:r w:rsidR="008F36ED" w:rsidRPr="004330DB">
        <w:rPr>
          <w:bCs/>
          <w:szCs w:val="22"/>
          <w:lang w:val="es-ES"/>
        </w:rPr>
        <w:t>058</w:t>
      </w:r>
      <w:r w:rsidR="004E7840" w:rsidRPr="004330DB">
        <w:rPr>
          <w:bCs/>
          <w:szCs w:val="22"/>
          <w:lang w:val="es-ES"/>
        </w:rPr>
        <w:t>,</w:t>
      </w:r>
      <w:r w:rsidRPr="004330DB">
        <w:rPr>
          <w:bCs/>
          <w:szCs w:val="22"/>
          <w:lang w:val="es-ES"/>
        </w:rPr>
        <w:t xml:space="preserve">26 </w:t>
      </w:r>
      <w:r w:rsidR="004E7840" w:rsidRPr="004330DB">
        <w:rPr>
          <w:bCs/>
          <w:szCs w:val="22"/>
          <w:lang w:val="es-ES"/>
        </w:rPr>
        <w:t>dólares EE.UU.</w:t>
      </w:r>
      <w:r w:rsidR="008F36ED" w:rsidRPr="004330DB">
        <w:rPr>
          <w:bCs/>
          <w:szCs w:val="22"/>
          <w:lang w:val="es-ES"/>
        </w:rPr>
        <w:t xml:space="preserve"> (</w:t>
      </w:r>
      <w:r w:rsidR="004E7840" w:rsidRPr="004330DB">
        <w:rPr>
          <w:bCs/>
          <w:szCs w:val="22"/>
          <w:lang w:val="es-ES"/>
        </w:rPr>
        <w:t>en</w:t>
      </w:r>
      <w:r w:rsidR="008F36ED" w:rsidRPr="004330DB">
        <w:rPr>
          <w:bCs/>
          <w:szCs w:val="22"/>
          <w:lang w:val="es-ES"/>
        </w:rPr>
        <w:t xml:space="preserve"> 2016);  8</w:t>
      </w:r>
      <w:r w:rsidR="004E7840" w:rsidRPr="004330DB">
        <w:rPr>
          <w:bCs/>
          <w:szCs w:val="22"/>
          <w:lang w:val="es-ES"/>
        </w:rPr>
        <w:t>.</w:t>
      </w:r>
      <w:r w:rsidR="008F36ED" w:rsidRPr="004330DB">
        <w:rPr>
          <w:bCs/>
          <w:szCs w:val="22"/>
          <w:lang w:val="es-ES"/>
        </w:rPr>
        <w:t>447</w:t>
      </w:r>
      <w:r w:rsidR="004E7840" w:rsidRPr="004330DB">
        <w:rPr>
          <w:bCs/>
          <w:szCs w:val="22"/>
          <w:lang w:val="es-ES"/>
        </w:rPr>
        <w:t>,</w:t>
      </w:r>
      <w:r w:rsidRPr="004330DB">
        <w:rPr>
          <w:bCs/>
          <w:szCs w:val="22"/>
          <w:lang w:val="es-ES"/>
        </w:rPr>
        <w:t xml:space="preserve">42 </w:t>
      </w:r>
      <w:r w:rsidR="004330DB">
        <w:rPr>
          <w:bCs/>
          <w:szCs w:val="22"/>
          <w:lang w:val="es-ES"/>
        </w:rPr>
        <w:t xml:space="preserve">dólares EE.UU. </w:t>
      </w:r>
      <w:r w:rsidRPr="004330DB">
        <w:rPr>
          <w:bCs/>
          <w:szCs w:val="22"/>
          <w:lang w:val="es-ES"/>
        </w:rPr>
        <w:t>(</w:t>
      </w:r>
      <w:r w:rsidR="004E7840" w:rsidRPr="004330DB">
        <w:rPr>
          <w:bCs/>
          <w:szCs w:val="22"/>
          <w:lang w:val="es-ES"/>
        </w:rPr>
        <w:t>en</w:t>
      </w:r>
      <w:r w:rsidRPr="004330DB">
        <w:rPr>
          <w:bCs/>
          <w:szCs w:val="22"/>
          <w:lang w:val="es-ES"/>
        </w:rPr>
        <w:t xml:space="preserve"> 2015)</w:t>
      </w:r>
    </w:p>
    <w:p w:rsidR="00D202A4" w:rsidRPr="004330DB" w:rsidRDefault="00D202A4" w:rsidP="00D202A4">
      <w:pPr>
        <w:rPr>
          <w:szCs w:val="22"/>
          <w:lang w:val="es-ES"/>
        </w:rPr>
      </w:pPr>
    </w:p>
    <w:p w:rsidR="00D202A4" w:rsidRPr="004330DB" w:rsidRDefault="004E7840" w:rsidP="00D202A4">
      <w:pPr>
        <w:rPr>
          <w:szCs w:val="22"/>
          <w:lang w:val="es-ES"/>
        </w:rPr>
      </w:pPr>
      <w:r w:rsidRPr="004330DB">
        <w:rPr>
          <w:b/>
          <w:bCs/>
          <w:lang w:val="es-ES"/>
        </w:rPr>
        <w:t>Gasto en I+D estimado (% del PIB)</w:t>
      </w:r>
      <w:r w:rsidR="00D202A4" w:rsidRPr="004330DB">
        <w:rPr>
          <w:b/>
          <w:bCs/>
          <w:szCs w:val="22"/>
          <w:lang w:val="es-ES"/>
        </w:rPr>
        <w:t>:</w:t>
      </w:r>
    </w:p>
    <w:p w:rsidR="00D202A4" w:rsidRPr="004330DB" w:rsidRDefault="001729D9" w:rsidP="00D202A4">
      <w:pPr>
        <w:rPr>
          <w:bCs/>
          <w:szCs w:val="22"/>
          <w:lang w:val="es-ES"/>
        </w:rPr>
      </w:pPr>
      <w:r w:rsidRPr="004330DB">
        <w:rPr>
          <w:bCs/>
          <w:szCs w:val="22"/>
          <w:lang w:val="es-ES"/>
        </w:rPr>
        <w:t>0</w:t>
      </w:r>
      <w:r w:rsidR="004E7840" w:rsidRPr="004330DB">
        <w:rPr>
          <w:bCs/>
          <w:szCs w:val="22"/>
          <w:lang w:val="es-ES"/>
        </w:rPr>
        <w:t>,</w:t>
      </w:r>
      <w:r w:rsidR="00D202A4" w:rsidRPr="004330DB">
        <w:rPr>
          <w:bCs/>
          <w:szCs w:val="22"/>
          <w:lang w:val="es-ES"/>
        </w:rPr>
        <w:t>54 (</w:t>
      </w:r>
      <w:r w:rsidR="004E7840" w:rsidRPr="004330DB">
        <w:rPr>
          <w:bCs/>
          <w:szCs w:val="22"/>
          <w:lang w:val="es-ES"/>
        </w:rPr>
        <w:t>en</w:t>
      </w:r>
      <w:r w:rsidR="00D202A4" w:rsidRPr="004330DB">
        <w:rPr>
          <w:bCs/>
          <w:szCs w:val="22"/>
          <w:lang w:val="es-ES"/>
        </w:rPr>
        <w:t xml:space="preserve"> 2015)</w:t>
      </w:r>
    </w:p>
    <w:p w:rsidR="00D202A4" w:rsidRPr="004330DB" w:rsidRDefault="00D202A4" w:rsidP="00D202A4">
      <w:pPr>
        <w:rPr>
          <w:szCs w:val="22"/>
          <w:lang w:val="es-ES"/>
        </w:rPr>
      </w:pPr>
    </w:p>
    <w:p w:rsidR="00D202A4" w:rsidRPr="004330DB" w:rsidRDefault="004E7840" w:rsidP="00D202A4">
      <w:pPr>
        <w:rPr>
          <w:b/>
          <w:bCs/>
          <w:szCs w:val="22"/>
          <w:lang w:val="es-ES"/>
        </w:rPr>
      </w:pPr>
      <w:r w:rsidRPr="004330DB">
        <w:rPr>
          <w:b/>
          <w:bCs/>
          <w:lang w:val="es-ES"/>
        </w:rPr>
        <w:t>Número de universidades dedicadas a la investigación</w:t>
      </w:r>
      <w:r w:rsidR="00D202A4" w:rsidRPr="004330DB">
        <w:rPr>
          <w:b/>
          <w:bCs/>
          <w:szCs w:val="22"/>
          <w:lang w:val="es-ES"/>
        </w:rPr>
        <w:t>:</w:t>
      </w:r>
    </w:p>
    <w:p w:rsidR="00D202A4" w:rsidRPr="004330DB" w:rsidRDefault="00D202A4" w:rsidP="00D202A4">
      <w:pPr>
        <w:rPr>
          <w:bCs/>
          <w:szCs w:val="22"/>
          <w:lang w:val="es-ES"/>
        </w:rPr>
      </w:pPr>
      <w:r w:rsidRPr="004330DB">
        <w:rPr>
          <w:bCs/>
          <w:szCs w:val="22"/>
          <w:lang w:val="es-ES"/>
        </w:rPr>
        <w:t>1</w:t>
      </w:r>
      <w:r w:rsidR="004E7840" w:rsidRPr="004330DB">
        <w:rPr>
          <w:bCs/>
          <w:szCs w:val="22"/>
          <w:lang w:val="es-ES"/>
        </w:rPr>
        <w:t>.040</w:t>
      </w:r>
    </w:p>
    <w:p w:rsidR="00D202A4" w:rsidRPr="004330DB" w:rsidRDefault="00D202A4" w:rsidP="00D202A4">
      <w:pPr>
        <w:rPr>
          <w:szCs w:val="22"/>
          <w:lang w:val="es-ES"/>
        </w:rPr>
      </w:pPr>
    </w:p>
    <w:p w:rsidR="00D202A4" w:rsidRPr="004330DB" w:rsidRDefault="004E7840" w:rsidP="00FA120F">
      <w:pPr>
        <w:rPr>
          <w:b/>
          <w:bCs/>
          <w:szCs w:val="22"/>
          <w:lang w:val="es-ES"/>
        </w:rPr>
      </w:pPr>
      <w:r w:rsidRPr="004330DB">
        <w:rPr>
          <w:b/>
          <w:bCs/>
          <w:lang w:val="es-ES"/>
        </w:rPr>
        <w:t>Resumen de centros de información de patentes</w:t>
      </w:r>
      <w:r w:rsidR="00D202A4" w:rsidRPr="004330DB">
        <w:rPr>
          <w:b/>
          <w:bCs/>
          <w:szCs w:val="22"/>
          <w:lang w:val="es-ES"/>
        </w:rPr>
        <w:t xml:space="preserve"> (</w:t>
      </w:r>
      <w:r w:rsidRPr="004330DB">
        <w:rPr>
          <w:b/>
          <w:bCs/>
          <w:szCs w:val="22"/>
          <w:lang w:val="es-ES"/>
        </w:rPr>
        <w:t>por ejemplo, bibliotecas de patentes</w:t>
      </w:r>
      <w:r w:rsidR="00D202A4" w:rsidRPr="004330DB">
        <w:rPr>
          <w:b/>
          <w:bCs/>
          <w:szCs w:val="22"/>
          <w:lang w:val="es-ES"/>
        </w:rPr>
        <w:t xml:space="preserve">, </w:t>
      </w:r>
      <w:r w:rsidRPr="004330DB">
        <w:rPr>
          <w:b/>
          <w:bCs/>
          <w:szCs w:val="22"/>
          <w:lang w:val="es-ES"/>
        </w:rPr>
        <w:t xml:space="preserve">centros de apoyo a la tecnología y la </w:t>
      </w:r>
      <w:r w:rsidR="004330DB" w:rsidRPr="004330DB">
        <w:rPr>
          <w:b/>
          <w:bCs/>
          <w:szCs w:val="22"/>
          <w:lang w:val="es-ES"/>
        </w:rPr>
        <w:t>innovación</w:t>
      </w:r>
      <w:r w:rsidR="00E5482A" w:rsidRPr="004330DB">
        <w:rPr>
          <w:b/>
          <w:bCs/>
          <w:szCs w:val="22"/>
          <w:lang w:val="es-ES"/>
        </w:rPr>
        <w:t>)</w:t>
      </w:r>
      <w:r w:rsidR="00D202A4" w:rsidRPr="004330DB">
        <w:rPr>
          <w:b/>
          <w:bCs/>
          <w:szCs w:val="22"/>
          <w:lang w:val="es-ES"/>
        </w:rPr>
        <w:t>:</w:t>
      </w:r>
    </w:p>
    <w:p w:rsidR="00E5482A" w:rsidRPr="004330DB" w:rsidRDefault="00E5482A" w:rsidP="00FA120F">
      <w:pPr>
        <w:rPr>
          <w:b/>
          <w:bCs/>
          <w:szCs w:val="22"/>
          <w:lang w:val="es-ES"/>
        </w:rPr>
      </w:pPr>
    </w:p>
    <w:p w:rsidR="00D202A4" w:rsidRPr="004330DB" w:rsidRDefault="00D202A4" w:rsidP="00FA120F">
      <w:pPr>
        <w:rPr>
          <w:bCs/>
          <w:szCs w:val="22"/>
          <w:lang w:val="es-ES"/>
        </w:rPr>
      </w:pPr>
      <w:r w:rsidRPr="004330DB">
        <w:rPr>
          <w:bCs/>
          <w:szCs w:val="22"/>
          <w:lang w:val="es-ES"/>
        </w:rPr>
        <w:t>A</w:t>
      </w:r>
      <w:r w:rsidR="004E7840" w:rsidRPr="004330DB">
        <w:rPr>
          <w:bCs/>
          <w:szCs w:val="22"/>
          <w:lang w:val="es-ES"/>
        </w:rPr>
        <w:t xml:space="preserve"> finales de</w:t>
      </w:r>
      <w:r w:rsidRPr="004330DB">
        <w:rPr>
          <w:bCs/>
          <w:szCs w:val="22"/>
          <w:lang w:val="es-ES"/>
        </w:rPr>
        <w:t xml:space="preserve"> 2016, </w:t>
      </w:r>
      <w:r w:rsidR="004E7840" w:rsidRPr="004330DB">
        <w:rPr>
          <w:bCs/>
          <w:szCs w:val="22"/>
          <w:lang w:val="es-ES"/>
        </w:rPr>
        <w:t xml:space="preserve">habían </w:t>
      </w:r>
      <w:r w:rsidR="00950B8A">
        <w:rPr>
          <w:bCs/>
          <w:szCs w:val="22"/>
          <w:lang w:val="es-ES"/>
        </w:rPr>
        <w:t xml:space="preserve">sido </w:t>
      </w:r>
      <w:r w:rsidR="004330DB" w:rsidRPr="004330DB">
        <w:rPr>
          <w:bCs/>
          <w:szCs w:val="22"/>
          <w:lang w:val="es-ES"/>
        </w:rPr>
        <w:t>creado</w:t>
      </w:r>
      <w:r w:rsidR="00950B8A">
        <w:rPr>
          <w:bCs/>
          <w:szCs w:val="22"/>
          <w:lang w:val="es-ES"/>
        </w:rPr>
        <w:t>s</w:t>
      </w:r>
      <w:r w:rsidR="004E7840" w:rsidRPr="004330DB">
        <w:rPr>
          <w:bCs/>
          <w:szCs w:val="22"/>
          <w:lang w:val="es-ES"/>
        </w:rPr>
        <w:t xml:space="preserve"> </w:t>
      </w:r>
      <w:r w:rsidRPr="004330DB">
        <w:rPr>
          <w:bCs/>
          <w:szCs w:val="22"/>
          <w:lang w:val="es-ES"/>
        </w:rPr>
        <w:t>140</w:t>
      </w:r>
      <w:r w:rsidR="008F36ED" w:rsidRPr="004330DB">
        <w:rPr>
          <w:bCs/>
          <w:szCs w:val="22"/>
          <w:lang w:val="es-ES"/>
        </w:rPr>
        <w:t> </w:t>
      </w:r>
      <w:r w:rsidR="004E7840" w:rsidRPr="004330DB">
        <w:rPr>
          <w:bCs/>
          <w:szCs w:val="22"/>
          <w:lang w:val="es-ES"/>
        </w:rPr>
        <w:t xml:space="preserve">Centros de Apoyo a la </w:t>
      </w:r>
      <w:r w:rsidR="004330DB" w:rsidRPr="004330DB">
        <w:rPr>
          <w:bCs/>
          <w:szCs w:val="22"/>
          <w:lang w:val="es-ES"/>
        </w:rPr>
        <w:t>Tecnología</w:t>
      </w:r>
      <w:r w:rsidRPr="004330DB">
        <w:rPr>
          <w:bCs/>
          <w:szCs w:val="22"/>
          <w:lang w:val="es-ES"/>
        </w:rPr>
        <w:t xml:space="preserve"> </w:t>
      </w:r>
      <w:r w:rsidR="004E7840" w:rsidRPr="004330DB">
        <w:rPr>
          <w:bCs/>
          <w:szCs w:val="22"/>
          <w:lang w:val="es-ES"/>
        </w:rPr>
        <w:t xml:space="preserve">y la </w:t>
      </w:r>
      <w:r w:rsidR="004330DB" w:rsidRPr="004330DB">
        <w:rPr>
          <w:bCs/>
          <w:szCs w:val="22"/>
          <w:lang w:val="es-ES"/>
        </w:rPr>
        <w:t>Innovación</w:t>
      </w:r>
      <w:r w:rsidRPr="004330DB">
        <w:rPr>
          <w:bCs/>
          <w:szCs w:val="22"/>
          <w:lang w:val="es-ES"/>
        </w:rPr>
        <w:t xml:space="preserve"> </w:t>
      </w:r>
      <w:r w:rsidR="004E7840" w:rsidRPr="004330DB">
        <w:rPr>
          <w:bCs/>
          <w:szCs w:val="22"/>
          <w:lang w:val="es-ES"/>
        </w:rPr>
        <w:t>en </w:t>
      </w:r>
      <w:r w:rsidRPr="004330DB">
        <w:rPr>
          <w:bCs/>
          <w:szCs w:val="22"/>
          <w:lang w:val="es-ES"/>
        </w:rPr>
        <w:t>65</w:t>
      </w:r>
      <w:r w:rsidR="004E7840" w:rsidRPr="004330DB">
        <w:rPr>
          <w:bCs/>
          <w:szCs w:val="22"/>
          <w:lang w:val="es-ES"/>
        </w:rPr>
        <w:t xml:space="preserve"> </w:t>
      </w:r>
      <w:r w:rsidR="004330DB" w:rsidRPr="004330DB">
        <w:rPr>
          <w:bCs/>
          <w:szCs w:val="22"/>
          <w:lang w:val="es-ES"/>
        </w:rPr>
        <w:t>regiones</w:t>
      </w:r>
      <w:r w:rsidRPr="004330DB">
        <w:rPr>
          <w:bCs/>
          <w:szCs w:val="22"/>
          <w:lang w:val="es-ES"/>
        </w:rPr>
        <w:t xml:space="preserve"> </w:t>
      </w:r>
      <w:r w:rsidR="004E7840" w:rsidRPr="004330DB">
        <w:rPr>
          <w:bCs/>
          <w:szCs w:val="22"/>
          <w:lang w:val="es-ES"/>
        </w:rPr>
        <w:t xml:space="preserve">de la Federación de </w:t>
      </w:r>
      <w:r w:rsidR="004330DB" w:rsidRPr="004330DB">
        <w:rPr>
          <w:bCs/>
          <w:szCs w:val="22"/>
          <w:lang w:val="es-ES"/>
        </w:rPr>
        <w:t>Rusia</w:t>
      </w:r>
      <w:r w:rsidRPr="004330DB">
        <w:rPr>
          <w:bCs/>
          <w:szCs w:val="22"/>
          <w:lang w:val="es-ES"/>
        </w:rPr>
        <w:t>.</w:t>
      </w:r>
    </w:p>
    <w:p w:rsidR="00D202A4" w:rsidRPr="004330DB" w:rsidRDefault="00D202A4" w:rsidP="00D202A4">
      <w:pPr>
        <w:rPr>
          <w:b/>
          <w:bCs/>
          <w:szCs w:val="22"/>
          <w:lang w:val="es-ES"/>
        </w:rPr>
      </w:pPr>
    </w:p>
    <w:p w:rsidR="00D202A4" w:rsidRPr="004330DB" w:rsidRDefault="006D777D" w:rsidP="00D202A4">
      <w:pPr>
        <w:rPr>
          <w:b/>
          <w:bCs/>
          <w:szCs w:val="22"/>
          <w:lang w:val="es-ES"/>
        </w:rPr>
      </w:pPr>
      <w:r w:rsidRPr="004330DB">
        <w:rPr>
          <w:b/>
          <w:bCs/>
          <w:szCs w:val="22"/>
          <w:lang w:val="es-ES"/>
        </w:rPr>
        <w:t>Industrias principales</w:t>
      </w:r>
      <w:r w:rsidR="00D202A4" w:rsidRPr="004330DB">
        <w:rPr>
          <w:b/>
          <w:bCs/>
          <w:szCs w:val="22"/>
          <w:lang w:val="es-ES"/>
        </w:rPr>
        <w:t>:</w:t>
      </w:r>
    </w:p>
    <w:p w:rsidR="008F36ED" w:rsidRPr="004330DB" w:rsidRDefault="008F36ED" w:rsidP="00D202A4">
      <w:pPr>
        <w:rPr>
          <w:b/>
          <w:bCs/>
          <w:szCs w:val="22"/>
          <w:lang w:val="es-ES"/>
        </w:rPr>
      </w:pPr>
    </w:p>
    <w:p w:rsidR="00D202A4" w:rsidRPr="004330DB" w:rsidRDefault="008A2538" w:rsidP="00897A57">
      <w:pPr>
        <w:rPr>
          <w:szCs w:val="22"/>
          <w:highlight w:val="cyan"/>
          <w:lang w:val="es-ES"/>
        </w:rPr>
      </w:pPr>
      <w:r w:rsidRPr="004330DB">
        <w:rPr>
          <w:szCs w:val="22"/>
          <w:lang w:val="es-ES"/>
        </w:rPr>
        <w:t>Actualmente</w:t>
      </w:r>
      <w:r w:rsidR="00D202A4" w:rsidRPr="004330DB">
        <w:rPr>
          <w:szCs w:val="22"/>
          <w:lang w:val="es-ES"/>
        </w:rPr>
        <w:t xml:space="preserve">, </w:t>
      </w:r>
      <w:r w:rsidRPr="004330DB">
        <w:rPr>
          <w:szCs w:val="22"/>
          <w:lang w:val="es-ES"/>
        </w:rPr>
        <w:t xml:space="preserve">el </w:t>
      </w:r>
      <w:r w:rsidR="00D202A4" w:rsidRPr="004330DB">
        <w:rPr>
          <w:szCs w:val="22"/>
          <w:lang w:val="es-ES"/>
        </w:rPr>
        <w:t xml:space="preserve">sector </w:t>
      </w:r>
      <w:r w:rsidRPr="004330DB">
        <w:rPr>
          <w:szCs w:val="22"/>
          <w:lang w:val="es-ES"/>
        </w:rPr>
        <w:t>industrial e</w:t>
      </w:r>
      <w:r w:rsidR="00D202A4" w:rsidRPr="004330DB">
        <w:rPr>
          <w:szCs w:val="22"/>
          <w:lang w:val="es-ES"/>
        </w:rPr>
        <w:t xml:space="preserve">n </w:t>
      </w:r>
      <w:r w:rsidRPr="004330DB">
        <w:rPr>
          <w:szCs w:val="22"/>
          <w:lang w:val="es-ES"/>
        </w:rPr>
        <w:t xml:space="preserve">la Federación de </w:t>
      </w:r>
      <w:r w:rsidR="004330DB" w:rsidRPr="004330DB">
        <w:rPr>
          <w:szCs w:val="22"/>
          <w:lang w:val="es-ES"/>
        </w:rPr>
        <w:t>Rusia</w:t>
      </w:r>
      <w:r w:rsidRPr="004330DB">
        <w:rPr>
          <w:szCs w:val="22"/>
          <w:lang w:val="es-ES"/>
        </w:rPr>
        <w:t xml:space="preserve"> incluye los siguientes ámbitos competitivos</w:t>
      </w:r>
      <w:r w:rsidR="00D202A4" w:rsidRPr="004330DB">
        <w:rPr>
          <w:szCs w:val="22"/>
          <w:lang w:val="es-ES"/>
        </w:rPr>
        <w:t xml:space="preserve">: </w:t>
      </w:r>
      <w:r w:rsidRPr="004330DB">
        <w:rPr>
          <w:szCs w:val="22"/>
          <w:lang w:val="es-ES"/>
        </w:rPr>
        <w:t xml:space="preserve"> industria del petróleo y del</w:t>
      </w:r>
      <w:r w:rsidR="00D202A4" w:rsidRPr="004330DB">
        <w:rPr>
          <w:szCs w:val="22"/>
          <w:lang w:val="es-ES"/>
        </w:rPr>
        <w:t xml:space="preserve"> gas, </w:t>
      </w:r>
      <w:r w:rsidR="00711A13" w:rsidRPr="004330DB">
        <w:rPr>
          <w:szCs w:val="22"/>
          <w:lang w:val="es-ES"/>
        </w:rPr>
        <w:t>explotación minera</w:t>
      </w:r>
      <w:r w:rsidRPr="004330DB">
        <w:rPr>
          <w:szCs w:val="22"/>
          <w:lang w:val="es-ES"/>
        </w:rPr>
        <w:t xml:space="preserve"> y elaboración de </w:t>
      </w:r>
      <w:r w:rsidR="000279F5" w:rsidRPr="004330DB">
        <w:rPr>
          <w:szCs w:val="22"/>
          <w:lang w:val="es-ES"/>
        </w:rPr>
        <w:t>piedras</w:t>
      </w:r>
      <w:r w:rsidRPr="004330DB">
        <w:rPr>
          <w:szCs w:val="22"/>
          <w:lang w:val="es-ES"/>
        </w:rPr>
        <w:t xml:space="preserve"> </w:t>
      </w:r>
      <w:r w:rsidR="006D7207">
        <w:rPr>
          <w:szCs w:val="22"/>
          <w:lang w:val="es-ES"/>
        </w:rPr>
        <w:t>preciosa</w:t>
      </w:r>
      <w:r w:rsidR="006D7207" w:rsidRPr="004330DB">
        <w:rPr>
          <w:szCs w:val="22"/>
          <w:lang w:val="es-ES"/>
        </w:rPr>
        <w:t xml:space="preserve">s </w:t>
      </w:r>
      <w:r w:rsidRPr="004330DB">
        <w:rPr>
          <w:szCs w:val="22"/>
          <w:lang w:val="es-ES"/>
        </w:rPr>
        <w:t xml:space="preserve">y </w:t>
      </w:r>
      <w:r w:rsidR="004330DB" w:rsidRPr="004330DB">
        <w:rPr>
          <w:szCs w:val="22"/>
          <w:lang w:val="es-ES"/>
        </w:rPr>
        <w:t>metales</w:t>
      </w:r>
      <w:r w:rsidR="00D202A4" w:rsidRPr="004330DB">
        <w:rPr>
          <w:szCs w:val="22"/>
          <w:lang w:val="es-ES"/>
        </w:rPr>
        <w:t xml:space="preserve">, </w:t>
      </w:r>
      <w:r w:rsidR="000279F5" w:rsidRPr="004330DB">
        <w:rPr>
          <w:szCs w:val="22"/>
          <w:lang w:val="es-ES"/>
        </w:rPr>
        <w:t>ingeniería de aeronaves</w:t>
      </w:r>
      <w:r w:rsidR="00D202A4" w:rsidRPr="004330DB">
        <w:rPr>
          <w:szCs w:val="22"/>
          <w:lang w:val="es-ES"/>
        </w:rPr>
        <w:t xml:space="preserve">, </w:t>
      </w:r>
      <w:r w:rsidR="000279F5" w:rsidRPr="004330DB">
        <w:rPr>
          <w:szCs w:val="22"/>
          <w:lang w:val="es-ES"/>
        </w:rPr>
        <w:t>producción de cohetes y naves espaciales</w:t>
      </w:r>
      <w:r w:rsidR="00D202A4" w:rsidRPr="004330DB">
        <w:rPr>
          <w:szCs w:val="22"/>
          <w:lang w:val="es-ES"/>
        </w:rPr>
        <w:t xml:space="preserve">, </w:t>
      </w:r>
      <w:r w:rsidR="000279F5" w:rsidRPr="004330DB">
        <w:rPr>
          <w:szCs w:val="22"/>
          <w:lang w:val="es-ES"/>
        </w:rPr>
        <w:t xml:space="preserve">industria </w:t>
      </w:r>
      <w:r w:rsidR="00D202A4" w:rsidRPr="004330DB">
        <w:rPr>
          <w:szCs w:val="22"/>
          <w:lang w:val="es-ES"/>
        </w:rPr>
        <w:t xml:space="preserve">nuclear, </w:t>
      </w:r>
      <w:r w:rsidR="004330DB" w:rsidRPr="004330DB">
        <w:rPr>
          <w:szCs w:val="22"/>
          <w:lang w:val="es-ES"/>
        </w:rPr>
        <w:t>producción</w:t>
      </w:r>
      <w:r w:rsidR="00D202A4" w:rsidRPr="004330DB">
        <w:rPr>
          <w:szCs w:val="22"/>
          <w:lang w:val="es-ES"/>
        </w:rPr>
        <w:t xml:space="preserve"> </w:t>
      </w:r>
      <w:r w:rsidR="000279F5" w:rsidRPr="004330DB">
        <w:rPr>
          <w:szCs w:val="22"/>
          <w:lang w:val="es-ES"/>
        </w:rPr>
        <w:t>de armas y equipamiento militar</w:t>
      </w:r>
      <w:r w:rsidR="00D202A4" w:rsidRPr="004330DB">
        <w:rPr>
          <w:szCs w:val="22"/>
          <w:lang w:val="es-ES"/>
        </w:rPr>
        <w:t xml:space="preserve">, </w:t>
      </w:r>
      <w:r w:rsidR="000279F5" w:rsidRPr="004330DB">
        <w:rPr>
          <w:szCs w:val="22"/>
          <w:lang w:val="es-ES"/>
        </w:rPr>
        <w:t>tecnología eléctrica</w:t>
      </w:r>
      <w:r w:rsidR="00D202A4" w:rsidRPr="004330DB">
        <w:rPr>
          <w:szCs w:val="22"/>
          <w:lang w:val="es-ES"/>
        </w:rPr>
        <w:t xml:space="preserve">, </w:t>
      </w:r>
      <w:r w:rsidR="000279F5" w:rsidRPr="004330DB">
        <w:rPr>
          <w:szCs w:val="22"/>
          <w:lang w:val="es-ES"/>
        </w:rPr>
        <w:t>industria del papel y del cartón</w:t>
      </w:r>
      <w:r w:rsidR="00D202A4" w:rsidRPr="004330DB">
        <w:rPr>
          <w:szCs w:val="22"/>
          <w:lang w:val="es-ES"/>
        </w:rPr>
        <w:t xml:space="preserve">, </w:t>
      </w:r>
      <w:r w:rsidR="000279F5" w:rsidRPr="004330DB">
        <w:rPr>
          <w:szCs w:val="22"/>
          <w:lang w:val="es-ES"/>
        </w:rPr>
        <w:t>industria automotriz</w:t>
      </w:r>
      <w:r w:rsidR="00D202A4" w:rsidRPr="004330DB">
        <w:rPr>
          <w:szCs w:val="22"/>
          <w:lang w:val="es-ES"/>
        </w:rPr>
        <w:t>, transport</w:t>
      </w:r>
      <w:r w:rsidR="000279F5" w:rsidRPr="004330DB">
        <w:rPr>
          <w:szCs w:val="22"/>
          <w:lang w:val="es-ES"/>
        </w:rPr>
        <w:t>e</w:t>
      </w:r>
      <w:r w:rsidR="00D202A4" w:rsidRPr="004330DB">
        <w:rPr>
          <w:szCs w:val="22"/>
          <w:lang w:val="es-ES"/>
        </w:rPr>
        <w:t xml:space="preserve">, </w:t>
      </w:r>
      <w:r w:rsidR="000279F5" w:rsidRPr="004330DB">
        <w:rPr>
          <w:szCs w:val="22"/>
          <w:lang w:val="es-ES"/>
        </w:rPr>
        <w:t>maquinaria vial y agrícola</w:t>
      </w:r>
      <w:r w:rsidR="00D202A4" w:rsidRPr="004330DB">
        <w:rPr>
          <w:szCs w:val="22"/>
          <w:lang w:val="es-ES"/>
        </w:rPr>
        <w:t xml:space="preserve">, </w:t>
      </w:r>
      <w:r w:rsidR="004330DB" w:rsidRPr="004330DB">
        <w:rPr>
          <w:szCs w:val="22"/>
          <w:lang w:val="es-ES"/>
        </w:rPr>
        <w:t>industria</w:t>
      </w:r>
      <w:r w:rsidR="000279F5" w:rsidRPr="004330DB">
        <w:rPr>
          <w:szCs w:val="22"/>
          <w:lang w:val="es-ES"/>
        </w:rPr>
        <w:t xml:space="preserve"> de  bienes de consumo</w:t>
      </w:r>
      <w:r w:rsidR="00D202A4" w:rsidRPr="004330DB">
        <w:rPr>
          <w:szCs w:val="22"/>
          <w:lang w:val="es-ES"/>
        </w:rPr>
        <w:t xml:space="preserve">, </w:t>
      </w:r>
      <w:r w:rsidR="000279F5" w:rsidRPr="004330DB">
        <w:rPr>
          <w:szCs w:val="22"/>
          <w:lang w:val="es-ES"/>
        </w:rPr>
        <w:t>industria alimentaria</w:t>
      </w:r>
      <w:r w:rsidR="00D202A4" w:rsidRPr="004330DB">
        <w:rPr>
          <w:szCs w:val="22"/>
          <w:lang w:val="es-ES"/>
        </w:rPr>
        <w:t xml:space="preserve">, </w:t>
      </w:r>
      <w:r w:rsidR="000279F5" w:rsidRPr="004330DB">
        <w:rPr>
          <w:szCs w:val="22"/>
          <w:lang w:val="es-ES"/>
        </w:rPr>
        <w:t xml:space="preserve">plantas de construcción de </w:t>
      </w:r>
      <w:r w:rsidR="004330DB" w:rsidRPr="004330DB">
        <w:rPr>
          <w:szCs w:val="22"/>
          <w:lang w:val="es-ES"/>
        </w:rPr>
        <w:t>maquinaria</w:t>
      </w:r>
      <w:r w:rsidR="00D202A4" w:rsidRPr="004330DB">
        <w:rPr>
          <w:szCs w:val="22"/>
          <w:lang w:val="es-ES"/>
        </w:rPr>
        <w:t xml:space="preserve">, </w:t>
      </w:r>
      <w:r w:rsidR="000279F5" w:rsidRPr="004330DB">
        <w:rPr>
          <w:szCs w:val="22"/>
          <w:lang w:val="es-ES"/>
        </w:rPr>
        <w:t>industria química y petroquímica</w:t>
      </w:r>
      <w:r w:rsidR="00D202A4" w:rsidRPr="004330DB">
        <w:rPr>
          <w:szCs w:val="22"/>
          <w:lang w:val="es-ES"/>
        </w:rPr>
        <w:t xml:space="preserve">, </w:t>
      </w:r>
      <w:r w:rsidR="000279F5" w:rsidRPr="004330DB">
        <w:rPr>
          <w:szCs w:val="22"/>
          <w:lang w:val="es-ES"/>
        </w:rPr>
        <w:t>plantas de combustible y energía eléctrica</w:t>
      </w:r>
      <w:r w:rsidR="00D202A4" w:rsidRPr="004330DB">
        <w:rPr>
          <w:szCs w:val="22"/>
          <w:lang w:val="es-ES"/>
        </w:rPr>
        <w:t xml:space="preserve">, </w:t>
      </w:r>
      <w:r w:rsidR="000279F5" w:rsidRPr="004330DB">
        <w:rPr>
          <w:szCs w:val="22"/>
          <w:lang w:val="es-ES"/>
        </w:rPr>
        <w:t>metalurgia</w:t>
      </w:r>
      <w:r w:rsidR="00D202A4" w:rsidRPr="004330DB">
        <w:rPr>
          <w:szCs w:val="22"/>
          <w:lang w:val="es-ES"/>
        </w:rPr>
        <w:t xml:space="preserve">, </w:t>
      </w:r>
      <w:r w:rsidR="006D7207">
        <w:rPr>
          <w:szCs w:val="22"/>
          <w:lang w:val="es-ES"/>
        </w:rPr>
        <w:t>material agrícola</w:t>
      </w:r>
      <w:r w:rsidR="00D202A4" w:rsidRPr="004330DB">
        <w:rPr>
          <w:szCs w:val="22"/>
          <w:lang w:val="es-ES"/>
        </w:rPr>
        <w:t>.</w:t>
      </w:r>
    </w:p>
    <w:p w:rsidR="00D202A4" w:rsidRPr="004330DB" w:rsidRDefault="00D202A4" w:rsidP="00D202A4">
      <w:pPr>
        <w:rPr>
          <w:szCs w:val="22"/>
          <w:lang w:val="es-ES"/>
        </w:rPr>
      </w:pPr>
    </w:p>
    <w:p w:rsidR="00D202A4" w:rsidRPr="004330DB" w:rsidRDefault="006D777D" w:rsidP="00D202A4">
      <w:pPr>
        <w:rPr>
          <w:b/>
          <w:bCs/>
          <w:szCs w:val="22"/>
          <w:lang w:val="es-ES"/>
        </w:rPr>
      </w:pPr>
      <w:r w:rsidRPr="004330DB">
        <w:rPr>
          <w:b/>
          <w:bCs/>
          <w:szCs w:val="22"/>
          <w:lang w:val="es-ES"/>
        </w:rPr>
        <w:t>Principales socios comerciales</w:t>
      </w:r>
      <w:r w:rsidR="00D202A4" w:rsidRPr="004330DB">
        <w:rPr>
          <w:b/>
          <w:bCs/>
          <w:szCs w:val="22"/>
          <w:lang w:val="es-ES"/>
        </w:rPr>
        <w:t>:</w:t>
      </w:r>
    </w:p>
    <w:p w:rsidR="00D202A4" w:rsidRPr="004330DB" w:rsidRDefault="00D202A4" w:rsidP="00D202A4">
      <w:pPr>
        <w:rPr>
          <w:b/>
          <w:bCs/>
          <w:szCs w:val="22"/>
          <w:highlight w:val="cyan"/>
          <w:lang w:val="es-ES"/>
        </w:rPr>
      </w:pPr>
    </w:p>
    <w:p w:rsidR="00D202A4" w:rsidRPr="004330DB" w:rsidRDefault="009A191B" w:rsidP="00D202A4">
      <w:pPr>
        <w:rPr>
          <w:bCs/>
          <w:szCs w:val="22"/>
          <w:lang w:val="es-ES"/>
        </w:rPr>
      </w:pPr>
      <w:r w:rsidRPr="004330DB">
        <w:rPr>
          <w:bCs/>
          <w:szCs w:val="22"/>
          <w:lang w:val="es-ES"/>
        </w:rPr>
        <w:t>Desde el 22 de agosto de</w:t>
      </w:r>
      <w:r w:rsidR="00D202A4" w:rsidRPr="004330DB">
        <w:rPr>
          <w:bCs/>
          <w:szCs w:val="22"/>
          <w:lang w:val="es-ES"/>
        </w:rPr>
        <w:t xml:space="preserve"> 2013, </w:t>
      </w:r>
      <w:r w:rsidRPr="004330DB">
        <w:rPr>
          <w:bCs/>
          <w:szCs w:val="22"/>
          <w:lang w:val="es-ES"/>
        </w:rPr>
        <w:t xml:space="preserve">la Federación de </w:t>
      </w:r>
      <w:r w:rsidR="004330DB" w:rsidRPr="004330DB">
        <w:rPr>
          <w:bCs/>
          <w:szCs w:val="22"/>
          <w:lang w:val="es-ES"/>
        </w:rPr>
        <w:t>Rusia</w:t>
      </w:r>
      <w:r w:rsidR="00D202A4" w:rsidRPr="004330DB">
        <w:rPr>
          <w:bCs/>
          <w:szCs w:val="22"/>
          <w:lang w:val="es-ES"/>
        </w:rPr>
        <w:t xml:space="preserve"> </w:t>
      </w:r>
      <w:r w:rsidRPr="004330DB">
        <w:rPr>
          <w:bCs/>
          <w:szCs w:val="22"/>
          <w:lang w:val="es-ES"/>
        </w:rPr>
        <w:t>es Miembro de la Organización Mundial del Comercio</w:t>
      </w:r>
      <w:r w:rsidR="00D202A4" w:rsidRPr="004330DB">
        <w:rPr>
          <w:bCs/>
          <w:szCs w:val="22"/>
          <w:lang w:val="es-ES"/>
        </w:rPr>
        <w:t>.</w:t>
      </w:r>
      <w:r w:rsidR="00E5482A" w:rsidRPr="004330DB">
        <w:rPr>
          <w:bCs/>
          <w:szCs w:val="22"/>
          <w:lang w:val="es-ES"/>
        </w:rPr>
        <w:t xml:space="preserve"> </w:t>
      </w:r>
      <w:r w:rsidR="00D202A4" w:rsidRPr="004330DB">
        <w:rPr>
          <w:bCs/>
          <w:szCs w:val="22"/>
          <w:lang w:val="es-ES"/>
        </w:rPr>
        <w:t xml:space="preserve"> </w:t>
      </w:r>
      <w:r w:rsidRPr="004330DB">
        <w:rPr>
          <w:bCs/>
          <w:szCs w:val="22"/>
          <w:lang w:val="es-ES"/>
        </w:rPr>
        <w:t>También es miembro del Acuerdo de Libre Comercio de la CEI</w:t>
      </w:r>
      <w:r w:rsidR="00D202A4" w:rsidRPr="004330DB">
        <w:rPr>
          <w:bCs/>
          <w:szCs w:val="22"/>
          <w:lang w:val="es-ES"/>
        </w:rPr>
        <w:t xml:space="preserve">, </w:t>
      </w:r>
      <w:r w:rsidRPr="004330DB">
        <w:rPr>
          <w:bCs/>
          <w:szCs w:val="22"/>
          <w:lang w:val="es-ES"/>
        </w:rPr>
        <w:t>de la Unión de Aduanas de la Unión Económica de Eurasia</w:t>
      </w:r>
      <w:r w:rsidR="00D202A4" w:rsidRPr="004330DB">
        <w:rPr>
          <w:bCs/>
          <w:szCs w:val="22"/>
          <w:lang w:val="es-ES"/>
        </w:rPr>
        <w:t>, as</w:t>
      </w:r>
      <w:r w:rsidRPr="004330DB">
        <w:rPr>
          <w:bCs/>
          <w:szCs w:val="22"/>
          <w:lang w:val="es-ES"/>
        </w:rPr>
        <w:t>í como de la Unión Económica de Eurasia</w:t>
      </w:r>
      <w:r w:rsidR="00D202A4" w:rsidRPr="004330DB">
        <w:rPr>
          <w:bCs/>
          <w:szCs w:val="22"/>
          <w:lang w:val="es-ES"/>
        </w:rPr>
        <w:t>.</w:t>
      </w:r>
    </w:p>
    <w:p w:rsidR="00D202A4" w:rsidRPr="004330DB" w:rsidRDefault="00D202A4" w:rsidP="00D202A4">
      <w:pPr>
        <w:rPr>
          <w:bCs/>
          <w:szCs w:val="22"/>
          <w:highlight w:val="cyan"/>
          <w:lang w:val="es-ES"/>
        </w:rPr>
      </w:pPr>
    </w:p>
    <w:p w:rsidR="00D202A4" w:rsidRPr="004330DB" w:rsidRDefault="009A191B" w:rsidP="00D202A4">
      <w:pPr>
        <w:rPr>
          <w:bCs/>
          <w:szCs w:val="22"/>
          <w:lang w:val="es-ES"/>
        </w:rPr>
      </w:pPr>
      <w:r w:rsidRPr="004330DB">
        <w:rPr>
          <w:bCs/>
          <w:szCs w:val="22"/>
          <w:lang w:val="es-ES"/>
        </w:rPr>
        <w:t>Países que no pertenecen a la CEI</w:t>
      </w:r>
      <w:r w:rsidR="00D202A4" w:rsidRPr="004330DB">
        <w:rPr>
          <w:bCs/>
          <w:szCs w:val="22"/>
          <w:lang w:val="es-ES"/>
        </w:rPr>
        <w:t xml:space="preserve">: </w:t>
      </w:r>
      <w:r w:rsidR="00E5482A" w:rsidRPr="004330DB">
        <w:rPr>
          <w:bCs/>
          <w:szCs w:val="22"/>
          <w:lang w:val="es-ES"/>
        </w:rPr>
        <w:t xml:space="preserve"> </w:t>
      </w:r>
      <w:r w:rsidRPr="004330DB">
        <w:rPr>
          <w:bCs/>
          <w:szCs w:val="22"/>
          <w:lang w:val="es-ES"/>
        </w:rPr>
        <w:t>Alemania, Brasil, China, Estados Unidos de América, Finlandia, Francia, India, Italia, Japón, Países Bajos, Polonia, Reino Unido, Sudáfrica y Turquía</w:t>
      </w:r>
      <w:r w:rsidR="006D7207">
        <w:rPr>
          <w:bCs/>
          <w:szCs w:val="22"/>
          <w:lang w:val="es-ES"/>
        </w:rPr>
        <w:t>.</w:t>
      </w:r>
    </w:p>
    <w:p w:rsidR="00D202A4" w:rsidRPr="004330DB" w:rsidRDefault="00D202A4" w:rsidP="00D202A4">
      <w:pPr>
        <w:rPr>
          <w:bCs/>
          <w:szCs w:val="22"/>
          <w:highlight w:val="cyan"/>
          <w:lang w:val="es-ES"/>
        </w:rPr>
      </w:pPr>
    </w:p>
    <w:p w:rsidR="00D202A4" w:rsidRPr="004330DB" w:rsidRDefault="004330DB" w:rsidP="00D202A4">
      <w:pPr>
        <w:rPr>
          <w:bCs/>
          <w:szCs w:val="22"/>
          <w:lang w:val="es-ES"/>
        </w:rPr>
      </w:pPr>
      <w:r>
        <w:rPr>
          <w:bCs/>
          <w:szCs w:val="22"/>
          <w:lang w:val="es-ES"/>
        </w:rPr>
        <w:t>Países de la CEI</w:t>
      </w:r>
      <w:r w:rsidR="00D202A4" w:rsidRPr="004330DB">
        <w:rPr>
          <w:bCs/>
          <w:szCs w:val="22"/>
          <w:lang w:val="es-ES"/>
        </w:rPr>
        <w:t xml:space="preserve">: </w:t>
      </w:r>
      <w:r w:rsidR="00E5482A" w:rsidRPr="004330DB">
        <w:rPr>
          <w:bCs/>
          <w:szCs w:val="22"/>
          <w:lang w:val="es-ES"/>
        </w:rPr>
        <w:t xml:space="preserve"> </w:t>
      </w:r>
      <w:r w:rsidR="00D202A4" w:rsidRPr="004330DB">
        <w:rPr>
          <w:bCs/>
          <w:szCs w:val="22"/>
          <w:lang w:val="es-ES"/>
        </w:rPr>
        <w:t>Belar</w:t>
      </w:r>
      <w:r w:rsidR="009A191B" w:rsidRPr="004330DB">
        <w:rPr>
          <w:bCs/>
          <w:szCs w:val="22"/>
          <w:lang w:val="es-ES"/>
        </w:rPr>
        <w:t>ú</w:t>
      </w:r>
      <w:r w:rsidR="00D202A4" w:rsidRPr="004330DB">
        <w:rPr>
          <w:bCs/>
          <w:szCs w:val="22"/>
          <w:lang w:val="es-ES"/>
        </w:rPr>
        <w:t>s, Kaza</w:t>
      </w:r>
      <w:r w:rsidR="009A191B" w:rsidRPr="004330DB">
        <w:rPr>
          <w:bCs/>
          <w:szCs w:val="22"/>
          <w:lang w:val="es-ES"/>
        </w:rPr>
        <w:t>j</w:t>
      </w:r>
      <w:r w:rsidR="00D202A4" w:rsidRPr="004330DB">
        <w:rPr>
          <w:bCs/>
          <w:szCs w:val="22"/>
          <w:lang w:val="es-ES"/>
        </w:rPr>
        <w:t>st</w:t>
      </w:r>
      <w:r w:rsidR="009A191B" w:rsidRPr="004330DB">
        <w:rPr>
          <w:bCs/>
          <w:szCs w:val="22"/>
          <w:lang w:val="es-ES"/>
        </w:rPr>
        <w:t>á</w:t>
      </w:r>
      <w:r w:rsidR="00D202A4" w:rsidRPr="004330DB">
        <w:rPr>
          <w:bCs/>
          <w:szCs w:val="22"/>
          <w:lang w:val="es-ES"/>
        </w:rPr>
        <w:t>n.</w:t>
      </w:r>
    </w:p>
    <w:p w:rsidR="00E5482A" w:rsidRPr="004330DB" w:rsidRDefault="00E5482A" w:rsidP="007173C8">
      <w:pPr>
        <w:pStyle w:val="SectionHeading"/>
        <w:keepNext w:val="0"/>
        <w:rPr>
          <w:lang w:val="es-ES"/>
        </w:rPr>
      </w:pPr>
      <w:r w:rsidRPr="004330DB">
        <w:rPr>
          <w:lang w:val="es-ES"/>
        </w:rPr>
        <w:t xml:space="preserve">6 – </w:t>
      </w:r>
      <w:r w:rsidR="006D777D" w:rsidRPr="004330DB">
        <w:rPr>
          <w:lang w:val="es-ES"/>
        </w:rPr>
        <w:t>PERFIL DE LAS SOLICITUDES DE PATENTE</w:t>
      </w:r>
    </w:p>
    <w:p w:rsidR="00D202A4" w:rsidRPr="004330DB" w:rsidRDefault="006D777D" w:rsidP="00D202A4">
      <w:pPr>
        <w:rPr>
          <w:rFonts w:eastAsia="Calibri"/>
          <w:bCs/>
          <w:lang w:val="es-ES"/>
        </w:rPr>
      </w:pPr>
      <w:r w:rsidRPr="004330DB">
        <w:rPr>
          <w:b/>
          <w:bCs/>
          <w:lang w:val="es-ES"/>
        </w:rPr>
        <w:t>Número de solicitudes de patente nacional recibidas</w:t>
      </w:r>
      <w:r w:rsidR="006D7207">
        <w:rPr>
          <w:b/>
          <w:bCs/>
          <w:lang w:val="es-ES"/>
        </w:rPr>
        <w:t xml:space="preserve"> </w:t>
      </w:r>
      <w:r w:rsidR="00D202A4" w:rsidRPr="004330DB">
        <w:rPr>
          <w:b/>
          <w:bCs/>
          <w:lang w:val="es-ES"/>
        </w:rPr>
        <w:t xml:space="preserve">– </w:t>
      </w:r>
      <w:r w:rsidRPr="004330DB">
        <w:rPr>
          <w:b/>
          <w:bCs/>
          <w:lang w:val="es-ES"/>
        </w:rPr>
        <w:t>según la vía utilizada</w:t>
      </w:r>
    </w:p>
    <w:p w:rsidR="00D202A4" w:rsidRPr="004330DB" w:rsidRDefault="00D202A4" w:rsidP="00D202A4">
      <w:pPr>
        <w:rPr>
          <w:bCs/>
          <w:highlight w:val="green"/>
          <w:lang w:val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076"/>
        <w:gridCol w:w="1361"/>
        <w:gridCol w:w="1361"/>
        <w:gridCol w:w="1361"/>
        <w:gridCol w:w="1361"/>
      </w:tblGrid>
      <w:tr w:rsidR="00D202A4" w:rsidRPr="004330DB" w:rsidTr="006D7207">
        <w:trPr>
          <w:cantSplit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D202A4" w:rsidRPr="004330DB" w:rsidRDefault="00D202A4">
            <w:pPr>
              <w:jc w:val="right"/>
              <w:rPr>
                <w:b/>
                <w:bCs/>
                <w:szCs w:val="22"/>
                <w:lang w:val="es-ES"/>
              </w:rPr>
            </w:pPr>
          </w:p>
          <w:p w:rsidR="00D202A4" w:rsidRPr="004330DB" w:rsidRDefault="009A191B">
            <w:pPr>
              <w:jc w:val="right"/>
              <w:rPr>
                <w:b/>
                <w:bCs/>
                <w:szCs w:val="22"/>
                <w:lang w:val="es-ES"/>
              </w:rPr>
            </w:pPr>
            <w:r w:rsidRPr="004330DB">
              <w:rPr>
                <w:b/>
                <w:bCs/>
                <w:szCs w:val="22"/>
                <w:lang w:val="es-ES"/>
              </w:rPr>
              <w:t>Año</w:t>
            </w:r>
          </w:p>
          <w:p w:rsidR="00D202A4" w:rsidRPr="004330DB" w:rsidRDefault="009A191B" w:rsidP="009A191B">
            <w:pPr>
              <w:rPr>
                <w:b/>
                <w:bCs/>
                <w:szCs w:val="22"/>
                <w:lang w:val="es-ES"/>
              </w:rPr>
            </w:pPr>
            <w:r w:rsidRPr="004330DB">
              <w:rPr>
                <w:b/>
                <w:bCs/>
                <w:szCs w:val="22"/>
                <w:lang w:val="es-ES"/>
              </w:rPr>
              <w:t>Vía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2012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2013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2014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2015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2016</w:t>
            </w:r>
          </w:p>
        </w:tc>
      </w:tr>
      <w:tr w:rsidR="00D202A4" w:rsidRPr="004330DB" w:rsidTr="006D7207">
        <w:trPr>
          <w:cantSplit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074237" w:rsidP="00074237">
            <w:pPr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Primera presentación nacional</w:t>
            </w:r>
            <w:r w:rsidR="00D202A4" w:rsidRPr="004330DB">
              <w:rPr>
                <w:szCs w:val="22"/>
                <w:lang w:val="es-ES"/>
              </w:rPr>
              <w:t>/</w:t>
            </w:r>
            <w:r w:rsidRPr="004330DB">
              <w:rPr>
                <w:szCs w:val="22"/>
                <w:lang w:val="es-ES"/>
              </w:rPr>
              <w:t>prioridad interna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</w:p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28</w:t>
            </w:r>
            <w:r w:rsidR="009A191B" w:rsidRPr="004330DB">
              <w:rPr>
                <w:szCs w:val="22"/>
                <w:lang w:val="es-ES"/>
              </w:rPr>
              <w:t>.</w:t>
            </w:r>
            <w:r w:rsidRPr="004330DB">
              <w:rPr>
                <w:szCs w:val="22"/>
                <w:lang w:val="es-ES"/>
              </w:rPr>
              <w:t>646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</w:p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28</w:t>
            </w:r>
            <w:r w:rsidR="009A191B" w:rsidRPr="004330DB">
              <w:rPr>
                <w:szCs w:val="22"/>
                <w:lang w:val="es-ES"/>
              </w:rPr>
              <w:t>.</w:t>
            </w:r>
            <w:r w:rsidRPr="004330DB">
              <w:rPr>
                <w:szCs w:val="22"/>
                <w:lang w:val="es-ES"/>
              </w:rPr>
              <w:t>682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</w:p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23</w:t>
            </w:r>
            <w:r w:rsidR="009A191B" w:rsidRPr="004330DB">
              <w:rPr>
                <w:szCs w:val="22"/>
                <w:lang w:val="es-ES"/>
              </w:rPr>
              <w:t>.</w:t>
            </w:r>
            <w:r w:rsidRPr="004330DB">
              <w:rPr>
                <w:szCs w:val="22"/>
                <w:lang w:val="es-ES"/>
              </w:rPr>
              <w:t>984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</w:p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29</w:t>
            </w:r>
            <w:r w:rsidR="009A191B" w:rsidRPr="004330DB">
              <w:rPr>
                <w:szCs w:val="22"/>
                <w:lang w:val="es-ES"/>
              </w:rPr>
              <w:t>.</w:t>
            </w:r>
            <w:r w:rsidRPr="004330DB">
              <w:rPr>
                <w:szCs w:val="22"/>
                <w:lang w:val="es-ES"/>
              </w:rPr>
              <w:t>194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</w:p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26</w:t>
            </w:r>
            <w:r w:rsidR="009A191B" w:rsidRPr="004330DB">
              <w:rPr>
                <w:szCs w:val="22"/>
                <w:lang w:val="es-ES"/>
              </w:rPr>
              <w:t>.</w:t>
            </w:r>
            <w:r w:rsidRPr="004330DB">
              <w:rPr>
                <w:szCs w:val="22"/>
                <w:lang w:val="es-ES"/>
              </w:rPr>
              <w:t>909</w:t>
            </w:r>
          </w:p>
        </w:tc>
      </w:tr>
      <w:tr w:rsidR="00D202A4" w:rsidRPr="004330DB" w:rsidTr="006D7207">
        <w:trPr>
          <w:cantSplit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 w:rsidP="00074237">
            <w:pPr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Priori</w:t>
            </w:r>
            <w:r w:rsidR="00074237" w:rsidRPr="004330DB">
              <w:rPr>
                <w:szCs w:val="22"/>
                <w:lang w:val="es-ES"/>
              </w:rPr>
              <w:t>dad</w:t>
            </w:r>
            <w:r w:rsidRPr="004330DB">
              <w:rPr>
                <w:szCs w:val="22"/>
                <w:lang w:val="es-ES"/>
              </w:rPr>
              <w:t xml:space="preserve"> </w:t>
            </w:r>
            <w:r w:rsidR="00074237" w:rsidRPr="004330DB">
              <w:rPr>
                <w:szCs w:val="22"/>
                <w:lang w:val="es-ES"/>
              </w:rPr>
              <w:t>con arreglo al Convenio de París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</w:p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2</w:t>
            </w:r>
            <w:r w:rsidR="009A191B" w:rsidRPr="004330DB">
              <w:rPr>
                <w:szCs w:val="22"/>
                <w:lang w:val="es-ES"/>
              </w:rPr>
              <w:t>.</w:t>
            </w:r>
            <w:r w:rsidRPr="004330DB">
              <w:rPr>
                <w:szCs w:val="22"/>
                <w:lang w:val="es-ES"/>
              </w:rPr>
              <w:t>971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</w:p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3</w:t>
            </w:r>
            <w:r w:rsidR="009A191B" w:rsidRPr="004330DB">
              <w:rPr>
                <w:szCs w:val="22"/>
                <w:lang w:val="es-ES"/>
              </w:rPr>
              <w:t>.</w:t>
            </w:r>
            <w:r w:rsidRPr="004330DB">
              <w:rPr>
                <w:szCs w:val="22"/>
                <w:lang w:val="es-ES"/>
              </w:rPr>
              <w:t>117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</w:p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2</w:t>
            </w:r>
            <w:r w:rsidR="009A191B" w:rsidRPr="004330DB">
              <w:rPr>
                <w:szCs w:val="22"/>
                <w:lang w:val="es-ES"/>
              </w:rPr>
              <w:t>.</w:t>
            </w:r>
            <w:r w:rsidRPr="004330DB">
              <w:rPr>
                <w:szCs w:val="22"/>
                <w:lang w:val="es-ES"/>
              </w:rPr>
              <w:t>873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</w:p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3</w:t>
            </w:r>
            <w:r w:rsidR="009A191B" w:rsidRPr="004330DB">
              <w:rPr>
                <w:szCs w:val="22"/>
                <w:lang w:val="es-ES"/>
              </w:rPr>
              <w:t>.</w:t>
            </w:r>
            <w:r w:rsidRPr="004330DB">
              <w:rPr>
                <w:szCs w:val="22"/>
                <w:lang w:val="es-ES"/>
              </w:rPr>
              <w:t>372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</w:p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2</w:t>
            </w:r>
            <w:r w:rsidR="009A191B" w:rsidRPr="004330DB">
              <w:rPr>
                <w:szCs w:val="22"/>
                <w:lang w:val="es-ES"/>
              </w:rPr>
              <w:t>.</w:t>
            </w:r>
            <w:r w:rsidRPr="004330DB">
              <w:rPr>
                <w:szCs w:val="22"/>
                <w:lang w:val="es-ES"/>
              </w:rPr>
              <w:t>966</w:t>
            </w:r>
          </w:p>
        </w:tc>
      </w:tr>
      <w:tr w:rsidR="00D202A4" w:rsidRPr="004330DB" w:rsidTr="006D7207">
        <w:trPr>
          <w:cantSplit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074237" w:rsidP="00074237">
            <w:pPr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 xml:space="preserve">Entrada en la fase nacional del </w:t>
            </w:r>
            <w:r w:rsidR="00D202A4" w:rsidRPr="004330DB">
              <w:rPr>
                <w:szCs w:val="22"/>
                <w:lang w:val="es-ES"/>
              </w:rPr>
              <w:t>PCT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</w:p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12</w:t>
            </w:r>
            <w:r w:rsidR="009A191B" w:rsidRPr="004330DB">
              <w:rPr>
                <w:szCs w:val="22"/>
                <w:lang w:val="es-ES"/>
              </w:rPr>
              <w:t>.</w:t>
            </w:r>
            <w:r w:rsidRPr="004330DB">
              <w:rPr>
                <w:szCs w:val="22"/>
                <w:lang w:val="es-ES"/>
              </w:rPr>
              <w:t>594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</w:p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13</w:t>
            </w:r>
            <w:r w:rsidR="009A191B" w:rsidRPr="004330DB">
              <w:rPr>
                <w:szCs w:val="22"/>
                <w:lang w:val="es-ES"/>
              </w:rPr>
              <w:t>.</w:t>
            </w:r>
            <w:r w:rsidRPr="004330DB">
              <w:rPr>
                <w:szCs w:val="22"/>
                <w:lang w:val="es-ES"/>
              </w:rPr>
              <w:t>115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</w:p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13</w:t>
            </w:r>
            <w:r w:rsidR="009A191B" w:rsidRPr="004330DB">
              <w:rPr>
                <w:szCs w:val="22"/>
                <w:lang w:val="es-ES"/>
              </w:rPr>
              <w:t>.</w:t>
            </w:r>
            <w:r w:rsidRPr="004330DB">
              <w:rPr>
                <w:szCs w:val="22"/>
                <w:lang w:val="es-ES"/>
              </w:rPr>
              <w:t>451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</w:p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12</w:t>
            </w:r>
            <w:r w:rsidR="009A191B" w:rsidRPr="004330DB">
              <w:rPr>
                <w:szCs w:val="22"/>
                <w:lang w:val="es-ES"/>
              </w:rPr>
              <w:t>.</w:t>
            </w:r>
            <w:r w:rsidRPr="004330DB">
              <w:rPr>
                <w:szCs w:val="22"/>
                <w:lang w:val="es-ES"/>
              </w:rPr>
              <w:t>951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</w:p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11</w:t>
            </w:r>
            <w:r w:rsidR="009A191B" w:rsidRPr="004330DB">
              <w:rPr>
                <w:szCs w:val="22"/>
                <w:lang w:val="es-ES"/>
              </w:rPr>
              <w:t>.</w:t>
            </w:r>
            <w:r w:rsidRPr="004330DB">
              <w:rPr>
                <w:szCs w:val="22"/>
                <w:lang w:val="es-ES"/>
              </w:rPr>
              <w:t>712</w:t>
            </w:r>
          </w:p>
        </w:tc>
      </w:tr>
    </w:tbl>
    <w:p w:rsidR="00D202A4" w:rsidRPr="004330DB" w:rsidRDefault="00D202A4" w:rsidP="00D202A4">
      <w:pPr>
        <w:rPr>
          <w:b/>
          <w:bCs/>
          <w:lang w:val="es-ES"/>
        </w:rPr>
      </w:pPr>
    </w:p>
    <w:p w:rsidR="00D202A4" w:rsidRPr="004330DB" w:rsidRDefault="006D777D" w:rsidP="00E5482A">
      <w:pPr>
        <w:keepNext/>
        <w:rPr>
          <w:b/>
          <w:bCs/>
          <w:lang w:val="es-ES"/>
        </w:rPr>
      </w:pPr>
      <w:r w:rsidRPr="004330DB">
        <w:rPr>
          <w:b/>
          <w:bCs/>
          <w:lang w:val="es-ES"/>
        </w:rPr>
        <w:lastRenderedPageBreak/>
        <w:t>Número de solicitudes</w:t>
      </w:r>
      <w:r w:rsidR="00D202A4" w:rsidRPr="004330DB">
        <w:rPr>
          <w:b/>
          <w:bCs/>
          <w:lang w:val="es-ES"/>
        </w:rPr>
        <w:t xml:space="preserve"> </w:t>
      </w:r>
      <w:r w:rsidR="004330DB" w:rsidRPr="004330DB">
        <w:rPr>
          <w:b/>
          <w:bCs/>
          <w:lang w:val="es-ES"/>
        </w:rPr>
        <w:t>nacionales</w:t>
      </w:r>
      <w:r w:rsidRPr="004330DB">
        <w:rPr>
          <w:b/>
          <w:bCs/>
          <w:lang w:val="es-ES"/>
        </w:rPr>
        <w:t xml:space="preserve"> recibidas</w:t>
      </w:r>
      <w:r w:rsidR="006D7207">
        <w:rPr>
          <w:b/>
          <w:bCs/>
          <w:lang w:val="es-ES"/>
        </w:rPr>
        <w:t xml:space="preserve"> </w:t>
      </w:r>
      <w:r w:rsidR="00D202A4" w:rsidRPr="004330DB">
        <w:rPr>
          <w:b/>
          <w:bCs/>
          <w:lang w:val="es-ES"/>
        </w:rPr>
        <w:t xml:space="preserve">– </w:t>
      </w:r>
      <w:r w:rsidRPr="004330DB">
        <w:rPr>
          <w:b/>
          <w:bCs/>
          <w:lang w:val="es-ES"/>
        </w:rPr>
        <w:t>por campo técnico</w:t>
      </w:r>
    </w:p>
    <w:p w:rsidR="00D202A4" w:rsidRPr="004330DB" w:rsidRDefault="00D202A4" w:rsidP="00E5482A">
      <w:pPr>
        <w:keepNext/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992"/>
        <w:gridCol w:w="992"/>
        <w:gridCol w:w="993"/>
        <w:gridCol w:w="992"/>
        <w:gridCol w:w="957"/>
      </w:tblGrid>
      <w:tr w:rsidR="00D202A4" w:rsidRPr="004330DB" w:rsidTr="00D202A4">
        <w:trPr>
          <w:trHeight w:val="563"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711A13" w:rsidP="00711A13">
            <w:pPr>
              <w:keepNext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Desglose de las solicitudes</w:t>
            </w:r>
            <w:r w:rsidR="00D202A4" w:rsidRPr="004330DB">
              <w:rPr>
                <w:szCs w:val="22"/>
                <w:lang w:val="es-ES"/>
              </w:rPr>
              <w:t xml:space="preserve"> </w:t>
            </w:r>
            <w:r w:rsidR="004330DB" w:rsidRPr="004330DB">
              <w:rPr>
                <w:szCs w:val="22"/>
                <w:lang w:val="es-ES"/>
              </w:rPr>
              <w:t>nacional</w:t>
            </w:r>
            <w:r w:rsidR="006D7207">
              <w:rPr>
                <w:szCs w:val="22"/>
                <w:lang w:val="es-ES"/>
              </w:rPr>
              <w:t>es</w:t>
            </w:r>
            <w:r w:rsidRPr="004330DB">
              <w:rPr>
                <w:szCs w:val="22"/>
                <w:lang w:val="es-ES"/>
              </w:rPr>
              <w:t xml:space="preserve"> de conformidad con las 8 secciones de la CIP</w:t>
            </w:r>
            <w:r w:rsidR="00D202A4" w:rsidRPr="004330DB">
              <w:rPr>
                <w:szCs w:val="22"/>
                <w:lang w:val="es-ES"/>
              </w:rPr>
              <w:t xml:space="preserve"> (% </w:t>
            </w:r>
            <w:r w:rsidRPr="004330DB">
              <w:rPr>
                <w:szCs w:val="22"/>
                <w:lang w:val="es-ES"/>
              </w:rPr>
              <w:t>del</w:t>
            </w:r>
            <w:r w:rsidR="00D202A4" w:rsidRPr="004330DB">
              <w:rPr>
                <w:szCs w:val="22"/>
                <w:lang w:val="es-ES"/>
              </w:rPr>
              <w:t xml:space="preserve"> </w:t>
            </w:r>
            <w:r w:rsidRPr="004330DB">
              <w:rPr>
                <w:szCs w:val="22"/>
                <w:lang w:val="es-ES"/>
              </w:rPr>
              <w:t xml:space="preserve">número </w:t>
            </w:r>
            <w:r w:rsidR="00D202A4" w:rsidRPr="004330DB">
              <w:rPr>
                <w:szCs w:val="22"/>
                <w:lang w:val="es-ES"/>
              </w:rPr>
              <w:t xml:space="preserve">total </w:t>
            </w:r>
            <w:r w:rsidRPr="004330DB">
              <w:rPr>
                <w:szCs w:val="22"/>
                <w:lang w:val="es-ES"/>
              </w:rPr>
              <w:t>d</w:t>
            </w:r>
            <w:r w:rsidR="00D202A4" w:rsidRPr="004330DB">
              <w:rPr>
                <w:szCs w:val="22"/>
                <w:lang w:val="es-ES"/>
              </w:rPr>
              <w:t xml:space="preserve">e </w:t>
            </w:r>
            <w:r w:rsidRPr="004330DB">
              <w:rPr>
                <w:szCs w:val="22"/>
                <w:lang w:val="es-ES"/>
              </w:rPr>
              <w:t>solicitudes</w:t>
            </w:r>
            <w:r w:rsidR="00D202A4" w:rsidRPr="004330DB">
              <w:rPr>
                <w:szCs w:val="22"/>
                <w:lang w:val="es-ES"/>
              </w:rPr>
              <w:t>)</w:t>
            </w:r>
          </w:p>
        </w:tc>
        <w:tc>
          <w:tcPr>
            <w:tcW w:w="4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4330DB" w:rsidP="00E5482A">
            <w:pPr>
              <w:keepNext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Año</w:t>
            </w:r>
          </w:p>
        </w:tc>
      </w:tr>
      <w:tr w:rsidR="00D202A4" w:rsidRPr="004330DB" w:rsidTr="00D202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2A4" w:rsidRPr="004330DB" w:rsidRDefault="00D202A4" w:rsidP="00E5482A">
            <w:pPr>
              <w:keepNext/>
              <w:rPr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2015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2016</w:t>
            </w:r>
          </w:p>
        </w:tc>
      </w:tr>
      <w:tr w:rsidR="00D202A4" w:rsidRPr="004330DB" w:rsidTr="00D202A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 w:rsidP="00711A13">
            <w:pPr>
              <w:keepNext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 xml:space="preserve">A – </w:t>
            </w:r>
            <w:r w:rsidR="00711A13" w:rsidRPr="004330DB">
              <w:rPr>
                <w:szCs w:val="22"/>
                <w:lang w:val="es-ES"/>
              </w:rPr>
              <w:t>Necesidades corrientes de la vida (Agricultura</w:t>
            </w:r>
            <w:r w:rsidRPr="004330DB">
              <w:rPr>
                <w:szCs w:val="22"/>
                <w:lang w:val="es-ES"/>
              </w:rPr>
              <w:t xml:space="preserve">, </w:t>
            </w:r>
            <w:r w:rsidR="00711A13" w:rsidRPr="004330DB">
              <w:rPr>
                <w:szCs w:val="22"/>
                <w:lang w:val="es-ES"/>
              </w:rPr>
              <w:t>alimentación</w:t>
            </w:r>
            <w:r w:rsidRPr="004330DB">
              <w:rPr>
                <w:szCs w:val="22"/>
                <w:lang w:val="es-ES"/>
              </w:rPr>
              <w:t xml:space="preserve">, </w:t>
            </w:r>
            <w:r w:rsidR="00711A13" w:rsidRPr="004330DB">
              <w:rPr>
                <w:szCs w:val="22"/>
                <w:lang w:val="es-ES"/>
              </w:rPr>
              <w:t>objetos personales o domésticos</w:t>
            </w:r>
            <w:r w:rsidRPr="004330DB">
              <w:rPr>
                <w:szCs w:val="22"/>
                <w:lang w:val="es-ES"/>
              </w:rPr>
              <w:t xml:space="preserve">, </w:t>
            </w:r>
            <w:r w:rsidR="00711A13" w:rsidRPr="004330DB">
              <w:rPr>
                <w:szCs w:val="22"/>
                <w:lang w:val="es-ES"/>
              </w:rPr>
              <w:t>salud</w:t>
            </w:r>
            <w:r w:rsidRPr="004330DB">
              <w:rPr>
                <w:szCs w:val="22"/>
                <w:lang w:val="es-ES"/>
              </w:rPr>
              <w:t xml:space="preserve">, </w:t>
            </w:r>
            <w:r w:rsidR="00711A13" w:rsidRPr="004330DB">
              <w:rPr>
                <w:szCs w:val="22"/>
                <w:lang w:val="es-ES"/>
              </w:rPr>
              <w:t>salvamento</w:t>
            </w:r>
            <w:r w:rsidRPr="004330DB">
              <w:rPr>
                <w:szCs w:val="22"/>
                <w:lang w:val="es-ES"/>
              </w:rPr>
              <w:t xml:space="preserve">, </w:t>
            </w:r>
            <w:r w:rsidR="00711A13" w:rsidRPr="004330DB">
              <w:rPr>
                <w:szCs w:val="22"/>
                <w:lang w:val="es-ES"/>
              </w:rPr>
              <w:t>diversiones</w:t>
            </w:r>
            <w:r w:rsidRPr="004330DB">
              <w:rPr>
                <w:szCs w:val="22"/>
                <w:lang w:val="es-E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</w:p>
          <w:p w:rsidR="00D202A4" w:rsidRPr="004330DB" w:rsidRDefault="00E5482A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24</w:t>
            </w:r>
            <w:r w:rsidR="006D7207">
              <w:rPr>
                <w:szCs w:val="22"/>
                <w:lang w:val="es-ES"/>
              </w:rPr>
              <w:t>,</w:t>
            </w:r>
            <w:r w:rsidR="00D202A4" w:rsidRPr="004330DB">
              <w:rPr>
                <w:szCs w:val="22"/>
                <w:lang w:val="es-E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</w:p>
          <w:p w:rsidR="00D202A4" w:rsidRPr="004330DB" w:rsidRDefault="00E5482A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27</w:t>
            </w:r>
            <w:r w:rsidR="006D7207">
              <w:rPr>
                <w:szCs w:val="22"/>
                <w:lang w:val="es-ES"/>
              </w:rPr>
              <w:t>,</w:t>
            </w:r>
            <w:r w:rsidR="00D202A4" w:rsidRPr="004330DB">
              <w:rPr>
                <w:szCs w:val="22"/>
                <w:lang w:val="es-E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</w:p>
          <w:p w:rsidR="00D202A4" w:rsidRPr="004330DB" w:rsidRDefault="00E5482A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22</w:t>
            </w:r>
            <w:r w:rsidR="006D7207">
              <w:rPr>
                <w:szCs w:val="22"/>
                <w:lang w:val="es-ES"/>
              </w:rPr>
              <w:t>,</w:t>
            </w:r>
            <w:r w:rsidR="00D202A4" w:rsidRPr="004330DB">
              <w:rPr>
                <w:szCs w:val="22"/>
                <w:lang w:val="es-E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</w:p>
          <w:p w:rsidR="00D202A4" w:rsidRPr="004330DB" w:rsidRDefault="00E5482A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17</w:t>
            </w:r>
            <w:r w:rsidR="006D7207">
              <w:rPr>
                <w:szCs w:val="22"/>
                <w:lang w:val="es-ES"/>
              </w:rPr>
              <w:t>,</w:t>
            </w:r>
            <w:r w:rsidR="00D202A4" w:rsidRPr="004330DB">
              <w:rPr>
                <w:szCs w:val="22"/>
                <w:lang w:val="es-ES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</w:p>
          <w:p w:rsidR="00D202A4" w:rsidRPr="004330DB" w:rsidRDefault="00E5482A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22</w:t>
            </w:r>
            <w:r w:rsidR="006D7207">
              <w:rPr>
                <w:szCs w:val="22"/>
                <w:lang w:val="es-ES"/>
              </w:rPr>
              <w:t>,</w:t>
            </w:r>
            <w:r w:rsidR="00D202A4" w:rsidRPr="004330DB">
              <w:rPr>
                <w:szCs w:val="22"/>
                <w:lang w:val="es-ES"/>
              </w:rPr>
              <w:t>1</w:t>
            </w:r>
          </w:p>
        </w:tc>
      </w:tr>
      <w:tr w:rsidR="00D202A4" w:rsidRPr="004330DB" w:rsidTr="00D202A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4951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023"/>
              <w:gridCol w:w="81"/>
            </w:tblGrid>
            <w:tr w:rsidR="00D202A4" w:rsidRPr="0010108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202A4" w:rsidRPr="004330DB" w:rsidRDefault="00D202A4" w:rsidP="00711A13">
                  <w:pPr>
                    <w:keepNext/>
                    <w:rPr>
                      <w:rFonts w:eastAsia="Times New Roman"/>
                      <w:szCs w:val="22"/>
                      <w:lang w:val="es-ES" w:eastAsia="ru-RU"/>
                    </w:rPr>
                  </w:pPr>
                  <w:r w:rsidRPr="004330DB">
                    <w:rPr>
                      <w:rFonts w:eastAsia="Times New Roman"/>
                      <w:szCs w:val="22"/>
                      <w:lang w:val="es-ES" w:eastAsia="ru-RU"/>
                    </w:rPr>
                    <w:t xml:space="preserve">B – </w:t>
                  </w:r>
                  <w:r w:rsidR="00711A13" w:rsidRPr="004330DB">
                    <w:rPr>
                      <w:rFonts w:eastAsia="Times New Roman"/>
                      <w:szCs w:val="22"/>
                      <w:lang w:val="es-ES" w:eastAsia="ru-RU"/>
                    </w:rPr>
                    <w:t xml:space="preserve">Técnicas </w:t>
                  </w:r>
                  <w:r w:rsidR="004330DB" w:rsidRPr="004330DB">
                    <w:rPr>
                      <w:rFonts w:eastAsia="Times New Roman"/>
                      <w:szCs w:val="22"/>
                      <w:lang w:val="es-ES" w:eastAsia="ru-RU"/>
                    </w:rPr>
                    <w:t>industriales</w:t>
                  </w:r>
                  <w:r w:rsidR="00711A13" w:rsidRPr="004330DB">
                    <w:rPr>
                      <w:rFonts w:eastAsia="Times New Roman"/>
                      <w:szCs w:val="22"/>
                      <w:lang w:val="es-ES" w:eastAsia="ru-RU"/>
                    </w:rPr>
                    <w:t xml:space="preserve"> diversas</w:t>
                  </w:r>
                  <w:r w:rsidRPr="004330DB">
                    <w:rPr>
                      <w:rFonts w:eastAsia="Times New Roman"/>
                      <w:szCs w:val="22"/>
                      <w:lang w:val="es-ES" w:eastAsia="ru-RU"/>
                    </w:rPr>
                    <w:t>;</w:t>
                  </w:r>
                  <w:r w:rsidR="00711A13" w:rsidRPr="004330DB">
                    <w:rPr>
                      <w:rFonts w:eastAsia="Times New Roman"/>
                      <w:szCs w:val="22"/>
                      <w:lang w:val="es-ES" w:eastAsia="ru-RU"/>
                    </w:rPr>
                    <w:t xml:space="preserve"> </w:t>
                  </w:r>
                  <w:r w:rsidRPr="004330DB">
                    <w:rPr>
                      <w:rFonts w:eastAsia="Times New Roman"/>
                      <w:szCs w:val="22"/>
                      <w:lang w:val="es-ES" w:eastAsia="ru-RU"/>
                    </w:rPr>
                    <w:t xml:space="preserve"> </w:t>
                  </w:r>
                  <w:r w:rsidR="00711A13" w:rsidRPr="004330DB">
                    <w:rPr>
                      <w:rFonts w:eastAsia="Times New Roman"/>
                      <w:szCs w:val="22"/>
                      <w:lang w:val="es-ES" w:eastAsia="ru-RU"/>
                    </w:rPr>
                    <w:t>t</w:t>
                  </w:r>
                  <w:r w:rsidRPr="004330DB">
                    <w:rPr>
                      <w:rFonts w:eastAsia="Times New Roman"/>
                      <w:szCs w:val="22"/>
                      <w:lang w:val="es-ES" w:eastAsia="ru-RU"/>
                    </w:rPr>
                    <w:t>ransport</w:t>
                  </w:r>
                  <w:r w:rsidR="00711A13" w:rsidRPr="004330DB">
                    <w:rPr>
                      <w:rFonts w:eastAsia="Times New Roman"/>
                      <w:szCs w:val="22"/>
                      <w:lang w:val="es-ES" w:eastAsia="ru-RU"/>
                    </w:rPr>
                    <w:t>es</w:t>
                  </w:r>
                  <w:r w:rsidRPr="004330DB">
                    <w:rPr>
                      <w:rFonts w:eastAsia="Times New Roman"/>
                      <w:szCs w:val="22"/>
                      <w:lang w:val="es-ES" w:eastAsia="ru-RU"/>
                    </w:rPr>
                    <w:t xml:space="preserve">; </w:t>
                  </w:r>
                  <w:r w:rsidR="00711A13" w:rsidRPr="004330DB">
                    <w:rPr>
                      <w:rFonts w:eastAsia="Times New Roman"/>
                      <w:szCs w:val="22"/>
                      <w:lang w:val="es-ES" w:eastAsia="ru-RU"/>
                    </w:rPr>
                    <w:t xml:space="preserve"> separación</w:t>
                  </w:r>
                  <w:r w:rsidRPr="004330DB">
                    <w:rPr>
                      <w:rFonts w:eastAsia="Times New Roman"/>
                      <w:szCs w:val="22"/>
                      <w:lang w:val="es-ES" w:eastAsia="ru-RU"/>
                    </w:rPr>
                    <w:t xml:space="preserve">; </w:t>
                  </w:r>
                  <w:r w:rsidR="00711A13" w:rsidRPr="004330DB">
                    <w:rPr>
                      <w:rFonts w:eastAsia="Times New Roman"/>
                      <w:szCs w:val="22"/>
                      <w:lang w:val="es-ES" w:eastAsia="ru-RU"/>
                    </w:rPr>
                    <w:t xml:space="preserve"> mezcla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202A4" w:rsidRPr="004330DB" w:rsidRDefault="00D202A4" w:rsidP="00E5482A">
                  <w:pPr>
                    <w:keepNext/>
                    <w:rPr>
                      <w:szCs w:val="22"/>
                      <w:lang w:val="es-ES"/>
                    </w:rPr>
                  </w:pPr>
                </w:p>
              </w:tc>
            </w:tr>
          </w:tbl>
          <w:p w:rsidR="00D202A4" w:rsidRPr="004330DB" w:rsidRDefault="00D202A4" w:rsidP="00E5482A">
            <w:pPr>
              <w:keepNext/>
              <w:rPr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</w:p>
          <w:p w:rsidR="00D202A4" w:rsidRPr="004330DB" w:rsidRDefault="00E5482A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12</w:t>
            </w:r>
            <w:r w:rsidR="006D7207">
              <w:rPr>
                <w:szCs w:val="22"/>
                <w:lang w:val="es-ES"/>
              </w:rPr>
              <w:t>,</w:t>
            </w:r>
            <w:r w:rsidR="00D202A4" w:rsidRPr="004330DB">
              <w:rPr>
                <w:szCs w:val="22"/>
                <w:lang w:val="es-E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</w:p>
          <w:p w:rsidR="00D202A4" w:rsidRPr="004330DB" w:rsidRDefault="00E5482A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13</w:t>
            </w:r>
            <w:r w:rsidR="006D7207">
              <w:rPr>
                <w:szCs w:val="22"/>
                <w:lang w:val="es-ES"/>
              </w:rPr>
              <w:t>,</w:t>
            </w:r>
            <w:r w:rsidR="00D202A4" w:rsidRPr="004330DB">
              <w:rPr>
                <w:szCs w:val="22"/>
                <w:lang w:val="es-E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</w:p>
          <w:p w:rsidR="00D202A4" w:rsidRPr="004330DB" w:rsidRDefault="00E5482A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13</w:t>
            </w:r>
            <w:r w:rsidR="006D7207">
              <w:rPr>
                <w:szCs w:val="22"/>
                <w:lang w:val="es-ES"/>
              </w:rPr>
              <w:t>,</w:t>
            </w:r>
            <w:r w:rsidR="00D202A4" w:rsidRPr="004330DB">
              <w:rPr>
                <w:szCs w:val="22"/>
                <w:lang w:val="es-E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</w:p>
          <w:p w:rsidR="00D202A4" w:rsidRPr="004330DB" w:rsidRDefault="00E5482A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11</w:t>
            </w:r>
            <w:r w:rsidR="006D7207">
              <w:rPr>
                <w:szCs w:val="22"/>
                <w:lang w:val="es-ES"/>
              </w:rPr>
              <w:t>,</w:t>
            </w:r>
            <w:r w:rsidR="00D202A4" w:rsidRPr="004330DB">
              <w:rPr>
                <w:szCs w:val="22"/>
                <w:lang w:val="es-ES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</w:p>
          <w:p w:rsidR="00D202A4" w:rsidRPr="004330DB" w:rsidRDefault="00E5482A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14</w:t>
            </w:r>
            <w:r w:rsidR="006D7207">
              <w:rPr>
                <w:szCs w:val="22"/>
                <w:lang w:val="es-ES"/>
              </w:rPr>
              <w:t>,</w:t>
            </w:r>
            <w:r w:rsidR="00D202A4" w:rsidRPr="004330DB">
              <w:rPr>
                <w:szCs w:val="22"/>
                <w:lang w:val="es-ES"/>
              </w:rPr>
              <w:t>1</w:t>
            </w:r>
          </w:p>
        </w:tc>
      </w:tr>
      <w:tr w:rsidR="00D202A4" w:rsidRPr="004330DB" w:rsidTr="00D202A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 w:rsidP="00711A13">
            <w:pPr>
              <w:keepNext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 xml:space="preserve">C – </w:t>
            </w:r>
            <w:r w:rsidR="00711A13" w:rsidRPr="004330DB">
              <w:rPr>
                <w:szCs w:val="22"/>
                <w:lang w:val="es-ES"/>
              </w:rPr>
              <w:t>Química</w:t>
            </w:r>
            <w:r w:rsidRPr="004330DB">
              <w:rPr>
                <w:szCs w:val="22"/>
                <w:lang w:val="es-ES"/>
              </w:rPr>
              <w:t>;</w:t>
            </w:r>
            <w:r w:rsidR="00711A13" w:rsidRPr="004330DB">
              <w:rPr>
                <w:szCs w:val="22"/>
                <w:lang w:val="es-ES"/>
              </w:rPr>
              <w:t xml:space="preserve"> </w:t>
            </w:r>
            <w:r w:rsidRPr="004330DB">
              <w:rPr>
                <w:szCs w:val="22"/>
                <w:lang w:val="es-ES"/>
              </w:rPr>
              <w:t xml:space="preserve"> </w:t>
            </w:r>
            <w:r w:rsidR="00711A13" w:rsidRPr="004330DB">
              <w:rPr>
                <w:szCs w:val="22"/>
                <w:lang w:val="es-ES"/>
              </w:rPr>
              <w:t>metalurgia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E5482A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13</w:t>
            </w:r>
            <w:r w:rsidR="006D7207">
              <w:rPr>
                <w:szCs w:val="22"/>
                <w:lang w:val="es-ES"/>
              </w:rPr>
              <w:t>,</w:t>
            </w:r>
            <w:r w:rsidR="00D202A4" w:rsidRPr="004330DB">
              <w:rPr>
                <w:szCs w:val="22"/>
                <w:lang w:val="es-E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E5482A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19</w:t>
            </w:r>
            <w:r w:rsidR="006D7207">
              <w:rPr>
                <w:szCs w:val="22"/>
                <w:lang w:val="es-ES"/>
              </w:rPr>
              <w:t>,</w:t>
            </w:r>
            <w:r w:rsidR="00D202A4" w:rsidRPr="004330DB">
              <w:rPr>
                <w:szCs w:val="22"/>
                <w:lang w:val="es-ES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E5482A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16</w:t>
            </w:r>
            <w:r w:rsidR="006D7207">
              <w:rPr>
                <w:szCs w:val="22"/>
                <w:lang w:val="es-ES"/>
              </w:rPr>
              <w:t>,</w:t>
            </w:r>
            <w:r w:rsidR="00D202A4" w:rsidRPr="004330DB">
              <w:rPr>
                <w:szCs w:val="22"/>
                <w:lang w:val="es-ES"/>
              </w:rPr>
              <w:t>5</w:t>
            </w:r>
          </w:p>
        </w:tc>
      </w:tr>
      <w:tr w:rsidR="00D202A4" w:rsidRPr="004330DB" w:rsidTr="00D202A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 w:rsidP="00711A13">
            <w:pPr>
              <w:keepNext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 xml:space="preserve">D – Textiles; </w:t>
            </w:r>
            <w:r w:rsidR="00711A13" w:rsidRPr="004330DB">
              <w:rPr>
                <w:szCs w:val="22"/>
                <w:lang w:val="es-ES"/>
              </w:rPr>
              <w:t xml:space="preserve"> papel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0</w:t>
            </w:r>
            <w:r w:rsidR="006D7207">
              <w:rPr>
                <w:szCs w:val="22"/>
                <w:lang w:val="es-ES"/>
              </w:rPr>
              <w:t>,</w:t>
            </w:r>
            <w:r w:rsidRPr="004330DB">
              <w:rPr>
                <w:szCs w:val="22"/>
                <w:lang w:val="es-E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0</w:t>
            </w:r>
            <w:r w:rsidR="006D7207">
              <w:rPr>
                <w:szCs w:val="22"/>
                <w:lang w:val="es-ES"/>
              </w:rPr>
              <w:t>,</w:t>
            </w:r>
            <w:r w:rsidRPr="004330DB">
              <w:rPr>
                <w:szCs w:val="22"/>
                <w:lang w:val="es-E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0</w:t>
            </w:r>
            <w:r w:rsidR="006D7207">
              <w:rPr>
                <w:szCs w:val="22"/>
                <w:lang w:val="es-ES"/>
              </w:rPr>
              <w:t>,</w:t>
            </w:r>
            <w:r w:rsidRPr="004330DB">
              <w:rPr>
                <w:szCs w:val="22"/>
                <w:lang w:val="es-E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E5482A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0</w:t>
            </w:r>
            <w:r w:rsidR="006D7207">
              <w:rPr>
                <w:szCs w:val="22"/>
                <w:lang w:val="es-ES"/>
              </w:rPr>
              <w:t>,</w:t>
            </w:r>
            <w:r w:rsidR="00D202A4" w:rsidRPr="004330DB">
              <w:rPr>
                <w:szCs w:val="22"/>
                <w:lang w:val="es-ES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E5482A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0</w:t>
            </w:r>
            <w:r w:rsidR="006D7207">
              <w:rPr>
                <w:szCs w:val="22"/>
                <w:lang w:val="es-ES"/>
              </w:rPr>
              <w:t>,</w:t>
            </w:r>
            <w:r w:rsidR="00D202A4" w:rsidRPr="004330DB">
              <w:rPr>
                <w:szCs w:val="22"/>
                <w:lang w:val="es-ES"/>
              </w:rPr>
              <w:t>6</w:t>
            </w:r>
          </w:p>
        </w:tc>
      </w:tr>
      <w:tr w:rsidR="00D202A4" w:rsidRPr="004330DB" w:rsidTr="00D202A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 w:rsidP="00711A13">
            <w:pPr>
              <w:keepNext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E –</w:t>
            </w:r>
            <w:r w:rsidR="004330DB" w:rsidRPr="004330DB">
              <w:rPr>
                <w:szCs w:val="22"/>
                <w:lang w:val="es-ES"/>
              </w:rPr>
              <w:t>Construcciones</w:t>
            </w:r>
            <w:r w:rsidRPr="004330DB">
              <w:rPr>
                <w:szCs w:val="22"/>
                <w:lang w:val="es-ES"/>
              </w:rPr>
              <w:t xml:space="preserve"> </w:t>
            </w:r>
            <w:r w:rsidR="00711A13" w:rsidRPr="004330DB">
              <w:rPr>
                <w:szCs w:val="22"/>
                <w:lang w:val="es-ES"/>
              </w:rPr>
              <w:t xml:space="preserve">fijas </w:t>
            </w:r>
            <w:r w:rsidRPr="004330DB">
              <w:rPr>
                <w:szCs w:val="22"/>
                <w:lang w:val="es-ES"/>
              </w:rPr>
              <w:t>(</w:t>
            </w:r>
            <w:r w:rsidR="00711A13" w:rsidRPr="004330DB">
              <w:rPr>
                <w:szCs w:val="22"/>
                <w:lang w:val="es-ES"/>
              </w:rPr>
              <w:t>edificios</w:t>
            </w:r>
            <w:r w:rsidRPr="004330DB">
              <w:rPr>
                <w:szCs w:val="22"/>
                <w:lang w:val="es-ES"/>
              </w:rPr>
              <w:t xml:space="preserve">, </w:t>
            </w:r>
            <w:r w:rsidR="00711A13" w:rsidRPr="004330DB">
              <w:rPr>
                <w:szCs w:val="22"/>
                <w:lang w:val="es-ES"/>
              </w:rPr>
              <w:t>perforación del suelo o de la roca</w:t>
            </w:r>
            <w:r w:rsidRPr="004330DB">
              <w:rPr>
                <w:szCs w:val="22"/>
                <w:lang w:val="es-ES"/>
              </w:rPr>
              <w:t xml:space="preserve">, </w:t>
            </w:r>
            <w:r w:rsidR="00711A13" w:rsidRPr="004330DB">
              <w:rPr>
                <w:szCs w:val="22"/>
                <w:lang w:val="es-ES"/>
              </w:rPr>
              <w:t>explotación minera</w:t>
            </w:r>
            <w:r w:rsidRPr="004330DB">
              <w:rPr>
                <w:szCs w:val="22"/>
                <w:lang w:val="es-E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</w:p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4</w:t>
            </w:r>
            <w:r w:rsidR="006D7207">
              <w:rPr>
                <w:szCs w:val="22"/>
                <w:lang w:val="es-ES"/>
              </w:rPr>
              <w:t>,</w:t>
            </w:r>
            <w:r w:rsidRPr="004330DB">
              <w:rPr>
                <w:szCs w:val="22"/>
                <w:lang w:val="es-E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</w:p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4</w:t>
            </w:r>
            <w:r w:rsidR="006D7207">
              <w:rPr>
                <w:szCs w:val="22"/>
                <w:lang w:val="es-ES"/>
              </w:rPr>
              <w:t>,</w:t>
            </w:r>
            <w:r w:rsidRPr="004330DB">
              <w:rPr>
                <w:szCs w:val="22"/>
                <w:lang w:val="es-E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</w:p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5</w:t>
            </w:r>
            <w:r w:rsidR="006D7207">
              <w:rPr>
                <w:szCs w:val="22"/>
                <w:lang w:val="es-ES"/>
              </w:rPr>
              <w:t>,</w:t>
            </w:r>
            <w:r w:rsidRPr="004330DB">
              <w:rPr>
                <w:szCs w:val="22"/>
                <w:lang w:val="es-E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</w:p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4</w:t>
            </w:r>
            <w:r w:rsidR="006D7207">
              <w:rPr>
                <w:szCs w:val="22"/>
                <w:lang w:val="es-ES"/>
              </w:rPr>
              <w:t>,</w:t>
            </w:r>
            <w:r w:rsidRPr="004330DB">
              <w:rPr>
                <w:szCs w:val="22"/>
                <w:lang w:val="es-ES"/>
              </w:rPr>
              <w:t>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</w:p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5</w:t>
            </w:r>
            <w:r w:rsidR="006D7207">
              <w:rPr>
                <w:szCs w:val="22"/>
                <w:lang w:val="es-ES"/>
              </w:rPr>
              <w:t>,</w:t>
            </w:r>
            <w:r w:rsidRPr="004330DB">
              <w:rPr>
                <w:szCs w:val="22"/>
                <w:lang w:val="es-ES"/>
              </w:rPr>
              <w:t>6</w:t>
            </w:r>
          </w:p>
        </w:tc>
      </w:tr>
      <w:tr w:rsidR="00D202A4" w:rsidRPr="004330DB" w:rsidTr="00D202A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 w:rsidP="00711A13">
            <w:pPr>
              <w:keepNext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 xml:space="preserve">F – </w:t>
            </w:r>
            <w:r w:rsidR="00711A13" w:rsidRPr="004330DB">
              <w:rPr>
                <w:szCs w:val="22"/>
                <w:lang w:val="es-ES"/>
              </w:rPr>
              <w:t>Mecánica</w:t>
            </w:r>
            <w:r w:rsidRPr="004330DB">
              <w:rPr>
                <w:szCs w:val="22"/>
                <w:lang w:val="es-ES"/>
              </w:rPr>
              <w:t xml:space="preserve">, </w:t>
            </w:r>
            <w:r w:rsidR="00711A13" w:rsidRPr="004330DB">
              <w:rPr>
                <w:szCs w:val="22"/>
                <w:lang w:val="es-ES"/>
              </w:rPr>
              <w:t>iluminación, calefacción, armamento</w:t>
            </w:r>
            <w:r w:rsidRPr="004330DB">
              <w:rPr>
                <w:szCs w:val="22"/>
                <w:lang w:val="es-ES"/>
              </w:rPr>
              <w:t>;</w:t>
            </w:r>
            <w:r w:rsidR="00711A13" w:rsidRPr="004330DB">
              <w:rPr>
                <w:szCs w:val="22"/>
                <w:lang w:val="es-ES"/>
              </w:rPr>
              <w:t xml:space="preserve"> </w:t>
            </w:r>
            <w:r w:rsidRPr="004330DB">
              <w:rPr>
                <w:szCs w:val="22"/>
                <w:lang w:val="es-ES"/>
              </w:rPr>
              <w:t xml:space="preserve"> </w:t>
            </w:r>
            <w:r w:rsidR="00711A13" w:rsidRPr="004330DB">
              <w:rPr>
                <w:szCs w:val="22"/>
                <w:lang w:val="es-ES"/>
              </w:rPr>
              <w:t>voladura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</w:p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9</w:t>
            </w:r>
            <w:r w:rsidR="006D7207">
              <w:rPr>
                <w:szCs w:val="22"/>
                <w:lang w:val="es-ES"/>
              </w:rPr>
              <w:t>,</w:t>
            </w:r>
            <w:r w:rsidRPr="004330DB">
              <w:rPr>
                <w:szCs w:val="22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</w:p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9</w:t>
            </w:r>
            <w:r w:rsidR="006D7207">
              <w:rPr>
                <w:szCs w:val="22"/>
                <w:lang w:val="es-ES"/>
              </w:rPr>
              <w:t>,</w:t>
            </w:r>
            <w:r w:rsidRPr="004330DB">
              <w:rPr>
                <w:szCs w:val="22"/>
                <w:lang w:val="es-E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</w:p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10</w:t>
            </w:r>
            <w:r w:rsidR="006D7207">
              <w:rPr>
                <w:szCs w:val="22"/>
                <w:lang w:val="es-ES"/>
              </w:rPr>
              <w:t>,</w:t>
            </w:r>
            <w:r w:rsidRPr="004330DB">
              <w:rPr>
                <w:szCs w:val="22"/>
                <w:lang w:val="es-E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</w:p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8</w:t>
            </w:r>
            <w:r w:rsidR="006D7207">
              <w:rPr>
                <w:szCs w:val="22"/>
                <w:lang w:val="es-ES"/>
              </w:rPr>
              <w:t>,</w:t>
            </w:r>
            <w:r w:rsidRPr="004330DB">
              <w:rPr>
                <w:szCs w:val="22"/>
                <w:lang w:val="es-ES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</w:p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10</w:t>
            </w:r>
            <w:r w:rsidR="006D7207">
              <w:rPr>
                <w:szCs w:val="22"/>
                <w:lang w:val="es-ES"/>
              </w:rPr>
              <w:t>,</w:t>
            </w:r>
            <w:r w:rsidRPr="004330DB">
              <w:rPr>
                <w:szCs w:val="22"/>
                <w:lang w:val="es-ES"/>
              </w:rPr>
              <w:t>4</w:t>
            </w:r>
          </w:p>
        </w:tc>
      </w:tr>
      <w:tr w:rsidR="00D202A4" w:rsidRPr="004330DB" w:rsidTr="00D202A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 w:rsidP="00711A13">
            <w:pPr>
              <w:keepNext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 xml:space="preserve">G – </w:t>
            </w:r>
            <w:r w:rsidR="00711A13" w:rsidRPr="004330DB">
              <w:rPr>
                <w:szCs w:val="22"/>
                <w:lang w:val="es-ES"/>
              </w:rPr>
              <w:t>Física</w:t>
            </w:r>
            <w:r w:rsidRPr="004330DB">
              <w:rPr>
                <w:szCs w:val="22"/>
                <w:lang w:val="es-ES"/>
              </w:rPr>
              <w:t xml:space="preserve">; </w:t>
            </w:r>
            <w:r w:rsidR="00711A13" w:rsidRPr="004330DB">
              <w:rPr>
                <w:szCs w:val="22"/>
                <w:lang w:val="es-ES"/>
              </w:rPr>
              <w:t xml:space="preserve"> </w:t>
            </w:r>
            <w:r w:rsidR="004330DB" w:rsidRPr="004330DB">
              <w:rPr>
                <w:szCs w:val="22"/>
                <w:lang w:val="es-ES"/>
              </w:rPr>
              <w:t>instrumentos</w:t>
            </w:r>
            <w:r w:rsidRPr="004330DB">
              <w:rPr>
                <w:szCs w:val="22"/>
                <w:lang w:val="es-ES"/>
              </w:rPr>
              <w:t xml:space="preserve">; </w:t>
            </w:r>
            <w:r w:rsidR="00711A13" w:rsidRPr="004330DB">
              <w:rPr>
                <w:szCs w:val="22"/>
                <w:lang w:val="es-ES"/>
              </w:rPr>
              <w:t xml:space="preserve"> ciencia </w:t>
            </w:r>
            <w:r w:rsidR="004330DB" w:rsidRPr="004330DB">
              <w:rPr>
                <w:szCs w:val="22"/>
                <w:lang w:val="es-ES"/>
              </w:rPr>
              <w:t>nuclear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11</w:t>
            </w:r>
            <w:r w:rsidR="006D7207">
              <w:rPr>
                <w:szCs w:val="22"/>
                <w:lang w:val="es-ES"/>
              </w:rPr>
              <w:t>,</w:t>
            </w:r>
            <w:r w:rsidRPr="004330DB">
              <w:rPr>
                <w:szCs w:val="22"/>
                <w:lang w:val="es-E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11</w:t>
            </w:r>
            <w:r w:rsidR="006D7207">
              <w:rPr>
                <w:szCs w:val="22"/>
                <w:lang w:val="es-ES"/>
              </w:rPr>
              <w:t>,</w:t>
            </w:r>
            <w:r w:rsidRPr="004330DB">
              <w:rPr>
                <w:szCs w:val="22"/>
                <w:lang w:val="es-E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9</w:t>
            </w:r>
            <w:r w:rsidR="006D7207">
              <w:rPr>
                <w:szCs w:val="22"/>
                <w:lang w:val="es-ES"/>
              </w:rPr>
              <w:t>,</w:t>
            </w:r>
            <w:r w:rsidRPr="004330DB">
              <w:rPr>
                <w:szCs w:val="22"/>
                <w:lang w:val="es-ES"/>
              </w:rPr>
              <w:t>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13</w:t>
            </w:r>
            <w:r w:rsidR="006D7207">
              <w:rPr>
                <w:szCs w:val="22"/>
                <w:lang w:val="es-ES"/>
              </w:rPr>
              <w:t>,</w:t>
            </w:r>
            <w:r w:rsidRPr="004330DB">
              <w:rPr>
                <w:szCs w:val="22"/>
                <w:lang w:val="es-ES"/>
              </w:rPr>
              <w:t>6</w:t>
            </w:r>
          </w:p>
        </w:tc>
      </w:tr>
      <w:tr w:rsidR="00D202A4" w:rsidRPr="004330DB" w:rsidTr="00D202A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 w:rsidP="00711A13">
            <w:pPr>
              <w:keepNext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H - Electrici</w:t>
            </w:r>
            <w:r w:rsidR="00711A13" w:rsidRPr="004330DB">
              <w:rPr>
                <w:szCs w:val="22"/>
                <w:lang w:val="es-ES"/>
              </w:rPr>
              <w:t>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8</w:t>
            </w:r>
            <w:r w:rsidR="006D7207">
              <w:rPr>
                <w:szCs w:val="22"/>
                <w:lang w:val="es-ES"/>
              </w:rPr>
              <w:t>,</w:t>
            </w:r>
            <w:r w:rsidRPr="004330DB">
              <w:rPr>
                <w:szCs w:val="22"/>
                <w:lang w:val="es-E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7</w:t>
            </w:r>
            <w:r w:rsidR="006D7207">
              <w:rPr>
                <w:szCs w:val="22"/>
                <w:lang w:val="es-ES"/>
              </w:rPr>
              <w:t>,</w:t>
            </w:r>
            <w:r w:rsidRPr="004330DB">
              <w:rPr>
                <w:szCs w:val="22"/>
                <w:lang w:val="es-E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8</w:t>
            </w:r>
            <w:r w:rsidR="006D7207">
              <w:rPr>
                <w:szCs w:val="22"/>
                <w:lang w:val="es-ES"/>
              </w:rPr>
              <w:t>,</w:t>
            </w:r>
            <w:r w:rsidRPr="004330DB">
              <w:rPr>
                <w:szCs w:val="22"/>
                <w:lang w:val="es-E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6</w:t>
            </w:r>
            <w:r w:rsidR="006D7207">
              <w:rPr>
                <w:szCs w:val="22"/>
                <w:lang w:val="es-ES"/>
              </w:rPr>
              <w:t>,</w:t>
            </w:r>
            <w:r w:rsidRPr="004330DB">
              <w:rPr>
                <w:szCs w:val="22"/>
                <w:lang w:val="es-ES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7</w:t>
            </w:r>
            <w:r w:rsidR="006D7207">
              <w:rPr>
                <w:szCs w:val="22"/>
                <w:lang w:val="es-ES"/>
              </w:rPr>
              <w:t>,</w:t>
            </w:r>
            <w:r w:rsidRPr="004330DB">
              <w:rPr>
                <w:szCs w:val="22"/>
                <w:lang w:val="es-ES"/>
              </w:rPr>
              <w:t>7</w:t>
            </w:r>
          </w:p>
        </w:tc>
      </w:tr>
      <w:tr w:rsidR="00D202A4" w:rsidRPr="004330DB" w:rsidTr="00D202A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 w:rsidP="00711A13">
            <w:pPr>
              <w:keepNext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Ot</w:t>
            </w:r>
            <w:r w:rsidR="00711A13" w:rsidRPr="004330DB">
              <w:rPr>
                <w:szCs w:val="22"/>
                <w:lang w:val="es-ES"/>
              </w:rPr>
              <w:t>ros</w:t>
            </w:r>
            <w:r w:rsidRPr="004330DB">
              <w:rPr>
                <w:szCs w:val="22"/>
                <w:lang w:val="es-ES"/>
              </w:rPr>
              <w:t xml:space="preserve"> (</w:t>
            </w:r>
            <w:r w:rsidR="00711A13" w:rsidRPr="004330DB">
              <w:rPr>
                <w:szCs w:val="22"/>
                <w:lang w:val="es-ES"/>
              </w:rPr>
              <w:t>pertenecientes a distintas esferas de la tecnología</w:t>
            </w:r>
            <w:r w:rsidRPr="004330DB">
              <w:rPr>
                <w:szCs w:val="22"/>
                <w:lang w:val="es-E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</w:p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13</w:t>
            </w:r>
            <w:r w:rsidR="006D7207">
              <w:rPr>
                <w:szCs w:val="22"/>
                <w:lang w:val="es-ES"/>
              </w:rPr>
              <w:t>,</w:t>
            </w:r>
            <w:r w:rsidRPr="004330DB">
              <w:rPr>
                <w:szCs w:val="22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</w:p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12</w:t>
            </w:r>
            <w:r w:rsidR="006D7207">
              <w:rPr>
                <w:szCs w:val="22"/>
                <w:lang w:val="es-ES"/>
              </w:rPr>
              <w:t>,</w:t>
            </w:r>
            <w:r w:rsidRPr="004330DB">
              <w:rPr>
                <w:szCs w:val="22"/>
                <w:lang w:val="es-E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</w:p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12</w:t>
            </w:r>
            <w:r w:rsidR="006D7207">
              <w:rPr>
                <w:szCs w:val="22"/>
                <w:lang w:val="es-ES"/>
              </w:rPr>
              <w:t>,</w:t>
            </w:r>
            <w:r w:rsidRPr="004330DB">
              <w:rPr>
                <w:szCs w:val="22"/>
                <w:lang w:val="es-E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</w:p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22</w:t>
            </w:r>
            <w:r w:rsidR="006D7207">
              <w:rPr>
                <w:szCs w:val="22"/>
                <w:lang w:val="es-ES"/>
              </w:rPr>
              <w:t>,</w:t>
            </w:r>
            <w:r w:rsidRPr="004330DB">
              <w:rPr>
                <w:szCs w:val="22"/>
                <w:lang w:val="es-ES"/>
              </w:rPr>
              <w:t>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</w:p>
          <w:p w:rsidR="00D202A4" w:rsidRPr="004330DB" w:rsidRDefault="00D202A4" w:rsidP="00E5482A">
            <w:pPr>
              <w:keepNext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9</w:t>
            </w:r>
            <w:r w:rsidR="006D7207">
              <w:rPr>
                <w:szCs w:val="22"/>
                <w:lang w:val="es-ES"/>
              </w:rPr>
              <w:t>,</w:t>
            </w:r>
            <w:r w:rsidRPr="004330DB">
              <w:rPr>
                <w:szCs w:val="22"/>
                <w:lang w:val="es-ES"/>
              </w:rPr>
              <w:t>4</w:t>
            </w:r>
          </w:p>
        </w:tc>
      </w:tr>
    </w:tbl>
    <w:p w:rsidR="00D202A4" w:rsidRPr="004330DB" w:rsidRDefault="00D202A4" w:rsidP="00042DD1">
      <w:pPr>
        <w:rPr>
          <w:lang w:val="es-ES"/>
        </w:rPr>
      </w:pPr>
    </w:p>
    <w:p w:rsidR="00D202A4" w:rsidRPr="004330DB" w:rsidRDefault="006D777D" w:rsidP="00042DD1">
      <w:pPr>
        <w:rPr>
          <w:b/>
          <w:bCs/>
          <w:lang w:val="es-ES"/>
        </w:rPr>
      </w:pPr>
      <w:r w:rsidRPr="004330DB">
        <w:rPr>
          <w:b/>
          <w:bCs/>
          <w:lang w:val="es-ES"/>
        </w:rPr>
        <w:t xml:space="preserve">Número de solicitudes internacionales recibidas </w:t>
      </w:r>
      <w:r w:rsidR="006D7207">
        <w:rPr>
          <w:b/>
          <w:bCs/>
          <w:lang w:val="es-ES"/>
        </w:rPr>
        <w:t>en calidad de</w:t>
      </w:r>
      <w:r w:rsidRPr="004330DB">
        <w:rPr>
          <w:b/>
          <w:bCs/>
          <w:lang w:val="es-ES"/>
        </w:rPr>
        <w:t xml:space="preserve"> Oficina receptora</w:t>
      </w:r>
      <w:r w:rsidR="00D202A4" w:rsidRPr="004330DB">
        <w:rPr>
          <w:b/>
          <w:bCs/>
          <w:lang w:val="es-ES"/>
        </w:rPr>
        <w:t>:</w:t>
      </w:r>
    </w:p>
    <w:p w:rsidR="001729D9" w:rsidRPr="004330DB" w:rsidRDefault="001729D9" w:rsidP="00042DD1">
      <w:pPr>
        <w:rPr>
          <w:lang w:val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360"/>
        <w:gridCol w:w="1361"/>
        <w:gridCol w:w="1361"/>
        <w:gridCol w:w="1361"/>
        <w:gridCol w:w="1361"/>
      </w:tblGrid>
      <w:tr w:rsidR="00D202A4" w:rsidRPr="004330DB" w:rsidTr="00D202A4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D202A4" w:rsidRPr="004330DB" w:rsidRDefault="00D202A4" w:rsidP="00042DD1">
            <w:pPr>
              <w:jc w:val="right"/>
              <w:rPr>
                <w:b/>
                <w:bCs/>
                <w:szCs w:val="22"/>
                <w:lang w:val="es-ES"/>
              </w:rPr>
            </w:pPr>
          </w:p>
          <w:p w:rsidR="00D202A4" w:rsidRPr="004330DB" w:rsidRDefault="00711A13" w:rsidP="00042DD1">
            <w:pPr>
              <w:jc w:val="right"/>
              <w:rPr>
                <w:b/>
                <w:bCs/>
                <w:szCs w:val="22"/>
                <w:lang w:val="es-ES"/>
              </w:rPr>
            </w:pPr>
            <w:r w:rsidRPr="004330DB">
              <w:rPr>
                <w:b/>
                <w:bCs/>
                <w:szCs w:val="22"/>
                <w:lang w:val="es-ES"/>
              </w:rPr>
              <w:t>Año</w:t>
            </w:r>
          </w:p>
          <w:p w:rsidR="00D202A4" w:rsidRPr="004330DB" w:rsidRDefault="00D202A4" w:rsidP="00042DD1">
            <w:pPr>
              <w:rPr>
                <w:b/>
                <w:bCs/>
                <w:szCs w:val="22"/>
                <w:lang w:val="es-E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2A4" w:rsidRPr="004330DB" w:rsidRDefault="00D202A4" w:rsidP="00042DD1">
            <w:pPr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2012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2A4" w:rsidRPr="004330DB" w:rsidRDefault="00D202A4" w:rsidP="00042DD1">
            <w:pPr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2013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2A4" w:rsidRPr="004330DB" w:rsidRDefault="00D202A4" w:rsidP="00042DD1">
            <w:pPr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2014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2A4" w:rsidRPr="004330DB" w:rsidRDefault="00D202A4" w:rsidP="00042DD1">
            <w:pPr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2015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2A4" w:rsidRPr="004330DB" w:rsidRDefault="00D202A4" w:rsidP="00042DD1">
            <w:pPr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2016</w:t>
            </w:r>
          </w:p>
        </w:tc>
      </w:tr>
      <w:tr w:rsidR="00D202A4" w:rsidRPr="004330DB" w:rsidTr="00D202A4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>
            <w:pPr>
              <w:rPr>
                <w:szCs w:val="22"/>
                <w:lang w:val="es-ES"/>
              </w:rPr>
            </w:pPr>
            <w:r w:rsidRPr="004330DB">
              <w:rPr>
                <w:b/>
                <w:bCs/>
                <w:szCs w:val="22"/>
                <w:lang w:val="es-ES"/>
              </w:rPr>
              <w:t xml:space="preserve">Total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 w:rsidP="00711A13">
            <w:pPr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1</w:t>
            </w:r>
            <w:r w:rsidR="00711A13" w:rsidRPr="004330DB">
              <w:rPr>
                <w:szCs w:val="22"/>
                <w:lang w:val="es-ES"/>
              </w:rPr>
              <w:t>.</w:t>
            </w:r>
            <w:r w:rsidRPr="004330DB">
              <w:rPr>
                <w:szCs w:val="22"/>
                <w:lang w:val="es-ES"/>
              </w:rPr>
              <w:t>150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 w:rsidP="00711A13">
            <w:pPr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1</w:t>
            </w:r>
            <w:r w:rsidR="00711A13" w:rsidRPr="004330DB">
              <w:rPr>
                <w:szCs w:val="22"/>
                <w:lang w:val="es-ES"/>
              </w:rPr>
              <w:t>.</w:t>
            </w:r>
            <w:r w:rsidRPr="004330DB">
              <w:rPr>
                <w:szCs w:val="22"/>
                <w:lang w:val="es-ES"/>
              </w:rPr>
              <w:t>190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994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950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>
            <w:pPr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996</w:t>
            </w:r>
          </w:p>
        </w:tc>
      </w:tr>
    </w:tbl>
    <w:p w:rsidR="00D202A4" w:rsidRPr="004330DB" w:rsidRDefault="00D202A4" w:rsidP="00D202A4">
      <w:pPr>
        <w:rPr>
          <w:lang w:val="es-ES"/>
        </w:rPr>
      </w:pPr>
    </w:p>
    <w:p w:rsidR="00D202A4" w:rsidRPr="004330DB" w:rsidRDefault="00711A13" w:rsidP="00D202A4">
      <w:pPr>
        <w:rPr>
          <w:lang w:val="es-ES"/>
        </w:rPr>
      </w:pPr>
      <w:r w:rsidRPr="004330DB">
        <w:rPr>
          <w:lang w:val="es-ES"/>
        </w:rPr>
        <w:t>Principales Oficinas</w:t>
      </w:r>
      <w:r w:rsidR="00D202A4" w:rsidRPr="004330DB">
        <w:rPr>
          <w:lang w:val="es-ES"/>
        </w:rPr>
        <w:t>/</w:t>
      </w:r>
      <w:r w:rsidRPr="004330DB">
        <w:rPr>
          <w:lang w:val="es-ES"/>
        </w:rPr>
        <w:t>Estados</w:t>
      </w:r>
      <w:r w:rsidR="00D202A4" w:rsidRPr="004330DB">
        <w:rPr>
          <w:lang w:val="es-ES"/>
        </w:rPr>
        <w:t xml:space="preserve"> </w:t>
      </w:r>
      <w:r w:rsidRPr="004330DB">
        <w:rPr>
          <w:lang w:val="es-ES"/>
        </w:rPr>
        <w:t>e</w:t>
      </w:r>
      <w:r w:rsidR="00D202A4" w:rsidRPr="004330DB">
        <w:rPr>
          <w:lang w:val="es-ES"/>
        </w:rPr>
        <w:t xml:space="preserve">n </w:t>
      </w:r>
      <w:r w:rsidRPr="004330DB">
        <w:rPr>
          <w:lang w:val="es-ES"/>
        </w:rPr>
        <w:t>los que se reivindica la prioridad en las solicitudes nacionales</w:t>
      </w:r>
      <w:r w:rsidR="00D202A4" w:rsidRPr="004330DB">
        <w:rPr>
          <w:lang w:val="es-ES"/>
        </w:rPr>
        <w:t>:</w:t>
      </w:r>
    </w:p>
    <w:p w:rsidR="00D202A4" w:rsidRPr="004330DB" w:rsidRDefault="00D202A4" w:rsidP="00D202A4">
      <w:pPr>
        <w:rPr>
          <w:lang w:val="es-ES"/>
        </w:rPr>
      </w:pPr>
    </w:p>
    <w:p w:rsidR="00D202A4" w:rsidRPr="004330DB" w:rsidRDefault="00711A13" w:rsidP="00D202A4">
      <w:pPr>
        <w:rPr>
          <w:szCs w:val="22"/>
          <w:lang w:val="es-ES"/>
        </w:rPr>
      </w:pPr>
      <w:r w:rsidRPr="004330DB">
        <w:rPr>
          <w:szCs w:val="22"/>
          <w:lang w:val="es-ES"/>
        </w:rPr>
        <w:t>Estados Unidos de América</w:t>
      </w:r>
      <w:r w:rsidR="00E5482A" w:rsidRPr="004330DB">
        <w:rPr>
          <w:szCs w:val="22"/>
          <w:lang w:val="es-ES"/>
        </w:rPr>
        <w:t xml:space="preserve">, </w:t>
      </w:r>
      <w:r w:rsidRPr="004330DB">
        <w:rPr>
          <w:szCs w:val="22"/>
          <w:lang w:val="es-ES"/>
        </w:rPr>
        <w:t xml:space="preserve">Oficina Europea de </w:t>
      </w:r>
      <w:r w:rsidR="004330DB" w:rsidRPr="004330DB">
        <w:rPr>
          <w:szCs w:val="22"/>
          <w:lang w:val="es-ES"/>
        </w:rPr>
        <w:t>Patentes</w:t>
      </w:r>
      <w:r w:rsidR="00D202A4" w:rsidRPr="004330DB">
        <w:rPr>
          <w:szCs w:val="22"/>
          <w:lang w:val="es-ES"/>
        </w:rPr>
        <w:t>, Jap</w:t>
      </w:r>
      <w:r w:rsidRPr="004330DB">
        <w:rPr>
          <w:szCs w:val="22"/>
          <w:lang w:val="es-ES"/>
        </w:rPr>
        <w:t>ó</w:t>
      </w:r>
      <w:r w:rsidR="00D202A4" w:rsidRPr="004330DB">
        <w:rPr>
          <w:szCs w:val="22"/>
          <w:lang w:val="es-ES"/>
        </w:rPr>
        <w:t xml:space="preserve">n, China, </w:t>
      </w:r>
      <w:r w:rsidRPr="004330DB">
        <w:rPr>
          <w:szCs w:val="22"/>
          <w:lang w:val="es-ES"/>
        </w:rPr>
        <w:t>Alemania</w:t>
      </w:r>
    </w:p>
    <w:p w:rsidR="00D202A4" w:rsidRPr="004330DB" w:rsidRDefault="00D202A4" w:rsidP="00D202A4">
      <w:pPr>
        <w:rPr>
          <w:b/>
          <w:bCs/>
          <w:lang w:val="es-ES"/>
        </w:rPr>
      </w:pPr>
    </w:p>
    <w:p w:rsidR="00D202A4" w:rsidRPr="004330DB" w:rsidRDefault="006D777D" w:rsidP="00D202A4">
      <w:pPr>
        <w:rPr>
          <w:b/>
          <w:bCs/>
          <w:lang w:val="es-ES"/>
        </w:rPr>
      </w:pPr>
      <w:r w:rsidRPr="004330DB">
        <w:rPr>
          <w:b/>
          <w:bCs/>
          <w:lang w:val="es-ES"/>
        </w:rPr>
        <w:t>Tiempo medio de tramitación de patentes nacionales</w:t>
      </w:r>
    </w:p>
    <w:p w:rsidR="00D202A4" w:rsidRPr="004330DB" w:rsidRDefault="00D202A4" w:rsidP="00D202A4">
      <w:pPr>
        <w:rPr>
          <w:lang w:val="es-ES"/>
        </w:rPr>
      </w:pPr>
    </w:p>
    <w:p w:rsidR="00D202A4" w:rsidRPr="004330DB" w:rsidRDefault="00E5482A" w:rsidP="00D202A4">
      <w:pPr>
        <w:rPr>
          <w:szCs w:val="22"/>
          <w:lang w:val="es-ES"/>
        </w:rPr>
      </w:pPr>
      <w:r w:rsidRPr="004330DB">
        <w:rPr>
          <w:szCs w:val="22"/>
          <w:lang w:val="es-ES"/>
        </w:rPr>
        <w:t>10</w:t>
      </w:r>
      <w:r w:rsidR="00711A13" w:rsidRPr="004330DB">
        <w:rPr>
          <w:szCs w:val="22"/>
          <w:lang w:val="es-ES"/>
        </w:rPr>
        <w:t>,</w:t>
      </w:r>
      <w:r w:rsidR="00D202A4" w:rsidRPr="004330DB">
        <w:rPr>
          <w:szCs w:val="22"/>
          <w:lang w:val="es-ES"/>
        </w:rPr>
        <w:t>3 m</w:t>
      </w:r>
      <w:r w:rsidR="00711A13" w:rsidRPr="004330DB">
        <w:rPr>
          <w:szCs w:val="22"/>
          <w:lang w:val="es-ES"/>
        </w:rPr>
        <w:t>ese</w:t>
      </w:r>
      <w:r w:rsidR="00D202A4" w:rsidRPr="004330DB">
        <w:rPr>
          <w:szCs w:val="22"/>
          <w:lang w:val="es-ES"/>
        </w:rPr>
        <w:t xml:space="preserve">s – </w:t>
      </w:r>
      <w:r w:rsidR="00711A13" w:rsidRPr="004330DB">
        <w:rPr>
          <w:szCs w:val="22"/>
          <w:lang w:val="es-ES"/>
        </w:rPr>
        <w:t xml:space="preserve">contados a partir de la fecha </w:t>
      </w:r>
      <w:r w:rsidR="006D7207">
        <w:rPr>
          <w:szCs w:val="22"/>
          <w:lang w:val="es-ES"/>
        </w:rPr>
        <w:t>en que se toma en consideración</w:t>
      </w:r>
      <w:r w:rsidR="00273EE3" w:rsidRPr="004330DB">
        <w:rPr>
          <w:szCs w:val="22"/>
          <w:lang w:val="es-ES"/>
        </w:rPr>
        <w:t xml:space="preserve"> la </w:t>
      </w:r>
      <w:r w:rsidR="004330DB" w:rsidRPr="004330DB">
        <w:rPr>
          <w:szCs w:val="22"/>
          <w:lang w:val="es-ES"/>
        </w:rPr>
        <w:t>petición</w:t>
      </w:r>
      <w:r w:rsidR="00D202A4" w:rsidRPr="004330DB">
        <w:rPr>
          <w:szCs w:val="22"/>
          <w:lang w:val="es-ES"/>
        </w:rPr>
        <w:t xml:space="preserve"> </w:t>
      </w:r>
      <w:r w:rsidR="00273EE3" w:rsidRPr="004330DB">
        <w:rPr>
          <w:szCs w:val="22"/>
          <w:lang w:val="es-ES"/>
        </w:rPr>
        <w:t>de que se efectúe la búsqueda y el examen sustantivo antes</w:t>
      </w:r>
      <w:r w:rsidR="00D202A4" w:rsidRPr="004330DB">
        <w:rPr>
          <w:szCs w:val="22"/>
          <w:lang w:val="es-ES"/>
        </w:rPr>
        <w:t xml:space="preserve"> </w:t>
      </w:r>
      <w:r w:rsidR="0077594C" w:rsidRPr="004330DB">
        <w:rPr>
          <w:szCs w:val="22"/>
          <w:lang w:val="es-ES"/>
        </w:rPr>
        <w:t xml:space="preserve">de </w:t>
      </w:r>
      <w:r w:rsidR="006D7207">
        <w:rPr>
          <w:szCs w:val="22"/>
          <w:lang w:val="es-ES"/>
        </w:rPr>
        <w:t xml:space="preserve">la </w:t>
      </w:r>
      <w:r w:rsidR="0077594C" w:rsidRPr="004330DB">
        <w:rPr>
          <w:szCs w:val="22"/>
          <w:lang w:val="es-ES"/>
        </w:rPr>
        <w:t xml:space="preserve">decisión </w:t>
      </w:r>
      <w:r w:rsidR="004330DB" w:rsidRPr="004330DB">
        <w:rPr>
          <w:szCs w:val="22"/>
          <w:lang w:val="es-ES"/>
        </w:rPr>
        <w:t>definitiva</w:t>
      </w:r>
      <w:r w:rsidR="0077594C" w:rsidRPr="004330DB">
        <w:rPr>
          <w:szCs w:val="22"/>
          <w:lang w:val="es-ES"/>
        </w:rPr>
        <w:t xml:space="preserve"> con respecto a la solicitud, sin tener en cuenta el plazo concedido al solicitante para contestar los pedidos de los examinadores.</w:t>
      </w:r>
    </w:p>
    <w:p w:rsidR="00D202A4" w:rsidRPr="004330DB" w:rsidRDefault="00D202A4" w:rsidP="00D202A4">
      <w:pPr>
        <w:rPr>
          <w:lang w:val="es-ES"/>
        </w:rPr>
      </w:pPr>
    </w:p>
    <w:p w:rsidR="00D202A4" w:rsidRPr="004330DB" w:rsidRDefault="006D777D" w:rsidP="007A336B">
      <w:pPr>
        <w:rPr>
          <w:b/>
          <w:bCs/>
          <w:lang w:val="es-ES"/>
        </w:rPr>
      </w:pPr>
      <w:r w:rsidRPr="004330DB">
        <w:rPr>
          <w:b/>
          <w:bCs/>
          <w:lang w:val="es-ES"/>
        </w:rPr>
        <w:t>Carga de trabajo</w:t>
      </w:r>
      <w:r w:rsidR="00D202A4" w:rsidRPr="004330DB">
        <w:rPr>
          <w:b/>
          <w:bCs/>
          <w:lang w:val="es-ES"/>
        </w:rPr>
        <w:t>:</w:t>
      </w:r>
    </w:p>
    <w:p w:rsidR="00D202A4" w:rsidRPr="004330DB" w:rsidRDefault="00D202A4" w:rsidP="007A336B">
      <w:pPr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693"/>
      </w:tblGrid>
      <w:tr w:rsidR="00D202A4" w:rsidRPr="004330DB" w:rsidTr="00966187">
        <w:trPr>
          <w:cantSplit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 w:rsidP="007A336B">
            <w:pPr>
              <w:rPr>
                <w:b/>
                <w:bCs/>
                <w:lang w:val="es-ES"/>
              </w:rPr>
            </w:pPr>
            <w:r w:rsidRPr="004330DB">
              <w:rPr>
                <w:b/>
                <w:bCs/>
                <w:lang w:val="es-ES"/>
              </w:rPr>
              <w:t>Me</w:t>
            </w:r>
            <w:r w:rsidR="006D777D" w:rsidRPr="004330DB">
              <w:rPr>
                <w:b/>
                <w:bCs/>
                <w:lang w:val="es-ES"/>
              </w:rPr>
              <w:t>dida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D202A4" w:rsidP="007A336B">
            <w:pPr>
              <w:jc w:val="center"/>
              <w:rPr>
                <w:b/>
                <w:bCs/>
                <w:lang w:val="es-ES"/>
              </w:rPr>
            </w:pPr>
            <w:r w:rsidRPr="004330DB">
              <w:rPr>
                <w:b/>
                <w:bCs/>
                <w:lang w:val="es-ES"/>
              </w:rPr>
              <w:t>N</w:t>
            </w:r>
            <w:r w:rsidR="006D777D" w:rsidRPr="004330DB">
              <w:rPr>
                <w:b/>
                <w:bCs/>
                <w:lang w:val="es-ES"/>
              </w:rPr>
              <w:t>úmero de solicitudes</w:t>
            </w:r>
          </w:p>
        </w:tc>
      </w:tr>
      <w:tr w:rsidR="00D202A4" w:rsidRPr="004330DB" w:rsidTr="00966187">
        <w:trPr>
          <w:cantSplit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6D7207" w:rsidP="007A336B">
            <w:pPr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N</w:t>
            </w:r>
            <w:r w:rsidR="0070418F" w:rsidRPr="004330DB">
              <w:rPr>
                <w:szCs w:val="22"/>
                <w:lang w:val="es-ES"/>
              </w:rPr>
              <w:t>úmero</w:t>
            </w:r>
            <w:r w:rsidR="00D202A4" w:rsidRPr="004330DB">
              <w:rPr>
                <w:szCs w:val="22"/>
                <w:lang w:val="es-ES"/>
              </w:rPr>
              <w:t xml:space="preserve"> total </w:t>
            </w:r>
            <w:r w:rsidR="0070418F" w:rsidRPr="004330DB">
              <w:rPr>
                <w:szCs w:val="22"/>
                <w:lang w:val="es-ES"/>
              </w:rPr>
              <w:t xml:space="preserve">de </w:t>
            </w:r>
            <w:r w:rsidR="004330DB" w:rsidRPr="004330DB">
              <w:rPr>
                <w:szCs w:val="22"/>
                <w:lang w:val="es-ES"/>
              </w:rPr>
              <w:t>solicitudes</w:t>
            </w:r>
            <w:r w:rsidR="0070418F" w:rsidRPr="004330DB">
              <w:rPr>
                <w:szCs w:val="22"/>
                <w:lang w:val="es-ES"/>
              </w:rPr>
              <w:t xml:space="preserve"> pendientes con respecto a las cuales se ha presentado la petición de que se efectúe la búsqueda y el examen sustantivo, a finales de</w:t>
            </w:r>
            <w:r w:rsidR="00D202A4" w:rsidRPr="004330DB">
              <w:rPr>
                <w:szCs w:val="22"/>
                <w:lang w:val="es-ES"/>
              </w:rPr>
              <w:t xml:space="preserve"> 2016, </w:t>
            </w:r>
            <w:r w:rsidR="0070418F" w:rsidRPr="004330DB">
              <w:rPr>
                <w:szCs w:val="22"/>
                <w:lang w:val="es-ES"/>
              </w:rPr>
              <w:t>lo que incluye</w:t>
            </w:r>
            <w:r w:rsidR="00D202A4" w:rsidRPr="004330DB">
              <w:rPr>
                <w:szCs w:val="22"/>
                <w:lang w:val="es-ES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 w:rsidP="007A336B">
            <w:pPr>
              <w:jc w:val="center"/>
              <w:rPr>
                <w:szCs w:val="22"/>
                <w:lang w:val="es-ES"/>
              </w:rPr>
            </w:pPr>
          </w:p>
          <w:p w:rsidR="00D202A4" w:rsidRPr="004330DB" w:rsidRDefault="00D202A4" w:rsidP="007A336B">
            <w:pPr>
              <w:jc w:val="center"/>
              <w:rPr>
                <w:szCs w:val="22"/>
                <w:lang w:val="es-ES"/>
              </w:rPr>
            </w:pPr>
          </w:p>
          <w:p w:rsidR="00D202A4" w:rsidRPr="004330DB" w:rsidRDefault="00D202A4" w:rsidP="007A336B">
            <w:pPr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45</w:t>
            </w:r>
            <w:r w:rsidR="00273EE3" w:rsidRPr="004330DB">
              <w:rPr>
                <w:szCs w:val="22"/>
                <w:lang w:val="es-ES"/>
              </w:rPr>
              <w:t>.</w:t>
            </w:r>
            <w:r w:rsidRPr="004330DB">
              <w:rPr>
                <w:szCs w:val="22"/>
                <w:lang w:val="es-ES"/>
              </w:rPr>
              <w:t>941</w:t>
            </w:r>
          </w:p>
        </w:tc>
      </w:tr>
      <w:tr w:rsidR="00D202A4" w:rsidRPr="004330DB" w:rsidTr="00966187">
        <w:trPr>
          <w:cantSplit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70418F" w:rsidP="007A336B">
            <w:pPr>
              <w:spacing w:before="60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las solicitudes con respecto a las cuales se haya emitido la primera decisión de la oficina de primer examen</w:t>
            </w:r>
            <w:r w:rsidR="006D7207">
              <w:rPr>
                <w:szCs w:val="22"/>
                <w:lang w:val="es-ES"/>
              </w:rPr>
              <w:t>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 w:rsidP="007A336B">
            <w:pPr>
              <w:jc w:val="center"/>
              <w:rPr>
                <w:szCs w:val="22"/>
                <w:lang w:val="es-ES"/>
              </w:rPr>
            </w:pPr>
          </w:p>
          <w:p w:rsidR="00D202A4" w:rsidRPr="004330DB" w:rsidRDefault="00D202A4" w:rsidP="007A336B">
            <w:pPr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10</w:t>
            </w:r>
            <w:r w:rsidR="00273EE3" w:rsidRPr="004330DB">
              <w:rPr>
                <w:szCs w:val="22"/>
                <w:lang w:val="es-ES"/>
              </w:rPr>
              <w:t>.</w:t>
            </w:r>
            <w:r w:rsidRPr="004330DB">
              <w:rPr>
                <w:szCs w:val="22"/>
                <w:lang w:val="es-ES"/>
              </w:rPr>
              <w:t>085</w:t>
            </w:r>
          </w:p>
        </w:tc>
      </w:tr>
      <w:tr w:rsidR="00D202A4" w:rsidRPr="004330DB" w:rsidTr="00966187">
        <w:trPr>
          <w:cantSplit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330DB" w:rsidRDefault="0070418F" w:rsidP="007A336B">
            <w:pPr>
              <w:spacing w:before="60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las solicitudes en espera de búsqueda y examen</w:t>
            </w:r>
            <w:r w:rsidR="006D7207">
              <w:rPr>
                <w:szCs w:val="22"/>
                <w:lang w:val="es-E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4330DB" w:rsidRDefault="00D202A4" w:rsidP="007A336B">
            <w:pPr>
              <w:spacing w:before="120"/>
              <w:jc w:val="center"/>
              <w:rPr>
                <w:szCs w:val="22"/>
                <w:lang w:val="es-ES"/>
              </w:rPr>
            </w:pPr>
            <w:r w:rsidRPr="004330DB">
              <w:rPr>
                <w:szCs w:val="22"/>
                <w:lang w:val="es-ES"/>
              </w:rPr>
              <w:t>35</w:t>
            </w:r>
            <w:r w:rsidR="00273EE3" w:rsidRPr="004330DB">
              <w:rPr>
                <w:szCs w:val="22"/>
                <w:lang w:val="es-ES"/>
              </w:rPr>
              <w:t>.</w:t>
            </w:r>
            <w:r w:rsidRPr="004330DB">
              <w:rPr>
                <w:szCs w:val="22"/>
                <w:lang w:val="es-ES"/>
              </w:rPr>
              <w:t>856</w:t>
            </w:r>
          </w:p>
        </w:tc>
      </w:tr>
    </w:tbl>
    <w:p w:rsidR="00DD34E3" w:rsidRDefault="00DD34E3" w:rsidP="00F241A3">
      <w:pPr>
        <w:rPr>
          <w:lang w:val="es-ES"/>
        </w:rPr>
      </w:pPr>
    </w:p>
    <w:p w:rsidR="00DD34E3" w:rsidRPr="004330DB" w:rsidRDefault="00DD34E3" w:rsidP="00F241A3">
      <w:pPr>
        <w:rPr>
          <w:lang w:val="es-ES"/>
        </w:rPr>
      </w:pPr>
    </w:p>
    <w:p w:rsidR="00AA5F79" w:rsidRPr="004330DB" w:rsidRDefault="00FA4CE0" w:rsidP="00FA4CE0">
      <w:pPr>
        <w:pStyle w:val="Endofdocument-Annex"/>
        <w:rPr>
          <w:lang w:val="es-ES"/>
        </w:rPr>
      </w:pPr>
      <w:r w:rsidRPr="004330DB">
        <w:rPr>
          <w:lang w:val="es-ES"/>
        </w:rPr>
        <w:t>[</w:t>
      </w:r>
      <w:r w:rsidR="006D777D" w:rsidRPr="004330DB">
        <w:rPr>
          <w:lang w:val="es-ES"/>
        </w:rPr>
        <w:t xml:space="preserve">Fin del </w:t>
      </w:r>
      <w:r w:rsidR="004330DB" w:rsidRPr="004330DB">
        <w:rPr>
          <w:lang w:val="es-ES"/>
        </w:rPr>
        <w:t>Anexo</w:t>
      </w:r>
      <w:r w:rsidR="006D777D" w:rsidRPr="004330DB">
        <w:rPr>
          <w:lang w:val="es-ES"/>
        </w:rPr>
        <w:t xml:space="preserve"> y del</w:t>
      </w:r>
      <w:r w:rsidRPr="004330DB">
        <w:rPr>
          <w:lang w:val="es-ES"/>
        </w:rPr>
        <w:t xml:space="preserve"> </w:t>
      </w:r>
      <w:r w:rsidR="004330DB" w:rsidRPr="004330DB">
        <w:rPr>
          <w:lang w:val="es-ES"/>
        </w:rPr>
        <w:t>documento</w:t>
      </w:r>
      <w:r w:rsidRPr="004330DB">
        <w:rPr>
          <w:lang w:val="es-ES"/>
        </w:rPr>
        <w:t>]</w:t>
      </w:r>
    </w:p>
    <w:sectPr w:rsidR="00AA5F79" w:rsidRPr="004330DB" w:rsidSect="00AA5F79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207" w:rsidRDefault="006D7207">
      <w:r>
        <w:separator/>
      </w:r>
    </w:p>
  </w:endnote>
  <w:endnote w:type="continuationSeparator" w:id="0">
    <w:p w:rsidR="006D7207" w:rsidRDefault="006D7207" w:rsidP="003B38C1">
      <w:r>
        <w:separator/>
      </w:r>
    </w:p>
    <w:p w:rsidR="006D7207" w:rsidRPr="003B38C1" w:rsidRDefault="006D720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D7207" w:rsidRPr="003B38C1" w:rsidRDefault="006D720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207" w:rsidRDefault="006D7207">
      <w:r>
        <w:separator/>
      </w:r>
    </w:p>
  </w:footnote>
  <w:footnote w:type="continuationSeparator" w:id="0">
    <w:p w:rsidR="006D7207" w:rsidRDefault="006D7207" w:rsidP="008B60B2">
      <w:r>
        <w:separator/>
      </w:r>
    </w:p>
    <w:p w:rsidR="006D7207" w:rsidRPr="00ED77FB" w:rsidRDefault="006D720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D7207" w:rsidRPr="00ED77FB" w:rsidRDefault="006D720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207" w:rsidRDefault="006D7207" w:rsidP="00477D6B">
    <w:pPr>
      <w:jc w:val="right"/>
    </w:pPr>
    <w:bookmarkStart w:id="7" w:name="Code2"/>
    <w:bookmarkEnd w:id="7"/>
    <w:r>
      <w:t>PCT/CTC/30/17</w:t>
    </w:r>
  </w:p>
  <w:p w:rsidR="006D7207" w:rsidRDefault="006D7207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6D7207" w:rsidRDefault="006D7207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207" w:rsidRPr="00AA5F79" w:rsidRDefault="006D7207" w:rsidP="00477D6B">
    <w:pPr>
      <w:jc w:val="right"/>
      <w:rPr>
        <w:lang w:val="fr-FR"/>
      </w:rPr>
    </w:pPr>
    <w:r w:rsidRPr="00AA5F79">
      <w:rPr>
        <w:lang w:val="fr-FR"/>
      </w:rPr>
      <w:t>PCT/CTC/30/</w:t>
    </w:r>
    <w:r>
      <w:rPr>
        <w:lang w:val="fr-FR"/>
      </w:rPr>
      <w:t>17</w:t>
    </w:r>
  </w:p>
  <w:p w:rsidR="006D7207" w:rsidRPr="00AA5F79" w:rsidRDefault="006D7207" w:rsidP="00477D6B">
    <w:pPr>
      <w:jc w:val="right"/>
      <w:rPr>
        <w:lang w:val="fr-FR"/>
      </w:rPr>
    </w:pPr>
    <w:r w:rsidRPr="00AA5F79">
      <w:rPr>
        <w:lang w:val="fr-FR"/>
      </w:rPr>
      <w:t>Anex</w:t>
    </w:r>
    <w:r>
      <w:rPr>
        <w:lang w:val="fr-FR"/>
      </w:rPr>
      <w:t>o</w:t>
    </w:r>
    <w:r w:rsidRPr="00AA5F79">
      <w:rPr>
        <w:lang w:val="fr-FR"/>
      </w:rPr>
      <w:t>, p</w:t>
    </w:r>
    <w:r>
      <w:rPr>
        <w:lang w:val="fr-FR"/>
      </w:rPr>
      <w:t>ágina</w:t>
    </w:r>
    <w:r w:rsidRPr="00AA5F79">
      <w:rPr>
        <w:lang w:val="fr-FR"/>
      </w:rPr>
      <w:t xml:space="preserve"> </w:t>
    </w:r>
    <w:r>
      <w:fldChar w:fldCharType="begin"/>
    </w:r>
    <w:r w:rsidRPr="00AA5F79">
      <w:rPr>
        <w:lang w:val="fr-FR"/>
      </w:rPr>
      <w:instrText xml:space="preserve"> PAGE  \* MERGEFORMAT </w:instrText>
    </w:r>
    <w:r>
      <w:fldChar w:fldCharType="separate"/>
    </w:r>
    <w:r w:rsidR="00EA6BC7">
      <w:rPr>
        <w:noProof/>
        <w:lang w:val="fr-FR"/>
      </w:rPr>
      <w:t>5</w:t>
    </w:r>
    <w:r>
      <w:fldChar w:fldCharType="end"/>
    </w:r>
  </w:p>
  <w:p w:rsidR="006D7207" w:rsidRPr="00AA5F79" w:rsidRDefault="006D7207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207" w:rsidRDefault="006D7207" w:rsidP="00AA5F79">
    <w:pPr>
      <w:pStyle w:val="Header"/>
      <w:jc w:val="right"/>
    </w:pPr>
    <w:r>
      <w:t>PCT/CTC/30/17</w:t>
    </w:r>
  </w:p>
  <w:p w:rsidR="006D7207" w:rsidRDefault="006D7207" w:rsidP="00AA5F79">
    <w:pPr>
      <w:pStyle w:val="Header"/>
      <w:jc w:val="right"/>
    </w:pPr>
    <w:r>
      <w:t>ANEXO</w:t>
    </w:r>
  </w:p>
  <w:p w:rsidR="006D7207" w:rsidRDefault="006D72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0A4"/>
    <w:rsid w:val="000020B8"/>
    <w:rsid w:val="00011582"/>
    <w:rsid w:val="000279F5"/>
    <w:rsid w:val="00042DD1"/>
    <w:rsid w:val="00043CAA"/>
    <w:rsid w:val="00074237"/>
    <w:rsid w:val="00075432"/>
    <w:rsid w:val="000968ED"/>
    <w:rsid w:val="000B58B3"/>
    <w:rsid w:val="000E4AF3"/>
    <w:rsid w:val="000F5E56"/>
    <w:rsid w:val="00101082"/>
    <w:rsid w:val="00120237"/>
    <w:rsid w:val="001362EE"/>
    <w:rsid w:val="001729D9"/>
    <w:rsid w:val="001832A6"/>
    <w:rsid w:val="00200079"/>
    <w:rsid w:val="0021217E"/>
    <w:rsid w:val="002634C4"/>
    <w:rsid w:val="00273EE3"/>
    <w:rsid w:val="002928D3"/>
    <w:rsid w:val="002F1FE6"/>
    <w:rsid w:val="002F4E68"/>
    <w:rsid w:val="00312F7F"/>
    <w:rsid w:val="00323FC3"/>
    <w:rsid w:val="00342BCC"/>
    <w:rsid w:val="0035027E"/>
    <w:rsid w:val="00361450"/>
    <w:rsid w:val="003673CF"/>
    <w:rsid w:val="003845C1"/>
    <w:rsid w:val="00387890"/>
    <w:rsid w:val="003A6F89"/>
    <w:rsid w:val="003B38C1"/>
    <w:rsid w:val="0040198B"/>
    <w:rsid w:val="00423E3E"/>
    <w:rsid w:val="00427AF4"/>
    <w:rsid w:val="004330DB"/>
    <w:rsid w:val="004647DA"/>
    <w:rsid w:val="00474062"/>
    <w:rsid w:val="00477D6B"/>
    <w:rsid w:val="00477FEC"/>
    <w:rsid w:val="004C53C2"/>
    <w:rsid w:val="004E7840"/>
    <w:rsid w:val="004F74E6"/>
    <w:rsid w:val="005019FF"/>
    <w:rsid w:val="0053057A"/>
    <w:rsid w:val="00547B3C"/>
    <w:rsid w:val="00560A29"/>
    <w:rsid w:val="005C40A3"/>
    <w:rsid w:val="005C6649"/>
    <w:rsid w:val="00605827"/>
    <w:rsid w:val="00646050"/>
    <w:rsid w:val="006713CA"/>
    <w:rsid w:val="00676C5C"/>
    <w:rsid w:val="006D7207"/>
    <w:rsid w:val="006D777D"/>
    <w:rsid w:val="00700EAC"/>
    <w:rsid w:val="0070418F"/>
    <w:rsid w:val="00711A13"/>
    <w:rsid w:val="007173C8"/>
    <w:rsid w:val="0077594C"/>
    <w:rsid w:val="007A336B"/>
    <w:rsid w:val="007B7BB1"/>
    <w:rsid w:val="007C4E55"/>
    <w:rsid w:val="007D1613"/>
    <w:rsid w:val="007E4C0E"/>
    <w:rsid w:val="00837953"/>
    <w:rsid w:val="00897A57"/>
    <w:rsid w:val="008A2538"/>
    <w:rsid w:val="008A7032"/>
    <w:rsid w:val="008B2CC1"/>
    <w:rsid w:val="008B50A2"/>
    <w:rsid w:val="008B60B2"/>
    <w:rsid w:val="008F36ED"/>
    <w:rsid w:val="0090731E"/>
    <w:rsid w:val="00916EE2"/>
    <w:rsid w:val="00937BC8"/>
    <w:rsid w:val="00950B8A"/>
    <w:rsid w:val="00966187"/>
    <w:rsid w:val="00966A22"/>
    <w:rsid w:val="0096722F"/>
    <w:rsid w:val="00980843"/>
    <w:rsid w:val="009A191B"/>
    <w:rsid w:val="009E2791"/>
    <w:rsid w:val="009E3F6F"/>
    <w:rsid w:val="009F2A05"/>
    <w:rsid w:val="009F499F"/>
    <w:rsid w:val="00A27C92"/>
    <w:rsid w:val="00A31735"/>
    <w:rsid w:val="00A42DAF"/>
    <w:rsid w:val="00A45BD8"/>
    <w:rsid w:val="00A869B7"/>
    <w:rsid w:val="00A93FC2"/>
    <w:rsid w:val="00AA5F79"/>
    <w:rsid w:val="00AA705A"/>
    <w:rsid w:val="00AB4E82"/>
    <w:rsid w:val="00AC205C"/>
    <w:rsid w:val="00AF0A6B"/>
    <w:rsid w:val="00B05A69"/>
    <w:rsid w:val="00B9734B"/>
    <w:rsid w:val="00BA30E2"/>
    <w:rsid w:val="00BD078D"/>
    <w:rsid w:val="00C11BFE"/>
    <w:rsid w:val="00C1634E"/>
    <w:rsid w:val="00C37C03"/>
    <w:rsid w:val="00C45681"/>
    <w:rsid w:val="00C5068F"/>
    <w:rsid w:val="00C650A4"/>
    <w:rsid w:val="00C65739"/>
    <w:rsid w:val="00CD04F1"/>
    <w:rsid w:val="00D202A4"/>
    <w:rsid w:val="00D3126C"/>
    <w:rsid w:val="00D31EB4"/>
    <w:rsid w:val="00D4074F"/>
    <w:rsid w:val="00D45252"/>
    <w:rsid w:val="00D456A6"/>
    <w:rsid w:val="00D71B4D"/>
    <w:rsid w:val="00D93D55"/>
    <w:rsid w:val="00DD0F33"/>
    <w:rsid w:val="00DD34E3"/>
    <w:rsid w:val="00E15015"/>
    <w:rsid w:val="00E335FE"/>
    <w:rsid w:val="00E51D51"/>
    <w:rsid w:val="00E5482A"/>
    <w:rsid w:val="00E55808"/>
    <w:rsid w:val="00E82D0C"/>
    <w:rsid w:val="00EA6BC7"/>
    <w:rsid w:val="00EC2FC0"/>
    <w:rsid w:val="00EC4E49"/>
    <w:rsid w:val="00ED77FB"/>
    <w:rsid w:val="00EE45FA"/>
    <w:rsid w:val="00F14C56"/>
    <w:rsid w:val="00F241A3"/>
    <w:rsid w:val="00F66152"/>
    <w:rsid w:val="00FA120F"/>
    <w:rsid w:val="00FA4CE0"/>
    <w:rsid w:val="00FA55E7"/>
    <w:rsid w:val="00FD06A7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65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50A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uiPriority w:val="99"/>
    <w:locked/>
    <w:rsid w:val="005C40A3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rsid w:val="00D202A4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D202A4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t-t-r">
    <w:name w:val="t-t-r"/>
    <w:basedOn w:val="Normal"/>
    <w:rsid w:val="00D202A4"/>
    <w:rPr>
      <w:rFonts w:ascii="Verdana" w:eastAsia="Times New Roman" w:hAnsi="Verdana" w:cs="Times New Roman"/>
      <w:color w:val="1E1E1C"/>
      <w:sz w:val="8"/>
      <w:szCs w:val="8"/>
      <w:lang w:val="ru-RU" w:eastAsia="ru-RU"/>
    </w:rPr>
  </w:style>
  <w:style w:type="character" w:customStyle="1" w:styleId="shorttext">
    <w:name w:val="short_text"/>
    <w:basedOn w:val="DefaultParagraphFont"/>
    <w:rsid w:val="00D202A4"/>
  </w:style>
  <w:style w:type="character" w:customStyle="1" w:styleId="alt-edited">
    <w:name w:val="alt-edited"/>
    <w:basedOn w:val="DefaultParagraphFont"/>
    <w:rsid w:val="00D202A4"/>
  </w:style>
  <w:style w:type="character" w:styleId="Strong">
    <w:name w:val="Strong"/>
    <w:basedOn w:val="DefaultParagraphFont"/>
    <w:uiPriority w:val="22"/>
    <w:qFormat/>
    <w:rsid w:val="00D202A4"/>
    <w:rPr>
      <w:b/>
      <w:bCs/>
    </w:rPr>
  </w:style>
  <w:style w:type="character" w:customStyle="1" w:styleId="SectionHeadingChar">
    <w:name w:val="Section Heading Char"/>
    <w:link w:val="SectionHeading"/>
    <w:locked/>
    <w:rsid w:val="00D202A4"/>
    <w:rPr>
      <w:rFonts w:ascii="Arial" w:hAnsi="Arial" w:cs="Arial"/>
      <w:b/>
      <w:bCs/>
      <w:caps/>
      <w:kern w:val="32"/>
      <w:sz w:val="22"/>
      <w:szCs w:val="32"/>
      <w:lang w:eastAsia="zh-CN"/>
    </w:rPr>
  </w:style>
  <w:style w:type="paragraph" w:customStyle="1" w:styleId="SectionHeading">
    <w:name w:val="Section Heading"/>
    <w:basedOn w:val="Heading1"/>
    <w:link w:val="SectionHeadingChar"/>
    <w:qFormat/>
    <w:rsid w:val="00D202A4"/>
    <w:pPr>
      <w:pBdr>
        <w:top w:val="single" w:sz="4" w:space="1" w:color="auto"/>
        <w:bottom w:val="single" w:sz="4" w:space="1" w:color="auto"/>
      </w:pBdr>
      <w:spacing w:before="360" w:after="200"/>
    </w:pPr>
    <w:rPr>
      <w:rFonts w:eastAsia="Times New Roman"/>
    </w:rPr>
  </w:style>
  <w:style w:type="character" w:styleId="Hyperlink">
    <w:name w:val="Hyperlink"/>
    <w:basedOn w:val="DefaultParagraphFont"/>
    <w:rsid w:val="008F36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65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50A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uiPriority w:val="99"/>
    <w:locked/>
    <w:rsid w:val="005C40A3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rsid w:val="00D202A4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D202A4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t-t-r">
    <w:name w:val="t-t-r"/>
    <w:basedOn w:val="Normal"/>
    <w:rsid w:val="00D202A4"/>
    <w:rPr>
      <w:rFonts w:ascii="Verdana" w:eastAsia="Times New Roman" w:hAnsi="Verdana" w:cs="Times New Roman"/>
      <w:color w:val="1E1E1C"/>
      <w:sz w:val="8"/>
      <w:szCs w:val="8"/>
      <w:lang w:val="ru-RU" w:eastAsia="ru-RU"/>
    </w:rPr>
  </w:style>
  <w:style w:type="character" w:customStyle="1" w:styleId="shorttext">
    <w:name w:val="short_text"/>
    <w:basedOn w:val="DefaultParagraphFont"/>
    <w:rsid w:val="00D202A4"/>
  </w:style>
  <w:style w:type="character" w:customStyle="1" w:styleId="alt-edited">
    <w:name w:val="alt-edited"/>
    <w:basedOn w:val="DefaultParagraphFont"/>
    <w:rsid w:val="00D202A4"/>
  </w:style>
  <w:style w:type="character" w:styleId="Strong">
    <w:name w:val="Strong"/>
    <w:basedOn w:val="DefaultParagraphFont"/>
    <w:uiPriority w:val="22"/>
    <w:qFormat/>
    <w:rsid w:val="00D202A4"/>
    <w:rPr>
      <w:b/>
      <w:bCs/>
    </w:rPr>
  </w:style>
  <w:style w:type="character" w:customStyle="1" w:styleId="SectionHeadingChar">
    <w:name w:val="Section Heading Char"/>
    <w:link w:val="SectionHeading"/>
    <w:locked/>
    <w:rsid w:val="00D202A4"/>
    <w:rPr>
      <w:rFonts w:ascii="Arial" w:hAnsi="Arial" w:cs="Arial"/>
      <w:b/>
      <w:bCs/>
      <w:caps/>
      <w:kern w:val="32"/>
      <w:sz w:val="22"/>
      <w:szCs w:val="32"/>
      <w:lang w:eastAsia="zh-CN"/>
    </w:rPr>
  </w:style>
  <w:style w:type="paragraph" w:customStyle="1" w:styleId="SectionHeading">
    <w:name w:val="Section Heading"/>
    <w:basedOn w:val="Heading1"/>
    <w:link w:val="SectionHeadingChar"/>
    <w:qFormat/>
    <w:rsid w:val="00D202A4"/>
    <w:pPr>
      <w:pBdr>
        <w:top w:val="single" w:sz="4" w:space="1" w:color="auto"/>
        <w:bottom w:val="single" w:sz="4" w:space="1" w:color="auto"/>
      </w:pBdr>
      <w:spacing w:before="360" w:after="200"/>
    </w:pPr>
    <w:rPr>
      <w:rFonts w:eastAsia="Times New Roman"/>
    </w:rPr>
  </w:style>
  <w:style w:type="character" w:styleId="Hyperlink">
    <w:name w:val="Hyperlink"/>
    <w:basedOn w:val="DefaultParagraphFont"/>
    <w:rsid w:val="008F36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pct/en/quality/authorities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CTC%203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4C0D5-6E0F-4DDD-988D-B68D70676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CTC 30 (E)</Template>
  <TotalTime>1</TotalTime>
  <Pages>6</Pages>
  <Words>1966</Words>
  <Characters>11134</Characters>
  <Application>Microsoft Office Word</Application>
  <DocSecurity>0</DocSecurity>
  <Lines>195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PCT/CTC/30/17</vt:lpstr>
    </vt:vector>
  </TitlesOfParts>
  <Company>WIPO</Company>
  <LinksUpToDate>false</LinksUpToDate>
  <CharactersWithSpaces>13026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PCT/CTC/30/17</dc:title>
  <dc:subject>Application for Extension of Appointment by Russian Federal Service for Intellectual Property</dc:subject>
  <dc:creator>MIGLIORE</dc:creator>
  <cp:lastModifiedBy>MARLOW Thomas</cp:lastModifiedBy>
  <cp:revision>2</cp:revision>
  <cp:lastPrinted>2017-03-14T15:31:00Z</cp:lastPrinted>
  <dcterms:created xsi:type="dcterms:W3CDTF">2017-03-22T13:32:00Z</dcterms:created>
  <dcterms:modified xsi:type="dcterms:W3CDTF">2017-03-22T13:32:00Z</dcterms:modified>
</cp:coreProperties>
</file>