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31163" w:rsidRPr="00BD6F68" w:rsidTr="00927A43">
        <w:tc>
          <w:tcPr>
            <w:tcW w:w="4513" w:type="dxa"/>
            <w:tcBorders>
              <w:bottom w:val="single" w:sz="4" w:space="0" w:color="auto"/>
            </w:tcBorders>
            <w:tcMar>
              <w:bottom w:w="170" w:type="dxa"/>
            </w:tcMar>
          </w:tcPr>
          <w:p w:rsidR="00931163" w:rsidRPr="00BD6F68" w:rsidRDefault="00931163" w:rsidP="00927A43">
            <w:pPr>
              <w:rPr>
                <w:lang w:val="es-ES"/>
              </w:rPr>
            </w:pPr>
          </w:p>
        </w:tc>
        <w:tc>
          <w:tcPr>
            <w:tcW w:w="4337" w:type="dxa"/>
            <w:tcBorders>
              <w:bottom w:val="single" w:sz="4" w:space="0" w:color="auto"/>
            </w:tcBorders>
            <w:tcMar>
              <w:left w:w="0" w:type="dxa"/>
              <w:right w:w="0" w:type="dxa"/>
            </w:tcMar>
          </w:tcPr>
          <w:p w:rsidR="00931163" w:rsidRPr="00BD6F68" w:rsidRDefault="00931163" w:rsidP="00927A43">
            <w:pPr>
              <w:rPr>
                <w:lang w:val="es-ES"/>
              </w:rPr>
            </w:pPr>
            <w:r w:rsidRPr="00BD6F68">
              <w:rPr>
                <w:noProof/>
                <w:lang w:val="en-US" w:eastAsia="en-US"/>
              </w:rPr>
              <w:drawing>
                <wp:inline distT="0" distB="0" distL="0" distR="0" wp14:anchorId="310430F1" wp14:editId="08D64839">
                  <wp:extent cx="1858645" cy="1326515"/>
                  <wp:effectExtent l="0" t="0" r="8255" b="6985"/>
                  <wp:docPr id="11" name="Picture 1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31163" w:rsidRPr="00BD6F68" w:rsidRDefault="00931163" w:rsidP="00927A43">
            <w:pPr>
              <w:jc w:val="right"/>
              <w:rPr>
                <w:lang w:val="es-ES"/>
              </w:rPr>
            </w:pPr>
            <w:r w:rsidRPr="00BD6F68">
              <w:rPr>
                <w:b/>
                <w:sz w:val="40"/>
                <w:szCs w:val="40"/>
                <w:lang w:val="es-ES"/>
              </w:rPr>
              <w:t>S</w:t>
            </w:r>
          </w:p>
        </w:tc>
      </w:tr>
      <w:tr w:rsidR="00931163" w:rsidRPr="00BD6F68" w:rsidTr="00927A43">
        <w:trPr>
          <w:trHeight w:hRule="exact" w:val="357"/>
        </w:trPr>
        <w:tc>
          <w:tcPr>
            <w:tcW w:w="9356" w:type="dxa"/>
            <w:gridSpan w:val="3"/>
            <w:tcBorders>
              <w:top w:val="single" w:sz="4" w:space="0" w:color="auto"/>
            </w:tcBorders>
            <w:tcMar>
              <w:top w:w="170" w:type="dxa"/>
              <w:left w:w="0" w:type="dxa"/>
              <w:right w:w="0" w:type="dxa"/>
            </w:tcMar>
            <w:vAlign w:val="bottom"/>
          </w:tcPr>
          <w:p w:rsidR="00931163" w:rsidRPr="00BD6F68" w:rsidRDefault="00931163" w:rsidP="00931163">
            <w:pPr>
              <w:jc w:val="right"/>
              <w:rPr>
                <w:rFonts w:ascii="Arial Black" w:hAnsi="Arial Black"/>
                <w:caps/>
                <w:sz w:val="15"/>
                <w:lang w:val="es-ES"/>
              </w:rPr>
            </w:pPr>
            <w:r w:rsidRPr="00BD6F68">
              <w:rPr>
                <w:rFonts w:ascii="Arial Black" w:hAnsi="Arial Black"/>
                <w:caps/>
                <w:sz w:val="15"/>
                <w:lang w:val="es-ES"/>
              </w:rPr>
              <w:t>PCT/CTC/30/</w:t>
            </w:r>
            <w:bookmarkStart w:id="0" w:name="Code"/>
            <w:bookmarkEnd w:id="0"/>
            <w:r>
              <w:rPr>
                <w:rFonts w:ascii="Arial Black" w:hAnsi="Arial Black"/>
                <w:caps/>
                <w:sz w:val="15"/>
                <w:lang w:val="es-ES"/>
              </w:rPr>
              <w:t>19</w:t>
            </w:r>
          </w:p>
        </w:tc>
      </w:tr>
      <w:tr w:rsidR="00931163" w:rsidRPr="00BD6F68" w:rsidTr="00927A43">
        <w:trPr>
          <w:trHeight w:hRule="exact" w:val="170"/>
        </w:trPr>
        <w:tc>
          <w:tcPr>
            <w:tcW w:w="9356" w:type="dxa"/>
            <w:gridSpan w:val="3"/>
            <w:noWrap/>
            <w:tcMar>
              <w:left w:w="0" w:type="dxa"/>
              <w:right w:w="0" w:type="dxa"/>
            </w:tcMar>
            <w:vAlign w:val="bottom"/>
          </w:tcPr>
          <w:p w:rsidR="00931163" w:rsidRPr="00BD6F68" w:rsidRDefault="00931163" w:rsidP="00927A43">
            <w:pPr>
              <w:jc w:val="right"/>
              <w:rPr>
                <w:rFonts w:ascii="Arial Black" w:hAnsi="Arial Black"/>
                <w:caps/>
                <w:sz w:val="15"/>
                <w:lang w:val="es-ES"/>
              </w:rPr>
            </w:pPr>
            <w:r w:rsidRPr="00BD6F68">
              <w:rPr>
                <w:rFonts w:ascii="Arial Black" w:hAnsi="Arial Black"/>
                <w:caps/>
                <w:sz w:val="15"/>
                <w:lang w:val="es-ES"/>
              </w:rPr>
              <w:t>ORIGINAL:</w:t>
            </w:r>
            <w:r>
              <w:rPr>
                <w:rFonts w:ascii="Arial Black" w:hAnsi="Arial Black"/>
                <w:caps/>
                <w:sz w:val="15"/>
                <w:lang w:val="es-ES"/>
              </w:rPr>
              <w:t xml:space="preserve"> </w:t>
            </w:r>
            <w:r w:rsidRPr="00BD6F68">
              <w:rPr>
                <w:rFonts w:ascii="Arial Black" w:hAnsi="Arial Black"/>
                <w:caps/>
                <w:sz w:val="15"/>
                <w:lang w:val="es-ES"/>
              </w:rPr>
              <w:t xml:space="preserve"> </w:t>
            </w:r>
            <w:bookmarkStart w:id="1" w:name="Original"/>
            <w:bookmarkEnd w:id="1"/>
            <w:r w:rsidRPr="00BD6F68">
              <w:rPr>
                <w:rFonts w:ascii="Arial Black" w:hAnsi="Arial Black"/>
                <w:caps/>
                <w:sz w:val="15"/>
                <w:lang w:val="es-ES"/>
              </w:rPr>
              <w:t>inglés</w:t>
            </w:r>
          </w:p>
        </w:tc>
      </w:tr>
      <w:tr w:rsidR="00931163" w:rsidRPr="00BD6F68" w:rsidTr="00927A43">
        <w:trPr>
          <w:trHeight w:hRule="exact" w:val="198"/>
        </w:trPr>
        <w:tc>
          <w:tcPr>
            <w:tcW w:w="9356" w:type="dxa"/>
            <w:gridSpan w:val="3"/>
            <w:tcMar>
              <w:left w:w="0" w:type="dxa"/>
              <w:right w:w="0" w:type="dxa"/>
            </w:tcMar>
            <w:vAlign w:val="bottom"/>
          </w:tcPr>
          <w:p w:rsidR="00931163" w:rsidRPr="00BD6F68" w:rsidRDefault="00931163" w:rsidP="00631409">
            <w:pPr>
              <w:jc w:val="right"/>
              <w:rPr>
                <w:rFonts w:ascii="Arial Black" w:hAnsi="Arial Black"/>
                <w:caps/>
                <w:sz w:val="15"/>
                <w:lang w:val="es-ES"/>
              </w:rPr>
            </w:pPr>
            <w:r w:rsidRPr="00BD6F68">
              <w:rPr>
                <w:rFonts w:ascii="Arial Black" w:hAnsi="Arial Black"/>
                <w:caps/>
                <w:sz w:val="15"/>
                <w:lang w:val="es-ES"/>
              </w:rPr>
              <w:t xml:space="preserve">fecha: </w:t>
            </w:r>
            <w:bookmarkStart w:id="2" w:name="Date"/>
            <w:bookmarkEnd w:id="2"/>
            <w:r>
              <w:rPr>
                <w:rFonts w:ascii="Arial Black" w:hAnsi="Arial Black"/>
                <w:caps/>
                <w:sz w:val="15"/>
                <w:lang w:val="es-ES"/>
              </w:rPr>
              <w:t xml:space="preserve"> </w:t>
            </w:r>
            <w:r w:rsidRPr="00BD6F68">
              <w:rPr>
                <w:rFonts w:ascii="Arial Black" w:hAnsi="Arial Black"/>
                <w:caps/>
                <w:sz w:val="15"/>
                <w:lang w:val="es-ES"/>
              </w:rPr>
              <w:t xml:space="preserve">16 de marzo de </w:t>
            </w:r>
            <w:r w:rsidR="00631409">
              <w:rPr>
                <w:rFonts w:ascii="Arial Black" w:hAnsi="Arial Black"/>
                <w:caps/>
                <w:sz w:val="15"/>
                <w:lang w:val="es-ES"/>
              </w:rPr>
              <w:t>2017</w:t>
            </w:r>
          </w:p>
        </w:tc>
      </w:tr>
    </w:tbl>
    <w:p w:rsidR="00931163" w:rsidRPr="00BD6F68" w:rsidRDefault="00931163" w:rsidP="00931163">
      <w:pPr>
        <w:rPr>
          <w:lang w:val="es-ES"/>
        </w:rPr>
      </w:pPr>
    </w:p>
    <w:p w:rsidR="00931163" w:rsidRPr="00BD6F68" w:rsidRDefault="00931163" w:rsidP="00931163">
      <w:pPr>
        <w:rPr>
          <w:lang w:val="es-ES"/>
        </w:rPr>
      </w:pPr>
    </w:p>
    <w:p w:rsidR="00931163" w:rsidRPr="00BD6F68" w:rsidRDefault="00931163" w:rsidP="00931163">
      <w:pPr>
        <w:rPr>
          <w:lang w:val="es-ES"/>
        </w:rPr>
      </w:pPr>
    </w:p>
    <w:p w:rsidR="00931163" w:rsidRPr="00BD6F68" w:rsidRDefault="00931163" w:rsidP="00931163">
      <w:pPr>
        <w:rPr>
          <w:lang w:val="es-ES"/>
        </w:rPr>
      </w:pPr>
    </w:p>
    <w:p w:rsidR="00931163" w:rsidRPr="00BD6F68" w:rsidRDefault="00931163" w:rsidP="00931163">
      <w:pPr>
        <w:rPr>
          <w:lang w:val="es-ES"/>
        </w:rPr>
      </w:pPr>
    </w:p>
    <w:p w:rsidR="00931163" w:rsidRPr="00BD6F68" w:rsidRDefault="00931163" w:rsidP="00931163">
      <w:pPr>
        <w:rPr>
          <w:b/>
          <w:sz w:val="28"/>
          <w:szCs w:val="28"/>
          <w:lang w:val="es-ES"/>
        </w:rPr>
      </w:pPr>
      <w:r w:rsidRPr="00BD6F68">
        <w:rPr>
          <w:b/>
          <w:sz w:val="28"/>
          <w:szCs w:val="28"/>
          <w:lang w:val="es-ES"/>
        </w:rPr>
        <w:t>Tratado de Cooperación en materia de Patentes (PCT)</w:t>
      </w:r>
    </w:p>
    <w:p w:rsidR="00931163" w:rsidRPr="00BD6F68" w:rsidRDefault="00931163" w:rsidP="00931163">
      <w:pPr>
        <w:rPr>
          <w:b/>
          <w:sz w:val="28"/>
          <w:szCs w:val="28"/>
          <w:lang w:val="es-ES"/>
        </w:rPr>
      </w:pPr>
      <w:r w:rsidRPr="00BD6F68">
        <w:rPr>
          <w:b/>
          <w:sz w:val="28"/>
          <w:szCs w:val="28"/>
          <w:lang w:val="es-ES"/>
        </w:rPr>
        <w:t>Comité de Cooperación Técnica</w:t>
      </w:r>
    </w:p>
    <w:p w:rsidR="00931163" w:rsidRPr="00BD6F68" w:rsidRDefault="00931163" w:rsidP="00931163">
      <w:pPr>
        <w:rPr>
          <w:lang w:val="es-ES"/>
        </w:rPr>
      </w:pPr>
    </w:p>
    <w:p w:rsidR="00931163" w:rsidRPr="00BD6F68" w:rsidRDefault="00931163" w:rsidP="00931163">
      <w:pPr>
        <w:rPr>
          <w:lang w:val="es-ES"/>
        </w:rPr>
      </w:pPr>
    </w:p>
    <w:p w:rsidR="00931163" w:rsidRPr="00BD6F68" w:rsidRDefault="00931163" w:rsidP="00931163">
      <w:pPr>
        <w:rPr>
          <w:b/>
          <w:sz w:val="24"/>
          <w:szCs w:val="24"/>
          <w:lang w:val="es-ES"/>
        </w:rPr>
      </w:pPr>
      <w:r w:rsidRPr="00BD6F68">
        <w:rPr>
          <w:b/>
          <w:sz w:val="24"/>
          <w:szCs w:val="24"/>
          <w:lang w:val="es-ES"/>
        </w:rPr>
        <w:t>Trigésima sesión</w:t>
      </w:r>
    </w:p>
    <w:p w:rsidR="00931163" w:rsidRPr="00BD6F68" w:rsidRDefault="00931163" w:rsidP="00931163">
      <w:pPr>
        <w:rPr>
          <w:b/>
          <w:sz w:val="24"/>
          <w:szCs w:val="24"/>
          <w:lang w:val="es-ES"/>
        </w:rPr>
      </w:pPr>
      <w:r w:rsidRPr="00BD6F68">
        <w:rPr>
          <w:b/>
          <w:sz w:val="24"/>
          <w:szCs w:val="24"/>
          <w:lang w:val="es-ES"/>
        </w:rPr>
        <w:t>Ginebra, 8 a 12 de mayo de 2017</w:t>
      </w:r>
    </w:p>
    <w:p w:rsidR="00927A43" w:rsidRPr="00931163" w:rsidRDefault="00927A43" w:rsidP="00927A43">
      <w:pPr>
        <w:rPr>
          <w:lang w:val="es-ES"/>
        </w:rPr>
      </w:pPr>
    </w:p>
    <w:p w:rsidR="00927A43" w:rsidRPr="008B2CC1" w:rsidRDefault="00927A43" w:rsidP="00927A43"/>
    <w:p w:rsidR="00927A43" w:rsidRPr="008B2CC1" w:rsidRDefault="00927A43" w:rsidP="00927A43"/>
    <w:p w:rsidR="00927A43" w:rsidRPr="003845C1" w:rsidRDefault="00DA2676" w:rsidP="00927A43">
      <w:pPr>
        <w:rPr>
          <w:caps/>
          <w:sz w:val="24"/>
        </w:rPr>
      </w:pPr>
      <w:bookmarkStart w:id="3" w:name="TitleOfDoc"/>
      <w:bookmarkEnd w:id="3"/>
      <w:r>
        <w:rPr>
          <w:rFonts w:eastAsia="Arial"/>
          <w:caps/>
          <w:sz w:val="24"/>
          <w:szCs w:val="24"/>
          <w:lang w:val="es-ES_tradnl"/>
        </w:rPr>
        <w:t>PRÓRROGA DE LA DESIGNACIÓN DE LA OFICINA DE PROPIEDAD INTELECTUAL DE SINGAPUR COMO ADMINISTRACIÓN ENCARGADA DE LA BÚSQUEDA Y DEL EXAMEN PRELIMINAR INTERNACIONAL</w:t>
      </w:r>
      <w:r w:rsidR="0075725A">
        <w:rPr>
          <w:rFonts w:eastAsia="Arial"/>
          <w:caps/>
          <w:sz w:val="24"/>
          <w:szCs w:val="24"/>
          <w:lang w:val="es-ES_tradnl"/>
        </w:rPr>
        <w:t>es</w:t>
      </w:r>
      <w:r>
        <w:rPr>
          <w:rFonts w:eastAsia="Arial"/>
          <w:caps/>
          <w:sz w:val="24"/>
          <w:szCs w:val="24"/>
          <w:lang w:val="es-ES_tradnl"/>
        </w:rPr>
        <w:t xml:space="preserve"> EN VIRTUD DEL PCT</w:t>
      </w:r>
    </w:p>
    <w:p w:rsidR="00927A43" w:rsidRPr="008B2CC1" w:rsidRDefault="00927A43" w:rsidP="00927A43"/>
    <w:p w:rsidR="00927A43" w:rsidRPr="008B2CC1" w:rsidRDefault="00DA2676" w:rsidP="00927A43">
      <w:pPr>
        <w:rPr>
          <w:i/>
        </w:rPr>
      </w:pPr>
      <w:bookmarkStart w:id="4" w:name="Prepared"/>
      <w:bookmarkEnd w:id="4"/>
      <w:r>
        <w:rPr>
          <w:rFonts w:eastAsia="Arial"/>
          <w:i/>
          <w:iCs/>
          <w:szCs w:val="22"/>
          <w:lang w:val="es-ES_tradnl"/>
        </w:rPr>
        <w:t>Documento preparado por la Oficina Internacional</w:t>
      </w:r>
    </w:p>
    <w:p w:rsidR="00927A43" w:rsidRDefault="00927A43"/>
    <w:p w:rsidR="00927A43" w:rsidRDefault="00927A43"/>
    <w:p w:rsidR="00927A43" w:rsidRDefault="00927A43"/>
    <w:p w:rsidR="00927A43" w:rsidRDefault="00927A43" w:rsidP="00927A43"/>
    <w:p w:rsidR="00927A43" w:rsidRDefault="00DA2676" w:rsidP="00173E68">
      <w:pPr>
        <w:pStyle w:val="ONUMFS"/>
      </w:pPr>
      <w:bookmarkStart w:id="5" w:name="_Ref447032909"/>
      <w:r>
        <w:rPr>
          <w:lang w:val="es-ES_tradnl"/>
        </w:rPr>
        <w:t>Todas las Administraciones internacionales existentes fueron designadas por la Asamblea de</w:t>
      </w:r>
      <w:r w:rsidR="0075725A">
        <w:rPr>
          <w:lang w:val="es-ES_tradnl"/>
        </w:rPr>
        <w:t xml:space="preserve"> </w:t>
      </w:r>
      <w:r>
        <w:rPr>
          <w:lang w:val="es-ES_tradnl"/>
        </w:rPr>
        <w:t>l</w:t>
      </w:r>
      <w:r w:rsidR="0075725A">
        <w:rPr>
          <w:lang w:val="es-ES_tradnl"/>
        </w:rPr>
        <w:t>a Unión</w:t>
      </w:r>
      <w:r>
        <w:rPr>
          <w:lang w:val="es-ES_tradnl"/>
        </w:rPr>
        <w:t xml:space="preserve"> PCT por un plazo que expirará el 31 de diciembre</w:t>
      </w:r>
      <w:r w:rsidR="00173E68">
        <w:rPr>
          <w:lang w:val="es-ES_tradnl"/>
        </w:rPr>
        <w:t xml:space="preserve"> de 2017.  Por consiguiente, en </w:t>
      </w:r>
      <w:r>
        <w:rPr>
          <w:lang w:val="es-ES_tradnl"/>
        </w:rPr>
        <w:t>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bookmarkEnd w:id="5"/>
      <w:r>
        <w:rPr>
          <w:lang w:val="es-ES_tradnl"/>
        </w:rPr>
        <w:t xml:space="preserve">  El documento PCT/CTC/30/INF/1 contiene más información sobre este proceso y sobre la función del Comité en el marco del mismo.</w:t>
      </w:r>
    </w:p>
    <w:p w:rsidR="00927A43" w:rsidRDefault="00DA2676" w:rsidP="00173E68">
      <w:pPr>
        <w:pStyle w:val="ONUMFS"/>
      </w:pPr>
      <w:r>
        <w:rPr>
          <w:lang w:val="es-ES_tradnl"/>
        </w:rPr>
        <w:t xml:space="preserve">El 2 de marzo de 2017, la Oficina de Propiedad Intelectual de Singapur presentó una solicitud para prorrogar su designación en calidad de Administración encargada de la búsqueda internacional y Administración encargada del examen preliminar internacional en virtud del PCT.  </w:t>
      </w:r>
      <w:r w:rsidR="00B479C9">
        <w:rPr>
          <w:lang w:val="es-ES_tradnl"/>
        </w:rPr>
        <w:t>Dicha</w:t>
      </w:r>
      <w:r>
        <w:rPr>
          <w:lang w:val="es-ES_tradnl"/>
        </w:rPr>
        <w:t xml:space="preserve"> solicitud se reproduce en el Anexo del presente documento.</w:t>
      </w:r>
    </w:p>
    <w:p w:rsidR="00927A43" w:rsidRPr="00AA5F79" w:rsidRDefault="00DA2676" w:rsidP="00173E68">
      <w:pPr>
        <w:pStyle w:val="ONUMFS"/>
        <w:ind w:left="5534"/>
        <w:rPr>
          <w:i/>
        </w:rPr>
      </w:pPr>
      <w:r>
        <w:rPr>
          <w:i/>
          <w:iCs/>
          <w:lang w:val="es-ES_tradnl"/>
        </w:rPr>
        <w:t>Se invita al Comité a dar su opinión sobre este asunto.</w:t>
      </w:r>
    </w:p>
    <w:p w:rsidR="00927A43" w:rsidRDefault="00927A43" w:rsidP="00927A43">
      <w:pPr>
        <w:pStyle w:val="ONUME"/>
        <w:numPr>
          <w:ilvl w:val="0"/>
          <w:numId w:val="0"/>
        </w:numPr>
      </w:pPr>
    </w:p>
    <w:p w:rsidR="00927A43" w:rsidRDefault="00DA2676" w:rsidP="00927A43">
      <w:pPr>
        <w:pStyle w:val="ONUME"/>
        <w:numPr>
          <w:ilvl w:val="0"/>
          <w:numId w:val="0"/>
        </w:numPr>
        <w:ind w:left="5533"/>
        <w:sectPr w:rsidR="00927A43" w:rsidSect="00927A43">
          <w:headerReference w:type="default" r:id="rId10"/>
          <w:endnotePr>
            <w:numFmt w:val="decimal"/>
          </w:endnotePr>
          <w:pgSz w:w="11907" w:h="16840" w:code="9"/>
          <w:pgMar w:top="567" w:right="1134" w:bottom="1418" w:left="1418" w:header="510" w:footer="1021" w:gutter="0"/>
          <w:cols w:space="720"/>
          <w:titlePg/>
          <w:docGrid w:linePitch="299"/>
        </w:sectPr>
      </w:pPr>
      <w:r>
        <w:rPr>
          <w:rFonts w:eastAsia="Arial"/>
          <w:szCs w:val="22"/>
          <w:lang w:val="es-ES_tradnl"/>
        </w:rPr>
        <w:t>[Sigue el Anexo]</w:t>
      </w:r>
    </w:p>
    <w:p w:rsidR="00B479C9" w:rsidRDefault="00DA2676" w:rsidP="00B479C9">
      <w:pPr>
        <w:pStyle w:val="ONUME"/>
        <w:numPr>
          <w:ilvl w:val="0"/>
          <w:numId w:val="0"/>
        </w:numPr>
        <w:spacing w:after="0"/>
        <w:jc w:val="center"/>
        <w:rPr>
          <w:rFonts w:eastAsia="Arial"/>
          <w:caps/>
          <w:szCs w:val="22"/>
          <w:lang w:val="es-ES_tradnl"/>
        </w:rPr>
      </w:pPr>
      <w:r>
        <w:rPr>
          <w:rFonts w:eastAsia="Arial"/>
          <w:caps/>
          <w:szCs w:val="22"/>
          <w:lang w:val="es-ES_tradnl"/>
        </w:rPr>
        <w:lastRenderedPageBreak/>
        <w:t xml:space="preserve">SOLICITUD DE LA OFICINA DE PROPIEDAD INTELECTUAL DE SINGAPUR </w:t>
      </w:r>
    </w:p>
    <w:p w:rsidR="00927A43" w:rsidRDefault="00DA2676" w:rsidP="00B479C9">
      <w:pPr>
        <w:pStyle w:val="ONUME"/>
        <w:numPr>
          <w:ilvl w:val="0"/>
          <w:numId w:val="0"/>
        </w:numPr>
        <w:spacing w:after="0"/>
        <w:jc w:val="center"/>
        <w:rPr>
          <w:rFonts w:eastAsia="Arial"/>
          <w:caps/>
          <w:szCs w:val="22"/>
          <w:lang w:val="es-ES_tradnl"/>
        </w:rPr>
      </w:pPr>
      <w:r>
        <w:rPr>
          <w:rFonts w:eastAsia="Arial"/>
          <w:caps/>
          <w:szCs w:val="22"/>
          <w:lang w:val="es-ES_tradnl"/>
        </w:rPr>
        <w:t xml:space="preserve">PARA PRORROGAR SU DESIGNACIÓN </w:t>
      </w:r>
      <w:r>
        <w:rPr>
          <w:rFonts w:eastAsia="Arial"/>
          <w:caps/>
          <w:szCs w:val="22"/>
          <w:lang w:val="es-ES_tradnl"/>
        </w:rPr>
        <w:br/>
        <w:t>COMO ADMINISTRACIÓN ENCARGADA DE LA BÚSQUEDA Y DEL EXAMEN PRELIMINAR INTERNACIONAL</w:t>
      </w:r>
      <w:r w:rsidR="0075725A">
        <w:rPr>
          <w:rFonts w:eastAsia="Arial"/>
          <w:caps/>
          <w:szCs w:val="22"/>
          <w:lang w:val="es-ES_tradnl"/>
        </w:rPr>
        <w:t>es</w:t>
      </w:r>
      <w:r>
        <w:rPr>
          <w:rFonts w:eastAsia="Arial"/>
          <w:caps/>
          <w:szCs w:val="22"/>
          <w:lang w:val="es-ES_tradnl"/>
        </w:rPr>
        <w:t xml:space="preserve"> EN VIRTUD DEL PCT</w:t>
      </w:r>
    </w:p>
    <w:p w:rsidR="00B479C9" w:rsidRPr="00AA5F79" w:rsidRDefault="00B479C9" w:rsidP="00B479C9">
      <w:pPr>
        <w:pStyle w:val="ONUME"/>
        <w:numPr>
          <w:ilvl w:val="0"/>
          <w:numId w:val="0"/>
        </w:numPr>
        <w:spacing w:after="0"/>
        <w:jc w:val="center"/>
        <w:rPr>
          <w:caps/>
        </w:rPr>
      </w:pPr>
    </w:p>
    <w:p w:rsidR="00927A43" w:rsidRDefault="00DA2676" w:rsidP="000729B0">
      <w:pPr>
        <w:pStyle w:val="Heading1"/>
        <w:keepNext w:val="0"/>
      </w:pPr>
      <w:r>
        <w:rPr>
          <w:rFonts w:eastAsia="Arial"/>
          <w:szCs w:val="22"/>
          <w:lang w:val="es-ES_tradnl"/>
        </w:rPr>
        <w:t>1.</w:t>
      </w:r>
      <w:r>
        <w:rPr>
          <w:rFonts w:eastAsia="Arial"/>
          <w:szCs w:val="22"/>
          <w:lang w:val="es-ES_tradnl"/>
        </w:rPr>
        <w:tab/>
        <w:t>GENERAL</w:t>
      </w:r>
    </w:p>
    <w:p w:rsidR="00927A43" w:rsidRDefault="00DA2676" w:rsidP="000729B0">
      <w:pPr>
        <w:pStyle w:val="Heading2"/>
        <w:keepNext w:val="0"/>
      </w:pPr>
      <w:r>
        <w:rPr>
          <w:rFonts w:eastAsia="Arial"/>
          <w:szCs w:val="22"/>
          <w:lang w:val="es-ES_tradnl"/>
        </w:rPr>
        <w:t>1.1</w:t>
      </w:r>
      <w:r>
        <w:rPr>
          <w:rFonts w:eastAsia="Arial"/>
          <w:szCs w:val="22"/>
          <w:lang w:val="es-ES_tradnl"/>
        </w:rPr>
        <w:tab/>
        <w:t xml:space="preserve">NOMBRE DE LA OFICINA: </w:t>
      </w:r>
    </w:p>
    <w:p w:rsidR="00927A43" w:rsidRPr="000E64C9" w:rsidRDefault="00DA2676" w:rsidP="000729B0">
      <w:pPr>
        <w:spacing w:line="360" w:lineRule="auto"/>
        <w:jc w:val="both"/>
        <w:rPr>
          <w:bCs/>
          <w:szCs w:val="22"/>
        </w:rPr>
      </w:pPr>
      <w:r>
        <w:rPr>
          <w:rFonts w:eastAsia="Arial"/>
          <w:bCs/>
          <w:szCs w:val="22"/>
          <w:lang w:val="es-ES_tradnl"/>
        </w:rPr>
        <w:t xml:space="preserve">Oficina de Propiedad Intelectual de Singapur (IPOS) </w:t>
      </w:r>
    </w:p>
    <w:p w:rsidR="00927A43" w:rsidRDefault="00DA2676" w:rsidP="000729B0">
      <w:pPr>
        <w:pStyle w:val="Heading2"/>
        <w:keepNext w:val="0"/>
      </w:pPr>
      <w:r>
        <w:rPr>
          <w:rFonts w:eastAsia="Arial"/>
          <w:szCs w:val="22"/>
          <w:lang w:val="es-ES_tradnl"/>
        </w:rPr>
        <w:t>1.2</w:t>
      </w:r>
      <w:r>
        <w:rPr>
          <w:rFonts w:eastAsia="Arial"/>
          <w:szCs w:val="22"/>
          <w:lang w:val="es-ES_tradnl"/>
        </w:rPr>
        <w:tab/>
        <w:t>PERÍODO DE SESIONES DE LA ASAMBLEA EN LA QUE SE SOLICITÓ LA DESIGNACIÓN:</w:t>
      </w:r>
    </w:p>
    <w:p w:rsidR="00927A43" w:rsidRDefault="00DA2676" w:rsidP="000729B0">
      <w:pPr>
        <w:pStyle w:val="ONUME"/>
        <w:numPr>
          <w:ilvl w:val="0"/>
          <w:numId w:val="0"/>
        </w:numPr>
      </w:pPr>
      <w:r>
        <w:rPr>
          <w:rFonts w:eastAsia="Arial"/>
          <w:szCs w:val="22"/>
          <w:lang w:val="es-ES_tradnl"/>
        </w:rPr>
        <w:t>Cuadragésimo sexto período de sesiones (27º extraordinario), celebrado en Ginebra del 22 al 30 de septiembre de 2014.</w:t>
      </w:r>
    </w:p>
    <w:p w:rsidR="00927A43" w:rsidRDefault="00DA2676" w:rsidP="000729B0">
      <w:pPr>
        <w:pStyle w:val="Heading1"/>
        <w:keepNext w:val="0"/>
      </w:pPr>
      <w:r>
        <w:rPr>
          <w:rFonts w:eastAsia="Arial"/>
          <w:szCs w:val="22"/>
          <w:lang w:val="es-ES_tradnl"/>
        </w:rPr>
        <w:t>2.</w:t>
      </w:r>
      <w:r>
        <w:rPr>
          <w:rFonts w:eastAsia="Arial"/>
          <w:szCs w:val="22"/>
          <w:lang w:val="es-ES_tradnl"/>
        </w:rPr>
        <w:tab/>
        <w:t>CRITERIOS SUSTANTIVOS</w:t>
      </w:r>
      <w:proofErr w:type="gramStart"/>
      <w:r>
        <w:rPr>
          <w:rFonts w:eastAsia="Arial"/>
          <w:szCs w:val="22"/>
          <w:lang w:val="es-ES_tradnl"/>
        </w:rPr>
        <w:t>:  REQUISITOS</w:t>
      </w:r>
      <w:proofErr w:type="gramEnd"/>
      <w:r>
        <w:rPr>
          <w:rFonts w:eastAsia="Arial"/>
          <w:szCs w:val="22"/>
          <w:lang w:val="es-ES_tradnl"/>
        </w:rPr>
        <w:t xml:space="preserve"> MÍNIMOS PARA LA DESIGNACIÓN</w:t>
      </w:r>
    </w:p>
    <w:p w:rsidR="00927A43" w:rsidRDefault="00DA2676" w:rsidP="000729B0">
      <w:pPr>
        <w:pStyle w:val="Heading2"/>
        <w:keepNext w:val="0"/>
      </w:pPr>
      <w:r>
        <w:rPr>
          <w:rFonts w:eastAsia="Arial"/>
          <w:szCs w:val="22"/>
          <w:lang w:val="es-ES_tradnl"/>
        </w:rPr>
        <w:t>2.1</w:t>
      </w:r>
      <w:r>
        <w:rPr>
          <w:rFonts w:eastAsia="Arial"/>
          <w:szCs w:val="22"/>
          <w:lang w:val="es-ES_tradnl"/>
        </w:rPr>
        <w:tab/>
        <w:t>CAPACIDAD DE BÚSQUEDA Y EXAMEN:</w:t>
      </w:r>
    </w:p>
    <w:p w:rsidR="00927A43" w:rsidRPr="000E64C9" w:rsidRDefault="00DA2676" w:rsidP="00927A43">
      <w:pPr>
        <w:pStyle w:val="ONUME"/>
        <w:numPr>
          <w:ilvl w:val="0"/>
          <w:numId w:val="0"/>
        </w:numPr>
        <w:rPr>
          <w:i/>
        </w:rPr>
      </w:pPr>
      <w:r>
        <w:rPr>
          <w:rFonts w:eastAsia="Arial"/>
          <w:i/>
          <w:iCs/>
          <w:szCs w:val="22"/>
          <w:lang w:val="es-ES_tradnl"/>
        </w:rPr>
        <w:t>De conformidad con las Reglas 36.1.i) y 63.1.i) del Reglamento del PCT, la Oficina nacional o la organización intergubernamental deberá tener, por lo menos, 100 empleados con plena dedicación, con calificaciones técnicas suficientes para efectuar las búsquedas y los exámenes.</w:t>
      </w:r>
    </w:p>
    <w:p w:rsidR="00927A43" w:rsidRDefault="00DA2676" w:rsidP="00927A43">
      <w:pPr>
        <w:pStyle w:val="ONUME"/>
        <w:numPr>
          <w:ilvl w:val="0"/>
          <w:numId w:val="0"/>
        </w:numPr>
      </w:pPr>
      <w:r>
        <w:rPr>
          <w:rFonts w:eastAsia="Arial"/>
          <w:szCs w:val="22"/>
          <w:lang w:val="es-ES_tradnl"/>
        </w:rPr>
        <w:t xml:space="preserve">A noviembre de 2016, la IPOS contaba con 102 examinadores de patentes </w:t>
      </w:r>
      <w:r w:rsidR="00A32615">
        <w:rPr>
          <w:rFonts w:eastAsia="Arial"/>
          <w:szCs w:val="22"/>
          <w:lang w:val="es-ES_tradnl"/>
        </w:rPr>
        <w:t>trabajando a tiempo completo</w:t>
      </w:r>
      <w:r>
        <w:rPr>
          <w:rFonts w:eastAsia="Arial"/>
          <w:szCs w:val="22"/>
          <w:lang w:val="es-ES_tradnl"/>
        </w:rPr>
        <w:t xml:space="preserve">, más del 90% </w:t>
      </w:r>
      <w:r w:rsidR="005652BE">
        <w:rPr>
          <w:rFonts w:eastAsia="Arial"/>
          <w:szCs w:val="22"/>
          <w:lang w:val="es-ES_tradnl"/>
        </w:rPr>
        <w:t xml:space="preserve">de los cuales </w:t>
      </w:r>
      <w:r>
        <w:rPr>
          <w:rFonts w:eastAsia="Arial"/>
          <w:szCs w:val="22"/>
          <w:lang w:val="es-ES_tradnl"/>
        </w:rPr>
        <w:t xml:space="preserve">poseen un título de doctorado.  Provienen de universidades de gran prestigio mundial como la Universidad Nacional de Singapur, la Universidad Tecnológica de </w:t>
      </w:r>
      <w:proofErr w:type="spellStart"/>
      <w:r>
        <w:rPr>
          <w:rFonts w:eastAsia="Arial"/>
          <w:szCs w:val="22"/>
          <w:lang w:val="es-ES_tradnl"/>
        </w:rPr>
        <w:t>Nanyang</w:t>
      </w:r>
      <w:proofErr w:type="spellEnd"/>
      <w:r>
        <w:rPr>
          <w:rFonts w:eastAsia="Arial"/>
          <w:szCs w:val="22"/>
          <w:lang w:val="es-ES_tradnl"/>
        </w:rPr>
        <w:t xml:space="preserve"> (Singapur), la Universidad John Hopkins (Estados Unidos de América), el </w:t>
      </w:r>
      <w:r w:rsidRPr="00A32615">
        <w:rPr>
          <w:rFonts w:eastAsia="Arial"/>
          <w:i/>
          <w:szCs w:val="22"/>
          <w:lang w:val="es-ES_tradnl"/>
        </w:rPr>
        <w:t xml:space="preserve">Imperial </w:t>
      </w:r>
      <w:proofErr w:type="spellStart"/>
      <w:r w:rsidRPr="00A32615">
        <w:rPr>
          <w:rFonts w:eastAsia="Arial"/>
          <w:i/>
          <w:szCs w:val="22"/>
          <w:lang w:val="es-ES_tradnl"/>
        </w:rPr>
        <w:t>College</w:t>
      </w:r>
      <w:proofErr w:type="spellEnd"/>
      <w:r w:rsidRPr="00A32615">
        <w:rPr>
          <w:rFonts w:eastAsia="Arial"/>
          <w:i/>
          <w:szCs w:val="22"/>
          <w:lang w:val="es-ES_tradnl"/>
        </w:rPr>
        <w:t xml:space="preserve"> London</w:t>
      </w:r>
      <w:r w:rsidR="005652BE">
        <w:rPr>
          <w:rFonts w:eastAsia="Arial"/>
          <w:szCs w:val="22"/>
          <w:lang w:val="es-ES_tradnl"/>
        </w:rPr>
        <w:t xml:space="preserve"> (Reino Unido), la Universidad T</w:t>
      </w:r>
      <w:r>
        <w:rPr>
          <w:rFonts w:eastAsia="Arial"/>
          <w:szCs w:val="22"/>
          <w:lang w:val="es-ES_tradnl"/>
        </w:rPr>
        <w:t xml:space="preserve">écnica de Múnich (Alemania), la Universidad de </w:t>
      </w:r>
      <w:proofErr w:type="spellStart"/>
      <w:r>
        <w:rPr>
          <w:rFonts w:eastAsia="Arial"/>
          <w:szCs w:val="22"/>
          <w:lang w:val="es-ES_tradnl"/>
        </w:rPr>
        <w:t>Monash</w:t>
      </w:r>
      <w:proofErr w:type="spellEnd"/>
      <w:r>
        <w:rPr>
          <w:rFonts w:eastAsia="Arial"/>
          <w:szCs w:val="22"/>
          <w:lang w:val="es-ES_tradnl"/>
        </w:rPr>
        <w:t xml:space="preserve"> (Australia), la Universidad de Pekín (China), la Universidad </w:t>
      </w:r>
      <w:proofErr w:type="spellStart"/>
      <w:r>
        <w:rPr>
          <w:rFonts w:eastAsia="Arial"/>
          <w:szCs w:val="22"/>
          <w:lang w:val="es-ES_tradnl"/>
        </w:rPr>
        <w:t>Tsinghua</w:t>
      </w:r>
      <w:proofErr w:type="spellEnd"/>
      <w:r>
        <w:rPr>
          <w:rFonts w:eastAsia="Arial"/>
          <w:szCs w:val="22"/>
          <w:lang w:val="es-ES_tradnl"/>
        </w:rPr>
        <w:t xml:space="preserve"> (China) y la Universidad de Zhejiang (China).  La mayoría son autores de obras publicadas en revistas científicas de gran repercusión y muchos </w:t>
      </w:r>
      <w:r w:rsidR="005652BE">
        <w:rPr>
          <w:rFonts w:eastAsia="Arial"/>
          <w:szCs w:val="22"/>
          <w:lang w:val="es-ES_tradnl"/>
        </w:rPr>
        <w:t xml:space="preserve">de ellos </w:t>
      </w:r>
      <w:r>
        <w:rPr>
          <w:rFonts w:eastAsia="Arial"/>
          <w:szCs w:val="22"/>
          <w:lang w:val="es-ES_tradnl"/>
        </w:rPr>
        <w:t>figuran como coinventores en solicitudes de patente.</w:t>
      </w:r>
    </w:p>
    <w:p w:rsidR="00927A43" w:rsidRPr="000E64C9" w:rsidRDefault="005652BE" w:rsidP="00927A43">
      <w:pPr>
        <w:pStyle w:val="ONUME"/>
        <w:numPr>
          <w:ilvl w:val="0"/>
          <w:numId w:val="0"/>
        </w:numPr>
      </w:pPr>
      <w:r w:rsidRPr="005652BE">
        <w:rPr>
          <w:rFonts w:eastAsia="Arial"/>
          <w:szCs w:val="22"/>
          <w:lang w:val="es-ES_tradnl"/>
        </w:rPr>
        <w:t xml:space="preserve">En función de los campos técnicos, el perfil de los examinadores de patentes de la IPOS se </w:t>
      </w:r>
      <w:r>
        <w:rPr>
          <w:rFonts w:eastAsia="Arial"/>
          <w:szCs w:val="22"/>
          <w:lang w:val="es-ES_tradnl"/>
        </w:rPr>
        <w:t>desglosa de la siguiente manera</w:t>
      </w:r>
      <w:r w:rsidR="00DA2676">
        <w:rPr>
          <w:rFonts w:eastAsia="Arial"/>
          <w:szCs w:val="22"/>
          <w:lang w:val="es-ES_tradnl"/>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985"/>
        <w:gridCol w:w="2410"/>
      </w:tblGrid>
      <w:tr w:rsidR="00927A43" w:rsidRPr="005E08C5" w:rsidTr="00FB41D8">
        <w:trPr>
          <w:cantSplit/>
        </w:trPr>
        <w:tc>
          <w:tcPr>
            <w:tcW w:w="3856"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0729B0">
            <w:pPr>
              <w:suppressAutoHyphens/>
              <w:spacing w:line="360" w:lineRule="auto"/>
              <w:rPr>
                <w:rFonts w:eastAsia="Times New Roman"/>
                <w:b/>
                <w:bCs/>
                <w:szCs w:val="22"/>
                <w:lang w:val="en-SG" w:eastAsia="en-US" w:bidi="he-IL"/>
              </w:rPr>
            </w:pPr>
            <w:r>
              <w:rPr>
                <w:rFonts w:eastAsia="Arial"/>
                <w:b/>
                <w:bCs/>
                <w:szCs w:val="22"/>
                <w:lang w:val="es-ES_tradnl" w:eastAsia="en-US" w:bidi="he-IL"/>
              </w:rPr>
              <w:t>Campo técnico</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7A43" w:rsidRPr="005E08C5" w:rsidRDefault="00DA2676" w:rsidP="00FB41D8">
            <w:pPr>
              <w:keepNext/>
              <w:keepLines/>
              <w:suppressAutoHyphens/>
              <w:rPr>
                <w:rFonts w:eastAsia="Times New Roman"/>
                <w:b/>
                <w:bCs/>
                <w:szCs w:val="22"/>
                <w:lang w:eastAsia="en-US" w:bidi="he-IL"/>
              </w:rPr>
            </w:pPr>
            <w:r>
              <w:rPr>
                <w:rFonts w:eastAsia="Arial"/>
                <w:b/>
                <w:bCs/>
                <w:szCs w:val="22"/>
                <w:lang w:val="es-ES_tradnl" w:eastAsia="en-US" w:bidi="he-IL"/>
              </w:rPr>
              <w:t>Número (en tiempo completo equivalente)</w:t>
            </w:r>
          </w:p>
        </w:tc>
        <w:tc>
          <w:tcPr>
            <w:tcW w:w="2410" w:type="dxa"/>
            <w:tcBorders>
              <w:top w:val="single" w:sz="4" w:space="0" w:color="auto"/>
              <w:left w:val="single" w:sz="4" w:space="0" w:color="auto"/>
              <w:bottom w:val="single" w:sz="4" w:space="0" w:color="auto"/>
              <w:right w:val="single" w:sz="4" w:space="0" w:color="auto"/>
            </w:tcBorders>
            <w:vAlign w:val="center"/>
            <w:hideMark/>
          </w:tcPr>
          <w:p w:rsidR="00927A43" w:rsidRPr="005E08C5" w:rsidRDefault="00DA2676" w:rsidP="00FB41D8">
            <w:pPr>
              <w:suppressAutoHyphens/>
              <w:rPr>
                <w:rFonts w:eastAsia="Times New Roman"/>
                <w:b/>
                <w:bCs/>
                <w:szCs w:val="22"/>
                <w:lang w:eastAsia="en-US" w:bidi="he-IL"/>
              </w:rPr>
            </w:pPr>
            <w:r>
              <w:rPr>
                <w:rFonts w:eastAsia="Arial"/>
                <w:b/>
                <w:bCs/>
                <w:szCs w:val="22"/>
                <w:lang w:val="es-ES_tradnl" w:eastAsia="en-US" w:bidi="he-IL"/>
              </w:rPr>
              <w:t>Experiencia media como examinadores (años)</w:t>
            </w:r>
          </w:p>
        </w:tc>
      </w:tr>
      <w:tr w:rsidR="00927A43" w:rsidRPr="000E64C9" w:rsidTr="00FB41D8">
        <w:trPr>
          <w:cantSplit/>
        </w:trPr>
        <w:tc>
          <w:tcPr>
            <w:tcW w:w="3856"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0729B0">
            <w:pPr>
              <w:suppressAutoHyphens/>
              <w:spacing w:line="360" w:lineRule="auto"/>
              <w:rPr>
                <w:rFonts w:eastAsia="Times New Roman"/>
                <w:szCs w:val="22"/>
                <w:lang w:val="en-SG" w:eastAsia="en-US" w:bidi="he-IL"/>
              </w:rPr>
            </w:pPr>
            <w:r>
              <w:rPr>
                <w:rFonts w:eastAsia="Arial"/>
                <w:szCs w:val="22"/>
                <w:lang w:val="es-ES_tradnl" w:eastAsia="en-US" w:bidi="he-IL"/>
              </w:rPr>
              <w:t>Ingeniería y física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4</w:t>
            </w:r>
          </w:p>
        </w:tc>
      </w:tr>
      <w:tr w:rsidR="00927A43" w:rsidRPr="000E64C9" w:rsidTr="00FB41D8">
        <w:trPr>
          <w:cantSplit/>
        </w:trPr>
        <w:tc>
          <w:tcPr>
            <w:tcW w:w="3856" w:type="dxa"/>
            <w:tcBorders>
              <w:top w:val="single" w:sz="4" w:space="0" w:color="auto"/>
              <w:left w:val="single" w:sz="4" w:space="0" w:color="auto"/>
              <w:bottom w:val="single" w:sz="4" w:space="0" w:color="auto"/>
              <w:right w:val="single" w:sz="4" w:space="0" w:color="auto"/>
            </w:tcBorders>
            <w:vAlign w:val="center"/>
            <w:hideMark/>
          </w:tcPr>
          <w:p w:rsidR="00927A43" w:rsidRPr="005E08C5" w:rsidRDefault="00DA2676" w:rsidP="000729B0">
            <w:pPr>
              <w:suppressAutoHyphens/>
              <w:spacing w:line="360" w:lineRule="auto"/>
              <w:rPr>
                <w:rFonts w:eastAsia="Times New Roman"/>
                <w:szCs w:val="22"/>
                <w:lang w:eastAsia="en-US" w:bidi="he-IL"/>
              </w:rPr>
            </w:pPr>
            <w:r>
              <w:rPr>
                <w:rFonts w:eastAsia="Arial"/>
                <w:szCs w:val="22"/>
                <w:lang w:val="es-ES_tradnl" w:eastAsia="en-US" w:bidi="he-IL"/>
              </w:rPr>
              <w:t>Tecnología de la información y la comunicación</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4</w:t>
            </w:r>
          </w:p>
        </w:tc>
      </w:tr>
      <w:tr w:rsidR="00927A43" w:rsidRPr="000E64C9" w:rsidTr="00FB41D8">
        <w:trPr>
          <w:cantSplit/>
        </w:trPr>
        <w:tc>
          <w:tcPr>
            <w:tcW w:w="3856"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0729B0">
            <w:pPr>
              <w:suppressAutoHyphens/>
              <w:spacing w:line="360" w:lineRule="auto"/>
              <w:rPr>
                <w:rFonts w:eastAsia="Times New Roman"/>
                <w:szCs w:val="22"/>
                <w:lang w:val="en-SG" w:eastAsia="en-US" w:bidi="he-IL"/>
              </w:rPr>
            </w:pPr>
            <w:r>
              <w:rPr>
                <w:rFonts w:eastAsia="Arial"/>
                <w:szCs w:val="22"/>
                <w:lang w:val="es-ES_tradnl" w:eastAsia="en-US" w:bidi="he-IL"/>
              </w:rPr>
              <w:t>Química y materiales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36</w:t>
            </w:r>
          </w:p>
        </w:tc>
        <w:tc>
          <w:tcPr>
            <w:tcW w:w="2410"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4</w:t>
            </w:r>
          </w:p>
        </w:tc>
      </w:tr>
      <w:tr w:rsidR="00927A43" w:rsidRPr="000E64C9" w:rsidTr="00FB41D8">
        <w:trPr>
          <w:cantSplit/>
        </w:trPr>
        <w:tc>
          <w:tcPr>
            <w:tcW w:w="3856"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0729B0">
            <w:pPr>
              <w:suppressAutoHyphens/>
              <w:spacing w:line="360" w:lineRule="auto"/>
              <w:rPr>
                <w:rFonts w:eastAsia="Times New Roman"/>
                <w:szCs w:val="22"/>
                <w:lang w:val="en-SG" w:eastAsia="en-US" w:bidi="he-IL"/>
              </w:rPr>
            </w:pPr>
            <w:r>
              <w:rPr>
                <w:rFonts w:eastAsia="Arial"/>
                <w:szCs w:val="22"/>
                <w:lang w:val="es-ES_tradnl" w:eastAsia="en-US" w:bidi="he-IL"/>
              </w:rPr>
              <w:t>Biotecnología y ciencias biomédicas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keepNext/>
              <w:keepLines/>
              <w:suppressAutoHyphens/>
              <w:spacing w:line="360" w:lineRule="auto"/>
              <w:jc w:val="center"/>
              <w:rPr>
                <w:rFonts w:eastAsia="Times New Roman"/>
                <w:szCs w:val="22"/>
                <w:lang w:val="en-SG" w:eastAsia="en-US" w:bidi="he-IL"/>
              </w:rPr>
            </w:pPr>
            <w:r>
              <w:rPr>
                <w:rFonts w:eastAsia="Arial"/>
                <w:szCs w:val="22"/>
                <w:lang w:val="es-ES_tradnl" w:eastAsia="en-US" w:bidi="he-IL"/>
              </w:rPr>
              <w:t>4</w:t>
            </w:r>
          </w:p>
        </w:tc>
      </w:tr>
      <w:tr w:rsidR="00927A43" w:rsidRPr="000E64C9" w:rsidTr="00FB41D8">
        <w:trPr>
          <w:cantSplit/>
        </w:trPr>
        <w:tc>
          <w:tcPr>
            <w:tcW w:w="3856"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927A43">
            <w:pPr>
              <w:suppressAutoHyphens/>
              <w:spacing w:line="360" w:lineRule="auto"/>
              <w:rPr>
                <w:rFonts w:eastAsia="Times New Roman"/>
                <w:i/>
                <w:iCs/>
                <w:szCs w:val="22"/>
                <w:lang w:val="en-SG" w:eastAsia="en-US" w:bidi="he-IL"/>
              </w:rPr>
            </w:pPr>
            <w:r>
              <w:rPr>
                <w:rFonts w:eastAsia="Arial"/>
                <w:i/>
                <w:iCs/>
                <w:szCs w:val="22"/>
                <w:lang w:val="es-ES_tradnl" w:eastAsia="en-US" w:bidi="he-IL"/>
              </w:rPr>
              <w:t>Total</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7A43" w:rsidRPr="000E64C9" w:rsidRDefault="00DA2676" w:rsidP="00FB41D8">
            <w:pPr>
              <w:suppressAutoHyphens/>
              <w:spacing w:line="360" w:lineRule="auto"/>
              <w:jc w:val="center"/>
              <w:rPr>
                <w:rFonts w:eastAsia="Times New Roman"/>
                <w:i/>
                <w:iCs/>
                <w:szCs w:val="22"/>
                <w:lang w:val="en-SG" w:eastAsia="en-US" w:bidi="he-IL"/>
              </w:rPr>
            </w:pPr>
            <w:r>
              <w:rPr>
                <w:rFonts w:eastAsia="Arial"/>
                <w:i/>
                <w:iCs/>
                <w:szCs w:val="22"/>
                <w:lang w:val="es-ES_tradnl" w:eastAsia="en-US" w:bidi="he-IL"/>
              </w:rPr>
              <w:t>102</w:t>
            </w:r>
          </w:p>
        </w:tc>
        <w:tc>
          <w:tcPr>
            <w:tcW w:w="2410" w:type="dxa"/>
            <w:tcBorders>
              <w:top w:val="single" w:sz="4" w:space="0" w:color="auto"/>
              <w:left w:val="single" w:sz="4" w:space="0" w:color="auto"/>
              <w:bottom w:val="nil"/>
              <w:right w:val="nil"/>
            </w:tcBorders>
            <w:vAlign w:val="center"/>
          </w:tcPr>
          <w:p w:rsidR="00927A43" w:rsidRPr="000E64C9" w:rsidRDefault="00927A43" w:rsidP="00FB41D8">
            <w:pPr>
              <w:suppressAutoHyphens/>
              <w:spacing w:line="360" w:lineRule="auto"/>
              <w:jc w:val="center"/>
              <w:rPr>
                <w:rFonts w:eastAsia="Times New Roman"/>
                <w:iCs/>
                <w:szCs w:val="22"/>
                <w:lang w:val="en-SG" w:eastAsia="en-US" w:bidi="he-IL"/>
              </w:rPr>
            </w:pPr>
          </w:p>
        </w:tc>
      </w:tr>
    </w:tbl>
    <w:p w:rsidR="00A37C3A" w:rsidRDefault="00A37C3A" w:rsidP="00927A43">
      <w:pPr>
        <w:pStyle w:val="ONUME"/>
        <w:numPr>
          <w:ilvl w:val="0"/>
          <w:numId w:val="0"/>
        </w:numPr>
      </w:pPr>
      <w:r>
        <w:br/>
      </w:r>
      <w:bookmarkStart w:id="7" w:name="_GoBack"/>
      <w:bookmarkEnd w:id="7"/>
    </w:p>
    <w:p w:rsidR="00927A43" w:rsidRDefault="00DA2676" w:rsidP="00927A43">
      <w:pPr>
        <w:pStyle w:val="ONUME"/>
        <w:numPr>
          <w:ilvl w:val="0"/>
          <w:numId w:val="0"/>
        </w:numPr>
      </w:pPr>
      <w:r>
        <w:rPr>
          <w:rFonts w:eastAsia="Arial"/>
          <w:szCs w:val="22"/>
          <w:lang w:val="es-ES_tradnl"/>
        </w:rPr>
        <w:t>La IPOS dispone de examinadores de patentes experimentados que han trabajado en</w:t>
      </w:r>
      <w:r w:rsidR="00FB41D8">
        <w:rPr>
          <w:rFonts w:eastAsia="Arial"/>
          <w:szCs w:val="22"/>
          <w:lang w:val="es-ES_tradnl"/>
        </w:rPr>
        <w:t xml:space="preserve"> otras</w:t>
      </w:r>
      <w:r>
        <w:rPr>
          <w:rFonts w:eastAsia="Arial"/>
          <w:szCs w:val="22"/>
          <w:lang w:val="es-ES_tradnl"/>
        </w:rPr>
        <w:t xml:space="preserve"> of</w:t>
      </w:r>
      <w:r w:rsidR="00FB41D8">
        <w:rPr>
          <w:rFonts w:eastAsia="Arial"/>
          <w:szCs w:val="22"/>
          <w:lang w:val="es-ES_tradnl"/>
        </w:rPr>
        <w:t>icinas de propiedad intelectual</w:t>
      </w:r>
      <w:r>
        <w:rPr>
          <w:rFonts w:eastAsia="Arial"/>
          <w:szCs w:val="22"/>
          <w:lang w:val="es-ES_tradnl"/>
        </w:rPr>
        <w:t xml:space="preserve">, como las de Australia, Reino Unido, Japón, Canadá y China.  Sus ámbitos de especialización y de experiencia incluyen la búsqueda y el examen de patentes </w:t>
      </w:r>
      <w:r>
        <w:rPr>
          <w:rFonts w:eastAsia="Arial"/>
          <w:szCs w:val="22"/>
          <w:lang w:val="es-ES_tradnl"/>
        </w:rPr>
        <w:lastRenderedPageBreak/>
        <w:t xml:space="preserve">(incluido el trabajo de Administración encargada de la búsqueda internacional </w:t>
      </w:r>
      <w:r w:rsidR="00A32615">
        <w:rPr>
          <w:rFonts w:eastAsia="Arial"/>
          <w:szCs w:val="22"/>
          <w:lang w:val="es-ES_tradnl"/>
        </w:rPr>
        <w:t xml:space="preserve">(ISA) </w:t>
      </w:r>
      <w:r>
        <w:rPr>
          <w:rFonts w:eastAsia="Arial"/>
          <w:szCs w:val="22"/>
          <w:lang w:val="es-ES_tradnl"/>
        </w:rPr>
        <w:t>y de</w:t>
      </w:r>
      <w:r w:rsidR="00A32615">
        <w:rPr>
          <w:rFonts w:eastAsia="Arial"/>
          <w:szCs w:val="22"/>
          <w:lang w:val="es-ES_tradnl"/>
        </w:rPr>
        <w:t xml:space="preserve"> Administración encargada de</w:t>
      </w:r>
      <w:r>
        <w:rPr>
          <w:rFonts w:eastAsia="Arial"/>
          <w:szCs w:val="22"/>
          <w:lang w:val="es-ES_tradnl"/>
        </w:rPr>
        <w:t>l examen preliminar internacional</w:t>
      </w:r>
      <w:r w:rsidR="00A32615">
        <w:rPr>
          <w:rFonts w:eastAsia="Arial"/>
          <w:szCs w:val="22"/>
          <w:lang w:val="es-ES_tradnl"/>
        </w:rPr>
        <w:t xml:space="preserve"> (IPEA)</w:t>
      </w:r>
      <w:r>
        <w:rPr>
          <w:rFonts w:eastAsia="Arial"/>
          <w:szCs w:val="22"/>
          <w:lang w:val="es-ES_tradnl"/>
        </w:rPr>
        <w:t xml:space="preserve">), formación, </w:t>
      </w:r>
      <w:r w:rsidR="00FB41D8">
        <w:rPr>
          <w:rFonts w:eastAsia="Arial"/>
          <w:szCs w:val="22"/>
          <w:lang w:val="es-ES_tradnl"/>
        </w:rPr>
        <w:t>audiencias</w:t>
      </w:r>
      <w:r>
        <w:rPr>
          <w:rFonts w:eastAsia="Arial"/>
          <w:szCs w:val="22"/>
          <w:lang w:val="es-ES_tradnl"/>
        </w:rPr>
        <w:t>, gestión de la calidad, planificación estratégica, políticas e informática aplicada a las patentes.</w:t>
      </w:r>
    </w:p>
    <w:p w:rsidR="00927A43" w:rsidRPr="000E64C9" w:rsidRDefault="00DA2676" w:rsidP="00BA3D62">
      <w:pPr>
        <w:pStyle w:val="Heading2"/>
        <w:keepNext w:val="0"/>
      </w:pPr>
      <w:r>
        <w:rPr>
          <w:rFonts w:eastAsia="Arial"/>
          <w:szCs w:val="22"/>
          <w:lang w:val="es-ES_tradnl"/>
        </w:rPr>
        <w:t>2.2</w:t>
      </w:r>
      <w:r>
        <w:rPr>
          <w:rFonts w:eastAsia="Arial"/>
          <w:szCs w:val="22"/>
          <w:lang w:val="es-ES_tradnl"/>
        </w:rPr>
        <w:tab/>
        <w:t>FORMACIÓN Y PERFECCIONAMIENTO BASADOS EN LAS COMPETENCIAS:</w:t>
      </w:r>
    </w:p>
    <w:p w:rsidR="00927A43" w:rsidRDefault="00DA2676" w:rsidP="00BA3D62">
      <w:pPr>
        <w:pStyle w:val="ONUME"/>
        <w:numPr>
          <w:ilvl w:val="0"/>
          <w:numId w:val="0"/>
        </w:numPr>
      </w:pPr>
      <w:r>
        <w:rPr>
          <w:rFonts w:eastAsia="Arial"/>
          <w:szCs w:val="22"/>
          <w:lang w:val="es-ES_tradnl"/>
        </w:rPr>
        <w:t xml:space="preserve">La IPOS ha desarrollado un marco de competencias para los examinadores de patentes, en el que se definen los conocimientos, </w:t>
      </w:r>
      <w:r w:rsidR="007F4C41">
        <w:rPr>
          <w:rFonts w:eastAsia="Arial"/>
          <w:szCs w:val="22"/>
          <w:lang w:val="es-ES_tradnl"/>
        </w:rPr>
        <w:t xml:space="preserve">las </w:t>
      </w:r>
      <w:r>
        <w:rPr>
          <w:rFonts w:eastAsia="Arial"/>
          <w:szCs w:val="22"/>
          <w:lang w:val="es-ES_tradnl"/>
        </w:rPr>
        <w:t xml:space="preserve">capacidades, </w:t>
      </w:r>
      <w:r w:rsidR="007F4C41">
        <w:rPr>
          <w:rFonts w:eastAsia="Arial"/>
          <w:szCs w:val="22"/>
          <w:lang w:val="es-ES_tradnl"/>
        </w:rPr>
        <w:t xml:space="preserve">los </w:t>
      </w:r>
      <w:r>
        <w:rPr>
          <w:rFonts w:eastAsia="Arial"/>
          <w:szCs w:val="22"/>
          <w:lang w:val="es-ES_tradnl"/>
        </w:rPr>
        <w:t xml:space="preserve">criterios y </w:t>
      </w:r>
      <w:r w:rsidR="007F4C41">
        <w:rPr>
          <w:rFonts w:eastAsia="Arial"/>
          <w:szCs w:val="22"/>
          <w:lang w:val="es-ES_tradnl"/>
        </w:rPr>
        <w:t xml:space="preserve">los </w:t>
      </w:r>
      <w:r>
        <w:rPr>
          <w:rFonts w:eastAsia="Arial"/>
          <w:szCs w:val="22"/>
          <w:lang w:val="es-ES_tradnl"/>
        </w:rPr>
        <w:t>atributos necesarios para desempeñar el trabajo con eficacia.  En fu</w:t>
      </w:r>
      <w:r w:rsidR="007F4C41">
        <w:rPr>
          <w:rFonts w:eastAsia="Arial"/>
          <w:szCs w:val="22"/>
          <w:lang w:val="es-ES_tradnl"/>
        </w:rPr>
        <w:t>nción del marco de competencias</w:t>
      </w:r>
      <w:r>
        <w:rPr>
          <w:rFonts w:eastAsia="Arial"/>
          <w:szCs w:val="22"/>
          <w:lang w:val="es-ES_tradnl"/>
        </w:rPr>
        <w:t xml:space="preserve"> se desarrollan las estrategias de formación y perfeccionamiento que sustentarán el crecimiento en el plano individual y organizacional.</w:t>
      </w:r>
    </w:p>
    <w:p w:rsidR="00927A43" w:rsidRDefault="00DA2676" w:rsidP="00BA3D62">
      <w:pPr>
        <w:pStyle w:val="ONUME"/>
        <w:numPr>
          <w:ilvl w:val="0"/>
          <w:numId w:val="0"/>
        </w:numPr>
      </w:pPr>
      <w:r>
        <w:rPr>
          <w:rFonts w:eastAsia="Arial"/>
          <w:szCs w:val="22"/>
          <w:lang w:val="es-ES_tradnl"/>
        </w:rPr>
        <w:t xml:space="preserve">La IPOS se asoció con la Oficina Europea de Patentes (OEP) y la Oficina Japonesa de Patentes (JPO) con el fin de desarrollar y administrar los programas de formación para nuestro primer grupo de examinadores.  Además, contratamos a examinadores experimentados, con más de 15 años de experiencia, para que nuestros examinadores perfeccionen sus competencias y poder supervisar de cerca su trabajo.  En aras de garantizar la continuidad de la calidad de la formación, la IPOS se asoció </w:t>
      </w:r>
      <w:r w:rsidR="00F16142">
        <w:rPr>
          <w:rFonts w:eastAsia="Arial"/>
          <w:szCs w:val="22"/>
          <w:lang w:val="es-ES_tradnl"/>
        </w:rPr>
        <w:t>posteriormente</w:t>
      </w:r>
      <w:r>
        <w:rPr>
          <w:rFonts w:eastAsia="Arial"/>
          <w:szCs w:val="22"/>
          <w:lang w:val="es-ES_tradnl"/>
        </w:rPr>
        <w:t xml:space="preserve"> con la OEP y con la Oficina de Patentes y Marcas de los Estados Unidos de América (USPTO) para crear su propio programa interno de formación.  Se identificó a aquellos examinadores que tenían experiencia docente y como conferenciantes en el ámbito universitario, y se les impartió una formación especial para convertirse en instructores.  Estos instructores internos, junto con los examinadores experimentados de la IPOS y los profesores invitados, han desarrollado un programa de formación estructurado para capacitar a los nuevos participantes que aspiran </w:t>
      </w:r>
      <w:r w:rsidR="00927A43">
        <w:rPr>
          <w:rFonts w:eastAsia="Arial"/>
          <w:szCs w:val="22"/>
          <w:lang w:val="es-ES_tradnl"/>
        </w:rPr>
        <w:t xml:space="preserve">a </w:t>
      </w:r>
      <w:r>
        <w:rPr>
          <w:rFonts w:eastAsia="Arial"/>
          <w:szCs w:val="22"/>
          <w:lang w:val="es-ES_tradnl"/>
        </w:rPr>
        <w:t xml:space="preserve">convertirse en examinadores.  Tras la designación de la IPOS en calidad de </w:t>
      </w:r>
      <w:r w:rsidR="00F16142">
        <w:rPr>
          <w:rFonts w:eastAsia="Arial"/>
          <w:szCs w:val="22"/>
          <w:lang w:val="es-ES_tradnl"/>
        </w:rPr>
        <w:t>ISA</w:t>
      </w:r>
      <w:r w:rsidR="00A32615">
        <w:rPr>
          <w:rFonts w:eastAsia="Arial"/>
          <w:szCs w:val="22"/>
          <w:lang w:val="es-ES_tradnl"/>
        </w:rPr>
        <w:t xml:space="preserve"> e </w:t>
      </w:r>
      <w:r>
        <w:rPr>
          <w:rFonts w:eastAsia="Arial"/>
          <w:szCs w:val="22"/>
          <w:lang w:val="es-ES_tradnl"/>
        </w:rPr>
        <w:t xml:space="preserve">IPEA, se creó posteriormente un programa especial de cuatro días de duración </w:t>
      </w:r>
      <w:r w:rsidR="00F16142">
        <w:rPr>
          <w:rFonts w:eastAsia="Arial"/>
          <w:szCs w:val="22"/>
          <w:lang w:val="es-ES_tradnl"/>
        </w:rPr>
        <w:t>a</w:t>
      </w:r>
      <w:r>
        <w:rPr>
          <w:rFonts w:eastAsia="Arial"/>
          <w:szCs w:val="22"/>
          <w:lang w:val="es-ES_tradnl"/>
        </w:rPr>
        <w:t xml:space="preserve"> fin de capacitar a los examinadores sobre los procedimientos específicos del PCT.</w:t>
      </w:r>
    </w:p>
    <w:p w:rsidR="00927A43" w:rsidRDefault="00DA2676" w:rsidP="00927A43">
      <w:pPr>
        <w:pStyle w:val="ONUME"/>
        <w:numPr>
          <w:ilvl w:val="0"/>
          <w:numId w:val="0"/>
        </w:numPr>
      </w:pPr>
      <w:r>
        <w:rPr>
          <w:rFonts w:eastAsia="Arial"/>
          <w:szCs w:val="22"/>
          <w:lang w:val="es-ES_tradnl"/>
        </w:rPr>
        <w:t xml:space="preserve">El aprendizaje continuo también forma parte de nuestra estrategia de formación para garantizar que los examinadores continúen adquiriendo experiencia y se mantengan al corriente de las novedades en materia de propiedad intelectual y de tecnología.  Se les proporciona a los examinadores numerosas oportunidades para participar en cursos de formación y conferencias en el país y en el extranjero.  Se creó además un equipo encargado del aprendizaje y </w:t>
      </w:r>
      <w:r w:rsidR="00076289">
        <w:rPr>
          <w:rFonts w:eastAsia="Arial"/>
          <w:szCs w:val="22"/>
          <w:lang w:val="es-ES_tradnl"/>
        </w:rPr>
        <w:t>d</w:t>
      </w:r>
      <w:r>
        <w:rPr>
          <w:rFonts w:eastAsia="Arial"/>
          <w:szCs w:val="22"/>
          <w:lang w:val="es-ES_tradnl"/>
        </w:rPr>
        <w:t xml:space="preserve">el perfeccionamiento para ayudar en la preparación de talleres y cursos de capacitación </w:t>
      </w:r>
      <w:r w:rsidR="00076289">
        <w:rPr>
          <w:rFonts w:eastAsia="Arial"/>
          <w:szCs w:val="22"/>
          <w:lang w:val="es-ES_tradnl"/>
        </w:rPr>
        <w:t>de utilidad</w:t>
      </w:r>
      <w:r>
        <w:rPr>
          <w:rFonts w:eastAsia="Arial"/>
          <w:szCs w:val="22"/>
          <w:lang w:val="es-ES_tradnl"/>
        </w:rPr>
        <w:t xml:space="preserve"> para la formación y el crecimiento profesional. </w:t>
      </w:r>
    </w:p>
    <w:p w:rsidR="00927A43" w:rsidRDefault="00DA2676" w:rsidP="00927A43">
      <w:pPr>
        <w:pStyle w:val="ONUME"/>
        <w:numPr>
          <w:ilvl w:val="0"/>
          <w:numId w:val="0"/>
        </w:numPr>
      </w:pPr>
      <w:r>
        <w:rPr>
          <w:rFonts w:eastAsia="Arial"/>
          <w:szCs w:val="22"/>
          <w:lang w:val="es-ES_tradnl"/>
        </w:rPr>
        <w:t xml:space="preserve">La IPOS colabora asimismo con otras oficinas establecidas en la creación del programa de intercambio de examinadores.  Las visitas recíprocas permiten a los examinadores de ambas oficinas compartir y comparar las prácticas de sus respectivas oficinas y aprender del otro en materia de capacidades de búsqueda y examen.  </w:t>
      </w:r>
      <w:r w:rsidR="00076289">
        <w:rPr>
          <w:rFonts w:eastAsia="Arial"/>
          <w:szCs w:val="22"/>
          <w:lang w:val="es-ES_tradnl"/>
        </w:rPr>
        <w:t>Tuvimos</w:t>
      </w:r>
      <w:r>
        <w:rPr>
          <w:rFonts w:eastAsia="Arial"/>
          <w:szCs w:val="22"/>
          <w:lang w:val="es-ES_tradnl"/>
        </w:rPr>
        <w:t xml:space="preserve"> el privilegio</w:t>
      </w:r>
      <w:r w:rsidR="00076289">
        <w:rPr>
          <w:rFonts w:eastAsia="Arial"/>
          <w:szCs w:val="22"/>
          <w:lang w:val="es-ES_tradnl"/>
        </w:rPr>
        <w:t xml:space="preserve"> de recibir a </w:t>
      </w:r>
      <w:r>
        <w:rPr>
          <w:rFonts w:eastAsia="Arial"/>
          <w:szCs w:val="22"/>
          <w:lang w:val="es-ES_tradnl"/>
        </w:rPr>
        <w:t>examinadores experimentados de la OEP y la JPO, especializados en diversos campos técnicos</w:t>
      </w:r>
      <w:r w:rsidR="00076289">
        <w:rPr>
          <w:rFonts w:eastAsia="Arial"/>
          <w:szCs w:val="22"/>
          <w:lang w:val="es-ES_tradnl"/>
        </w:rPr>
        <w:t>, que estuvieron en nuestra Oficina durante un</w:t>
      </w:r>
      <w:r w:rsidR="00884AC7">
        <w:rPr>
          <w:rFonts w:eastAsia="Arial"/>
          <w:szCs w:val="22"/>
          <w:lang w:val="es-ES_tradnl"/>
        </w:rPr>
        <w:t>a</w:t>
      </w:r>
      <w:r w:rsidR="00076289">
        <w:rPr>
          <w:rFonts w:eastAsia="Arial"/>
          <w:szCs w:val="22"/>
          <w:lang w:val="es-ES_tradnl"/>
        </w:rPr>
        <w:t xml:space="preserve"> semana y hasta seis meses</w:t>
      </w:r>
      <w:r>
        <w:rPr>
          <w:rFonts w:eastAsia="Arial"/>
          <w:szCs w:val="22"/>
          <w:lang w:val="es-ES_tradnl"/>
        </w:rPr>
        <w:t xml:space="preserve">.  También hemos enviado a nuestros examinadores a otras oficinas, como la USPTO, la JPO y la Oficina Alemana de Patentes y Marcas (DPMA), para que adquieran experiencia trabajando en casos reales de solicitudes de patente y </w:t>
      </w:r>
      <w:r w:rsidR="00884AC7">
        <w:rPr>
          <w:rFonts w:eastAsia="Arial"/>
          <w:szCs w:val="22"/>
          <w:lang w:val="es-ES_tradnl"/>
        </w:rPr>
        <w:t>debatan</w:t>
      </w:r>
      <w:r>
        <w:rPr>
          <w:rFonts w:eastAsia="Arial"/>
          <w:szCs w:val="22"/>
          <w:lang w:val="es-ES_tradnl"/>
        </w:rPr>
        <w:t xml:space="preserve"> las conclusiones con sus homólogos extranjeros.  La IPOS también organiza periódicamente talleres de comunidad de prácticas par</w:t>
      </w:r>
      <w:r w:rsidR="005E08C5">
        <w:rPr>
          <w:rFonts w:eastAsia="Arial"/>
          <w:szCs w:val="22"/>
          <w:lang w:val="es-ES_tradnl"/>
        </w:rPr>
        <w:t xml:space="preserve">a los examinadores de patentes </w:t>
      </w:r>
      <w:r>
        <w:rPr>
          <w:rFonts w:eastAsia="Arial"/>
          <w:szCs w:val="22"/>
          <w:lang w:val="es-ES_tradnl"/>
        </w:rPr>
        <w:t xml:space="preserve">que pertenecen a la Asociación de Naciones del Asia Sudoriental (ASEAN).  El próximo taller se celebrará en Singapur en marzo de 2017, tendrá una duración de tres días y contará con la participación de examinadores de patentes provenientes de la ASEAN, quienes intercambiarán experiencias prácticas y debatirán acerca de cuestiones de interés común en nuestra plataforma regional de división de tareas, el </w:t>
      </w:r>
      <w:r w:rsidR="00884AC7">
        <w:rPr>
          <w:rFonts w:eastAsia="Arial"/>
          <w:szCs w:val="22"/>
          <w:lang w:val="es-ES_tradnl"/>
        </w:rPr>
        <w:t>p</w:t>
      </w:r>
      <w:r>
        <w:rPr>
          <w:rFonts w:eastAsia="Arial"/>
          <w:szCs w:val="22"/>
          <w:lang w:val="es-ES_tradnl"/>
        </w:rPr>
        <w:t xml:space="preserve">rograma de Cooperación para el Examen de Patentes de la ASEAN (ASPEC). </w:t>
      </w:r>
    </w:p>
    <w:p w:rsidR="00927A43" w:rsidRDefault="00DA2676" w:rsidP="00927A43">
      <w:pPr>
        <w:pStyle w:val="ONUME"/>
        <w:numPr>
          <w:ilvl w:val="0"/>
          <w:numId w:val="0"/>
        </w:numPr>
      </w:pPr>
      <w:r>
        <w:rPr>
          <w:rFonts w:eastAsia="Arial"/>
          <w:szCs w:val="22"/>
          <w:lang w:val="es-ES_tradnl"/>
        </w:rPr>
        <w:t>En el cuadro que figura a continuación se muestra un panorama general del programa de formación de un examinador de patentes de la IPOS.</w:t>
      </w:r>
    </w:p>
    <w:p w:rsidR="00927A43" w:rsidRDefault="00927A43" w:rsidP="00927A43">
      <w:pPr>
        <w:spacing w:line="360" w:lineRule="auto"/>
        <w:jc w:val="both"/>
        <w:rPr>
          <w:szCs w:val="22"/>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15"/>
        <w:gridCol w:w="588"/>
        <w:gridCol w:w="5331"/>
        <w:gridCol w:w="1416"/>
      </w:tblGrid>
      <w:tr w:rsidR="00DA2676" w:rsidRPr="00DA2676" w:rsidTr="00DA2676">
        <w:trPr>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shd w:val="clear" w:color="auto" w:fill="auto"/>
          </w:tcPr>
          <w:p w:rsidR="00927A43" w:rsidRPr="00DA2676" w:rsidRDefault="00927A43" w:rsidP="00DA2676">
            <w:pPr>
              <w:keepNext/>
              <w:keepLines/>
              <w:spacing w:line="360" w:lineRule="auto"/>
              <w:rPr>
                <w:szCs w:val="22"/>
              </w:rPr>
            </w:pPr>
          </w:p>
          <w:p w:rsidR="00927A43" w:rsidRPr="00DA2676" w:rsidRDefault="00927A43" w:rsidP="00DA2676">
            <w:pPr>
              <w:keepNext/>
              <w:keepLines/>
              <w:spacing w:line="360" w:lineRule="auto"/>
              <w:rPr>
                <w:szCs w:val="22"/>
              </w:rPr>
            </w:pPr>
          </w:p>
          <w:p w:rsidR="00927A43" w:rsidRPr="00DA2676" w:rsidRDefault="00927A43" w:rsidP="00DA2676">
            <w:pPr>
              <w:keepNext/>
              <w:keepLines/>
              <w:spacing w:line="360" w:lineRule="auto"/>
              <w:rPr>
                <w:szCs w:val="22"/>
              </w:rPr>
            </w:pPr>
          </w:p>
          <w:p w:rsidR="00927A43" w:rsidRPr="00DA2676" w:rsidRDefault="00927A43" w:rsidP="00DA2676">
            <w:pPr>
              <w:keepNext/>
              <w:keepLines/>
              <w:spacing w:line="360" w:lineRule="auto"/>
              <w:rPr>
                <w:szCs w:val="22"/>
              </w:rPr>
            </w:pPr>
          </w:p>
          <w:p w:rsidR="00927A43" w:rsidRPr="00DA2676" w:rsidRDefault="00927A43" w:rsidP="00DA2676">
            <w:pPr>
              <w:keepNext/>
              <w:keepLines/>
              <w:spacing w:line="360" w:lineRule="auto"/>
              <w:rPr>
                <w:szCs w:val="22"/>
              </w:rPr>
            </w:pPr>
          </w:p>
          <w:p w:rsidR="00927A43" w:rsidRPr="00DA2676" w:rsidRDefault="00DA2676" w:rsidP="00DA2676">
            <w:pPr>
              <w:keepNext/>
              <w:keepLines/>
              <w:spacing w:line="360" w:lineRule="auto"/>
              <w:rPr>
                <w:szCs w:val="22"/>
                <w:lang w:val="en-GB"/>
              </w:rPr>
            </w:pPr>
            <w:r w:rsidRPr="00DA2676">
              <w:rPr>
                <w:rFonts w:eastAsia="Arial"/>
                <w:szCs w:val="22"/>
                <w:lang w:val="es-ES_tradnl"/>
              </w:rPr>
              <w:t>Formación formal</w:t>
            </w: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927A43" w:rsidP="00DA2676">
            <w:pPr>
              <w:keepNext/>
              <w:keepLines/>
              <w:rPr>
                <w:rFonts w:ascii="Calibri" w:eastAsia="Times New Roman" w:hAnsi="Calibri" w:cs="Times New Roman"/>
                <w:szCs w:val="22"/>
                <w:lang w:val="en-GB"/>
              </w:rPr>
            </w:pP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b/>
                <w:szCs w:val="22"/>
                <w:lang w:val="en-GB"/>
              </w:rPr>
            </w:pPr>
            <w:r w:rsidRPr="00DA2676">
              <w:rPr>
                <w:rFonts w:eastAsia="Arial"/>
                <w:b/>
                <w:bCs/>
                <w:szCs w:val="22"/>
                <w:lang w:val="es-ES_tradnl"/>
              </w:rPr>
              <w:t>Tema</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jc w:val="center"/>
              <w:rPr>
                <w:b/>
                <w:szCs w:val="22"/>
                <w:lang w:val="en-GB"/>
              </w:rPr>
            </w:pPr>
            <w:r w:rsidRPr="00DA2676">
              <w:rPr>
                <w:rFonts w:eastAsia="Arial"/>
                <w:b/>
                <w:bCs/>
                <w:szCs w:val="22"/>
                <w:lang w:val="es-ES_tradnl"/>
              </w:rPr>
              <w:t>Duración</w:t>
            </w:r>
          </w:p>
        </w:tc>
      </w:tr>
      <w:tr w:rsidR="00DA2676" w:rsidRPr="00DA2676" w:rsidTr="00DA2676">
        <w:trPr>
          <w:trHeight w:val="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1</w:t>
            </w: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Orientación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30"/>
              </w:tabs>
              <w:spacing w:line="360" w:lineRule="auto"/>
              <w:jc w:val="center"/>
              <w:rPr>
                <w:szCs w:val="22"/>
                <w:lang w:val="en-GB"/>
              </w:rPr>
            </w:pPr>
            <w:r w:rsidRPr="00DA2676">
              <w:rPr>
                <w:rFonts w:eastAsia="Arial"/>
                <w:szCs w:val="22"/>
                <w:lang w:val="es-ES_tradnl"/>
              </w:rPr>
              <w:t>1</w:t>
            </w:r>
            <w:r w:rsidRPr="00DA2676">
              <w:rPr>
                <w:rFonts w:eastAsia="Arial"/>
                <w:szCs w:val="22"/>
                <w:lang w:val="es-ES_tradnl"/>
              </w:rPr>
              <w:tab/>
              <w:t xml:space="preserve"> semana</w:t>
            </w:r>
          </w:p>
        </w:tc>
      </w:tr>
      <w:tr w:rsidR="00DA2676" w:rsidRPr="00DA2676" w:rsidTr="00DA2676">
        <w:trPr>
          <w:trHeight w:val="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2 </w:t>
            </w: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Derecho de patentes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3</w:t>
            </w:r>
            <w:r w:rsidRPr="00DA2676">
              <w:rPr>
                <w:rFonts w:eastAsia="Arial"/>
                <w:szCs w:val="22"/>
                <w:lang w:val="es-ES_tradnl"/>
              </w:rPr>
              <w:tab/>
              <w:t xml:space="preserve"> semanas</w:t>
            </w:r>
          </w:p>
        </w:tc>
      </w:tr>
      <w:tr w:rsidR="00DA2676" w:rsidRPr="00DA2676" w:rsidTr="00DA2676">
        <w:trPr>
          <w:trHeight w:val="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3 </w:t>
            </w: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Clasificación de patentes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1</w:t>
            </w:r>
            <w:r w:rsidRPr="00DA2676">
              <w:rPr>
                <w:rFonts w:eastAsia="Arial"/>
                <w:szCs w:val="22"/>
                <w:lang w:val="es-ES_tradnl"/>
              </w:rPr>
              <w:tab/>
              <w:t xml:space="preserve"> semana</w:t>
            </w:r>
          </w:p>
        </w:tc>
      </w:tr>
      <w:tr w:rsidR="00DA2676" w:rsidRPr="00DA2676" w:rsidTr="00DA2676">
        <w:trPr>
          <w:trHeight w:val="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4 </w:t>
            </w: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Criterios de </w:t>
            </w:r>
            <w:proofErr w:type="spellStart"/>
            <w:r w:rsidRPr="00DA2676">
              <w:rPr>
                <w:rFonts w:eastAsia="Arial"/>
                <w:szCs w:val="22"/>
                <w:lang w:val="es-ES_tradnl"/>
              </w:rPr>
              <w:t>patentabilidad</w:t>
            </w:r>
            <w:proofErr w:type="spellEnd"/>
            <w:r w:rsidRPr="00DA2676">
              <w:rPr>
                <w:rFonts w:eastAsia="Arial"/>
                <w:szCs w:val="22"/>
                <w:lang w:val="es-ES_tradnl"/>
              </w:rPr>
              <w:t xml:space="preserve">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3</w:t>
            </w:r>
            <w:r w:rsidRPr="00DA2676">
              <w:rPr>
                <w:rFonts w:eastAsia="Arial"/>
                <w:szCs w:val="22"/>
                <w:lang w:val="es-ES_tradnl"/>
              </w:rPr>
              <w:tab/>
              <w:t xml:space="preserve"> semanas</w:t>
            </w:r>
          </w:p>
        </w:tc>
      </w:tr>
      <w:tr w:rsidR="00DA2676" w:rsidRPr="00DA2676" w:rsidTr="00DA2676">
        <w:trPr>
          <w:trHeight w:val="26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5</w:t>
            </w: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Búsqueda y examen </w:t>
            </w:r>
          </w:p>
          <w:p w:rsidR="00927A43" w:rsidRPr="00DA2676" w:rsidRDefault="00264ECF" w:rsidP="00DA2676">
            <w:pPr>
              <w:pStyle w:val="ListParagraph"/>
              <w:keepNext/>
              <w:keepLines/>
              <w:numPr>
                <w:ilvl w:val="0"/>
                <w:numId w:val="7"/>
              </w:numPr>
              <w:spacing w:line="360" w:lineRule="auto"/>
              <w:rPr>
                <w:szCs w:val="22"/>
                <w:lang w:val="en-GB"/>
              </w:rPr>
            </w:pPr>
            <w:r>
              <w:rPr>
                <w:rFonts w:eastAsia="Arial"/>
                <w:szCs w:val="22"/>
                <w:lang w:val="es-ES_tradnl"/>
              </w:rPr>
              <w:t>Redacc</w:t>
            </w:r>
            <w:r w:rsidR="00DA2676" w:rsidRPr="00DA2676">
              <w:rPr>
                <w:rFonts w:eastAsia="Arial"/>
                <w:szCs w:val="22"/>
                <w:lang w:val="es-ES_tradnl"/>
              </w:rPr>
              <w:t>ión de reivindicaciones</w:t>
            </w:r>
          </w:p>
          <w:p w:rsidR="00927A43" w:rsidRPr="00DA2676" w:rsidRDefault="00DA2676" w:rsidP="00DA2676">
            <w:pPr>
              <w:pStyle w:val="ListParagraph"/>
              <w:keepNext/>
              <w:keepLines/>
              <w:numPr>
                <w:ilvl w:val="0"/>
                <w:numId w:val="7"/>
              </w:numPr>
              <w:spacing w:line="360" w:lineRule="auto"/>
              <w:rPr>
                <w:szCs w:val="22"/>
              </w:rPr>
            </w:pPr>
            <w:r w:rsidRPr="00DA2676">
              <w:rPr>
                <w:rFonts w:eastAsia="Arial"/>
                <w:szCs w:val="22"/>
                <w:lang w:val="es-ES_tradnl"/>
              </w:rPr>
              <w:t>Estrategias, plataformas y bases de datos de búsqueda</w:t>
            </w:r>
          </w:p>
          <w:p w:rsidR="00927A43" w:rsidRPr="00136B3B" w:rsidRDefault="00136B3B" w:rsidP="00136B3B">
            <w:pPr>
              <w:pStyle w:val="ListParagraph"/>
              <w:keepNext/>
              <w:keepLines/>
              <w:numPr>
                <w:ilvl w:val="0"/>
                <w:numId w:val="7"/>
              </w:numPr>
              <w:spacing w:line="360" w:lineRule="auto"/>
              <w:rPr>
                <w:szCs w:val="22"/>
                <w:lang w:val="es-ES"/>
              </w:rPr>
            </w:pPr>
            <w:r>
              <w:rPr>
                <w:rFonts w:eastAsia="Arial"/>
                <w:szCs w:val="22"/>
                <w:lang w:val="es-ES_tradnl"/>
              </w:rPr>
              <w:t>Redacción de la opinión escrita</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 xml:space="preserve">11 </w:t>
            </w:r>
            <w:r w:rsidRPr="00DA2676">
              <w:rPr>
                <w:rFonts w:eastAsia="Arial"/>
                <w:szCs w:val="22"/>
                <w:lang w:val="es-ES_tradnl"/>
              </w:rPr>
              <w:tab/>
              <w:t>semanas</w:t>
            </w:r>
          </w:p>
        </w:tc>
      </w:tr>
      <w:tr w:rsidR="00DA2676" w:rsidRPr="00DA2676" w:rsidTr="00DA2676">
        <w:trPr>
          <w:trHeight w:val="26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6</w:t>
            </w:r>
          </w:p>
        </w:tc>
        <w:tc>
          <w:tcPr>
            <w:tcW w:w="5331"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rPr>
            </w:pPr>
            <w:r w:rsidRPr="00DA2676">
              <w:rPr>
                <w:rFonts w:eastAsia="Arial"/>
                <w:szCs w:val="22"/>
                <w:lang w:val="es-ES_tradnl"/>
              </w:rPr>
              <w:t xml:space="preserve">Práctica de búsqueda y examen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 xml:space="preserve">2 </w:t>
            </w:r>
            <w:r w:rsidRPr="00DA2676">
              <w:rPr>
                <w:rFonts w:eastAsia="Arial"/>
                <w:szCs w:val="22"/>
                <w:lang w:val="es-ES_tradnl"/>
              </w:rPr>
              <w:tab/>
              <w:t>semanas</w:t>
            </w:r>
          </w:p>
        </w:tc>
      </w:tr>
      <w:tr w:rsidR="00927A43" w:rsidRPr="00DA2676" w:rsidTr="00DA2676">
        <w:trPr>
          <w:trHeight w:val="2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919" w:type="dxa"/>
            <w:gridSpan w:val="2"/>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Evaluación mediante examen escrito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1</w:t>
            </w:r>
            <w:r w:rsidRPr="00DA2676">
              <w:rPr>
                <w:rFonts w:eastAsia="Arial"/>
                <w:szCs w:val="22"/>
                <w:lang w:val="es-ES_tradnl"/>
              </w:rPr>
              <w:tab/>
              <w:t xml:space="preserve"> semana</w:t>
            </w:r>
          </w:p>
        </w:tc>
      </w:tr>
      <w:tr w:rsidR="00927A43" w:rsidRPr="00DA2676" w:rsidTr="00DA2676">
        <w:trPr>
          <w:trHeight w:val="27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919" w:type="dxa"/>
            <w:gridSpan w:val="2"/>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rPr>
            </w:pPr>
            <w:r w:rsidRPr="00DA2676">
              <w:rPr>
                <w:rFonts w:eastAsia="Arial"/>
                <w:szCs w:val="22"/>
                <w:lang w:val="es-ES_tradnl"/>
              </w:rPr>
              <w:t xml:space="preserve">Preparación para la formación en el trabajo, conformación de equipos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2</w:t>
            </w:r>
            <w:r w:rsidRPr="00DA2676">
              <w:rPr>
                <w:rFonts w:eastAsia="Arial"/>
                <w:szCs w:val="22"/>
                <w:lang w:val="es-ES_tradnl"/>
              </w:rPr>
              <w:tab/>
              <w:t xml:space="preserve"> semanas</w:t>
            </w:r>
          </w:p>
        </w:tc>
      </w:tr>
      <w:tr w:rsidR="00927A43" w:rsidRPr="00DA2676" w:rsidTr="00DA2676">
        <w:trPr>
          <w:trHeight w:val="27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919" w:type="dxa"/>
            <w:gridSpan w:val="2"/>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Procedimientos específicos del PCT</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4 días</w:t>
            </w:r>
          </w:p>
        </w:tc>
      </w:tr>
      <w:tr w:rsidR="00927A43" w:rsidRPr="00DA2676" w:rsidTr="00DA2676">
        <w:trPr>
          <w:trHeight w:val="27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szCs w:val="22"/>
                <w:lang w:val="en-GB"/>
              </w:rPr>
            </w:pPr>
          </w:p>
        </w:tc>
        <w:tc>
          <w:tcPr>
            <w:tcW w:w="5919" w:type="dxa"/>
            <w:gridSpan w:val="2"/>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spacing w:line="360" w:lineRule="auto"/>
              <w:rPr>
                <w:b/>
                <w:szCs w:val="22"/>
                <w:lang w:val="en-GB"/>
              </w:rPr>
            </w:pPr>
            <w:r w:rsidRPr="00DA2676">
              <w:rPr>
                <w:rFonts w:eastAsia="Arial"/>
                <w:b/>
                <w:bCs/>
                <w:szCs w:val="22"/>
                <w:lang w:val="es-ES_tradnl"/>
              </w:rPr>
              <w:t xml:space="preserve">Total </w:t>
            </w:r>
          </w:p>
        </w:tc>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 xml:space="preserve">24 </w:t>
            </w:r>
            <w:r w:rsidRPr="00DA2676">
              <w:rPr>
                <w:rFonts w:eastAsia="Arial"/>
                <w:szCs w:val="22"/>
                <w:lang w:val="es-ES_tradnl"/>
              </w:rPr>
              <w:tab/>
              <w:t>semanas</w:t>
            </w:r>
          </w:p>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(6 meses)</w:t>
            </w:r>
          </w:p>
        </w:tc>
      </w:tr>
      <w:tr w:rsidR="00927A43" w:rsidRPr="00DA2676" w:rsidTr="00DA2676">
        <w:trPr>
          <w:trHeight w:val="693"/>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Formación en el trabajo</w:t>
            </w:r>
          </w:p>
        </w:tc>
        <w:tc>
          <w:tcPr>
            <w:tcW w:w="5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DA2676" w:rsidP="00DA2676">
            <w:pPr>
              <w:keepNext/>
              <w:keepLines/>
              <w:spacing w:line="360" w:lineRule="auto"/>
              <w:rPr>
                <w:szCs w:val="22"/>
              </w:rPr>
            </w:pPr>
            <w:r w:rsidRPr="00DA2676">
              <w:rPr>
                <w:rFonts w:eastAsia="Arial"/>
                <w:szCs w:val="22"/>
                <w:lang w:val="es-ES_tradnl"/>
              </w:rPr>
              <w:t xml:space="preserve">Formación basada en competencias impartidas por examinadores experimentados y realización de trabajos prácticos </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DA2676" w:rsidP="00DA2676">
            <w:pPr>
              <w:keepNext/>
              <w:keepLines/>
              <w:tabs>
                <w:tab w:val="right" w:pos="380"/>
                <w:tab w:val="left" w:pos="527"/>
              </w:tabs>
              <w:spacing w:line="360" w:lineRule="auto"/>
              <w:jc w:val="center"/>
              <w:rPr>
                <w:szCs w:val="22"/>
                <w:lang w:val="en-GB"/>
              </w:rPr>
            </w:pPr>
            <w:r w:rsidRPr="00DA2676">
              <w:rPr>
                <w:rFonts w:eastAsia="Arial"/>
                <w:szCs w:val="22"/>
                <w:lang w:val="es-ES_tradnl"/>
              </w:rPr>
              <w:t>hasta 12 meses</w:t>
            </w:r>
          </w:p>
        </w:tc>
      </w:tr>
      <w:tr w:rsidR="00927A43" w:rsidRPr="00DA2676" w:rsidTr="00DA2676">
        <w:trPr>
          <w:trHeight w:val="702"/>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DA2676" w:rsidP="00DA2676">
            <w:pPr>
              <w:keepNext/>
              <w:keepLines/>
              <w:spacing w:line="360" w:lineRule="auto"/>
              <w:rPr>
                <w:szCs w:val="22"/>
                <w:lang w:val="en-GB"/>
              </w:rPr>
            </w:pPr>
            <w:r w:rsidRPr="00DA2676">
              <w:rPr>
                <w:rFonts w:eastAsia="Arial"/>
                <w:szCs w:val="22"/>
                <w:lang w:val="es-ES_tradnl"/>
              </w:rPr>
              <w:t>Evaluación</w:t>
            </w:r>
          </w:p>
          <w:p w:rsidR="00927A43" w:rsidRPr="00DA2676" w:rsidRDefault="00DA2676" w:rsidP="00DA2676">
            <w:pPr>
              <w:keepNext/>
              <w:keepLines/>
              <w:spacing w:line="360" w:lineRule="auto"/>
              <w:rPr>
                <w:szCs w:val="22"/>
                <w:lang w:val="en-GB"/>
              </w:rPr>
            </w:pPr>
            <w:r w:rsidRPr="00DA2676">
              <w:rPr>
                <w:rFonts w:eastAsia="Arial"/>
                <w:szCs w:val="22"/>
                <w:lang w:val="es-ES_tradnl"/>
              </w:rPr>
              <w:t xml:space="preserve"> global</w:t>
            </w:r>
          </w:p>
        </w:tc>
        <w:tc>
          <w:tcPr>
            <w:tcW w:w="5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DA2676" w:rsidP="00DA2676">
            <w:pPr>
              <w:keepNext/>
              <w:keepLines/>
              <w:spacing w:line="360" w:lineRule="auto"/>
              <w:rPr>
                <w:szCs w:val="22"/>
              </w:rPr>
            </w:pPr>
            <w:r w:rsidRPr="00DA2676">
              <w:rPr>
                <w:rFonts w:eastAsia="Arial"/>
                <w:szCs w:val="22"/>
                <w:lang w:val="es-ES_tradnl"/>
              </w:rPr>
              <w:t xml:space="preserve">En función de los requisitos establecidos </w:t>
            </w:r>
            <w:r w:rsidR="00884AC7" w:rsidRPr="00DA2676">
              <w:rPr>
                <w:rFonts w:eastAsia="Arial"/>
                <w:szCs w:val="22"/>
                <w:lang w:val="es-ES_tradnl"/>
              </w:rPr>
              <w:t xml:space="preserve">para los examinadores de patentes </w:t>
            </w:r>
            <w:r w:rsidRPr="00DA2676">
              <w:rPr>
                <w:rFonts w:eastAsia="Arial"/>
                <w:szCs w:val="22"/>
                <w:lang w:val="es-ES_tradnl"/>
              </w:rPr>
              <w:t xml:space="preserve">en el marco de competencias </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927A43" w:rsidP="00DA2676">
            <w:pPr>
              <w:keepNext/>
              <w:keepLines/>
              <w:rPr>
                <w:rFonts w:ascii="Calibri" w:eastAsia="Times New Roman" w:hAnsi="Calibri" w:cs="Times New Roman"/>
                <w:szCs w:val="22"/>
              </w:rPr>
            </w:pPr>
          </w:p>
        </w:tc>
      </w:tr>
      <w:tr w:rsidR="00927A43" w:rsidRPr="00DA2676" w:rsidTr="00DA2676">
        <w:trPr>
          <w:trHeight w:val="702"/>
          <w:jc w:val="center"/>
        </w:trPr>
        <w:tc>
          <w:tcPr>
            <w:tcW w:w="87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7A43" w:rsidRPr="00DA2676" w:rsidRDefault="00DA2676" w:rsidP="00DA2676">
            <w:pPr>
              <w:keepNext/>
              <w:keepLines/>
              <w:tabs>
                <w:tab w:val="right" w:pos="380"/>
                <w:tab w:val="left" w:pos="527"/>
              </w:tabs>
              <w:spacing w:line="360" w:lineRule="auto"/>
              <w:rPr>
                <w:szCs w:val="22"/>
              </w:rPr>
            </w:pPr>
            <w:r w:rsidRPr="00DA2676">
              <w:rPr>
                <w:rFonts w:eastAsia="Arial"/>
                <w:szCs w:val="22"/>
                <w:lang w:val="es-ES_tradnl"/>
              </w:rPr>
              <w:t>Formación continua de los examinadores mediante diversos programas de formación</w:t>
            </w:r>
          </w:p>
        </w:tc>
      </w:tr>
    </w:tbl>
    <w:p w:rsidR="00927A43" w:rsidRDefault="00927A43" w:rsidP="00927A43">
      <w:pPr>
        <w:spacing w:line="360" w:lineRule="auto"/>
        <w:rPr>
          <w:szCs w:val="22"/>
        </w:rPr>
      </w:pPr>
    </w:p>
    <w:p w:rsidR="00927A43" w:rsidRDefault="00DA2676" w:rsidP="00D76DA5">
      <w:pPr>
        <w:pStyle w:val="Heading2"/>
        <w:keepNext w:val="0"/>
      </w:pPr>
      <w:r>
        <w:rPr>
          <w:rFonts w:eastAsia="Arial"/>
          <w:szCs w:val="22"/>
          <w:lang w:val="es-ES_tradnl"/>
        </w:rPr>
        <w:t>2.3</w:t>
      </w:r>
      <w:r>
        <w:rPr>
          <w:rFonts w:eastAsia="Arial"/>
          <w:szCs w:val="22"/>
          <w:lang w:val="es-ES_tradnl"/>
        </w:rPr>
        <w:tab/>
        <w:t xml:space="preserve">PLATAFORMAS DE BÚSQUEDA Y DOCUMENTACIÓN MÍNIMA DEL PCT:  </w:t>
      </w:r>
    </w:p>
    <w:p w:rsidR="00927A43" w:rsidRPr="00E24ADE" w:rsidRDefault="00DA2676" w:rsidP="00927A43">
      <w:pPr>
        <w:pStyle w:val="ONUME"/>
        <w:numPr>
          <w:ilvl w:val="0"/>
          <w:numId w:val="0"/>
        </w:numPr>
        <w:rPr>
          <w:i/>
        </w:rPr>
      </w:pPr>
      <w:r>
        <w:rPr>
          <w:rFonts w:eastAsia="Arial"/>
          <w:i/>
          <w:iCs/>
          <w:szCs w:val="22"/>
          <w:lang w:val="es-ES_tradnl"/>
        </w:rPr>
        <w:t>De conformidad con las Reglas 36.1.ii) y 63.1.ii) del Reglamento del PCT, la Oficina u organización deberá poseer, por lo menos, la documentació</w:t>
      </w:r>
      <w:r w:rsidR="00D76DA5">
        <w:rPr>
          <w:rFonts w:eastAsia="Arial"/>
          <w:i/>
          <w:iCs/>
          <w:szCs w:val="22"/>
          <w:lang w:val="es-ES_tradnl"/>
        </w:rPr>
        <w:t>n mínima mencionada en la Regla </w:t>
      </w:r>
      <w:r>
        <w:rPr>
          <w:rFonts w:eastAsia="Arial"/>
          <w:i/>
          <w:iCs/>
          <w:szCs w:val="22"/>
          <w:lang w:val="es-ES_tradnl"/>
        </w:rPr>
        <w:t xml:space="preserve">34, o tener acceso a esa documentación mínima, la cual deberá estar ordenada en forma adecuada a los fines de la búsqueda y presentarse en papel, en </w:t>
      </w:r>
      <w:proofErr w:type="spellStart"/>
      <w:r>
        <w:rPr>
          <w:rFonts w:eastAsia="Arial"/>
          <w:i/>
          <w:iCs/>
          <w:szCs w:val="22"/>
          <w:lang w:val="es-ES_tradnl"/>
        </w:rPr>
        <w:t>microformato</w:t>
      </w:r>
      <w:proofErr w:type="spellEnd"/>
      <w:r>
        <w:rPr>
          <w:rFonts w:eastAsia="Arial"/>
          <w:i/>
          <w:iCs/>
          <w:szCs w:val="22"/>
          <w:lang w:val="es-ES_tradnl"/>
        </w:rPr>
        <w:t xml:space="preserve"> o en soporte electrónico.</w:t>
      </w:r>
    </w:p>
    <w:p w:rsidR="00927A43" w:rsidRDefault="00DA2676" w:rsidP="00927A43">
      <w:pPr>
        <w:pStyle w:val="ONUME"/>
        <w:numPr>
          <w:ilvl w:val="0"/>
          <w:numId w:val="0"/>
        </w:numPr>
      </w:pPr>
      <w:r>
        <w:rPr>
          <w:rFonts w:eastAsia="Arial"/>
          <w:szCs w:val="22"/>
          <w:lang w:val="es-ES_tradnl"/>
        </w:rPr>
        <w:t>La IPOS ha puesto en funcionamiento un amplio conjunto de plataformas de búsqueda con sus respectivos complementos que abarcan tanto textos de patentes como la literatura distinta de la de patentes.  En su conjunto, estos recursos proporcionan a los examinadores un acceso adecuado a la documentación mínima mencionada en la Regla 34 del Reglamento del PCT, entre otros documentos.</w:t>
      </w:r>
    </w:p>
    <w:p w:rsidR="00927A43" w:rsidRDefault="00DA2676" w:rsidP="00927A43">
      <w:pPr>
        <w:pStyle w:val="ONUME"/>
        <w:numPr>
          <w:ilvl w:val="0"/>
          <w:numId w:val="0"/>
        </w:numPr>
      </w:pPr>
      <w:r>
        <w:rPr>
          <w:rFonts w:eastAsia="Arial"/>
          <w:szCs w:val="22"/>
          <w:lang w:val="es-ES_tradnl"/>
        </w:rPr>
        <w:t xml:space="preserve">Las plataformas de búsqueda a disposición de los examinadores incluyen: </w:t>
      </w:r>
    </w:p>
    <w:p w:rsidR="00927A43" w:rsidRDefault="00DA2676" w:rsidP="003B2C42">
      <w:pPr>
        <w:pStyle w:val="ONUME"/>
        <w:numPr>
          <w:ilvl w:val="1"/>
          <w:numId w:val="10"/>
        </w:numPr>
        <w:ind w:left="1701" w:hanging="567"/>
      </w:pPr>
      <w:r>
        <w:rPr>
          <w:rFonts w:eastAsia="Arial"/>
          <w:szCs w:val="22"/>
          <w:lang w:val="es-ES_tradnl"/>
        </w:rPr>
        <w:t xml:space="preserve">la plataforma de búsqueda de la OEP, llamada </w:t>
      </w:r>
      <w:proofErr w:type="spellStart"/>
      <w:r>
        <w:rPr>
          <w:rFonts w:eastAsia="Arial"/>
          <w:szCs w:val="22"/>
          <w:lang w:val="es-ES_tradnl"/>
        </w:rPr>
        <w:t>EPOQUENet</w:t>
      </w:r>
      <w:proofErr w:type="spellEnd"/>
      <w:r>
        <w:rPr>
          <w:rFonts w:eastAsia="Arial"/>
          <w:szCs w:val="22"/>
          <w:lang w:val="es-ES_tradnl"/>
        </w:rPr>
        <w:t xml:space="preserve">, que incluye el acceso al Índice mundial de patentes </w:t>
      </w:r>
      <w:proofErr w:type="spellStart"/>
      <w:r>
        <w:rPr>
          <w:rFonts w:eastAsia="Arial"/>
          <w:szCs w:val="22"/>
          <w:lang w:val="es-ES_tradnl"/>
        </w:rPr>
        <w:t>Derwent</w:t>
      </w:r>
      <w:proofErr w:type="spellEnd"/>
      <w:r>
        <w:rPr>
          <w:rFonts w:eastAsia="Arial"/>
          <w:szCs w:val="22"/>
          <w:lang w:val="es-ES_tradnl"/>
        </w:rPr>
        <w:t xml:space="preserve"> (DWPI);</w:t>
      </w:r>
    </w:p>
    <w:p w:rsidR="00927A43" w:rsidRDefault="00DA2676" w:rsidP="003B2C42">
      <w:pPr>
        <w:pStyle w:val="ONUME"/>
        <w:numPr>
          <w:ilvl w:val="1"/>
          <w:numId w:val="10"/>
        </w:numPr>
        <w:ind w:left="1701" w:hanging="567"/>
      </w:pPr>
      <w:r>
        <w:rPr>
          <w:rFonts w:eastAsia="Arial"/>
          <w:szCs w:val="22"/>
          <w:lang w:val="es-ES_tradnl"/>
        </w:rPr>
        <w:lastRenderedPageBreak/>
        <w:t xml:space="preserve">una plataforma de búsqueda comercial, llamada </w:t>
      </w:r>
      <w:proofErr w:type="spellStart"/>
      <w:r>
        <w:rPr>
          <w:rFonts w:eastAsia="Arial"/>
          <w:szCs w:val="22"/>
          <w:lang w:val="es-ES_tradnl"/>
        </w:rPr>
        <w:t>Questel</w:t>
      </w:r>
      <w:proofErr w:type="spellEnd"/>
      <w:r>
        <w:rPr>
          <w:rFonts w:eastAsia="Arial"/>
          <w:szCs w:val="22"/>
          <w:lang w:val="es-ES_tradnl"/>
        </w:rPr>
        <w:t xml:space="preserve"> </w:t>
      </w:r>
      <w:proofErr w:type="spellStart"/>
      <w:r>
        <w:rPr>
          <w:rFonts w:eastAsia="Arial"/>
          <w:szCs w:val="22"/>
          <w:lang w:val="es-ES_tradnl"/>
        </w:rPr>
        <w:t>Orbit</w:t>
      </w:r>
      <w:proofErr w:type="spellEnd"/>
      <w:r>
        <w:rPr>
          <w:rFonts w:eastAsia="Arial"/>
          <w:szCs w:val="22"/>
          <w:lang w:val="es-ES_tradnl"/>
        </w:rPr>
        <w:t>, que ofrece una amplia cobertura;</w:t>
      </w:r>
    </w:p>
    <w:p w:rsidR="00927A43" w:rsidRDefault="00DA2676" w:rsidP="003B2C42">
      <w:pPr>
        <w:pStyle w:val="ONUME"/>
        <w:numPr>
          <w:ilvl w:val="1"/>
          <w:numId w:val="10"/>
        </w:numPr>
        <w:ind w:left="1701" w:hanging="567"/>
      </w:pPr>
      <w:r>
        <w:rPr>
          <w:rFonts w:eastAsia="Arial"/>
          <w:szCs w:val="22"/>
          <w:lang w:val="es-ES_tradnl"/>
        </w:rPr>
        <w:t>una plataforma de búsqueda comercial, llamada STN, dedicada a las búsquedas relacionadas con la química y la biotecnología; y</w:t>
      </w:r>
    </w:p>
    <w:p w:rsidR="00927A43" w:rsidRDefault="00DA2676" w:rsidP="003B2C42">
      <w:pPr>
        <w:pStyle w:val="ONUME"/>
        <w:numPr>
          <w:ilvl w:val="1"/>
          <w:numId w:val="10"/>
        </w:numPr>
        <w:ind w:left="1701" w:hanging="567"/>
      </w:pPr>
      <w:r>
        <w:rPr>
          <w:rFonts w:eastAsia="Arial"/>
          <w:szCs w:val="22"/>
          <w:lang w:val="es-ES_tradnl"/>
        </w:rPr>
        <w:t xml:space="preserve">bases de datos de literatura distinta de la de patentes, </w:t>
      </w:r>
      <w:r w:rsidR="005E08C5" w:rsidRPr="005E08C5">
        <w:rPr>
          <w:rFonts w:eastAsia="Arial"/>
          <w:szCs w:val="22"/>
          <w:lang w:val="es-ES_tradnl"/>
        </w:rPr>
        <w:t xml:space="preserve">que incluyen la base de datos de las revistas académicas de la </w:t>
      </w:r>
      <w:r w:rsidR="005E08C5" w:rsidRPr="00136B3B">
        <w:rPr>
          <w:rFonts w:eastAsia="Arial"/>
          <w:i/>
          <w:szCs w:val="22"/>
          <w:lang w:val="es-ES_tradnl"/>
        </w:rPr>
        <w:t xml:space="preserve">China </w:t>
      </w:r>
      <w:proofErr w:type="spellStart"/>
      <w:r w:rsidR="005E08C5" w:rsidRPr="00136B3B">
        <w:rPr>
          <w:rFonts w:eastAsia="Arial"/>
          <w:i/>
          <w:szCs w:val="22"/>
          <w:lang w:val="es-ES_tradnl"/>
        </w:rPr>
        <w:t>National</w:t>
      </w:r>
      <w:proofErr w:type="spellEnd"/>
      <w:r w:rsidR="005E08C5" w:rsidRPr="00136B3B">
        <w:rPr>
          <w:rFonts w:eastAsia="Arial"/>
          <w:i/>
          <w:szCs w:val="22"/>
          <w:lang w:val="es-ES_tradnl"/>
        </w:rPr>
        <w:t xml:space="preserve"> </w:t>
      </w:r>
      <w:proofErr w:type="spellStart"/>
      <w:r w:rsidR="005E08C5" w:rsidRPr="00136B3B">
        <w:rPr>
          <w:rFonts w:eastAsia="Arial"/>
          <w:i/>
          <w:szCs w:val="22"/>
          <w:lang w:val="es-ES_tradnl"/>
        </w:rPr>
        <w:t>Knowledge</w:t>
      </w:r>
      <w:proofErr w:type="spellEnd"/>
      <w:r w:rsidR="005E08C5" w:rsidRPr="00136B3B">
        <w:rPr>
          <w:rFonts w:eastAsia="Arial"/>
          <w:i/>
          <w:szCs w:val="22"/>
          <w:lang w:val="es-ES_tradnl"/>
        </w:rPr>
        <w:t xml:space="preserve"> </w:t>
      </w:r>
      <w:proofErr w:type="spellStart"/>
      <w:r w:rsidR="005E08C5" w:rsidRPr="00136B3B">
        <w:rPr>
          <w:rFonts w:eastAsia="Arial"/>
          <w:i/>
          <w:szCs w:val="22"/>
          <w:lang w:val="es-ES_tradnl"/>
        </w:rPr>
        <w:t>Infrastructure</w:t>
      </w:r>
      <w:proofErr w:type="spellEnd"/>
      <w:r w:rsidR="005E08C5" w:rsidRPr="005E08C5">
        <w:rPr>
          <w:rFonts w:eastAsia="Arial"/>
          <w:szCs w:val="22"/>
          <w:lang w:val="es-ES_tradnl"/>
        </w:rPr>
        <w:t xml:space="preserve"> (CNKI), la base de datos IEEE </w:t>
      </w:r>
      <w:proofErr w:type="spellStart"/>
      <w:r w:rsidR="005E08C5" w:rsidRPr="005E08C5">
        <w:rPr>
          <w:rFonts w:eastAsia="Arial"/>
          <w:szCs w:val="22"/>
          <w:lang w:val="es-ES_tradnl"/>
        </w:rPr>
        <w:t>Xplore</w:t>
      </w:r>
      <w:proofErr w:type="spellEnd"/>
      <w:r w:rsidR="005E08C5" w:rsidRPr="005E08C5">
        <w:rPr>
          <w:rFonts w:eastAsia="Arial"/>
          <w:szCs w:val="22"/>
          <w:lang w:val="es-ES_tradnl"/>
        </w:rPr>
        <w:t xml:space="preserve"> del Instituto de Ingenieros Eléctricos y Electrónicos (IEEE) y la base de datos </w:t>
      </w:r>
      <w:proofErr w:type="spellStart"/>
      <w:r w:rsidR="005E08C5" w:rsidRPr="005E08C5">
        <w:rPr>
          <w:rFonts w:eastAsia="Arial"/>
          <w:szCs w:val="22"/>
          <w:lang w:val="es-ES_tradnl"/>
        </w:rPr>
        <w:t>Scopus</w:t>
      </w:r>
      <w:proofErr w:type="spellEnd"/>
      <w:r w:rsidR="005E08C5" w:rsidRPr="005E08C5">
        <w:rPr>
          <w:rFonts w:eastAsia="Arial"/>
          <w:szCs w:val="22"/>
          <w:lang w:val="es-ES_tradnl"/>
        </w:rPr>
        <w:t xml:space="preserve"> de </w:t>
      </w:r>
      <w:proofErr w:type="spellStart"/>
      <w:r w:rsidR="005E08C5" w:rsidRPr="005E08C5">
        <w:rPr>
          <w:rFonts w:eastAsia="Arial"/>
          <w:szCs w:val="22"/>
          <w:lang w:val="es-ES_tradnl"/>
        </w:rPr>
        <w:t>Elsevier</w:t>
      </w:r>
      <w:proofErr w:type="spellEnd"/>
      <w:r>
        <w:rPr>
          <w:rFonts w:eastAsia="Arial"/>
          <w:szCs w:val="22"/>
          <w:lang w:val="es-ES_tradnl"/>
        </w:rPr>
        <w:t>.</w:t>
      </w:r>
    </w:p>
    <w:p w:rsidR="00927A43" w:rsidRDefault="00DA2676" w:rsidP="00927A43">
      <w:pPr>
        <w:pStyle w:val="ONUME"/>
        <w:numPr>
          <w:ilvl w:val="0"/>
          <w:numId w:val="0"/>
        </w:numPr>
      </w:pPr>
      <w:r>
        <w:rPr>
          <w:rFonts w:eastAsia="Arial"/>
          <w:szCs w:val="22"/>
          <w:lang w:val="es-ES_tradnl"/>
        </w:rPr>
        <w:t>Estas plataformas están vinculadas a la documentación sobre patentes de más de 80 países y administraciones (incluidas la OMPI, China, la OEP, Alemania, el Japón, Corea</w:t>
      </w:r>
      <w:r w:rsidR="00136B3B">
        <w:rPr>
          <w:rFonts w:eastAsia="Arial"/>
          <w:szCs w:val="22"/>
          <w:lang w:val="es-ES_tradnl"/>
        </w:rPr>
        <w:t xml:space="preserve"> del Sur</w:t>
      </w:r>
      <w:r>
        <w:rPr>
          <w:rFonts w:eastAsia="Arial"/>
          <w:szCs w:val="22"/>
          <w:lang w:val="es-ES_tradnl"/>
        </w:rPr>
        <w:t>, la Federación de Rusia, el Reino Unido, los Estados Unidos de América y Singapur) y están disponibles en varios idiomas (incluidos el chino, inglés, francés, alemán, japonés, coreano, ruso y español).</w:t>
      </w:r>
    </w:p>
    <w:p w:rsidR="00927A43" w:rsidRDefault="00DA2676" w:rsidP="00927A43">
      <w:pPr>
        <w:pStyle w:val="ONUME"/>
        <w:numPr>
          <w:ilvl w:val="0"/>
          <w:numId w:val="0"/>
        </w:numPr>
      </w:pPr>
      <w:r>
        <w:rPr>
          <w:rFonts w:eastAsia="Arial"/>
          <w:szCs w:val="22"/>
          <w:lang w:val="es-ES_tradnl"/>
        </w:rPr>
        <w:t xml:space="preserve">La IPOS revisa con frecuencia sus plataformas de búsqueda por suscripción y sus bases de datos para evaluar su idoneidad, pertinencia y eficiencia.  Asimismo, la Oficina normalizadora de búsquedas de la IPOS evalúa los nuevos recursos y, cuando corresponde, se procede a añadirlos al conjunto de recursos en materia de patentes a disposición de los examinadores con </w:t>
      </w:r>
      <w:r w:rsidR="000619B3">
        <w:rPr>
          <w:rFonts w:eastAsia="Arial"/>
          <w:szCs w:val="22"/>
          <w:lang w:val="es-ES_tradnl"/>
        </w:rPr>
        <w:t>miras a</w:t>
      </w:r>
      <w:r>
        <w:rPr>
          <w:rFonts w:eastAsia="Arial"/>
          <w:szCs w:val="22"/>
          <w:lang w:val="es-ES_tradnl"/>
        </w:rPr>
        <w:t xml:space="preserve"> ampliar el alcance de la búsqueda. </w:t>
      </w:r>
    </w:p>
    <w:p w:rsidR="00927A43" w:rsidRDefault="00DA2676" w:rsidP="00927A43">
      <w:pPr>
        <w:pStyle w:val="ONUME"/>
        <w:numPr>
          <w:ilvl w:val="0"/>
          <w:numId w:val="0"/>
        </w:numPr>
      </w:pPr>
      <w:r>
        <w:rPr>
          <w:rFonts w:eastAsia="Arial"/>
          <w:szCs w:val="22"/>
          <w:lang w:val="es-ES_tradnl"/>
        </w:rPr>
        <w:t>Los proveedores del servicio impartieron una formación completa a los examinadores para que aprendan a utilizar las plataformas de búsqueda.  Se imparten periódicamente cursos de actualización y cursos avanzados relacionados con los campos técnicos específicos a fin de que los examinadores puedan mantenerse al corriente del uso de las plataformas y las bases de datos de búsqueda.</w:t>
      </w:r>
    </w:p>
    <w:p w:rsidR="00927A43" w:rsidRDefault="00DA2676" w:rsidP="00313DF5">
      <w:pPr>
        <w:pStyle w:val="Heading2"/>
        <w:keepNext w:val="0"/>
      </w:pPr>
      <w:r>
        <w:rPr>
          <w:rFonts w:eastAsia="Arial"/>
          <w:szCs w:val="22"/>
          <w:lang w:val="es-ES_tradnl"/>
        </w:rPr>
        <w:t>2.4</w:t>
      </w:r>
      <w:r>
        <w:rPr>
          <w:rFonts w:eastAsia="Arial"/>
          <w:szCs w:val="22"/>
          <w:lang w:val="es-ES_tradnl"/>
        </w:rPr>
        <w:tab/>
        <w:t>IDIOMAS EN LOS QUE</w:t>
      </w:r>
      <w:r w:rsidR="0070328B">
        <w:rPr>
          <w:rFonts w:eastAsia="Arial"/>
          <w:szCs w:val="22"/>
          <w:lang w:val="es-ES_tradnl"/>
        </w:rPr>
        <w:t xml:space="preserve"> </w:t>
      </w:r>
      <w:r>
        <w:rPr>
          <w:rFonts w:eastAsia="Arial"/>
          <w:szCs w:val="22"/>
          <w:lang w:val="es-ES_tradnl"/>
        </w:rPr>
        <w:t>LAS SOLICITUDES NACIONALES</w:t>
      </w:r>
      <w:r w:rsidR="00136B3B">
        <w:rPr>
          <w:rFonts w:eastAsia="Arial"/>
          <w:szCs w:val="22"/>
          <w:lang w:val="es-ES_tradnl"/>
        </w:rPr>
        <w:t xml:space="preserve"> PUEDEN SER PRESENTADAS Y TRAMITADAS</w:t>
      </w:r>
      <w:r>
        <w:rPr>
          <w:rFonts w:eastAsia="Arial"/>
          <w:szCs w:val="22"/>
          <w:lang w:val="es-ES_tradnl"/>
        </w:rPr>
        <w:t xml:space="preserve">:  </w:t>
      </w:r>
    </w:p>
    <w:p w:rsidR="00927A43" w:rsidRPr="00E24ADE" w:rsidRDefault="00DA2676" w:rsidP="00927A43">
      <w:pPr>
        <w:pStyle w:val="ONUME"/>
        <w:numPr>
          <w:ilvl w:val="0"/>
          <w:numId w:val="0"/>
        </w:numPr>
        <w:rPr>
          <w:i/>
        </w:rPr>
      </w:pPr>
      <w:r>
        <w:rPr>
          <w:rFonts w:eastAsia="Arial"/>
          <w:i/>
          <w:iCs/>
          <w:szCs w:val="22"/>
          <w:lang w:val="es-ES_tradnl"/>
        </w:rPr>
        <w:t>De conformidad con las Reglas 36.1.iii) y 63.1.iii) del Reglamento del PCT, esa Oficina u organización deberá disponer de personal capacitado para proceder a la búsqueda y al examen en los campos técnicos en los que deba realizarse la búsqueda, que deberá poseer además los conocimientos lingüísticos necesarios para comprender, por lo menos, los idiomas en los que esté redactada o traducida la documentación mínima mencionada en la Regla 34.</w:t>
      </w:r>
    </w:p>
    <w:p w:rsidR="00927A43" w:rsidRDefault="00DA2676" w:rsidP="00927A43">
      <w:pPr>
        <w:pStyle w:val="ONUME"/>
        <w:numPr>
          <w:ilvl w:val="0"/>
          <w:numId w:val="0"/>
        </w:numPr>
      </w:pPr>
      <w:r>
        <w:rPr>
          <w:rFonts w:eastAsia="Arial"/>
          <w:szCs w:val="22"/>
          <w:lang w:val="es-ES_tradnl"/>
        </w:rPr>
        <w:t xml:space="preserve">El 1 de septiembre de 2015 la IPOS comenzó a actuar </w:t>
      </w:r>
      <w:r w:rsidR="000619B3">
        <w:rPr>
          <w:rFonts w:eastAsia="Arial"/>
          <w:szCs w:val="22"/>
          <w:lang w:val="es-ES_tradnl"/>
        </w:rPr>
        <w:t>como</w:t>
      </w:r>
      <w:r>
        <w:rPr>
          <w:rFonts w:eastAsia="Arial"/>
          <w:szCs w:val="22"/>
          <w:lang w:val="es-ES_tradnl"/>
        </w:rPr>
        <w:t xml:space="preserve"> ISA, IPEA y Administración designada para la búsqueda internacional suplementaria (SISA) en el marco del PCT.  El idioma aceptado por la IPOS actuando en calidad de ISA e IPEA era exclusivamente en inglés, mientras que los idiomas aceptados por la IPOS actuando en calidad de SISA eran el inglés y el chino.  A partir del 1 de octubre de 2016, la IPOS, en calidad de ISA e IPEA, comenzó a aceptar progresivamente el chino como idioma de presentación de solicitudes. </w:t>
      </w:r>
    </w:p>
    <w:p w:rsidR="00927A43" w:rsidRDefault="00DA2676" w:rsidP="00927A43">
      <w:pPr>
        <w:pStyle w:val="ONUME"/>
        <w:numPr>
          <w:ilvl w:val="0"/>
          <w:numId w:val="0"/>
        </w:numPr>
      </w:pPr>
      <w:r>
        <w:rPr>
          <w:rFonts w:eastAsia="Arial"/>
          <w:szCs w:val="22"/>
          <w:lang w:val="es-ES_tradnl"/>
        </w:rPr>
        <w:t xml:space="preserve">Todos los examinadores dominan el inglés puesto que es el idioma oficial de trabajo en Singapur.  Más del 35% de los examinadores tiene un excelente dominio del idioma chino.  Por consiguiente, la IPOS está en condiciones de efectuar búsquedas y revisar documentos del estado de la técnica en idioma chino.  Dado que el volumen de este tipo de documentos sigue en aumento, la capacidad de efectuar búsquedas de textos completos y de examinarlos en </w:t>
      </w:r>
      <w:r w:rsidR="000619B3">
        <w:rPr>
          <w:rFonts w:eastAsia="Arial"/>
          <w:szCs w:val="22"/>
          <w:lang w:val="es-ES_tradnl"/>
        </w:rPr>
        <w:t xml:space="preserve">idioma </w:t>
      </w:r>
      <w:r>
        <w:rPr>
          <w:rFonts w:eastAsia="Arial"/>
          <w:szCs w:val="22"/>
          <w:lang w:val="es-ES_tradnl"/>
        </w:rPr>
        <w:t>chino constituiría una valiosa contribución a la exhaustividad y a la precisión de la labor de búsqueda y examen del PCT.</w:t>
      </w:r>
    </w:p>
    <w:p w:rsidR="00927A43" w:rsidRDefault="00DA2676" w:rsidP="00313DF5">
      <w:pPr>
        <w:pStyle w:val="Heading1"/>
        <w:keepNext w:val="0"/>
      </w:pPr>
      <w:r>
        <w:rPr>
          <w:rFonts w:eastAsia="Arial"/>
          <w:szCs w:val="22"/>
          <w:lang w:val="es-ES_tradnl"/>
        </w:rPr>
        <w:t>3.</w:t>
      </w:r>
      <w:r>
        <w:rPr>
          <w:rFonts w:eastAsia="Arial"/>
          <w:szCs w:val="22"/>
          <w:lang w:val="es-ES_tradnl"/>
        </w:rPr>
        <w:tab/>
        <w:t>GESTIÓN DE LA CALIDAD</w:t>
      </w:r>
    </w:p>
    <w:p w:rsidR="00927A43" w:rsidRPr="00E24ADE" w:rsidRDefault="00DA2676" w:rsidP="00927A43">
      <w:pPr>
        <w:pStyle w:val="ONUME"/>
        <w:numPr>
          <w:ilvl w:val="0"/>
          <w:numId w:val="0"/>
        </w:numPr>
        <w:rPr>
          <w:i/>
        </w:rPr>
      </w:pPr>
      <w:r>
        <w:rPr>
          <w:rFonts w:eastAsia="Arial"/>
          <w:i/>
          <w:iCs/>
          <w:szCs w:val="22"/>
          <w:lang w:val="es-ES_tradnl"/>
        </w:rPr>
        <w:t>De conformidad con las Reglas 36.1.iv) y 63.1.iv) del Reglamento del PCT, esa Oficina u organización deberá disponer de un sistema de gestión de la calidad y un sistema de revisión interna conforme a las reglas comunes de la búsqueda internacional.</w:t>
      </w:r>
    </w:p>
    <w:p w:rsidR="00927A43" w:rsidRDefault="00DA2676" w:rsidP="00927A43">
      <w:pPr>
        <w:pStyle w:val="ONUME"/>
        <w:numPr>
          <w:ilvl w:val="0"/>
          <w:numId w:val="0"/>
        </w:numPr>
      </w:pPr>
      <w:r>
        <w:rPr>
          <w:rFonts w:eastAsia="Arial"/>
          <w:szCs w:val="22"/>
          <w:lang w:val="es-ES_tradnl"/>
        </w:rPr>
        <w:lastRenderedPageBreak/>
        <w:t>Desde 2013, la Unidad de Búsqueda y Examen de Patentes de la IPOS (Unidad de Búsqueda y Examen) ha venido aplicando los procedimientos de calidad conforme a las normas ISO para llevar a cabo los servicios de búsqueda y examen.  La certific</w:t>
      </w:r>
      <w:r w:rsidR="00313DF5">
        <w:rPr>
          <w:rFonts w:eastAsia="Arial"/>
          <w:szCs w:val="22"/>
          <w:lang w:val="es-ES_tradnl"/>
        </w:rPr>
        <w:t>ación conforme a las normas ISO </w:t>
      </w:r>
      <w:r>
        <w:rPr>
          <w:rFonts w:eastAsia="Arial"/>
          <w:szCs w:val="22"/>
          <w:lang w:val="es-ES_tradnl"/>
        </w:rPr>
        <w:t xml:space="preserve">9001:2008 para los servicios de búsqueda y examen se obtuvo formalmente en noviembre de 2014.  Por consiguiente, la Unidad de Búsqueda y Examen aprobó la auditoría externa realizada en 2015 y 2016 sin ninguna observación significativa.  La Oficina de Gestión de la Calidad se encuentra actualmente preparando la transición de las normas ISO 9001:2008 a las normas ISO 9001:2015, y espera obtener la certificación, conforme a las nuevas normas, a finales de octubre de 2017.  </w:t>
      </w:r>
    </w:p>
    <w:p w:rsidR="00927A43" w:rsidRDefault="00DA2676" w:rsidP="00927A43">
      <w:pPr>
        <w:pStyle w:val="ONUME"/>
        <w:numPr>
          <w:ilvl w:val="0"/>
          <w:numId w:val="0"/>
        </w:numPr>
      </w:pPr>
      <w:r>
        <w:rPr>
          <w:rFonts w:eastAsia="Arial"/>
          <w:szCs w:val="22"/>
          <w:lang w:val="es-ES_tradnl"/>
        </w:rPr>
        <w:t>En respuesta a la Circular C. PCT 1483 publicada por la Oficina Internacional, la IPOS presentó recientemente un informe anual en el que se describe en forma pormenorizada su s</w:t>
      </w:r>
      <w:r w:rsidR="00A1135C">
        <w:rPr>
          <w:rFonts w:eastAsia="Arial"/>
          <w:szCs w:val="22"/>
          <w:lang w:val="es-ES_tradnl"/>
        </w:rPr>
        <w:t>istema de gestión de la calidad</w:t>
      </w:r>
      <w:r>
        <w:rPr>
          <w:rFonts w:eastAsia="Arial"/>
          <w:szCs w:val="22"/>
          <w:lang w:val="es-ES_tradnl"/>
        </w:rPr>
        <w:t xml:space="preserve"> conforme al Capítulo 21 de las Directrices de búsqueda internacional y de examen preliminar internacional del PCT. </w:t>
      </w:r>
    </w:p>
    <w:p w:rsidR="00927A43" w:rsidRDefault="00DA2676" w:rsidP="00927A43">
      <w:pPr>
        <w:pStyle w:val="ONUME"/>
        <w:numPr>
          <w:ilvl w:val="0"/>
          <w:numId w:val="0"/>
        </w:numPr>
      </w:pPr>
      <w:r>
        <w:rPr>
          <w:rFonts w:eastAsia="Arial"/>
          <w:szCs w:val="22"/>
          <w:lang w:val="es-ES_tradnl"/>
        </w:rPr>
        <w:t xml:space="preserve">Nuestra política de calidad consiste en trabajar junto </w:t>
      </w:r>
      <w:r w:rsidR="00A1135C">
        <w:rPr>
          <w:rFonts w:eastAsia="Arial"/>
          <w:szCs w:val="22"/>
          <w:lang w:val="es-ES_tradnl"/>
        </w:rPr>
        <w:t>a</w:t>
      </w:r>
      <w:r>
        <w:rPr>
          <w:rFonts w:eastAsia="Arial"/>
          <w:szCs w:val="22"/>
          <w:lang w:val="es-ES_tradnl"/>
        </w:rPr>
        <w:t xml:space="preserve"> nuestros clientes para ofrecer productos y prestar servicios de alta calidad de manera eficaz y coherente.  Estamos comprometidos a mejorar continuamente nuestros sistemas, prácticas y programas con el fin de proporcionar derechos de P.I. sólidos que promoverán un próspero y vibrante entorno de propiedad intelectual en Singapur.  </w:t>
      </w:r>
    </w:p>
    <w:p w:rsidR="00927A43" w:rsidRDefault="00DA2676" w:rsidP="00927A43">
      <w:pPr>
        <w:pStyle w:val="ONUME"/>
        <w:numPr>
          <w:ilvl w:val="0"/>
          <w:numId w:val="0"/>
        </w:numPr>
      </w:pPr>
      <w:r>
        <w:rPr>
          <w:rFonts w:eastAsia="Arial"/>
          <w:szCs w:val="22"/>
          <w:lang w:val="es-ES_tradnl"/>
        </w:rPr>
        <w:t>Nuestros objetivos en materia de calidad son ofrecer productos y prestar servicios de búsqueda y examen de alta calidad que sean válidos y fiables, entregados de manera eficaz y pragmática.</w:t>
      </w:r>
    </w:p>
    <w:p w:rsidR="00927A43" w:rsidRDefault="00DA2676" w:rsidP="00A81062">
      <w:pPr>
        <w:pStyle w:val="Heading2"/>
        <w:keepNext w:val="0"/>
      </w:pPr>
      <w:r>
        <w:rPr>
          <w:rFonts w:eastAsia="Arial"/>
          <w:szCs w:val="22"/>
          <w:lang w:val="es-ES_tradnl"/>
        </w:rPr>
        <w:t>3.1</w:t>
      </w:r>
      <w:r>
        <w:rPr>
          <w:rFonts w:eastAsia="Arial"/>
          <w:szCs w:val="22"/>
          <w:lang w:val="es-ES_tradnl"/>
        </w:rPr>
        <w:tab/>
        <w:t xml:space="preserve">VALIDEZ Y FIABILIDAD DE LA BÚSQUEDA Y EL EXAMEN:  </w:t>
      </w:r>
    </w:p>
    <w:p w:rsidR="00927A43" w:rsidRDefault="00DA2676" w:rsidP="00927A43">
      <w:pPr>
        <w:pStyle w:val="ONUME"/>
        <w:numPr>
          <w:ilvl w:val="0"/>
          <w:numId w:val="0"/>
        </w:numPr>
      </w:pPr>
      <w:r>
        <w:rPr>
          <w:rFonts w:eastAsia="Arial"/>
          <w:szCs w:val="22"/>
          <w:lang w:val="es-ES_tradnl"/>
        </w:rPr>
        <w:t xml:space="preserve">Consideramos que una búsqueda es válida cuando se ha empleado una estrategia de búsqueda apropiada y se ha utilizado un conjunto de fuentes de información fidedignas.  Se considera que una búsqueda es fiable si está lo suficientemente documentada para dar lugar a un resultado de búsqueda reproducible y coherente. </w:t>
      </w:r>
    </w:p>
    <w:p w:rsidR="00927A43" w:rsidRDefault="00DA2676" w:rsidP="00927A43">
      <w:pPr>
        <w:pStyle w:val="ONUME"/>
        <w:numPr>
          <w:ilvl w:val="0"/>
          <w:numId w:val="0"/>
        </w:numPr>
      </w:pPr>
      <w:r>
        <w:rPr>
          <w:rFonts w:eastAsia="Arial"/>
          <w:szCs w:val="22"/>
          <w:lang w:val="es-ES_tradnl"/>
        </w:rPr>
        <w:t>Un examen es válido cuando la legislación se interpreta de manera correcta y se aplica de manera lógica para dar lugar a una decisión fundamentada, así como cuando dicha decisión y su fundamentación se comunican al cliente con claridad.  Un examen es fiable cuando los examinadores utilizan un enfoque coherente basado en un conjunto abierto y transparente de directrices, así como cuando las consideraciones para tomar una decisión han sido documentadas para demostrar que</w:t>
      </w:r>
      <w:r w:rsidR="001F3850">
        <w:rPr>
          <w:rFonts w:eastAsia="Arial"/>
          <w:szCs w:val="22"/>
          <w:lang w:val="es-ES_tradnl"/>
        </w:rPr>
        <w:t xml:space="preserve"> efectivamente</w:t>
      </w:r>
      <w:r>
        <w:rPr>
          <w:rFonts w:eastAsia="Arial"/>
          <w:szCs w:val="22"/>
          <w:lang w:val="es-ES_tradnl"/>
        </w:rPr>
        <w:t xml:space="preserve"> </w:t>
      </w:r>
      <w:r w:rsidR="001F3850">
        <w:rPr>
          <w:rFonts w:eastAsia="Arial"/>
          <w:szCs w:val="22"/>
          <w:lang w:val="es-ES_tradnl"/>
        </w:rPr>
        <w:t>se han aplicado las</w:t>
      </w:r>
      <w:r>
        <w:rPr>
          <w:rFonts w:eastAsia="Arial"/>
          <w:szCs w:val="22"/>
          <w:lang w:val="es-ES_tradnl"/>
        </w:rPr>
        <w:t xml:space="preserve"> directrices durante el examen. </w:t>
      </w:r>
    </w:p>
    <w:p w:rsidR="00927A43" w:rsidRDefault="00DA2676" w:rsidP="00927A43">
      <w:pPr>
        <w:pStyle w:val="ONUME"/>
        <w:numPr>
          <w:ilvl w:val="0"/>
          <w:numId w:val="0"/>
        </w:numPr>
      </w:pPr>
      <w:r>
        <w:rPr>
          <w:rFonts w:eastAsia="Arial"/>
          <w:szCs w:val="22"/>
          <w:lang w:val="es-ES_tradnl"/>
        </w:rPr>
        <w:t>Antes de realizar la búsqueda y examen para una solicitud internacional se creará un equipo de búsqueda integrado por tres personas (un examinador, un colega examinador en el campo técnico pertinente y un examinador principal) con el fin de debatir la estrategia de búsqueda y varias cuestiones sustantivas relacionadas con la solicitud.  Es obligatorio que el examinador documente la estrategia y los resultados de la búsqueda</w:t>
      </w:r>
      <w:r w:rsidR="001F3850">
        <w:rPr>
          <w:rFonts w:eastAsia="Arial"/>
          <w:szCs w:val="22"/>
          <w:lang w:val="es-ES_tradnl"/>
        </w:rPr>
        <w:t>, así como</w:t>
      </w:r>
      <w:r>
        <w:rPr>
          <w:rFonts w:eastAsia="Arial"/>
          <w:szCs w:val="22"/>
          <w:lang w:val="es-ES_tradnl"/>
        </w:rPr>
        <w:t xml:space="preserve"> que deje constancia en un documento interno acerca del estado de la técnica y de las observaciones pert</w:t>
      </w:r>
      <w:r w:rsidR="001F3850">
        <w:rPr>
          <w:rFonts w:eastAsia="Arial"/>
          <w:szCs w:val="22"/>
          <w:lang w:val="es-ES_tradnl"/>
        </w:rPr>
        <w:t xml:space="preserve">inentes al efectuar el examen. </w:t>
      </w:r>
      <w:r>
        <w:rPr>
          <w:rFonts w:eastAsia="Arial"/>
          <w:szCs w:val="22"/>
          <w:lang w:val="es-ES_tradnl"/>
        </w:rPr>
        <w:t xml:space="preserve"> El documento interno servirá para facilitar el proceso de control de calidad denominado “3 pares de ojos” (véase la figura a continuación), el cual es obligatorio para todos los informes elaborados en el marco del PCT. </w:t>
      </w:r>
    </w:p>
    <w:p w:rsidR="00927A43" w:rsidRDefault="009462CE" w:rsidP="00927A43">
      <w:pPr>
        <w:pStyle w:val="ONUME"/>
        <w:numPr>
          <w:ilvl w:val="0"/>
          <w:numId w:val="0"/>
        </w:numPr>
        <w:jc w:val="center"/>
      </w:pPr>
      <w:r>
        <w:rPr>
          <w:noProof/>
          <w:lang w:val="en-US" w:eastAsia="en-US"/>
        </w:rPr>
        <w:lastRenderedPageBreak/>
        <w:drawing>
          <wp:inline distT="0" distB="0" distL="0" distR="0">
            <wp:extent cx="3322955" cy="2807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clr">
                    <a:xfrm>
                      <a:off x="0" y="0"/>
                      <a:ext cx="3322955" cy="2807335"/>
                    </a:xfrm>
                    <a:prstGeom prst="rect">
                      <a:avLst/>
                    </a:prstGeom>
                    <a:noFill/>
                    <a:ln>
                      <a:noFill/>
                    </a:ln>
                  </pic:spPr>
                </pic:pic>
              </a:graphicData>
            </a:graphic>
          </wp:inline>
        </w:drawing>
      </w:r>
    </w:p>
    <w:p w:rsidR="00927A43" w:rsidRDefault="00DA2676" w:rsidP="00927A43">
      <w:pPr>
        <w:pStyle w:val="ONUME"/>
        <w:numPr>
          <w:ilvl w:val="0"/>
          <w:numId w:val="0"/>
        </w:numPr>
      </w:pPr>
      <w:r>
        <w:rPr>
          <w:rFonts w:eastAsia="Arial"/>
          <w:szCs w:val="22"/>
          <w:lang w:val="es-ES_tradnl"/>
        </w:rPr>
        <w:t xml:space="preserve">Una vez que redactó un </w:t>
      </w:r>
      <w:r w:rsidR="001F3850">
        <w:rPr>
          <w:rFonts w:eastAsia="Arial"/>
          <w:szCs w:val="22"/>
          <w:lang w:val="es-ES_tradnl"/>
        </w:rPr>
        <w:t>proyecto</w:t>
      </w:r>
      <w:r>
        <w:rPr>
          <w:rFonts w:eastAsia="Arial"/>
          <w:szCs w:val="22"/>
          <w:lang w:val="es-ES_tradnl"/>
        </w:rPr>
        <w:t xml:space="preserve"> de los informes, el examinador lo enviará al colega examinador, quien se encargará de verificar la lógica de los argumentos y los requisitos de forma.  El colega examinador podrá formular comentarios e introducir modificaciones al </w:t>
      </w:r>
      <w:r w:rsidR="001F3850">
        <w:rPr>
          <w:rFonts w:eastAsia="Arial"/>
          <w:szCs w:val="22"/>
          <w:lang w:val="es-ES_tradnl"/>
        </w:rPr>
        <w:t>proyecto de informe</w:t>
      </w:r>
      <w:r>
        <w:rPr>
          <w:rFonts w:eastAsia="Arial"/>
          <w:szCs w:val="22"/>
          <w:lang w:val="es-ES_tradnl"/>
        </w:rPr>
        <w:t xml:space="preserve"> mediante la función de “control de cambios” antes de reenviarlo al examinador.  Tras recibir el </w:t>
      </w:r>
      <w:r w:rsidR="001F3850">
        <w:rPr>
          <w:rFonts w:eastAsia="Arial"/>
          <w:szCs w:val="22"/>
          <w:lang w:val="es-ES_tradnl"/>
        </w:rPr>
        <w:t>proyecto de informe</w:t>
      </w:r>
      <w:r>
        <w:rPr>
          <w:rFonts w:eastAsia="Arial"/>
          <w:szCs w:val="22"/>
          <w:lang w:val="es-ES_tradnl"/>
        </w:rPr>
        <w:t>, y antes de enviarlo al examinador principal para un control de calidad final</w:t>
      </w:r>
      <w:r w:rsidR="001F3850">
        <w:rPr>
          <w:rFonts w:eastAsia="Arial"/>
          <w:szCs w:val="22"/>
          <w:lang w:val="es-ES_tradnl"/>
        </w:rPr>
        <w:t>, el examinador podrá modificarlo</w:t>
      </w:r>
      <w:r>
        <w:rPr>
          <w:rFonts w:eastAsia="Arial"/>
          <w:szCs w:val="22"/>
          <w:lang w:val="es-ES_tradnl"/>
        </w:rPr>
        <w:t xml:space="preserve"> para que refleje los comentarios recibidos.  El proceso de control de calidad final es iterativo y culminará cuando el examinador principal dé el visto bueno.  Luego, los informes terminados </w:t>
      </w:r>
      <w:r w:rsidR="00FF2F99">
        <w:rPr>
          <w:rFonts w:eastAsia="Arial"/>
          <w:szCs w:val="22"/>
          <w:lang w:val="es-ES_tradnl"/>
        </w:rPr>
        <w:t>se</w:t>
      </w:r>
      <w:r>
        <w:rPr>
          <w:rFonts w:eastAsia="Arial"/>
          <w:szCs w:val="22"/>
          <w:lang w:val="es-ES_tradnl"/>
        </w:rPr>
        <w:t>rán so</w:t>
      </w:r>
      <w:r w:rsidR="00FF2F99">
        <w:rPr>
          <w:rFonts w:eastAsia="Arial"/>
          <w:szCs w:val="22"/>
          <w:lang w:val="es-ES_tradnl"/>
        </w:rPr>
        <w:t>metido</w:t>
      </w:r>
      <w:r>
        <w:rPr>
          <w:rFonts w:eastAsia="Arial"/>
          <w:szCs w:val="22"/>
          <w:lang w:val="es-ES_tradnl"/>
        </w:rPr>
        <w:t>s a una ronda final de verificación de los requisitos de forma antes de que se transmitan al solicitante.</w:t>
      </w:r>
    </w:p>
    <w:p w:rsidR="00927A43" w:rsidRDefault="00DA2676" w:rsidP="00927A43">
      <w:pPr>
        <w:pStyle w:val="ONUME"/>
        <w:numPr>
          <w:ilvl w:val="0"/>
          <w:numId w:val="0"/>
        </w:numPr>
      </w:pPr>
      <w:r>
        <w:rPr>
          <w:rFonts w:eastAsia="Arial"/>
          <w:szCs w:val="22"/>
          <w:lang w:val="es-ES_tradnl"/>
        </w:rPr>
        <w:t xml:space="preserve">Se evalúa el grado de conformidad mediante </w:t>
      </w:r>
      <w:r w:rsidR="00FF2F99">
        <w:rPr>
          <w:rFonts w:eastAsia="Arial"/>
          <w:szCs w:val="22"/>
          <w:lang w:val="es-ES_tradnl"/>
        </w:rPr>
        <w:t xml:space="preserve">una </w:t>
      </w:r>
      <w:r>
        <w:rPr>
          <w:rFonts w:eastAsia="Arial"/>
          <w:szCs w:val="22"/>
          <w:lang w:val="es-ES_tradnl"/>
        </w:rPr>
        <w:t>serie de indicadores relacionados con la validez y la fiabilidad.  Para garantizar la uniformidad y la mejora de la calidad se toman en cuenta periódicamente las observaciones relativas a la calidad del trabajo, así como la actualización de las directrices y las prácticas.</w:t>
      </w:r>
    </w:p>
    <w:p w:rsidR="00927A43" w:rsidRDefault="00DA2676" w:rsidP="00A81062">
      <w:pPr>
        <w:pStyle w:val="Heading2"/>
        <w:keepNext w:val="0"/>
      </w:pPr>
      <w:r>
        <w:rPr>
          <w:rFonts w:eastAsia="Arial"/>
          <w:szCs w:val="22"/>
          <w:lang w:val="es-ES_tradnl"/>
        </w:rPr>
        <w:t>3.2</w:t>
      </w:r>
      <w:r>
        <w:rPr>
          <w:rFonts w:eastAsia="Arial"/>
          <w:szCs w:val="22"/>
          <w:lang w:val="es-ES_tradnl"/>
        </w:rPr>
        <w:tab/>
        <w:t xml:space="preserve">EFICIENCIA – COMPROMISO DE PUNTUALIDAD:  </w:t>
      </w:r>
    </w:p>
    <w:p w:rsidR="00927A43" w:rsidRDefault="00DA2676" w:rsidP="00927A43">
      <w:pPr>
        <w:pStyle w:val="ONUME"/>
        <w:numPr>
          <w:ilvl w:val="0"/>
          <w:numId w:val="0"/>
        </w:numPr>
      </w:pPr>
      <w:r>
        <w:rPr>
          <w:rFonts w:eastAsia="Arial"/>
          <w:szCs w:val="22"/>
          <w:lang w:val="es-ES_tradnl"/>
        </w:rPr>
        <w:t>La puntualidad es lo que permite la eficiencia en la entrega de los productos y en la prestación de los servicios.  Desde el inicio de sus actividades en septiembre de 2015</w:t>
      </w:r>
      <w:r w:rsidR="00703633">
        <w:rPr>
          <w:rFonts w:eastAsia="Arial"/>
          <w:szCs w:val="22"/>
          <w:lang w:val="es-ES_tradnl"/>
        </w:rPr>
        <w:t xml:space="preserve"> como</w:t>
      </w:r>
      <w:r>
        <w:rPr>
          <w:rFonts w:eastAsia="Arial"/>
          <w:szCs w:val="22"/>
          <w:lang w:val="es-ES_tradnl"/>
        </w:rPr>
        <w:t xml:space="preserve"> Administración encargada de la búsqueda internacional y del examen preliminar internacional</w:t>
      </w:r>
      <w:r w:rsidR="00703633">
        <w:rPr>
          <w:rFonts w:eastAsia="Arial"/>
          <w:szCs w:val="22"/>
          <w:lang w:val="es-ES_tradnl"/>
        </w:rPr>
        <w:t xml:space="preserve"> la IPOS está comprometida</w:t>
      </w:r>
      <w:r>
        <w:rPr>
          <w:rFonts w:eastAsia="Arial"/>
          <w:szCs w:val="22"/>
          <w:lang w:val="es-ES_tradnl"/>
        </w:rPr>
        <w:t xml:space="preserve"> a entregar todos los informes dentro de los plazos establecidos en el Reglamento del PCT, y revisa</w:t>
      </w:r>
      <w:r w:rsidR="00703633">
        <w:rPr>
          <w:rFonts w:eastAsia="Arial"/>
          <w:szCs w:val="22"/>
          <w:lang w:val="es-ES_tradnl"/>
        </w:rPr>
        <w:t xml:space="preserve"> </w:t>
      </w:r>
      <w:r>
        <w:rPr>
          <w:rFonts w:eastAsia="Arial"/>
          <w:szCs w:val="22"/>
          <w:lang w:val="es-ES_tradnl"/>
        </w:rPr>
        <w:t xml:space="preserve">periódicamente </w:t>
      </w:r>
      <w:r w:rsidR="00703633">
        <w:rPr>
          <w:rFonts w:eastAsia="Arial"/>
          <w:szCs w:val="22"/>
          <w:lang w:val="es-ES_tradnl"/>
        </w:rPr>
        <w:t>sus</w:t>
      </w:r>
      <w:r>
        <w:rPr>
          <w:rFonts w:eastAsia="Arial"/>
          <w:szCs w:val="22"/>
          <w:lang w:val="es-ES_tradnl"/>
        </w:rPr>
        <w:t xml:space="preserve"> procesos a efectos de evitar la emisión tardía de los informes.  La IPOS ha mantenido un buen registro de puntualidad desde que comenzó sus actividades.   En 2015, tras haber presentado la totalidad de sus informes de búsqueda internacional dentro del plazo prescrito de 90 días, la IPOS se ubicó en el primer lugar entre todas las Administraciones encargadas de la búsqueda internacional.</w:t>
      </w:r>
    </w:p>
    <w:p w:rsidR="00927A43" w:rsidRDefault="00DA2676" w:rsidP="00927A43">
      <w:pPr>
        <w:pStyle w:val="ONUME"/>
        <w:numPr>
          <w:ilvl w:val="0"/>
          <w:numId w:val="0"/>
        </w:numPr>
      </w:pPr>
      <w:r>
        <w:rPr>
          <w:rFonts w:eastAsia="Arial"/>
          <w:szCs w:val="22"/>
          <w:lang w:val="es-ES_tradnl"/>
        </w:rPr>
        <w:t xml:space="preserve">La IPOS dispone de un sistema de control que </w:t>
      </w:r>
      <w:r w:rsidR="009363EB">
        <w:rPr>
          <w:rFonts w:eastAsia="Arial"/>
          <w:szCs w:val="22"/>
          <w:lang w:val="es-ES_tradnl"/>
        </w:rPr>
        <w:t>informa los</w:t>
      </w:r>
      <w:r>
        <w:rPr>
          <w:rFonts w:eastAsia="Arial"/>
          <w:szCs w:val="22"/>
          <w:lang w:val="es-ES_tradnl"/>
        </w:rPr>
        <w:t xml:space="preserve"> retrasos en los informes emitidos en el marco del PCT.  Se realizan revisiones cada semana para garantizar que todos los informes se emitan dentro del plazo establecido.  Dos semanas antes del vencimiento del plazo de algún caso se envían correos electrónicos o notificaciones a cada uno de los examinadores para recordarles dicho </w:t>
      </w:r>
      <w:r w:rsidR="00DC104C">
        <w:rPr>
          <w:rFonts w:eastAsia="Arial"/>
          <w:szCs w:val="22"/>
          <w:lang w:val="es-ES_tradnl"/>
        </w:rPr>
        <w:t>vencimiento</w:t>
      </w:r>
      <w:r>
        <w:rPr>
          <w:rFonts w:eastAsia="Arial"/>
          <w:szCs w:val="22"/>
          <w:lang w:val="es-ES_tradnl"/>
        </w:rPr>
        <w:t>.</w:t>
      </w:r>
    </w:p>
    <w:p w:rsidR="00927A43" w:rsidRDefault="00A81062" w:rsidP="00A81062">
      <w:pPr>
        <w:pStyle w:val="Heading2"/>
        <w:keepNext w:val="0"/>
      </w:pPr>
      <w:r>
        <w:rPr>
          <w:rFonts w:eastAsia="Arial"/>
          <w:szCs w:val="22"/>
          <w:lang w:val="es-ES_tradnl"/>
        </w:rPr>
        <w:t xml:space="preserve">3.3 </w:t>
      </w:r>
      <w:r>
        <w:rPr>
          <w:rFonts w:eastAsia="Arial"/>
          <w:szCs w:val="22"/>
          <w:lang w:val="es-ES_tradnl"/>
        </w:rPr>
        <w:tab/>
        <w:t>PRAGMATISMO:</w:t>
      </w:r>
    </w:p>
    <w:p w:rsidR="00927A43" w:rsidRDefault="00DA2676" w:rsidP="00927A43">
      <w:pPr>
        <w:pStyle w:val="ONUME"/>
        <w:numPr>
          <w:ilvl w:val="0"/>
          <w:numId w:val="0"/>
        </w:numPr>
      </w:pPr>
      <w:r>
        <w:rPr>
          <w:rFonts w:eastAsia="Arial"/>
          <w:szCs w:val="22"/>
          <w:lang w:val="es-ES_tradnl"/>
        </w:rPr>
        <w:t xml:space="preserve">Como parte de nuestro compromiso de ofrecer servicios de calidad a los solicitantes, la IPOS espera que los examinadores adopten un enfoque pragmático en el que prevalezca el sentido común para ofrecer productos y prestar servicios de la mejor manera posible a los clientes. </w:t>
      </w:r>
    </w:p>
    <w:p w:rsidR="00927A43" w:rsidRDefault="00DA2676" w:rsidP="00927A43">
      <w:pPr>
        <w:pStyle w:val="Heading2"/>
      </w:pPr>
      <w:r>
        <w:rPr>
          <w:rFonts w:eastAsia="Arial"/>
          <w:szCs w:val="22"/>
          <w:lang w:val="es-ES_tradnl"/>
        </w:rPr>
        <w:lastRenderedPageBreak/>
        <w:t xml:space="preserve">3.4 </w:t>
      </w:r>
      <w:r>
        <w:rPr>
          <w:rFonts w:eastAsia="Arial"/>
          <w:szCs w:val="22"/>
          <w:lang w:val="es-ES_tradnl"/>
        </w:rPr>
        <w:tab/>
        <w:t xml:space="preserve">OFICINA PARA EL ESTABLECIMIENTO DE LA ADMINISTRACIÓN INTERNACIONAL  </w:t>
      </w:r>
    </w:p>
    <w:p w:rsidR="00927A43" w:rsidRDefault="00DA2676" w:rsidP="00927A43">
      <w:pPr>
        <w:pStyle w:val="ONUME"/>
        <w:numPr>
          <w:ilvl w:val="0"/>
          <w:numId w:val="0"/>
        </w:numPr>
      </w:pPr>
      <w:r>
        <w:rPr>
          <w:rFonts w:eastAsia="Arial"/>
          <w:szCs w:val="22"/>
          <w:lang w:val="es-ES_tradnl"/>
        </w:rPr>
        <w:t xml:space="preserve">En 2014, la IPOS creó una Oficina para el establecimiento de la Administración internacional (IAIO) como forma de prepararse para su designación en calidad de Administración encargada de la búsqueda internacional y del examen preliminar internacional.  Tras la designación, la IAIO se dedicó a estudiar los procesos de trabajo, elaborar directrices (tanto administrativas como de búsqueda y examen), capacitar a los examinadores en materia de procedimientos, prepararse para aplicar las plantillas del PCT y preparar la infraestructura de T.I. </w:t>
      </w:r>
      <w:r w:rsidR="00130616">
        <w:rPr>
          <w:rFonts w:eastAsia="Arial"/>
          <w:szCs w:val="22"/>
          <w:lang w:val="es-ES_tradnl"/>
        </w:rPr>
        <w:t>de cara a la</w:t>
      </w:r>
      <w:r>
        <w:rPr>
          <w:rFonts w:eastAsia="Arial"/>
          <w:szCs w:val="22"/>
          <w:lang w:val="es-ES_tradnl"/>
        </w:rPr>
        <w:t xml:space="preserve"> aplicación del sistema </w:t>
      </w:r>
      <w:proofErr w:type="spellStart"/>
      <w:r>
        <w:rPr>
          <w:rFonts w:eastAsia="Arial"/>
          <w:szCs w:val="22"/>
          <w:lang w:val="es-ES_tradnl"/>
        </w:rPr>
        <w:t>ePCT</w:t>
      </w:r>
      <w:proofErr w:type="spellEnd"/>
      <w:r>
        <w:rPr>
          <w:rFonts w:eastAsia="Arial"/>
          <w:szCs w:val="22"/>
          <w:lang w:val="es-ES_tradnl"/>
        </w:rPr>
        <w:t>.  Después de iniciar sus actividades como Administración encargada de la búsqueda internacional y del examen preliminar internacional la IAIO sigue buscando racionalizar y actualizar los procesos de trabajo y las directrices conforme a los cambios en los reglamentos y</w:t>
      </w:r>
      <w:r w:rsidR="00130616">
        <w:rPr>
          <w:rFonts w:eastAsia="Arial"/>
          <w:szCs w:val="22"/>
          <w:lang w:val="es-ES_tradnl"/>
        </w:rPr>
        <w:t xml:space="preserve"> las</w:t>
      </w:r>
      <w:r>
        <w:rPr>
          <w:rFonts w:eastAsia="Arial"/>
          <w:szCs w:val="22"/>
          <w:lang w:val="es-ES_tradnl"/>
        </w:rPr>
        <w:t xml:space="preserve"> directrices del PCT.</w:t>
      </w:r>
    </w:p>
    <w:p w:rsidR="00927A43" w:rsidRDefault="00DA2676" w:rsidP="00A81062">
      <w:pPr>
        <w:pStyle w:val="Heading1"/>
        <w:keepNext w:val="0"/>
      </w:pPr>
      <w:r>
        <w:rPr>
          <w:rFonts w:eastAsia="Arial"/>
          <w:szCs w:val="22"/>
          <w:lang w:val="es-ES_tradnl"/>
        </w:rPr>
        <w:t>4.</w:t>
      </w:r>
      <w:r>
        <w:rPr>
          <w:rFonts w:eastAsia="Arial"/>
          <w:szCs w:val="22"/>
          <w:lang w:val="es-ES_tradnl"/>
        </w:rPr>
        <w:tab/>
        <w:t>ÁMBITO DE APLICACIÓN</w:t>
      </w:r>
    </w:p>
    <w:p w:rsidR="00927A43" w:rsidRDefault="00DA2676" w:rsidP="00927A43">
      <w:pPr>
        <w:pStyle w:val="ONUME"/>
        <w:numPr>
          <w:ilvl w:val="0"/>
          <w:numId w:val="0"/>
        </w:numPr>
      </w:pPr>
      <w:r>
        <w:rPr>
          <w:rFonts w:eastAsia="Arial"/>
          <w:szCs w:val="22"/>
          <w:lang w:val="es-ES_tradnl"/>
        </w:rPr>
        <w:t>Los idiomas aceptados por la IPOS en calidad de ISA, IPEA y SISA son el inglés y el chino.</w:t>
      </w:r>
    </w:p>
    <w:p w:rsidR="00927A43" w:rsidRDefault="00DA2676" w:rsidP="00927A43">
      <w:pPr>
        <w:pStyle w:val="ONUME"/>
        <w:numPr>
          <w:ilvl w:val="0"/>
          <w:numId w:val="0"/>
        </w:numPr>
      </w:pPr>
      <w:r>
        <w:rPr>
          <w:rFonts w:eastAsia="Arial"/>
          <w:szCs w:val="22"/>
          <w:lang w:val="es-ES_tradnl"/>
        </w:rPr>
        <w:t xml:space="preserve">Las siguientes Oficinas receptoras </w:t>
      </w:r>
      <w:r w:rsidR="009363EB">
        <w:rPr>
          <w:rFonts w:eastAsia="Arial"/>
          <w:szCs w:val="22"/>
          <w:lang w:val="es-ES_tradnl"/>
        </w:rPr>
        <w:t>han</w:t>
      </w:r>
      <w:r>
        <w:rPr>
          <w:rFonts w:eastAsia="Arial"/>
          <w:szCs w:val="22"/>
          <w:lang w:val="es-ES_tradnl"/>
        </w:rPr>
        <w:t xml:space="preserve"> reconocido a la IPOS como su ISA/IPEA competente: </w:t>
      </w:r>
    </w:p>
    <w:p w:rsidR="00927A43" w:rsidRDefault="00DA2676" w:rsidP="00927A43">
      <w:pPr>
        <w:pStyle w:val="ONUME"/>
        <w:numPr>
          <w:ilvl w:val="0"/>
          <w:numId w:val="0"/>
        </w:numPr>
        <w:ind w:left="567"/>
      </w:pPr>
      <w:r>
        <w:rPr>
          <w:rFonts w:eastAsia="Arial"/>
          <w:szCs w:val="22"/>
          <w:lang w:val="es-ES_tradnl"/>
        </w:rPr>
        <w:t>1)</w:t>
      </w:r>
      <w:r>
        <w:rPr>
          <w:rFonts w:eastAsia="Arial"/>
          <w:szCs w:val="22"/>
          <w:lang w:val="es-ES_tradnl"/>
        </w:rPr>
        <w:tab/>
        <w:t>Camboya</w:t>
      </w:r>
      <w:proofErr w:type="gramStart"/>
      <w:r>
        <w:rPr>
          <w:rFonts w:eastAsia="Arial"/>
          <w:szCs w:val="22"/>
          <w:lang w:val="es-ES_tradnl"/>
        </w:rPr>
        <w:t>:  Departamento</w:t>
      </w:r>
      <w:proofErr w:type="gramEnd"/>
      <w:r>
        <w:rPr>
          <w:rFonts w:eastAsia="Arial"/>
          <w:szCs w:val="22"/>
          <w:lang w:val="es-ES_tradnl"/>
        </w:rPr>
        <w:t xml:space="preserve"> de Propiedad Industrial de Camboya</w:t>
      </w:r>
    </w:p>
    <w:p w:rsidR="00927A43" w:rsidRDefault="00DA2676" w:rsidP="00927A43">
      <w:pPr>
        <w:pStyle w:val="ONUME"/>
        <w:numPr>
          <w:ilvl w:val="0"/>
          <w:numId w:val="0"/>
        </w:numPr>
        <w:ind w:left="567"/>
      </w:pPr>
      <w:r>
        <w:rPr>
          <w:rFonts w:eastAsia="Arial"/>
          <w:szCs w:val="22"/>
          <w:lang w:val="es-ES_tradnl"/>
        </w:rPr>
        <w:t>2)</w:t>
      </w:r>
      <w:r>
        <w:rPr>
          <w:rFonts w:eastAsia="Arial"/>
          <w:szCs w:val="22"/>
          <w:lang w:val="es-ES_tradnl"/>
        </w:rPr>
        <w:tab/>
        <w:t>Indonesia</w:t>
      </w:r>
      <w:proofErr w:type="gramStart"/>
      <w:r>
        <w:rPr>
          <w:rFonts w:eastAsia="Arial"/>
          <w:szCs w:val="22"/>
          <w:lang w:val="es-ES_tradnl"/>
        </w:rPr>
        <w:t>:  Dirección</w:t>
      </w:r>
      <w:proofErr w:type="gramEnd"/>
      <w:r>
        <w:rPr>
          <w:rFonts w:eastAsia="Arial"/>
          <w:szCs w:val="22"/>
          <w:lang w:val="es-ES_tradnl"/>
        </w:rPr>
        <w:t xml:space="preserve"> General de Derechos de Propiedad Intelectual (Indonesia)</w:t>
      </w:r>
    </w:p>
    <w:p w:rsidR="00927A43" w:rsidRDefault="00DA2676" w:rsidP="00927A43">
      <w:pPr>
        <w:pStyle w:val="ONUME"/>
        <w:numPr>
          <w:ilvl w:val="0"/>
          <w:numId w:val="0"/>
        </w:numPr>
        <w:ind w:left="567"/>
      </w:pPr>
      <w:r>
        <w:rPr>
          <w:rFonts w:eastAsia="Arial"/>
          <w:szCs w:val="22"/>
          <w:lang w:val="es-ES_tradnl"/>
        </w:rPr>
        <w:t>3)</w:t>
      </w:r>
      <w:r>
        <w:rPr>
          <w:rFonts w:eastAsia="Arial"/>
          <w:szCs w:val="22"/>
          <w:lang w:val="es-ES_tradnl"/>
        </w:rPr>
        <w:tab/>
        <w:t>Japón</w:t>
      </w:r>
      <w:proofErr w:type="gramStart"/>
      <w:r>
        <w:rPr>
          <w:rFonts w:eastAsia="Arial"/>
          <w:szCs w:val="22"/>
          <w:lang w:val="es-ES_tradnl"/>
        </w:rPr>
        <w:t>:  Oficina</w:t>
      </w:r>
      <w:proofErr w:type="gramEnd"/>
      <w:r>
        <w:rPr>
          <w:rFonts w:eastAsia="Arial"/>
          <w:szCs w:val="22"/>
          <w:lang w:val="es-ES_tradnl"/>
        </w:rPr>
        <w:t xml:space="preserve"> Japonesa de Patentes </w:t>
      </w:r>
    </w:p>
    <w:p w:rsidR="00927A43" w:rsidRDefault="00DA2676" w:rsidP="00927A43">
      <w:pPr>
        <w:pStyle w:val="ONUME"/>
        <w:numPr>
          <w:ilvl w:val="0"/>
          <w:numId w:val="0"/>
        </w:numPr>
        <w:ind w:left="567"/>
      </w:pPr>
      <w:r>
        <w:rPr>
          <w:rFonts w:eastAsia="Arial"/>
          <w:szCs w:val="22"/>
          <w:lang w:val="es-ES_tradnl"/>
        </w:rPr>
        <w:t>4)</w:t>
      </w:r>
      <w:r>
        <w:rPr>
          <w:rFonts w:eastAsia="Arial"/>
          <w:szCs w:val="22"/>
          <w:lang w:val="es-ES_tradnl"/>
        </w:rPr>
        <w:tab/>
        <w:t>México</w:t>
      </w:r>
      <w:proofErr w:type="gramStart"/>
      <w:r>
        <w:rPr>
          <w:rFonts w:eastAsia="Arial"/>
          <w:szCs w:val="22"/>
          <w:lang w:val="es-ES_tradnl"/>
        </w:rPr>
        <w:t>:  Instituto</w:t>
      </w:r>
      <w:proofErr w:type="gramEnd"/>
      <w:r>
        <w:rPr>
          <w:rFonts w:eastAsia="Arial"/>
          <w:szCs w:val="22"/>
          <w:lang w:val="es-ES_tradnl"/>
        </w:rPr>
        <w:t xml:space="preserve"> Mexicano de la Propiedad Industrial </w:t>
      </w:r>
    </w:p>
    <w:p w:rsidR="00927A43" w:rsidRDefault="00DA2676" w:rsidP="009D245F">
      <w:pPr>
        <w:pStyle w:val="ONUME"/>
        <w:numPr>
          <w:ilvl w:val="0"/>
          <w:numId w:val="0"/>
        </w:numPr>
        <w:ind w:left="1134" w:hanging="567"/>
      </w:pPr>
      <w:r>
        <w:rPr>
          <w:rFonts w:eastAsia="Arial"/>
          <w:szCs w:val="22"/>
          <w:lang w:val="es-ES_tradnl"/>
        </w:rPr>
        <w:t>5)</w:t>
      </w:r>
      <w:r>
        <w:rPr>
          <w:rFonts w:eastAsia="Arial"/>
          <w:szCs w:val="22"/>
          <w:lang w:val="es-ES_tradnl"/>
        </w:rPr>
        <w:tab/>
        <w:t xml:space="preserve">Estados Unidos de América: Oficina de Patentes y Marcas de los Estados Unidos de América </w:t>
      </w:r>
    </w:p>
    <w:p w:rsidR="00927A43" w:rsidRDefault="00DA2676" w:rsidP="00927A43">
      <w:pPr>
        <w:pStyle w:val="ONUME"/>
        <w:numPr>
          <w:ilvl w:val="0"/>
          <w:numId w:val="0"/>
        </w:numPr>
        <w:ind w:left="567"/>
      </w:pPr>
      <w:r>
        <w:rPr>
          <w:rFonts w:eastAsia="Arial"/>
          <w:szCs w:val="22"/>
          <w:lang w:val="es-ES_tradnl"/>
        </w:rPr>
        <w:t>6)</w:t>
      </w:r>
      <w:r>
        <w:rPr>
          <w:rFonts w:eastAsia="Arial"/>
          <w:szCs w:val="22"/>
          <w:lang w:val="es-ES_tradnl"/>
        </w:rPr>
        <w:tab/>
      </w:r>
      <w:proofErr w:type="spellStart"/>
      <w:r>
        <w:rPr>
          <w:rFonts w:eastAsia="Arial"/>
          <w:szCs w:val="22"/>
          <w:lang w:val="es-ES_tradnl"/>
        </w:rPr>
        <w:t>Viet</w:t>
      </w:r>
      <w:proofErr w:type="spellEnd"/>
      <w:r>
        <w:rPr>
          <w:rFonts w:eastAsia="Arial"/>
          <w:szCs w:val="22"/>
          <w:lang w:val="es-ES_tradnl"/>
        </w:rPr>
        <w:t xml:space="preserve"> </w:t>
      </w:r>
      <w:proofErr w:type="spellStart"/>
      <w:r>
        <w:rPr>
          <w:rFonts w:eastAsia="Arial"/>
          <w:szCs w:val="22"/>
          <w:lang w:val="es-ES_tradnl"/>
        </w:rPr>
        <w:t>Nam</w:t>
      </w:r>
      <w:proofErr w:type="spellEnd"/>
      <w:r>
        <w:rPr>
          <w:rFonts w:eastAsia="Arial"/>
          <w:szCs w:val="22"/>
          <w:lang w:val="es-ES_tradnl"/>
        </w:rPr>
        <w:t xml:space="preserve">: Oficina Nacional de Propiedad Intelectual de </w:t>
      </w:r>
      <w:proofErr w:type="spellStart"/>
      <w:r>
        <w:rPr>
          <w:rFonts w:eastAsia="Arial"/>
          <w:szCs w:val="22"/>
          <w:lang w:val="es-ES_tradnl"/>
        </w:rPr>
        <w:t>Viet</w:t>
      </w:r>
      <w:proofErr w:type="spellEnd"/>
      <w:r>
        <w:rPr>
          <w:rFonts w:eastAsia="Arial"/>
          <w:szCs w:val="22"/>
          <w:lang w:val="es-ES_tradnl"/>
        </w:rPr>
        <w:t xml:space="preserve"> </w:t>
      </w:r>
      <w:proofErr w:type="spellStart"/>
      <w:r>
        <w:rPr>
          <w:rFonts w:eastAsia="Arial"/>
          <w:szCs w:val="22"/>
          <w:lang w:val="es-ES_tradnl"/>
        </w:rPr>
        <w:t>Nam</w:t>
      </w:r>
      <w:proofErr w:type="spellEnd"/>
    </w:p>
    <w:p w:rsidR="00927A43" w:rsidRDefault="00DA2676" w:rsidP="00A81062">
      <w:pPr>
        <w:pStyle w:val="Heading1"/>
        <w:keepNext w:val="0"/>
      </w:pPr>
      <w:r>
        <w:rPr>
          <w:rFonts w:eastAsia="Arial"/>
          <w:szCs w:val="22"/>
          <w:lang w:val="es-ES_tradnl"/>
        </w:rPr>
        <w:t>5.</w:t>
      </w:r>
      <w:r>
        <w:rPr>
          <w:rFonts w:eastAsia="Arial"/>
          <w:szCs w:val="22"/>
          <w:lang w:val="es-ES_tradnl"/>
        </w:rPr>
        <w:tab/>
        <w:t>ESTRATEGIAS NACIONALES DE INNOVACIÓN Y DECLARACIÓN DE MOTIV</w:t>
      </w:r>
      <w:r w:rsidR="00FF2F99">
        <w:rPr>
          <w:rFonts w:eastAsia="Arial"/>
          <w:szCs w:val="22"/>
          <w:lang w:val="es-ES_tradnl"/>
        </w:rPr>
        <w:t>OS</w:t>
      </w:r>
    </w:p>
    <w:p w:rsidR="00927A43" w:rsidRDefault="001C73AF" w:rsidP="00927A43">
      <w:pPr>
        <w:pStyle w:val="ONUME"/>
        <w:numPr>
          <w:ilvl w:val="0"/>
          <w:numId w:val="0"/>
        </w:numPr>
      </w:pPr>
      <w:r>
        <w:rPr>
          <w:rFonts w:eastAsia="Arial"/>
          <w:szCs w:val="22"/>
          <w:lang w:val="es-ES_tradnl"/>
        </w:rPr>
        <w:t>En Singapur, l</w:t>
      </w:r>
      <w:r w:rsidR="00DA2676" w:rsidRPr="001C73AF">
        <w:rPr>
          <w:rFonts w:eastAsia="Arial"/>
          <w:szCs w:val="22"/>
          <w:lang w:val="es-ES_tradnl"/>
        </w:rPr>
        <w:t>a innovación comenzó a ganar terreno a</w:t>
      </w:r>
      <w:r w:rsidR="00045646">
        <w:rPr>
          <w:rFonts w:eastAsia="Arial"/>
          <w:szCs w:val="22"/>
          <w:lang w:val="es-ES_tradnl"/>
        </w:rPr>
        <w:t xml:space="preserve"> comienzos de la década de 1990, lo que </w:t>
      </w:r>
      <w:r>
        <w:rPr>
          <w:rFonts w:eastAsia="Arial"/>
          <w:szCs w:val="22"/>
          <w:lang w:val="es-ES_tradnl"/>
        </w:rPr>
        <w:t>constituyó</w:t>
      </w:r>
      <w:r w:rsidR="00DA2676" w:rsidRPr="001C73AF">
        <w:rPr>
          <w:rFonts w:eastAsia="Arial"/>
          <w:szCs w:val="22"/>
          <w:lang w:val="es-ES_tradnl"/>
        </w:rPr>
        <w:t xml:space="preserve"> </w:t>
      </w:r>
      <w:r w:rsidR="003C3F3B">
        <w:rPr>
          <w:rFonts w:eastAsia="Arial"/>
          <w:szCs w:val="22"/>
          <w:lang w:val="es-ES_tradnl"/>
        </w:rPr>
        <w:t>los cimientos</w:t>
      </w:r>
      <w:r>
        <w:rPr>
          <w:rFonts w:eastAsia="Arial"/>
          <w:szCs w:val="22"/>
          <w:lang w:val="es-ES_tradnl"/>
        </w:rPr>
        <w:t xml:space="preserve"> de</w:t>
      </w:r>
      <w:r w:rsidR="00883C96" w:rsidRPr="001C73AF">
        <w:rPr>
          <w:rFonts w:eastAsia="Arial"/>
          <w:szCs w:val="22"/>
          <w:lang w:val="es-ES_tradnl"/>
        </w:rPr>
        <w:t xml:space="preserve"> </w:t>
      </w:r>
      <w:r w:rsidR="00DA2676" w:rsidRPr="001C73AF">
        <w:rPr>
          <w:rFonts w:eastAsia="Arial"/>
          <w:szCs w:val="22"/>
          <w:lang w:val="es-ES_tradnl"/>
        </w:rPr>
        <w:t>nuestro sector de investigación y desarrollo</w:t>
      </w:r>
      <w:r w:rsidR="00DA2676">
        <w:rPr>
          <w:rFonts w:eastAsia="Arial"/>
          <w:szCs w:val="22"/>
          <w:lang w:val="es-ES_tradnl"/>
        </w:rPr>
        <w:t xml:space="preserve"> (I+D).  Singapur tiene una población de 7.807 personas por kilómetro cuadrado y existen más de 190.000 empresas allí instaladas, desde pequeñas y medianas empresas hasta grandes corporaciones multinacionales que desarrollan activamente sus actividade</w:t>
      </w:r>
      <w:r w:rsidR="00A81062">
        <w:rPr>
          <w:rFonts w:eastAsia="Arial"/>
          <w:szCs w:val="22"/>
          <w:lang w:val="es-ES_tradnl"/>
        </w:rPr>
        <w:t>s de innovación en el país.  En </w:t>
      </w:r>
      <w:r w:rsidR="00DA2676">
        <w:rPr>
          <w:rFonts w:eastAsia="Arial"/>
          <w:szCs w:val="22"/>
          <w:lang w:val="es-ES_tradnl"/>
        </w:rPr>
        <w:t>2015, el Producto Interno Bruto (PIB) de Singapur era de 294,74 mil millones de dólares estadounidenses (equivalente a 402,50 mil millones de dólares de Singapur), lo que representa un 0,47% de la economía mundial.  Esto se traduce en un PIB per cápita de 85.382,30 dólares de Singapur.  En 2014, el gasto en I+D representaba el 2,2% del PIB, lo que equivale a 8</w:t>
      </w:r>
      <w:r w:rsidR="00883C96">
        <w:rPr>
          <w:rFonts w:eastAsia="Arial"/>
          <w:szCs w:val="22"/>
          <w:lang w:val="es-ES_tradnl"/>
        </w:rPr>
        <w:t>.</w:t>
      </w:r>
      <w:r w:rsidR="00DA2676">
        <w:rPr>
          <w:rFonts w:eastAsia="Arial"/>
          <w:szCs w:val="22"/>
          <w:lang w:val="es-ES_tradnl"/>
        </w:rPr>
        <w:t xml:space="preserve">500 millones de dólares de Singapur.  Como lo demuestran los 42.100 nuevos puestos de trabajo </w:t>
      </w:r>
      <w:r w:rsidR="00883C96">
        <w:rPr>
          <w:rFonts w:eastAsia="Arial"/>
          <w:szCs w:val="22"/>
          <w:lang w:val="es-ES_tradnl"/>
        </w:rPr>
        <w:t>creados</w:t>
      </w:r>
      <w:r w:rsidR="00DA2676">
        <w:rPr>
          <w:rFonts w:eastAsia="Arial"/>
          <w:szCs w:val="22"/>
          <w:lang w:val="es-ES_tradnl"/>
        </w:rPr>
        <w:t xml:space="preserve"> en 2014 en el sector de I+D, las inversiones en I+D han </w:t>
      </w:r>
      <w:r w:rsidR="00883C96">
        <w:rPr>
          <w:rFonts w:eastAsia="Arial"/>
          <w:szCs w:val="22"/>
          <w:lang w:val="es-ES_tradnl"/>
        </w:rPr>
        <w:t>generado</w:t>
      </w:r>
      <w:r w:rsidR="00DA2676">
        <w:rPr>
          <w:rFonts w:eastAsia="Arial"/>
          <w:szCs w:val="22"/>
          <w:lang w:val="es-ES_tradnl"/>
        </w:rPr>
        <w:t xml:space="preserve"> empleo calificado en Singapur.  Ello incluye a científicos e ingenieros investigadores, investigadores sin título universitario, técnicos y personal administrativo.  En 2016, Singapur lanzó el Plan RIE 2020, un plan a cinco años por el cual se invertirán 19.000 millones de dólares de Singapur en investigación, innovación y empresas para financiar nuestras actividades de I+D.  Ello supone un incremento de 3.000 millones de dólares de Singapur, en comparación con el Plan RIE 2015 lanzado en 2011.  El Plan RIE 2020 busca fomentar la innovación y el reconocimiento de la tecnología en las empresas, además de impulsar el crecimiento económico mediante la creación de valor.  Fuertemente orientado hacia la I+D, Singapur se encuentra bien posicionado para apoyar nuestro sistema de propiedad intelectual.</w:t>
      </w:r>
    </w:p>
    <w:p w:rsidR="00927A43" w:rsidRDefault="00DA2676" w:rsidP="00927A43">
      <w:pPr>
        <w:pStyle w:val="ONUME"/>
        <w:numPr>
          <w:ilvl w:val="0"/>
          <w:numId w:val="0"/>
        </w:numPr>
      </w:pPr>
      <w:r>
        <w:rPr>
          <w:rFonts w:eastAsia="Arial"/>
          <w:szCs w:val="22"/>
          <w:lang w:val="es-ES_tradnl"/>
        </w:rPr>
        <w:t>El Gobierno de Singapur ha publicado recientemente el informe d</w:t>
      </w:r>
      <w:r w:rsidR="003F46EA">
        <w:rPr>
          <w:rFonts w:eastAsia="Arial"/>
          <w:szCs w:val="22"/>
          <w:lang w:val="es-ES_tradnl"/>
        </w:rPr>
        <w:t>el Comité de la Economía Futura</w:t>
      </w:r>
      <w:r>
        <w:rPr>
          <w:rFonts w:eastAsia="Arial"/>
          <w:szCs w:val="22"/>
          <w:lang w:val="es-ES_tradnl"/>
        </w:rPr>
        <w:t xml:space="preserve"> en el que se destacan varias recomendaciones </w:t>
      </w:r>
      <w:r w:rsidR="002056CC">
        <w:rPr>
          <w:rFonts w:eastAsia="Arial"/>
          <w:szCs w:val="22"/>
          <w:lang w:val="es-ES_tradnl"/>
        </w:rPr>
        <w:t>tendientes a</w:t>
      </w:r>
      <w:r>
        <w:rPr>
          <w:rFonts w:eastAsia="Arial"/>
          <w:szCs w:val="22"/>
          <w:lang w:val="es-ES_tradnl"/>
        </w:rPr>
        <w:t xml:space="preserve"> uniformizar el protocolo de P.I. </w:t>
      </w:r>
      <w:r w:rsidR="002056CC">
        <w:rPr>
          <w:rFonts w:eastAsia="Arial"/>
          <w:szCs w:val="22"/>
          <w:lang w:val="es-ES_tradnl"/>
        </w:rPr>
        <w:t xml:space="preserve">y </w:t>
      </w:r>
      <w:r>
        <w:rPr>
          <w:rFonts w:eastAsia="Arial"/>
          <w:szCs w:val="22"/>
          <w:lang w:val="es-ES_tradnl"/>
        </w:rPr>
        <w:t>simplificar</w:t>
      </w:r>
      <w:r w:rsidR="002056CC">
        <w:rPr>
          <w:rFonts w:eastAsia="Arial"/>
          <w:szCs w:val="22"/>
          <w:lang w:val="es-ES_tradnl"/>
        </w:rPr>
        <w:t xml:space="preserve"> así</w:t>
      </w:r>
      <w:r>
        <w:rPr>
          <w:rFonts w:eastAsia="Arial"/>
          <w:szCs w:val="22"/>
          <w:lang w:val="es-ES_tradnl"/>
        </w:rPr>
        <w:t xml:space="preserve"> el proceso de comercialización de I+D.  Esto demuestra los esfuerzos del país por generar una mayor conciencia acerca de la P.I. y de la función fundamental que </w:t>
      </w:r>
      <w:r w:rsidR="002056CC">
        <w:rPr>
          <w:rFonts w:eastAsia="Arial"/>
          <w:szCs w:val="22"/>
          <w:lang w:val="es-ES_tradnl"/>
        </w:rPr>
        <w:t xml:space="preserve">esta </w:t>
      </w:r>
      <w:r>
        <w:rPr>
          <w:rFonts w:eastAsia="Arial"/>
          <w:szCs w:val="22"/>
          <w:lang w:val="es-ES_tradnl"/>
        </w:rPr>
        <w:lastRenderedPageBreak/>
        <w:t>desempeña como soporte de la innovación, que constituye el futuro motor de crecimiento de Singapur.  En el plan presupuestario para el ejercicio 2017 también se hizo hincapié en las medidas destinadas a mejorar el acceso a la P.I., en las cuales la IPOS y la Intermediaria de Propiedad Intelectual aunarán esfuerzos para analizar y agrupar P.I. complementaria de Singapur y de países extranjeros.  En</w:t>
      </w:r>
      <w:r w:rsidR="00DD39F6">
        <w:rPr>
          <w:rFonts w:eastAsia="Arial"/>
          <w:szCs w:val="22"/>
          <w:lang w:val="es-ES_tradnl"/>
        </w:rPr>
        <w:t xml:space="preserve"> aras de fomentar la innovación</w:t>
      </w:r>
      <w:r>
        <w:rPr>
          <w:rFonts w:eastAsia="Arial"/>
          <w:szCs w:val="22"/>
          <w:lang w:val="es-ES_tradnl"/>
        </w:rPr>
        <w:t xml:space="preserve"> se han creado además incentivos de desarrollo de P.I., con énfasis en la comercialización.  Este </w:t>
      </w:r>
      <w:r w:rsidR="00DD39F6">
        <w:rPr>
          <w:rFonts w:eastAsia="Arial"/>
          <w:szCs w:val="22"/>
          <w:lang w:val="es-ES_tradnl"/>
        </w:rPr>
        <w:t>impulso a la</w:t>
      </w:r>
      <w:r>
        <w:rPr>
          <w:rFonts w:eastAsia="Arial"/>
          <w:szCs w:val="22"/>
          <w:lang w:val="es-ES_tradnl"/>
        </w:rPr>
        <w:t xml:space="preserve"> innovación ha sustentado el crecimiento continuo de la actividad de concesión de patentes, incluida la del PCT, puesto que un gran número de solicitudes proviene de universidades y de instituciones gubernamentales y de investigación, las cuales representaban aproximadamente el 30% en 2015.</w:t>
      </w:r>
    </w:p>
    <w:p w:rsidR="00927A43" w:rsidRDefault="00DA2676" w:rsidP="00927A43">
      <w:pPr>
        <w:pStyle w:val="ONUME"/>
        <w:numPr>
          <w:ilvl w:val="0"/>
          <w:numId w:val="0"/>
        </w:numPr>
      </w:pPr>
      <w:r>
        <w:rPr>
          <w:rFonts w:eastAsia="Arial"/>
          <w:szCs w:val="22"/>
          <w:lang w:val="es-ES_tradnl"/>
        </w:rPr>
        <w:t xml:space="preserve">Singapur es un Estado contratante del PCT desde 1995 y la IPOS actúa en calidad de Oficina receptora del PCT en Singapur.  La IPOS está familiarizada con la labor del PCT y tramita un volumen considerable de solicitudes PCT.  Según las últimas estadísticas del PCT publicadas por la OMPI, en 2014 Singapur ocupaba el duodécimo lugar en cuanto al número de entradas en la fase nacional del PCT, y en 2015 se encontraba entre los primeros 20 países en cuanto al número de solicitudes PCT tramitadas en calidad de Oficina receptora.  Asimismo, Singapur se encuentra entre las </w:t>
      </w:r>
      <w:r w:rsidR="00405815">
        <w:rPr>
          <w:rFonts w:eastAsia="Arial"/>
          <w:szCs w:val="22"/>
          <w:lang w:val="es-ES_tradnl"/>
        </w:rPr>
        <w:t>diez</w:t>
      </w:r>
      <w:r>
        <w:rPr>
          <w:rFonts w:eastAsia="Arial"/>
          <w:szCs w:val="22"/>
          <w:lang w:val="es-ES_tradnl"/>
        </w:rPr>
        <w:t xml:space="preserve"> primeras Oficinas receptoras en lo que respecta al tiempo empleado para transmitir las solicitudes PCT a la Oficina Internacional y a las Administraciones encargadas de la búsqueda internacional.  Singapur comenzó a actuar en calidad de Administración encargada de la búsqueda internacional y del examen preliminar internacional el 1 de septiembre de 2015 y desde entonces ha emitido más de 400 informes de búsqueda internacional.  Como se desprende de las últimas estadísticas del PCT publicadas por la OMPI, en 2015 Singapur se ubicaba primero en cuanto a la puntualidad para transmitir los informes de búsqueda internacional a la Oficina Internacional, y se prevé que se ubicará entre los primeros </w:t>
      </w:r>
      <w:r w:rsidR="00405815">
        <w:rPr>
          <w:rFonts w:eastAsia="Arial"/>
          <w:szCs w:val="22"/>
          <w:lang w:val="es-ES_tradnl"/>
        </w:rPr>
        <w:t xml:space="preserve">tres </w:t>
      </w:r>
      <w:r>
        <w:rPr>
          <w:rFonts w:eastAsia="Arial"/>
          <w:szCs w:val="22"/>
          <w:lang w:val="es-ES_tradnl"/>
        </w:rPr>
        <w:t xml:space="preserve">en 2016.  Gracias a su labor destinada a crear una capacidad </w:t>
      </w:r>
      <w:r w:rsidR="009363EB">
        <w:rPr>
          <w:rFonts w:eastAsia="Arial"/>
          <w:szCs w:val="22"/>
          <w:lang w:val="es-ES_tradnl"/>
        </w:rPr>
        <w:t xml:space="preserve">sólida en materia </w:t>
      </w:r>
      <w:r>
        <w:rPr>
          <w:rFonts w:eastAsia="Arial"/>
          <w:szCs w:val="22"/>
          <w:lang w:val="es-ES_tradnl"/>
        </w:rPr>
        <w:t>d</w:t>
      </w:r>
      <w:r w:rsidR="009363EB">
        <w:rPr>
          <w:rFonts w:eastAsia="Arial"/>
          <w:szCs w:val="22"/>
          <w:lang w:val="es-ES_tradnl"/>
        </w:rPr>
        <w:t>e búsqueda y examen de patentes</w:t>
      </w:r>
      <w:r>
        <w:rPr>
          <w:rFonts w:eastAsia="Arial"/>
          <w:szCs w:val="22"/>
          <w:lang w:val="es-ES_tradnl"/>
        </w:rPr>
        <w:t>, la IPOS confía en que podrá mantener un papel activo en el Sistema del PCT como Administración encargada de la búsqueda internacional y del examen preliminar internacional.</w:t>
      </w:r>
    </w:p>
    <w:p w:rsidR="00927A43" w:rsidRDefault="00DA2676" w:rsidP="00927A43">
      <w:pPr>
        <w:pStyle w:val="ONUME"/>
        <w:numPr>
          <w:ilvl w:val="0"/>
          <w:numId w:val="0"/>
        </w:numPr>
      </w:pPr>
      <w:r>
        <w:rPr>
          <w:rFonts w:eastAsia="Arial"/>
          <w:szCs w:val="22"/>
          <w:lang w:val="es-ES_tradnl"/>
        </w:rPr>
        <w:t xml:space="preserve">Además de </w:t>
      </w:r>
      <w:r w:rsidR="000C08D7">
        <w:rPr>
          <w:rFonts w:eastAsia="Arial"/>
          <w:szCs w:val="22"/>
          <w:lang w:val="es-ES_tradnl"/>
        </w:rPr>
        <w:t>su</w:t>
      </w:r>
      <w:r>
        <w:rPr>
          <w:rFonts w:eastAsia="Arial"/>
          <w:szCs w:val="22"/>
          <w:lang w:val="es-ES_tradnl"/>
        </w:rPr>
        <w:t xml:space="preserve"> familiaridad con el sistema del PCT, la IPOS, en calidad de Administración encargada de la búsqueda internacional y del examen preliminar internacional, sería capaz de responder al crecimiento constante y sostenido de la demanda de servicios de búsqueda internacional y de examen preliminar internacional en el marco del PCT, particularmente en Asia Sudoriental.  Durante los últimos cinco años ha habido un incremento ininterrumpido del número de solicitudes PCT y en 2015 se alcanzó un nuevo registro histórico de 218.000 solicitudes PCT.  El 2 de febrero de 2017 marcó un nuevo hito en la historia del PCT tras publicarse la solicitud número tres millones en un tiempo récord.  En gran medida, este hecho estuvo impulsado por Asia, cuyas solicitudes representaron un 43,5% de todas las solicitudes PCT presentadas en 2015.  De las seis principales regiones geográficas del mundo, Asia registra el mayor incremento en cuanto al número de solicitudes (registró un aumento del 9% en 2015).  </w:t>
      </w:r>
      <w:r w:rsidR="000C08D7">
        <w:rPr>
          <w:rFonts w:eastAsia="Arial"/>
          <w:szCs w:val="22"/>
          <w:lang w:val="es-ES_tradnl"/>
        </w:rPr>
        <w:t>Se prevé que la</w:t>
      </w:r>
      <w:r>
        <w:rPr>
          <w:rFonts w:eastAsia="Arial"/>
          <w:szCs w:val="22"/>
          <w:lang w:val="es-ES_tradnl"/>
        </w:rPr>
        <w:t xml:space="preserve"> conformación de la comunidad económica de países de la ASEAN en 2015, que marcó un hito trascendental en la integración económica regional, continúe impulsando el crecimiento económico regional y, por ende, genere un aumento de la actividad de concesión de patentes en la región.  Por lo tanto, </w:t>
      </w:r>
      <w:r w:rsidR="000C08D7">
        <w:rPr>
          <w:rFonts w:eastAsia="Arial"/>
          <w:szCs w:val="22"/>
          <w:lang w:val="es-ES_tradnl"/>
        </w:rPr>
        <w:t>es de esperar</w:t>
      </w:r>
      <w:r>
        <w:rPr>
          <w:rFonts w:eastAsia="Arial"/>
          <w:szCs w:val="22"/>
          <w:lang w:val="es-ES_tradnl"/>
        </w:rPr>
        <w:t xml:space="preserve"> que el fuerte crecimiento de las solicitudes PCT provenientes de la ASEAN y de Singapur continúe.  A medida que la actividad del PCT siga creciendo con fuerza, la IPOS en calidad de Administración encargada de la búsqueda internacional y del examen preliminar internacional seguirá dando su apoyo a la región asiática, en particular a la ASEAN, no solo prestando servicios de búsqueda y examen de patentes, sino también prosiguiendo su labor con miras a incrementar el conocimiento y el uso del sistema del PCT.</w:t>
      </w:r>
    </w:p>
    <w:p w:rsidR="00927A43" w:rsidRDefault="00DA2676" w:rsidP="00927A43">
      <w:pPr>
        <w:pStyle w:val="ONUME"/>
        <w:keepLines/>
        <w:numPr>
          <w:ilvl w:val="0"/>
          <w:numId w:val="0"/>
        </w:numPr>
      </w:pPr>
      <w:r>
        <w:rPr>
          <w:rFonts w:eastAsia="Arial"/>
          <w:szCs w:val="22"/>
          <w:lang w:val="es-ES_tradnl"/>
        </w:rPr>
        <w:lastRenderedPageBreak/>
        <w:t>Además, la función de Administración encargada de la búsqueda internacional y del examen preliminar internacional también fomentará sinergias con nuestra labor en la región de la ASEAN que permitirán reducir la carga de trabajo e incrementar la calidad y la eficiencia de la búsqueda y del examen de patentes.  En particular, esta función complementará nuestras responsabilidades a nivel regional en virtud del programa ASPEC, aumentará la colaboración y creará una comunidad de práctica destinada a los examinadores de patentes.</w:t>
      </w:r>
    </w:p>
    <w:p w:rsidR="00927A43" w:rsidRDefault="00DA2676" w:rsidP="00CC379A">
      <w:pPr>
        <w:pStyle w:val="Heading3"/>
        <w:keepNext w:val="0"/>
      </w:pPr>
      <w:r>
        <w:rPr>
          <w:rFonts w:eastAsia="Arial"/>
          <w:szCs w:val="22"/>
          <w:lang w:val="es-ES_tradnl"/>
        </w:rPr>
        <w:t>Mapa en el que se indican los Estados vecinos</w:t>
      </w:r>
    </w:p>
    <w:p w:rsidR="00927A43" w:rsidRPr="00FF68B7" w:rsidRDefault="009462CE" w:rsidP="00927A43">
      <w:r>
        <w:rPr>
          <w:noProof/>
          <w:lang w:val="en-US" w:eastAsia="en-US"/>
        </w:rPr>
        <mc:AlternateContent>
          <mc:Choice Requires="wps">
            <w:drawing>
              <wp:anchor distT="45720" distB="45720" distL="114300" distR="114300" simplePos="0" relativeHeight="251654656" behindDoc="0" locked="0" layoutInCell="1" allowOverlap="1">
                <wp:simplePos x="0" y="0"/>
                <wp:positionH relativeFrom="column">
                  <wp:posOffset>2128520</wp:posOffset>
                </wp:positionH>
                <wp:positionV relativeFrom="paragraph">
                  <wp:posOffset>935355</wp:posOffset>
                </wp:positionV>
                <wp:extent cx="638175" cy="266700"/>
                <wp:effectExtent l="4445" t="1905"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43" w:rsidRPr="00DA2676" w:rsidRDefault="00927A43">
                            <w:pPr>
                              <w:rPr>
                                <w:color w:val="595959"/>
                                <w:sz w:val="16"/>
                                <w:szCs w:val="16"/>
                              </w:rPr>
                            </w:pPr>
                            <w:proofErr w:type="spellStart"/>
                            <w:r w:rsidRPr="00DA2676">
                              <w:rPr>
                                <w:rFonts w:eastAsia="Arial"/>
                                <w:color w:val="595959"/>
                                <w:sz w:val="16"/>
                                <w:szCs w:val="16"/>
                                <w:lang w:val="es-ES_tradnl"/>
                              </w:rPr>
                              <w:t>Viet</w:t>
                            </w:r>
                            <w:proofErr w:type="spellEnd"/>
                            <w:r w:rsidRPr="00DA2676">
                              <w:rPr>
                                <w:rFonts w:eastAsia="Arial"/>
                                <w:color w:val="595959"/>
                                <w:sz w:val="16"/>
                                <w:szCs w:val="16"/>
                                <w:lang w:val="es-ES_tradnl"/>
                              </w:rPr>
                              <w:t xml:space="preserve"> </w:t>
                            </w:r>
                            <w:proofErr w:type="spellStart"/>
                            <w:r w:rsidRPr="00DA2676">
                              <w:rPr>
                                <w:rFonts w:eastAsia="Arial"/>
                                <w:color w:val="595959"/>
                                <w:sz w:val="16"/>
                                <w:szCs w:val="16"/>
                                <w:lang w:val="es-ES_tradnl"/>
                              </w:rPr>
                              <w:t>Nam</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67.6pt;margin-top:73.65pt;width:50.25pt;height:2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" stroked="f">
                <v:textbox>
                  <w:txbxContent>
                    <w:p w:rsidR="00927A43" w:rsidRPr="00DA2676" w:rsidRDefault="00927A43">
                      <w:pPr>
                        <w:rPr>
                          <w:color w:val="595959"/>
                          <w:sz w:val="16"/>
                          <w:szCs w:val="16"/>
                        </w:rPr>
                      </w:pPr>
                      <w:r w:rsidRPr="00DA2676">
                        <w:rPr>
                          <w:rFonts w:eastAsia="Arial"/>
                          <w:color w:val="595959"/>
                          <w:sz w:val="16"/>
                          <w:szCs w:val="16"/>
                          <w:lang w:val="es-ES_tradnl"/>
                        </w:rPr>
                        <w:t>Viet Nam</w:t>
                      </w:r>
                    </w:p>
                  </w:txbxContent>
                </v:textbox>
              </v:shape>
            </w:pict>
          </mc:Fallback>
        </mc:AlternateContent>
      </w:r>
    </w:p>
    <w:p w:rsidR="00927A43" w:rsidRDefault="009462CE" w:rsidP="00927A43">
      <w:pPr>
        <w:pStyle w:val="ONUME"/>
        <w:numPr>
          <w:ilvl w:val="0"/>
          <w:numId w:val="0"/>
        </w:numPr>
      </w:pPr>
      <w:r>
        <w:rPr>
          <w:noProof/>
          <w:lang w:val="en-US" w:eastAsia="en-US"/>
        </w:rPr>
        <mc:AlternateContent>
          <mc:Choice Requires="wps">
            <w:drawing>
              <wp:anchor distT="45720" distB="45720" distL="114300" distR="114300" simplePos="0" relativeHeight="251660800" behindDoc="0" locked="0" layoutInCell="1" allowOverlap="1">
                <wp:simplePos x="0" y="0"/>
                <wp:positionH relativeFrom="column">
                  <wp:posOffset>1414145</wp:posOffset>
                </wp:positionH>
                <wp:positionV relativeFrom="paragraph">
                  <wp:posOffset>3366770</wp:posOffset>
                </wp:positionV>
                <wp:extent cx="638175" cy="266700"/>
                <wp:effectExtent l="4445" t="4445"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43" w:rsidRPr="00DA2676" w:rsidRDefault="00927A43" w:rsidP="006B02C5">
                            <w:pPr>
                              <w:rPr>
                                <w:color w:val="595959"/>
                                <w:sz w:val="16"/>
                                <w:szCs w:val="16"/>
                              </w:rPr>
                            </w:pPr>
                            <w:r w:rsidRPr="00DA2676">
                              <w:rPr>
                                <w:rFonts w:eastAsia="Arial"/>
                                <w:color w:val="595959"/>
                                <w:sz w:val="16"/>
                                <w:szCs w:val="16"/>
                                <w:lang w:val="es-ES_tradnl"/>
                              </w:rPr>
                              <w:t>Singapur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111.35pt;margin-top:265.1pt;width:50.25pt;height:2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xyuQ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" filled="f" stroked="f">
                <v:textbox>
                  <w:txbxContent>
                    <w:p w:rsidR="00927A43" w:rsidRPr="00DA2676" w:rsidRDefault="00927A43" w:rsidP="006B02C5">
                      <w:pPr>
                        <w:rPr>
                          <w:color w:val="595959"/>
                          <w:sz w:val="16"/>
                          <w:szCs w:val="16"/>
                        </w:rPr>
                      </w:pPr>
                      <w:r w:rsidRPr="00DA2676">
                        <w:rPr>
                          <w:rFonts w:eastAsia="Arial"/>
                          <w:color w:val="595959"/>
                          <w:sz w:val="16"/>
                          <w:szCs w:val="16"/>
                          <w:lang w:val="es-ES_tradnl"/>
                        </w:rPr>
                        <w:t>Singapur</w:t>
                      </w:r>
                    </w:p>
                  </w:txbxContent>
                </v:textbox>
              </v:shape>
            </w:pict>
          </mc:Fallback>
        </mc:AlternateContent>
      </w:r>
      <w:r>
        <w:rPr>
          <w:noProof/>
          <w:lang w:val="en-US" w:eastAsia="en-US"/>
        </w:rPr>
        <mc:AlternateContent>
          <mc:Choice Requires="wps">
            <w:drawing>
              <wp:anchor distT="45720" distB="45720" distL="114300" distR="114300" simplePos="0" relativeHeight="251659776" behindDoc="0" locked="0" layoutInCell="1" allowOverlap="1">
                <wp:simplePos x="0" y="0"/>
                <wp:positionH relativeFrom="column">
                  <wp:posOffset>1501775</wp:posOffset>
                </wp:positionH>
                <wp:positionV relativeFrom="paragraph">
                  <wp:posOffset>3366770</wp:posOffset>
                </wp:positionV>
                <wp:extent cx="550545" cy="266700"/>
                <wp:effectExtent l="0" t="4445"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43" w:rsidRPr="00EA7C85" w:rsidRDefault="00927A43" w:rsidP="006B02C5">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118.25pt;margin-top:265.1pt;width:43.35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" stroked="f">
                <v:textbox>
                  <w:txbxContent>
                    <w:p w:rsidR="00927A43" w:rsidRPr="00EA7C85" w:rsidRDefault="00927A43" w:rsidP="006B02C5">
                      <w:pPr>
                        <w:rPr>
                          <w:sz w:val="16"/>
                          <w:szCs w:val="16"/>
                        </w:rPr>
                      </w:pPr>
                    </w:p>
                  </w:txbxContent>
                </v:textbox>
              </v:shape>
            </w:pict>
          </mc:Fallback>
        </mc:AlternateContent>
      </w:r>
      <w:r>
        <w:rPr>
          <w:noProof/>
          <w:lang w:val="en-US" w:eastAsia="en-US"/>
        </w:rPr>
        <mc:AlternateContent>
          <mc:Choice Requires="wps">
            <w:drawing>
              <wp:anchor distT="45720" distB="45720" distL="114300" distR="114300" simplePos="0" relativeHeight="251658752" behindDoc="0" locked="0" layoutInCell="1" allowOverlap="1">
                <wp:simplePos x="0" y="0"/>
                <wp:positionH relativeFrom="column">
                  <wp:posOffset>1731645</wp:posOffset>
                </wp:positionH>
                <wp:positionV relativeFrom="paragraph">
                  <wp:posOffset>2995295</wp:posOffset>
                </wp:positionV>
                <wp:extent cx="549275" cy="266700"/>
                <wp:effectExtent l="0" t="444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43" w:rsidRPr="00DA2676" w:rsidRDefault="00927A43" w:rsidP="006B02C5">
                            <w:pPr>
                              <w:rPr>
                                <w:color w:val="595959"/>
                                <w:sz w:val="16"/>
                                <w:szCs w:val="16"/>
                              </w:rPr>
                            </w:pPr>
                            <w:r w:rsidRPr="00DA2676">
                              <w:rPr>
                                <w:rFonts w:eastAsia="Arial"/>
                                <w:color w:val="595959"/>
                                <w:sz w:val="16"/>
                                <w:szCs w:val="16"/>
                                <w:lang w:val="es-ES_tradnl"/>
                              </w:rPr>
                              <w:t>Malasia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36.35pt;margin-top:235.85pt;width:43.25pt;height:2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ruhQ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" stroked="f">
                <v:textbox>
                  <w:txbxContent>
                    <w:p w:rsidR="00927A43" w:rsidRPr="00DA2676" w:rsidRDefault="00927A43" w:rsidP="006B02C5">
                      <w:pPr>
                        <w:rPr>
                          <w:color w:val="595959"/>
                          <w:sz w:val="16"/>
                          <w:szCs w:val="16"/>
                        </w:rPr>
                      </w:pPr>
                      <w:r w:rsidRPr="00DA2676">
                        <w:rPr>
                          <w:rFonts w:eastAsia="Arial"/>
                          <w:color w:val="595959"/>
                          <w:sz w:val="16"/>
                          <w:szCs w:val="16"/>
                          <w:lang w:val="es-ES_tradnl"/>
                        </w:rPr>
                        <w:t>Malasia</w:t>
                      </w:r>
                    </w:p>
                  </w:txbxContent>
                </v:textbox>
              </v:shape>
            </w:pict>
          </mc:Fallback>
        </mc:AlternateContent>
      </w:r>
      <w:r>
        <w:rPr>
          <w:noProof/>
          <w:lang w:val="en-US" w:eastAsia="en-US"/>
        </w:rPr>
        <mc:AlternateContent>
          <mc:Choice Requires="wps">
            <w:drawing>
              <wp:anchor distT="45720" distB="45720" distL="114300" distR="114300" simplePos="0" relativeHeight="251657728" behindDoc="0" locked="0" layoutInCell="1" allowOverlap="1">
                <wp:simplePos x="0" y="0"/>
                <wp:positionH relativeFrom="column">
                  <wp:posOffset>2280920</wp:posOffset>
                </wp:positionH>
                <wp:positionV relativeFrom="paragraph">
                  <wp:posOffset>1918970</wp:posOffset>
                </wp:positionV>
                <wp:extent cx="638175" cy="266700"/>
                <wp:effectExtent l="4445" t="444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43" w:rsidRPr="00DA2676" w:rsidRDefault="00927A43" w:rsidP="00F106BE">
                            <w:pPr>
                              <w:rPr>
                                <w:color w:val="595959"/>
                                <w:sz w:val="16"/>
                                <w:szCs w:val="16"/>
                              </w:rPr>
                            </w:pPr>
                            <w:r w:rsidRPr="00DA2676">
                              <w:rPr>
                                <w:rFonts w:eastAsia="Arial"/>
                                <w:color w:val="595959"/>
                                <w:sz w:val="16"/>
                                <w:szCs w:val="16"/>
                                <w:lang w:val="es-ES_tradnl"/>
                              </w:rPr>
                              <w:t>Camboya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179.6pt;margin-top:151.1pt;width:50.25pt;height:2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BFhgIAABU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" stroked="f">
                <v:textbox>
                  <w:txbxContent>
                    <w:p w:rsidR="00927A43" w:rsidRPr="00DA2676" w:rsidRDefault="00927A43" w:rsidP="00F106BE">
                      <w:pPr>
                        <w:rPr>
                          <w:color w:val="595959"/>
                          <w:sz w:val="16"/>
                          <w:szCs w:val="16"/>
                        </w:rPr>
                      </w:pPr>
                      <w:r w:rsidRPr="00DA2676">
                        <w:rPr>
                          <w:rFonts w:eastAsia="Arial"/>
                          <w:color w:val="595959"/>
                          <w:sz w:val="16"/>
                          <w:szCs w:val="16"/>
                          <w:lang w:val="es-ES_tradnl"/>
                        </w:rPr>
                        <w:t>Camboya</w:t>
                      </w:r>
                    </w:p>
                  </w:txbxContent>
                </v:textbox>
              </v:shape>
            </w:pict>
          </mc:Fallback>
        </mc:AlternateContent>
      </w:r>
      <w:r>
        <w:rPr>
          <w:noProof/>
          <w:lang w:val="en-US" w:eastAsia="en-US"/>
        </w:rPr>
        <mc:AlternateContent>
          <mc:Choice Requires="wps">
            <w:drawing>
              <wp:anchor distT="45720" distB="45720" distL="114300" distR="114300" simplePos="0" relativeHeight="251656704" behindDoc="0" locked="0" layoutInCell="1" allowOverlap="1">
                <wp:simplePos x="0" y="0"/>
                <wp:positionH relativeFrom="column">
                  <wp:posOffset>2071370</wp:posOffset>
                </wp:positionH>
                <wp:positionV relativeFrom="paragraph">
                  <wp:posOffset>1537970</wp:posOffset>
                </wp:positionV>
                <wp:extent cx="638175" cy="266700"/>
                <wp:effectExtent l="4445"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43" w:rsidRPr="00DA2676" w:rsidRDefault="00927A43" w:rsidP="00F106BE">
                            <w:pPr>
                              <w:rPr>
                                <w:color w:val="595959"/>
                                <w:sz w:val="16"/>
                                <w:szCs w:val="16"/>
                              </w:rPr>
                            </w:pPr>
                            <w:r w:rsidRPr="00DA2676">
                              <w:rPr>
                                <w:rFonts w:eastAsia="Arial"/>
                                <w:color w:val="595959"/>
                                <w:sz w:val="16"/>
                                <w:szCs w:val="16"/>
                                <w:lang w:val="es-ES_tradnl"/>
                              </w:rPr>
                              <w:t>Tailandia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163.1pt;margin-top:121.1pt;width:50.25pt;height:2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" stroked="f">
                <v:textbox>
                  <w:txbxContent>
                    <w:p w:rsidR="00927A43" w:rsidRPr="00DA2676" w:rsidRDefault="00927A43" w:rsidP="00F106BE">
                      <w:pPr>
                        <w:rPr>
                          <w:color w:val="595959"/>
                          <w:sz w:val="16"/>
                          <w:szCs w:val="16"/>
                        </w:rPr>
                      </w:pPr>
                      <w:r w:rsidRPr="00DA2676">
                        <w:rPr>
                          <w:rFonts w:eastAsia="Arial"/>
                          <w:color w:val="595959"/>
                          <w:sz w:val="16"/>
                          <w:szCs w:val="16"/>
                          <w:lang w:val="es-ES_tradnl"/>
                        </w:rPr>
                        <w:t>Tailandia</w:t>
                      </w:r>
                    </w:p>
                  </w:txbxContent>
                </v:textbox>
              </v:shape>
            </w:pict>
          </mc:Fallback>
        </mc:AlternateContent>
      </w:r>
      <w:r>
        <w:rPr>
          <w:noProof/>
          <w:lang w:val="en-US" w:eastAsia="en-US"/>
        </w:rPr>
        <mc:AlternateContent>
          <mc:Choice Requires="wps">
            <w:drawing>
              <wp:anchor distT="45720" distB="45720" distL="114300" distR="114300" simplePos="0" relativeHeight="251655680" behindDoc="0" locked="0" layoutInCell="1" allowOverlap="1">
                <wp:simplePos x="0" y="0"/>
                <wp:positionH relativeFrom="column">
                  <wp:posOffset>4404995</wp:posOffset>
                </wp:positionH>
                <wp:positionV relativeFrom="paragraph">
                  <wp:posOffset>2118995</wp:posOffset>
                </wp:positionV>
                <wp:extent cx="638175" cy="266700"/>
                <wp:effectExtent l="4445"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43" w:rsidRPr="00DA2676" w:rsidRDefault="00927A43" w:rsidP="00F106BE">
                            <w:pPr>
                              <w:rPr>
                                <w:color w:val="595959"/>
                                <w:sz w:val="16"/>
                                <w:szCs w:val="16"/>
                              </w:rPr>
                            </w:pPr>
                            <w:r w:rsidRPr="00DA2676">
                              <w:rPr>
                                <w:rFonts w:eastAsia="Arial"/>
                                <w:color w:val="595959"/>
                                <w:sz w:val="16"/>
                                <w:szCs w:val="16"/>
                                <w:lang w:val="es-ES_tradnl"/>
                              </w:rPr>
                              <w:t>Filipinas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346.85pt;margin-top:166.85pt;width:50.2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LMhgIAABU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" stroked="f">
                <v:textbox>
                  <w:txbxContent>
                    <w:p w:rsidR="00927A43" w:rsidRPr="00DA2676" w:rsidRDefault="00927A43" w:rsidP="00F106BE">
                      <w:pPr>
                        <w:rPr>
                          <w:color w:val="595959"/>
                          <w:sz w:val="16"/>
                          <w:szCs w:val="16"/>
                        </w:rPr>
                      </w:pPr>
                      <w:r w:rsidRPr="00DA2676">
                        <w:rPr>
                          <w:rFonts w:eastAsia="Arial"/>
                          <w:color w:val="595959"/>
                          <w:sz w:val="16"/>
                          <w:szCs w:val="16"/>
                          <w:lang w:val="es-ES_tradnl"/>
                        </w:rPr>
                        <w:t>Filipinas</w:t>
                      </w:r>
                    </w:p>
                  </w:txbxContent>
                </v:textbox>
              </v:shape>
            </w:pict>
          </mc:Fallback>
        </mc:AlternateContent>
      </w:r>
      <w:r>
        <w:rPr>
          <w:noProof/>
          <w:lang w:val="en-US" w:eastAsia="en-US"/>
        </w:rPr>
        <w:drawing>
          <wp:inline distT="0" distB="0" distL="0" distR="0">
            <wp:extent cx="5930900" cy="4939030"/>
            <wp:effectExtent l="0" t="0" r="0" b="0"/>
            <wp:docPr id="3" name="shutterstock_213207697 [Conve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213207697 [Convert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clr">
                    <a:xfrm>
                      <a:off x="0" y="0"/>
                      <a:ext cx="5930900" cy="4939030"/>
                    </a:xfrm>
                    <a:prstGeom prst="rect">
                      <a:avLst/>
                    </a:prstGeom>
                    <a:noFill/>
                    <a:ln>
                      <a:noFill/>
                    </a:ln>
                  </pic:spPr>
                </pic:pic>
              </a:graphicData>
            </a:graphic>
          </wp:inline>
        </w:drawing>
      </w:r>
    </w:p>
    <w:p w:rsidR="00927A43" w:rsidRDefault="00DA2676" w:rsidP="00A37C3A">
      <w:pPr>
        <w:pStyle w:val="Heading1"/>
        <w:keepLines/>
      </w:pPr>
      <w:r>
        <w:rPr>
          <w:rFonts w:eastAsia="Arial"/>
          <w:szCs w:val="22"/>
          <w:lang w:val="es-ES_tradnl"/>
        </w:rPr>
        <w:lastRenderedPageBreak/>
        <w:t>6.</w:t>
      </w:r>
      <w:r>
        <w:rPr>
          <w:rFonts w:eastAsia="Arial"/>
          <w:szCs w:val="22"/>
          <w:lang w:val="es-ES_tradnl"/>
        </w:rPr>
        <w:tab/>
        <w:t>PERFIL DE LAS SOLICITUDES DE PATENTE</w:t>
      </w:r>
    </w:p>
    <w:p w:rsidR="00927A43" w:rsidRDefault="00DA2676" w:rsidP="00A37C3A">
      <w:pPr>
        <w:pStyle w:val="Heading2"/>
        <w:keepLines/>
      </w:pPr>
      <w:r>
        <w:rPr>
          <w:rFonts w:eastAsia="Arial"/>
          <w:szCs w:val="22"/>
          <w:lang w:val="es-ES_tradnl"/>
        </w:rPr>
        <w:t>6.1</w:t>
      </w:r>
      <w:r>
        <w:rPr>
          <w:rFonts w:eastAsia="Arial"/>
          <w:szCs w:val="22"/>
          <w:lang w:val="es-ES_tradnl"/>
        </w:rPr>
        <w:tab/>
        <w:t xml:space="preserve">NÚMERO DE SOLICITUDES NACIONALES RECIBIDAS – POR CAMPO TÉCNICO:  </w:t>
      </w:r>
    </w:p>
    <w:p w:rsidR="00927A43" w:rsidRDefault="00927A43" w:rsidP="00A37C3A">
      <w:pPr>
        <w:keepNext/>
        <w:keepLines/>
        <w:rPr>
          <w:b/>
          <w:bCs/>
          <w:szCs w:val="22"/>
        </w:rPr>
      </w:pPr>
    </w:p>
    <w:tbl>
      <w:tblPr>
        <w:tblW w:w="9323" w:type="dxa"/>
        <w:tblInd w:w="9" w:type="dxa"/>
        <w:tblLayout w:type="fixed"/>
        <w:tblLook w:val="04A0" w:firstRow="1" w:lastRow="0" w:firstColumn="1" w:lastColumn="0" w:noHBand="0" w:noVBand="1"/>
      </w:tblPr>
      <w:tblGrid>
        <w:gridCol w:w="3927"/>
        <w:gridCol w:w="872"/>
        <w:gridCol w:w="1131"/>
        <w:gridCol w:w="1131"/>
        <w:gridCol w:w="1131"/>
        <w:gridCol w:w="1131"/>
      </w:tblGrid>
      <w:tr w:rsidR="00927A43" w:rsidRPr="00936DDF" w:rsidTr="00D87F30">
        <w:trPr>
          <w:trHeight w:val="240"/>
        </w:trPr>
        <w:tc>
          <w:tcPr>
            <w:tcW w:w="3927" w:type="dxa"/>
            <w:tcBorders>
              <w:top w:val="single" w:sz="4" w:space="0" w:color="auto"/>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b/>
                <w:bCs/>
                <w:color w:val="000000"/>
                <w:szCs w:val="22"/>
                <w:lang w:val="en-SG"/>
              </w:rPr>
            </w:pPr>
            <w:r>
              <w:rPr>
                <w:rFonts w:eastAsia="Arial"/>
                <w:b/>
                <w:bCs/>
                <w:color w:val="000000"/>
                <w:szCs w:val="22"/>
                <w:lang w:val="es-ES_tradnl"/>
              </w:rPr>
              <w:t>Campo técnico / Año</w:t>
            </w:r>
          </w:p>
        </w:tc>
        <w:tc>
          <w:tcPr>
            <w:tcW w:w="872"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b/>
                <w:bCs/>
                <w:color w:val="000000"/>
                <w:szCs w:val="22"/>
              </w:rPr>
            </w:pPr>
            <w:r>
              <w:rPr>
                <w:rFonts w:eastAsia="Arial"/>
                <w:b/>
                <w:bCs/>
                <w:color w:val="000000"/>
                <w:szCs w:val="22"/>
                <w:lang w:val="es-ES_tradnl"/>
              </w:rPr>
              <w:t>2012</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b/>
                <w:bCs/>
                <w:color w:val="000000"/>
                <w:szCs w:val="22"/>
              </w:rPr>
            </w:pPr>
            <w:r>
              <w:rPr>
                <w:rFonts w:eastAsia="Arial"/>
                <w:b/>
                <w:bCs/>
                <w:color w:val="000000"/>
                <w:szCs w:val="22"/>
                <w:lang w:val="es-ES_tradnl"/>
              </w:rPr>
              <w:t>2013</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b/>
                <w:bCs/>
                <w:color w:val="000000"/>
                <w:szCs w:val="22"/>
              </w:rPr>
            </w:pPr>
            <w:r>
              <w:rPr>
                <w:rFonts w:eastAsia="Arial"/>
                <w:b/>
                <w:bCs/>
                <w:color w:val="000000"/>
                <w:szCs w:val="22"/>
                <w:lang w:val="es-ES_tradnl"/>
              </w:rPr>
              <w:t>2014</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b/>
                <w:bCs/>
                <w:color w:val="000000"/>
                <w:szCs w:val="22"/>
              </w:rPr>
            </w:pPr>
            <w:r>
              <w:rPr>
                <w:rFonts w:eastAsia="Arial"/>
                <w:b/>
                <w:bCs/>
                <w:color w:val="000000"/>
                <w:szCs w:val="22"/>
                <w:lang w:val="es-ES_tradnl"/>
              </w:rPr>
              <w:t>2015</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b/>
                <w:bCs/>
                <w:color w:val="000000"/>
                <w:szCs w:val="22"/>
              </w:rPr>
            </w:pPr>
            <w:r>
              <w:rPr>
                <w:rFonts w:eastAsia="Arial"/>
                <w:b/>
                <w:bCs/>
                <w:color w:val="000000"/>
                <w:szCs w:val="22"/>
                <w:lang w:val="es-ES_tradnl"/>
              </w:rPr>
              <w:t>2016</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 xml:space="preserve">Química de materiales </w:t>
            </w:r>
          </w:p>
        </w:tc>
        <w:tc>
          <w:tcPr>
            <w:tcW w:w="872" w:type="dxa"/>
            <w:vMerge w:val="restart"/>
            <w:tcBorders>
              <w:top w:val="nil"/>
              <w:left w:val="single" w:sz="4" w:space="0" w:color="auto"/>
              <w:bottom w:val="single" w:sz="4" w:space="0" w:color="auto"/>
              <w:right w:val="single" w:sz="4" w:space="0" w:color="auto"/>
            </w:tcBorders>
            <w:noWrap/>
            <w:vAlign w:val="center"/>
            <w:hideMark/>
          </w:tcPr>
          <w:p w:rsidR="00927A43" w:rsidRPr="00936DDF" w:rsidRDefault="00DA2676" w:rsidP="00A37C3A">
            <w:pPr>
              <w:keepNext/>
              <w:keepLines/>
              <w:spacing w:before="20" w:after="20"/>
              <w:jc w:val="center"/>
              <w:rPr>
                <w:rFonts w:eastAsia="Times New Roman"/>
                <w:color w:val="000000"/>
                <w:szCs w:val="22"/>
              </w:rPr>
            </w:pPr>
            <w:proofErr w:type="spellStart"/>
            <w:r>
              <w:rPr>
                <w:rFonts w:eastAsia="Arial"/>
                <w:color w:val="000000"/>
                <w:szCs w:val="22"/>
                <w:lang w:val="es-ES_tradnl"/>
              </w:rPr>
              <w:t>N.d</w:t>
            </w:r>
            <w:proofErr w:type="spellEnd"/>
            <w:r>
              <w:rPr>
                <w:rFonts w:eastAsia="Arial"/>
                <w:color w:val="000000"/>
                <w:szCs w:val="22"/>
                <w:lang w:val="es-ES_tradnl"/>
              </w:rPr>
              <w:t>.</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1.270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1.224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1.197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1.328</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Biotecnología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1.508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1.497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1.648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1.577</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Ingeniería química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1.103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1.343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1.086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1.015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Tecnología medioambiental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297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354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389</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339</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Química de alimentos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486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400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438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331</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Química macromolecular, polímeros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925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967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1.010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910</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Materiales, metalurgia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418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450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435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403</w:t>
            </w:r>
          </w:p>
        </w:tc>
      </w:tr>
      <w:tr w:rsidR="00927A43" w:rsidRPr="00936DDF" w:rsidTr="00D87F30">
        <w:trPr>
          <w:trHeight w:val="240"/>
        </w:trPr>
        <w:tc>
          <w:tcPr>
            <w:tcW w:w="3927" w:type="dxa"/>
            <w:tcBorders>
              <w:top w:val="single" w:sz="4" w:space="0" w:color="auto"/>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Tecnología de las microestructuras y nanotecnología</w:t>
            </w: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60</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68</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58</w:t>
            </w:r>
          </w:p>
        </w:tc>
        <w:tc>
          <w:tcPr>
            <w:tcW w:w="1131" w:type="dxa"/>
            <w:tcBorders>
              <w:top w:val="single" w:sz="4" w:space="0" w:color="auto"/>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Productos químicos orgánicos elaborados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2.443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2.839</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2.683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2.538</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Productos farmacéuticos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3.760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4.123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4.490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4.096</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Tecnología de superficie, revestimientos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532</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481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468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466</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Tecnología audiovisual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440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483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386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293</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Procesos básicos de comunicación</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62</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52</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Tecnología informática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755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601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840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944</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Comunicación digital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515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470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500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483</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Maquinaria y aparatos eléctricos, energía eléctrica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637</w:t>
            </w:r>
          </w:p>
        </w:tc>
        <w:tc>
          <w:tcPr>
            <w:tcW w:w="1131" w:type="dxa"/>
            <w:tcBorders>
              <w:top w:val="nil"/>
              <w:left w:val="nil"/>
              <w:bottom w:val="single" w:sz="4" w:space="0" w:color="auto"/>
              <w:right w:val="single" w:sz="4" w:space="0" w:color="auto"/>
            </w:tcBorders>
            <w:noWrap/>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541</w:t>
            </w:r>
          </w:p>
        </w:tc>
        <w:tc>
          <w:tcPr>
            <w:tcW w:w="1131" w:type="dxa"/>
            <w:tcBorders>
              <w:top w:val="nil"/>
              <w:left w:val="nil"/>
              <w:bottom w:val="single" w:sz="4" w:space="0" w:color="auto"/>
              <w:right w:val="single" w:sz="4" w:space="0" w:color="auto"/>
            </w:tcBorders>
            <w:noWrap/>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593</w:t>
            </w:r>
          </w:p>
        </w:tc>
        <w:tc>
          <w:tcPr>
            <w:tcW w:w="1131" w:type="dxa"/>
            <w:tcBorders>
              <w:top w:val="nil"/>
              <w:left w:val="nil"/>
              <w:bottom w:val="single" w:sz="4" w:space="0" w:color="auto"/>
              <w:right w:val="single" w:sz="4" w:space="0" w:color="auto"/>
            </w:tcBorders>
            <w:noWrap/>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550</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Métodos de gestión mediante T.I.</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308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287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303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324</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Semiconductores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871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786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731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845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Telecomunicaciones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441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509</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399</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Análisis de materiales biológicos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244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221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206</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Dispositivos de control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193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238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225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Medición</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855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745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894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825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Tecnología médica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813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753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874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761</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Óptica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431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450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347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292</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Motores, bombas, turbinas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241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471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308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210</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Manipulación</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508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547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490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450</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Máquinas herramienta</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341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348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262</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331</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Elementos mecánicos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310</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276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271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312</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Otra maquinaria especial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478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471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451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468</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Maquinaria textil y de papel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161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115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96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107</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Procesos térmicos y aparatos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155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127</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157</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Transporte</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329</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338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405</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393</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Ingeniería civil</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784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644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788</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782</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Mobiliario, juegos</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216</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254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193</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165</w:t>
            </w:r>
          </w:p>
        </w:tc>
      </w:tr>
      <w:tr w:rsidR="00927A43" w:rsidRPr="00936DDF" w:rsidTr="00D87F30">
        <w:trPr>
          <w:trHeight w:val="240"/>
        </w:trPr>
        <w:tc>
          <w:tcPr>
            <w:tcW w:w="3927" w:type="dxa"/>
            <w:tcBorders>
              <w:top w:val="nil"/>
              <w:left w:val="single" w:sz="4" w:space="0" w:color="auto"/>
              <w:bottom w:val="single" w:sz="4" w:space="0" w:color="auto"/>
              <w:right w:val="single" w:sz="4" w:space="0" w:color="auto"/>
            </w:tcBorders>
            <w:noWrap/>
            <w:vAlign w:val="bottom"/>
            <w:hideMark/>
          </w:tcPr>
          <w:p w:rsidR="00927A43" w:rsidRPr="00936DDF" w:rsidRDefault="00DA2676" w:rsidP="00A37C3A">
            <w:pPr>
              <w:keepNext/>
              <w:keepLines/>
              <w:spacing w:before="20" w:after="20"/>
              <w:rPr>
                <w:rFonts w:eastAsia="Times New Roman"/>
                <w:color w:val="000000"/>
                <w:szCs w:val="22"/>
              </w:rPr>
            </w:pPr>
            <w:r>
              <w:rPr>
                <w:rFonts w:eastAsia="Arial"/>
                <w:color w:val="000000"/>
                <w:szCs w:val="22"/>
                <w:lang w:val="es-ES_tradnl"/>
              </w:rPr>
              <w:t>Otros productos de consumo</w:t>
            </w:r>
          </w:p>
        </w:tc>
        <w:tc>
          <w:tcPr>
            <w:tcW w:w="872" w:type="dxa"/>
            <w:vMerge/>
            <w:tcBorders>
              <w:top w:val="nil"/>
              <w:left w:val="single" w:sz="4" w:space="0" w:color="auto"/>
              <w:bottom w:val="single" w:sz="4" w:space="0" w:color="auto"/>
              <w:right w:val="single" w:sz="4" w:space="0" w:color="auto"/>
            </w:tcBorders>
            <w:vAlign w:val="center"/>
            <w:hideMark/>
          </w:tcPr>
          <w:p w:rsidR="00927A43" w:rsidRPr="00936DDF" w:rsidRDefault="00927A43" w:rsidP="00A37C3A">
            <w:pPr>
              <w:keepNext/>
              <w:keepLines/>
              <w:spacing w:before="20" w:after="20"/>
              <w:rPr>
                <w:rFonts w:eastAsia="Times New Roman"/>
                <w:color w:val="000000"/>
                <w:szCs w:val="22"/>
              </w:rPr>
            </w:pP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214</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282</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251</w:t>
            </w:r>
          </w:p>
        </w:tc>
        <w:tc>
          <w:tcPr>
            <w:tcW w:w="1131" w:type="dxa"/>
            <w:tcBorders>
              <w:top w:val="nil"/>
              <w:left w:val="nil"/>
              <w:bottom w:val="single" w:sz="4" w:space="0" w:color="auto"/>
              <w:right w:val="single" w:sz="4" w:space="0" w:color="auto"/>
            </w:tcBorders>
            <w:noWrap/>
            <w:vAlign w:val="bottom"/>
            <w:hideMark/>
          </w:tcPr>
          <w:p w:rsidR="00927A43" w:rsidRPr="00936DDF" w:rsidRDefault="00DA2676" w:rsidP="00A37C3A">
            <w:pPr>
              <w:keepNext/>
              <w:keepLines/>
              <w:spacing w:before="20" w:after="20"/>
              <w:jc w:val="center"/>
              <w:rPr>
                <w:rFonts w:eastAsia="Times New Roman"/>
                <w:color w:val="000000"/>
                <w:szCs w:val="22"/>
              </w:rPr>
            </w:pPr>
            <w:r>
              <w:rPr>
                <w:rFonts w:eastAsia="Arial"/>
                <w:color w:val="000000"/>
                <w:szCs w:val="22"/>
                <w:lang w:val="es-ES_tradnl"/>
              </w:rPr>
              <w:t>276</w:t>
            </w:r>
          </w:p>
        </w:tc>
      </w:tr>
    </w:tbl>
    <w:p w:rsidR="00927A43" w:rsidRDefault="00DA2676" w:rsidP="00A37C3A">
      <w:pPr>
        <w:keepNext/>
        <w:keepLines/>
        <w:jc w:val="both"/>
        <w:rPr>
          <w:rFonts w:eastAsia="Times New Roman"/>
          <w:i/>
          <w:iCs/>
          <w:sz w:val="20"/>
        </w:rPr>
      </w:pPr>
      <w:r>
        <w:rPr>
          <w:rFonts w:eastAsia="Arial"/>
          <w:i/>
          <w:iCs/>
          <w:sz w:val="20"/>
          <w:lang w:val="es-ES_tradnl"/>
        </w:rPr>
        <w:t>Datos extraídos el 10/02/2017</w:t>
      </w:r>
      <w:r w:rsidR="009F36F3">
        <w:rPr>
          <w:rFonts w:eastAsia="Arial"/>
          <w:i/>
          <w:iCs/>
          <w:sz w:val="20"/>
          <w:lang w:val="es-ES_tradnl"/>
        </w:rPr>
        <w:t xml:space="preserve"> y basados en</w:t>
      </w:r>
      <w:r>
        <w:rPr>
          <w:rFonts w:eastAsia="Arial"/>
          <w:i/>
          <w:iCs/>
          <w:sz w:val="20"/>
          <w:lang w:val="es-ES_tradnl"/>
        </w:rPr>
        <w:t xml:space="preserve"> la fecha de presentación </w:t>
      </w:r>
    </w:p>
    <w:p w:rsidR="00927A43" w:rsidRDefault="00DA2676" w:rsidP="00A37C3A">
      <w:pPr>
        <w:keepNext/>
        <w:keepLines/>
        <w:jc w:val="both"/>
        <w:rPr>
          <w:rFonts w:eastAsia="Times New Roman"/>
          <w:i/>
          <w:iCs/>
          <w:sz w:val="20"/>
        </w:rPr>
      </w:pPr>
      <w:r>
        <w:rPr>
          <w:rFonts w:eastAsia="Arial"/>
          <w:i/>
          <w:iCs/>
          <w:sz w:val="20"/>
          <w:lang w:val="es-ES_tradnl"/>
        </w:rPr>
        <w:t>* Número de concesiones por sector de la tecnología</w:t>
      </w:r>
    </w:p>
    <w:p w:rsidR="00927A43" w:rsidRDefault="00DA2676" w:rsidP="00A37C3A">
      <w:pPr>
        <w:keepNext/>
        <w:keepLines/>
        <w:jc w:val="both"/>
        <w:rPr>
          <w:rFonts w:eastAsia="Times New Roman"/>
          <w:i/>
          <w:iCs/>
          <w:sz w:val="20"/>
        </w:rPr>
      </w:pPr>
      <w:r>
        <w:rPr>
          <w:rFonts w:eastAsia="Arial"/>
          <w:i/>
          <w:iCs/>
          <w:sz w:val="20"/>
          <w:lang w:val="es-ES_tradnl"/>
        </w:rPr>
        <w:t>* Una solicitud puede tener múltiples CIP, por lo cual es posible que existan duplicaciones en los grupos</w:t>
      </w:r>
    </w:p>
    <w:p w:rsidR="00927A43" w:rsidRDefault="00927A43" w:rsidP="00A37C3A">
      <w:pPr>
        <w:keepNext/>
        <w:keepLines/>
        <w:rPr>
          <w:b/>
          <w:bCs/>
          <w:szCs w:val="22"/>
        </w:rPr>
      </w:pPr>
    </w:p>
    <w:p w:rsidR="00927A43" w:rsidRDefault="00DA2676" w:rsidP="00927A43">
      <w:pPr>
        <w:pStyle w:val="Heading2"/>
      </w:pPr>
      <w:r>
        <w:rPr>
          <w:rFonts w:eastAsia="Arial"/>
          <w:szCs w:val="22"/>
          <w:lang w:val="es-ES_tradnl"/>
        </w:rPr>
        <w:lastRenderedPageBreak/>
        <w:t>6.2</w:t>
      </w:r>
      <w:r>
        <w:rPr>
          <w:rFonts w:eastAsia="Arial"/>
          <w:szCs w:val="22"/>
          <w:lang w:val="es-ES_tradnl"/>
        </w:rPr>
        <w:tab/>
        <w:t xml:space="preserve">NÚMERO DE SOLICITUDES NACIONALES RECIBIDAS – SEGÚN LA VÍA UTILIZADA:  </w:t>
      </w:r>
    </w:p>
    <w:p w:rsidR="00927A43" w:rsidRPr="00140C29" w:rsidRDefault="00927A43" w:rsidP="00927A43">
      <w:pPr>
        <w:pStyle w:val="ListParagraph"/>
        <w:ind w:left="360"/>
        <w:rPr>
          <w:szCs w:val="22"/>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192"/>
        <w:gridCol w:w="1192"/>
        <w:gridCol w:w="1193"/>
        <w:gridCol w:w="1192"/>
        <w:gridCol w:w="1193"/>
      </w:tblGrid>
      <w:tr w:rsidR="00927A43" w:rsidRPr="00180C60" w:rsidTr="005311B5">
        <w:trPr>
          <w:cantSplit/>
        </w:trPr>
        <w:tc>
          <w:tcPr>
            <w:tcW w:w="3361" w:type="dxa"/>
            <w:tcBorders>
              <w:top w:val="single" w:sz="4" w:space="0" w:color="auto"/>
              <w:left w:val="single" w:sz="4" w:space="0" w:color="auto"/>
              <w:bottom w:val="single" w:sz="4" w:space="0" w:color="auto"/>
              <w:right w:val="single" w:sz="4" w:space="0" w:color="auto"/>
              <w:tl2br w:val="single" w:sz="4" w:space="0" w:color="auto"/>
            </w:tcBorders>
          </w:tcPr>
          <w:p w:rsidR="00927A43" w:rsidRPr="00140C29" w:rsidRDefault="00927A43" w:rsidP="00927A43">
            <w:pPr>
              <w:jc w:val="right"/>
              <w:rPr>
                <w:rFonts w:eastAsia="Times New Roman"/>
                <w:b/>
                <w:bCs/>
                <w:szCs w:val="22"/>
                <w:lang w:eastAsia="en-US" w:bidi="he-IL"/>
              </w:rPr>
            </w:pPr>
          </w:p>
          <w:p w:rsidR="00927A43" w:rsidRPr="00140C29" w:rsidRDefault="00DA2676" w:rsidP="00927A43">
            <w:pPr>
              <w:jc w:val="right"/>
              <w:rPr>
                <w:b/>
                <w:bCs/>
                <w:szCs w:val="22"/>
                <w:lang w:eastAsia="en-US" w:bidi="he-IL"/>
              </w:rPr>
            </w:pPr>
            <w:r>
              <w:rPr>
                <w:rFonts w:eastAsia="Arial"/>
                <w:b/>
                <w:bCs/>
                <w:szCs w:val="22"/>
                <w:lang w:val="es-ES_tradnl" w:eastAsia="en-US" w:bidi="he-IL"/>
              </w:rPr>
              <w:t>Año</w:t>
            </w:r>
          </w:p>
          <w:p w:rsidR="00927A43" w:rsidRPr="00140C29" w:rsidRDefault="00DA2676" w:rsidP="00927A43">
            <w:pPr>
              <w:suppressAutoHyphens/>
              <w:rPr>
                <w:rFonts w:eastAsia="Times New Roman"/>
                <w:b/>
                <w:bCs/>
                <w:szCs w:val="22"/>
                <w:lang w:eastAsia="en-US" w:bidi="he-IL"/>
              </w:rPr>
            </w:pPr>
            <w:r>
              <w:rPr>
                <w:rFonts w:eastAsia="Arial"/>
                <w:b/>
                <w:bCs/>
                <w:szCs w:val="22"/>
                <w:lang w:val="es-ES_tradnl" w:eastAsia="en-US" w:bidi="he-IL"/>
              </w:rPr>
              <w:t>Vía</w:t>
            </w:r>
          </w:p>
        </w:tc>
        <w:tc>
          <w:tcPr>
            <w:tcW w:w="1192" w:type="dxa"/>
            <w:tcBorders>
              <w:top w:val="single" w:sz="4" w:space="0" w:color="auto"/>
              <w:left w:val="single" w:sz="4" w:space="0" w:color="auto"/>
              <w:bottom w:val="single" w:sz="4" w:space="0" w:color="auto"/>
              <w:right w:val="single" w:sz="4" w:space="0" w:color="auto"/>
            </w:tcBorders>
            <w:vAlign w:val="center"/>
            <w:hideMark/>
          </w:tcPr>
          <w:p w:rsidR="00927A43" w:rsidRPr="00180C60" w:rsidRDefault="00DA2676" w:rsidP="00927A43">
            <w:pPr>
              <w:spacing w:line="252" w:lineRule="auto"/>
              <w:jc w:val="center"/>
              <w:rPr>
                <w:b/>
                <w:szCs w:val="22"/>
                <w:lang w:eastAsia="en-US"/>
              </w:rPr>
            </w:pPr>
            <w:r>
              <w:rPr>
                <w:rFonts w:eastAsia="Arial"/>
                <w:b/>
                <w:bCs/>
                <w:szCs w:val="22"/>
                <w:lang w:val="es-ES_tradnl" w:eastAsia="en-US"/>
              </w:rPr>
              <w:t>2012</w:t>
            </w:r>
          </w:p>
        </w:tc>
        <w:tc>
          <w:tcPr>
            <w:tcW w:w="1192" w:type="dxa"/>
            <w:tcBorders>
              <w:top w:val="single" w:sz="4" w:space="0" w:color="auto"/>
              <w:left w:val="single" w:sz="4" w:space="0" w:color="auto"/>
              <w:bottom w:val="single" w:sz="4" w:space="0" w:color="auto"/>
              <w:right w:val="single" w:sz="4" w:space="0" w:color="auto"/>
            </w:tcBorders>
            <w:vAlign w:val="center"/>
          </w:tcPr>
          <w:p w:rsidR="00927A43" w:rsidRPr="00180C60" w:rsidRDefault="00DA2676" w:rsidP="00927A43">
            <w:pPr>
              <w:spacing w:line="252" w:lineRule="auto"/>
              <w:jc w:val="center"/>
              <w:rPr>
                <w:b/>
                <w:szCs w:val="22"/>
                <w:lang w:eastAsia="en-US"/>
              </w:rPr>
            </w:pPr>
            <w:r>
              <w:rPr>
                <w:rFonts w:eastAsia="Arial"/>
                <w:b/>
                <w:bCs/>
                <w:szCs w:val="22"/>
                <w:lang w:val="es-ES_tradnl" w:eastAsia="en-US"/>
              </w:rPr>
              <w:t>2013</w:t>
            </w:r>
          </w:p>
        </w:tc>
        <w:tc>
          <w:tcPr>
            <w:tcW w:w="1193" w:type="dxa"/>
            <w:tcBorders>
              <w:top w:val="single" w:sz="4" w:space="0" w:color="auto"/>
              <w:left w:val="single" w:sz="4" w:space="0" w:color="auto"/>
              <w:bottom w:val="single" w:sz="4" w:space="0" w:color="auto"/>
              <w:right w:val="single" w:sz="4" w:space="0" w:color="auto"/>
            </w:tcBorders>
            <w:vAlign w:val="center"/>
          </w:tcPr>
          <w:p w:rsidR="00927A43" w:rsidRPr="00180C60" w:rsidRDefault="00DA2676" w:rsidP="00927A43">
            <w:pPr>
              <w:spacing w:line="252" w:lineRule="auto"/>
              <w:jc w:val="center"/>
              <w:rPr>
                <w:b/>
                <w:szCs w:val="22"/>
                <w:lang w:eastAsia="en-US"/>
              </w:rPr>
            </w:pPr>
            <w:r>
              <w:rPr>
                <w:rFonts w:eastAsia="Arial"/>
                <w:b/>
                <w:bCs/>
                <w:szCs w:val="22"/>
                <w:lang w:val="es-ES_tradnl" w:eastAsia="en-US"/>
              </w:rPr>
              <w:t>2014</w:t>
            </w:r>
          </w:p>
        </w:tc>
        <w:tc>
          <w:tcPr>
            <w:tcW w:w="1192" w:type="dxa"/>
            <w:tcBorders>
              <w:top w:val="single" w:sz="4" w:space="0" w:color="auto"/>
              <w:left w:val="single" w:sz="4" w:space="0" w:color="auto"/>
              <w:bottom w:val="single" w:sz="4" w:space="0" w:color="auto"/>
              <w:right w:val="single" w:sz="4" w:space="0" w:color="auto"/>
            </w:tcBorders>
            <w:vAlign w:val="center"/>
          </w:tcPr>
          <w:p w:rsidR="00927A43" w:rsidRPr="00180C60" w:rsidRDefault="00DA2676" w:rsidP="00927A43">
            <w:pPr>
              <w:spacing w:line="252" w:lineRule="auto"/>
              <w:jc w:val="center"/>
              <w:rPr>
                <w:b/>
                <w:szCs w:val="22"/>
                <w:lang w:eastAsia="en-US"/>
              </w:rPr>
            </w:pPr>
            <w:r>
              <w:rPr>
                <w:rFonts w:eastAsia="Arial"/>
                <w:b/>
                <w:bCs/>
                <w:szCs w:val="22"/>
                <w:lang w:val="es-ES_tradnl" w:eastAsia="en-US"/>
              </w:rPr>
              <w:t>2015</w:t>
            </w:r>
          </w:p>
        </w:tc>
        <w:tc>
          <w:tcPr>
            <w:tcW w:w="1193" w:type="dxa"/>
            <w:tcBorders>
              <w:top w:val="single" w:sz="4" w:space="0" w:color="auto"/>
              <w:left w:val="single" w:sz="4" w:space="0" w:color="auto"/>
              <w:bottom w:val="single" w:sz="4" w:space="0" w:color="auto"/>
              <w:right w:val="single" w:sz="4" w:space="0" w:color="auto"/>
            </w:tcBorders>
            <w:vAlign w:val="center"/>
          </w:tcPr>
          <w:p w:rsidR="00927A43" w:rsidRPr="00180C60" w:rsidRDefault="00DA2676" w:rsidP="00927A43">
            <w:pPr>
              <w:spacing w:line="252" w:lineRule="auto"/>
              <w:jc w:val="center"/>
              <w:rPr>
                <w:b/>
                <w:szCs w:val="22"/>
                <w:lang w:eastAsia="en-US"/>
              </w:rPr>
            </w:pPr>
            <w:r>
              <w:rPr>
                <w:rFonts w:eastAsia="Arial"/>
                <w:b/>
                <w:bCs/>
                <w:szCs w:val="22"/>
                <w:lang w:val="es-ES_tradnl" w:eastAsia="en-US"/>
              </w:rPr>
              <w:t>2016</w:t>
            </w:r>
          </w:p>
        </w:tc>
      </w:tr>
      <w:tr w:rsidR="00927A43" w:rsidRPr="00936DDF" w:rsidTr="005311B5">
        <w:trPr>
          <w:cantSplit/>
        </w:trPr>
        <w:tc>
          <w:tcPr>
            <w:tcW w:w="3361" w:type="dxa"/>
            <w:tcBorders>
              <w:top w:val="single" w:sz="4" w:space="0" w:color="auto"/>
              <w:left w:val="single" w:sz="4" w:space="0" w:color="auto"/>
              <w:bottom w:val="single" w:sz="4" w:space="0" w:color="auto"/>
              <w:right w:val="single" w:sz="4" w:space="0" w:color="auto"/>
            </w:tcBorders>
            <w:hideMark/>
          </w:tcPr>
          <w:p w:rsidR="00927A43" w:rsidRPr="005E08C5" w:rsidRDefault="00DA2676" w:rsidP="00927A43">
            <w:pPr>
              <w:spacing w:before="20" w:after="20" w:line="252" w:lineRule="auto"/>
              <w:rPr>
                <w:rFonts w:eastAsia="Times New Roman"/>
                <w:szCs w:val="22"/>
                <w:lang w:eastAsia="en-US"/>
              </w:rPr>
            </w:pPr>
            <w:r>
              <w:rPr>
                <w:rFonts w:eastAsia="Arial"/>
                <w:szCs w:val="22"/>
                <w:lang w:val="es-ES_tradnl" w:eastAsia="en-US"/>
              </w:rPr>
              <w:t>Primera presentación nacional/</w:t>
            </w:r>
          </w:p>
          <w:p w:rsidR="00927A43" w:rsidRPr="00936DDF" w:rsidRDefault="00DA2676" w:rsidP="00927A43">
            <w:pPr>
              <w:suppressAutoHyphens/>
              <w:spacing w:before="20" w:after="20"/>
              <w:rPr>
                <w:rFonts w:eastAsia="Times New Roman"/>
                <w:szCs w:val="22"/>
                <w:lang w:eastAsia="en-US" w:bidi="he-IL"/>
              </w:rPr>
            </w:pPr>
            <w:r>
              <w:rPr>
                <w:rFonts w:eastAsia="Arial"/>
                <w:szCs w:val="22"/>
                <w:lang w:val="es-ES_tradnl" w:eastAsia="en-US"/>
              </w:rPr>
              <w:t>prioridad nacional</w:t>
            </w:r>
          </w:p>
        </w:tc>
        <w:tc>
          <w:tcPr>
            <w:tcW w:w="1192"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pacing w:before="20" w:after="20" w:line="252" w:lineRule="auto"/>
              <w:jc w:val="center"/>
              <w:rPr>
                <w:szCs w:val="22"/>
                <w:lang w:eastAsia="en-US"/>
              </w:rPr>
            </w:pPr>
            <w:r>
              <w:rPr>
                <w:rFonts w:eastAsia="Arial"/>
                <w:szCs w:val="22"/>
                <w:lang w:val="es-ES_tradnl"/>
              </w:rPr>
              <w:t>627</w:t>
            </w:r>
          </w:p>
        </w:tc>
        <w:tc>
          <w:tcPr>
            <w:tcW w:w="1192"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pacing w:before="20" w:after="20" w:line="252" w:lineRule="auto"/>
              <w:jc w:val="center"/>
              <w:rPr>
                <w:szCs w:val="22"/>
                <w:lang w:eastAsia="en-US"/>
              </w:rPr>
            </w:pPr>
            <w:r>
              <w:rPr>
                <w:rFonts w:eastAsia="Arial"/>
                <w:szCs w:val="22"/>
                <w:lang w:val="es-ES_tradnl"/>
              </w:rPr>
              <w:t>641</w:t>
            </w:r>
          </w:p>
        </w:tc>
        <w:tc>
          <w:tcPr>
            <w:tcW w:w="1193"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pacing w:before="20" w:after="20" w:line="252" w:lineRule="auto"/>
              <w:jc w:val="center"/>
              <w:rPr>
                <w:szCs w:val="22"/>
                <w:lang w:eastAsia="en-US"/>
              </w:rPr>
            </w:pPr>
            <w:r>
              <w:rPr>
                <w:rFonts w:eastAsia="Arial"/>
                <w:szCs w:val="22"/>
                <w:lang w:val="es-ES_tradnl"/>
              </w:rPr>
              <w:t>837</w:t>
            </w:r>
          </w:p>
        </w:tc>
        <w:tc>
          <w:tcPr>
            <w:tcW w:w="1192"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pacing w:before="20" w:after="20" w:line="252" w:lineRule="auto"/>
              <w:jc w:val="center"/>
              <w:rPr>
                <w:szCs w:val="22"/>
                <w:lang w:eastAsia="en-US"/>
              </w:rPr>
            </w:pPr>
            <w:r>
              <w:rPr>
                <w:rFonts w:eastAsia="Arial"/>
                <w:szCs w:val="22"/>
                <w:lang w:val="es-ES_tradnl"/>
              </w:rPr>
              <w:t>1.056</w:t>
            </w:r>
          </w:p>
        </w:tc>
        <w:tc>
          <w:tcPr>
            <w:tcW w:w="1193"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pacing w:before="20" w:after="20" w:line="252" w:lineRule="auto"/>
              <w:jc w:val="center"/>
              <w:rPr>
                <w:szCs w:val="22"/>
                <w:lang w:eastAsia="en-US"/>
              </w:rPr>
            </w:pPr>
            <w:r>
              <w:rPr>
                <w:rFonts w:eastAsia="Arial"/>
                <w:szCs w:val="22"/>
                <w:lang w:val="es-ES_tradnl"/>
              </w:rPr>
              <w:t>1.180</w:t>
            </w:r>
          </w:p>
        </w:tc>
      </w:tr>
      <w:tr w:rsidR="00927A43" w:rsidRPr="00936DDF" w:rsidTr="005311B5">
        <w:trPr>
          <w:cantSplit/>
        </w:trPr>
        <w:tc>
          <w:tcPr>
            <w:tcW w:w="3361" w:type="dxa"/>
            <w:tcBorders>
              <w:top w:val="single" w:sz="4" w:space="0" w:color="auto"/>
              <w:left w:val="single" w:sz="4" w:space="0" w:color="auto"/>
              <w:bottom w:val="single" w:sz="4" w:space="0" w:color="auto"/>
              <w:right w:val="single" w:sz="4" w:space="0" w:color="auto"/>
            </w:tcBorders>
            <w:hideMark/>
          </w:tcPr>
          <w:p w:rsidR="00927A43" w:rsidRPr="00936DDF" w:rsidRDefault="00DA2676" w:rsidP="00927A43">
            <w:pPr>
              <w:suppressAutoHyphens/>
              <w:spacing w:before="20" w:after="20"/>
              <w:rPr>
                <w:rFonts w:eastAsia="Times New Roman"/>
                <w:szCs w:val="22"/>
                <w:lang w:eastAsia="en-US" w:bidi="he-IL"/>
              </w:rPr>
            </w:pPr>
            <w:r>
              <w:rPr>
                <w:rFonts w:eastAsia="Arial"/>
                <w:szCs w:val="22"/>
                <w:lang w:val="es-ES_tradnl" w:eastAsia="en-US"/>
              </w:rPr>
              <w:t>Prioridad por la vía de París</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904</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902</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864</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919</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888</w:t>
            </w:r>
          </w:p>
        </w:tc>
      </w:tr>
      <w:tr w:rsidR="00927A43" w:rsidRPr="00936DDF" w:rsidTr="005311B5">
        <w:trPr>
          <w:cantSplit/>
        </w:trPr>
        <w:tc>
          <w:tcPr>
            <w:tcW w:w="3361" w:type="dxa"/>
            <w:tcBorders>
              <w:top w:val="single" w:sz="4" w:space="0" w:color="auto"/>
              <w:left w:val="single" w:sz="4" w:space="0" w:color="auto"/>
              <w:bottom w:val="single" w:sz="4" w:space="0" w:color="auto"/>
              <w:right w:val="single" w:sz="4" w:space="0" w:color="auto"/>
            </w:tcBorders>
            <w:hideMark/>
          </w:tcPr>
          <w:p w:rsidR="00927A43" w:rsidRPr="00936DDF" w:rsidRDefault="00DA2676" w:rsidP="00927A43">
            <w:pPr>
              <w:suppressAutoHyphens/>
              <w:spacing w:before="20" w:after="20"/>
              <w:rPr>
                <w:rFonts w:eastAsia="Times New Roman"/>
                <w:szCs w:val="22"/>
                <w:lang w:eastAsia="en-US" w:bidi="he-IL"/>
              </w:rPr>
            </w:pPr>
            <w:r>
              <w:rPr>
                <w:rFonts w:eastAsia="Arial"/>
                <w:szCs w:val="22"/>
                <w:lang w:val="es-ES_tradnl" w:eastAsia="en-US"/>
              </w:rPr>
              <w:t>Divisionales</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1.484</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1.621</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1.489</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1.575</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1.872</w:t>
            </w:r>
          </w:p>
        </w:tc>
      </w:tr>
      <w:tr w:rsidR="00927A43" w:rsidRPr="00936DDF" w:rsidTr="005311B5">
        <w:trPr>
          <w:cantSplit/>
        </w:trPr>
        <w:tc>
          <w:tcPr>
            <w:tcW w:w="3361"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uppressAutoHyphens/>
              <w:spacing w:before="20" w:after="20"/>
              <w:rPr>
                <w:szCs w:val="22"/>
                <w:lang w:eastAsia="en-US" w:bidi="he-IL"/>
              </w:rPr>
            </w:pPr>
            <w:r>
              <w:rPr>
                <w:rFonts w:eastAsia="Arial"/>
                <w:szCs w:val="22"/>
                <w:lang w:val="es-ES_tradnl" w:eastAsia="en-US"/>
              </w:rPr>
              <w:t>Entrada en la fase nacional del PCT</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6.672</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6.558</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7.123</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7.264</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7.040</w:t>
            </w:r>
          </w:p>
        </w:tc>
      </w:tr>
      <w:tr w:rsidR="00927A43" w:rsidRPr="00936DDF" w:rsidTr="005311B5">
        <w:trPr>
          <w:cantSplit/>
        </w:trPr>
        <w:tc>
          <w:tcPr>
            <w:tcW w:w="3361" w:type="dxa"/>
            <w:tcBorders>
              <w:top w:val="single" w:sz="4" w:space="0" w:color="auto"/>
              <w:left w:val="single" w:sz="4" w:space="0" w:color="auto"/>
              <w:bottom w:val="single" w:sz="4" w:space="0" w:color="auto"/>
              <w:right w:val="single" w:sz="4" w:space="0" w:color="auto"/>
            </w:tcBorders>
          </w:tcPr>
          <w:p w:rsidR="00927A43" w:rsidRPr="00936DDF" w:rsidRDefault="00DA2676" w:rsidP="00927A43">
            <w:pPr>
              <w:suppressAutoHyphens/>
              <w:spacing w:before="20" w:after="20"/>
              <w:rPr>
                <w:szCs w:val="22"/>
                <w:lang w:eastAsia="en-US" w:bidi="he-IL"/>
              </w:rPr>
            </w:pPr>
            <w:r>
              <w:rPr>
                <w:rFonts w:eastAsia="Arial"/>
                <w:szCs w:val="22"/>
                <w:lang w:val="es-ES_tradnl" w:eastAsia="en-US"/>
              </w:rPr>
              <w:t>Total</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9.687</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9.722</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10.313</w:t>
            </w:r>
          </w:p>
        </w:tc>
        <w:tc>
          <w:tcPr>
            <w:tcW w:w="1192"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10.814</w:t>
            </w:r>
          </w:p>
        </w:tc>
        <w:tc>
          <w:tcPr>
            <w:tcW w:w="1193" w:type="dxa"/>
            <w:tcBorders>
              <w:top w:val="single" w:sz="4" w:space="0" w:color="auto"/>
              <w:left w:val="single" w:sz="4" w:space="0" w:color="auto"/>
              <w:bottom w:val="single" w:sz="4" w:space="0" w:color="auto"/>
              <w:right w:val="single" w:sz="4" w:space="0" w:color="auto"/>
            </w:tcBorders>
            <w:vAlign w:val="bottom"/>
          </w:tcPr>
          <w:p w:rsidR="00927A43" w:rsidRPr="00936DDF" w:rsidRDefault="00DA2676" w:rsidP="00927A43">
            <w:pPr>
              <w:spacing w:before="20" w:after="20" w:line="252" w:lineRule="auto"/>
              <w:jc w:val="center"/>
              <w:rPr>
                <w:szCs w:val="22"/>
                <w:lang w:eastAsia="en-US"/>
              </w:rPr>
            </w:pPr>
            <w:r>
              <w:rPr>
                <w:rFonts w:eastAsia="Arial"/>
                <w:szCs w:val="22"/>
                <w:lang w:val="es-ES_tradnl"/>
              </w:rPr>
              <w:t>10.980</w:t>
            </w:r>
          </w:p>
        </w:tc>
      </w:tr>
    </w:tbl>
    <w:p w:rsidR="00927A43" w:rsidRDefault="00DA2676" w:rsidP="00927A43">
      <w:pPr>
        <w:rPr>
          <w:rFonts w:eastAsia="Times New Roman"/>
          <w:i/>
          <w:iCs/>
          <w:sz w:val="20"/>
        </w:rPr>
      </w:pPr>
      <w:r>
        <w:rPr>
          <w:rFonts w:eastAsia="Arial"/>
          <w:i/>
          <w:iCs/>
          <w:sz w:val="20"/>
          <w:lang w:val="es-ES_tradnl"/>
        </w:rPr>
        <w:t xml:space="preserve">Datos </w:t>
      </w:r>
      <w:r w:rsidR="009F36F3">
        <w:rPr>
          <w:rFonts w:eastAsia="Arial"/>
          <w:i/>
          <w:iCs/>
          <w:sz w:val="20"/>
          <w:lang w:val="es-ES_tradnl"/>
        </w:rPr>
        <w:t>basados en</w:t>
      </w:r>
      <w:r>
        <w:rPr>
          <w:rFonts w:eastAsia="Arial"/>
          <w:i/>
          <w:iCs/>
          <w:sz w:val="20"/>
          <w:lang w:val="es-ES_tradnl"/>
        </w:rPr>
        <w:t xml:space="preserve"> la fecha de presentación de la solicitud</w:t>
      </w:r>
    </w:p>
    <w:p w:rsidR="00927A43" w:rsidRPr="005E08C5" w:rsidRDefault="00927A43" w:rsidP="00927A43">
      <w:pPr>
        <w:rPr>
          <w:rFonts w:eastAsia="Times New Roman"/>
          <w:i/>
          <w:iCs/>
          <w:sz w:val="20"/>
        </w:rPr>
      </w:pPr>
    </w:p>
    <w:p w:rsidR="00927A43" w:rsidRPr="005E08C5" w:rsidRDefault="00DA2676" w:rsidP="00927A43">
      <w:pPr>
        <w:pStyle w:val="Heading2"/>
      </w:pPr>
      <w:r>
        <w:rPr>
          <w:rFonts w:eastAsia="Arial"/>
          <w:szCs w:val="22"/>
          <w:lang w:val="es-ES_tradnl"/>
        </w:rPr>
        <w:t xml:space="preserve">6.3 </w:t>
      </w:r>
      <w:r>
        <w:rPr>
          <w:rFonts w:eastAsia="Arial"/>
          <w:szCs w:val="22"/>
          <w:lang w:val="es-ES_tradnl"/>
        </w:rPr>
        <w:tab/>
        <w:t xml:space="preserve">TIEMPO MEDIO DE TRAMITACIÓN DE LAS PATENTES NACIONALES:  </w:t>
      </w:r>
    </w:p>
    <w:p w:rsidR="00927A43" w:rsidRPr="005E08C5" w:rsidRDefault="00DA2676" w:rsidP="00927A43">
      <w:r>
        <w:rPr>
          <w:rFonts w:eastAsia="Arial"/>
          <w:szCs w:val="22"/>
          <w:lang w:val="es-ES_tradnl"/>
        </w:rPr>
        <w:t xml:space="preserve">En promedio, </w:t>
      </w:r>
      <w:r w:rsidR="00F33B7F" w:rsidRPr="00F33B7F">
        <w:rPr>
          <w:rFonts w:eastAsia="Arial"/>
          <w:szCs w:val="22"/>
          <w:lang w:val="es-ES_tradnl"/>
        </w:rPr>
        <w:t xml:space="preserve">las decisiones se emiten dentro de un plazo </w:t>
      </w:r>
      <w:r w:rsidR="00662E7B">
        <w:rPr>
          <w:rFonts w:eastAsia="Arial"/>
          <w:szCs w:val="22"/>
          <w:lang w:val="es-ES_tradnl"/>
        </w:rPr>
        <w:t>de</w:t>
      </w:r>
      <w:r w:rsidR="00F33B7F" w:rsidRPr="00F33B7F">
        <w:rPr>
          <w:rFonts w:eastAsia="Arial"/>
          <w:szCs w:val="22"/>
          <w:lang w:val="es-ES_tradnl"/>
        </w:rPr>
        <w:t xml:space="preserve"> seis meses, mientras que el plazo para aprobar una solicitud es de 30 meses desde la fecha </w:t>
      </w:r>
      <w:r w:rsidR="00F33B7F">
        <w:rPr>
          <w:rFonts w:eastAsia="Arial"/>
          <w:szCs w:val="22"/>
          <w:lang w:val="es-ES_tradnl"/>
        </w:rPr>
        <w:t>en que se presentó la solicitud</w:t>
      </w:r>
      <w:r>
        <w:rPr>
          <w:rFonts w:eastAsia="Arial"/>
          <w:szCs w:val="22"/>
          <w:lang w:val="es-ES_tradnl"/>
        </w:rPr>
        <w:t xml:space="preserve">.  No obstante, la IPOS ofrece un trámite acelerado mediante el cual las solicitudes que reúnan </w:t>
      </w:r>
      <w:r w:rsidR="001E7FA1">
        <w:rPr>
          <w:rFonts w:eastAsia="Arial"/>
          <w:szCs w:val="22"/>
          <w:lang w:val="es-ES_tradnl"/>
        </w:rPr>
        <w:t>ciertos</w:t>
      </w:r>
      <w:r>
        <w:rPr>
          <w:rFonts w:eastAsia="Arial"/>
          <w:szCs w:val="22"/>
          <w:lang w:val="es-ES_tradnl"/>
        </w:rPr>
        <w:t xml:space="preserve"> requisitos (como las solicitudes cuyo primer país de presentación es Singapur) pueden aprobarse en un plazo máximo de un año.  Por lo general, las solicitudes tramitadas en el marco del trámite acelerado reciben una primera decisión de la Oficina en un plazo de 60 días.</w:t>
      </w:r>
    </w:p>
    <w:p w:rsidR="00927A43" w:rsidRPr="005E08C5" w:rsidRDefault="00DA2676" w:rsidP="00927A43">
      <w:pPr>
        <w:pStyle w:val="Heading2"/>
      </w:pPr>
      <w:r>
        <w:rPr>
          <w:rFonts w:eastAsia="Arial"/>
          <w:szCs w:val="22"/>
          <w:lang w:val="es-ES_tradnl"/>
        </w:rPr>
        <w:t xml:space="preserve">6.4 </w:t>
      </w:r>
      <w:r>
        <w:rPr>
          <w:rFonts w:eastAsia="Arial"/>
          <w:szCs w:val="22"/>
          <w:lang w:val="es-ES_tradnl"/>
        </w:rPr>
        <w:tab/>
        <w:t xml:space="preserve">CARGA DE TRABAJO NACIONAL  </w:t>
      </w:r>
    </w:p>
    <w:p w:rsidR="00927A43" w:rsidRDefault="00DA2676" w:rsidP="00927A43">
      <w:pPr>
        <w:rPr>
          <w:lang w:val="en-SG"/>
        </w:rPr>
      </w:pPr>
      <w:r>
        <w:rPr>
          <w:rFonts w:eastAsia="Arial"/>
          <w:szCs w:val="22"/>
          <w:lang w:val="es-ES_tradnl"/>
        </w:rPr>
        <w:t>En función de sus necesidades, en Singapur un solicitante puede presentar una solicitud de búsqueda y examen mediante la aplicación de distintos enfoques.  Estos son:</w:t>
      </w:r>
    </w:p>
    <w:p w:rsidR="00927A43" w:rsidRPr="004C6A76" w:rsidRDefault="00927A43" w:rsidP="00927A43"/>
    <w:p w:rsidR="00927A43" w:rsidRPr="005E08C5" w:rsidRDefault="00DA2676" w:rsidP="00927A43">
      <w:pPr>
        <w:pStyle w:val="ListParagraph"/>
        <w:numPr>
          <w:ilvl w:val="0"/>
          <w:numId w:val="8"/>
        </w:numPr>
        <w:ind w:left="1134" w:hanging="567"/>
      </w:pPr>
      <w:r>
        <w:rPr>
          <w:rFonts w:eastAsia="Arial"/>
          <w:szCs w:val="22"/>
          <w:lang w:val="es-ES_tradnl"/>
        </w:rPr>
        <w:t>Solicitud de búsqueda por medio del</w:t>
      </w:r>
      <w:r w:rsidR="009363EB">
        <w:rPr>
          <w:rFonts w:eastAsia="Arial"/>
          <w:szCs w:val="22"/>
          <w:lang w:val="es-ES_tradnl"/>
        </w:rPr>
        <w:t xml:space="preserve"> </w:t>
      </w:r>
      <w:r>
        <w:rPr>
          <w:rFonts w:eastAsia="Arial"/>
          <w:b/>
          <w:bCs/>
          <w:szCs w:val="22"/>
          <w:lang w:val="es-ES_tradnl"/>
        </w:rPr>
        <w:t>Formulario de Patente 10</w:t>
      </w:r>
    </w:p>
    <w:p w:rsidR="00927A43" w:rsidRPr="005E08C5" w:rsidRDefault="00DA2676" w:rsidP="00927A43">
      <w:pPr>
        <w:pStyle w:val="ListParagraph"/>
        <w:numPr>
          <w:ilvl w:val="1"/>
          <w:numId w:val="8"/>
        </w:numPr>
      </w:pPr>
      <w:r>
        <w:rPr>
          <w:rFonts w:eastAsia="Arial"/>
          <w:szCs w:val="22"/>
          <w:lang w:val="es-ES_tradnl"/>
        </w:rPr>
        <w:t>Un solicitante puede solicitar únicamente una búsqueda y decidir si es necesario que se efectúe un examen tras la revisión del informe de búsqueda.</w:t>
      </w:r>
    </w:p>
    <w:p w:rsidR="00927A43" w:rsidRPr="005E08C5" w:rsidRDefault="00927A43" w:rsidP="00927A43">
      <w:pPr>
        <w:pStyle w:val="ListParagraph"/>
        <w:ind w:left="1440"/>
      </w:pPr>
    </w:p>
    <w:p w:rsidR="00927A43" w:rsidRPr="005E08C5" w:rsidRDefault="00DA2676" w:rsidP="00927A43">
      <w:pPr>
        <w:pStyle w:val="ListParagraph"/>
        <w:numPr>
          <w:ilvl w:val="0"/>
          <w:numId w:val="8"/>
        </w:numPr>
        <w:ind w:left="1134" w:hanging="567"/>
      </w:pPr>
      <w:r>
        <w:rPr>
          <w:rFonts w:eastAsia="Arial"/>
          <w:szCs w:val="22"/>
          <w:lang w:val="es-ES_tradnl"/>
        </w:rPr>
        <w:t xml:space="preserve">Solicitud de búsqueda y examen por medio del </w:t>
      </w:r>
      <w:r>
        <w:rPr>
          <w:rFonts w:eastAsia="Arial"/>
          <w:b/>
          <w:bCs/>
          <w:szCs w:val="22"/>
          <w:lang w:val="es-ES_tradnl"/>
        </w:rPr>
        <w:t>Formulario de Patente 11</w:t>
      </w:r>
    </w:p>
    <w:p w:rsidR="00927A43" w:rsidRPr="005E08C5" w:rsidRDefault="00DA2676" w:rsidP="00927A43">
      <w:pPr>
        <w:pStyle w:val="ListParagraph"/>
        <w:numPr>
          <w:ilvl w:val="1"/>
          <w:numId w:val="8"/>
        </w:numPr>
      </w:pPr>
      <w:r>
        <w:rPr>
          <w:rFonts w:eastAsia="Arial"/>
          <w:szCs w:val="22"/>
          <w:lang w:val="es-ES_tradnl"/>
        </w:rPr>
        <w:t>Un solicitante puede solicitar una búsqueda y examen al mismo tiempo.</w:t>
      </w:r>
    </w:p>
    <w:p w:rsidR="00927A43" w:rsidRPr="005E08C5" w:rsidRDefault="00927A43" w:rsidP="00927A43">
      <w:pPr>
        <w:pStyle w:val="ListParagraph"/>
        <w:ind w:left="1440"/>
      </w:pPr>
    </w:p>
    <w:p w:rsidR="00927A43" w:rsidRPr="005E08C5" w:rsidRDefault="00DA2676" w:rsidP="00927A43">
      <w:pPr>
        <w:pStyle w:val="ListParagraph"/>
        <w:numPr>
          <w:ilvl w:val="0"/>
          <w:numId w:val="8"/>
        </w:numPr>
        <w:ind w:left="1134" w:hanging="567"/>
      </w:pPr>
      <w:r>
        <w:rPr>
          <w:rFonts w:eastAsia="Arial"/>
          <w:szCs w:val="22"/>
          <w:lang w:val="es-ES_tradnl"/>
        </w:rPr>
        <w:t xml:space="preserve">Solicitud de examen por medio del </w:t>
      </w:r>
      <w:r>
        <w:rPr>
          <w:rFonts w:eastAsia="Arial"/>
          <w:b/>
          <w:bCs/>
          <w:szCs w:val="22"/>
          <w:lang w:val="es-ES_tradnl"/>
        </w:rPr>
        <w:t>Formulario de Patente 12</w:t>
      </w:r>
    </w:p>
    <w:p w:rsidR="00927A43" w:rsidRPr="00F33B7F" w:rsidRDefault="00DA2676" w:rsidP="00927A43">
      <w:pPr>
        <w:pStyle w:val="ListParagraph"/>
        <w:numPr>
          <w:ilvl w:val="1"/>
          <w:numId w:val="8"/>
        </w:numPr>
      </w:pPr>
      <w:r>
        <w:rPr>
          <w:rFonts w:eastAsia="Arial"/>
          <w:szCs w:val="22"/>
          <w:lang w:val="es-ES_tradnl"/>
        </w:rPr>
        <w:t>Un solicitante puede decidir si procede con el examen tras la revisión del informe de búsqueda.</w:t>
      </w:r>
    </w:p>
    <w:p w:rsidR="00F33B7F" w:rsidRPr="005E08C5" w:rsidRDefault="00F33B7F" w:rsidP="00F33B7F">
      <w:pPr>
        <w:pStyle w:val="ListParagraph"/>
        <w:ind w:left="1440"/>
      </w:pPr>
    </w:p>
    <w:p w:rsidR="00927A43" w:rsidRPr="005E08C5" w:rsidRDefault="00DA2676" w:rsidP="00927A43">
      <w:pPr>
        <w:pStyle w:val="ListParagraph"/>
        <w:numPr>
          <w:ilvl w:val="0"/>
          <w:numId w:val="8"/>
        </w:numPr>
        <w:ind w:left="1134" w:hanging="567"/>
      </w:pPr>
      <w:r>
        <w:rPr>
          <w:rFonts w:eastAsia="Arial"/>
          <w:szCs w:val="22"/>
          <w:lang w:val="es-ES_tradnl"/>
        </w:rPr>
        <w:t xml:space="preserve">Solicitud de examen suplementario por medio del </w:t>
      </w:r>
      <w:r>
        <w:rPr>
          <w:rFonts w:eastAsia="Arial"/>
          <w:b/>
          <w:bCs/>
          <w:szCs w:val="22"/>
          <w:lang w:val="es-ES_tradnl"/>
        </w:rPr>
        <w:t>Formulario de Patente 12A</w:t>
      </w:r>
    </w:p>
    <w:p w:rsidR="00927A43" w:rsidRPr="005E08C5" w:rsidRDefault="00DA2676" w:rsidP="00927A43">
      <w:pPr>
        <w:pStyle w:val="ListParagraph"/>
        <w:numPr>
          <w:ilvl w:val="1"/>
          <w:numId w:val="8"/>
        </w:numPr>
      </w:pPr>
      <w:r>
        <w:rPr>
          <w:rFonts w:eastAsia="Arial"/>
          <w:szCs w:val="22"/>
          <w:lang w:val="es-ES_tradnl"/>
        </w:rPr>
        <w:t>Un solicitante puede fundar su solicitud de examen complementario en una serie de informes positivos extranjeros o en una patente previamente concedida.</w:t>
      </w:r>
    </w:p>
    <w:p w:rsidR="00927A43" w:rsidRPr="005E08C5" w:rsidRDefault="00927A43" w:rsidP="00927A43"/>
    <w:p w:rsidR="00927A43" w:rsidRPr="005E08C5" w:rsidRDefault="00DA2676" w:rsidP="006446D8">
      <w:pPr>
        <w:widowControl w:val="0"/>
      </w:pPr>
      <w:r>
        <w:rPr>
          <w:rFonts w:eastAsia="Arial"/>
          <w:szCs w:val="22"/>
          <w:lang w:val="es-ES_tradnl"/>
        </w:rPr>
        <w:t>En el cuadro que figura a continuación se indica la carga de trabajo nacional de la IPOS según los distintos enfoques de búsqueda y examen descrit</w:t>
      </w:r>
      <w:r w:rsidR="00F33B7F">
        <w:rPr>
          <w:rFonts w:eastAsia="Arial"/>
          <w:szCs w:val="22"/>
          <w:lang w:val="es-ES_tradnl"/>
        </w:rPr>
        <w:t xml:space="preserve">os en los párrafos anteriores. </w:t>
      </w:r>
      <w:r>
        <w:rPr>
          <w:rFonts w:eastAsia="Arial"/>
          <w:szCs w:val="22"/>
          <w:lang w:val="es-ES_tradnl"/>
        </w:rPr>
        <w:t xml:space="preserve"> Las cifras que figuran a continuación corresponden a enero de 2017.</w:t>
      </w:r>
    </w:p>
    <w:p w:rsidR="00927A43" w:rsidRPr="00140C29" w:rsidRDefault="00927A43" w:rsidP="00927A43">
      <w:pPr>
        <w:keepNext/>
        <w:keepLines/>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118"/>
      </w:tblGrid>
      <w:tr w:rsidR="00927A43" w:rsidRPr="00936DDF" w:rsidTr="00AD2D7A">
        <w:trPr>
          <w:cantSplit/>
        </w:trPr>
        <w:tc>
          <w:tcPr>
            <w:tcW w:w="6204" w:type="dxa"/>
            <w:tcBorders>
              <w:top w:val="single" w:sz="4" w:space="0" w:color="auto"/>
              <w:left w:val="single" w:sz="4" w:space="0" w:color="auto"/>
              <w:bottom w:val="single" w:sz="4" w:space="0" w:color="auto"/>
              <w:right w:val="single" w:sz="4" w:space="0" w:color="auto"/>
            </w:tcBorders>
            <w:hideMark/>
          </w:tcPr>
          <w:p w:rsidR="00927A43" w:rsidRPr="00936DDF" w:rsidRDefault="00DA2676" w:rsidP="00A37C3A">
            <w:pPr>
              <w:keepNext/>
              <w:keepLines/>
              <w:suppressAutoHyphens/>
              <w:jc w:val="center"/>
              <w:rPr>
                <w:rFonts w:eastAsia="Times New Roman"/>
                <w:b/>
                <w:bCs/>
                <w:szCs w:val="22"/>
                <w:lang w:eastAsia="en-US" w:bidi="he-IL"/>
              </w:rPr>
            </w:pPr>
            <w:r>
              <w:rPr>
                <w:rFonts w:eastAsia="Arial"/>
                <w:b/>
                <w:bCs/>
                <w:szCs w:val="22"/>
                <w:lang w:val="es-ES_tradnl" w:eastAsia="en-US" w:bidi="he-IL"/>
              </w:rPr>
              <w:t>Medida</w:t>
            </w:r>
          </w:p>
        </w:tc>
        <w:tc>
          <w:tcPr>
            <w:tcW w:w="3118" w:type="dxa"/>
            <w:tcBorders>
              <w:top w:val="single" w:sz="4" w:space="0" w:color="auto"/>
              <w:left w:val="single" w:sz="4" w:space="0" w:color="auto"/>
              <w:bottom w:val="single" w:sz="4" w:space="0" w:color="auto"/>
              <w:right w:val="single" w:sz="4" w:space="0" w:color="auto"/>
            </w:tcBorders>
            <w:hideMark/>
          </w:tcPr>
          <w:p w:rsidR="00927A43" w:rsidRPr="00936DDF" w:rsidRDefault="00DA2676" w:rsidP="00A37C3A">
            <w:pPr>
              <w:keepNext/>
              <w:keepLines/>
              <w:suppressAutoHyphens/>
              <w:jc w:val="center"/>
              <w:rPr>
                <w:rFonts w:eastAsia="Times New Roman"/>
                <w:b/>
                <w:bCs/>
                <w:szCs w:val="22"/>
                <w:lang w:eastAsia="en-US" w:bidi="he-IL"/>
              </w:rPr>
            </w:pPr>
            <w:r>
              <w:rPr>
                <w:rFonts w:eastAsia="Arial"/>
                <w:b/>
                <w:bCs/>
                <w:szCs w:val="22"/>
                <w:lang w:val="es-ES_tradnl" w:eastAsia="en-US"/>
              </w:rPr>
              <w:t>Número de solicitudes</w:t>
            </w:r>
          </w:p>
        </w:tc>
      </w:tr>
      <w:tr w:rsidR="00927A43" w:rsidRPr="00936DDF" w:rsidTr="00AD2D7A">
        <w:trPr>
          <w:cantSplit/>
        </w:trPr>
        <w:tc>
          <w:tcPr>
            <w:tcW w:w="6204" w:type="dxa"/>
            <w:tcBorders>
              <w:top w:val="single" w:sz="4" w:space="0" w:color="auto"/>
              <w:left w:val="single" w:sz="4" w:space="0" w:color="auto"/>
              <w:bottom w:val="single" w:sz="4" w:space="0" w:color="auto"/>
              <w:right w:val="single" w:sz="4" w:space="0" w:color="auto"/>
            </w:tcBorders>
            <w:hideMark/>
          </w:tcPr>
          <w:p w:rsidR="00927A43" w:rsidRPr="00936DDF" w:rsidRDefault="00AD2D7A" w:rsidP="00A37C3A">
            <w:pPr>
              <w:keepNext/>
              <w:keepLines/>
              <w:suppressAutoHyphens/>
              <w:spacing w:before="20" w:after="20"/>
              <w:jc w:val="center"/>
              <w:rPr>
                <w:szCs w:val="22"/>
              </w:rPr>
            </w:pPr>
            <w:r>
              <w:rPr>
                <w:rFonts w:eastAsia="Arial"/>
                <w:szCs w:val="22"/>
                <w:lang w:val="es-ES_tradnl"/>
              </w:rPr>
              <w:t>Total de</w:t>
            </w:r>
            <w:r w:rsidR="00DA2676">
              <w:rPr>
                <w:rFonts w:eastAsia="Arial"/>
                <w:szCs w:val="22"/>
                <w:lang w:val="es-ES_tradnl"/>
              </w:rPr>
              <w:t xml:space="preserve"> solicitudes pendientes, </w:t>
            </w:r>
            <w:r w:rsidR="004D3C12">
              <w:rPr>
                <w:rFonts w:eastAsia="Arial"/>
                <w:szCs w:val="22"/>
                <w:lang w:val="es-ES_tradnl"/>
              </w:rPr>
              <w:t>a la</w:t>
            </w:r>
            <w:r w:rsidR="00DA2676">
              <w:rPr>
                <w:rFonts w:eastAsia="Arial"/>
                <w:szCs w:val="22"/>
                <w:lang w:val="es-ES_tradnl"/>
              </w:rPr>
              <w:t xml:space="preserve"> espera del informe final</w:t>
            </w:r>
          </w:p>
          <w:p w:rsidR="00927A43" w:rsidRPr="00936DDF" w:rsidRDefault="00DA2676" w:rsidP="00A37C3A">
            <w:pPr>
              <w:keepNext/>
              <w:keepLines/>
              <w:suppressAutoHyphens/>
              <w:spacing w:before="20" w:after="20"/>
              <w:jc w:val="center"/>
              <w:rPr>
                <w:szCs w:val="22"/>
              </w:rPr>
            </w:pPr>
            <w:r>
              <w:rPr>
                <w:rFonts w:eastAsia="Arial"/>
                <w:szCs w:val="22"/>
                <w:lang w:val="es-ES_tradnl"/>
              </w:rPr>
              <w:t>(incluyen los Formularios de Patente 10, 11, 12 y 12A)</w:t>
            </w:r>
          </w:p>
        </w:tc>
        <w:tc>
          <w:tcPr>
            <w:tcW w:w="3118" w:type="dxa"/>
            <w:tcBorders>
              <w:top w:val="single" w:sz="4" w:space="0" w:color="auto"/>
              <w:left w:val="single" w:sz="4" w:space="0" w:color="auto"/>
              <w:bottom w:val="single" w:sz="4" w:space="0" w:color="auto"/>
              <w:right w:val="single" w:sz="4" w:space="0" w:color="auto"/>
            </w:tcBorders>
            <w:vAlign w:val="center"/>
          </w:tcPr>
          <w:p w:rsidR="00927A43" w:rsidRPr="00936DDF" w:rsidRDefault="00DA2676" w:rsidP="00A37C3A">
            <w:pPr>
              <w:keepNext/>
              <w:spacing w:before="20" w:after="20" w:line="252" w:lineRule="auto"/>
              <w:jc w:val="center"/>
              <w:rPr>
                <w:rFonts w:eastAsia="Times New Roman"/>
                <w:szCs w:val="22"/>
                <w:lang w:eastAsia="en-US" w:bidi="he-IL"/>
              </w:rPr>
            </w:pPr>
            <w:r>
              <w:rPr>
                <w:rFonts w:eastAsia="Arial"/>
                <w:szCs w:val="22"/>
                <w:lang w:val="es-ES_tradnl"/>
              </w:rPr>
              <w:t>5.488</w:t>
            </w:r>
          </w:p>
        </w:tc>
      </w:tr>
      <w:tr w:rsidR="00927A43" w:rsidRPr="00936DDF" w:rsidTr="00AD2D7A">
        <w:trPr>
          <w:cantSplit/>
        </w:trPr>
        <w:tc>
          <w:tcPr>
            <w:tcW w:w="6204" w:type="dxa"/>
            <w:tcBorders>
              <w:top w:val="single" w:sz="4" w:space="0" w:color="auto"/>
              <w:left w:val="single" w:sz="4" w:space="0" w:color="auto"/>
              <w:bottom w:val="single" w:sz="4" w:space="0" w:color="auto"/>
              <w:right w:val="single" w:sz="4" w:space="0" w:color="auto"/>
            </w:tcBorders>
            <w:hideMark/>
          </w:tcPr>
          <w:p w:rsidR="00927A43" w:rsidRPr="00936DDF" w:rsidRDefault="00DA2676" w:rsidP="00A37C3A">
            <w:pPr>
              <w:keepNext/>
              <w:keepLines/>
              <w:suppressAutoHyphens/>
              <w:spacing w:before="20" w:after="20"/>
              <w:jc w:val="center"/>
              <w:rPr>
                <w:szCs w:val="22"/>
              </w:rPr>
            </w:pPr>
            <w:r>
              <w:rPr>
                <w:rFonts w:eastAsia="Arial"/>
                <w:szCs w:val="22"/>
                <w:lang w:val="es-ES_tradnl"/>
              </w:rPr>
              <w:t xml:space="preserve">Solicitudes pendientes de búsqueda </w:t>
            </w:r>
          </w:p>
          <w:p w:rsidR="00927A43" w:rsidRPr="00936DDF" w:rsidRDefault="00DA2676" w:rsidP="00A37C3A">
            <w:pPr>
              <w:keepNext/>
              <w:keepLines/>
              <w:suppressAutoHyphens/>
              <w:spacing w:before="20" w:after="20"/>
              <w:jc w:val="center"/>
              <w:rPr>
                <w:szCs w:val="22"/>
              </w:rPr>
            </w:pPr>
            <w:r>
              <w:rPr>
                <w:rFonts w:eastAsia="Arial"/>
                <w:szCs w:val="22"/>
                <w:lang w:val="es-ES_tradnl"/>
              </w:rPr>
              <w:t>(incluyen los Formularios de Patente 10 y 11)</w:t>
            </w:r>
          </w:p>
        </w:tc>
        <w:tc>
          <w:tcPr>
            <w:tcW w:w="3118" w:type="dxa"/>
            <w:tcBorders>
              <w:top w:val="single" w:sz="4" w:space="0" w:color="auto"/>
              <w:left w:val="single" w:sz="4" w:space="0" w:color="auto"/>
              <w:bottom w:val="single" w:sz="4" w:space="0" w:color="auto"/>
              <w:right w:val="single" w:sz="4" w:space="0" w:color="auto"/>
            </w:tcBorders>
            <w:vAlign w:val="center"/>
          </w:tcPr>
          <w:p w:rsidR="00927A43" w:rsidRPr="00936DDF" w:rsidRDefault="00DA2676" w:rsidP="00A37C3A">
            <w:pPr>
              <w:keepNext/>
              <w:spacing w:before="20" w:after="20" w:line="252" w:lineRule="auto"/>
              <w:jc w:val="center"/>
              <w:rPr>
                <w:rFonts w:eastAsia="Times New Roman"/>
                <w:szCs w:val="22"/>
                <w:lang w:eastAsia="en-US" w:bidi="he-IL"/>
              </w:rPr>
            </w:pPr>
            <w:r>
              <w:rPr>
                <w:rFonts w:eastAsia="Arial"/>
                <w:szCs w:val="22"/>
                <w:lang w:val="es-ES_tradnl"/>
              </w:rPr>
              <w:t>879</w:t>
            </w:r>
          </w:p>
        </w:tc>
      </w:tr>
      <w:tr w:rsidR="00927A43" w:rsidRPr="00936DDF" w:rsidTr="00AD2D7A">
        <w:trPr>
          <w:cantSplit/>
        </w:trPr>
        <w:tc>
          <w:tcPr>
            <w:tcW w:w="6204" w:type="dxa"/>
            <w:tcBorders>
              <w:top w:val="single" w:sz="4" w:space="0" w:color="auto"/>
              <w:left w:val="single" w:sz="4" w:space="0" w:color="auto"/>
              <w:bottom w:val="single" w:sz="4" w:space="0" w:color="auto"/>
              <w:right w:val="single" w:sz="4" w:space="0" w:color="auto"/>
            </w:tcBorders>
            <w:hideMark/>
          </w:tcPr>
          <w:p w:rsidR="00927A43" w:rsidRDefault="00DA2676" w:rsidP="00A37C3A">
            <w:pPr>
              <w:keepNext/>
              <w:keepLines/>
              <w:suppressAutoHyphens/>
              <w:spacing w:before="20" w:after="20"/>
              <w:jc w:val="center"/>
              <w:rPr>
                <w:szCs w:val="22"/>
              </w:rPr>
            </w:pPr>
            <w:r>
              <w:rPr>
                <w:rFonts w:eastAsia="Arial"/>
                <w:szCs w:val="22"/>
                <w:lang w:val="es-ES_tradnl"/>
              </w:rPr>
              <w:t xml:space="preserve">Solicitudes pendientes de primer examen </w:t>
            </w:r>
          </w:p>
          <w:p w:rsidR="00927A43" w:rsidRPr="00936DDF" w:rsidRDefault="00DA2676" w:rsidP="00A37C3A">
            <w:pPr>
              <w:keepNext/>
              <w:keepLines/>
              <w:suppressAutoHyphens/>
              <w:spacing w:before="20" w:after="20"/>
              <w:jc w:val="center"/>
              <w:rPr>
                <w:szCs w:val="22"/>
              </w:rPr>
            </w:pPr>
            <w:r>
              <w:rPr>
                <w:rFonts w:eastAsia="Arial"/>
                <w:szCs w:val="22"/>
                <w:lang w:val="es-ES_tradnl"/>
              </w:rPr>
              <w:t>(incluyen los Formularios de Patente 11, 12 y 12A)</w:t>
            </w:r>
          </w:p>
        </w:tc>
        <w:tc>
          <w:tcPr>
            <w:tcW w:w="3118" w:type="dxa"/>
            <w:tcBorders>
              <w:top w:val="single" w:sz="4" w:space="0" w:color="auto"/>
              <w:left w:val="single" w:sz="4" w:space="0" w:color="auto"/>
              <w:bottom w:val="single" w:sz="4" w:space="0" w:color="auto"/>
              <w:right w:val="single" w:sz="4" w:space="0" w:color="auto"/>
            </w:tcBorders>
            <w:vAlign w:val="center"/>
          </w:tcPr>
          <w:p w:rsidR="00927A43" w:rsidRPr="00936DDF" w:rsidRDefault="00DA2676" w:rsidP="00A37C3A">
            <w:pPr>
              <w:keepNext/>
              <w:spacing w:before="20" w:after="20" w:line="252" w:lineRule="auto"/>
              <w:jc w:val="center"/>
              <w:rPr>
                <w:rFonts w:eastAsia="Times New Roman"/>
                <w:szCs w:val="22"/>
                <w:lang w:eastAsia="en-US" w:bidi="he-IL"/>
              </w:rPr>
            </w:pPr>
            <w:r>
              <w:rPr>
                <w:rFonts w:eastAsia="Arial"/>
                <w:szCs w:val="22"/>
                <w:lang w:val="es-ES_tradnl"/>
              </w:rPr>
              <w:t>2.331</w:t>
            </w:r>
          </w:p>
        </w:tc>
      </w:tr>
    </w:tbl>
    <w:p w:rsidR="00927A43" w:rsidRPr="00FF68B7" w:rsidRDefault="00927A43" w:rsidP="00A37C3A">
      <w:pPr>
        <w:keepNext/>
        <w:rPr>
          <w:lang w:val="en-SG"/>
        </w:rPr>
      </w:pPr>
    </w:p>
    <w:p w:rsidR="00927A43" w:rsidRPr="00AA5F79" w:rsidRDefault="00DA2676" w:rsidP="00A37C3A">
      <w:pPr>
        <w:pStyle w:val="Endofdocument-Annex"/>
        <w:keepNext/>
      </w:pPr>
      <w:r>
        <w:rPr>
          <w:rFonts w:eastAsia="Arial"/>
          <w:szCs w:val="22"/>
          <w:lang w:val="es-ES_tradnl"/>
        </w:rPr>
        <w:t>[Fin del Anexo y del documento]</w:t>
      </w:r>
    </w:p>
    <w:sectPr w:rsidR="00927A43" w:rsidRPr="00AA5F79" w:rsidSect="00927A43">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43" w:rsidRDefault="00927A43">
      <w:r>
        <w:separator/>
      </w:r>
    </w:p>
  </w:endnote>
  <w:endnote w:type="continuationSeparator" w:id="0">
    <w:p w:rsidR="00927A43" w:rsidRDefault="00927A43" w:rsidP="00927A43">
      <w:r>
        <w:separator/>
      </w:r>
    </w:p>
    <w:p w:rsidR="00927A43" w:rsidRPr="005E08C5" w:rsidRDefault="00927A43" w:rsidP="00927A43">
      <w:pPr>
        <w:spacing w:after="60"/>
        <w:rPr>
          <w:sz w:val="17"/>
          <w:lang w:val="en-US"/>
        </w:rPr>
      </w:pPr>
      <w:r w:rsidRPr="005E08C5">
        <w:rPr>
          <w:sz w:val="17"/>
          <w:lang w:val="en-US"/>
        </w:rPr>
        <w:t>[Endnote continued from previous page]</w:t>
      </w:r>
    </w:p>
  </w:endnote>
  <w:endnote w:type="continuationNotice" w:id="1">
    <w:p w:rsidR="00927A43" w:rsidRPr="005E08C5" w:rsidRDefault="00927A43" w:rsidP="00927A43">
      <w:pPr>
        <w:spacing w:before="60"/>
        <w:jc w:val="right"/>
        <w:rPr>
          <w:sz w:val="17"/>
          <w:szCs w:val="17"/>
          <w:lang w:val="en-US"/>
        </w:rPr>
      </w:pPr>
      <w:r w:rsidRPr="005E08C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43" w:rsidRDefault="00927A43">
      <w:r>
        <w:separator/>
      </w:r>
    </w:p>
  </w:footnote>
  <w:footnote w:type="continuationSeparator" w:id="0">
    <w:p w:rsidR="00927A43" w:rsidRDefault="00927A43" w:rsidP="00927A43">
      <w:r>
        <w:separator/>
      </w:r>
    </w:p>
    <w:p w:rsidR="00927A43" w:rsidRPr="005E08C5" w:rsidRDefault="00927A43" w:rsidP="00927A43">
      <w:pPr>
        <w:spacing w:after="60"/>
        <w:rPr>
          <w:sz w:val="17"/>
          <w:szCs w:val="17"/>
          <w:lang w:val="en-US"/>
        </w:rPr>
      </w:pPr>
      <w:r w:rsidRPr="005E08C5">
        <w:rPr>
          <w:sz w:val="17"/>
          <w:szCs w:val="17"/>
          <w:lang w:val="en-US"/>
        </w:rPr>
        <w:t>[Footnote continued from previous page]</w:t>
      </w:r>
    </w:p>
  </w:footnote>
  <w:footnote w:type="continuationNotice" w:id="1">
    <w:p w:rsidR="00927A43" w:rsidRPr="005E08C5" w:rsidRDefault="00927A43" w:rsidP="00927A43">
      <w:pPr>
        <w:spacing w:before="60"/>
        <w:jc w:val="right"/>
        <w:rPr>
          <w:sz w:val="17"/>
          <w:szCs w:val="17"/>
          <w:lang w:val="en-US"/>
        </w:rPr>
      </w:pPr>
      <w:r w:rsidRPr="005E08C5">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43" w:rsidRDefault="00927A43" w:rsidP="00927A43">
    <w:pPr>
      <w:jc w:val="right"/>
    </w:pPr>
    <w:bookmarkStart w:id="6" w:name="Code2"/>
    <w:bookmarkEnd w:id="6"/>
    <w:r>
      <w:rPr>
        <w:rFonts w:eastAsia="Arial"/>
        <w:szCs w:val="22"/>
        <w:lang w:val="es-ES_tradnl"/>
      </w:rPr>
      <w:t>PCT/CTC/30/19</w:t>
    </w:r>
  </w:p>
  <w:p w:rsidR="00927A43" w:rsidRDefault="00927A43" w:rsidP="00927A43">
    <w:pPr>
      <w:jc w:val="right"/>
    </w:pPr>
    <w:proofErr w:type="gramStart"/>
    <w:r>
      <w:rPr>
        <w:rFonts w:eastAsia="Arial"/>
        <w:szCs w:val="22"/>
        <w:lang w:val="es-ES_tradnl"/>
      </w:rPr>
      <w:t>página</w:t>
    </w:r>
    <w:proofErr w:type="gramEnd"/>
    <w:r>
      <w:rPr>
        <w:rFonts w:eastAsia="Arial"/>
        <w:szCs w:val="22"/>
        <w:lang w:val="es-ES_tradnl"/>
      </w:rPr>
      <w:t xml:space="preserve"> </w:t>
    </w:r>
    <w:r>
      <w:fldChar w:fldCharType="begin"/>
    </w:r>
    <w:r>
      <w:instrText xml:space="preserve"> PAGE  \* MERGEFORMAT </w:instrText>
    </w:r>
    <w:r>
      <w:fldChar w:fldCharType="separate"/>
    </w:r>
    <w:r>
      <w:rPr>
        <w:noProof/>
      </w:rPr>
      <w:t>10</w:t>
    </w:r>
    <w:r>
      <w:fldChar w:fldCharType="end"/>
    </w:r>
  </w:p>
  <w:p w:rsidR="00927A43" w:rsidRDefault="00927A43" w:rsidP="00927A4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43" w:rsidRPr="00AA5F79" w:rsidRDefault="00927A43" w:rsidP="00927A43">
    <w:pPr>
      <w:jc w:val="right"/>
      <w:rPr>
        <w:lang w:val="fr-FR"/>
      </w:rPr>
    </w:pPr>
    <w:r>
      <w:rPr>
        <w:rFonts w:eastAsia="Arial"/>
        <w:szCs w:val="22"/>
        <w:lang w:val="es-ES_tradnl"/>
      </w:rPr>
      <w:t>PCT/CTC/30/19</w:t>
    </w:r>
  </w:p>
  <w:p w:rsidR="00927A43" w:rsidRPr="00AA5F79" w:rsidRDefault="00927A43" w:rsidP="00927A43">
    <w:pPr>
      <w:jc w:val="right"/>
      <w:rPr>
        <w:lang w:val="fr-FR"/>
      </w:rPr>
    </w:pPr>
    <w:r>
      <w:rPr>
        <w:rFonts w:eastAsia="Arial"/>
        <w:szCs w:val="22"/>
        <w:lang w:val="es-ES_tradnl"/>
      </w:rPr>
      <w:t xml:space="preserve">Anexo, página </w:t>
    </w:r>
    <w:r>
      <w:fldChar w:fldCharType="begin"/>
    </w:r>
    <w:r w:rsidRPr="00AA5F79">
      <w:rPr>
        <w:lang w:val="fr-FR"/>
      </w:rPr>
      <w:instrText xml:space="preserve"> PAGE  \* MERGEFORMAT </w:instrText>
    </w:r>
    <w:r>
      <w:fldChar w:fldCharType="separate"/>
    </w:r>
    <w:r w:rsidR="00A37C3A">
      <w:rPr>
        <w:noProof/>
        <w:lang w:val="fr-FR"/>
      </w:rPr>
      <w:t>12</w:t>
    </w:r>
    <w:r>
      <w:fldChar w:fldCharType="end"/>
    </w:r>
  </w:p>
  <w:p w:rsidR="00927A43" w:rsidRPr="00AA5F79" w:rsidRDefault="00927A43" w:rsidP="00927A43">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43" w:rsidRDefault="00927A43" w:rsidP="00927A43">
    <w:pPr>
      <w:pStyle w:val="Header"/>
      <w:jc w:val="right"/>
    </w:pPr>
    <w:r>
      <w:rPr>
        <w:rFonts w:eastAsia="Arial"/>
        <w:szCs w:val="22"/>
        <w:lang w:val="es-ES_tradnl"/>
      </w:rPr>
      <w:t>PCT/CTC/30/19</w:t>
    </w:r>
  </w:p>
  <w:p w:rsidR="00927A43" w:rsidRDefault="00927A43" w:rsidP="00927A43">
    <w:pPr>
      <w:pStyle w:val="Header"/>
      <w:jc w:val="right"/>
    </w:pPr>
    <w:r>
      <w:rPr>
        <w:rFonts w:eastAsia="Arial"/>
        <w:szCs w:val="22"/>
        <w:lang w:val="es-ES_tradnl"/>
      </w:rPr>
      <w:t>ANEXO</w:t>
    </w:r>
  </w:p>
  <w:p w:rsidR="00927A43" w:rsidRDefault="00927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35535C"/>
    <w:multiLevelType w:val="hybridMultilevel"/>
    <w:tmpl w:val="513CB97E"/>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1E97B46"/>
    <w:multiLevelType w:val="hybridMultilevel"/>
    <w:tmpl w:val="1660DE1C"/>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1ED638F"/>
    <w:multiLevelType w:val="hybridMultilevel"/>
    <w:tmpl w:val="65C46D2E"/>
    <w:lvl w:ilvl="0" w:tplc="F4E0CDA4">
      <w:start w:val="1"/>
      <w:numFmt w:val="bullet"/>
      <w:lvlText w:val=""/>
      <w:lvlJc w:val="left"/>
      <w:pPr>
        <w:ind w:left="720" w:hanging="360"/>
      </w:pPr>
      <w:rPr>
        <w:rFonts w:ascii="Symbol" w:hAnsi="Symbol" w:hint="default"/>
      </w:rPr>
    </w:lvl>
    <w:lvl w:ilvl="1" w:tplc="C988F870">
      <w:start w:val="1"/>
      <w:numFmt w:val="bullet"/>
      <w:lvlText w:val="o"/>
      <w:lvlJc w:val="left"/>
      <w:pPr>
        <w:ind w:left="1440" w:hanging="360"/>
      </w:pPr>
      <w:rPr>
        <w:rFonts w:ascii="Courier New" w:hAnsi="Courier New" w:cs="Courier New" w:hint="default"/>
      </w:rPr>
    </w:lvl>
    <w:lvl w:ilvl="2" w:tplc="81647360" w:tentative="1">
      <w:start w:val="1"/>
      <w:numFmt w:val="bullet"/>
      <w:lvlText w:val=""/>
      <w:lvlJc w:val="left"/>
      <w:pPr>
        <w:ind w:left="2160" w:hanging="360"/>
      </w:pPr>
      <w:rPr>
        <w:rFonts w:ascii="Wingdings" w:hAnsi="Wingdings" w:hint="default"/>
      </w:rPr>
    </w:lvl>
    <w:lvl w:ilvl="3" w:tplc="B8DC75AA" w:tentative="1">
      <w:start w:val="1"/>
      <w:numFmt w:val="bullet"/>
      <w:lvlText w:val=""/>
      <w:lvlJc w:val="left"/>
      <w:pPr>
        <w:ind w:left="2880" w:hanging="360"/>
      </w:pPr>
      <w:rPr>
        <w:rFonts w:ascii="Symbol" w:hAnsi="Symbol" w:hint="default"/>
      </w:rPr>
    </w:lvl>
    <w:lvl w:ilvl="4" w:tplc="5D2E01F2" w:tentative="1">
      <w:start w:val="1"/>
      <w:numFmt w:val="bullet"/>
      <w:lvlText w:val="o"/>
      <w:lvlJc w:val="left"/>
      <w:pPr>
        <w:ind w:left="3600" w:hanging="360"/>
      </w:pPr>
      <w:rPr>
        <w:rFonts w:ascii="Courier New" w:hAnsi="Courier New" w:cs="Courier New" w:hint="default"/>
      </w:rPr>
    </w:lvl>
    <w:lvl w:ilvl="5" w:tplc="E95027BE" w:tentative="1">
      <w:start w:val="1"/>
      <w:numFmt w:val="bullet"/>
      <w:lvlText w:val=""/>
      <w:lvlJc w:val="left"/>
      <w:pPr>
        <w:ind w:left="4320" w:hanging="360"/>
      </w:pPr>
      <w:rPr>
        <w:rFonts w:ascii="Wingdings" w:hAnsi="Wingdings" w:hint="default"/>
      </w:rPr>
    </w:lvl>
    <w:lvl w:ilvl="6" w:tplc="E6E8DF40" w:tentative="1">
      <w:start w:val="1"/>
      <w:numFmt w:val="bullet"/>
      <w:lvlText w:val=""/>
      <w:lvlJc w:val="left"/>
      <w:pPr>
        <w:ind w:left="5040" w:hanging="360"/>
      </w:pPr>
      <w:rPr>
        <w:rFonts w:ascii="Symbol" w:hAnsi="Symbol" w:hint="default"/>
      </w:rPr>
    </w:lvl>
    <w:lvl w:ilvl="7" w:tplc="17BA86FC" w:tentative="1">
      <w:start w:val="1"/>
      <w:numFmt w:val="bullet"/>
      <w:lvlText w:val="o"/>
      <w:lvlJc w:val="left"/>
      <w:pPr>
        <w:ind w:left="5760" w:hanging="360"/>
      </w:pPr>
      <w:rPr>
        <w:rFonts w:ascii="Courier New" w:hAnsi="Courier New" w:cs="Courier New" w:hint="default"/>
      </w:rPr>
    </w:lvl>
    <w:lvl w:ilvl="8" w:tplc="EE108B98"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7A628850">
      <w:start w:val="1"/>
      <w:numFmt w:val="decimal"/>
      <w:pStyle w:val="ListNumber"/>
      <w:lvlText w:val="03.%1."/>
      <w:lvlJc w:val="left"/>
      <w:pPr>
        <w:tabs>
          <w:tab w:val="num" w:pos="567"/>
        </w:tabs>
        <w:ind w:left="0" w:firstLine="0"/>
      </w:pPr>
      <w:rPr>
        <w:rFonts w:hint="default"/>
      </w:rPr>
    </w:lvl>
    <w:lvl w:ilvl="1" w:tplc="CB6C7762" w:tentative="1">
      <w:start w:val="1"/>
      <w:numFmt w:val="lowerLetter"/>
      <w:lvlText w:val="%2."/>
      <w:lvlJc w:val="left"/>
      <w:pPr>
        <w:tabs>
          <w:tab w:val="num" w:pos="1440"/>
        </w:tabs>
        <w:ind w:left="1440" w:hanging="360"/>
      </w:pPr>
    </w:lvl>
    <w:lvl w:ilvl="2" w:tplc="5BE4C27C" w:tentative="1">
      <w:start w:val="1"/>
      <w:numFmt w:val="lowerRoman"/>
      <w:lvlText w:val="%3."/>
      <w:lvlJc w:val="right"/>
      <w:pPr>
        <w:tabs>
          <w:tab w:val="num" w:pos="2160"/>
        </w:tabs>
        <w:ind w:left="2160" w:hanging="180"/>
      </w:pPr>
    </w:lvl>
    <w:lvl w:ilvl="3" w:tplc="878474A2" w:tentative="1">
      <w:start w:val="1"/>
      <w:numFmt w:val="decimal"/>
      <w:lvlText w:val="%4."/>
      <w:lvlJc w:val="left"/>
      <w:pPr>
        <w:tabs>
          <w:tab w:val="num" w:pos="2880"/>
        </w:tabs>
        <w:ind w:left="2880" w:hanging="360"/>
      </w:pPr>
    </w:lvl>
    <w:lvl w:ilvl="4" w:tplc="E31EB59E" w:tentative="1">
      <w:start w:val="1"/>
      <w:numFmt w:val="lowerLetter"/>
      <w:lvlText w:val="%5."/>
      <w:lvlJc w:val="left"/>
      <w:pPr>
        <w:tabs>
          <w:tab w:val="num" w:pos="3600"/>
        </w:tabs>
        <w:ind w:left="3600" w:hanging="360"/>
      </w:pPr>
    </w:lvl>
    <w:lvl w:ilvl="5" w:tplc="E2D808EE" w:tentative="1">
      <w:start w:val="1"/>
      <w:numFmt w:val="lowerRoman"/>
      <w:lvlText w:val="%6."/>
      <w:lvlJc w:val="right"/>
      <w:pPr>
        <w:tabs>
          <w:tab w:val="num" w:pos="4320"/>
        </w:tabs>
        <w:ind w:left="4320" w:hanging="180"/>
      </w:pPr>
    </w:lvl>
    <w:lvl w:ilvl="6" w:tplc="F976E240" w:tentative="1">
      <w:start w:val="1"/>
      <w:numFmt w:val="decimal"/>
      <w:lvlText w:val="%7."/>
      <w:lvlJc w:val="left"/>
      <w:pPr>
        <w:tabs>
          <w:tab w:val="num" w:pos="5040"/>
        </w:tabs>
        <w:ind w:left="5040" w:hanging="360"/>
      </w:pPr>
    </w:lvl>
    <w:lvl w:ilvl="7" w:tplc="5DAC2A6C" w:tentative="1">
      <w:start w:val="1"/>
      <w:numFmt w:val="lowerLetter"/>
      <w:lvlText w:val="%8."/>
      <w:lvlJc w:val="left"/>
      <w:pPr>
        <w:tabs>
          <w:tab w:val="num" w:pos="5760"/>
        </w:tabs>
        <w:ind w:left="5760" w:hanging="360"/>
      </w:pPr>
    </w:lvl>
    <w:lvl w:ilvl="8" w:tplc="D8DE4560" w:tentative="1">
      <w:start w:val="1"/>
      <w:numFmt w:val="lowerRoman"/>
      <w:lvlText w:val="%9."/>
      <w:lvlJc w:val="right"/>
      <w:pPr>
        <w:tabs>
          <w:tab w:val="num" w:pos="6480"/>
        </w:tabs>
        <w:ind w:left="6480" w:hanging="180"/>
      </w:pPr>
    </w:lvl>
  </w:abstractNum>
  <w:abstractNum w:abstractNumId="9">
    <w:nsid w:val="65441E30"/>
    <w:multiLevelType w:val="hybridMultilevel"/>
    <w:tmpl w:val="9F389C74"/>
    <w:lvl w:ilvl="0" w:tplc="94E6EA5A">
      <w:start w:val="1"/>
      <w:numFmt w:val="bullet"/>
      <w:lvlText w:val=""/>
      <w:lvlJc w:val="left"/>
      <w:pPr>
        <w:ind w:left="720" w:hanging="360"/>
      </w:pPr>
      <w:rPr>
        <w:rFonts w:ascii="Symbol" w:hAnsi="Symbol" w:hint="default"/>
      </w:rPr>
    </w:lvl>
    <w:lvl w:ilvl="1" w:tplc="21E83B06">
      <w:start w:val="1"/>
      <w:numFmt w:val="bullet"/>
      <w:lvlText w:val="o"/>
      <w:lvlJc w:val="left"/>
      <w:pPr>
        <w:ind w:left="1440" w:hanging="360"/>
      </w:pPr>
      <w:rPr>
        <w:rFonts w:ascii="Courier New" w:hAnsi="Courier New" w:cs="Courier New" w:hint="default"/>
      </w:rPr>
    </w:lvl>
    <w:lvl w:ilvl="2" w:tplc="B89CC8F6">
      <w:start w:val="1"/>
      <w:numFmt w:val="bullet"/>
      <w:lvlText w:val=""/>
      <w:lvlJc w:val="left"/>
      <w:pPr>
        <w:ind w:left="2160" w:hanging="360"/>
      </w:pPr>
      <w:rPr>
        <w:rFonts w:ascii="Wingdings" w:hAnsi="Wingdings" w:hint="default"/>
      </w:rPr>
    </w:lvl>
    <w:lvl w:ilvl="3" w:tplc="1A268766">
      <w:start w:val="1"/>
      <w:numFmt w:val="bullet"/>
      <w:lvlText w:val=""/>
      <w:lvlJc w:val="left"/>
      <w:pPr>
        <w:ind w:left="2880" w:hanging="360"/>
      </w:pPr>
      <w:rPr>
        <w:rFonts w:ascii="Symbol" w:hAnsi="Symbol" w:hint="default"/>
      </w:rPr>
    </w:lvl>
    <w:lvl w:ilvl="4" w:tplc="CD722E42">
      <w:start w:val="1"/>
      <w:numFmt w:val="bullet"/>
      <w:lvlText w:val="o"/>
      <w:lvlJc w:val="left"/>
      <w:pPr>
        <w:ind w:left="3600" w:hanging="360"/>
      </w:pPr>
      <w:rPr>
        <w:rFonts w:ascii="Courier New" w:hAnsi="Courier New" w:cs="Courier New" w:hint="default"/>
      </w:rPr>
    </w:lvl>
    <w:lvl w:ilvl="5" w:tplc="FEFA7632">
      <w:start w:val="1"/>
      <w:numFmt w:val="bullet"/>
      <w:lvlText w:val=""/>
      <w:lvlJc w:val="left"/>
      <w:pPr>
        <w:ind w:left="4320" w:hanging="360"/>
      </w:pPr>
      <w:rPr>
        <w:rFonts w:ascii="Wingdings" w:hAnsi="Wingdings" w:hint="default"/>
      </w:rPr>
    </w:lvl>
    <w:lvl w:ilvl="6" w:tplc="C2F81CCC">
      <w:start w:val="1"/>
      <w:numFmt w:val="bullet"/>
      <w:lvlText w:val=""/>
      <w:lvlJc w:val="left"/>
      <w:pPr>
        <w:ind w:left="5040" w:hanging="360"/>
      </w:pPr>
      <w:rPr>
        <w:rFonts w:ascii="Symbol" w:hAnsi="Symbol" w:hint="default"/>
      </w:rPr>
    </w:lvl>
    <w:lvl w:ilvl="7" w:tplc="41ACF0AA">
      <w:start w:val="1"/>
      <w:numFmt w:val="bullet"/>
      <w:lvlText w:val="o"/>
      <w:lvlJc w:val="left"/>
      <w:pPr>
        <w:ind w:left="5760" w:hanging="360"/>
      </w:pPr>
      <w:rPr>
        <w:rFonts w:ascii="Courier New" w:hAnsi="Courier New" w:cs="Courier New" w:hint="default"/>
      </w:rPr>
    </w:lvl>
    <w:lvl w:ilvl="8" w:tplc="726AA8C0">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EC"/>
    <w:rsid w:val="00045646"/>
    <w:rsid w:val="000619B3"/>
    <w:rsid w:val="000729B0"/>
    <w:rsid w:val="00076289"/>
    <w:rsid w:val="000C08D7"/>
    <w:rsid w:val="00130616"/>
    <w:rsid w:val="00136B3B"/>
    <w:rsid w:val="00173E68"/>
    <w:rsid w:val="001C73AF"/>
    <w:rsid w:val="001E7FA1"/>
    <w:rsid w:val="001F3850"/>
    <w:rsid w:val="002056CC"/>
    <w:rsid w:val="002477EC"/>
    <w:rsid w:val="00264ECF"/>
    <w:rsid w:val="002D567A"/>
    <w:rsid w:val="00313DF5"/>
    <w:rsid w:val="00336DBB"/>
    <w:rsid w:val="00355D14"/>
    <w:rsid w:val="003B2C42"/>
    <w:rsid w:val="003C3F3B"/>
    <w:rsid w:val="003F46EA"/>
    <w:rsid w:val="00405815"/>
    <w:rsid w:val="004D3C12"/>
    <w:rsid w:val="00505D45"/>
    <w:rsid w:val="005311B5"/>
    <w:rsid w:val="005652BE"/>
    <w:rsid w:val="005E08C5"/>
    <w:rsid w:val="0061495F"/>
    <w:rsid w:val="00631409"/>
    <w:rsid w:val="006446D8"/>
    <w:rsid w:val="00662E7B"/>
    <w:rsid w:val="006B02C5"/>
    <w:rsid w:val="006F46AE"/>
    <w:rsid w:val="0070328B"/>
    <w:rsid w:val="00703633"/>
    <w:rsid w:val="0075725A"/>
    <w:rsid w:val="007F4C41"/>
    <w:rsid w:val="00801A6A"/>
    <w:rsid w:val="00883C96"/>
    <w:rsid w:val="00884AC7"/>
    <w:rsid w:val="00920BD3"/>
    <w:rsid w:val="00927A43"/>
    <w:rsid w:val="00931163"/>
    <w:rsid w:val="009363EB"/>
    <w:rsid w:val="009462CE"/>
    <w:rsid w:val="009D245F"/>
    <w:rsid w:val="009F36F3"/>
    <w:rsid w:val="00A1135C"/>
    <w:rsid w:val="00A2356F"/>
    <w:rsid w:val="00A32615"/>
    <w:rsid w:val="00A37C3A"/>
    <w:rsid w:val="00A81062"/>
    <w:rsid w:val="00AD2D7A"/>
    <w:rsid w:val="00B35C5C"/>
    <w:rsid w:val="00B46DBA"/>
    <w:rsid w:val="00B479C9"/>
    <w:rsid w:val="00BA3D62"/>
    <w:rsid w:val="00BA61F0"/>
    <w:rsid w:val="00CB2C1C"/>
    <w:rsid w:val="00CC379A"/>
    <w:rsid w:val="00CD09A9"/>
    <w:rsid w:val="00D50FA4"/>
    <w:rsid w:val="00D6752E"/>
    <w:rsid w:val="00D76DA5"/>
    <w:rsid w:val="00D87F30"/>
    <w:rsid w:val="00DA2676"/>
    <w:rsid w:val="00DC104C"/>
    <w:rsid w:val="00DD39F6"/>
    <w:rsid w:val="00DF4680"/>
    <w:rsid w:val="00EA4539"/>
    <w:rsid w:val="00ED4062"/>
    <w:rsid w:val="00EE32FB"/>
    <w:rsid w:val="00F106BE"/>
    <w:rsid w:val="00F16142"/>
    <w:rsid w:val="00F33B7F"/>
    <w:rsid w:val="00FB41D8"/>
    <w:rsid w:val="00FF2F99"/>
  </w:rsids>
  <m:mathPr>
    <m:mathFont m:val="Cambria Math"/>
    <m:brkBin m:val="before"/>
    <m:brkBinSub m:val="--"/>
    <m:smallFrac m:val="0"/>
    <m:dispDef/>
    <m:lMargin m:val="0"/>
    <m:rMargin m:val="0"/>
    <m:defJc m:val="centerGroup"/>
    <m:wrapRight/>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link w:val="BalloonText"/>
    <w:rsid w:val="00C650A4"/>
    <w:rPr>
      <w:rFonts w:ascii="Tahoma" w:eastAsia="SimSun" w:hAnsi="Tahoma" w:cs="Tahoma"/>
      <w:sz w:val="16"/>
      <w:szCs w:val="16"/>
      <w:lang w:eastAsia="zh-CN"/>
    </w:rPr>
  </w:style>
  <w:style w:type="character" w:customStyle="1" w:styleId="ONUMEChar">
    <w:name w:val="ONUM E Char"/>
    <w:link w:val="ONUME"/>
    <w:uiPriority w:val="99"/>
    <w:locked/>
    <w:rsid w:val="005C40A3"/>
    <w:rPr>
      <w:rFonts w:ascii="Arial" w:eastAsia="SimSun" w:hAnsi="Arial" w:cs="Arial"/>
      <w:sz w:val="22"/>
      <w:lang w:eastAsia="zh-CN"/>
    </w:rPr>
  </w:style>
  <w:style w:type="paragraph" w:styleId="ListParagraph">
    <w:name w:val="List Paragraph"/>
    <w:basedOn w:val="Normal"/>
    <w:uiPriority w:val="34"/>
    <w:qFormat/>
    <w:rsid w:val="00E24ADE"/>
    <w:pPr>
      <w:ind w:left="720"/>
      <w:contextualSpacing/>
    </w:pPr>
  </w:style>
  <w:style w:type="table" w:styleId="TableGrid">
    <w:name w:val="Table Grid"/>
    <w:basedOn w:val="TableNormal"/>
    <w:rsid w:val="00E24ADE"/>
    <w:rPr>
      <w:rFonts w:ascii="Calibri" w:hAnsi="Calibr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link w:val="BalloonText"/>
    <w:rsid w:val="00C650A4"/>
    <w:rPr>
      <w:rFonts w:ascii="Tahoma" w:eastAsia="SimSun" w:hAnsi="Tahoma" w:cs="Tahoma"/>
      <w:sz w:val="16"/>
      <w:szCs w:val="16"/>
      <w:lang w:eastAsia="zh-CN"/>
    </w:rPr>
  </w:style>
  <w:style w:type="character" w:customStyle="1" w:styleId="ONUMEChar">
    <w:name w:val="ONUM E Char"/>
    <w:link w:val="ONUME"/>
    <w:uiPriority w:val="99"/>
    <w:locked/>
    <w:rsid w:val="005C40A3"/>
    <w:rPr>
      <w:rFonts w:ascii="Arial" w:eastAsia="SimSun" w:hAnsi="Arial" w:cs="Arial"/>
      <w:sz w:val="22"/>
      <w:lang w:eastAsia="zh-CN"/>
    </w:rPr>
  </w:style>
  <w:style w:type="paragraph" w:styleId="ListParagraph">
    <w:name w:val="List Paragraph"/>
    <w:basedOn w:val="Normal"/>
    <w:uiPriority w:val="34"/>
    <w:qFormat/>
    <w:rsid w:val="00E24ADE"/>
    <w:pPr>
      <w:ind w:left="720"/>
      <w:contextualSpacing/>
    </w:pPr>
  </w:style>
  <w:style w:type="table" w:styleId="TableGrid">
    <w:name w:val="Table Grid"/>
    <w:basedOn w:val="TableNormal"/>
    <w:rsid w:val="00E24ADE"/>
    <w:rPr>
      <w:rFonts w:ascii="Calibri" w:hAnsi="Calibr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328">
      <w:bodyDiv w:val="1"/>
      <w:marLeft w:val="0"/>
      <w:marRight w:val="0"/>
      <w:marTop w:val="0"/>
      <w:marBottom w:val="0"/>
      <w:divBdr>
        <w:top w:val="none" w:sz="0" w:space="0" w:color="auto"/>
        <w:left w:val="none" w:sz="0" w:space="0" w:color="auto"/>
        <w:bottom w:val="none" w:sz="0" w:space="0" w:color="auto"/>
        <w:right w:val="none" w:sz="0" w:space="0" w:color="auto"/>
      </w:divBdr>
    </w:div>
    <w:div w:id="264729126">
      <w:bodyDiv w:val="1"/>
      <w:marLeft w:val="0"/>
      <w:marRight w:val="0"/>
      <w:marTop w:val="0"/>
      <w:marBottom w:val="0"/>
      <w:divBdr>
        <w:top w:val="none" w:sz="0" w:space="0" w:color="auto"/>
        <w:left w:val="none" w:sz="0" w:space="0" w:color="auto"/>
        <w:bottom w:val="none" w:sz="0" w:space="0" w:color="auto"/>
        <w:right w:val="none" w:sz="0" w:space="0" w:color="auto"/>
      </w:divBdr>
    </w:div>
    <w:div w:id="610942020">
      <w:bodyDiv w:val="1"/>
      <w:marLeft w:val="0"/>
      <w:marRight w:val="0"/>
      <w:marTop w:val="0"/>
      <w:marBottom w:val="0"/>
      <w:divBdr>
        <w:top w:val="none" w:sz="0" w:space="0" w:color="auto"/>
        <w:left w:val="none" w:sz="0" w:space="0" w:color="auto"/>
        <w:bottom w:val="none" w:sz="0" w:space="0" w:color="auto"/>
        <w:right w:val="none" w:sz="0" w:space="0" w:color="auto"/>
      </w:divBdr>
    </w:div>
    <w:div w:id="1085689835">
      <w:bodyDiv w:val="1"/>
      <w:marLeft w:val="0"/>
      <w:marRight w:val="0"/>
      <w:marTop w:val="0"/>
      <w:marBottom w:val="0"/>
      <w:divBdr>
        <w:top w:val="none" w:sz="0" w:space="0" w:color="auto"/>
        <w:left w:val="none" w:sz="0" w:space="0" w:color="auto"/>
        <w:bottom w:val="none" w:sz="0" w:space="0" w:color="auto"/>
        <w:right w:val="none" w:sz="0" w:space="0" w:color="auto"/>
      </w:divBdr>
    </w:div>
    <w:div w:id="1425611317">
      <w:bodyDiv w:val="1"/>
      <w:marLeft w:val="0"/>
      <w:marRight w:val="0"/>
      <w:marTop w:val="0"/>
      <w:marBottom w:val="0"/>
      <w:divBdr>
        <w:top w:val="none" w:sz="0" w:space="0" w:color="auto"/>
        <w:left w:val="none" w:sz="0" w:space="0" w:color="auto"/>
        <w:bottom w:val="none" w:sz="0" w:space="0" w:color="auto"/>
        <w:right w:val="none" w:sz="0" w:space="0" w:color="auto"/>
      </w:divBdr>
    </w:div>
    <w:div w:id="1733040182">
      <w:bodyDiv w:val="1"/>
      <w:marLeft w:val="0"/>
      <w:marRight w:val="0"/>
      <w:marTop w:val="0"/>
      <w:marBottom w:val="0"/>
      <w:divBdr>
        <w:top w:val="none" w:sz="0" w:space="0" w:color="auto"/>
        <w:left w:val="none" w:sz="0" w:space="0" w:color="auto"/>
        <w:bottom w:val="none" w:sz="0" w:space="0" w:color="auto"/>
        <w:right w:val="none" w:sz="0" w:space="0" w:color="auto"/>
      </w:divBdr>
    </w:div>
    <w:div w:id="202685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6AEB-0580-403A-8062-63BF183D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5094</Words>
  <Characters>27588</Characters>
  <Application>Microsoft Office Word</Application>
  <DocSecurity>0</DocSecurity>
  <Lines>229</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PCT/CTC/30/19</vt:lpstr>
      <vt:lpstr>PCT/CTC/30/19</vt:lpstr>
    </vt:vector>
  </TitlesOfParts>
  <Company>WIPO</Company>
  <LinksUpToDate>false</LinksUpToDate>
  <CharactersWithSpaces>32617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PCT/CTC/30/19</dc:title>
  <dc:subject>Extension of Appointment of the Intellectual Property Office of Singapore as an International Searching and Preliminary Examining Authority under the PCT</dc:subject>
  <dc:creator>MARLOW Thomas</dc:creator>
  <cp:lastModifiedBy>MARLOW Thomas</cp:lastModifiedBy>
  <cp:revision>3</cp:revision>
  <cp:lastPrinted>2017-03-13T17:06:00Z</cp:lastPrinted>
  <dcterms:created xsi:type="dcterms:W3CDTF">2017-03-27T12:33:00Z</dcterms:created>
  <dcterms:modified xsi:type="dcterms:W3CDTF">2017-03-27T12:35:00Z</dcterms:modified>
</cp:coreProperties>
</file>