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B66E1D"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66E1D" w:rsidP="0092119A">
            <w:pPr>
              <w:jc w:val="right"/>
              <w:rPr>
                <w:rFonts w:ascii="Arial Black" w:hAnsi="Arial Black"/>
                <w:caps/>
                <w:sz w:val="15"/>
              </w:rPr>
            </w:pPr>
            <w:r>
              <w:rPr>
                <w:rFonts w:ascii="Arial Black" w:hAnsi="Arial Black"/>
                <w:caps/>
                <w:sz w:val="15"/>
              </w:rPr>
              <w:t>PCT/CTC/30/</w:t>
            </w:r>
            <w:bookmarkStart w:id="0" w:name="Code"/>
            <w:bookmarkEnd w:id="0"/>
            <w:r w:rsidR="0092119A">
              <w:rPr>
                <w:rFonts w:ascii="Arial Black" w:hAnsi="Arial Black"/>
                <w:caps/>
                <w:sz w:val="15"/>
              </w:rPr>
              <w:t>22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96AE9">
              <w:rPr>
                <w:rFonts w:ascii="Arial Black" w:hAnsi="Arial Black"/>
                <w:caps/>
                <w:sz w:val="15"/>
              </w:rPr>
              <w:t xml:space="preserve"> </w:t>
            </w:r>
            <w:r w:rsidR="003F5AA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396AE9">
              <w:rPr>
                <w:rFonts w:ascii="Arial Black" w:hAnsi="Arial Black"/>
                <w:caps/>
                <w:sz w:val="15"/>
              </w:rPr>
              <w:t xml:space="preserve"> </w:t>
            </w:r>
            <w:r w:rsidR="003F5AAE">
              <w:rPr>
                <w:rFonts w:ascii="Arial Black" w:hAnsi="Arial Black"/>
                <w:caps/>
                <w:sz w:val="15"/>
              </w:rPr>
              <w:t>16 DE MARZO DE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Default="00B66E1D" w:rsidP="00B67CDC">
      <w:pPr>
        <w:rPr>
          <w:b/>
          <w:sz w:val="28"/>
          <w:szCs w:val="28"/>
        </w:rPr>
      </w:pPr>
      <w:r>
        <w:rPr>
          <w:b/>
          <w:sz w:val="28"/>
          <w:szCs w:val="28"/>
        </w:rPr>
        <w:t>Tratado de Cooperac</w:t>
      </w:r>
      <w:r w:rsidR="007D2978">
        <w:rPr>
          <w:b/>
          <w:sz w:val="28"/>
          <w:szCs w:val="28"/>
        </w:rPr>
        <w:t>ió</w:t>
      </w:r>
      <w:r>
        <w:rPr>
          <w:b/>
          <w:sz w:val="28"/>
          <w:szCs w:val="28"/>
        </w:rPr>
        <w:t>n en materia de Patentes (PCT)</w:t>
      </w:r>
    </w:p>
    <w:p w:rsidR="00B66E1D" w:rsidRPr="00B67CDC" w:rsidRDefault="007D2978" w:rsidP="00B67CDC">
      <w:pPr>
        <w:rPr>
          <w:b/>
          <w:sz w:val="28"/>
          <w:szCs w:val="28"/>
        </w:rPr>
      </w:pPr>
      <w:r>
        <w:rPr>
          <w:b/>
          <w:sz w:val="28"/>
          <w:szCs w:val="28"/>
        </w:rPr>
        <w:t>Comité de Cooperació</w:t>
      </w:r>
      <w:r w:rsidR="00B66E1D">
        <w:rPr>
          <w:b/>
          <w:sz w:val="28"/>
          <w:szCs w:val="28"/>
        </w:rPr>
        <w:t>n Técnica</w:t>
      </w:r>
    </w:p>
    <w:p w:rsidR="003845C1" w:rsidRDefault="003845C1" w:rsidP="003845C1"/>
    <w:p w:rsidR="003845C1" w:rsidRDefault="003845C1" w:rsidP="003845C1"/>
    <w:p w:rsidR="00B67CDC" w:rsidRPr="00B67CDC" w:rsidRDefault="007D2978" w:rsidP="00B67CDC">
      <w:pPr>
        <w:rPr>
          <w:b/>
          <w:sz w:val="24"/>
          <w:szCs w:val="24"/>
        </w:rPr>
      </w:pPr>
      <w:r>
        <w:rPr>
          <w:b/>
          <w:sz w:val="24"/>
          <w:szCs w:val="24"/>
        </w:rPr>
        <w:t>Trigésima sesió</w:t>
      </w:r>
      <w:r w:rsidR="00B66E1D">
        <w:rPr>
          <w:b/>
          <w:sz w:val="24"/>
          <w:szCs w:val="24"/>
        </w:rPr>
        <w:t>n</w:t>
      </w:r>
    </w:p>
    <w:p w:rsidR="00B67CDC" w:rsidRPr="00B67CDC" w:rsidRDefault="00B66E1D" w:rsidP="00B67CDC">
      <w:pPr>
        <w:rPr>
          <w:b/>
          <w:sz w:val="24"/>
          <w:szCs w:val="24"/>
        </w:rPr>
      </w:pPr>
      <w:r>
        <w:rPr>
          <w:b/>
          <w:sz w:val="24"/>
          <w:szCs w:val="24"/>
        </w:rPr>
        <w:t>Ginebra, 8 a 12 de mayo de 2017</w:t>
      </w:r>
    </w:p>
    <w:p w:rsidR="008B2CC1" w:rsidRPr="008B2CC1" w:rsidRDefault="008B2CC1" w:rsidP="008B2CC1"/>
    <w:p w:rsidR="008B2CC1" w:rsidRPr="008B2CC1" w:rsidRDefault="008B2CC1" w:rsidP="008B2CC1"/>
    <w:p w:rsidR="008B2CC1" w:rsidRPr="008B2CC1" w:rsidRDefault="004830BD" w:rsidP="004830BD">
      <w:r>
        <w:t xml:space="preserve">PRÓRROGA DE LA DESIGNACIÓN DE LA OFICINA DE PATENTES </w:t>
      </w:r>
      <w:r w:rsidR="009F417B">
        <w:t xml:space="preserve">Y MARCAS </w:t>
      </w:r>
      <w:r>
        <w:t>DE LOS ESTADOS UNIDOS DE AMÉRICA COMO ADMINISTRACIÓN ENCARGADA DE LA BÚSQUEDA Y DEL EXAMEN PRELIMINAR INTERNACIONAL</w:t>
      </w:r>
      <w:r w:rsidR="00021FAC">
        <w:t>ES</w:t>
      </w:r>
      <w:r>
        <w:t xml:space="preserve"> EN VIRTUD DEL PCT</w:t>
      </w:r>
    </w:p>
    <w:p w:rsidR="0092119A" w:rsidRDefault="0092119A" w:rsidP="0092119A">
      <w:pPr>
        <w:rPr>
          <w:caps/>
          <w:sz w:val="24"/>
        </w:rPr>
      </w:pPr>
      <w:bookmarkStart w:id="3" w:name="TitleOfDoc"/>
      <w:bookmarkEnd w:id="3"/>
    </w:p>
    <w:p w:rsidR="004830BD" w:rsidRPr="009F417B" w:rsidRDefault="004830BD" w:rsidP="0092119A"/>
    <w:p w:rsidR="0092119A" w:rsidRPr="004830BD" w:rsidRDefault="004830BD" w:rsidP="0092119A">
      <w:pPr>
        <w:rPr>
          <w:i/>
        </w:rPr>
      </w:pPr>
      <w:bookmarkStart w:id="4" w:name="Prepared"/>
      <w:bookmarkEnd w:id="4"/>
      <w:r w:rsidRPr="004830BD">
        <w:rPr>
          <w:i/>
        </w:rPr>
        <w:t>Documento preparado por la Oficina Internaciona</w:t>
      </w:r>
      <w:r>
        <w:rPr>
          <w:i/>
        </w:rPr>
        <w:t>l</w:t>
      </w:r>
    </w:p>
    <w:p w:rsidR="0092119A" w:rsidRPr="004830BD" w:rsidRDefault="0092119A" w:rsidP="0092119A"/>
    <w:p w:rsidR="0092119A" w:rsidRPr="004830BD" w:rsidRDefault="0092119A" w:rsidP="0092119A"/>
    <w:p w:rsidR="0092119A" w:rsidRPr="004830BD" w:rsidRDefault="0092119A" w:rsidP="0092119A"/>
    <w:p w:rsidR="0092119A" w:rsidRPr="004830BD" w:rsidRDefault="0092119A" w:rsidP="0092119A"/>
    <w:p w:rsidR="00021FAC" w:rsidRPr="0072343A" w:rsidRDefault="00021FAC" w:rsidP="00021FAC">
      <w:pPr>
        <w:pStyle w:val="ONUMFS"/>
      </w:pPr>
      <w:bookmarkStart w:id="5" w:name="_Ref447032909"/>
      <w:r w:rsidRPr="0072343A">
        <w:t>Todas las Administraciones internacionales existentes fueron designadas por la Asamblea de</w:t>
      </w:r>
      <w:r>
        <w:t xml:space="preserve"> la Unión </w:t>
      </w:r>
      <w:r w:rsidRPr="0072343A">
        <w:t>PCT por un plazo que expirará el 31 de diciembre de 2017.</w:t>
      </w:r>
      <w:r>
        <w:t xml:space="preserve">  Por consiguiente, en </w:t>
      </w:r>
      <w:r w:rsidRPr="0072343A">
        <w:t>2017 la Asamblea estará llamada a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bookmarkEnd w:id="5"/>
      <w:r w:rsidRPr="0072343A">
        <w:t xml:space="preserve">  El documento PCT/CTC/30/INF/1 contiene más información sobre este proceso y sobre la función del Comité en el marco del mismo.</w:t>
      </w:r>
    </w:p>
    <w:p w:rsidR="00D40EBD" w:rsidRPr="00D40EBD" w:rsidRDefault="00D40EBD" w:rsidP="00D40EBD">
      <w:pPr>
        <w:pStyle w:val="ONUMFS"/>
      </w:pPr>
      <w:r w:rsidRPr="00D40EBD">
        <w:t xml:space="preserve">El </w:t>
      </w:r>
      <w:r>
        <w:t>7</w:t>
      </w:r>
      <w:r w:rsidRPr="00D40EBD">
        <w:t xml:space="preserve"> de marzo de 2017, la Oficina de Patentes y Marcas de los Estados Unidos de América remitió la solicitud de prórroga de su designación como Administración encargada de la búsqueda internacional (ISA) y Administración encargada del examen preliminar internacional (IPEA) en virtud del PCT.  Dicha solicitud se reproduce en el Anexo </w:t>
      </w:r>
      <w:r w:rsidR="00021FAC">
        <w:t>de</w:t>
      </w:r>
      <w:r w:rsidRPr="00D40EBD">
        <w:t xml:space="preserve"> este document</w:t>
      </w:r>
      <w:r>
        <w:t>o.</w:t>
      </w:r>
    </w:p>
    <w:p w:rsidR="0092119A" w:rsidRPr="00D40EBD" w:rsidRDefault="00D40EBD" w:rsidP="00E64C38">
      <w:pPr>
        <w:pStyle w:val="ONUMFS"/>
        <w:ind w:left="5534"/>
        <w:rPr>
          <w:i/>
        </w:rPr>
      </w:pPr>
      <w:r>
        <w:rPr>
          <w:i/>
        </w:rPr>
        <w:t>Se</w:t>
      </w:r>
      <w:r w:rsidR="0092119A" w:rsidRPr="00D40EBD">
        <w:rPr>
          <w:i/>
        </w:rPr>
        <w:t xml:space="preserve"> </w:t>
      </w:r>
      <w:r w:rsidRPr="00D40EBD">
        <w:rPr>
          <w:i/>
        </w:rPr>
        <w:t>invita al Comité a dar su opinión sobre este asunto</w:t>
      </w:r>
      <w:r w:rsidR="0092119A" w:rsidRPr="00D40EBD">
        <w:rPr>
          <w:i/>
        </w:rPr>
        <w:t>.</w:t>
      </w:r>
    </w:p>
    <w:p w:rsidR="00D949B9" w:rsidRPr="00D40EBD" w:rsidRDefault="00D949B9" w:rsidP="00D949B9">
      <w:pPr>
        <w:pStyle w:val="ONUME"/>
        <w:numPr>
          <w:ilvl w:val="0"/>
          <w:numId w:val="0"/>
        </w:numPr>
      </w:pPr>
    </w:p>
    <w:p w:rsidR="00F84474" w:rsidRPr="00F8554D" w:rsidRDefault="00D949B9" w:rsidP="00D949B9">
      <w:pPr>
        <w:pStyle w:val="Endofdocument-Annex"/>
        <w:rPr>
          <w:lang w:val="es-ES"/>
        </w:rPr>
      </w:pPr>
      <w:r w:rsidRPr="00F8554D">
        <w:rPr>
          <w:lang w:val="es-ES"/>
        </w:rPr>
        <w:t>[Sigue el Anexo]</w:t>
      </w:r>
    </w:p>
    <w:p w:rsidR="00D949B9" w:rsidRPr="00F8554D" w:rsidRDefault="00D949B9" w:rsidP="00D949B9">
      <w:pPr>
        <w:pStyle w:val="Endofdocument-Annex"/>
        <w:rPr>
          <w:lang w:val="es-ES"/>
        </w:rPr>
      </w:pPr>
    </w:p>
    <w:p w:rsidR="00D949B9" w:rsidRPr="00F8554D" w:rsidRDefault="00D949B9">
      <w:pPr>
        <w:sectPr w:rsidR="00D949B9" w:rsidRPr="00F8554D" w:rsidSect="003F5AAE">
          <w:headerReference w:type="default" r:id="rId9"/>
          <w:pgSz w:w="11907" w:h="16840" w:code="9"/>
          <w:pgMar w:top="567" w:right="1134" w:bottom="1418" w:left="1418" w:header="510" w:footer="1021" w:gutter="0"/>
          <w:cols w:space="720"/>
          <w:titlePg/>
          <w:docGrid w:linePitch="299"/>
        </w:sectPr>
      </w:pPr>
    </w:p>
    <w:p w:rsidR="00755E78" w:rsidRPr="00F8554D" w:rsidRDefault="00F8554D" w:rsidP="00755E78">
      <w:pPr>
        <w:spacing w:after="220"/>
        <w:jc w:val="center"/>
        <w:rPr>
          <w:caps/>
        </w:rPr>
      </w:pPr>
      <w:r w:rsidRPr="00F8554D">
        <w:rPr>
          <w:caps/>
        </w:rPr>
        <w:lastRenderedPageBreak/>
        <w:t xml:space="preserve">SOLICITUD DE LA OFICINA DE PATENTES </w:t>
      </w:r>
      <w:r w:rsidR="009F417B">
        <w:rPr>
          <w:caps/>
        </w:rPr>
        <w:t xml:space="preserve">y MARCAS </w:t>
      </w:r>
      <w:r w:rsidRPr="00F8554D">
        <w:rPr>
          <w:caps/>
        </w:rPr>
        <w:t xml:space="preserve">DE </w:t>
      </w:r>
      <w:r>
        <w:rPr>
          <w:caps/>
        </w:rPr>
        <w:t xml:space="preserve">LOS ESTADOS UNIDOS DE </w:t>
      </w:r>
      <w:r w:rsidR="00122C02">
        <w:rPr>
          <w:caps/>
        </w:rPr>
        <w:t>AMÉRICA</w:t>
      </w:r>
      <w:r w:rsidRPr="00F8554D">
        <w:rPr>
          <w:caps/>
        </w:rPr>
        <w:t xml:space="preserve"> PARA LA PRÓRROGA DE SU DESIGNACIÓN COMO ADMINISTRACIÓN ENCARGADA DE LA BÚSQUEDA Y DEL EXAMEN PRELIMINAR INTERNACIONALES EN VIRTUD DEL </w:t>
      </w:r>
      <w:r w:rsidR="00755E78" w:rsidRPr="00F8554D">
        <w:rPr>
          <w:caps/>
        </w:rPr>
        <w:t>PCT</w:t>
      </w:r>
    </w:p>
    <w:p w:rsidR="00755E78" w:rsidRPr="00F8554D" w:rsidRDefault="00755E78" w:rsidP="00755E78">
      <w:pPr>
        <w:spacing w:after="220"/>
      </w:pPr>
    </w:p>
    <w:p w:rsidR="00755E78" w:rsidRPr="009F417B" w:rsidRDefault="00755E78" w:rsidP="00F8554D">
      <w:pPr>
        <w:keepNext/>
        <w:pBdr>
          <w:top w:val="single" w:sz="4" w:space="1" w:color="auto"/>
          <w:bottom w:val="single" w:sz="4" w:space="1" w:color="auto"/>
        </w:pBdr>
        <w:tabs>
          <w:tab w:val="left" w:pos="3571"/>
        </w:tabs>
        <w:spacing w:before="360" w:after="200"/>
        <w:outlineLvl w:val="0"/>
        <w:rPr>
          <w:b/>
          <w:bCs/>
          <w:caps/>
          <w:kern w:val="32"/>
          <w:szCs w:val="32"/>
        </w:rPr>
      </w:pPr>
      <w:r w:rsidRPr="009F417B">
        <w:rPr>
          <w:b/>
          <w:bCs/>
          <w:caps/>
          <w:kern w:val="32"/>
          <w:szCs w:val="32"/>
        </w:rPr>
        <w:t>1 – General</w:t>
      </w:r>
    </w:p>
    <w:p w:rsidR="00755E78" w:rsidRPr="00D40EBD" w:rsidRDefault="00F8554D" w:rsidP="00755E78">
      <w:pPr>
        <w:rPr>
          <w:rFonts w:eastAsiaTheme="minorEastAsia"/>
          <w:bCs/>
          <w:szCs w:val="22"/>
          <w:lang w:eastAsia="ko-KR"/>
        </w:rPr>
      </w:pPr>
      <w:r w:rsidRPr="00F8554D">
        <w:rPr>
          <w:b/>
          <w:bCs/>
          <w:szCs w:val="22"/>
        </w:rPr>
        <w:t>Nombre de la Oficina u organización intergubernamental</w:t>
      </w:r>
      <w:proofErr w:type="gramStart"/>
      <w:r w:rsidR="00755E78" w:rsidRPr="00D40EBD">
        <w:rPr>
          <w:b/>
          <w:bCs/>
          <w:szCs w:val="22"/>
        </w:rPr>
        <w:t>:</w:t>
      </w:r>
      <w:r w:rsidR="00755E78" w:rsidRPr="00D40EBD">
        <w:rPr>
          <w:bCs/>
          <w:szCs w:val="22"/>
        </w:rPr>
        <w:t xml:space="preserve">  </w:t>
      </w:r>
      <w:r w:rsidR="00D40EBD" w:rsidRPr="00D40EBD">
        <w:rPr>
          <w:rFonts w:eastAsiaTheme="minorEastAsia"/>
          <w:bCs/>
          <w:szCs w:val="22"/>
          <w:lang w:eastAsia="ko-KR"/>
        </w:rPr>
        <w:t>Oficina</w:t>
      </w:r>
      <w:proofErr w:type="gramEnd"/>
      <w:r w:rsidR="00D40EBD" w:rsidRPr="00D40EBD">
        <w:rPr>
          <w:rFonts w:eastAsiaTheme="minorEastAsia"/>
          <w:bCs/>
          <w:szCs w:val="22"/>
          <w:lang w:eastAsia="ko-KR"/>
        </w:rPr>
        <w:t xml:space="preserve"> de Patentes y Marcas de los Estados Unidos de América </w:t>
      </w:r>
      <w:r w:rsidR="00755E78" w:rsidRPr="00D40EBD">
        <w:rPr>
          <w:rFonts w:eastAsiaTheme="minorEastAsia"/>
          <w:bCs/>
          <w:szCs w:val="22"/>
          <w:lang w:eastAsia="ko-KR"/>
        </w:rPr>
        <w:t>(USPTO)</w:t>
      </w:r>
      <w:r w:rsidR="00E52D2F">
        <w:rPr>
          <w:rFonts w:eastAsiaTheme="minorEastAsia"/>
          <w:bCs/>
          <w:szCs w:val="22"/>
          <w:lang w:eastAsia="ko-KR"/>
        </w:rPr>
        <w:t>.</w:t>
      </w:r>
    </w:p>
    <w:p w:rsidR="00755E78" w:rsidRPr="00D40EBD" w:rsidRDefault="00755E78" w:rsidP="00D40EBD">
      <w:pPr>
        <w:tabs>
          <w:tab w:val="left" w:pos="2719"/>
          <w:tab w:val="left" w:pos="4020"/>
        </w:tabs>
        <w:rPr>
          <w:szCs w:val="22"/>
        </w:rPr>
      </w:pPr>
    </w:p>
    <w:p w:rsidR="00755E78" w:rsidRPr="00F8554D" w:rsidRDefault="00F8554D" w:rsidP="00755E78">
      <w:pPr>
        <w:rPr>
          <w:bCs/>
        </w:rPr>
      </w:pPr>
      <w:r w:rsidRPr="00F8554D">
        <w:rPr>
          <w:b/>
          <w:bCs/>
        </w:rPr>
        <w:t xml:space="preserve">Fecha en la que el </w:t>
      </w:r>
      <w:r w:rsidR="00122C02" w:rsidRPr="00F8554D">
        <w:rPr>
          <w:b/>
          <w:bCs/>
        </w:rPr>
        <w:t xml:space="preserve">director general </w:t>
      </w:r>
      <w:r w:rsidRPr="00F8554D">
        <w:rPr>
          <w:b/>
          <w:bCs/>
        </w:rPr>
        <w:t>ha recibido la solicitud de designación</w:t>
      </w:r>
      <w:proofErr w:type="gramStart"/>
      <w:r w:rsidRPr="00F8554D">
        <w:rPr>
          <w:b/>
          <w:bCs/>
        </w:rPr>
        <w:t xml:space="preserve">:  </w:t>
      </w:r>
      <w:r>
        <w:rPr>
          <w:bCs/>
        </w:rPr>
        <w:t>7</w:t>
      </w:r>
      <w:proofErr w:type="gramEnd"/>
      <w:r w:rsidRPr="00F8554D">
        <w:rPr>
          <w:bCs/>
        </w:rPr>
        <w:t xml:space="preserve"> de marzo de 2017</w:t>
      </w:r>
      <w:r w:rsidR="00E52D2F">
        <w:rPr>
          <w:bCs/>
        </w:rPr>
        <w:t>.</w:t>
      </w:r>
    </w:p>
    <w:p w:rsidR="00F8554D" w:rsidRPr="00F8554D" w:rsidRDefault="00F8554D" w:rsidP="00F8554D">
      <w:pPr>
        <w:tabs>
          <w:tab w:val="left" w:pos="2730"/>
        </w:tabs>
        <w:rPr>
          <w:rFonts w:eastAsiaTheme="minorEastAsia"/>
          <w:szCs w:val="22"/>
          <w:lang w:eastAsia="ko-KR"/>
        </w:rPr>
      </w:pPr>
    </w:p>
    <w:p w:rsidR="00755E78" w:rsidRPr="00F8554D" w:rsidRDefault="00F8554D" w:rsidP="00755E78">
      <w:pPr>
        <w:rPr>
          <w:rFonts w:eastAsiaTheme="minorEastAsia"/>
          <w:szCs w:val="22"/>
          <w:lang w:eastAsia="ko-KR"/>
        </w:rPr>
      </w:pPr>
      <w:r w:rsidRPr="00F8554D">
        <w:rPr>
          <w:b/>
          <w:bCs/>
          <w:szCs w:val="22"/>
        </w:rPr>
        <w:t>Período de sesiones de la Asamblea de la Unión del PCT en el que se solicita la designación</w:t>
      </w:r>
      <w:proofErr w:type="gramStart"/>
      <w:r w:rsidR="00755E78" w:rsidRPr="00F8554D">
        <w:rPr>
          <w:b/>
          <w:bCs/>
          <w:szCs w:val="22"/>
        </w:rPr>
        <w:t>:</w:t>
      </w:r>
      <w:r w:rsidR="00755E78" w:rsidRPr="00F8554D">
        <w:rPr>
          <w:szCs w:val="22"/>
        </w:rPr>
        <w:t xml:space="preserve">  </w:t>
      </w:r>
      <w:r w:rsidRPr="00F8554D">
        <w:rPr>
          <w:rFonts w:eastAsiaTheme="minorEastAsia"/>
          <w:szCs w:val="22"/>
          <w:lang w:eastAsia="ko-KR"/>
        </w:rPr>
        <w:t>Cuadragésimo</w:t>
      </w:r>
      <w:proofErr w:type="gramEnd"/>
      <w:r w:rsidRPr="00F8554D">
        <w:rPr>
          <w:rFonts w:eastAsiaTheme="minorEastAsia"/>
          <w:szCs w:val="22"/>
          <w:lang w:eastAsia="ko-KR"/>
        </w:rPr>
        <w:t xml:space="preserve"> noveno periodo de sesiones de la Asamblea de la Unión del PCT</w:t>
      </w:r>
      <w:r w:rsidR="00E52D2F">
        <w:rPr>
          <w:rFonts w:eastAsiaTheme="minorEastAsia"/>
          <w:szCs w:val="22"/>
          <w:lang w:eastAsia="ko-KR"/>
        </w:rPr>
        <w:t xml:space="preserve"> de la OMPI.</w:t>
      </w:r>
    </w:p>
    <w:p w:rsidR="00755E78" w:rsidRPr="00F8554D" w:rsidRDefault="00755E78" w:rsidP="00755E78">
      <w:pPr>
        <w:rPr>
          <w:rFonts w:eastAsiaTheme="minorEastAsia"/>
          <w:szCs w:val="22"/>
          <w:lang w:eastAsia="ko-KR"/>
        </w:rPr>
      </w:pPr>
    </w:p>
    <w:p w:rsidR="00755E78" w:rsidRPr="00F8554D" w:rsidRDefault="004C182F" w:rsidP="00F8554D">
      <w:pPr>
        <w:rPr>
          <w:rFonts w:eastAsiaTheme="minorEastAsia"/>
          <w:szCs w:val="22"/>
          <w:lang w:eastAsia="ko-KR"/>
        </w:rPr>
      </w:pPr>
      <w:r>
        <w:rPr>
          <w:b/>
          <w:bCs/>
          <w:szCs w:val="22"/>
        </w:rPr>
        <w:t>Fecha prevista de inicio de la actividad</w:t>
      </w:r>
      <w:r w:rsidR="00F8554D" w:rsidRPr="00F8554D">
        <w:rPr>
          <w:b/>
          <w:bCs/>
          <w:szCs w:val="22"/>
        </w:rPr>
        <w:t xml:space="preserve"> como ISA/IPEA</w:t>
      </w:r>
      <w:proofErr w:type="gramStart"/>
      <w:r w:rsidR="00755E78" w:rsidRPr="00F8554D">
        <w:rPr>
          <w:b/>
          <w:bCs/>
          <w:szCs w:val="22"/>
        </w:rPr>
        <w:t>:</w:t>
      </w:r>
      <w:r w:rsidR="00755E78" w:rsidRPr="00F8554D">
        <w:rPr>
          <w:szCs w:val="22"/>
        </w:rPr>
        <w:t xml:space="preserve">  </w:t>
      </w:r>
      <w:r>
        <w:rPr>
          <w:rFonts w:eastAsiaTheme="minorEastAsia"/>
          <w:szCs w:val="22"/>
          <w:lang w:eastAsia="ko-KR"/>
        </w:rPr>
        <w:t>La</w:t>
      </w:r>
      <w:proofErr w:type="gramEnd"/>
      <w:r>
        <w:rPr>
          <w:rFonts w:eastAsiaTheme="minorEastAsia"/>
          <w:szCs w:val="22"/>
          <w:lang w:eastAsia="ko-KR"/>
        </w:rPr>
        <w:t xml:space="preserve"> actividad en calidad de </w:t>
      </w:r>
      <w:r w:rsidR="00755E78" w:rsidRPr="00F8554D">
        <w:rPr>
          <w:rFonts w:eastAsiaTheme="minorEastAsia"/>
          <w:szCs w:val="22"/>
          <w:lang w:eastAsia="ko-KR"/>
        </w:rPr>
        <w:t xml:space="preserve">ISA/IPEA </w:t>
      </w:r>
      <w:r w:rsidR="00F8554D">
        <w:rPr>
          <w:rFonts w:eastAsiaTheme="minorEastAsia"/>
          <w:szCs w:val="22"/>
          <w:lang w:eastAsia="ko-KR"/>
        </w:rPr>
        <w:t>está</w:t>
      </w:r>
      <w:r>
        <w:rPr>
          <w:rFonts w:eastAsiaTheme="minorEastAsia"/>
          <w:szCs w:val="22"/>
          <w:lang w:eastAsia="ko-KR"/>
        </w:rPr>
        <w:t xml:space="preserve"> actualmente</w:t>
      </w:r>
      <w:r w:rsidR="00F8554D">
        <w:rPr>
          <w:rFonts w:eastAsiaTheme="minorEastAsia"/>
          <w:szCs w:val="22"/>
          <w:lang w:eastAsia="ko-KR"/>
        </w:rPr>
        <w:t xml:space="preserve"> en curso</w:t>
      </w:r>
      <w:r w:rsidR="00E52D2F">
        <w:rPr>
          <w:rFonts w:eastAsiaTheme="minorEastAsia"/>
          <w:szCs w:val="22"/>
          <w:lang w:eastAsia="ko-KR"/>
        </w:rPr>
        <w:t>.</w:t>
      </w:r>
    </w:p>
    <w:p w:rsidR="00755E78" w:rsidRPr="00F8554D" w:rsidRDefault="00755E78" w:rsidP="004C182F">
      <w:pPr>
        <w:tabs>
          <w:tab w:val="left" w:pos="1870"/>
        </w:tabs>
        <w:rPr>
          <w:rFonts w:eastAsiaTheme="minorEastAsia"/>
          <w:b/>
          <w:bCs/>
          <w:szCs w:val="22"/>
          <w:lang w:eastAsia="ko-KR"/>
        </w:rPr>
      </w:pPr>
    </w:p>
    <w:p w:rsidR="00755E78" w:rsidRPr="00370DEC" w:rsidRDefault="00755E78" w:rsidP="00755E78">
      <w:pPr>
        <w:keepNext/>
        <w:pBdr>
          <w:top w:val="single" w:sz="4" w:space="1" w:color="auto"/>
          <w:bottom w:val="single" w:sz="4" w:space="1" w:color="auto"/>
        </w:pBdr>
        <w:spacing w:before="360" w:after="200"/>
        <w:outlineLvl w:val="0"/>
        <w:rPr>
          <w:b/>
          <w:bCs/>
          <w:caps/>
          <w:kern w:val="32"/>
          <w:szCs w:val="32"/>
        </w:rPr>
      </w:pPr>
      <w:r w:rsidRPr="00370DEC">
        <w:rPr>
          <w:b/>
          <w:bCs/>
          <w:caps/>
          <w:kern w:val="32"/>
          <w:szCs w:val="32"/>
        </w:rPr>
        <w:t xml:space="preserve">2 – </w:t>
      </w:r>
      <w:r w:rsidR="00370DEC" w:rsidRPr="00370DEC">
        <w:rPr>
          <w:b/>
          <w:bCs/>
          <w:caps/>
          <w:kern w:val="32"/>
          <w:szCs w:val="32"/>
        </w:rPr>
        <w:t>CRITERIOS SUSTANTIVOS: REQUISITOS MÍNIMOS PARA LA DESIGNACIÓN</w:t>
      </w:r>
    </w:p>
    <w:p w:rsidR="00A3729E" w:rsidRDefault="00A3729E" w:rsidP="00755E78">
      <w:pPr>
        <w:spacing w:after="220"/>
        <w:rPr>
          <w:rFonts w:eastAsiaTheme="minorEastAsia"/>
          <w:lang w:eastAsia="ko-KR"/>
        </w:rPr>
      </w:pPr>
      <w:r w:rsidRPr="00A3729E">
        <w:rPr>
          <w:rFonts w:eastAsiaTheme="minorEastAsia"/>
          <w:lang w:eastAsia="ko-KR"/>
        </w:rPr>
        <w:t>Los</w:t>
      </w:r>
      <w:r w:rsidR="00361646" w:rsidRPr="00A3729E">
        <w:rPr>
          <w:rFonts w:eastAsiaTheme="minorEastAsia"/>
          <w:lang w:eastAsia="ko-KR"/>
        </w:rPr>
        <w:t xml:space="preserve"> </w:t>
      </w:r>
      <w:r w:rsidRPr="00A3729E">
        <w:rPr>
          <w:rFonts w:eastAsiaTheme="minorEastAsia"/>
          <w:lang w:eastAsia="ko-KR"/>
        </w:rPr>
        <w:t>requisito</w:t>
      </w:r>
      <w:r w:rsidR="00361646" w:rsidRPr="00A3729E">
        <w:rPr>
          <w:rFonts w:eastAsiaTheme="minorEastAsia"/>
          <w:lang w:eastAsia="ko-KR"/>
        </w:rPr>
        <w:t xml:space="preserve">s para la </w:t>
      </w:r>
      <w:r w:rsidRPr="00A3729E">
        <w:rPr>
          <w:rFonts w:eastAsiaTheme="minorEastAsia"/>
          <w:lang w:eastAsia="ko-KR"/>
        </w:rPr>
        <w:t>renovación de la designaci</w:t>
      </w:r>
      <w:r>
        <w:rPr>
          <w:rFonts w:eastAsiaTheme="minorEastAsia"/>
          <w:lang w:eastAsia="ko-KR"/>
        </w:rPr>
        <w:t xml:space="preserve">ón de las Administraciones existentes son esencialmente los mismos que para la designación de nuevas </w:t>
      </w:r>
      <w:r w:rsidR="004C182F">
        <w:rPr>
          <w:rFonts w:eastAsiaTheme="minorEastAsia"/>
          <w:lang w:eastAsia="ko-KR"/>
        </w:rPr>
        <w:t>oficinas responsables</w:t>
      </w:r>
      <w:r w:rsidR="00E52D2F">
        <w:rPr>
          <w:rFonts w:eastAsiaTheme="minorEastAsia"/>
          <w:lang w:eastAsia="ko-KR"/>
        </w:rPr>
        <w:t>, sujeta</w:t>
      </w:r>
      <w:r>
        <w:rPr>
          <w:rFonts w:eastAsiaTheme="minorEastAsia"/>
          <w:lang w:eastAsia="ko-KR"/>
        </w:rPr>
        <w:t xml:space="preserve"> a </w:t>
      </w:r>
      <w:r w:rsidR="004C182F">
        <w:rPr>
          <w:rFonts w:eastAsiaTheme="minorEastAsia"/>
          <w:lang w:eastAsia="ko-KR"/>
        </w:rPr>
        <w:t>determinadas</w:t>
      </w:r>
      <w:r>
        <w:rPr>
          <w:rFonts w:eastAsiaTheme="minorEastAsia"/>
          <w:lang w:eastAsia="ko-KR"/>
        </w:rPr>
        <w:t xml:space="preserve"> modificaciones convenidas por los Estados miembros. </w:t>
      </w:r>
    </w:p>
    <w:p w:rsidR="00361646" w:rsidRPr="00A3729E" w:rsidRDefault="00A3729E" w:rsidP="00755E78">
      <w:pPr>
        <w:spacing w:after="220"/>
        <w:rPr>
          <w:rFonts w:eastAsiaTheme="minorEastAsia"/>
          <w:lang w:eastAsia="ko-KR"/>
        </w:rPr>
      </w:pPr>
      <w:r>
        <w:rPr>
          <w:rFonts w:eastAsiaTheme="minorEastAsia"/>
          <w:lang w:eastAsia="ko-KR"/>
        </w:rPr>
        <w:t xml:space="preserve">Los requisitos mínimos para la designación </w:t>
      </w:r>
      <w:r w:rsidR="004C182F">
        <w:rPr>
          <w:rFonts w:eastAsiaTheme="minorEastAsia"/>
          <w:lang w:eastAsia="ko-KR"/>
        </w:rPr>
        <w:t>como</w:t>
      </w:r>
      <w:r>
        <w:rPr>
          <w:rFonts w:eastAsiaTheme="minorEastAsia"/>
          <w:lang w:eastAsia="ko-KR"/>
        </w:rPr>
        <w:t xml:space="preserve"> Administración encargada de la búsqueda internacional se especifican en la Regla 36</w:t>
      </w:r>
      <w:r w:rsidR="004C182F">
        <w:rPr>
          <w:rFonts w:eastAsiaTheme="minorEastAsia"/>
          <w:lang w:eastAsia="ko-KR"/>
        </w:rPr>
        <w:t>.1</w:t>
      </w:r>
      <w:r>
        <w:rPr>
          <w:rFonts w:eastAsiaTheme="minorEastAsia"/>
          <w:lang w:eastAsia="ko-KR"/>
        </w:rPr>
        <w:t xml:space="preserve"> del PCT </w:t>
      </w:r>
      <w:r w:rsidRPr="00A3729E">
        <w:rPr>
          <w:rFonts w:eastAsiaTheme="minorEastAsia"/>
          <w:lang w:eastAsia="ko-KR"/>
        </w:rPr>
        <w:t>y son los siguientes</w:t>
      </w:r>
      <w:r>
        <w:rPr>
          <w:rFonts w:eastAsiaTheme="minorEastAsia"/>
          <w:lang w:eastAsia="ko-KR"/>
        </w:rPr>
        <w:t>:</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i)  </w:t>
      </w:r>
      <w:r w:rsidR="00A3729E" w:rsidRPr="00A3729E">
        <w:rPr>
          <w:rFonts w:eastAsiaTheme="minorEastAsia"/>
          <w:lang w:eastAsia="ko-KR"/>
        </w:rPr>
        <w:t>la Oficina nacional o la organización intergubernamental deberá tener, por lo menos, 100 empleados con plena dedicación, con calificaciones técnicas suficientes para efectuar las búsquedas</w:t>
      </w:r>
      <w:r w:rsidR="007548B7" w:rsidRPr="00A3729E">
        <w:rPr>
          <w:rFonts w:eastAsiaTheme="minorEastAsia"/>
          <w:lang w:eastAsia="ko-KR"/>
        </w:rPr>
        <w:t>;</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ii)  </w:t>
      </w:r>
      <w:r w:rsidR="00A3729E" w:rsidRPr="00A3729E">
        <w:rPr>
          <w:rFonts w:eastAsiaTheme="minorEastAsia"/>
          <w:lang w:eastAsia="ko-KR"/>
        </w:rPr>
        <w:t xml:space="preserve">esa Oficina u organización deberá poseer, por lo menos, la documentación mínima mencionada en la Regla 34, o tener acceso a esa documentación mínima, la cual deberá estar ordenada en forma adecuada a los fines de la búsqueda y presentarse en papel, en </w:t>
      </w:r>
      <w:proofErr w:type="spellStart"/>
      <w:r w:rsidR="00A3729E" w:rsidRPr="00A3729E">
        <w:rPr>
          <w:rFonts w:eastAsiaTheme="minorEastAsia"/>
          <w:lang w:eastAsia="ko-KR"/>
        </w:rPr>
        <w:t>microformato</w:t>
      </w:r>
      <w:proofErr w:type="spellEnd"/>
      <w:r w:rsidR="00A3729E" w:rsidRPr="00A3729E">
        <w:rPr>
          <w:rFonts w:eastAsiaTheme="minorEastAsia"/>
          <w:lang w:eastAsia="ko-KR"/>
        </w:rPr>
        <w:t xml:space="preserve"> o en soporte electrónico;</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iii)  </w:t>
      </w:r>
      <w:r w:rsidR="00A3729E" w:rsidRPr="00A3729E">
        <w:rPr>
          <w:rFonts w:eastAsiaTheme="minorEastAsia"/>
          <w:lang w:eastAsia="ko-KR"/>
        </w:rPr>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iv)  </w:t>
      </w:r>
      <w:r w:rsidR="00A3729E" w:rsidRPr="00A3729E">
        <w:rPr>
          <w:rFonts w:eastAsiaTheme="minorEastAsia"/>
          <w:lang w:eastAsia="ko-KR"/>
        </w:rPr>
        <w:t>esa Oficina u organización deberá disponer de un sistema de gestión de calidad y un sistema de revisión interna, conforme a las reglas comunes de la búsqueda internacional</w:t>
      </w:r>
      <w:r w:rsidRPr="00A3729E">
        <w:rPr>
          <w:rFonts w:eastAsiaTheme="minorEastAsia"/>
          <w:lang w:eastAsia="ko-KR"/>
        </w:rPr>
        <w:t>;</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v)  </w:t>
      </w:r>
      <w:r w:rsidR="00A3729E" w:rsidRPr="00A3729E">
        <w:rPr>
          <w:rFonts w:eastAsiaTheme="minorEastAsia"/>
          <w:lang w:eastAsia="ko-KR"/>
        </w:rPr>
        <w:t>esa Oficina u organización deberá ser nombrada en calidad de Administración encargada del examen preliminar internacional</w:t>
      </w:r>
      <w:r w:rsidRPr="00A3729E">
        <w:rPr>
          <w:rFonts w:eastAsiaTheme="minorEastAsia"/>
          <w:lang w:eastAsia="ko-KR"/>
        </w:rPr>
        <w:t>.</w:t>
      </w:r>
    </w:p>
    <w:p w:rsidR="00A3729E" w:rsidRPr="00A3729E" w:rsidRDefault="00A3729E" w:rsidP="00A06C8B">
      <w:pPr>
        <w:keepNext/>
        <w:spacing w:after="220"/>
        <w:rPr>
          <w:rFonts w:eastAsiaTheme="minorEastAsia"/>
          <w:lang w:eastAsia="ko-KR"/>
        </w:rPr>
      </w:pPr>
      <w:r w:rsidRPr="00A3729E">
        <w:rPr>
          <w:rFonts w:eastAsiaTheme="minorEastAsia"/>
          <w:lang w:eastAsia="ko-KR"/>
        </w:rPr>
        <w:lastRenderedPageBreak/>
        <w:t xml:space="preserve">Los requisitos mínimos para la designación </w:t>
      </w:r>
      <w:r w:rsidR="00A44E62">
        <w:rPr>
          <w:rFonts w:eastAsiaTheme="minorEastAsia"/>
          <w:lang w:eastAsia="ko-KR"/>
        </w:rPr>
        <w:t>como</w:t>
      </w:r>
      <w:r w:rsidRPr="00A3729E">
        <w:rPr>
          <w:rFonts w:eastAsiaTheme="minorEastAsia"/>
          <w:lang w:eastAsia="ko-KR"/>
        </w:rPr>
        <w:t xml:space="preserve"> Administración encargada del examen preliminar internacional se especifican en la Regla </w:t>
      </w:r>
      <w:r>
        <w:rPr>
          <w:rFonts w:eastAsiaTheme="minorEastAsia"/>
          <w:lang w:eastAsia="ko-KR"/>
        </w:rPr>
        <w:t>63.1</w:t>
      </w:r>
      <w:r w:rsidRPr="00A3729E">
        <w:rPr>
          <w:rFonts w:eastAsiaTheme="minorEastAsia"/>
          <w:lang w:eastAsia="ko-KR"/>
        </w:rPr>
        <w:t xml:space="preserve"> del PCT, </w:t>
      </w:r>
      <w:r>
        <w:rPr>
          <w:rFonts w:eastAsiaTheme="minorEastAsia"/>
          <w:lang w:eastAsia="ko-KR"/>
        </w:rPr>
        <w:t>y son los siguientes:</w:t>
      </w:r>
    </w:p>
    <w:p w:rsidR="00755E78" w:rsidRPr="00A3729E" w:rsidRDefault="00755E78" w:rsidP="00A06C8B">
      <w:pPr>
        <w:keepNext/>
        <w:spacing w:after="220"/>
        <w:ind w:left="567"/>
        <w:rPr>
          <w:rFonts w:eastAsiaTheme="minorEastAsia"/>
          <w:lang w:eastAsia="ko-KR"/>
        </w:rPr>
      </w:pPr>
      <w:r w:rsidRPr="00A3729E">
        <w:rPr>
          <w:rFonts w:eastAsiaTheme="minorEastAsia"/>
          <w:lang w:eastAsia="ko-KR"/>
        </w:rPr>
        <w:t xml:space="preserve">i)  </w:t>
      </w:r>
      <w:r w:rsidR="00A3729E" w:rsidRPr="00A3729E">
        <w:rPr>
          <w:rFonts w:eastAsiaTheme="minorEastAsia"/>
          <w:lang w:eastAsia="ko-KR"/>
        </w:rPr>
        <w:t>la Oficina nacional o la organización intergubernamental deberá tener al menos cien empleados con plena dedicación, con calificaciones técnicas suficientes para realizar los exámenes</w:t>
      </w:r>
      <w:r w:rsidRPr="00A3729E">
        <w:rPr>
          <w:rFonts w:eastAsiaTheme="minorEastAsia"/>
          <w:lang w:eastAsia="ko-KR"/>
        </w:rPr>
        <w:t>;</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ii)  </w:t>
      </w:r>
      <w:r w:rsidR="00A3729E" w:rsidRPr="00A3729E">
        <w:rPr>
          <w:rFonts w:eastAsiaTheme="minorEastAsia"/>
          <w:lang w:eastAsia="ko-KR"/>
        </w:rPr>
        <w:t>esa Oficina u organización deberá disponer fácilmente, por lo menos, de la documentación mínima mencionada en la Regla 34, ordenada en forma adecuada a los fines del examen</w:t>
      </w:r>
      <w:r w:rsidRPr="00A3729E">
        <w:rPr>
          <w:rFonts w:eastAsiaTheme="minorEastAsia"/>
          <w:lang w:eastAsia="ko-KR"/>
        </w:rPr>
        <w:t>;</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iii)  </w:t>
      </w:r>
      <w:r w:rsidR="00A3729E" w:rsidRPr="00A3729E">
        <w:rPr>
          <w:rFonts w:eastAsiaTheme="minorEastAsia"/>
          <w:lang w:eastAsia="ko-KR"/>
        </w:rPr>
        <w:t>esa Oficina u organización deberá disponer de un personal capacitado para proceder al examen en los sectores técnicos adecuados y que posea los conocimientos lingüísticos necesarios para comprender, por lo menos, los idiomas en los que esté redactada o traducida la documentación mínima mencionada en la Regla 34</w:t>
      </w:r>
      <w:r w:rsidRPr="00A3729E">
        <w:rPr>
          <w:rFonts w:eastAsiaTheme="minorEastAsia"/>
          <w:lang w:eastAsia="ko-KR"/>
        </w:rPr>
        <w:t>;</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iv)  </w:t>
      </w:r>
      <w:r w:rsidR="00A3729E" w:rsidRPr="00A3729E">
        <w:rPr>
          <w:rFonts w:eastAsiaTheme="minorEastAsia"/>
          <w:lang w:eastAsia="ko-KR"/>
        </w:rPr>
        <w:t>esa Oficina u organización deberá disponer de un sistema de control de calidad y de disposiciones internas en materia de evaluación, de conformidad con las reglas comunes del examen preliminar internacional</w:t>
      </w:r>
      <w:r w:rsidRPr="00A3729E">
        <w:rPr>
          <w:rFonts w:eastAsiaTheme="minorEastAsia"/>
          <w:lang w:eastAsia="ko-KR"/>
        </w:rPr>
        <w:t>;</w:t>
      </w:r>
    </w:p>
    <w:p w:rsidR="00755E78" w:rsidRPr="00A3729E" w:rsidRDefault="00755E78" w:rsidP="00755E78">
      <w:pPr>
        <w:spacing w:after="220"/>
        <w:ind w:left="567"/>
        <w:rPr>
          <w:rFonts w:eastAsiaTheme="minorEastAsia"/>
          <w:lang w:eastAsia="ko-KR"/>
        </w:rPr>
      </w:pPr>
      <w:r w:rsidRPr="00A3729E">
        <w:rPr>
          <w:rFonts w:eastAsiaTheme="minorEastAsia"/>
          <w:lang w:eastAsia="ko-KR"/>
        </w:rPr>
        <w:t xml:space="preserve">v)  </w:t>
      </w:r>
      <w:r w:rsidR="00A3729E" w:rsidRPr="00A3729E">
        <w:rPr>
          <w:rFonts w:eastAsiaTheme="minorEastAsia"/>
          <w:lang w:eastAsia="ko-KR"/>
        </w:rPr>
        <w:t>esa Oficina u organización deberá ser nombrada en calidad de Administración encargada de la búsqueda internacional</w:t>
      </w:r>
      <w:r w:rsidRPr="00A3729E">
        <w:rPr>
          <w:rFonts w:eastAsiaTheme="minorEastAsia"/>
          <w:lang w:eastAsia="ko-KR"/>
        </w:rPr>
        <w:t>.</w:t>
      </w:r>
    </w:p>
    <w:p w:rsidR="00A3729E" w:rsidRPr="00A3729E" w:rsidRDefault="00A3729E" w:rsidP="00755E78">
      <w:pPr>
        <w:spacing w:after="220"/>
        <w:rPr>
          <w:rFonts w:eastAsiaTheme="minorEastAsia"/>
          <w:lang w:eastAsia="ko-KR"/>
        </w:rPr>
      </w:pPr>
      <w:r w:rsidRPr="00A3729E">
        <w:rPr>
          <w:rFonts w:eastAsiaTheme="minorEastAsia"/>
          <w:lang w:eastAsia="ko-KR"/>
        </w:rPr>
        <w:t>La USPTO cump</w:t>
      </w:r>
      <w:r>
        <w:rPr>
          <w:rFonts w:eastAsiaTheme="minorEastAsia"/>
          <w:lang w:eastAsia="ko-KR"/>
        </w:rPr>
        <w:t>l</w:t>
      </w:r>
      <w:r w:rsidRPr="00A3729E">
        <w:rPr>
          <w:rFonts w:eastAsiaTheme="minorEastAsia"/>
          <w:lang w:eastAsia="ko-KR"/>
        </w:rPr>
        <w:t>e y supera todos los requisi</w:t>
      </w:r>
      <w:r>
        <w:rPr>
          <w:rFonts w:eastAsiaTheme="minorEastAsia"/>
          <w:lang w:eastAsia="ko-KR"/>
        </w:rPr>
        <w:t xml:space="preserve">tos especificados para </w:t>
      </w:r>
      <w:r w:rsidR="00A44E62">
        <w:rPr>
          <w:rFonts w:eastAsiaTheme="minorEastAsia"/>
          <w:lang w:eastAsia="ko-KR"/>
        </w:rPr>
        <w:t>la</w:t>
      </w:r>
      <w:r>
        <w:rPr>
          <w:rFonts w:eastAsiaTheme="minorEastAsia"/>
          <w:lang w:eastAsia="ko-KR"/>
        </w:rPr>
        <w:t xml:space="preserve"> prórroga de su designación como Administración internacional en virtud del PCT, tal como se explica en los apartados siguientes.</w:t>
      </w:r>
    </w:p>
    <w:p w:rsidR="00755E78" w:rsidRPr="00370DEC" w:rsidRDefault="00755E78" w:rsidP="00755E78">
      <w:pPr>
        <w:keepNext/>
        <w:pBdr>
          <w:top w:val="single" w:sz="4" w:space="1" w:color="auto"/>
          <w:bottom w:val="single" w:sz="4" w:space="1" w:color="auto"/>
        </w:pBdr>
        <w:spacing w:before="360" w:after="200"/>
        <w:outlineLvl w:val="0"/>
        <w:rPr>
          <w:b/>
          <w:bCs/>
          <w:caps/>
          <w:kern w:val="32"/>
          <w:szCs w:val="32"/>
        </w:rPr>
      </w:pPr>
      <w:r w:rsidRPr="00370DEC">
        <w:rPr>
          <w:b/>
          <w:bCs/>
          <w:caps/>
          <w:kern w:val="32"/>
          <w:szCs w:val="32"/>
        </w:rPr>
        <w:t xml:space="preserve">2.1 – </w:t>
      </w:r>
      <w:r w:rsidR="00370DEC" w:rsidRPr="00370DEC">
        <w:rPr>
          <w:b/>
          <w:bCs/>
          <w:caps/>
          <w:kern w:val="32"/>
          <w:szCs w:val="32"/>
        </w:rPr>
        <w:t>CAPACIDAD DE BÚSQUEDA Y EXAMEN preLiminar</w:t>
      </w:r>
    </w:p>
    <w:p w:rsidR="00755E78" w:rsidRPr="00564F5A" w:rsidRDefault="00D40EBD" w:rsidP="00755E78">
      <w:pPr>
        <w:spacing w:after="220"/>
        <w:rPr>
          <w:b/>
        </w:rPr>
      </w:pPr>
      <w:r w:rsidRPr="00564F5A">
        <w:rPr>
          <w:b/>
        </w:rPr>
        <w:t>Número de examinadores</w:t>
      </w:r>
      <w:r w:rsidR="00755E78" w:rsidRPr="00564F5A">
        <w:rPr>
          <w:b/>
        </w:rPr>
        <w:t>:</w:t>
      </w:r>
    </w:p>
    <w:p w:rsidR="00D0104F" w:rsidRDefault="00D0104F" w:rsidP="00755E78">
      <w:pPr>
        <w:spacing w:after="220"/>
      </w:pPr>
      <w:r>
        <w:t xml:space="preserve">A enero de 2017, el número de examinadores de patentes de la USPTO ascendía a más de 8.100. </w:t>
      </w:r>
      <w:r w:rsidR="00934D76">
        <w:t xml:space="preserve"> </w:t>
      </w:r>
      <w:r>
        <w:t>El número de examinadores puede desglosarse en función de las especialidades técnicas, a las que se añad</w:t>
      </w:r>
      <w:r w:rsidR="00841171">
        <w:t>e</w:t>
      </w:r>
      <w:r>
        <w:t xml:space="preserve"> el promedio de años de experiencia correspondientes.</w:t>
      </w:r>
    </w:p>
    <w:p w:rsidR="00D0104F" w:rsidRPr="00D0104F" w:rsidRDefault="00D0104F" w:rsidP="00755E78">
      <w:pPr>
        <w:spacing w:after="220"/>
      </w:pPr>
      <w:r>
        <w:t>Los centros técnicos (TC) a los que se hace referencia en las tablas siguientes corresponden a las categorías siguientes:</w:t>
      </w:r>
    </w:p>
    <w:p w:rsidR="00755E78" w:rsidRPr="00D0104F" w:rsidRDefault="00755E78" w:rsidP="00755E78">
      <w:pPr>
        <w:spacing w:after="220"/>
      </w:pPr>
      <w:r w:rsidRPr="00D0104F">
        <w:t>1600</w:t>
      </w:r>
      <w:r w:rsidRPr="00D0104F">
        <w:tab/>
        <w:t>Biotec</w:t>
      </w:r>
      <w:r w:rsidR="00D0104F" w:rsidRPr="00D0104F">
        <w:t>nología y química orgánica</w:t>
      </w:r>
      <w:r w:rsidRPr="00D0104F">
        <w:t>.</w:t>
      </w:r>
    </w:p>
    <w:p w:rsidR="00755E78" w:rsidRPr="00D0104F" w:rsidRDefault="00755E78" w:rsidP="00755E78">
      <w:pPr>
        <w:spacing w:after="220"/>
      </w:pPr>
      <w:r w:rsidRPr="00D0104F">
        <w:t>1700</w:t>
      </w:r>
      <w:r w:rsidRPr="00D0104F">
        <w:tab/>
      </w:r>
      <w:r w:rsidR="00D0104F" w:rsidRPr="00D0104F">
        <w:t>Química e ingeniería de materiales</w:t>
      </w:r>
      <w:r w:rsidRPr="00D0104F">
        <w:t>.</w:t>
      </w:r>
    </w:p>
    <w:p w:rsidR="00755E78" w:rsidRPr="00D0104F" w:rsidRDefault="00755E78" w:rsidP="00755E78">
      <w:pPr>
        <w:spacing w:after="220"/>
      </w:pPr>
      <w:r w:rsidRPr="00D0104F">
        <w:t>2100</w:t>
      </w:r>
      <w:r w:rsidRPr="00D0104F">
        <w:tab/>
      </w:r>
      <w:r w:rsidR="00D0104F" w:rsidRPr="00D0104F">
        <w:t xml:space="preserve">Software </w:t>
      </w:r>
      <w:r w:rsidR="00D0104F">
        <w:t>para</w:t>
      </w:r>
      <w:r w:rsidR="00D0104F" w:rsidRPr="00D0104F">
        <w:t xml:space="preserve"> la </w:t>
      </w:r>
      <w:r w:rsidR="00D0104F">
        <w:t>a</w:t>
      </w:r>
      <w:r w:rsidR="00D0104F" w:rsidRPr="00D0104F">
        <w:t xml:space="preserve">rquitectura de computación </w:t>
      </w:r>
      <w:r w:rsidR="00D0104F">
        <w:t>y</w:t>
      </w:r>
      <w:r w:rsidR="00D0104F" w:rsidRPr="00D0104F">
        <w:t xml:space="preserve"> seguridad de la </w:t>
      </w:r>
      <w:r w:rsidR="00D0104F">
        <w:t>información</w:t>
      </w:r>
      <w:r w:rsidRPr="00D0104F">
        <w:t>.</w:t>
      </w:r>
    </w:p>
    <w:p w:rsidR="00755E78" w:rsidRPr="00D0104F" w:rsidRDefault="00755E78" w:rsidP="00755E78">
      <w:pPr>
        <w:spacing w:after="220"/>
      </w:pPr>
      <w:r w:rsidRPr="00D0104F">
        <w:t>2400</w:t>
      </w:r>
      <w:r w:rsidRPr="00D0104F">
        <w:tab/>
      </w:r>
      <w:r w:rsidR="00D0104F" w:rsidRPr="00D0104F">
        <w:t>Redes, multiplexación, cables y seguridad</w:t>
      </w:r>
      <w:r w:rsidRPr="00D0104F">
        <w:t>.</w:t>
      </w:r>
    </w:p>
    <w:p w:rsidR="00755E78" w:rsidRPr="00D0104F" w:rsidRDefault="00755E78" w:rsidP="00755E78">
      <w:pPr>
        <w:spacing w:after="220"/>
      </w:pPr>
      <w:r w:rsidRPr="00D0104F">
        <w:t>2600</w:t>
      </w:r>
      <w:r w:rsidRPr="00D0104F">
        <w:tab/>
        <w:t>Com</w:t>
      </w:r>
      <w:r w:rsidR="00D0104F" w:rsidRPr="00D0104F">
        <w:t>unicaciones</w:t>
      </w:r>
      <w:r w:rsidRPr="00D0104F">
        <w:t>.</w:t>
      </w:r>
    </w:p>
    <w:p w:rsidR="00755E78" w:rsidRPr="00D0104F" w:rsidRDefault="00755E78" w:rsidP="00755E78">
      <w:pPr>
        <w:spacing w:after="220"/>
      </w:pPr>
      <w:r w:rsidRPr="00D0104F">
        <w:t>2800</w:t>
      </w:r>
      <w:r w:rsidRPr="00D0104F">
        <w:tab/>
        <w:t>Semiconductor</w:t>
      </w:r>
      <w:r w:rsidR="00D0104F" w:rsidRPr="00D0104F">
        <w:t>es</w:t>
      </w:r>
      <w:r w:rsidRPr="00D0104F">
        <w:t xml:space="preserve">, </w:t>
      </w:r>
      <w:r w:rsidR="00D0104F">
        <w:t>Sistemas electro-ópticos y componentes</w:t>
      </w:r>
      <w:r w:rsidRPr="00D0104F">
        <w:t>.</w:t>
      </w:r>
    </w:p>
    <w:p w:rsidR="00755E78" w:rsidRPr="00D0104F" w:rsidRDefault="00755E78" w:rsidP="00755E78">
      <w:pPr>
        <w:spacing w:after="220"/>
      </w:pPr>
      <w:r w:rsidRPr="00D0104F">
        <w:t>3600</w:t>
      </w:r>
      <w:r w:rsidRPr="00D0104F">
        <w:tab/>
        <w:t>Transport</w:t>
      </w:r>
      <w:r w:rsidR="00D0104F" w:rsidRPr="00D0104F">
        <w:t>e, construcción, agricultura y comercio electrónico</w:t>
      </w:r>
      <w:r w:rsidRPr="00D0104F">
        <w:t>.</w:t>
      </w:r>
    </w:p>
    <w:p w:rsidR="00D0104F" w:rsidRDefault="00755E78" w:rsidP="00755E78">
      <w:pPr>
        <w:spacing w:after="220"/>
      </w:pPr>
      <w:r w:rsidRPr="00D0104F">
        <w:t>3700</w:t>
      </w:r>
      <w:r w:rsidRPr="00D0104F">
        <w:tab/>
      </w:r>
      <w:r w:rsidR="00D0104F" w:rsidRPr="00D0104F">
        <w:t>Ingeniería mecánica, fabricaci</w:t>
      </w:r>
      <w:r w:rsidR="00D0104F">
        <w:t>ón y productos</w:t>
      </w:r>
      <w:r w:rsidRPr="00D0104F">
        <w:t>.</w:t>
      </w:r>
    </w:p>
    <w:p w:rsidR="00D0104F" w:rsidRDefault="00D0104F"/>
    <w:p w:rsidR="00755E78" w:rsidRPr="00D0104F" w:rsidRDefault="00755E78" w:rsidP="00755E78">
      <w:pPr>
        <w:spacing w:after="220"/>
      </w:pPr>
    </w:p>
    <w:tbl>
      <w:tblPr>
        <w:tblStyle w:val="TableGrid"/>
        <w:tblW w:w="0" w:type="auto"/>
        <w:tblLayout w:type="fixed"/>
        <w:tblLook w:val="04A0" w:firstRow="1" w:lastRow="0" w:firstColumn="1" w:lastColumn="0" w:noHBand="0" w:noVBand="1"/>
      </w:tblPr>
      <w:tblGrid>
        <w:gridCol w:w="1526"/>
        <w:gridCol w:w="893"/>
        <w:gridCol w:w="894"/>
        <w:gridCol w:w="894"/>
        <w:gridCol w:w="894"/>
        <w:gridCol w:w="894"/>
        <w:gridCol w:w="894"/>
        <w:gridCol w:w="894"/>
        <w:gridCol w:w="894"/>
        <w:gridCol w:w="894"/>
      </w:tblGrid>
      <w:tr w:rsidR="00755E78" w:rsidRPr="00D0104F" w:rsidTr="00B016F4">
        <w:tc>
          <w:tcPr>
            <w:tcW w:w="1526" w:type="dxa"/>
          </w:tcPr>
          <w:p w:rsidR="00755E78" w:rsidRPr="00D0104F" w:rsidRDefault="00755E78" w:rsidP="00755E78">
            <w:pPr>
              <w:spacing w:after="220"/>
            </w:pPr>
            <w:r w:rsidRPr="00D0104F">
              <w:lastRenderedPageBreak/>
              <w:t>TC</w:t>
            </w:r>
          </w:p>
        </w:tc>
        <w:tc>
          <w:tcPr>
            <w:tcW w:w="893" w:type="dxa"/>
          </w:tcPr>
          <w:p w:rsidR="00755E78" w:rsidRPr="00D0104F" w:rsidRDefault="00755E78" w:rsidP="00755E78">
            <w:pPr>
              <w:spacing w:after="220"/>
            </w:pPr>
            <w:r w:rsidRPr="00D0104F">
              <w:t>1600</w:t>
            </w:r>
          </w:p>
        </w:tc>
        <w:tc>
          <w:tcPr>
            <w:tcW w:w="894" w:type="dxa"/>
          </w:tcPr>
          <w:p w:rsidR="00755E78" w:rsidRPr="00D0104F" w:rsidRDefault="00755E78" w:rsidP="00755E78">
            <w:pPr>
              <w:spacing w:after="220"/>
            </w:pPr>
            <w:r w:rsidRPr="00D0104F">
              <w:t>1700</w:t>
            </w:r>
          </w:p>
        </w:tc>
        <w:tc>
          <w:tcPr>
            <w:tcW w:w="894" w:type="dxa"/>
          </w:tcPr>
          <w:p w:rsidR="00755E78" w:rsidRPr="00D0104F" w:rsidRDefault="00755E78" w:rsidP="00755E78">
            <w:pPr>
              <w:spacing w:after="220"/>
            </w:pPr>
            <w:r w:rsidRPr="00D0104F">
              <w:t>2100</w:t>
            </w:r>
          </w:p>
        </w:tc>
        <w:tc>
          <w:tcPr>
            <w:tcW w:w="894" w:type="dxa"/>
          </w:tcPr>
          <w:p w:rsidR="00755E78" w:rsidRPr="00D0104F" w:rsidRDefault="00755E78" w:rsidP="00755E78">
            <w:pPr>
              <w:spacing w:after="220"/>
            </w:pPr>
            <w:r w:rsidRPr="00D0104F">
              <w:t>2400</w:t>
            </w:r>
          </w:p>
        </w:tc>
        <w:tc>
          <w:tcPr>
            <w:tcW w:w="894" w:type="dxa"/>
          </w:tcPr>
          <w:p w:rsidR="00755E78" w:rsidRPr="00D0104F" w:rsidRDefault="00755E78" w:rsidP="00755E78">
            <w:pPr>
              <w:spacing w:after="220"/>
            </w:pPr>
            <w:r w:rsidRPr="00D0104F">
              <w:t>2600</w:t>
            </w:r>
          </w:p>
        </w:tc>
        <w:tc>
          <w:tcPr>
            <w:tcW w:w="894" w:type="dxa"/>
          </w:tcPr>
          <w:p w:rsidR="00755E78" w:rsidRPr="00D0104F" w:rsidRDefault="00755E78" w:rsidP="00755E78">
            <w:pPr>
              <w:spacing w:after="220"/>
            </w:pPr>
            <w:r w:rsidRPr="00D0104F">
              <w:t>2800</w:t>
            </w:r>
          </w:p>
        </w:tc>
        <w:tc>
          <w:tcPr>
            <w:tcW w:w="894" w:type="dxa"/>
          </w:tcPr>
          <w:p w:rsidR="00755E78" w:rsidRPr="00D0104F" w:rsidRDefault="00755E78" w:rsidP="00755E78">
            <w:pPr>
              <w:spacing w:after="220"/>
            </w:pPr>
            <w:r w:rsidRPr="00D0104F">
              <w:t>3600</w:t>
            </w:r>
          </w:p>
        </w:tc>
        <w:tc>
          <w:tcPr>
            <w:tcW w:w="894" w:type="dxa"/>
          </w:tcPr>
          <w:p w:rsidR="00755E78" w:rsidRPr="00D0104F" w:rsidRDefault="00755E78" w:rsidP="00755E78">
            <w:pPr>
              <w:spacing w:after="220"/>
            </w:pPr>
            <w:r w:rsidRPr="00D0104F">
              <w:t>3700</w:t>
            </w:r>
          </w:p>
        </w:tc>
        <w:tc>
          <w:tcPr>
            <w:tcW w:w="894" w:type="dxa"/>
          </w:tcPr>
          <w:p w:rsidR="00755E78" w:rsidRPr="00D0104F" w:rsidRDefault="00D0104F" w:rsidP="00755E78">
            <w:pPr>
              <w:spacing w:after="220"/>
            </w:pPr>
            <w:r w:rsidRPr="00D0104F">
              <w:t>Otros</w:t>
            </w:r>
          </w:p>
        </w:tc>
      </w:tr>
      <w:tr w:rsidR="00755E78" w:rsidRPr="00D0104F" w:rsidTr="00B016F4">
        <w:tc>
          <w:tcPr>
            <w:tcW w:w="1526" w:type="dxa"/>
          </w:tcPr>
          <w:p w:rsidR="00755E78" w:rsidRPr="00D0104F" w:rsidRDefault="00D0104F" w:rsidP="00755E78">
            <w:pPr>
              <w:spacing w:after="220"/>
            </w:pPr>
            <w:r w:rsidRPr="00D0104F">
              <w:t>Número</w:t>
            </w:r>
          </w:p>
        </w:tc>
        <w:tc>
          <w:tcPr>
            <w:tcW w:w="893" w:type="dxa"/>
          </w:tcPr>
          <w:p w:rsidR="00755E78" w:rsidRPr="00D0104F" w:rsidRDefault="00755E78" w:rsidP="00755E78">
            <w:pPr>
              <w:spacing w:after="220"/>
            </w:pPr>
            <w:r w:rsidRPr="00D0104F">
              <w:t>618</w:t>
            </w:r>
          </w:p>
        </w:tc>
        <w:tc>
          <w:tcPr>
            <w:tcW w:w="894" w:type="dxa"/>
          </w:tcPr>
          <w:p w:rsidR="00755E78" w:rsidRPr="00D0104F" w:rsidRDefault="00755E78" w:rsidP="00755E78">
            <w:pPr>
              <w:spacing w:after="220"/>
            </w:pPr>
            <w:r w:rsidRPr="00D0104F">
              <w:t>879</w:t>
            </w:r>
          </w:p>
        </w:tc>
        <w:tc>
          <w:tcPr>
            <w:tcW w:w="894" w:type="dxa"/>
          </w:tcPr>
          <w:p w:rsidR="00755E78" w:rsidRPr="00D0104F" w:rsidRDefault="00755E78" w:rsidP="00755E78">
            <w:pPr>
              <w:spacing w:after="220"/>
            </w:pPr>
            <w:r w:rsidRPr="00D0104F">
              <w:t>871</w:t>
            </w:r>
          </w:p>
        </w:tc>
        <w:tc>
          <w:tcPr>
            <w:tcW w:w="894" w:type="dxa"/>
          </w:tcPr>
          <w:p w:rsidR="00755E78" w:rsidRPr="00D0104F" w:rsidRDefault="00755E78" w:rsidP="00755E78">
            <w:pPr>
              <w:spacing w:after="220"/>
            </w:pPr>
            <w:r w:rsidRPr="00D0104F">
              <w:t>1002</w:t>
            </w:r>
          </w:p>
        </w:tc>
        <w:tc>
          <w:tcPr>
            <w:tcW w:w="894" w:type="dxa"/>
          </w:tcPr>
          <w:p w:rsidR="00755E78" w:rsidRPr="00D0104F" w:rsidRDefault="00755E78" w:rsidP="00755E78">
            <w:pPr>
              <w:spacing w:after="220"/>
            </w:pPr>
            <w:r w:rsidRPr="00D0104F">
              <w:t>1001</w:t>
            </w:r>
          </w:p>
        </w:tc>
        <w:tc>
          <w:tcPr>
            <w:tcW w:w="894" w:type="dxa"/>
          </w:tcPr>
          <w:p w:rsidR="00755E78" w:rsidRPr="00D0104F" w:rsidRDefault="00755E78" w:rsidP="00755E78">
            <w:pPr>
              <w:spacing w:after="220"/>
            </w:pPr>
            <w:r w:rsidRPr="00D0104F">
              <w:t>1403</w:t>
            </w:r>
          </w:p>
        </w:tc>
        <w:tc>
          <w:tcPr>
            <w:tcW w:w="894" w:type="dxa"/>
          </w:tcPr>
          <w:p w:rsidR="00755E78" w:rsidRPr="00D0104F" w:rsidRDefault="00755E78" w:rsidP="00755E78">
            <w:pPr>
              <w:spacing w:after="220"/>
            </w:pPr>
            <w:r w:rsidRPr="00D0104F">
              <w:t>1051</w:t>
            </w:r>
          </w:p>
        </w:tc>
        <w:tc>
          <w:tcPr>
            <w:tcW w:w="894" w:type="dxa"/>
          </w:tcPr>
          <w:p w:rsidR="00755E78" w:rsidRPr="00D0104F" w:rsidRDefault="00755E78" w:rsidP="00755E78">
            <w:pPr>
              <w:spacing w:after="220"/>
            </w:pPr>
            <w:r w:rsidRPr="00D0104F">
              <w:t>1163</w:t>
            </w:r>
          </w:p>
        </w:tc>
        <w:tc>
          <w:tcPr>
            <w:tcW w:w="894" w:type="dxa"/>
          </w:tcPr>
          <w:p w:rsidR="00755E78" w:rsidRPr="00D0104F" w:rsidRDefault="00755E78" w:rsidP="00755E78">
            <w:pPr>
              <w:spacing w:after="220"/>
            </w:pPr>
            <w:r w:rsidRPr="00D0104F">
              <w:t>896</w:t>
            </w:r>
          </w:p>
        </w:tc>
      </w:tr>
      <w:tr w:rsidR="00755E78" w:rsidRPr="00D0104F" w:rsidTr="00B016F4">
        <w:tc>
          <w:tcPr>
            <w:tcW w:w="1526" w:type="dxa"/>
          </w:tcPr>
          <w:p w:rsidR="00755E78" w:rsidRPr="00D0104F" w:rsidRDefault="00D0104F" w:rsidP="00D0104F">
            <w:pPr>
              <w:spacing w:after="220"/>
            </w:pPr>
            <w:r w:rsidRPr="00D0104F">
              <w:t>Años de experiencia</w:t>
            </w:r>
          </w:p>
        </w:tc>
        <w:tc>
          <w:tcPr>
            <w:tcW w:w="893" w:type="dxa"/>
          </w:tcPr>
          <w:p w:rsidR="00755E78" w:rsidRPr="00D0104F" w:rsidRDefault="007544BB" w:rsidP="00755E78">
            <w:pPr>
              <w:spacing w:after="220"/>
            </w:pPr>
            <w:r>
              <w:t>11,</w:t>
            </w:r>
            <w:r w:rsidR="00755E78" w:rsidRPr="00D0104F">
              <w:t>7</w:t>
            </w:r>
          </w:p>
        </w:tc>
        <w:tc>
          <w:tcPr>
            <w:tcW w:w="894" w:type="dxa"/>
          </w:tcPr>
          <w:p w:rsidR="00755E78" w:rsidRPr="00D0104F" w:rsidRDefault="00755E78" w:rsidP="007544BB">
            <w:pPr>
              <w:spacing w:after="220"/>
            </w:pPr>
            <w:r w:rsidRPr="00D0104F">
              <w:t>11</w:t>
            </w:r>
            <w:r w:rsidR="007544BB">
              <w:t>,</w:t>
            </w:r>
            <w:r w:rsidRPr="00D0104F">
              <w:t>3</w:t>
            </w:r>
          </w:p>
        </w:tc>
        <w:tc>
          <w:tcPr>
            <w:tcW w:w="894" w:type="dxa"/>
          </w:tcPr>
          <w:p w:rsidR="00755E78" w:rsidRPr="00D0104F" w:rsidRDefault="00755E78" w:rsidP="007544BB">
            <w:pPr>
              <w:spacing w:after="220"/>
            </w:pPr>
            <w:r w:rsidRPr="00D0104F">
              <w:t>8</w:t>
            </w:r>
            <w:r w:rsidR="007544BB">
              <w:t>,</w:t>
            </w:r>
            <w:r w:rsidRPr="00D0104F">
              <w:t>9</w:t>
            </w:r>
          </w:p>
        </w:tc>
        <w:tc>
          <w:tcPr>
            <w:tcW w:w="894" w:type="dxa"/>
          </w:tcPr>
          <w:p w:rsidR="00755E78" w:rsidRPr="00D0104F" w:rsidRDefault="00755E78" w:rsidP="007544BB">
            <w:pPr>
              <w:spacing w:after="220"/>
            </w:pPr>
            <w:r w:rsidRPr="00D0104F">
              <w:t>8</w:t>
            </w:r>
            <w:r w:rsidR="007544BB">
              <w:t>,</w:t>
            </w:r>
            <w:r w:rsidRPr="00D0104F">
              <w:t>3</w:t>
            </w:r>
          </w:p>
        </w:tc>
        <w:tc>
          <w:tcPr>
            <w:tcW w:w="894" w:type="dxa"/>
          </w:tcPr>
          <w:p w:rsidR="00755E78" w:rsidRPr="00D0104F" w:rsidRDefault="00755E78" w:rsidP="007544BB">
            <w:pPr>
              <w:spacing w:after="220"/>
            </w:pPr>
            <w:r w:rsidRPr="00D0104F">
              <w:t>10</w:t>
            </w:r>
            <w:r w:rsidR="007544BB">
              <w:t>,</w:t>
            </w:r>
            <w:r w:rsidRPr="00D0104F">
              <w:t>2</w:t>
            </w:r>
          </w:p>
        </w:tc>
        <w:tc>
          <w:tcPr>
            <w:tcW w:w="894" w:type="dxa"/>
          </w:tcPr>
          <w:p w:rsidR="00755E78" w:rsidRPr="00D0104F" w:rsidRDefault="00755E78" w:rsidP="007544BB">
            <w:pPr>
              <w:spacing w:after="220"/>
            </w:pPr>
            <w:r w:rsidRPr="00D0104F">
              <w:t>10</w:t>
            </w:r>
            <w:r w:rsidR="007544BB">
              <w:t>,</w:t>
            </w:r>
            <w:r w:rsidRPr="00D0104F">
              <w:t>7</w:t>
            </w:r>
          </w:p>
        </w:tc>
        <w:tc>
          <w:tcPr>
            <w:tcW w:w="894" w:type="dxa"/>
          </w:tcPr>
          <w:p w:rsidR="00755E78" w:rsidRPr="00D0104F" w:rsidRDefault="00755E78" w:rsidP="007544BB">
            <w:pPr>
              <w:spacing w:after="220"/>
            </w:pPr>
            <w:r w:rsidRPr="00D0104F">
              <w:t>9</w:t>
            </w:r>
            <w:r w:rsidR="007544BB">
              <w:t>,</w:t>
            </w:r>
            <w:r w:rsidRPr="00D0104F">
              <w:t>7</w:t>
            </w:r>
          </w:p>
        </w:tc>
        <w:tc>
          <w:tcPr>
            <w:tcW w:w="894" w:type="dxa"/>
          </w:tcPr>
          <w:p w:rsidR="00755E78" w:rsidRPr="00D0104F" w:rsidRDefault="00755E78" w:rsidP="007544BB">
            <w:pPr>
              <w:spacing w:after="220"/>
            </w:pPr>
            <w:r w:rsidRPr="00D0104F">
              <w:t>8</w:t>
            </w:r>
            <w:r w:rsidR="007544BB">
              <w:t>,</w:t>
            </w:r>
            <w:r w:rsidRPr="00D0104F">
              <w:t>8</w:t>
            </w:r>
          </w:p>
        </w:tc>
        <w:tc>
          <w:tcPr>
            <w:tcW w:w="894" w:type="dxa"/>
          </w:tcPr>
          <w:p w:rsidR="00755E78" w:rsidRPr="00D0104F" w:rsidRDefault="00755E78" w:rsidP="007544BB">
            <w:pPr>
              <w:spacing w:after="220"/>
            </w:pPr>
            <w:r w:rsidRPr="00D0104F">
              <w:t>9</w:t>
            </w:r>
            <w:r w:rsidR="007544BB">
              <w:t>,</w:t>
            </w:r>
            <w:r w:rsidRPr="00D0104F">
              <w:t>5</w:t>
            </w:r>
          </w:p>
        </w:tc>
      </w:tr>
    </w:tbl>
    <w:p w:rsidR="00755E78" w:rsidRPr="00564F5A" w:rsidRDefault="00755E78" w:rsidP="00755E78">
      <w:pPr>
        <w:spacing w:after="220"/>
      </w:pPr>
    </w:p>
    <w:p w:rsidR="00D0104F" w:rsidRPr="00564F5A" w:rsidRDefault="00564F5A" w:rsidP="00755E78">
      <w:pPr>
        <w:keepLines/>
        <w:spacing w:after="220"/>
      </w:pPr>
      <w:r w:rsidRPr="00564F5A">
        <w:t xml:space="preserve">Además de los examinadores </w:t>
      </w:r>
      <w:r w:rsidR="00C665ED">
        <w:t>en</w:t>
      </w:r>
      <w:r w:rsidRPr="00564F5A">
        <w:t xml:space="preserve"> plantilla de la USPTO, 375 examinadores </w:t>
      </w:r>
      <w:r w:rsidR="00C665ED">
        <w:t xml:space="preserve">adicionales realizan </w:t>
      </w:r>
      <w:r w:rsidRPr="00564F5A">
        <w:t>tareas de b</w:t>
      </w:r>
      <w:r>
        <w:t>úsqueda y examen de solicitudes internacional</w:t>
      </w:r>
      <w:r w:rsidR="007544BB">
        <w:t>es</w:t>
      </w:r>
      <w:r>
        <w:t xml:space="preserve"> en virtud del PCT </w:t>
      </w:r>
      <w:r w:rsidR="00C252F9">
        <w:t xml:space="preserve">en las que se elige </w:t>
      </w:r>
      <w:r>
        <w:t xml:space="preserve">la USPTO como Administración encargada de la búsqueda internacional. </w:t>
      </w:r>
      <w:r w:rsidR="00934D76">
        <w:t xml:space="preserve"> </w:t>
      </w:r>
      <w:r>
        <w:t xml:space="preserve">La </w:t>
      </w:r>
      <w:r w:rsidR="00C665ED">
        <w:t xml:space="preserve">USPTO </w:t>
      </w:r>
      <w:r w:rsidR="007544BB">
        <w:t>sub</w:t>
      </w:r>
      <w:r w:rsidR="00C665ED">
        <w:t xml:space="preserve">contrata </w:t>
      </w:r>
      <w:r>
        <w:t xml:space="preserve">las tareas del Capítulo I del PCT </w:t>
      </w:r>
      <w:r w:rsidR="00C665ED">
        <w:t xml:space="preserve">para </w:t>
      </w:r>
      <w:r w:rsidR="007544BB">
        <w:t>manejar</w:t>
      </w:r>
      <w:r w:rsidR="00C665ED">
        <w:t xml:space="preserve"> su carga de trabajo de </w:t>
      </w:r>
      <w:r>
        <w:t>manera más eficiente.</w:t>
      </w:r>
    </w:p>
    <w:p w:rsidR="00755E78" w:rsidRPr="00532F0B" w:rsidRDefault="00D40EBD" w:rsidP="00755E78">
      <w:pPr>
        <w:spacing w:after="220"/>
        <w:rPr>
          <w:b/>
        </w:rPr>
      </w:pPr>
      <w:r w:rsidRPr="00532F0B">
        <w:rPr>
          <w:b/>
        </w:rPr>
        <w:t>Formación de examinadores</w:t>
      </w:r>
      <w:r w:rsidR="00755E78" w:rsidRPr="00532F0B">
        <w:rPr>
          <w:b/>
        </w:rPr>
        <w:t>:</w:t>
      </w:r>
    </w:p>
    <w:p w:rsidR="00564F5A" w:rsidRPr="00532F0B" w:rsidRDefault="00532F0B" w:rsidP="00755E78">
      <w:pPr>
        <w:spacing w:after="220"/>
      </w:pPr>
      <w:r w:rsidRPr="00532F0B">
        <w:t xml:space="preserve">Todos los examinadores de patentes de la USPTO deben </w:t>
      </w:r>
      <w:r>
        <w:t>estar en posesión de</w:t>
      </w:r>
      <w:r w:rsidRPr="00532F0B">
        <w:t xml:space="preserve"> un grado</w:t>
      </w:r>
      <w:r>
        <w:t xml:space="preserve"> en ciencia o ingeniería y se encuadran en un riguroso programa de formación cuando se incorporan al cuerpo de examinadores. </w:t>
      </w:r>
      <w:r w:rsidRPr="00532F0B">
        <w:t xml:space="preserve"> </w:t>
      </w:r>
      <w:r>
        <w:t>La Academia de formación en patentes de los Estados Unidos de América lleva a cabo la formación de los nuevos examinadores y la formación avanzada continuada de los examinadores en plantilla.</w:t>
      </w:r>
    </w:p>
    <w:p w:rsidR="00755E78" w:rsidRPr="00303D24" w:rsidRDefault="00303D24" w:rsidP="00755E78">
      <w:pPr>
        <w:spacing w:after="220"/>
        <w:rPr>
          <w:u w:val="single"/>
        </w:rPr>
      </w:pPr>
      <w:r w:rsidRPr="00303D24">
        <w:rPr>
          <w:u w:val="single"/>
        </w:rPr>
        <w:t>Formaci</w:t>
      </w:r>
      <w:r>
        <w:rPr>
          <w:u w:val="single"/>
        </w:rPr>
        <w:t xml:space="preserve">ón obligatoria </w:t>
      </w:r>
      <w:r w:rsidR="00141D88" w:rsidRPr="00303D24">
        <w:rPr>
          <w:u w:val="single"/>
        </w:rPr>
        <w:t>de l</w:t>
      </w:r>
      <w:r w:rsidR="00141D88">
        <w:rPr>
          <w:u w:val="single"/>
        </w:rPr>
        <w:t>o</w:t>
      </w:r>
      <w:r w:rsidR="00141D88" w:rsidRPr="00303D24">
        <w:rPr>
          <w:u w:val="single"/>
        </w:rPr>
        <w:t>s exam</w:t>
      </w:r>
      <w:r w:rsidR="00141D88">
        <w:rPr>
          <w:u w:val="single"/>
        </w:rPr>
        <w:t xml:space="preserve">inadores de patentes </w:t>
      </w:r>
      <w:r>
        <w:rPr>
          <w:u w:val="single"/>
        </w:rPr>
        <w:t>durante e</w:t>
      </w:r>
      <w:r w:rsidRPr="00303D24">
        <w:rPr>
          <w:u w:val="single"/>
        </w:rPr>
        <w:t xml:space="preserve">l primer año </w:t>
      </w:r>
    </w:p>
    <w:p w:rsidR="00532F0B" w:rsidRDefault="00532F0B" w:rsidP="00755E78">
      <w:pPr>
        <w:spacing w:after="220"/>
      </w:pPr>
      <w:r>
        <w:t xml:space="preserve">La formación obligatoria de los examinadores de patentes </w:t>
      </w:r>
      <w:r w:rsidR="00141D88">
        <w:t xml:space="preserve">durante el primer año </w:t>
      </w:r>
      <w:r>
        <w:t xml:space="preserve">en la Academia de formación se compone de dos programas: el programa de formación del examinador experimentado en </w:t>
      </w:r>
      <w:r w:rsidR="001B0BD8">
        <w:t>Propiedad I</w:t>
      </w:r>
      <w:r>
        <w:t xml:space="preserve">ntelectual y el programa de formación en dos fases para examinadores de nuevo ingreso, </w:t>
      </w:r>
      <w:r w:rsidR="00141D88">
        <w:t>durante</w:t>
      </w:r>
      <w:r>
        <w:t xml:space="preserve"> un periodo de 12 meses</w:t>
      </w:r>
      <w:r w:rsidR="00934D76">
        <w:t>.  E</w:t>
      </w:r>
      <w:r w:rsidR="001B0BD8">
        <w:t>l primero está destinado a candidatos con una gran experiencia, tales como personas con experiencia previa en la labor de examinador</w:t>
      </w:r>
      <w:r w:rsidR="00934D76">
        <w:t>.  E</w:t>
      </w:r>
      <w:r w:rsidR="001B0BD8">
        <w:t>l segundo</w:t>
      </w:r>
      <w:r w:rsidR="00141D88">
        <w:t xml:space="preserve"> programa</w:t>
      </w:r>
      <w:r w:rsidR="001B0BD8">
        <w:t xml:space="preserve"> está destinado a candidatos con menos experiencia. </w:t>
      </w:r>
      <w:r>
        <w:t xml:space="preserve"> </w:t>
      </w:r>
    </w:p>
    <w:p w:rsidR="00755E78" w:rsidRPr="00303D24" w:rsidRDefault="00303D24" w:rsidP="00755E78">
      <w:pPr>
        <w:spacing w:after="220"/>
        <w:ind w:firstLine="567"/>
      </w:pPr>
      <w:r w:rsidRPr="00303D24">
        <w:t xml:space="preserve">Plan de </w:t>
      </w:r>
      <w:r w:rsidR="00141D88">
        <w:t>estudios</w:t>
      </w:r>
      <w:r w:rsidRPr="00303D24">
        <w:t xml:space="preserve"> </w:t>
      </w:r>
      <w:r w:rsidR="00043657">
        <w:t xml:space="preserve">de la formación </w:t>
      </w:r>
      <w:r w:rsidRPr="00303D24">
        <w:t>del examinador ex</w:t>
      </w:r>
      <w:r>
        <w:t>p</w:t>
      </w:r>
      <w:r w:rsidRPr="00303D24">
        <w:t xml:space="preserve">erimentado en </w:t>
      </w:r>
      <w:r>
        <w:t>Propiedad Intelectual</w:t>
      </w:r>
    </w:p>
    <w:p w:rsidR="001B0BD8" w:rsidRPr="00B016F4" w:rsidRDefault="00B016F4" w:rsidP="00755E78">
      <w:pPr>
        <w:spacing w:after="220"/>
      </w:pPr>
      <w:r w:rsidRPr="00B016F4">
        <w:t>Este programa incluye instrucción</w:t>
      </w:r>
      <w:r>
        <w:t xml:space="preserve"> avanzada en aspectos jurídicos, de procedimiento y de automatización en más de una docena de aplicaciones especializadas utilizadas en el examen de patentes, sistemas de búsqueda</w:t>
      </w:r>
      <w:r w:rsidR="003B7EF8">
        <w:t xml:space="preserve"> múltiple</w:t>
      </w:r>
      <w:r>
        <w:t xml:space="preserve"> y bases de datos</w:t>
      </w:r>
      <w:r w:rsidR="00934D76">
        <w:t>.  L</w:t>
      </w:r>
      <w:r>
        <w:t xml:space="preserve">a formación también </w:t>
      </w:r>
      <w:r w:rsidR="003B7EF8">
        <w:t>se orienta a</w:t>
      </w:r>
      <w:r>
        <w:t xml:space="preserve"> aplicaciones habitualmente</w:t>
      </w:r>
      <w:r w:rsidR="00646AAC" w:rsidRPr="00646AAC">
        <w:t xml:space="preserve"> </w:t>
      </w:r>
      <w:r w:rsidR="00646AAC">
        <w:t>utilizadas</w:t>
      </w:r>
      <w:r>
        <w:t xml:space="preserve">, como los sistemas de clasificación USPC y CPC, </w:t>
      </w:r>
      <w:r w:rsidR="00646AAC">
        <w:t>búsqueda (clasificación, texto</w:t>
      </w:r>
      <w:r>
        <w:t>), interpretación de</w:t>
      </w:r>
      <w:r w:rsidR="0063512E">
        <w:t xml:space="preserve"> las</w:t>
      </w:r>
      <w:r>
        <w:t xml:space="preserve"> reivindicaciones, búsqueda avanzada de textos </w:t>
      </w:r>
      <w:r w:rsidR="003B7EF8">
        <w:t>y herramientas específicas del C</w:t>
      </w:r>
      <w:r>
        <w:t>entro d</w:t>
      </w:r>
      <w:r w:rsidR="00646AAC">
        <w:t>e</w:t>
      </w:r>
      <w:r w:rsidR="003B7EF8">
        <w:t xml:space="preserve"> tecnología (TC), </w:t>
      </w:r>
      <w:r>
        <w:t xml:space="preserve">como STN y </w:t>
      </w:r>
      <w:proofErr w:type="spellStart"/>
      <w:r>
        <w:t>Dialog</w:t>
      </w:r>
      <w:proofErr w:type="spellEnd"/>
      <w:r w:rsidR="00934D76">
        <w:t>.  T</w:t>
      </w:r>
      <w:r>
        <w:t xml:space="preserve">ambién se instruye a los candidatos </w:t>
      </w:r>
      <w:r w:rsidR="00646AAC">
        <w:t>en habilidades de redacción de respuestas eficaces del examinador y en procedimientos y prácticas de recursos.</w:t>
      </w:r>
    </w:p>
    <w:p w:rsidR="00755E78" w:rsidRPr="0099056B" w:rsidRDefault="00650A93" w:rsidP="00650A93">
      <w:pPr>
        <w:spacing w:after="220"/>
        <w:ind w:left="567"/>
      </w:pPr>
      <w:r w:rsidRPr="00650A93">
        <w:t xml:space="preserve">Plan de estudios de la formación </w:t>
      </w:r>
      <w:r>
        <w:t>de</w:t>
      </w:r>
      <w:r w:rsidR="002A4860">
        <w:t xml:space="preserve"> examinadores de nuevo ingreso </w:t>
      </w:r>
      <w:r w:rsidR="0099056B">
        <w:t>en dos fases d</w:t>
      </w:r>
      <w:r w:rsidR="002A4860">
        <w:t>urante 12 meses</w:t>
      </w:r>
    </w:p>
    <w:p w:rsidR="00646AAC" w:rsidRDefault="00646AAC" w:rsidP="00755E78">
      <w:pPr>
        <w:spacing w:after="220"/>
      </w:pPr>
      <w:r>
        <w:t xml:space="preserve">Este programa incluye formación jurídica y de procedimiento, así como </w:t>
      </w:r>
      <w:r w:rsidR="0063512E">
        <w:t>formación reforzada</w:t>
      </w:r>
      <w:r>
        <w:t xml:space="preserve"> sobre los sistemas de </w:t>
      </w:r>
      <w:r w:rsidRPr="00646AAC">
        <w:t xml:space="preserve">clasificación USPC y CPC, búsqueda (clasificación, texto), interpretación de las reivindicaciones, búsqueda avanzada de textos </w:t>
      </w:r>
      <w:r>
        <w:t xml:space="preserve">y </w:t>
      </w:r>
      <w:r w:rsidRPr="00646AAC">
        <w:t xml:space="preserve">habilidades </w:t>
      </w:r>
      <w:r w:rsidR="0063512E">
        <w:t>en la</w:t>
      </w:r>
      <w:r w:rsidRPr="00646AAC">
        <w:t xml:space="preserve"> redacción de respuestas eficaces del examinador y en procedimientos y prácticas de recursos</w:t>
      </w:r>
      <w:r>
        <w:t>.</w:t>
      </w:r>
    </w:p>
    <w:p w:rsidR="00646AAC" w:rsidRDefault="00646AAC" w:rsidP="00755E78">
      <w:pPr>
        <w:spacing w:after="220"/>
      </w:pPr>
      <w:r>
        <w:t xml:space="preserve">La instrucción técnica incluye, entre otros aspectos, </w:t>
      </w:r>
      <w:r w:rsidR="000774F6">
        <w:t>la</w:t>
      </w:r>
      <w:r>
        <w:t xml:space="preserve"> introducción al examen de solicitudes en campos específicos de la tecnología, </w:t>
      </w:r>
      <w:r w:rsidR="000774F6">
        <w:t xml:space="preserve">el </w:t>
      </w:r>
      <w:r>
        <w:t xml:space="preserve">estado actual de tecnologías concretas y otros aspectos de relevancia </w:t>
      </w:r>
      <w:r w:rsidR="000774F6">
        <w:t>en relación con la tecnología</w:t>
      </w:r>
      <w:r>
        <w:t xml:space="preserve">. </w:t>
      </w:r>
    </w:p>
    <w:p w:rsidR="00646AAC" w:rsidRDefault="00646AAC" w:rsidP="00755E78">
      <w:pPr>
        <w:spacing w:after="220"/>
      </w:pPr>
      <w:r>
        <w:lastRenderedPageBreak/>
        <w:t xml:space="preserve">La formación </w:t>
      </w:r>
      <w:r w:rsidR="000774F6">
        <w:t>en la</w:t>
      </w:r>
      <w:r>
        <w:t xml:space="preserve"> automatización </w:t>
      </w:r>
      <w:r w:rsidR="000774F6">
        <w:t xml:space="preserve">de tareas </w:t>
      </w:r>
      <w:r>
        <w:t>incluye más de una docena de aplicaciones especializadas utilizadas en el examen de patentes, sistemas de búsqueda múltiple</w:t>
      </w:r>
      <w:r w:rsidR="00232FF3">
        <w:t>, bases de datos y aplicaciones administrativas habitualmente</w:t>
      </w:r>
      <w:r w:rsidR="000774F6" w:rsidRPr="000774F6">
        <w:t xml:space="preserve"> </w:t>
      </w:r>
      <w:r w:rsidR="000774F6">
        <w:t>utilizadas</w:t>
      </w:r>
      <w:r w:rsidR="00232FF3">
        <w:t>.</w:t>
      </w:r>
    </w:p>
    <w:p w:rsidR="00232FF3" w:rsidRPr="00232FF3" w:rsidRDefault="00232FF3" w:rsidP="00755E78">
      <w:pPr>
        <w:spacing w:after="220"/>
      </w:pPr>
      <w:r w:rsidRPr="00232FF3">
        <w:t>La formación en habilidades</w:t>
      </w:r>
      <w:r>
        <w:t xml:space="preserve"> </w:t>
      </w:r>
      <w:r w:rsidR="00E36436">
        <w:t>para</w:t>
      </w:r>
      <w:r>
        <w:t xml:space="preserve"> la </w:t>
      </w:r>
      <w:r w:rsidR="00E36436">
        <w:t>actividad</w:t>
      </w:r>
      <w:r>
        <w:t xml:space="preserve"> diaria incluyen: gestión del tiempo, formación ética, gestión del estrés, equilibrio entre calidad y producción, profesionalidad, fundamentos en planificación financiera y beneficios, equilibrio entre trabajo y vida personal, formación </w:t>
      </w:r>
      <w:r w:rsidR="00E36436">
        <w:t>en la diversidad</w:t>
      </w:r>
      <w:r>
        <w:t xml:space="preserve"> y negociación de conflictos.</w:t>
      </w:r>
    </w:p>
    <w:p w:rsidR="00755E78" w:rsidRPr="00232FF3" w:rsidRDefault="002A4860" w:rsidP="00755E78">
      <w:pPr>
        <w:spacing w:after="220"/>
        <w:ind w:firstLine="567"/>
      </w:pPr>
      <w:r w:rsidRPr="00232FF3">
        <w:t>Plan de desarrollo individual</w:t>
      </w:r>
    </w:p>
    <w:p w:rsidR="00232FF3" w:rsidRPr="00DA207B" w:rsidRDefault="00DA207B" w:rsidP="00755E78">
      <w:pPr>
        <w:spacing w:after="220"/>
      </w:pPr>
      <w:r w:rsidRPr="00DA207B">
        <w:t>El programa de formación de la Academia inc</w:t>
      </w:r>
      <w:r>
        <w:t>l</w:t>
      </w:r>
      <w:r w:rsidRPr="00DA207B">
        <w:t>uye la creaci</w:t>
      </w:r>
      <w:r>
        <w:t>ón de un Plan de desarrollo individual (PDI) para cada examinador</w:t>
      </w:r>
      <w:r w:rsidR="00934D76">
        <w:t>.  E</w:t>
      </w:r>
      <w:r>
        <w:t>l PDI se compone de cursos de instrucción formal, asignaciones para el desarrollo y formación en el puesto de trabajo.  El PDI está diseñado para ayudar al examinador desde el primer día, a lo largo de los primeros 12 meses de empleo. Cu</w:t>
      </w:r>
      <w:r w:rsidR="00B47E89">
        <w:t>a</w:t>
      </w:r>
      <w:r>
        <w:t xml:space="preserve">ndo el examinador se gradúa en la Academia y es transferido al TC, su PDI </w:t>
      </w:r>
      <w:proofErr w:type="gramStart"/>
      <w:r>
        <w:t>continua</w:t>
      </w:r>
      <w:proofErr w:type="gramEnd"/>
      <w:r>
        <w:t xml:space="preserve"> a fin de </w:t>
      </w:r>
      <w:r w:rsidR="00B47E89">
        <w:t xml:space="preserve">permitir que el examinador adquiera </w:t>
      </w:r>
      <w:r>
        <w:t>las competencias fundamentales para realizar las tareas asign</w:t>
      </w:r>
      <w:r w:rsidR="00B47E89">
        <w:t xml:space="preserve">adas </w:t>
      </w:r>
      <w:r>
        <w:t xml:space="preserve">y prepararle para </w:t>
      </w:r>
      <w:r w:rsidR="00740F00">
        <w:t>su</w:t>
      </w:r>
      <w:r>
        <w:t xml:space="preserve"> desarrollo</w:t>
      </w:r>
      <w:r w:rsidR="00740F00">
        <w:t xml:space="preserve"> futuro</w:t>
      </w:r>
      <w:r>
        <w:t>.</w:t>
      </w:r>
    </w:p>
    <w:p w:rsidR="00755E78" w:rsidRPr="002A4860" w:rsidRDefault="00755E78" w:rsidP="00755E78">
      <w:pPr>
        <w:spacing w:after="220"/>
        <w:rPr>
          <w:u w:val="single"/>
        </w:rPr>
      </w:pPr>
      <w:r w:rsidRPr="002A4860">
        <w:rPr>
          <w:u w:val="single"/>
        </w:rPr>
        <w:t>Program</w:t>
      </w:r>
      <w:r w:rsidR="002A4860" w:rsidRPr="002A4860">
        <w:rPr>
          <w:u w:val="single"/>
        </w:rPr>
        <w:t>a</w:t>
      </w:r>
      <w:r w:rsidR="002A4860">
        <w:rPr>
          <w:u w:val="single"/>
        </w:rPr>
        <w:t>s</w:t>
      </w:r>
      <w:r w:rsidR="002A4860" w:rsidRPr="002A4860">
        <w:rPr>
          <w:u w:val="single"/>
        </w:rPr>
        <w:t xml:space="preserve"> para todos los examinador</w:t>
      </w:r>
      <w:r w:rsidR="002A4860">
        <w:rPr>
          <w:u w:val="single"/>
        </w:rPr>
        <w:t>es de patentes</w:t>
      </w:r>
    </w:p>
    <w:p w:rsidR="00DA207B" w:rsidRDefault="00CF54C6" w:rsidP="00755E78">
      <w:pPr>
        <w:spacing w:after="220"/>
      </w:pPr>
      <w:r>
        <w:t xml:space="preserve">La formación </w:t>
      </w:r>
      <w:r w:rsidR="00A43D21">
        <w:t>relativa a</w:t>
      </w:r>
      <w:r>
        <w:t xml:space="preserve"> prácticas y procedimientos jurídicos incluye numerosos cursos que están disponibles para examinadores nuevos y experimentados</w:t>
      </w:r>
      <w:r w:rsidR="00934D76">
        <w:t>.  A</w:t>
      </w:r>
      <w:r>
        <w:t>lgunos de esos cursos incluyen lo siguiente:</w:t>
      </w:r>
    </w:p>
    <w:p w:rsidR="00755E78" w:rsidRPr="002A4860" w:rsidRDefault="00CF54C6" w:rsidP="00755E78">
      <w:pPr>
        <w:spacing w:after="220"/>
        <w:ind w:firstLine="567"/>
      </w:pPr>
      <w:r>
        <w:t>Formación para la</w:t>
      </w:r>
      <w:r w:rsidR="002A4860" w:rsidRPr="002A4860">
        <w:t xml:space="preserve"> actualización </w:t>
      </w:r>
      <w:r>
        <w:t>de los</w:t>
      </w:r>
      <w:r w:rsidR="002A4860">
        <w:t xml:space="preserve"> examinadores de patentes</w:t>
      </w:r>
    </w:p>
    <w:p w:rsidR="00CF54C6" w:rsidRDefault="00CF54C6" w:rsidP="00755E78">
      <w:pPr>
        <w:spacing w:after="220"/>
      </w:pPr>
      <w:r>
        <w:t>Se trata de cursos diseñados para reforzar el conocimiento y las capacidades de los examinadores de patentes en asuntos de procedimiento y jurídicos relativos al examen de patentes</w:t>
      </w:r>
      <w:r w:rsidR="00934D76">
        <w:t>.  L</w:t>
      </w:r>
      <w:r>
        <w:t>os participantes pueden participar en uno o más cursos previa consulta a su supervisor.</w:t>
      </w:r>
    </w:p>
    <w:p w:rsidR="00755E78" w:rsidRPr="002A4860" w:rsidRDefault="002A4860" w:rsidP="00755E78">
      <w:pPr>
        <w:spacing w:after="220"/>
        <w:ind w:firstLine="567"/>
      </w:pPr>
      <w:r w:rsidRPr="002A4860">
        <w:t xml:space="preserve">Programa </w:t>
      </w:r>
      <w:r w:rsidR="00811ADE">
        <w:t xml:space="preserve">avanzada </w:t>
      </w:r>
      <w:r w:rsidRPr="002A4860">
        <w:t>para ex</w:t>
      </w:r>
      <w:r w:rsidR="00D40EBD">
        <w:t>aminadores de patentes</w:t>
      </w:r>
      <w:r w:rsidR="00CF54C6">
        <w:t xml:space="preserve"> </w:t>
      </w:r>
    </w:p>
    <w:p w:rsidR="00CF54C6" w:rsidRPr="00811ADE" w:rsidRDefault="00CF54C6" w:rsidP="00755E78">
      <w:pPr>
        <w:spacing w:after="220"/>
      </w:pPr>
      <w:r w:rsidRPr="00811ADE">
        <w:t xml:space="preserve">Se trata de un programa para examinadores con varios años de experiencia en el examen de patentes.  El programa ofrece formación en campos jurídicos específicos tales como la evaluación de resultados imprevistos en caso de </w:t>
      </w:r>
      <w:r w:rsidR="00485EC1" w:rsidRPr="00811ADE">
        <w:t xml:space="preserve">carácter no evidente de la invención y </w:t>
      </w:r>
      <w:r w:rsidR="00811ADE" w:rsidRPr="00811ADE">
        <w:t>sobre la forma de l</w:t>
      </w:r>
      <w:r w:rsidR="00485EC1" w:rsidRPr="00811ADE">
        <w:t xml:space="preserve">levar a la práctica la invención, que </w:t>
      </w:r>
      <w:r w:rsidR="00811ADE" w:rsidRPr="00811ADE">
        <w:t xml:space="preserve">a menudo se producen en </w:t>
      </w:r>
      <w:r w:rsidR="00485EC1" w:rsidRPr="00811ADE">
        <w:t>caso</w:t>
      </w:r>
      <w:r w:rsidR="00811ADE" w:rsidRPr="00811ADE">
        <w:t>s</w:t>
      </w:r>
      <w:r w:rsidR="00485EC1" w:rsidRPr="00811ADE">
        <w:t xml:space="preserve"> de declaración jurada.</w:t>
      </w:r>
    </w:p>
    <w:p w:rsidR="00755E78" w:rsidRPr="00D40EBD" w:rsidRDefault="002A4860" w:rsidP="00755E78">
      <w:pPr>
        <w:spacing w:after="220"/>
        <w:ind w:firstLine="567"/>
      </w:pPr>
      <w:r w:rsidRPr="00D40EBD">
        <w:t xml:space="preserve">Formación </w:t>
      </w:r>
      <w:r w:rsidR="00D40EBD" w:rsidRPr="00D40EBD">
        <w:t>para el exam</w:t>
      </w:r>
      <w:r w:rsidR="00D40EBD">
        <w:t>e</w:t>
      </w:r>
      <w:r w:rsidR="00D40EBD" w:rsidRPr="00D40EBD">
        <w:t>n del cuer</w:t>
      </w:r>
      <w:r w:rsidR="00D40EBD">
        <w:t>po de patentes</w:t>
      </w:r>
    </w:p>
    <w:p w:rsidR="00485EC1" w:rsidRPr="00FE0866" w:rsidRDefault="00FE0866" w:rsidP="00755E78">
      <w:pPr>
        <w:spacing w:after="220"/>
      </w:pPr>
      <w:r w:rsidRPr="00FE0866">
        <w:t>Esta formación abarca la política, pr</w:t>
      </w:r>
      <w:r>
        <w:t xml:space="preserve">ácticas y procedimientos del examen de patentes e incluye </w:t>
      </w:r>
      <w:r w:rsidR="00CD3759">
        <w:t>conferencias sobre asuntos jurídicos para examinadores de cualquier nivel y experiencia.</w:t>
      </w:r>
    </w:p>
    <w:p w:rsidR="00755E78" w:rsidRPr="00811ADE" w:rsidRDefault="002A4860" w:rsidP="00811ADE">
      <w:pPr>
        <w:spacing w:after="220"/>
      </w:pPr>
      <w:r w:rsidRPr="00811ADE">
        <w:t xml:space="preserve">Curso interno sobre legislación y </w:t>
      </w:r>
      <w:r w:rsidR="00CD3759" w:rsidRPr="00811ADE">
        <w:t>constatación de pruebas</w:t>
      </w:r>
      <w:r w:rsidRPr="00811ADE">
        <w:t xml:space="preserve"> en materia de patentes</w:t>
      </w:r>
    </w:p>
    <w:p w:rsidR="00CD3759" w:rsidRPr="00CD3759" w:rsidRDefault="00CD3759" w:rsidP="00755E78">
      <w:pPr>
        <w:spacing w:after="220"/>
      </w:pPr>
      <w:r w:rsidRPr="00CD3759">
        <w:t xml:space="preserve">Esta formación </w:t>
      </w:r>
      <w:r w:rsidR="00811ADE">
        <w:t>p</w:t>
      </w:r>
      <w:r w:rsidRPr="00CD3759">
        <w:t xml:space="preserve">ara examinadores de patentes </w:t>
      </w:r>
      <w:r>
        <w:t xml:space="preserve">aborda la toma de decisiones por los tribunales competentes sobre aspectos normativos </w:t>
      </w:r>
      <w:r w:rsidR="00811ADE">
        <w:t>recogidos en el</w:t>
      </w:r>
      <w:r>
        <w:t xml:space="preserve"> U.S.C. </w:t>
      </w:r>
      <w:r w:rsidR="00811ADE">
        <w:t xml:space="preserve">35 en su apartado </w:t>
      </w:r>
      <w:r w:rsidRPr="00CD3759">
        <w:t>101</w:t>
      </w:r>
      <w:r>
        <w:t xml:space="preserve"> (materia patentable), 102 (novedad), 103 (</w:t>
      </w:r>
      <w:r w:rsidRPr="00CD3759">
        <w:t>carácter no evidente de la invención</w:t>
      </w:r>
      <w:r>
        <w:t>) y 112 (descripción escrita y reivindicaciones)</w:t>
      </w:r>
      <w:r w:rsidR="00934D76">
        <w:t xml:space="preserve">.  </w:t>
      </w:r>
      <w:r w:rsidR="00811ADE">
        <w:t>E</w:t>
      </w:r>
      <w:r>
        <w:t xml:space="preserve">l curso también </w:t>
      </w:r>
      <w:r w:rsidR="00811ADE">
        <w:t>forma sobre</w:t>
      </w:r>
      <w:r>
        <w:t xml:space="preserve"> cómo tratar las pruebas empíricas durante el examen de solicitudes.</w:t>
      </w:r>
    </w:p>
    <w:p w:rsidR="00755E78" w:rsidRPr="002A4860" w:rsidRDefault="002A4860" w:rsidP="00A06C8B">
      <w:pPr>
        <w:keepNext/>
        <w:spacing w:after="220"/>
        <w:ind w:firstLine="567"/>
      </w:pPr>
      <w:r w:rsidRPr="002A4860">
        <w:lastRenderedPageBreak/>
        <w:t>Programa de formació</w:t>
      </w:r>
      <w:r>
        <w:t>n té</w:t>
      </w:r>
      <w:r w:rsidRPr="002A4860">
        <w:t xml:space="preserve">cnica para examinadores de patentes </w:t>
      </w:r>
      <w:r w:rsidR="00755E78" w:rsidRPr="002A4860">
        <w:t>(PETTP)</w:t>
      </w:r>
    </w:p>
    <w:p w:rsidR="00CD3759" w:rsidRPr="00CD3759" w:rsidRDefault="00CD3759" w:rsidP="00A06C8B">
      <w:pPr>
        <w:keepNext/>
        <w:keepLines/>
        <w:spacing w:after="220"/>
      </w:pPr>
      <w:r w:rsidRPr="00CD3759">
        <w:t>De conformi</w:t>
      </w:r>
      <w:r>
        <w:t>d</w:t>
      </w:r>
      <w:r w:rsidRPr="00CD3759">
        <w:t xml:space="preserve">ad con el llamamiento </w:t>
      </w:r>
      <w:r>
        <w:t>de la Casa Blanca para</w:t>
      </w:r>
      <w:r w:rsidRPr="00CD3759">
        <w:t xml:space="preserve"> actuaci</w:t>
      </w:r>
      <w:r>
        <w:t>ón ejecutiva destinada a fortalecer nuestro sistema de patentes e impulsar la innovación, la USPTO está ampliando el Pro</w:t>
      </w:r>
      <w:r w:rsidRPr="00CD3759">
        <w:t>grama de formación técnica para examinadores de patentes (PETTP)</w:t>
      </w:r>
      <w:r w:rsidR="00934D76">
        <w:t>.  E</w:t>
      </w:r>
      <w:r>
        <w:t xml:space="preserve">l programa está destinado a alentar la innovación y fortalecer la calidad y accesibilidad del sistema de patentes. Científicos, ingenieros, profesores, diseñadores industriales y otros expertos en diversas tecnologías se ofrecen voluntariamente </w:t>
      </w:r>
      <w:r w:rsidR="00092075">
        <w:t>para</w:t>
      </w:r>
      <w:r>
        <w:t xml:space="preserve"> compartir su experiencia con examinadores de patentes en un entorno de aprendizaje</w:t>
      </w:r>
      <w:r w:rsidR="00934D76">
        <w:t>.  E</w:t>
      </w:r>
      <w:r w:rsidRPr="00CD3759">
        <w:t xml:space="preserve">n las presentaciones se </w:t>
      </w:r>
      <w:r w:rsidR="00092075">
        <w:t>analizan</w:t>
      </w:r>
      <w:r w:rsidRPr="00CD3759">
        <w:t xml:space="preserve"> los avances del estado de la tecnología</w:t>
      </w:r>
      <w:r>
        <w:t xml:space="preserve">, </w:t>
      </w:r>
      <w:r w:rsidR="00092075">
        <w:t xml:space="preserve">las </w:t>
      </w:r>
      <w:r>
        <w:t xml:space="preserve">tendencias emergentes </w:t>
      </w:r>
      <w:r w:rsidR="00092075">
        <w:t>y las</w:t>
      </w:r>
      <w:r w:rsidR="003A4E05">
        <w:t xml:space="preserve"> más recientes</w:t>
      </w:r>
      <w:r>
        <w:t xml:space="preserve"> innovaciones en sus respect</w:t>
      </w:r>
      <w:r w:rsidR="00092075">
        <w:t>iv</w:t>
      </w:r>
      <w:r>
        <w:t>os campos</w:t>
      </w:r>
      <w:r w:rsidR="00934D76">
        <w:t>.  L</w:t>
      </w:r>
      <w:r>
        <w:t xml:space="preserve">os cursos ofrecidos </w:t>
      </w:r>
      <w:r w:rsidR="003A4E05">
        <w:t>hasta ahora</w:t>
      </w:r>
      <w:r>
        <w:t xml:space="preserve"> han abarcado asuntos tales como la computación en la nube, las tecnologías verdes y las nanotecnologías gracias a </w:t>
      </w:r>
      <w:r w:rsidR="003A4E05">
        <w:t>la participación</w:t>
      </w:r>
      <w:r>
        <w:t xml:space="preserve"> de grandes empresas y universidades</w:t>
      </w:r>
      <w:r w:rsidR="00934D76">
        <w:t>.  L</w:t>
      </w:r>
      <w:r>
        <w:t>os cursos son impartidos por expertos en tecnología</w:t>
      </w:r>
      <w:r w:rsidR="001D736C">
        <w:t>s</w:t>
      </w:r>
      <w:r>
        <w:t xml:space="preserve"> e</w:t>
      </w:r>
      <w:r w:rsidR="001D736C">
        <w:t>x</w:t>
      </w:r>
      <w:r>
        <w:t xml:space="preserve">ternos a la USPTO con una </w:t>
      </w:r>
      <w:r w:rsidR="001D736C">
        <w:t xml:space="preserve">valiosa </w:t>
      </w:r>
      <w:r>
        <w:t>experiencia en sus áreas de competencia.</w:t>
      </w:r>
    </w:p>
    <w:p w:rsidR="00755E78" w:rsidRPr="002A4860" w:rsidRDefault="002A4860" w:rsidP="00755E78">
      <w:pPr>
        <w:spacing w:after="220"/>
        <w:ind w:firstLine="567"/>
      </w:pPr>
      <w:r w:rsidRPr="002A4860">
        <w:t xml:space="preserve">Programa de </w:t>
      </w:r>
      <w:r>
        <w:t xml:space="preserve">formación mediante experiencias </w:t>
      </w:r>
      <w:r w:rsidRPr="00ED140D">
        <w:rPr>
          <w:i/>
        </w:rPr>
        <w:t>in</w:t>
      </w:r>
      <w:r w:rsidR="00ED140D" w:rsidRPr="00ED140D">
        <w:rPr>
          <w:i/>
        </w:rPr>
        <w:t xml:space="preserve"> </w:t>
      </w:r>
      <w:r w:rsidRPr="00ED140D">
        <w:rPr>
          <w:i/>
        </w:rPr>
        <w:t>situ</w:t>
      </w:r>
      <w:r>
        <w:t xml:space="preserve"> </w:t>
      </w:r>
      <w:r w:rsidR="00755E78" w:rsidRPr="002A4860">
        <w:t xml:space="preserve">(SEE) </w:t>
      </w:r>
    </w:p>
    <w:p w:rsidR="00CD3759" w:rsidRDefault="00CD3759" w:rsidP="00755E78">
      <w:pPr>
        <w:spacing w:after="220"/>
      </w:pPr>
      <w:r>
        <w:t xml:space="preserve">Este singular programa ofrece </w:t>
      </w:r>
      <w:r w:rsidR="008D1B6B">
        <w:t>a grupos de examinadores</w:t>
      </w:r>
      <w:r w:rsidR="008D1B6B" w:rsidRPr="008D1B6B">
        <w:t xml:space="preserve"> </w:t>
      </w:r>
      <w:r w:rsidR="008D1B6B">
        <w:t xml:space="preserve">la oportunidad de </w:t>
      </w:r>
      <w:r w:rsidR="005E4E06">
        <w:t xml:space="preserve">ganar experiencia sobre </w:t>
      </w:r>
      <w:r w:rsidR="008D1B6B">
        <w:t xml:space="preserve">la tecnología </w:t>
      </w:r>
      <w:r w:rsidR="00BC4A73">
        <w:t xml:space="preserve">en su propia </w:t>
      </w:r>
      <w:r w:rsidR="008D1B6B">
        <w:t xml:space="preserve">fuente mediante visitas </w:t>
      </w:r>
      <w:r w:rsidR="00BC4A73">
        <w:t>allá</w:t>
      </w:r>
      <w:r w:rsidR="008D1B6B">
        <w:t xml:space="preserve"> donde se desarrolla la innovación en el territorio continental de los Estados Unidos de América para </w:t>
      </w:r>
      <w:r w:rsidR="00BC4A73">
        <w:t>una</w:t>
      </w:r>
      <w:r w:rsidR="008D1B6B">
        <w:t xml:space="preserve"> actualización en tecnologías actuales y </w:t>
      </w:r>
      <w:r w:rsidR="00BC4A73">
        <w:t xml:space="preserve">emergentes </w:t>
      </w:r>
      <w:r w:rsidR="008D1B6B">
        <w:t xml:space="preserve">y </w:t>
      </w:r>
      <w:r w:rsidR="00BC4A73">
        <w:t xml:space="preserve">tener un contacto directo con </w:t>
      </w:r>
      <w:r w:rsidR="008D1B6B">
        <w:t>la tecnología</w:t>
      </w:r>
      <w:r w:rsidR="00934D76">
        <w:t>.  L</w:t>
      </w:r>
      <w:r w:rsidR="008D1B6B">
        <w:t>as visitas realizadas hasta la</w:t>
      </w:r>
      <w:r w:rsidR="007548B7">
        <w:t xml:space="preserve"> fecha han incluido las sedes de</w:t>
      </w:r>
      <w:r w:rsidR="008D1B6B">
        <w:t xml:space="preserve"> </w:t>
      </w:r>
      <w:r w:rsidR="008D1B6B" w:rsidRPr="008D1B6B">
        <w:t xml:space="preserve">Boeing, Google, IBM, Intel, NASA, Samsung, </w:t>
      </w:r>
      <w:proofErr w:type="spellStart"/>
      <w:r w:rsidR="008D1B6B" w:rsidRPr="008D1B6B">
        <w:t>Syngenta</w:t>
      </w:r>
      <w:proofErr w:type="spellEnd"/>
      <w:r w:rsidR="008D1B6B" w:rsidRPr="008D1B6B">
        <w:t xml:space="preserve"> </w:t>
      </w:r>
      <w:proofErr w:type="spellStart"/>
      <w:r w:rsidR="008D1B6B" w:rsidRPr="008D1B6B">
        <w:t>Biotechnology</w:t>
      </w:r>
      <w:proofErr w:type="spellEnd"/>
      <w:r w:rsidR="008D1B6B" w:rsidRPr="008D1B6B">
        <w:t xml:space="preserve">, </w:t>
      </w:r>
      <w:r w:rsidR="008D1B6B">
        <w:t xml:space="preserve">Universidad de Texas en Austin y </w:t>
      </w:r>
      <w:proofErr w:type="spellStart"/>
      <w:r w:rsidR="008D1B6B">
        <w:t>Yaho</w:t>
      </w:r>
      <w:proofErr w:type="spellEnd"/>
      <w:r w:rsidR="008D1B6B">
        <w:t>.</w:t>
      </w:r>
      <w:r w:rsidR="007548B7">
        <w:t xml:space="preserve">  </w:t>
      </w:r>
      <w:r w:rsidR="008D1B6B">
        <w:t xml:space="preserve">Las visitas se organizan agrupando los destinos para que los examinadores puedan comparar y contrastar experiencias diversas. </w:t>
      </w:r>
    </w:p>
    <w:p w:rsidR="00755E78" w:rsidRPr="008D1B6B" w:rsidRDefault="002A4860" w:rsidP="00755E78">
      <w:pPr>
        <w:spacing w:after="220"/>
        <w:ind w:firstLine="567"/>
      </w:pPr>
      <w:r w:rsidRPr="008D1B6B">
        <w:t xml:space="preserve">Series de </w:t>
      </w:r>
      <w:r w:rsidR="008D1B6B" w:rsidRPr="008D1B6B">
        <w:t>educación</w:t>
      </w:r>
      <w:r w:rsidRPr="008D1B6B">
        <w:t xml:space="preserve"> continuada</w:t>
      </w:r>
    </w:p>
    <w:p w:rsidR="008D1B6B" w:rsidRPr="008D1B6B" w:rsidRDefault="008D1B6B" w:rsidP="00755E78">
      <w:pPr>
        <w:spacing w:after="220"/>
      </w:pPr>
      <w:r>
        <w:t>Fo</w:t>
      </w:r>
      <w:r w:rsidRPr="008D1B6B">
        <w:t>r</w:t>
      </w:r>
      <w:r>
        <w:t>m</w:t>
      </w:r>
      <w:r w:rsidRPr="008D1B6B">
        <w:t xml:space="preserve">ación para examinadores de patentes destinada a mejorar </w:t>
      </w:r>
      <w:r>
        <w:t>los</w:t>
      </w:r>
      <w:r w:rsidRPr="008D1B6B">
        <w:t xml:space="preserve"> conocimientos t</w:t>
      </w:r>
      <w:r>
        <w:t xml:space="preserve">écnicos y jurídicos </w:t>
      </w:r>
      <w:r w:rsidR="00BC4A73">
        <w:t>para</w:t>
      </w:r>
      <w:r>
        <w:t xml:space="preserve"> el examen de solicitudes de patentes</w:t>
      </w:r>
      <w:r w:rsidR="00BC4A73">
        <w:t xml:space="preserve">, compuesto por </w:t>
      </w:r>
      <w:r>
        <w:t>los cursos siguientes</w:t>
      </w:r>
      <w:r w:rsidR="00BC4A73">
        <w:t>:</w:t>
      </w:r>
    </w:p>
    <w:p w:rsidR="00755E78" w:rsidRPr="00D943A8" w:rsidRDefault="00755E78" w:rsidP="00755E78">
      <w:pPr>
        <w:spacing w:after="220"/>
      </w:pPr>
      <w:r w:rsidRPr="00D943A8">
        <w:t xml:space="preserve">• </w:t>
      </w:r>
      <w:r w:rsidR="00D943A8" w:rsidRPr="00D943A8">
        <w:t>Programa de estudios jurídicos en horas no h</w:t>
      </w:r>
      <w:r w:rsidR="00D943A8">
        <w:t xml:space="preserve">ábiles </w:t>
      </w:r>
    </w:p>
    <w:p w:rsidR="00755E78" w:rsidRPr="00D943A8" w:rsidRDefault="00755E78" w:rsidP="00755E78">
      <w:pPr>
        <w:spacing w:after="220"/>
      </w:pPr>
      <w:r w:rsidRPr="00D943A8">
        <w:t xml:space="preserve">• </w:t>
      </w:r>
      <w:r w:rsidR="00D943A8" w:rsidRPr="00D943A8">
        <w:t>Programa de formación técnica en horas no h</w:t>
      </w:r>
      <w:r w:rsidR="00D943A8">
        <w:t>ábiles</w:t>
      </w:r>
    </w:p>
    <w:p w:rsidR="00755E78" w:rsidRPr="00D943A8" w:rsidRDefault="00755E78" w:rsidP="00755E78">
      <w:pPr>
        <w:spacing w:after="220"/>
      </w:pPr>
      <w:r w:rsidRPr="00D943A8">
        <w:t xml:space="preserve">• </w:t>
      </w:r>
      <w:r w:rsidR="00D943A8" w:rsidRPr="00D943A8">
        <w:t xml:space="preserve">Formación </w:t>
      </w:r>
      <w:r w:rsidR="00D943A8">
        <w:t>para la actualización</w:t>
      </w:r>
      <w:r w:rsidR="00D943A8" w:rsidRPr="00D943A8">
        <w:t xml:space="preserve"> en </w:t>
      </w:r>
      <w:r w:rsidR="00D943A8">
        <w:t xml:space="preserve">materia de </w:t>
      </w:r>
      <w:r w:rsidR="00D943A8" w:rsidRPr="00D943A8">
        <w:t xml:space="preserve">herramientas </w:t>
      </w:r>
      <w:r w:rsidR="00D943A8">
        <w:t>de</w:t>
      </w:r>
      <w:r w:rsidR="00D943A8" w:rsidRPr="00D943A8">
        <w:t xml:space="preserve"> automatización </w:t>
      </w:r>
      <w:r w:rsidRPr="00D943A8">
        <w:t>(</w:t>
      </w:r>
      <w:r w:rsidR="00D943A8">
        <w:t xml:space="preserve">coordinado con la Oficina para la gestión de la información </w:t>
      </w:r>
      <w:r w:rsidR="00BC4A73">
        <w:t>sobre</w:t>
      </w:r>
      <w:r w:rsidR="00D943A8">
        <w:t xml:space="preserve"> patentes) </w:t>
      </w:r>
    </w:p>
    <w:p w:rsidR="00755E78" w:rsidRPr="00D943A8" w:rsidRDefault="00755E78" w:rsidP="00755E78">
      <w:pPr>
        <w:spacing w:after="220"/>
      </w:pPr>
      <w:r w:rsidRPr="00D943A8">
        <w:t xml:space="preserve">• </w:t>
      </w:r>
      <w:r w:rsidR="00D943A8" w:rsidRPr="00D943A8">
        <w:t>Formación para profesionales administra</w:t>
      </w:r>
      <w:r w:rsidR="00BC4A73">
        <w:t>dores de</w:t>
      </w:r>
      <w:r w:rsidR="00D943A8" w:rsidRPr="00D943A8">
        <w:t xml:space="preserve"> patentes</w:t>
      </w:r>
    </w:p>
    <w:p w:rsidR="00755E78" w:rsidRPr="00D943A8" w:rsidRDefault="00755E78" w:rsidP="00755E78">
      <w:pPr>
        <w:spacing w:after="220"/>
      </w:pPr>
      <w:r w:rsidRPr="00D943A8">
        <w:t xml:space="preserve">• </w:t>
      </w:r>
      <w:r w:rsidR="00D943A8" w:rsidRPr="00D943A8">
        <w:t>Examen de patentes para no examinadores</w:t>
      </w:r>
    </w:p>
    <w:p w:rsidR="00D943A8" w:rsidRDefault="00755E78" w:rsidP="00755E78">
      <w:pPr>
        <w:spacing w:after="220"/>
      </w:pPr>
      <w:r w:rsidRPr="00D943A8">
        <w:t xml:space="preserve">• </w:t>
      </w:r>
      <w:r w:rsidR="00D943A8" w:rsidRPr="00D943A8">
        <w:t>Conferencia para secretarios jur</w:t>
      </w:r>
      <w:r w:rsidR="00D943A8">
        <w:t xml:space="preserve">ídicos </w:t>
      </w:r>
      <w:r w:rsidR="00BC4A73">
        <w:t xml:space="preserve">y </w:t>
      </w:r>
      <w:r w:rsidR="00BC4A73" w:rsidRPr="00D943A8">
        <w:t>admin</w:t>
      </w:r>
      <w:r w:rsidR="00BC4A73">
        <w:t>istradores</w:t>
      </w:r>
    </w:p>
    <w:p w:rsidR="00755E78" w:rsidRPr="00D943A8" w:rsidRDefault="002A4860" w:rsidP="00755E78">
      <w:pPr>
        <w:spacing w:after="220"/>
        <w:rPr>
          <w:u w:val="single"/>
        </w:rPr>
      </w:pPr>
      <w:r w:rsidRPr="00D943A8">
        <w:rPr>
          <w:u w:val="single"/>
        </w:rPr>
        <w:t xml:space="preserve">Formación específica </w:t>
      </w:r>
      <w:r w:rsidR="00CD3759" w:rsidRPr="00D943A8">
        <w:rPr>
          <w:u w:val="single"/>
        </w:rPr>
        <w:t>sobre el</w:t>
      </w:r>
      <w:r w:rsidRPr="00D943A8">
        <w:rPr>
          <w:u w:val="single"/>
        </w:rPr>
        <w:t xml:space="preserve"> PCT </w:t>
      </w:r>
    </w:p>
    <w:p w:rsidR="00ED2F0C" w:rsidRDefault="00ED2F0C" w:rsidP="00755E78">
      <w:pPr>
        <w:spacing w:after="220"/>
      </w:pPr>
      <w:r w:rsidRPr="00ED2F0C">
        <w:t xml:space="preserve">La </w:t>
      </w:r>
      <w:r w:rsidR="00E22CD4">
        <w:t>“</w:t>
      </w:r>
      <w:r w:rsidR="00755E78" w:rsidRPr="00ED2F0C">
        <w:t xml:space="preserve">International </w:t>
      </w:r>
      <w:proofErr w:type="spellStart"/>
      <w:r w:rsidR="00755E78" w:rsidRPr="00ED2F0C">
        <w:t>Patent</w:t>
      </w:r>
      <w:proofErr w:type="spellEnd"/>
      <w:r w:rsidR="00755E78" w:rsidRPr="00ED2F0C">
        <w:t xml:space="preserve"> Legal </w:t>
      </w:r>
      <w:proofErr w:type="spellStart"/>
      <w:r w:rsidR="00755E78" w:rsidRPr="00ED2F0C">
        <w:t>Administration</w:t>
      </w:r>
      <w:proofErr w:type="spellEnd"/>
      <w:r w:rsidR="00E22CD4">
        <w:t>”</w:t>
      </w:r>
      <w:r w:rsidR="00755E78" w:rsidRPr="00ED2F0C">
        <w:t xml:space="preserve"> (IPLA)</w:t>
      </w:r>
      <w:r w:rsidR="00FA5F97">
        <w:t>, anteriormente</w:t>
      </w:r>
      <w:r w:rsidR="00755E78" w:rsidRPr="00ED2F0C">
        <w:t xml:space="preserve"> </w:t>
      </w:r>
      <w:r w:rsidRPr="00ED2F0C">
        <w:t>“</w:t>
      </w:r>
      <w:r w:rsidR="00755E78" w:rsidRPr="00ED2F0C">
        <w:t xml:space="preserve">Office of PCT Legal </w:t>
      </w:r>
      <w:proofErr w:type="spellStart"/>
      <w:r w:rsidR="00755E78" w:rsidRPr="00ED2F0C">
        <w:t>Administration</w:t>
      </w:r>
      <w:proofErr w:type="spellEnd"/>
      <w:r w:rsidRPr="00ED2F0C">
        <w:t>”</w:t>
      </w:r>
      <w:r w:rsidR="00755E78" w:rsidRPr="00ED2F0C">
        <w:t xml:space="preserve">, </w:t>
      </w:r>
      <w:r w:rsidR="00FA5F97">
        <w:t>es un órgano de</w:t>
      </w:r>
      <w:r w:rsidR="00ED140D">
        <w:t xml:space="preserve"> </w:t>
      </w:r>
      <w:r w:rsidR="00FA5F97">
        <w:t>l</w:t>
      </w:r>
      <w:r w:rsidR="00ED140D">
        <w:t>a</w:t>
      </w:r>
      <w:r w:rsidR="00FA5F97">
        <w:t xml:space="preserve"> USPTO que </w:t>
      </w:r>
      <w:r w:rsidR="00BC405C">
        <w:t>realiza actividades de formación</w:t>
      </w:r>
      <w:r w:rsidRPr="00ED2F0C">
        <w:t xml:space="preserve"> y presta su ayuda a la </w:t>
      </w:r>
      <w:r>
        <w:t>c</w:t>
      </w:r>
      <w:r w:rsidRPr="00ED2F0C">
        <w:t>omunidad de patentes, des</w:t>
      </w:r>
      <w:r>
        <w:t>a</w:t>
      </w:r>
      <w:r w:rsidRPr="00ED2F0C">
        <w:t xml:space="preserve">rrolla la política y </w:t>
      </w:r>
      <w:r w:rsidR="00FA5F97">
        <w:t>toma decisiones sobre</w:t>
      </w:r>
      <w:r w:rsidRPr="00ED2F0C">
        <w:t xml:space="preserve"> asuntos jur</w:t>
      </w:r>
      <w:r>
        <w:t xml:space="preserve">ídicos </w:t>
      </w:r>
      <w:r w:rsidR="00FA5F97">
        <w:t>conexos</w:t>
      </w:r>
      <w:r>
        <w:t xml:space="preserve">, entre otros, el Tratado de Cooperación en materia de Patentes </w:t>
      </w:r>
      <w:r w:rsidR="00755E78" w:rsidRPr="00ED2F0C">
        <w:t xml:space="preserve">(PCT).  </w:t>
      </w:r>
      <w:r>
        <w:t xml:space="preserve">Una de sus funciones es la instrucción de los examinadores de patentes </w:t>
      </w:r>
      <w:r w:rsidR="00BC405C">
        <w:t>de</w:t>
      </w:r>
      <w:r>
        <w:t xml:space="preserve"> la USPTO </w:t>
      </w:r>
      <w:r w:rsidR="00FA5F97">
        <w:t>sobre la</w:t>
      </w:r>
      <w:r>
        <w:t xml:space="preserve"> búsqueda y el examen de solicitudes en virtud del PCT</w:t>
      </w:r>
      <w:r w:rsidR="00934D76">
        <w:t>.  L</w:t>
      </w:r>
      <w:r>
        <w:t xml:space="preserve">a instrucción incluye formación sobre los Capítulos I y II, </w:t>
      </w:r>
      <w:r w:rsidR="00BC405C">
        <w:t xml:space="preserve">la </w:t>
      </w:r>
      <w:r>
        <w:t xml:space="preserve">unidad de </w:t>
      </w:r>
      <w:r w:rsidR="00BC405C">
        <w:t>la invención y</w:t>
      </w:r>
      <w:r>
        <w:t xml:space="preserve"> </w:t>
      </w:r>
      <w:r w:rsidR="00BC405C">
        <w:t xml:space="preserve">los </w:t>
      </w:r>
      <w:r>
        <w:t xml:space="preserve">procedimientos del PCT, teniendo en cuenta resultados de búsquedas previas </w:t>
      </w:r>
      <w:r w:rsidR="00FA5F97">
        <w:t>relacionadas</w:t>
      </w:r>
      <w:r>
        <w:t xml:space="preserve"> con el Capítulo I del PCT y otros asuntos del PCT.</w:t>
      </w:r>
      <w:bookmarkStart w:id="7" w:name="_GoBack"/>
      <w:bookmarkEnd w:id="7"/>
    </w:p>
    <w:p w:rsidR="00755E78" w:rsidRPr="00BC405C" w:rsidRDefault="00D40EBD" w:rsidP="00A06C8B">
      <w:pPr>
        <w:keepNext/>
        <w:keepLines/>
        <w:spacing w:after="220"/>
        <w:rPr>
          <w:u w:val="single"/>
        </w:rPr>
      </w:pPr>
      <w:r w:rsidRPr="00BC405C">
        <w:rPr>
          <w:u w:val="single"/>
        </w:rPr>
        <w:lastRenderedPageBreak/>
        <w:t xml:space="preserve">Examinadores </w:t>
      </w:r>
      <w:r w:rsidR="00BC405C">
        <w:rPr>
          <w:u w:val="single"/>
        </w:rPr>
        <w:t xml:space="preserve">de </w:t>
      </w:r>
      <w:r w:rsidRPr="00BC405C">
        <w:rPr>
          <w:u w:val="single"/>
        </w:rPr>
        <w:t>contra</w:t>
      </w:r>
      <w:r w:rsidR="00BC405C">
        <w:rPr>
          <w:u w:val="single"/>
        </w:rPr>
        <w:t>to</w:t>
      </w:r>
    </w:p>
    <w:p w:rsidR="00BC405C" w:rsidRPr="00BC405C" w:rsidRDefault="00BC405C" w:rsidP="00A06C8B">
      <w:pPr>
        <w:keepNext/>
        <w:keepLines/>
        <w:spacing w:after="220"/>
      </w:pPr>
      <w:r w:rsidRPr="00BC405C">
        <w:t>La USPTO facilita a los contratistas form</w:t>
      </w:r>
      <w:r>
        <w:t>a</w:t>
      </w:r>
      <w:r w:rsidRPr="00BC405C">
        <w:t>ci</w:t>
      </w:r>
      <w:r>
        <w:t xml:space="preserve">ón y </w:t>
      </w:r>
      <w:r w:rsidR="00FA5F97">
        <w:t xml:space="preserve">el </w:t>
      </w:r>
      <w:r>
        <w:t xml:space="preserve">material de formación </w:t>
      </w:r>
      <w:r w:rsidR="00FA5F97">
        <w:t xml:space="preserve">necesario </w:t>
      </w:r>
      <w:r>
        <w:t xml:space="preserve">para </w:t>
      </w:r>
      <w:r w:rsidR="00FA5F97">
        <w:t>una</w:t>
      </w:r>
      <w:r>
        <w:t xml:space="preserve"> formación inicial y </w:t>
      </w:r>
      <w:r w:rsidR="00FA5F97">
        <w:t xml:space="preserve">para la formación de carácter </w:t>
      </w:r>
      <w:r>
        <w:t>recurrente</w:t>
      </w:r>
      <w:r w:rsidR="00934D76">
        <w:t>.  P</w:t>
      </w:r>
      <w:r>
        <w:t xml:space="preserve">or lo general, el contratista </w:t>
      </w:r>
      <w:r w:rsidR="00FA5F97">
        <w:t>realiza</w:t>
      </w:r>
      <w:r>
        <w:t xml:space="preserve"> la formación corriente de conformidad con los requisitos especificados en el contrato con la USPTO</w:t>
      </w:r>
      <w:r w:rsidR="00934D76">
        <w:t>.  L</w:t>
      </w:r>
      <w:r>
        <w:t>a USPTO supervisa la labor de los examinadores de contrato y proporciona formación cuando lo considera necesario.</w:t>
      </w:r>
    </w:p>
    <w:p w:rsidR="00D40EBD" w:rsidRDefault="00755E78" w:rsidP="00755E78">
      <w:pPr>
        <w:spacing w:after="220"/>
        <w:rPr>
          <w:b/>
        </w:rPr>
      </w:pPr>
      <w:r w:rsidRPr="00D40EBD">
        <w:rPr>
          <w:b/>
        </w:rPr>
        <w:t>Acces</w:t>
      </w:r>
      <w:r w:rsidR="00D40EBD" w:rsidRPr="00D40EBD">
        <w:rPr>
          <w:b/>
        </w:rPr>
        <w:t>o a la documentac</w:t>
      </w:r>
      <w:r w:rsidR="00D40EBD">
        <w:rPr>
          <w:b/>
        </w:rPr>
        <w:t>i</w:t>
      </w:r>
      <w:r w:rsidR="00D40EBD" w:rsidRPr="00D40EBD">
        <w:rPr>
          <w:b/>
        </w:rPr>
        <w:t xml:space="preserve">ón </w:t>
      </w:r>
      <w:r w:rsidR="00D40EBD">
        <w:rPr>
          <w:b/>
        </w:rPr>
        <w:t>mí</w:t>
      </w:r>
      <w:r w:rsidR="00D40EBD" w:rsidRPr="00D40EBD">
        <w:rPr>
          <w:b/>
        </w:rPr>
        <w:t xml:space="preserve">nima descrita en la </w:t>
      </w:r>
      <w:r w:rsidR="00D40EBD">
        <w:rPr>
          <w:b/>
        </w:rPr>
        <w:t>R</w:t>
      </w:r>
      <w:r w:rsidR="00D40EBD" w:rsidRPr="00D40EBD">
        <w:rPr>
          <w:b/>
        </w:rPr>
        <w:t xml:space="preserve">egla </w:t>
      </w:r>
      <w:r w:rsidR="00D40EBD">
        <w:rPr>
          <w:b/>
        </w:rPr>
        <w:t>34 del PCT</w:t>
      </w:r>
    </w:p>
    <w:p w:rsidR="00BC405C" w:rsidRDefault="00A14706" w:rsidP="00755E78">
      <w:pPr>
        <w:spacing w:after="220"/>
      </w:pPr>
      <w:r w:rsidRPr="00A14706">
        <w:t xml:space="preserve">La USPTO proporciona a los examinadores acceso a colecciones de </w:t>
      </w:r>
      <w:r>
        <w:t>textos</w:t>
      </w:r>
      <w:r w:rsidRPr="00A14706">
        <w:t xml:space="preserve"> sobre patentes y </w:t>
      </w:r>
      <w:r>
        <w:t>distintos</w:t>
      </w:r>
      <w:r w:rsidRPr="00A14706">
        <w:t xml:space="preserve"> de </w:t>
      </w:r>
      <w:r>
        <w:t>los</w:t>
      </w:r>
      <w:r w:rsidRPr="00A14706">
        <w:t xml:space="preserve"> de patentes</w:t>
      </w:r>
      <w:r>
        <w:t xml:space="preserve"> que se especifican como documentación mínima en el PCT, y asimismo persigue </w:t>
      </w:r>
      <w:r w:rsidR="00900254">
        <w:t xml:space="preserve">la </w:t>
      </w:r>
      <w:r>
        <w:t>mejora continua</w:t>
      </w:r>
      <w:r w:rsidR="00900254">
        <w:t xml:space="preserve"> del a</w:t>
      </w:r>
      <w:r>
        <w:t xml:space="preserve">cceso del examinador de patentes al </w:t>
      </w:r>
      <w:r w:rsidR="00900254">
        <w:t xml:space="preserve">conocimiento del </w:t>
      </w:r>
      <w:r>
        <w:t>estado de la técnica.</w:t>
      </w:r>
    </w:p>
    <w:p w:rsidR="00A14706" w:rsidRDefault="00A14706" w:rsidP="00755E78">
      <w:pPr>
        <w:spacing w:after="220"/>
      </w:pPr>
      <w:r>
        <w:t>La Oficina de Automatización de Patentes (OPA)</w:t>
      </w:r>
      <w:r w:rsidR="00D477F8">
        <w:t xml:space="preserve"> tiene la responsabilidad de </w:t>
      </w:r>
      <w:r w:rsidR="00E22CD4">
        <w:t xml:space="preserve">la </w:t>
      </w:r>
      <w:r w:rsidR="00D477F8">
        <w:t>gesti</w:t>
      </w:r>
      <w:r w:rsidR="00E22CD4">
        <w:t>ón de</w:t>
      </w:r>
      <w:r w:rsidR="00D477F8">
        <w:t xml:space="preserve"> </w:t>
      </w:r>
      <w:r w:rsidR="00E22CD4">
        <w:t xml:space="preserve">programas y de los </w:t>
      </w:r>
      <w:r w:rsidR="00D477F8">
        <w:t xml:space="preserve">proyectos </w:t>
      </w:r>
      <w:r w:rsidR="00E22CD4">
        <w:t>de</w:t>
      </w:r>
      <w:r w:rsidR="00D477F8">
        <w:t xml:space="preserve"> todos los programas e iniciativas </w:t>
      </w:r>
      <w:r w:rsidR="00E22CD4">
        <w:t>destinados a</w:t>
      </w:r>
      <w:r w:rsidR="00D477F8">
        <w:t xml:space="preserve"> la automatización del proceso de patentes</w:t>
      </w:r>
      <w:r w:rsidR="00934D76">
        <w:t>.  L</w:t>
      </w:r>
      <w:r w:rsidR="00D477F8">
        <w:t xml:space="preserve">a OPA garantiza el desarrollo y la mejora de herramientas y tecnologías de automatización que incorporan los requisitos técnicos y funcionales necesarios para </w:t>
      </w:r>
      <w:r w:rsidR="00E22CD4">
        <w:t>una mayor eficacia de</w:t>
      </w:r>
      <w:r w:rsidR="00D477F8">
        <w:t xml:space="preserve"> las operaciones en el ámbito </w:t>
      </w:r>
      <w:r w:rsidR="00E22CD4">
        <w:t>de</w:t>
      </w:r>
      <w:r w:rsidR="00D477F8">
        <w:t xml:space="preserve"> </w:t>
      </w:r>
      <w:r w:rsidR="00A40658">
        <w:t>la gestión de</w:t>
      </w:r>
      <w:r w:rsidR="00D477F8">
        <w:t xml:space="preserve"> patentes. </w:t>
      </w:r>
    </w:p>
    <w:p w:rsidR="00755E78" w:rsidRDefault="00D477F8" w:rsidP="00755E78">
      <w:pPr>
        <w:spacing w:after="220"/>
      </w:pPr>
      <w:r>
        <w:t xml:space="preserve">En particular, la División de herramientas para el examen de patentes </w:t>
      </w:r>
      <w:r w:rsidR="00A40658">
        <w:t xml:space="preserve">de la OPA </w:t>
      </w:r>
      <w:r>
        <w:t>(PETD) es responsable del desarrollo y</w:t>
      </w:r>
      <w:r w:rsidR="00A40658">
        <w:t xml:space="preserve"> el</w:t>
      </w:r>
      <w:r>
        <w:t xml:space="preserve"> mantenimiento de herramientas de escritorio para la automatización </w:t>
      </w:r>
      <w:r w:rsidR="00A40658">
        <w:t>así como de los</w:t>
      </w:r>
      <w:r>
        <w:t xml:space="preserve"> repositorios de datos utilizados en </w:t>
      </w:r>
      <w:r w:rsidR="00A40658">
        <w:t>los</w:t>
      </w:r>
      <w:r>
        <w:t xml:space="preserve"> proceso</w:t>
      </w:r>
      <w:r w:rsidR="00A40658">
        <w:t>s</w:t>
      </w:r>
      <w:r>
        <w:t xml:space="preserve"> </w:t>
      </w:r>
      <w:r w:rsidR="00A40658">
        <w:t xml:space="preserve">diarios </w:t>
      </w:r>
      <w:r>
        <w:t>de examen</w:t>
      </w:r>
      <w:r w:rsidR="00934D76">
        <w:t>.  T</w:t>
      </w:r>
      <w:r>
        <w:t xml:space="preserve">ambién proporciona apoyo a diversas iniciativas en materia de patentes, como el </w:t>
      </w:r>
      <w:proofErr w:type="spellStart"/>
      <w:r w:rsidR="00755E78" w:rsidRPr="00D477F8">
        <w:t>Patent</w:t>
      </w:r>
      <w:proofErr w:type="spellEnd"/>
      <w:r w:rsidR="00755E78" w:rsidRPr="00D477F8">
        <w:t xml:space="preserve"> </w:t>
      </w:r>
      <w:proofErr w:type="spellStart"/>
      <w:r w:rsidR="00755E78" w:rsidRPr="00D477F8">
        <w:t>Hoteling</w:t>
      </w:r>
      <w:proofErr w:type="spellEnd"/>
      <w:r w:rsidR="00755E78" w:rsidRPr="00D477F8">
        <w:t xml:space="preserve"> </w:t>
      </w:r>
      <w:proofErr w:type="spellStart"/>
      <w:r w:rsidR="00755E78" w:rsidRPr="00D477F8">
        <w:t>Program</w:t>
      </w:r>
      <w:proofErr w:type="spellEnd"/>
      <w:r w:rsidR="00755E78" w:rsidRPr="00D477F8">
        <w:t xml:space="preserve"> (PHP), </w:t>
      </w:r>
      <w:r>
        <w:t xml:space="preserve">el </w:t>
      </w:r>
      <w:proofErr w:type="spellStart"/>
      <w:r w:rsidR="00755E78" w:rsidRPr="00D477F8">
        <w:t>Patent</w:t>
      </w:r>
      <w:proofErr w:type="spellEnd"/>
      <w:r w:rsidR="00755E78" w:rsidRPr="00D477F8">
        <w:t xml:space="preserve"> File </w:t>
      </w:r>
      <w:proofErr w:type="spellStart"/>
      <w:r w:rsidR="00755E78" w:rsidRPr="00D477F8">
        <w:t>Wrapper</w:t>
      </w:r>
      <w:proofErr w:type="spellEnd"/>
      <w:r w:rsidR="00755E78" w:rsidRPr="00D477F8">
        <w:t xml:space="preserve"> (PFW), </w:t>
      </w:r>
      <w:proofErr w:type="spellStart"/>
      <w:r w:rsidR="00755E78" w:rsidRPr="00D477F8">
        <w:t>eSignature</w:t>
      </w:r>
      <w:proofErr w:type="spellEnd"/>
      <w:r w:rsidR="00755E78" w:rsidRPr="00D477F8">
        <w:t xml:space="preserve">, </w:t>
      </w:r>
      <w:r>
        <w:t>y</w:t>
      </w:r>
      <w:r w:rsidR="00755E78" w:rsidRPr="00D477F8">
        <w:t xml:space="preserve"> </w:t>
      </w:r>
      <w:proofErr w:type="spellStart"/>
      <w:r w:rsidR="00755E78" w:rsidRPr="00D477F8">
        <w:t>eGrant</w:t>
      </w:r>
      <w:proofErr w:type="spellEnd"/>
      <w:r w:rsidR="00755E78" w:rsidRPr="00D477F8">
        <w:t>.</w:t>
      </w:r>
      <w:r>
        <w:t xml:space="preserve"> </w:t>
      </w:r>
    </w:p>
    <w:p w:rsidR="00755E78" w:rsidRDefault="00D477F8" w:rsidP="00D477F8">
      <w:pPr>
        <w:spacing w:after="220"/>
      </w:pPr>
      <w:r>
        <w:t xml:space="preserve">Algunas de  las herramientas de búsqueda que tienen a su disposición los examinadores incluyen la Herramienta de búsqueda automatizada del examinador (EAST, </w:t>
      </w:r>
      <w:proofErr w:type="spellStart"/>
      <w:r w:rsidR="00755E78" w:rsidRPr="00D477F8">
        <w:t>Ex</w:t>
      </w:r>
      <w:r>
        <w:t>aminer's</w:t>
      </w:r>
      <w:proofErr w:type="spellEnd"/>
      <w:r>
        <w:t xml:space="preserve"> </w:t>
      </w:r>
      <w:proofErr w:type="spellStart"/>
      <w:r>
        <w:t>Automated</w:t>
      </w:r>
      <w:proofErr w:type="spellEnd"/>
      <w:r>
        <w:t xml:space="preserve"> </w:t>
      </w:r>
      <w:proofErr w:type="spellStart"/>
      <w:r>
        <w:t>Search</w:t>
      </w:r>
      <w:proofErr w:type="spellEnd"/>
      <w:r>
        <w:t xml:space="preserve"> </w:t>
      </w:r>
      <w:proofErr w:type="spellStart"/>
      <w:r>
        <w:t>Tool</w:t>
      </w:r>
      <w:proofErr w:type="spellEnd"/>
      <w:r w:rsidR="00755E78" w:rsidRPr="00D477F8">
        <w:t xml:space="preserve">) </w:t>
      </w:r>
      <w:r>
        <w:t xml:space="preserve">que ofrece acceso a múltiples fuentes de datos </w:t>
      </w:r>
      <w:r w:rsidR="00A40658">
        <w:t>en modo</w:t>
      </w:r>
      <w:r>
        <w:t xml:space="preserve"> texto, incluidas las bases de datos de las Publicaciones previas la concesión (US-PGPUB, Pre-</w:t>
      </w:r>
      <w:proofErr w:type="spellStart"/>
      <w:r>
        <w:t>Grant</w:t>
      </w:r>
      <w:proofErr w:type="spellEnd"/>
      <w:r>
        <w:t xml:space="preserve"> </w:t>
      </w:r>
      <w:proofErr w:type="spellStart"/>
      <w:r>
        <w:t>Publications</w:t>
      </w:r>
      <w:proofErr w:type="spellEnd"/>
      <w:r w:rsidR="00755E78" w:rsidRPr="00D477F8">
        <w:t xml:space="preserve">), </w:t>
      </w:r>
      <w:r>
        <w:t>el sistema de Patentes de los Estados Unidos de América (</w:t>
      </w:r>
      <w:r w:rsidRPr="00D477F8">
        <w:t>USPAT</w:t>
      </w:r>
      <w:r>
        <w:t xml:space="preserve">, U.S. </w:t>
      </w:r>
      <w:proofErr w:type="spellStart"/>
      <w:r>
        <w:t>Patents</w:t>
      </w:r>
      <w:proofErr w:type="spellEnd"/>
      <w:r w:rsidR="00755E78" w:rsidRPr="00D477F8">
        <w:t xml:space="preserve">), </w:t>
      </w:r>
      <w:r>
        <w:t xml:space="preserve">el Reconocimiento óptico de caracteres (USOCR, </w:t>
      </w:r>
      <w:proofErr w:type="spellStart"/>
      <w:r>
        <w:t>Optical</w:t>
      </w:r>
      <w:proofErr w:type="spellEnd"/>
      <w:r>
        <w:t xml:space="preserve"> </w:t>
      </w:r>
      <w:proofErr w:type="spellStart"/>
      <w:r>
        <w:t>Character</w:t>
      </w:r>
      <w:proofErr w:type="spellEnd"/>
      <w:r>
        <w:t xml:space="preserve"> Recognition</w:t>
      </w:r>
      <w:r w:rsidR="00755E78" w:rsidRPr="00D477F8">
        <w:t xml:space="preserve">), </w:t>
      </w:r>
      <w:r>
        <w:t>los resúmenes de la Oficina Europea de Patentes (OEP)</w:t>
      </w:r>
      <w:r w:rsidR="00755E78" w:rsidRPr="00D477F8">
        <w:t xml:space="preserve">, </w:t>
      </w:r>
      <w:r>
        <w:t xml:space="preserve">los resúmenes de la Oficina Japonesa de Patentes </w:t>
      </w:r>
      <w:r w:rsidR="00755E78" w:rsidRPr="00D477F8">
        <w:t xml:space="preserve">(JPO), </w:t>
      </w:r>
      <w:r>
        <w:t xml:space="preserve">y el sistema de recuperación de patentes extranjeras (FPRS, </w:t>
      </w:r>
      <w:proofErr w:type="spellStart"/>
      <w:r w:rsidR="00755E78" w:rsidRPr="00D477F8">
        <w:t>Foreig</w:t>
      </w:r>
      <w:r>
        <w:t>n</w:t>
      </w:r>
      <w:proofErr w:type="spellEnd"/>
      <w:r>
        <w:t xml:space="preserve"> </w:t>
      </w:r>
      <w:proofErr w:type="spellStart"/>
      <w:r>
        <w:t>Patent</w:t>
      </w:r>
      <w:proofErr w:type="spellEnd"/>
      <w:r>
        <w:t xml:space="preserve"> </w:t>
      </w:r>
      <w:proofErr w:type="spellStart"/>
      <w:r>
        <w:t>Retrieval</w:t>
      </w:r>
      <w:proofErr w:type="spellEnd"/>
      <w:r>
        <w:t xml:space="preserve"> </w:t>
      </w:r>
      <w:proofErr w:type="spellStart"/>
      <w:r>
        <w:t>system</w:t>
      </w:r>
      <w:proofErr w:type="spellEnd"/>
      <w:r>
        <w:t xml:space="preserve">). </w:t>
      </w:r>
    </w:p>
    <w:p w:rsidR="0025191B" w:rsidRDefault="0025191B" w:rsidP="0025191B">
      <w:pPr>
        <w:spacing w:after="220"/>
      </w:pPr>
      <w:r w:rsidRPr="0025191B">
        <w:t>Otra herramienta a disposición de los examinadores es la Herramienta de búsqueda del examinador basada en le web (WEST</w:t>
      </w:r>
      <w:r w:rsidR="006F612D">
        <w:t xml:space="preserve">, </w:t>
      </w:r>
      <w:r w:rsidR="006F612D" w:rsidRPr="006D259C">
        <w:t>Web-</w:t>
      </w:r>
      <w:proofErr w:type="spellStart"/>
      <w:r w:rsidR="006F612D" w:rsidRPr="006D259C">
        <w:t>based</w:t>
      </w:r>
      <w:proofErr w:type="spellEnd"/>
      <w:r w:rsidR="006F612D" w:rsidRPr="006D259C">
        <w:t xml:space="preserve"> </w:t>
      </w:r>
      <w:proofErr w:type="spellStart"/>
      <w:r w:rsidR="006F612D" w:rsidRPr="006D259C">
        <w:t>Examiner's</w:t>
      </w:r>
      <w:proofErr w:type="spellEnd"/>
      <w:r w:rsidR="006F612D" w:rsidRPr="006D259C">
        <w:t xml:space="preserve"> </w:t>
      </w:r>
      <w:proofErr w:type="spellStart"/>
      <w:r w:rsidR="006F612D" w:rsidRPr="006D259C">
        <w:t>Search</w:t>
      </w:r>
      <w:proofErr w:type="spellEnd"/>
      <w:r w:rsidR="006F612D" w:rsidRPr="006D259C">
        <w:t xml:space="preserve"> </w:t>
      </w:r>
      <w:proofErr w:type="spellStart"/>
      <w:r w:rsidR="006F612D" w:rsidRPr="006D259C">
        <w:t>Tool</w:t>
      </w:r>
      <w:proofErr w:type="spellEnd"/>
      <w:r w:rsidRPr="0025191B">
        <w:t xml:space="preserve">) que </w:t>
      </w:r>
      <w:r w:rsidR="00772C88">
        <w:t>constituye</w:t>
      </w:r>
      <w:r w:rsidRPr="0025191B">
        <w:t xml:space="preserve"> una herramienta </w:t>
      </w:r>
      <w:r w:rsidR="00772C88">
        <w:t>alojada</w:t>
      </w:r>
      <w:r w:rsidRPr="0025191B">
        <w:t xml:space="preserve"> en un servidor para la búsqueda de textos completos de patentes y bases de datos de resúmenes. </w:t>
      </w:r>
      <w:r w:rsidR="00772C88">
        <w:t>U</w:t>
      </w:r>
      <w:r w:rsidRPr="0025191B">
        <w:t xml:space="preserve">tiliza </w:t>
      </w:r>
      <w:r w:rsidR="006D259C">
        <w:t>un</w:t>
      </w:r>
      <w:r w:rsidRPr="0025191B">
        <w:t xml:space="preserve"> lenguaje de búsqueda </w:t>
      </w:r>
      <w:r w:rsidR="006D259C">
        <w:t xml:space="preserve">denominado Servicio de recuperación bibliográfica (BRS, </w:t>
      </w:r>
      <w:proofErr w:type="spellStart"/>
      <w:r w:rsidR="00755E78" w:rsidRPr="0025191B">
        <w:t>Bi</w:t>
      </w:r>
      <w:r w:rsidR="006D259C">
        <w:t>bliographic</w:t>
      </w:r>
      <w:proofErr w:type="spellEnd"/>
      <w:r w:rsidR="006D259C">
        <w:t xml:space="preserve"> </w:t>
      </w:r>
      <w:proofErr w:type="spellStart"/>
      <w:r w:rsidR="006D259C">
        <w:t>Retrieval</w:t>
      </w:r>
      <w:proofErr w:type="spellEnd"/>
      <w:r w:rsidR="006D259C">
        <w:t xml:space="preserve"> Services</w:t>
      </w:r>
      <w:r w:rsidR="00755E78" w:rsidRPr="0025191B">
        <w:t>).  WEST pro</w:t>
      </w:r>
      <w:r w:rsidRPr="0025191B">
        <w:t xml:space="preserve">porciona </w:t>
      </w:r>
      <w:r w:rsidR="00772C88" w:rsidRPr="0025191B">
        <w:t>fuentes de datos</w:t>
      </w:r>
      <w:r w:rsidR="00772C88">
        <w:t xml:space="preserve"> de</w:t>
      </w:r>
      <w:r w:rsidR="00772C88" w:rsidRPr="0025191B">
        <w:t xml:space="preserve"> </w:t>
      </w:r>
      <w:r w:rsidRPr="0025191B">
        <w:t xml:space="preserve">textos </w:t>
      </w:r>
      <w:r w:rsidR="00772C88">
        <w:t>e</w:t>
      </w:r>
      <w:r w:rsidR="00772C88" w:rsidRPr="0025191B">
        <w:t xml:space="preserve"> imágenes </w:t>
      </w:r>
      <w:r w:rsidRPr="0025191B">
        <w:t xml:space="preserve">idénticos </w:t>
      </w:r>
      <w:r w:rsidR="006D259C">
        <w:t>al igual que</w:t>
      </w:r>
      <w:r>
        <w:t xml:space="preserve"> EAST, </w:t>
      </w:r>
      <w:r w:rsidR="00772C88">
        <w:t xml:space="preserve">y ofrece las siguientes funciones </w:t>
      </w:r>
      <w:r w:rsidR="006D259C">
        <w:t>de</w:t>
      </w:r>
      <w:r w:rsidR="00772C88">
        <w:t xml:space="preserve"> usuario y del sistema: búsquedas generales en bases de datos de patentes, búsquedas </w:t>
      </w:r>
      <w:r w:rsidR="006D259C">
        <w:t>vinculadas en</w:t>
      </w:r>
      <w:r w:rsidR="00772C88">
        <w:t xml:space="preserve"> secciones específicas de documentos, búsquedas generales </w:t>
      </w:r>
      <w:r w:rsidR="006D259C">
        <w:t xml:space="preserve">limitadas </w:t>
      </w:r>
      <w:r w:rsidR="00772C88">
        <w:t xml:space="preserve">y vinculadas, representación de los resultados de búsquedas en formatos especificados, representación de imágenes </w:t>
      </w:r>
      <w:r w:rsidR="006D259C">
        <w:t xml:space="preserve">de páginas de </w:t>
      </w:r>
      <w:r w:rsidR="00772C88">
        <w:t>patentes, colecciones de documentos gestionadas por el usuario, expedientes gestionados por el usuario que contiene</w:t>
      </w:r>
      <w:r w:rsidR="006D259C">
        <w:t>n</w:t>
      </w:r>
      <w:r w:rsidR="00772C88">
        <w:t xml:space="preserve"> búsquedas, impresión local </w:t>
      </w:r>
      <w:r w:rsidR="006D259C">
        <w:t>y</w:t>
      </w:r>
      <w:r w:rsidR="00772C88">
        <w:t xml:space="preserve"> utilizando TCP/IP de documentos con imágenes de patentes y enlaces a guías en internet de clasificación de patentes.</w:t>
      </w:r>
      <w:r w:rsidR="006D259C">
        <w:t xml:space="preserve"> </w:t>
      </w:r>
    </w:p>
    <w:p w:rsidR="00755E78" w:rsidRDefault="00772C88" w:rsidP="00772C88">
      <w:pPr>
        <w:spacing w:after="220"/>
      </w:pPr>
      <w:r>
        <w:t xml:space="preserve">Además, los examinadores de la USPTO tienen </w:t>
      </w:r>
      <w:proofErr w:type="gramStart"/>
      <w:r>
        <w:t xml:space="preserve">acceso a bases de datos </w:t>
      </w:r>
      <w:r w:rsidR="007548B7">
        <w:t>sobre el</w:t>
      </w:r>
      <w:r w:rsidRPr="00772C88">
        <w:t xml:space="preserve"> estado de la técnica</w:t>
      </w:r>
      <w:r>
        <w:t>, tanto comerciales como gestionadas</w:t>
      </w:r>
      <w:proofErr w:type="gramEnd"/>
      <w:r>
        <w:t xml:space="preserve"> por otras Oficinas</w:t>
      </w:r>
      <w:r w:rsidR="00934D76">
        <w:t>.  E</w:t>
      </w:r>
      <w:r w:rsidRPr="00772C88">
        <w:t xml:space="preserve">ntre ellas se encuentran el </w:t>
      </w:r>
      <w:r w:rsidR="00755E78" w:rsidRPr="00772C88">
        <w:t xml:space="preserve"> </w:t>
      </w:r>
      <w:proofErr w:type="spellStart"/>
      <w:r w:rsidR="00755E78" w:rsidRPr="00772C88">
        <w:t>Derwent</w:t>
      </w:r>
      <w:proofErr w:type="spellEnd"/>
      <w:r w:rsidR="00755E78" w:rsidRPr="00772C88">
        <w:t xml:space="preserve"> </w:t>
      </w:r>
      <w:proofErr w:type="spellStart"/>
      <w:r w:rsidR="00755E78" w:rsidRPr="00772C88">
        <w:t>World</w:t>
      </w:r>
      <w:proofErr w:type="spellEnd"/>
      <w:r w:rsidR="00755E78" w:rsidRPr="00772C88">
        <w:t xml:space="preserve"> </w:t>
      </w:r>
      <w:proofErr w:type="spellStart"/>
      <w:r w:rsidR="00755E78" w:rsidRPr="00772C88">
        <w:t>Patents</w:t>
      </w:r>
      <w:proofErr w:type="spellEnd"/>
      <w:r w:rsidR="00755E78" w:rsidRPr="00772C88">
        <w:t xml:space="preserve"> </w:t>
      </w:r>
      <w:proofErr w:type="spellStart"/>
      <w:r w:rsidR="00755E78" w:rsidRPr="00772C88">
        <w:t>Index</w:t>
      </w:r>
      <w:proofErr w:type="spellEnd"/>
      <w:r w:rsidR="00755E78" w:rsidRPr="00772C88">
        <w:t xml:space="preserve"> </w:t>
      </w:r>
      <w:r w:rsidRPr="00772C88">
        <w:t>de</w:t>
      </w:r>
      <w:r w:rsidR="00755E78" w:rsidRPr="00772C88">
        <w:t xml:space="preserve"> </w:t>
      </w:r>
      <w:proofErr w:type="spellStart"/>
      <w:r w:rsidR="00755E78" w:rsidRPr="00772C88">
        <w:t>Clarivate</w:t>
      </w:r>
      <w:proofErr w:type="spellEnd"/>
      <w:r w:rsidR="00755E78" w:rsidRPr="00772C88">
        <w:t xml:space="preserve"> </w:t>
      </w:r>
      <w:proofErr w:type="spellStart"/>
      <w:r w:rsidR="00755E78" w:rsidRPr="00772C88">
        <w:t>Analytics</w:t>
      </w:r>
      <w:proofErr w:type="spellEnd"/>
      <w:r w:rsidR="00755E78" w:rsidRPr="00772C88">
        <w:t xml:space="preserve">, PATENTSCOPE </w:t>
      </w:r>
      <w:r w:rsidRPr="00772C88">
        <w:t>de</w:t>
      </w:r>
      <w:r>
        <w:t xml:space="preserve"> </w:t>
      </w:r>
      <w:r w:rsidRPr="00772C88">
        <w:t>la Organiz</w:t>
      </w:r>
      <w:r>
        <w:t>a</w:t>
      </w:r>
      <w:r w:rsidRPr="00772C88">
        <w:t>ci</w:t>
      </w:r>
      <w:r>
        <w:t>ón Mundial de la Propied</w:t>
      </w:r>
      <w:r w:rsidRPr="00772C88">
        <w:t xml:space="preserve">ad </w:t>
      </w:r>
      <w:r>
        <w:t>Inte</w:t>
      </w:r>
      <w:r w:rsidRPr="00772C88">
        <w:t xml:space="preserve">lectual </w:t>
      </w:r>
      <w:r>
        <w:t>y</w:t>
      </w:r>
      <w:r w:rsidR="00755E78" w:rsidRPr="00772C88">
        <w:t xml:space="preserve"> </w:t>
      </w:r>
      <w:r>
        <w:t>otras</w:t>
      </w:r>
      <w:r w:rsidR="00755E78" w:rsidRPr="00772C88">
        <w:t>.</w:t>
      </w:r>
    </w:p>
    <w:p w:rsidR="00F736F6" w:rsidRDefault="00F736F6" w:rsidP="00772C88">
      <w:pPr>
        <w:spacing w:after="220"/>
      </w:pPr>
      <w:r>
        <w:lastRenderedPageBreak/>
        <w:t>El Centro de información científica y técnica (STIC</w:t>
      </w:r>
      <w:r w:rsidR="008C6269">
        <w:t>,</w:t>
      </w:r>
      <w:r w:rsidR="008C6269" w:rsidRPr="008C6269">
        <w:t xml:space="preserve"> </w:t>
      </w:r>
      <w:proofErr w:type="spellStart"/>
      <w:r w:rsidR="008C6269" w:rsidRPr="008C6269">
        <w:t>Scientific</w:t>
      </w:r>
      <w:proofErr w:type="spellEnd"/>
      <w:r w:rsidR="008C6269" w:rsidRPr="008C6269">
        <w:t xml:space="preserve"> and </w:t>
      </w:r>
      <w:proofErr w:type="spellStart"/>
      <w:r w:rsidR="008C6269" w:rsidRPr="008C6269">
        <w:t>Technical</w:t>
      </w:r>
      <w:proofErr w:type="spellEnd"/>
      <w:r w:rsidR="008C6269" w:rsidRPr="008C6269">
        <w:t xml:space="preserve"> </w:t>
      </w:r>
      <w:proofErr w:type="spellStart"/>
      <w:r w:rsidR="008C6269" w:rsidRPr="008C6269">
        <w:t>Information</w:t>
      </w:r>
      <w:proofErr w:type="spellEnd"/>
      <w:r w:rsidR="008C6269" w:rsidRPr="008C6269">
        <w:t xml:space="preserve"> Center</w:t>
      </w:r>
      <w:r>
        <w:t xml:space="preserve">) presta su apoyo a la labor de los examinadores de patentes al ofrecerles acceso en línea a literatura </w:t>
      </w:r>
      <w:r w:rsidR="00435B74">
        <w:t>distinta de la de patentes (NPL) y a documentos de patentes extranjeras</w:t>
      </w:r>
      <w:r w:rsidR="00934D76">
        <w:t>.  E</w:t>
      </w:r>
      <w:r w:rsidR="00435B74">
        <w:t xml:space="preserve">l STIC </w:t>
      </w:r>
      <w:r w:rsidR="008C6269">
        <w:t xml:space="preserve">permite realizar </w:t>
      </w:r>
      <w:r w:rsidR="00435B74">
        <w:t xml:space="preserve">búsquedas sobre el estado de la técnica, distribución de documentos, patentes extranjeras y traducción de textos, así como una ayuda caso a caso mediante herramientas </w:t>
      </w:r>
      <w:r w:rsidR="008C6269">
        <w:t xml:space="preserve">en computadoras personales y recursos asociados a la </w:t>
      </w:r>
      <w:r w:rsidR="00435B74" w:rsidRPr="00435B74">
        <w:t>literatura distinta de la de patentes</w:t>
      </w:r>
      <w:r w:rsidR="00934D76">
        <w:t>.  T</w:t>
      </w:r>
      <w:r w:rsidR="00435B74">
        <w:t>ambién permite el acceso a bases de datos de conocimientos tradicionales</w:t>
      </w:r>
      <w:r w:rsidR="00934D76">
        <w:t>.  U</w:t>
      </w:r>
      <w:r w:rsidR="00435B74">
        <w:t xml:space="preserve">na de las tareas que apoya el STIC es garantizar el acceso a los documentos de patentes y a </w:t>
      </w:r>
      <w:r w:rsidR="00822E69">
        <w:t>literatura</w:t>
      </w:r>
      <w:r w:rsidR="00435B74">
        <w:t xml:space="preserve"> distinta de </w:t>
      </w:r>
      <w:r w:rsidR="00822E69">
        <w:t>la de patentes</w:t>
      </w:r>
      <w:r w:rsidR="00435B74">
        <w:t xml:space="preserve"> especificados </w:t>
      </w:r>
      <w:r w:rsidR="0052583C">
        <w:t>como</w:t>
      </w:r>
      <w:r w:rsidR="00435B74">
        <w:t xml:space="preserve"> documentación mínima</w:t>
      </w:r>
      <w:r w:rsidR="00AB6C0B">
        <w:t xml:space="preserve"> del PCT</w:t>
      </w:r>
      <w:r w:rsidR="00435B74">
        <w:t xml:space="preserve">, de conformidad con la </w:t>
      </w:r>
      <w:r w:rsidR="00496738">
        <w:t>R</w:t>
      </w:r>
      <w:r w:rsidR="00435B74">
        <w:t>egla 34 del PCT.</w:t>
      </w:r>
    </w:p>
    <w:p w:rsidR="00822E69" w:rsidRPr="00822E69" w:rsidRDefault="00822E69" w:rsidP="00755E78">
      <w:pPr>
        <w:spacing w:after="220"/>
      </w:pPr>
      <w:r>
        <w:t xml:space="preserve">En las búsquedas </w:t>
      </w:r>
      <w:r w:rsidR="00FE3CC6">
        <w:t>descritas en el</w:t>
      </w:r>
      <w:r>
        <w:t xml:space="preserve"> Capítulo I del PCT </w:t>
      </w:r>
      <w:r w:rsidR="00FE3CC6">
        <w:t xml:space="preserve">que no son </w:t>
      </w:r>
      <w:r>
        <w:t>realiza</w:t>
      </w:r>
      <w:r w:rsidR="002E5710">
        <w:t>das por</w:t>
      </w:r>
      <w:r>
        <w:t xml:space="preserve"> los examinadores de la USPTO, los examinadores de contrato actúan con arreglo a las disposiciones contractuales que especifican el acceso a bases de datos sobre el estado de la técnica que debe facilitarse a dichos examinadores</w:t>
      </w:r>
      <w:r w:rsidR="00934D76">
        <w:t>.  E</w:t>
      </w:r>
      <w:r w:rsidR="002E5710">
        <w:t xml:space="preserve">sas bases de datos han de incluir los recursos requeridos como documentación mínima </w:t>
      </w:r>
      <w:r w:rsidR="00FE3CC6">
        <w:t>del</w:t>
      </w:r>
      <w:r w:rsidR="002E5710">
        <w:t xml:space="preserve"> PCT</w:t>
      </w:r>
      <w:r w:rsidR="00934D76">
        <w:t>.  L</w:t>
      </w:r>
      <w:r w:rsidR="002E5710">
        <w:t>a USPTO proporciona a los contratistas acceso a las versiones públicas de WEST</w:t>
      </w:r>
      <w:r w:rsidR="00934DF7">
        <w:t xml:space="preserve">, </w:t>
      </w:r>
      <w:r w:rsidR="002E5710">
        <w:t>que se suma al acceso a bases de datos comerciales obtenid</w:t>
      </w:r>
      <w:r w:rsidR="00934DF7">
        <w:t>o</w:t>
      </w:r>
      <w:r w:rsidR="002E5710">
        <w:t xml:space="preserve"> independientemente por los contratistas.</w:t>
      </w:r>
    </w:p>
    <w:p w:rsidR="00755E78" w:rsidRPr="004C797C" w:rsidRDefault="00755E78" w:rsidP="00755E78">
      <w:pPr>
        <w:keepNext/>
        <w:pBdr>
          <w:top w:val="single" w:sz="4" w:space="1" w:color="auto"/>
          <w:bottom w:val="single" w:sz="4" w:space="1" w:color="auto"/>
        </w:pBdr>
        <w:spacing w:before="360" w:after="200"/>
        <w:outlineLvl w:val="0"/>
        <w:rPr>
          <w:b/>
          <w:bCs/>
          <w:caps/>
          <w:kern w:val="32"/>
          <w:szCs w:val="32"/>
        </w:rPr>
      </w:pPr>
      <w:r w:rsidRPr="004C797C">
        <w:rPr>
          <w:b/>
          <w:bCs/>
          <w:caps/>
          <w:kern w:val="32"/>
          <w:szCs w:val="32"/>
        </w:rPr>
        <w:t xml:space="preserve">2.2 – </w:t>
      </w:r>
      <w:r w:rsidR="00370DEC" w:rsidRPr="004C797C">
        <w:rPr>
          <w:b/>
          <w:bCs/>
          <w:caps/>
          <w:kern w:val="32"/>
          <w:szCs w:val="32"/>
        </w:rPr>
        <w:t>GESTIÓN DE LA CALIDAD</w:t>
      </w:r>
    </w:p>
    <w:p w:rsidR="004C797C" w:rsidRDefault="004C797C" w:rsidP="00755E78">
      <w:pPr>
        <w:spacing w:after="220"/>
      </w:pPr>
      <w:r w:rsidRPr="004C797C">
        <w:t xml:space="preserve">La USPTO </w:t>
      </w:r>
      <w:r>
        <w:t xml:space="preserve">dispone de un sistema de gestión de la calidad </w:t>
      </w:r>
      <w:r w:rsidR="00F42A29">
        <w:t xml:space="preserve">(QMS) </w:t>
      </w:r>
      <w:r>
        <w:t xml:space="preserve">y disposiciones </w:t>
      </w:r>
      <w:r w:rsidR="00D70780">
        <w:t xml:space="preserve">para la </w:t>
      </w:r>
      <w:r w:rsidR="00154CFA">
        <w:t>evaluación</w:t>
      </w:r>
      <w:r>
        <w:t xml:space="preserve"> interna con arreglo a las reglas comunes de búsqueda internacional especificadas en la Regla 36.1)iv) y 63.1)iv), que satisfacen los requisitos del Capítulo 21 de las Directrices de búsqueda </w:t>
      </w:r>
      <w:r w:rsidR="00154CFA">
        <w:t>internacional y de e</w:t>
      </w:r>
      <w:r>
        <w:t>xamen preliminar internacional del PCT.</w:t>
      </w:r>
      <w:r w:rsidR="00154CFA">
        <w:t xml:space="preserve"> </w:t>
      </w:r>
    </w:p>
    <w:p w:rsidR="00755E78" w:rsidRPr="00154CFA" w:rsidRDefault="00154CFA" w:rsidP="00755E78">
      <w:pPr>
        <w:spacing w:after="220"/>
      </w:pPr>
      <w:r>
        <w:t xml:space="preserve">Tal como ha sido acordado por los Estados miembros y ha quedado reflejado en el párrafo 7 del documento </w:t>
      </w:r>
      <w:r w:rsidRPr="00154CFA">
        <w:t>PCT/MIA/24/2</w:t>
      </w:r>
      <w:r>
        <w:t xml:space="preserve">, “será suficiente que la administración que solicita la prórroga de su designación haga referencia al informe más reciente de sus sistema de gestión de la calidad remitido a la Oficina Internacional de conformidad con el Capítulo 21 de las </w:t>
      </w:r>
      <w:r w:rsidRPr="00154CFA">
        <w:t>Directrices de búsqueda internacional y de examen preliminar internacional del PCT</w:t>
      </w:r>
      <w:r>
        <w:t>”</w:t>
      </w:r>
      <w:r w:rsidR="00934D76">
        <w:t>.  D</w:t>
      </w:r>
      <w:r>
        <w:t>icho informe está disponible en el sitio web de la OMPI</w:t>
      </w:r>
      <w:r w:rsidR="00755E78" w:rsidRPr="00755E78">
        <w:rPr>
          <w:szCs w:val="22"/>
          <w:vertAlign w:val="superscript"/>
          <w:lang w:val="en-US"/>
        </w:rPr>
        <w:footnoteReference w:id="2"/>
      </w:r>
      <w:r w:rsidR="00755E78" w:rsidRPr="00154CFA">
        <w:t xml:space="preserve">. </w:t>
      </w:r>
      <w:r w:rsidR="004717B5">
        <w:t xml:space="preserve"> </w:t>
      </w:r>
    </w:p>
    <w:p w:rsidR="002D75E1" w:rsidRDefault="00154CFA" w:rsidP="00755E78">
      <w:pPr>
        <w:spacing w:after="220"/>
      </w:pPr>
      <w:r>
        <w:t xml:space="preserve">La USPTO </w:t>
      </w:r>
      <w:r w:rsidR="002D75E1">
        <w:t xml:space="preserve">aspira a que cada patente se </w:t>
      </w:r>
      <w:r w:rsidR="004717B5">
        <w:t>conceda</w:t>
      </w:r>
      <w:r w:rsidR="002D75E1">
        <w:t xml:space="preserve"> correctamente con arreglo a los requisitos de nuestra normativa </w:t>
      </w:r>
      <w:r w:rsidR="004717B5">
        <w:t>en materia de</w:t>
      </w:r>
      <w:r w:rsidR="002D75E1">
        <w:t xml:space="preserve"> patentes </w:t>
      </w:r>
      <w:r w:rsidR="004717B5">
        <w:t>y de la forma que</w:t>
      </w:r>
      <w:r w:rsidR="002D75E1">
        <w:t xml:space="preserve"> interpreta nuestro sistema judicial en el momento de su emisión. Como parte de nuestros esfuerzos para garantizar la calidad, la USPTO forma a todos los examinadores sobre </w:t>
      </w:r>
      <w:r w:rsidR="004717B5">
        <w:t>dichos</w:t>
      </w:r>
      <w:r w:rsidR="002D75E1">
        <w:t xml:space="preserve"> requisitos jurídicos, </w:t>
      </w:r>
      <w:r w:rsidR="004717B5">
        <w:t>tanto en</w:t>
      </w:r>
      <w:r w:rsidR="002D75E1">
        <w:t xml:space="preserve"> la formación de los nuevos examinadores </w:t>
      </w:r>
      <w:r w:rsidR="004717B5">
        <w:t>como en la</w:t>
      </w:r>
      <w:r w:rsidR="002D75E1">
        <w:t xml:space="preserve"> formación obligatoria para todos los examinadores sobre la evolución del marco jurídico</w:t>
      </w:r>
      <w:r w:rsidR="00934D76">
        <w:t>.  L</w:t>
      </w:r>
      <w:r w:rsidR="002D75E1">
        <w:t xml:space="preserve">a USPTO tiene mecanismos para garantizar que los examinadores aplican correctamente los requisitos jurídicos de forma que los resultados </w:t>
      </w:r>
      <w:r w:rsidR="00F067E0">
        <w:t>en materia</w:t>
      </w:r>
      <w:r w:rsidR="004717B5">
        <w:t xml:space="preserve"> de patentes</w:t>
      </w:r>
      <w:r w:rsidR="002D75E1">
        <w:t xml:space="preserve"> cumplan todos los requisitos jurídicos.  </w:t>
      </w:r>
      <w:r w:rsidR="004717B5">
        <w:t>Un</w:t>
      </w:r>
      <w:r w:rsidR="002D75E1">
        <w:t xml:space="preserve"> reciente esfuerzo de la USPTO sobre calidad, a saber, la Iniciativa de mejora de calidad de las patentes (EPQI</w:t>
      </w:r>
      <w:r w:rsidR="004717B5">
        <w:t xml:space="preserve">, </w:t>
      </w:r>
      <w:proofErr w:type="spellStart"/>
      <w:r w:rsidR="004717B5" w:rsidRPr="004717B5">
        <w:t>Enhanced</w:t>
      </w:r>
      <w:proofErr w:type="spellEnd"/>
      <w:r w:rsidR="004717B5" w:rsidRPr="004717B5">
        <w:t xml:space="preserve"> </w:t>
      </w:r>
      <w:proofErr w:type="spellStart"/>
      <w:r w:rsidR="004717B5" w:rsidRPr="004717B5">
        <w:t>Patent</w:t>
      </w:r>
      <w:proofErr w:type="spellEnd"/>
      <w:r w:rsidR="004717B5" w:rsidRPr="004717B5">
        <w:t xml:space="preserve"> </w:t>
      </w:r>
      <w:proofErr w:type="spellStart"/>
      <w:r w:rsidR="004717B5" w:rsidRPr="004717B5">
        <w:t>Quality</w:t>
      </w:r>
      <w:proofErr w:type="spellEnd"/>
      <w:r w:rsidR="004717B5" w:rsidRPr="004717B5">
        <w:t xml:space="preserve"> </w:t>
      </w:r>
      <w:proofErr w:type="spellStart"/>
      <w:r w:rsidR="004717B5" w:rsidRPr="004717B5">
        <w:t>Initiative</w:t>
      </w:r>
      <w:proofErr w:type="spellEnd"/>
      <w:r w:rsidR="002D75E1">
        <w:t xml:space="preserve">), se centra en la mejora de esos mecanismos mediante la institucionalización de las mejores prácticas y el fortalecimiento de los productos, procesos y servicios </w:t>
      </w:r>
      <w:r w:rsidR="004717B5">
        <w:t xml:space="preserve">de </w:t>
      </w:r>
      <w:r w:rsidR="002D75E1">
        <w:t>la USPTO en</w:t>
      </w:r>
      <w:r w:rsidR="004717B5">
        <w:t xml:space="preserve"> todas las fases del proceso asociado a las </w:t>
      </w:r>
      <w:r w:rsidR="002D75E1">
        <w:t>patentes</w:t>
      </w:r>
      <w:r w:rsidR="00934D76">
        <w:t>.  E</w:t>
      </w:r>
      <w:r w:rsidR="002D75E1">
        <w:t xml:space="preserve">specíficamente, y como parte </w:t>
      </w:r>
      <w:r w:rsidR="00CF6916">
        <w:t>de la</w:t>
      </w:r>
      <w:r w:rsidR="002D75E1">
        <w:t xml:space="preserve"> EPQI, la USPTO ha puesto en marcha una serie de programas centrados en la calidad y estructurados en torno a tres pilares fundamentales, a saber, la excelencia de los productos (pilar 1), la excelencia en la medición de la calidad de la patente (pilar 2) y la excelencia en el servicio al cliente (pilar 3). </w:t>
      </w:r>
    </w:p>
    <w:p w:rsidR="00F42925" w:rsidRDefault="002D75E1" w:rsidP="00755E78">
      <w:pPr>
        <w:spacing w:after="220"/>
      </w:pPr>
      <w:r>
        <w:t>En relación con</w:t>
      </w:r>
      <w:r w:rsidR="00F42925">
        <w:t xml:space="preserve"> los contratistas que realizan búsquedas </w:t>
      </w:r>
      <w:r w:rsidR="00F42A29">
        <w:t>según el</w:t>
      </w:r>
      <w:r w:rsidR="00F42925">
        <w:t xml:space="preserve"> Capítulo 1 del PCT, </w:t>
      </w:r>
      <w:r w:rsidR="00FD124E">
        <w:t xml:space="preserve">cuando se publica una petición de ofertas (RFP) </w:t>
      </w:r>
      <w:r w:rsidR="00F42925">
        <w:t xml:space="preserve">se </w:t>
      </w:r>
      <w:r w:rsidR="00F42A29">
        <w:t>aplica el</w:t>
      </w:r>
      <w:r w:rsidR="00F42925">
        <w:t xml:space="preserve"> sistema de gestión de la calidad</w:t>
      </w:r>
      <w:r w:rsidR="00FD124E">
        <w:t xml:space="preserve"> (QMS) </w:t>
      </w:r>
      <w:r w:rsidR="00F42A29">
        <w:t xml:space="preserve">hasta la adjudicación de los </w:t>
      </w:r>
      <w:r w:rsidR="00F42925">
        <w:t>contratos</w:t>
      </w:r>
      <w:r w:rsidR="00934D76">
        <w:t>.  E</w:t>
      </w:r>
      <w:r w:rsidR="00F42925">
        <w:t xml:space="preserve">l QMS incluye, entre otras cosas, </w:t>
      </w:r>
      <w:r w:rsidR="00F42A29">
        <w:t>la</w:t>
      </w:r>
      <w:r w:rsidR="00F42925">
        <w:t xml:space="preserve"> </w:t>
      </w:r>
      <w:r w:rsidR="00FD124E">
        <w:t>evaluación</w:t>
      </w:r>
      <w:r w:rsidR="00F42925">
        <w:t xml:space="preserve"> de la </w:t>
      </w:r>
      <w:r w:rsidR="00F42925">
        <w:lastRenderedPageBreak/>
        <w:t xml:space="preserve">calidad, </w:t>
      </w:r>
      <w:r w:rsidR="00F42A29">
        <w:t xml:space="preserve">la </w:t>
      </w:r>
      <w:r w:rsidR="00FD124E">
        <w:t xml:space="preserve">recepción de </w:t>
      </w:r>
      <w:r w:rsidR="00F42925">
        <w:t xml:space="preserve">información, </w:t>
      </w:r>
      <w:r w:rsidR="00F42A29">
        <w:t xml:space="preserve">la </w:t>
      </w:r>
      <w:r w:rsidR="00F42925">
        <w:t xml:space="preserve">formación </w:t>
      </w:r>
      <w:r w:rsidR="00F42A29">
        <w:t>y las</w:t>
      </w:r>
      <w:r w:rsidR="00F42925">
        <w:t xml:space="preserve"> </w:t>
      </w:r>
      <w:r w:rsidR="00F42A29">
        <w:t>consecuencias</w:t>
      </w:r>
      <w:r w:rsidR="00F42925">
        <w:t xml:space="preserve"> </w:t>
      </w:r>
      <w:r w:rsidR="00F42A29">
        <w:t>del</w:t>
      </w:r>
      <w:r w:rsidR="00FD124E">
        <w:t xml:space="preserve"> incumplimiento de objetivos prescritos en términos de calidad y plazos</w:t>
      </w:r>
      <w:r w:rsidR="00F42925">
        <w:t xml:space="preserve">. </w:t>
      </w:r>
      <w:r w:rsidR="00DA675A">
        <w:t xml:space="preserve">Cuando los objetivos de calidad o los plazos prescritos no cumplen la tasa de cumplimiento contractual, el </w:t>
      </w:r>
      <w:r w:rsidR="00FD124E">
        <w:t xml:space="preserve">QMS del contratista se modifica con planes de acción.  La USPTO supervisa la calidad del trabajo de los contratistas para garantizar que </w:t>
      </w:r>
      <w:r w:rsidR="0037004F">
        <w:t>se mantiene con un nivel muy elevado</w:t>
      </w:r>
      <w:r w:rsidR="00FD124E">
        <w:t>.</w:t>
      </w:r>
    </w:p>
    <w:p w:rsidR="00755E78" w:rsidRPr="00B95739" w:rsidRDefault="00755E78" w:rsidP="00755E78">
      <w:pPr>
        <w:keepNext/>
        <w:pBdr>
          <w:top w:val="single" w:sz="4" w:space="1" w:color="auto"/>
          <w:bottom w:val="single" w:sz="4" w:space="1" w:color="auto"/>
        </w:pBdr>
        <w:spacing w:before="360" w:after="200"/>
        <w:outlineLvl w:val="0"/>
        <w:rPr>
          <w:b/>
          <w:bCs/>
          <w:caps/>
          <w:kern w:val="32"/>
          <w:szCs w:val="32"/>
        </w:rPr>
      </w:pPr>
      <w:r w:rsidRPr="00B95739">
        <w:rPr>
          <w:b/>
          <w:bCs/>
          <w:caps/>
          <w:kern w:val="32"/>
          <w:szCs w:val="32"/>
        </w:rPr>
        <w:t xml:space="preserve">3 – </w:t>
      </w:r>
      <w:r w:rsidR="00370DEC" w:rsidRPr="00B95739">
        <w:rPr>
          <w:b/>
          <w:bCs/>
          <w:caps/>
          <w:kern w:val="32"/>
          <w:szCs w:val="32"/>
        </w:rPr>
        <w:t>ÁMBITO DE APLICACIÓN PREVISTO</w:t>
      </w:r>
    </w:p>
    <w:p w:rsidR="008E4643" w:rsidRDefault="00B95739" w:rsidP="00755E78">
      <w:pPr>
        <w:spacing w:after="220"/>
      </w:pPr>
      <w:r w:rsidRPr="00B95739">
        <w:t>La USPTO s</w:t>
      </w:r>
      <w:r>
        <w:t>ólo trabaja en el idioma inglés</w:t>
      </w:r>
      <w:r w:rsidR="00934D76">
        <w:t>.  L</w:t>
      </w:r>
      <w:r>
        <w:t xml:space="preserve">os servicios de la USPTO como </w:t>
      </w:r>
      <w:r w:rsidR="0095024B">
        <w:t xml:space="preserve">la labor como </w:t>
      </w:r>
      <w:r>
        <w:t xml:space="preserve">ISA/IPEA del PCT seguirán incluyendo materia </w:t>
      </w:r>
      <w:r w:rsidR="0095024B">
        <w:t>objeto de protección que se somete</w:t>
      </w:r>
      <w:r w:rsidR="00664C17">
        <w:t xml:space="preserve"> a </w:t>
      </w:r>
      <w:r>
        <w:t>búsqueda y examen en los Estados Unidos de Améri</w:t>
      </w:r>
      <w:r w:rsidR="00FE08FB">
        <w:t xml:space="preserve">ca para solicitudes nacionales.  </w:t>
      </w:r>
      <w:r>
        <w:t xml:space="preserve">No están previstos cambios </w:t>
      </w:r>
      <w:r w:rsidR="003C3B16">
        <w:t xml:space="preserve">sobre limitaciones </w:t>
      </w:r>
      <w:r>
        <w:t xml:space="preserve">de la materia objeto de protección ni ninguna otra limitación con </w:t>
      </w:r>
      <w:r w:rsidR="00AB74A0">
        <w:t>respecto</w:t>
      </w:r>
      <w:r>
        <w:t xml:space="preserve"> </w:t>
      </w:r>
      <w:r w:rsidR="00AB74A0">
        <w:t>a la labor</w:t>
      </w:r>
      <w:r>
        <w:t xml:space="preserve"> actual de la USPTO como ISA/IPEA en virtud del PCT.</w:t>
      </w:r>
      <w:r w:rsidR="00664C17">
        <w:t xml:space="preserve"> </w:t>
      </w:r>
    </w:p>
    <w:p w:rsidR="002C69C6" w:rsidRPr="00B95739" w:rsidRDefault="00664C17" w:rsidP="00755E78">
      <w:pPr>
        <w:spacing w:after="220"/>
      </w:pPr>
      <w:r>
        <w:t xml:space="preserve">La USPTO, como </w:t>
      </w:r>
      <w:r w:rsidR="008E4643">
        <w:t>A</w:t>
      </w:r>
      <w:r>
        <w:t>dministración de búsqueda internacional, realiza búsquedas internacionales y prepara informes de búsqueda</w:t>
      </w:r>
      <w:r w:rsidR="008E4643">
        <w:t>s</w:t>
      </w:r>
      <w:r>
        <w:t xml:space="preserve"> internacionales y opiniones escritas para las juri</w:t>
      </w:r>
      <w:r w:rsidR="008E4643">
        <w:t>sdicciones siguientes</w:t>
      </w:r>
      <w:r w:rsidR="001B46D8">
        <w:t>,</w:t>
      </w:r>
      <w:r w:rsidR="008E4643">
        <w:t xml:space="preserve"> a</w:t>
      </w:r>
      <w:r>
        <w:t xml:space="preserve">demás de los </w:t>
      </w:r>
      <w:r w:rsidR="008E4643">
        <w:t xml:space="preserve">Estados Unidos de América: </w:t>
      </w:r>
      <w:proofErr w:type="spellStart"/>
      <w:r w:rsidR="008E4643" w:rsidRPr="008E4643">
        <w:t>Bahr</w:t>
      </w:r>
      <w:r w:rsidR="008E4643">
        <w:t>e</w:t>
      </w:r>
      <w:r w:rsidR="008E4643" w:rsidRPr="008E4643">
        <w:t>in</w:t>
      </w:r>
      <w:proofErr w:type="spellEnd"/>
      <w:r w:rsidR="008E4643" w:rsidRPr="008E4643">
        <w:t>, Barbados, Bra</w:t>
      </w:r>
      <w:r w:rsidR="008E4643">
        <w:t>s</w:t>
      </w:r>
      <w:r w:rsidR="008E4643" w:rsidRPr="008E4643">
        <w:t xml:space="preserve">il, Chile, </w:t>
      </w:r>
      <w:r w:rsidR="008E4643">
        <w:t>República Dominicana</w:t>
      </w:r>
      <w:r w:rsidR="008E4643" w:rsidRPr="008E4643">
        <w:t>, Eg</w:t>
      </w:r>
      <w:r w:rsidR="008E4643">
        <w:t>ipto</w:t>
      </w:r>
      <w:r w:rsidR="008E4643" w:rsidRPr="008E4643">
        <w:t>, Georg</w:t>
      </w:r>
      <w:r w:rsidR="008E4643">
        <w:t>ia, Guatemala, India, Israel, Mé</w:t>
      </w:r>
      <w:r w:rsidR="008E4643" w:rsidRPr="008E4643">
        <w:t xml:space="preserve">xico, </w:t>
      </w:r>
      <w:r w:rsidR="008E4643">
        <w:t>Nueva Zelandia</w:t>
      </w:r>
      <w:r w:rsidR="008E4643" w:rsidRPr="008E4643">
        <w:t>, Om</w:t>
      </w:r>
      <w:r w:rsidR="008E4643">
        <w:t>án, Panamá, Perú</w:t>
      </w:r>
      <w:r w:rsidR="008E4643" w:rsidRPr="008E4643">
        <w:t xml:space="preserve">, </w:t>
      </w:r>
      <w:r w:rsidR="008E4643">
        <w:t>Filipinas</w:t>
      </w:r>
      <w:r w:rsidR="008E4643" w:rsidRPr="008E4643">
        <w:t xml:space="preserve">, Qatar, </w:t>
      </w:r>
      <w:r w:rsidR="008E4643">
        <w:t>Santa</w:t>
      </w:r>
      <w:r w:rsidR="008E4643" w:rsidRPr="008E4643">
        <w:t xml:space="preserve"> Lucia, </w:t>
      </w:r>
      <w:r w:rsidR="008E4643">
        <w:t>San Vicente y las Granadinas, Sudáfrica, T</w:t>
      </w:r>
      <w:r w:rsidR="008E4643" w:rsidRPr="008E4643">
        <w:t>ailand</w:t>
      </w:r>
      <w:r w:rsidR="008E4643">
        <w:t>ia y Trinidad y Tabago.</w:t>
      </w:r>
    </w:p>
    <w:p w:rsidR="00755E78" w:rsidRPr="009F417B" w:rsidRDefault="00755E78" w:rsidP="00755E78">
      <w:pPr>
        <w:keepNext/>
        <w:pBdr>
          <w:top w:val="single" w:sz="4" w:space="1" w:color="auto"/>
          <w:bottom w:val="single" w:sz="4" w:space="1" w:color="auto"/>
        </w:pBdr>
        <w:spacing w:before="360" w:after="200"/>
        <w:outlineLvl w:val="0"/>
        <w:rPr>
          <w:b/>
          <w:bCs/>
          <w:caps/>
          <w:kern w:val="32"/>
          <w:szCs w:val="32"/>
        </w:rPr>
      </w:pPr>
      <w:r w:rsidRPr="009F417B">
        <w:rPr>
          <w:b/>
          <w:bCs/>
          <w:caps/>
          <w:kern w:val="32"/>
          <w:szCs w:val="32"/>
        </w:rPr>
        <w:t xml:space="preserve">4 – </w:t>
      </w:r>
      <w:r w:rsidR="00ED140D">
        <w:rPr>
          <w:b/>
          <w:bCs/>
          <w:caps/>
          <w:kern w:val="32"/>
          <w:szCs w:val="32"/>
        </w:rPr>
        <w:t>DECLARACIÓN DE MOTIVOS</w:t>
      </w:r>
    </w:p>
    <w:p w:rsidR="00755E78" w:rsidRPr="003C680D" w:rsidRDefault="00370DEC" w:rsidP="00755E78">
      <w:pPr>
        <w:spacing w:after="220"/>
        <w:rPr>
          <w:b/>
          <w:u w:val="single"/>
        </w:rPr>
      </w:pPr>
      <w:r w:rsidRPr="003C680D">
        <w:rPr>
          <w:b/>
          <w:u w:val="single"/>
        </w:rPr>
        <w:t>Antecedentes</w:t>
      </w:r>
    </w:p>
    <w:p w:rsidR="00467041" w:rsidRDefault="003C680D" w:rsidP="00755E78">
      <w:pPr>
        <w:spacing w:after="220"/>
      </w:pPr>
      <w:r w:rsidRPr="003C680D">
        <w:t>La Oficina de P</w:t>
      </w:r>
      <w:r>
        <w:t>a</w:t>
      </w:r>
      <w:r w:rsidRPr="003C680D">
        <w:t>tentes y Marcas de los Estado</w:t>
      </w:r>
      <w:r>
        <w:t>s U</w:t>
      </w:r>
      <w:r w:rsidRPr="003C680D">
        <w:t>nidos de Am</w:t>
      </w:r>
      <w:r>
        <w:t xml:space="preserve">érica (USPTO) es el organismo encargado de la concesión de patentes y el registro de marcas en los </w:t>
      </w:r>
      <w:r w:rsidRPr="003C680D">
        <w:t>Estados Unidos de América</w:t>
      </w:r>
      <w:r w:rsidR="00934D76">
        <w:t>.  A</w:t>
      </w:r>
      <w:r>
        <w:t xml:space="preserve">demás de estas funciones principales, la USPTO asesora </w:t>
      </w:r>
      <w:r w:rsidR="00264BAD">
        <w:t xml:space="preserve">en materia de política, protección y observancia de los derechos de </w:t>
      </w:r>
      <w:r w:rsidR="00ED140D">
        <w:t xml:space="preserve">propiedad intelectual </w:t>
      </w:r>
      <w:r w:rsidR="00264BAD">
        <w:t>(P.I.) al</w:t>
      </w:r>
      <w:r>
        <w:t xml:space="preserve"> </w:t>
      </w:r>
      <w:r w:rsidR="00ED140D">
        <w:t xml:space="preserve">presidente </w:t>
      </w:r>
      <w:r>
        <w:t xml:space="preserve">de los </w:t>
      </w:r>
      <w:r w:rsidRPr="003C680D">
        <w:t>Estados Unidos de América</w:t>
      </w:r>
      <w:r>
        <w:t xml:space="preserve">, al </w:t>
      </w:r>
      <w:r w:rsidR="00ED140D">
        <w:t xml:space="preserve">secretario </w:t>
      </w:r>
      <w:r>
        <w:t>de Comercio y a varios organismos gubernamentales</w:t>
      </w:r>
      <w:r w:rsidR="00264BAD">
        <w:t>.</w:t>
      </w:r>
      <w:r>
        <w:t xml:space="preserve"> </w:t>
      </w:r>
      <w:r w:rsidR="00934D76">
        <w:t>L</w:t>
      </w:r>
      <w:r>
        <w:t xml:space="preserve">a Oficina también promueve una protección </w:t>
      </w:r>
      <w:r w:rsidR="00264BAD">
        <w:t xml:space="preserve">de la P.I. </w:t>
      </w:r>
      <w:r>
        <w:t>más sólida y eficaz en todo el mundo</w:t>
      </w:r>
      <w:r w:rsidR="00934D76">
        <w:t>.  L</w:t>
      </w:r>
      <w:r>
        <w:t xml:space="preserve">a USPTO persigue </w:t>
      </w:r>
      <w:r w:rsidR="00264BAD">
        <w:t xml:space="preserve">brindar </w:t>
      </w:r>
      <w:r>
        <w:t>una pro</w:t>
      </w:r>
      <w:r w:rsidR="00264BAD">
        <w:t>tección eficaz en materia de P.I</w:t>
      </w:r>
      <w:r>
        <w:t xml:space="preserve">. a los innovadores y emprendedores de los </w:t>
      </w:r>
      <w:r w:rsidRPr="003C680D">
        <w:t>Estado</w:t>
      </w:r>
      <w:r>
        <w:t>s U</w:t>
      </w:r>
      <w:r w:rsidRPr="003C680D">
        <w:t>nidos de Am</w:t>
      </w:r>
      <w:r>
        <w:t xml:space="preserve">érica </w:t>
      </w:r>
      <w:r w:rsidR="00B07D47">
        <w:t>a escala mundial</w:t>
      </w:r>
      <w:r>
        <w:t xml:space="preserve"> </w:t>
      </w:r>
      <w:r w:rsidR="00264BAD">
        <w:t>mediante propuestas para</w:t>
      </w:r>
      <w:r>
        <w:t xml:space="preserve"> la adopción de disposiciones </w:t>
      </w:r>
      <w:r w:rsidR="00264BAD">
        <w:t>sobre</w:t>
      </w:r>
      <w:r>
        <w:t xml:space="preserve"> P.I. en acuerdos internacionales y programas de instrucción, educación y creación de capacidad diseñados para fomentar el respeto a la P.I. y alentar el desarrollo de regímenes de P.I. </w:t>
      </w:r>
      <w:r w:rsidR="00467041">
        <w:t xml:space="preserve">robustos </w:t>
      </w:r>
      <w:r>
        <w:t xml:space="preserve">en los socios comerciales de los </w:t>
      </w:r>
      <w:r w:rsidRPr="003C680D">
        <w:t>Estado</w:t>
      </w:r>
      <w:r>
        <w:t>s U</w:t>
      </w:r>
      <w:r w:rsidRPr="003C680D">
        <w:t>nidos de Am</w:t>
      </w:r>
      <w:r>
        <w:t>érica</w:t>
      </w:r>
      <w:r w:rsidR="00467041">
        <w:t xml:space="preserve">. </w:t>
      </w:r>
    </w:p>
    <w:p w:rsidR="008E4643" w:rsidRDefault="00467041" w:rsidP="00755E78">
      <w:pPr>
        <w:spacing w:after="220"/>
      </w:pPr>
      <w:r>
        <w:t>La historia de la USPTO abarca más de 200 años</w:t>
      </w:r>
      <w:r w:rsidR="00934D76">
        <w:t>.  E</w:t>
      </w:r>
      <w:r>
        <w:t xml:space="preserve">n 1790 el entonces presidente George Washington estableció la primera Ley de Patentes, en virtud de la cual el </w:t>
      </w:r>
      <w:r w:rsidR="00ED140D">
        <w:t xml:space="preserve">secretario </w:t>
      </w:r>
      <w:r>
        <w:t>de Estado era el responsable de la concesión de patentes</w:t>
      </w:r>
      <w:r w:rsidR="00934D76">
        <w:t>.  E</w:t>
      </w:r>
      <w:r>
        <w:t xml:space="preserve">n breve plazo esa responsabilidad se transfirió a funcionarios del Departamento de Estado y en 1802 pasó a ser responsabilidad de un nuevo puesto de responsable </w:t>
      </w:r>
      <w:r w:rsidR="00B07D47">
        <w:t xml:space="preserve">administrativo </w:t>
      </w:r>
      <w:r>
        <w:t>en el Departamento de Estado, que se convirtió de hecho en la primera oficina de patentes</w:t>
      </w:r>
      <w:r w:rsidR="00934D76">
        <w:t>.  E</w:t>
      </w:r>
      <w:r>
        <w:t>l registro de marcas se añadió a las funciones de la oficina en 1881</w:t>
      </w:r>
      <w:r w:rsidR="00934D76">
        <w:t>.  E</w:t>
      </w:r>
      <w:r>
        <w:t xml:space="preserve">l 31 de julio de 1790, los Estados Unidos concedieron su primera patente, que fue firmada por el entonces </w:t>
      </w:r>
      <w:r w:rsidR="00ED140D">
        <w:t xml:space="preserve">presidente </w:t>
      </w:r>
      <w:r w:rsidRPr="00467041">
        <w:t>George Washington</w:t>
      </w:r>
      <w:r>
        <w:t xml:space="preserve">. </w:t>
      </w:r>
    </w:p>
    <w:p w:rsidR="00467041" w:rsidRDefault="00467041" w:rsidP="00755E78">
      <w:pPr>
        <w:spacing w:after="220"/>
      </w:pPr>
      <w:r>
        <w:t xml:space="preserve">La industria </w:t>
      </w:r>
      <w:r w:rsidR="00ED140D">
        <w:t>estadounidense floreció en el marco de es</w:t>
      </w:r>
      <w:r>
        <w:t xml:space="preserve">e sistema de protección de la propiedad intelectual.  </w:t>
      </w:r>
      <w:r w:rsidR="009B6F74">
        <w:t xml:space="preserve">Se han inventado nuevos productos, se han descubierto nuevos usos para invenciones existentes y se han creado oportunidades de empleo para millones de </w:t>
      </w:r>
      <w:r w:rsidR="00ED140D">
        <w:t>estadounidenses</w:t>
      </w:r>
      <w:r w:rsidR="00934D76">
        <w:t>.  L</w:t>
      </w:r>
      <w:r w:rsidR="009B6F74">
        <w:t xml:space="preserve">a fortaleza y vitalidad de la economía de los Estados Unidos de América dependen de forma directa de la existencia de mecanismos eficaces para proteger las nuevas ideas y las inversiones en innovación y creatividad. </w:t>
      </w:r>
      <w:r w:rsidR="00F51E2C">
        <w:t>L</w:t>
      </w:r>
      <w:r w:rsidR="009B6F74">
        <w:t xml:space="preserve">a demanda </w:t>
      </w:r>
      <w:r w:rsidR="00FE08FB">
        <w:t xml:space="preserve">permanente </w:t>
      </w:r>
      <w:r w:rsidR="009B6F74">
        <w:t xml:space="preserve">de patentes y de marcas subraya </w:t>
      </w:r>
      <w:r w:rsidR="00F51E2C">
        <w:t>el ingenio</w:t>
      </w:r>
      <w:r w:rsidR="009B6F74">
        <w:t xml:space="preserve"> de los inventores </w:t>
      </w:r>
      <w:r w:rsidR="00ED140D">
        <w:t>estadounidenses</w:t>
      </w:r>
      <w:r w:rsidR="00934D76">
        <w:t>.  L</w:t>
      </w:r>
      <w:r w:rsidR="009B6F74">
        <w:t xml:space="preserve">a USPTO está </w:t>
      </w:r>
      <w:r w:rsidR="00F51E2C">
        <w:t>a</w:t>
      </w:r>
      <w:r w:rsidR="009B6F74">
        <w:t xml:space="preserve"> la vanguardia del progreso y los logros tecnológicos de la nación. </w:t>
      </w:r>
      <w:r w:rsidR="00FE08FB">
        <w:t xml:space="preserve"> </w:t>
      </w:r>
    </w:p>
    <w:p w:rsidR="009B6F74" w:rsidRDefault="00ED7EB5" w:rsidP="00755E78">
      <w:pPr>
        <w:spacing w:after="220"/>
      </w:pPr>
      <w:r w:rsidRPr="00ED7EB5">
        <w:lastRenderedPageBreak/>
        <w:t xml:space="preserve">El informe </w:t>
      </w:r>
      <w:proofErr w:type="spellStart"/>
      <w:r w:rsidRPr="00ED7EB5">
        <w:rPr>
          <w:i/>
        </w:rPr>
        <w:t>Intellectual</w:t>
      </w:r>
      <w:proofErr w:type="spellEnd"/>
      <w:r w:rsidRPr="00ED7EB5">
        <w:rPr>
          <w:i/>
        </w:rPr>
        <w:t xml:space="preserve"> </w:t>
      </w:r>
      <w:proofErr w:type="spellStart"/>
      <w:r w:rsidRPr="00ED7EB5">
        <w:rPr>
          <w:i/>
        </w:rPr>
        <w:t>Property</w:t>
      </w:r>
      <w:proofErr w:type="spellEnd"/>
      <w:r w:rsidRPr="00ED7EB5">
        <w:rPr>
          <w:i/>
        </w:rPr>
        <w:t xml:space="preserve"> and </w:t>
      </w:r>
      <w:proofErr w:type="spellStart"/>
      <w:r w:rsidRPr="00ED7EB5">
        <w:rPr>
          <w:i/>
        </w:rPr>
        <w:t>the</w:t>
      </w:r>
      <w:proofErr w:type="spellEnd"/>
      <w:r w:rsidRPr="00ED7EB5">
        <w:rPr>
          <w:i/>
        </w:rPr>
        <w:t xml:space="preserve"> U.S. </w:t>
      </w:r>
      <w:proofErr w:type="spellStart"/>
      <w:r w:rsidRPr="00ED7EB5">
        <w:rPr>
          <w:i/>
        </w:rPr>
        <w:t>Economy</w:t>
      </w:r>
      <w:proofErr w:type="spellEnd"/>
      <w:proofErr w:type="gramStart"/>
      <w:r w:rsidRPr="00ED7EB5">
        <w:rPr>
          <w:i/>
        </w:rPr>
        <w:t>:  Industries</w:t>
      </w:r>
      <w:proofErr w:type="gramEnd"/>
      <w:r w:rsidRPr="00ED7EB5">
        <w:rPr>
          <w:i/>
        </w:rPr>
        <w:t xml:space="preserve"> in </w:t>
      </w:r>
      <w:proofErr w:type="spellStart"/>
      <w:r w:rsidRPr="00ED7EB5">
        <w:rPr>
          <w:i/>
        </w:rPr>
        <w:t>Focus</w:t>
      </w:r>
      <w:proofErr w:type="spellEnd"/>
      <w:r w:rsidRPr="00ED7EB5">
        <w:rPr>
          <w:i/>
        </w:rPr>
        <w:t xml:space="preserve"> </w:t>
      </w:r>
      <w:r w:rsidRPr="00ED7EB5">
        <w:t xml:space="preserve">publicado en 2012 y elaborado por la </w:t>
      </w:r>
      <w:r>
        <w:t xml:space="preserve">Administración de Economía y Estadística y la USPTO identificó industrias intensivas en términos de P.I. y cuantificó su contribución a la economía de los </w:t>
      </w:r>
      <w:r w:rsidRPr="00ED7EB5">
        <w:t>Estados Unidos de América</w:t>
      </w:r>
      <w:r>
        <w:t xml:space="preserve">. </w:t>
      </w:r>
      <w:r w:rsidR="00ED140D">
        <w:t xml:space="preserve"> </w:t>
      </w:r>
      <w:r>
        <w:t>Concluyó que en 2010, las industrias intensivas en P.I. sostenían más de 40 millones de empleos</w:t>
      </w:r>
      <w:r w:rsidR="00F51E2C">
        <w:t xml:space="preserve">, generando un valor añadido de </w:t>
      </w:r>
      <w:r>
        <w:t>5,06 billones de dólares de los Estados Unidos de América, equi</w:t>
      </w:r>
      <w:r w:rsidR="004872D8">
        <w:t xml:space="preserve">valente al </w:t>
      </w:r>
      <w:r>
        <w:t>34,8 por ciento del PIB de</w:t>
      </w:r>
      <w:r w:rsidR="00BE7F85">
        <w:t>l país</w:t>
      </w:r>
      <w:r w:rsidR="00934D76">
        <w:t>.  L</w:t>
      </w:r>
      <w:r w:rsidR="004872D8">
        <w:t xml:space="preserve">a revisión actual del informe </w:t>
      </w:r>
      <w:r w:rsidR="00F51E2C">
        <w:t>ofrece</w:t>
      </w:r>
      <w:r w:rsidR="004872D8">
        <w:t xml:space="preserve"> resultados actualizados que muestran que las industrias intensivas en P.I. sostienen 45,5 millones de empleos y </w:t>
      </w:r>
      <w:r w:rsidR="00F51E2C">
        <w:t>han contribuido</w:t>
      </w:r>
      <w:r w:rsidR="004872D8">
        <w:t xml:space="preserve"> con </w:t>
      </w:r>
      <w:r w:rsidR="00F51E2C">
        <w:t xml:space="preserve">un valor añadido de </w:t>
      </w:r>
      <w:r w:rsidR="004872D8">
        <w:t>6,6 billones de dólares de los Estados Unidos de Amér</w:t>
      </w:r>
      <w:r w:rsidR="00BE7F85">
        <w:t>ica, equivalente al 38,2</w:t>
      </w:r>
      <w:r w:rsidR="00ED2065">
        <w:t>%</w:t>
      </w:r>
      <w:r w:rsidR="00BE7F85">
        <w:t xml:space="preserve"> del PIB</w:t>
      </w:r>
      <w:r w:rsidR="00934D76">
        <w:t>.  L</w:t>
      </w:r>
      <w:r w:rsidR="00BE7F85">
        <w:t xml:space="preserve">a actualización de 2016 de este informe refuerza las conclusiones anteriores en el sentido de que el uso de la P.I. alcanza todos los </w:t>
      </w:r>
      <w:r w:rsidR="00F51E2C">
        <w:t>ámbitos</w:t>
      </w:r>
      <w:r w:rsidR="00BE7F85">
        <w:t xml:space="preserve"> de la economía con una intensidad crecie</w:t>
      </w:r>
      <w:r w:rsidR="00F51E2C">
        <w:t>nte y se extiende por todo</w:t>
      </w:r>
      <w:r w:rsidR="00BE7F85">
        <w:t xml:space="preserve"> Estados Unidos de América.</w:t>
      </w:r>
    </w:p>
    <w:p w:rsidR="00BE7F85" w:rsidRDefault="00BE7F85" w:rsidP="00755E78">
      <w:pPr>
        <w:spacing w:after="220"/>
      </w:pPr>
      <w:r>
        <w:t>La sede de la USPTO ocupa cinco edificios interconectados</w:t>
      </w:r>
      <w:r w:rsidR="00440DC5">
        <w:t>,</w:t>
      </w:r>
      <w:r>
        <w:t xml:space="preserve"> ubicados en </w:t>
      </w:r>
      <w:proofErr w:type="spellStart"/>
      <w:r w:rsidRPr="00BE7F85">
        <w:t>Dulany</w:t>
      </w:r>
      <w:proofErr w:type="spellEnd"/>
      <w:r w:rsidRPr="00BE7F85">
        <w:t xml:space="preserve"> Street, Alexandria, Virginia</w:t>
      </w:r>
      <w:r w:rsidR="00440DC5">
        <w:t>,</w:t>
      </w:r>
      <w:r w:rsidRPr="00BE7F85">
        <w:t xml:space="preserve"> </w:t>
      </w:r>
      <w:r>
        <w:t xml:space="preserve">así como otros edificios en el área de </w:t>
      </w:r>
      <w:r w:rsidRPr="00BE7F85">
        <w:t>Washington, D.C</w:t>
      </w:r>
      <w:r w:rsidR="00934D76">
        <w:t>.  L</w:t>
      </w:r>
      <w:r>
        <w:t xml:space="preserve">a </w:t>
      </w:r>
      <w:r w:rsidR="00ED2065">
        <w:t xml:space="preserve">Oficina </w:t>
      </w:r>
      <w:r>
        <w:t>emplea a más de 10.000 personas, incluidos ingenieros, c</w:t>
      </w:r>
      <w:r w:rsidR="00440DC5">
        <w:t>ientíficos, abogados, analistas y</w:t>
      </w:r>
      <w:r>
        <w:t xml:space="preserve"> especialistas en computación, todos ellos dedicados a la protección de los derechos de propiedad intelectual de los Estados Unidos de América.</w:t>
      </w:r>
    </w:p>
    <w:p w:rsidR="00BE7F85" w:rsidRDefault="00BE7F85" w:rsidP="00755E78">
      <w:pPr>
        <w:spacing w:after="220"/>
      </w:pPr>
      <w:r>
        <w:t xml:space="preserve">Cuando el entonces </w:t>
      </w:r>
      <w:r w:rsidR="00ED2065">
        <w:t xml:space="preserve">presidente </w:t>
      </w:r>
      <w:r>
        <w:t xml:space="preserve">Obama firmó la </w:t>
      </w:r>
      <w:r w:rsidRPr="00BE7F85">
        <w:t xml:space="preserve">Ley sobre la promoción de las invenciones (América </w:t>
      </w:r>
      <w:proofErr w:type="spellStart"/>
      <w:r w:rsidRPr="00BE7F85">
        <w:t>Invents</w:t>
      </w:r>
      <w:proofErr w:type="spellEnd"/>
      <w:r w:rsidRPr="00BE7F85">
        <w:t xml:space="preserve"> </w:t>
      </w:r>
      <w:proofErr w:type="spellStart"/>
      <w:r w:rsidRPr="00BE7F85">
        <w:t>Act</w:t>
      </w:r>
      <w:proofErr w:type="spellEnd"/>
      <w:r w:rsidRPr="00BE7F85">
        <w:t>)</w:t>
      </w:r>
      <w:r>
        <w:t xml:space="preserve"> </w:t>
      </w:r>
      <w:r w:rsidR="00531DF9">
        <w:t>en 2011, la USPTO fue autorizada a abrir al menos tres oficinas regionales</w:t>
      </w:r>
      <w:r w:rsidR="00934D76">
        <w:t>.  L</w:t>
      </w:r>
      <w:r w:rsidR="00531DF9">
        <w:t xml:space="preserve">a primera de ellas, la oficina </w:t>
      </w:r>
      <w:proofErr w:type="spellStart"/>
      <w:r w:rsidR="00531DF9" w:rsidRPr="00531DF9">
        <w:t>Elijah</w:t>
      </w:r>
      <w:proofErr w:type="spellEnd"/>
      <w:r w:rsidR="00531DF9" w:rsidRPr="00531DF9">
        <w:t xml:space="preserve"> J. </w:t>
      </w:r>
      <w:proofErr w:type="spellStart"/>
      <w:r w:rsidR="00531DF9" w:rsidRPr="00531DF9">
        <w:t>McCoy</w:t>
      </w:r>
      <w:proofErr w:type="spellEnd"/>
      <w:r w:rsidR="00531DF9" w:rsidRPr="00531DF9">
        <w:t xml:space="preserve"> </w:t>
      </w:r>
      <w:r w:rsidR="00531DF9">
        <w:t>en</w:t>
      </w:r>
      <w:r w:rsidR="00531DF9" w:rsidRPr="00531DF9">
        <w:t xml:space="preserve"> Detroit, </w:t>
      </w:r>
      <w:r w:rsidR="00531DF9">
        <w:t>se abrió en</w:t>
      </w:r>
      <w:r w:rsidR="00531DF9" w:rsidRPr="00531DF9">
        <w:t xml:space="preserve"> 2012.  La oficina de la Región de las Montañas Rocosas se abri</w:t>
      </w:r>
      <w:r w:rsidR="00440DC5">
        <w:t>ó en 2014 en</w:t>
      </w:r>
      <w:r w:rsidR="00531DF9" w:rsidRPr="00531DF9">
        <w:t xml:space="preserve"> </w:t>
      </w:r>
      <w:r w:rsidR="00531DF9">
        <w:t>Denver, Colorado</w:t>
      </w:r>
      <w:r w:rsidR="00531DF9" w:rsidRPr="00531DF9">
        <w:t xml:space="preserve">.  La oficina de </w:t>
      </w:r>
      <w:proofErr w:type="spellStart"/>
      <w:r w:rsidR="00531DF9" w:rsidRPr="00531DF9">
        <w:t>Silicon</w:t>
      </w:r>
      <w:proofErr w:type="spellEnd"/>
      <w:r w:rsidR="00531DF9" w:rsidRPr="00531DF9">
        <w:t xml:space="preserve"> Valley se abrió en San Jos</w:t>
      </w:r>
      <w:r w:rsidR="00ED2065">
        <w:t>é</w:t>
      </w:r>
      <w:r w:rsidR="00531DF9" w:rsidRPr="00531DF9">
        <w:t xml:space="preserve">, California, en octubre de 2015, </w:t>
      </w:r>
      <w:r w:rsidR="00531DF9">
        <w:t xml:space="preserve">y atiende a la región de la Costa Oeste. </w:t>
      </w:r>
      <w:r w:rsidR="00531DF9" w:rsidRPr="00531DF9">
        <w:t xml:space="preserve"> La oficina regional de Texas se </w:t>
      </w:r>
      <w:r w:rsidR="00F55A46">
        <w:t>abrió en Dallas en noviembre de </w:t>
      </w:r>
      <w:r w:rsidR="00531DF9" w:rsidRPr="00531DF9">
        <w:t>2015 y atiende a</w:t>
      </w:r>
      <w:r w:rsidR="00D700DD">
        <w:t>l</w:t>
      </w:r>
      <w:r w:rsidR="00531DF9" w:rsidRPr="00531DF9">
        <w:t xml:space="preserve"> sur y sudoeste de los Estados Unidos de Amér</w:t>
      </w:r>
      <w:r w:rsidR="00531DF9">
        <w:t>ica.</w:t>
      </w:r>
    </w:p>
    <w:p w:rsidR="00531DF9" w:rsidRDefault="00531DF9" w:rsidP="00755E78">
      <w:pPr>
        <w:spacing w:after="220"/>
      </w:pPr>
      <w:r>
        <w:t xml:space="preserve">Nuestras oficinas regionales </w:t>
      </w:r>
      <w:r w:rsidR="00D700DD">
        <w:t>ofrecen</w:t>
      </w:r>
      <w:r>
        <w:t xml:space="preserve"> a los inventores, emprendedores y pequeñas empresas el beneficio añadido de la presencia de la USPTO en casi todas las zonas horarias de los Estados Unidos de América</w:t>
      </w:r>
      <w:r w:rsidR="00934D76">
        <w:t>.  E</w:t>
      </w:r>
      <w:r>
        <w:t>l personal de las oficinas puede trabajar estrechamente con servicios de propiedad intelectual, empresas emergentes y aceleradores de creación de puestos de trabajo en sus respectivas regiones. Colaboran con organizaciones científicas, tecnológicas, de ingeniería y matemáticas para dar un mayor alcance a la misión de la oficina.</w:t>
      </w:r>
    </w:p>
    <w:p w:rsidR="00BE7F85" w:rsidRPr="00531DF9" w:rsidRDefault="00531DF9" w:rsidP="00755E78">
      <w:pPr>
        <w:spacing w:after="220"/>
      </w:pPr>
      <w:r>
        <w:t>La estructura de la USPTO incluye numerosas organizaciones con responsabilidades</w:t>
      </w:r>
      <w:r w:rsidR="00D700DD">
        <w:t xml:space="preserve"> muy variadas</w:t>
      </w:r>
      <w:r w:rsidR="00934D76">
        <w:t>.  A</w:t>
      </w:r>
      <w:r>
        <w:t>lgunas de ellas son las siguientes:</w:t>
      </w:r>
    </w:p>
    <w:p w:rsidR="00755E78" w:rsidRPr="00531DF9" w:rsidRDefault="00531DF9" w:rsidP="00755E78">
      <w:pPr>
        <w:spacing w:after="220"/>
      </w:pPr>
      <w:r w:rsidRPr="00531DF9">
        <w:t>La</w:t>
      </w:r>
      <w:r w:rsidR="00755E78" w:rsidRPr="00531DF9">
        <w:t xml:space="preserve"> </w:t>
      </w:r>
      <w:r>
        <w:rPr>
          <w:u w:val="single"/>
        </w:rPr>
        <w:t>Oficina del S</w:t>
      </w:r>
      <w:r w:rsidRPr="00531DF9">
        <w:rPr>
          <w:u w:val="single"/>
        </w:rPr>
        <w:t>ubsecretario y Dir</w:t>
      </w:r>
      <w:r>
        <w:rPr>
          <w:u w:val="single"/>
        </w:rPr>
        <w:t>ector</w:t>
      </w:r>
    </w:p>
    <w:p w:rsidR="00B001A5" w:rsidRDefault="00B001A5" w:rsidP="00755E78">
      <w:pPr>
        <w:spacing w:after="220"/>
      </w:pPr>
      <w:r>
        <w:t xml:space="preserve">Esta Oficina es </w:t>
      </w:r>
      <w:r w:rsidR="00ED2065">
        <w:t xml:space="preserve">la </w:t>
      </w:r>
      <w:r>
        <w:t xml:space="preserve">principal </w:t>
      </w:r>
      <w:r w:rsidR="00ED2065">
        <w:t xml:space="preserve">fuente de asesoramiento </w:t>
      </w:r>
      <w:r>
        <w:t xml:space="preserve">del </w:t>
      </w:r>
      <w:r w:rsidR="00ED2065">
        <w:t>presidente</w:t>
      </w:r>
      <w:r>
        <w:t xml:space="preserve">, </w:t>
      </w:r>
      <w:r w:rsidR="00D700DD">
        <w:t>d</w:t>
      </w:r>
      <w:r>
        <w:t xml:space="preserve">el </w:t>
      </w:r>
      <w:r w:rsidR="00ED2065">
        <w:t xml:space="preserve">secretario </w:t>
      </w:r>
      <w:r>
        <w:t xml:space="preserve">de Comercio y </w:t>
      </w:r>
      <w:r w:rsidR="00D700DD">
        <w:t xml:space="preserve">de </w:t>
      </w:r>
      <w:r>
        <w:t xml:space="preserve">la Administración </w:t>
      </w:r>
      <w:r w:rsidR="00D700DD">
        <w:t>en</w:t>
      </w:r>
      <w:r>
        <w:t xml:space="preserve"> todos los asuntos relacionados con la propiedad intelectual</w:t>
      </w:r>
      <w:r w:rsidR="00934D76">
        <w:t>.  L</w:t>
      </w:r>
      <w:r>
        <w:t xml:space="preserve">a Oficina del Subsecretario supervisa todas las oficinas de la USPTO para garantizar que el organismo logra sus objetivos estratégicos y de gestión, incluida la calidad, el cumplimiento de los plazos establecidos, la eficiencia económica y la transparencia.  </w:t>
      </w:r>
    </w:p>
    <w:p w:rsidR="00755E78" w:rsidRPr="00B001A5" w:rsidRDefault="00B001A5" w:rsidP="00755E78">
      <w:pPr>
        <w:spacing w:after="220"/>
      </w:pPr>
      <w:r w:rsidRPr="00B001A5">
        <w:t>La</w:t>
      </w:r>
      <w:r w:rsidR="00755E78" w:rsidRPr="00B001A5">
        <w:t xml:space="preserve"> </w:t>
      </w:r>
      <w:r w:rsidRPr="00B001A5">
        <w:rPr>
          <w:u w:val="single"/>
        </w:rPr>
        <w:t xml:space="preserve">Oficina del Comisionado </w:t>
      </w:r>
      <w:r>
        <w:rPr>
          <w:u w:val="single"/>
        </w:rPr>
        <w:t xml:space="preserve">de </w:t>
      </w:r>
      <w:r w:rsidR="006836A2">
        <w:rPr>
          <w:u w:val="single"/>
        </w:rPr>
        <w:t>P</w:t>
      </w:r>
      <w:r w:rsidRPr="00B001A5">
        <w:rPr>
          <w:u w:val="single"/>
        </w:rPr>
        <w:t>atentes</w:t>
      </w:r>
      <w:r w:rsidR="00755E78" w:rsidRPr="00B001A5">
        <w:rPr>
          <w:u w:val="single"/>
        </w:rPr>
        <w:t xml:space="preserve"> </w:t>
      </w:r>
    </w:p>
    <w:p w:rsidR="00B001A5" w:rsidRDefault="006836A2" w:rsidP="00755E78">
      <w:pPr>
        <w:spacing w:after="220"/>
      </w:pPr>
      <w:r>
        <w:t xml:space="preserve">La </w:t>
      </w:r>
      <w:r w:rsidRPr="006836A2">
        <w:t>Oficina</w:t>
      </w:r>
      <w:r>
        <w:t xml:space="preserve"> del Comisionado de Patentes de la USPTO examina las solicitudes y concede las patentes a invenciones cuando los solicitantes </w:t>
      </w:r>
      <w:r w:rsidR="00D700DD">
        <w:t>tienen</w:t>
      </w:r>
      <w:r>
        <w:t xml:space="preserve"> derecho a las mismas; </w:t>
      </w:r>
      <w:r w:rsidR="00ED2065">
        <w:t xml:space="preserve"> </w:t>
      </w:r>
      <w:r>
        <w:t>publica y difunde i</w:t>
      </w:r>
      <w:r w:rsidR="00D700DD">
        <w:t>nformación de patentes, registra</w:t>
      </w:r>
      <w:r>
        <w:t xml:space="preserve"> las concesiones de patentes, mantiene ficheros de búsqueda de patentes de los Estados Unidos de América y del extranjero, y </w:t>
      </w:r>
      <w:r w:rsidR="00D700DD">
        <w:t>dispone de</w:t>
      </w:r>
      <w:r>
        <w:t xml:space="preserve"> una sala de búsquedas de uso público para el examen de patentes concedidas y de expedientes.</w:t>
      </w:r>
    </w:p>
    <w:p w:rsidR="00755E78" w:rsidRPr="006836A2" w:rsidRDefault="006836A2" w:rsidP="00A06C8B">
      <w:pPr>
        <w:keepNext/>
        <w:keepLines/>
        <w:spacing w:after="220"/>
        <w:rPr>
          <w:u w:val="single"/>
        </w:rPr>
      </w:pPr>
      <w:r>
        <w:lastRenderedPageBreak/>
        <w:t>La</w:t>
      </w:r>
      <w:r w:rsidR="00755E78" w:rsidRPr="006836A2">
        <w:t xml:space="preserve"> </w:t>
      </w:r>
      <w:r w:rsidRPr="006836A2">
        <w:rPr>
          <w:u w:val="single"/>
        </w:rPr>
        <w:t>Comisión de Audiencias y Recursos en materia de Patentes (PTAB)</w:t>
      </w:r>
    </w:p>
    <w:p w:rsidR="00755E78" w:rsidRPr="006836A2" w:rsidRDefault="006836A2" w:rsidP="00A06C8B">
      <w:pPr>
        <w:keepNext/>
        <w:keepLines/>
        <w:spacing w:after="220"/>
      </w:pPr>
      <w:r w:rsidRPr="006836A2">
        <w:t>La Comisión de Audiencias y Recursos en materia de Patentes (PTAB)</w:t>
      </w:r>
      <w:r>
        <w:t xml:space="preserve"> ha sido creada por ley y está dotada de </w:t>
      </w:r>
      <w:r w:rsidRPr="006836A2">
        <w:t>jueces administrativos especializados en patentes</w:t>
      </w:r>
      <w:r w:rsidR="00755E78" w:rsidRPr="006836A2">
        <w:t xml:space="preserve">.  </w:t>
      </w:r>
      <w:r w:rsidRPr="006836A2">
        <w:t>La</w:t>
      </w:r>
      <w:r w:rsidR="00755E78" w:rsidRPr="006836A2">
        <w:t xml:space="preserve"> PTAB </w:t>
      </w:r>
      <w:r>
        <w:t xml:space="preserve">está </w:t>
      </w:r>
      <w:r w:rsidRPr="006836A2">
        <w:t>encargada de dictar resoluciones sobre recursos por decision</w:t>
      </w:r>
      <w:r>
        <w:t>e</w:t>
      </w:r>
      <w:r w:rsidRPr="006836A2">
        <w:t xml:space="preserve">s adversas de examinadores, </w:t>
      </w:r>
      <w:r>
        <w:t>mediante</w:t>
      </w:r>
      <w:r w:rsidRPr="006836A2">
        <w:t xml:space="preserve"> procedim</w:t>
      </w:r>
      <w:r>
        <w:t>ientos posteri</w:t>
      </w:r>
      <w:r w:rsidRPr="006836A2">
        <w:t>o</w:t>
      </w:r>
      <w:r>
        <w:t>r</w:t>
      </w:r>
      <w:r w:rsidRPr="006836A2">
        <w:t>es a la concesi</w:t>
      </w:r>
      <w:r>
        <w:t>ón</w:t>
      </w:r>
      <w:r w:rsidR="002D1289">
        <w:t xml:space="preserve">, realizando </w:t>
      </w:r>
      <w:r w:rsidRPr="006836A2">
        <w:t>procedimiento</w:t>
      </w:r>
      <w:r>
        <w:t>s</w:t>
      </w:r>
      <w:r w:rsidRPr="006836A2">
        <w:t xml:space="preserve"> de derivaci</w:t>
      </w:r>
      <w:r>
        <w:t>ón y otras tareas</w:t>
      </w:r>
      <w:r w:rsidR="00755E78" w:rsidRPr="006836A2">
        <w:t xml:space="preserve">. </w:t>
      </w:r>
    </w:p>
    <w:p w:rsidR="00755E78" w:rsidRPr="00F06680" w:rsidRDefault="00F06680" w:rsidP="00755E78">
      <w:pPr>
        <w:spacing w:after="220"/>
        <w:rPr>
          <w:b/>
        </w:rPr>
      </w:pPr>
      <w:r w:rsidRPr="00F06680">
        <w:rPr>
          <w:b/>
        </w:rPr>
        <w:t xml:space="preserve">Papel en el </w:t>
      </w:r>
      <w:r w:rsidR="00ED2065" w:rsidRPr="00F06680">
        <w:rPr>
          <w:b/>
        </w:rPr>
        <w:t xml:space="preserve">Sistema </w:t>
      </w:r>
      <w:r>
        <w:rPr>
          <w:b/>
        </w:rPr>
        <w:t>del PCT</w:t>
      </w:r>
    </w:p>
    <w:p w:rsidR="00F911A5" w:rsidRDefault="002114DB" w:rsidP="00755E78">
      <w:pPr>
        <w:spacing w:after="220"/>
      </w:pPr>
      <w:r>
        <w:t xml:space="preserve">El Tratado de Cooperación en materia de Patentes (PCT) proporciona a los solicitantes que </w:t>
      </w:r>
      <w:r w:rsidR="009A0008">
        <w:t xml:space="preserve">demandan protección por patente de una invención </w:t>
      </w:r>
      <w:r w:rsidR="00F911A5">
        <w:t xml:space="preserve">la posibilidad de protección </w:t>
      </w:r>
      <w:r w:rsidR="009A0008">
        <w:t>simultánea</w:t>
      </w:r>
      <w:r w:rsidR="00F911A5">
        <w:t xml:space="preserve"> e</w:t>
      </w:r>
      <w:r w:rsidR="009A0008">
        <w:t xml:space="preserve">n </w:t>
      </w:r>
      <w:r w:rsidR="000F2788">
        <w:t>numerosas</w:t>
      </w:r>
      <w:r w:rsidR="009A0008">
        <w:t xml:space="preserve"> jurisdicciones </w:t>
      </w:r>
      <w:r w:rsidR="00F911A5">
        <w:t>mediante una</w:t>
      </w:r>
      <w:r w:rsidR="009A0008">
        <w:t xml:space="preserve"> única solicitud de patente “internacional”</w:t>
      </w:r>
      <w:r w:rsidR="00934D76">
        <w:t>.  L</w:t>
      </w:r>
      <w:r w:rsidR="000F2788">
        <w:t xml:space="preserve">a USPTO actúa actualmente como </w:t>
      </w:r>
      <w:r w:rsidR="000F2788" w:rsidRPr="000F2788">
        <w:t>Administración encargad</w:t>
      </w:r>
      <w:r w:rsidR="000F2788">
        <w:t xml:space="preserve">a de la búsqueda internacional </w:t>
      </w:r>
      <w:r w:rsidR="000F2788" w:rsidRPr="000F2788">
        <w:t>y Administración encargada del examen preliminar internacional</w:t>
      </w:r>
      <w:r w:rsidR="000F2788">
        <w:t xml:space="preserve"> (ISA/ISPEA) </w:t>
      </w:r>
      <w:r w:rsidR="00F911A5">
        <w:t xml:space="preserve">en virtud de </w:t>
      </w:r>
      <w:r w:rsidR="002D1289">
        <w:t>u</w:t>
      </w:r>
      <w:r w:rsidR="00F911A5">
        <w:t>n acuerdo entre la USPTO y la Oficina Internacional de la OMPI</w:t>
      </w:r>
      <w:r w:rsidR="00755E78" w:rsidRPr="00755E78">
        <w:rPr>
          <w:szCs w:val="22"/>
          <w:vertAlign w:val="superscript"/>
          <w:lang w:val="en-US"/>
        </w:rPr>
        <w:footnoteReference w:id="3"/>
      </w:r>
      <w:r w:rsidR="00755E78" w:rsidRPr="00F911A5">
        <w:t xml:space="preserve">.  </w:t>
      </w:r>
      <w:r w:rsidR="003F610F">
        <w:t>El acuerdo de </w:t>
      </w:r>
      <w:r w:rsidR="00F911A5" w:rsidRPr="00F911A5">
        <w:t>2007 entró en vigor el 1 d</w:t>
      </w:r>
      <w:r w:rsidR="002D1289">
        <w:t>e</w:t>
      </w:r>
      <w:r w:rsidR="00F911A5" w:rsidRPr="00F911A5">
        <w:t xml:space="preserve"> enero de 2008 </w:t>
      </w:r>
      <w:r w:rsidR="00F911A5">
        <w:t xml:space="preserve">y finaliza el 31 de diciembre de 2017, </w:t>
      </w:r>
      <w:r w:rsidR="005468F1">
        <w:t>cuando concluya</w:t>
      </w:r>
      <w:r w:rsidR="00F911A5">
        <w:t xml:space="preserve"> el actual periodo de 10 años. </w:t>
      </w:r>
    </w:p>
    <w:p w:rsidR="00F911A5" w:rsidRDefault="00F911A5" w:rsidP="00755E78">
      <w:pPr>
        <w:spacing w:after="220"/>
      </w:pPr>
      <w:r>
        <w:t xml:space="preserve">Las principales funciones de la USPTO cuando actúa como ISA son el establecimiento de 1) informes de búsqueda internacional, y 2) opiniones escritas relativas a solicitudes internacionales con fecha de presentación </w:t>
      </w:r>
      <w:r w:rsidR="002D1289">
        <w:t>d</w:t>
      </w:r>
      <w:r>
        <w:t>el 1 de enero de 2004 o posterior</w:t>
      </w:r>
      <w:r w:rsidR="00934D76">
        <w:t>.  E</w:t>
      </w:r>
      <w:r>
        <w:t>stas funciones se definen en el Artículo 16 del PCT y en las Reglas 43 y 43</w:t>
      </w:r>
      <w:r w:rsidRPr="002D1289">
        <w:rPr>
          <w:i/>
        </w:rPr>
        <w:t>bis</w:t>
      </w:r>
      <w:r>
        <w:t xml:space="preserve"> del PCT. </w:t>
      </w:r>
    </w:p>
    <w:p w:rsidR="00F911A5" w:rsidRDefault="00F911A5" w:rsidP="00755E78">
      <w:pPr>
        <w:spacing w:after="220"/>
      </w:pPr>
      <w:r>
        <w:t>Cuando actúa como IPEA, la funci</w:t>
      </w:r>
      <w:r w:rsidR="002D1289">
        <w:t xml:space="preserve">ón </w:t>
      </w:r>
      <w:r>
        <w:t xml:space="preserve">de la oficina </w:t>
      </w:r>
      <w:r w:rsidR="002D1289">
        <w:t>es</w:t>
      </w:r>
      <w:r>
        <w:t xml:space="preserve"> </w:t>
      </w:r>
      <w:r w:rsidR="00272AFA">
        <w:t>la emisión de informes examen preliminar internacional, tal como se define en el Artículo 32 del PCT y en la Regla 66 del PCT.</w:t>
      </w:r>
    </w:p>
    <w:p w:rsidR="00272AFA" w:rsidRDefault="002D1289" w:rsidP="00755E78">
      <w:pPr>
        <w:spacing w:after="220"/>
      </w:pPr>
      <w:r>
        <w:t>La actuación</w:t>
      </w:r>
      <w:r w:rsidR="00272AFA">
        <w:t xml:space="preserve"> de la USPTO como ISA/IPEA del PCT es de gran importancia para los Estados Unidos de América y para los solicitantes extranjeros, tal como demuestra el elevado nivel de uso de los servicios ISA/IPEA de la USPTO</w:t>
      </w:r>
      <w:r w:rsidR="00934D76">
        <w:t>.  D</w:t>
      </w:r>
      <w:r w:rsidR="00272AFA">
        <w:t xml:space="preserve">urante el ejercicio </w:t>
      </w:r>
      <w:r w:rsidR="005468F1">
        <w:t>económico</w:t>
      </w:r>
      <w:r w:rsidR="00272AFA">
        <w:t xml:space="preserve"> de 2016, la USPTO </w:t>
      </w:r>
      <w:r>
        <w:t>elaboró</w:t>
      </w:r>
      <w:r w:rsidR="00272AFA">
        <w:t xml:space="preserve"> más de 21.000 informes de búsqueda internacional y más de 1.200 informes de examen  preliminar internacional. </w:t>
      </w:r>
    </w:p>
    <w:p w:rsidR="00272AFA" w:rsidRDefault="00272AFA" w:rsidP="00755E78">
      <w:pPr>
        <w:spacing w:after="220"/>
      </w:pPr>
      <w:r>
        <w:t xml:space="preserve">La USPTO ha sido muy activa en el </w:t>
      </w:r>
      <w:r w:rsidR="005468F1">
        <w:t xml:space="preserve">Sistema </w:t>
      </w:r>
      <w:r>
        <w:t xml:space="preserve">del PCT en su conjunto.  Tal como se recoge en el </w:t>
      </w:r>
      <w:r w:rsidRPr="00272AFA">
        <w:rPr>
          <w:i/>
        </w:rPr>
        <w:t xml:space="preserve">Performance and </w:t>
      </w:r>
      <w:proofErr w:type="spellStart"/>
      <w:r w:rsidRPr="00272AFA">
        <w:rPr>
          <w:i/>
        </w:rPr>
        <w:t>Accountability</w:t>
      </w:r>
      <w:proofErr w:type="spellEnd"/>
      <w:r w:rsidRPr="00272AFA">
        <w:rPr>
          <w:i/>
        </w:rPr>
        <w:t xml:space="preserve"> </w:t>
      </w:r>
      <w:proofErr w:type="spellStart"/>
      <w:r w:rsidRPr="00272AFA">
        <w:rPr>
          <w:i/>
        </w:rPr>
        <w:t>Report</w:t>
      </w:r>
      <w:proofErr w:type="spellEnd"/>
      <w:r>
        <w:t xml:space="preserve"> </w:t>
      </w:r>
      <w:r w:rsidR="002D1289">
        <w:t xml:space="preserve">(Informe de desempeño y rendición de cuentas) </w:t>
      </w:r>
      <w:r>
        <w:t xml:space="preserve">del ejercicio </w:t>
      </w:r>
      <w:r w:rsidR="005468F1">
        <w:t>económico</w:t>
      </w:r>
      <w:r>
        <w:t xml:space="preserve"> de 2015 (estadísticas de la OMPI), la USPTO en tanto que Oficina receptora, ha recibido 57.881 solicitudes internacionales y como </w:t>
      </w:r>
      <w:r w:rsidRPr="00272AFA">
        <w:t>Administración encargada del examen preliminar internacional</w:t>
      </w:r>
      <w:r>
        <w:t xml:space="preserve"> ha realizado 1.655 exámenes preliminares internacionales en </w:t>
      </w:r>
      <w:r w:rsidR="002D1289">
        <w:t>el marco</w:t>
      </w:r>
      <w:r>
        <w:t xml:space="preserve"> del Capítulo II.  Como </w:t>
      </w:r>
      <w:r w:rsidRPr="00272AFA">
        <w:t xml:space="preserve">Administración encargada </w:t>
      </w:r>
      <w:r>
        <w:t xml:space="preserve">de la búsqueda </w:t>
      </w:r>
      <w:r w:rsidRPr="00272AFA">
        <w:t>internacional</w:t>
      </w:r>
      <w:r>
        <w:t xml:space="preserve">, la USPTO </w:t>
      </w:r>
      <w:r w:rsidR="002D1289">
        <w:t>ha elaborado</w:t>
      </w:r>
      <w:r>
        <w:t xml:space="preserve"> 19.276 informes de búsqueda internacional y opiniones escritas </w:t>
      </w:r>
      <w:r w:rsidR="005468F1">
        <w:t>e</w:t>
      </w:r>
      <w:r>
        <w:t xml:space="preserve">n 2015. </w:t>
      </w:r>
    </w:p>
    <w:p w:rsidR="00272AFA" w:rsidRPr="00272AFA" w:rsidRDefault="00272AFA" w:rsidP="00755E78">
      <w:pPr>
        <w:spacing w:after="220"/>
      </w:pPr>
      <w:r>
        <w:t xml:space="preserve">De conformidad con </w:t>
      </w:r>
      <w:r w:rsidR="002D1289">
        <w:t>sus</w:t>
      </w:r>
      <w:r>
        <w:t xml:space="preserve"> acuerdos con la Oficina Internacional, la USPTO, como </w:t>
      </w:r>
      <w:r w:rsidRPr="00272AFA">
        <w:t>Administración encargada de la búsqueda internacional</w:t>
      </w:r>
      <w:r>
        <w:t>, realiza búsquedas internacionales y elabora informes de búsqueda internacional y opiniones escritas para, además de los Estados Unidos de América, las jurisdicciones siguientes:</w:t>
      </w:r>
      <w:r w:rsidRPr="00272AFA">
        <w:t xml:space="preserve"> </w:t>
      </w:r>
      <w:proofErr w:type="spellStart"/>
      <w:r w:rsidRPr="00272AFA">
        <w:t>Bahr</w:t>
      </w:r>
      <w:r>
        <w:t>ein</w:t>
      </w:r>
      <w:proofErr w:type="spellEnd"/>
      <w:r>
        <w:t>, Barbados, Bras</w:t>
      </w:r>
      <w:r w:rsidRPr="00272AFA">
        <w:t xml:space="preserve">il, Chile, </w:t>
      </w:r>
      <w:r>
        <w:t>República Dominicana</w:t>
      </w:r>
      <w:r w:rsidRPr="00272AFA">
        <w:t>, Eg</w:t>
      </w:r>
      <w:r>
        <w:t>ipto</w:t>
      </w:r>
      <w:r w:rsidRPr="00272AFA">
        <w:t>, Georg</w:t>
      </w:r>
      <w:r>
        <w:t>ia, Guatemala, India, Israel, Mé</w:t>
      </w:r>
      <w:r w:rsidRPr="00272AFA">
        <w:t xml:space="preserve">xico, </w:t>
      </w:r>
      <w:r>
        <w:t>Nueva Zelandia</w:t>
      </w:r>
      <w:r w:rsidRPr="00272AFA">
        <w:t>, Om</w:t>
      </w:r>
      <w:r>
        <w:t>án, Panamá</w:t>
      </w:r>
      <w:r w:rsidRPr="00272AFA">
        <w:t>, Per</w:t>
      </w:r>
      <w:r>
        <w:t>ú</w:t>
      </w:r>
      <w:r w:rsidRPr="00272AFA">
        <w:t xml:space="preserve">, </w:t>
      </w:r>
      <w:r>
        <w:t>Filipinas</w:t>
      </w:r>
      <w:r w:rsidRPr="00272AFA">
        <w:t xml:space="preserve">, Qatar, </w:t>
      </w:r>
      <w:r>
        <w:t>Santa Lucía</w:t>
      </w:r>
      <w:r w:rsidRPr="00272AFA">
        <w:t xml:space="preserve">, </w:t>
      </w:r>
      <w:r>
        <w:t>San Vicente y las Granadina</w:t>
      </w:r>
      <w:r w:rsidRPr="00272AFA">
        <w:t xml:space="preserve">s, </w:t>
      </w:r>
      <w:r>
        <w:t>Sudáfrica, T</w:t>
      </w:r>
      <w:r w:rsidRPr="00272AFA">
        <w:t>ailand</w:t>
      </w:r>
      <w:r>
        <w:t xml:space="preserve">ia y </w:t>
      </w:r>
      <w:r w:rsidRPr="00272AFA">
        <w:t xml:space="preserve">Trinidad </w:t>
      </w:r>
      <w:r>
        <w:t>y</w:t>
      </w:r>
      <w:r w:rsidRPr="00272AFA">
        <w:t xml:space="preserve"> T</w:t>
      </w:r>
      <w:r>
        <w:t>a</w:t>
      </w:r>
      <w:r w:rsidRPr="00272AFA">
        <w:t>bago</w:t>
      </w:r>
      <w:r>
        <w:t>.</w:t>
      </w:r>
    </w:p>
    <w:p w:rsidR="00755E78" w:rsidRPr="00370DEC" w:rsidRDefault="00755E78" w:rsidP="00755E78">
      <w:pPr>
        <w:keepNext/>
        <w:pBdr>
          <w:top w:val="single" w:sz="4" w:space="1" w:color="auto"/>
          <w:bottom w:val="single" w:sz="4" w:space="1" w:color="auto"/>
        </w:pBdr>
        <w:spacing w:before="360" w:after="200"/>
        <w:outlineLvl w:val="0"/>
        <w:rPr>
          <w:b/>
          <w:bCs/>
          <w:caps/>
          <w:kern w:val="32"/>
          <w:szCs w:val="32"/>
        </w:rPr>
      </w:pPr>
      <w:r w:rsidRPr="00370DEC">
        <w:rPr>
          <w:b/>
          <w:bCs/>
          <w:caps/>
          <w:kern w:val="32"/>
          <w:szCs w:val="32"/>
        </w:rPr>
        <w:lastRenderedPageBreak/>
        <w:t xml:space="preserve">5 – </w:t>
      </w:r>
      <w:r w:rsidR="00370DEC" w:rsidRPr="00370DEC">
        <w:rPr>
          <w:b/>
          <w:bCs/>
          <w:caps/>
          <w:kern w:val="32"/>
          <w:szCs w:val="32"/>
        </w:rPr>
        <w:t>ESTADO SOLICITANTE</w:t>
      </w:r>
    </w:p>
    <w:p w:rsidR="00755E78" w:rsidRPr="00370DEC" w:rsidRDefault="00370DEC" w:rsidP="00755E78">
      <w:pPr>
        <w:spacing w:after="220"/>
        <w:rPr>
          <w:b/>
        </w:rPr>
      </w:pPr>
      <w:r w:rsidRPr="00370DEC">
        <w:rPr>
          <w:b/>
        </w:rPr>
        <w:t xml:space="preserve">Perfil de los </w:t>
      </w:r>
      <w:r w:rsidR="002D1289">
        <w:rPr>
          <w:b/>
        </w:rPr>
        <w:t>E</w:t>
      </w:r>
      <w:r w:rsidRPr="00370DEC">
        <w:rPr>
          <w:b/>
        </w:rPr>
        <w:t>stados Unidos de Am</w:t>
      </w:r>
      <w:r>
        <w:rPr>
          <w:b/>
        </w:rPr>
        <w:t>érica</w:t>
      </w:r>
    </w:p>
    <w:p w:rsidR="00755E78" w:rsidRPr="00374EE7" w:rsidRDefault="00374EE7" w:rsidP="00755E78">
      <w:pPr>
        <w:spacing w:after="220"/>
      </w:pPr>
      <w:r w:rsidRPr="00374EE7">
        <w:t>La información siguiente es relativa a los Estados Unidos de América</w:t>
      </w:r>
      <w:r w:rsidR="00755E78" w:rsidRPr="00374EE7">
        <w:t>:</w:t>
      </w:r>
    </w:p>
    <w:p w:rsidR="00755E78" w:rsidRPr="00374EE7" w:rsidRDefault="00374EE7" w:rsidP="00755E78">
      <w:pPr>
        <w:spacing w:after="220"/>
      </w:pPr>
      <w:r w:rsidRPr="00374EE7">
        <w:t xml:space="preserve">Población </w:t>
      </w:r>
      <w:r w:rsidR="00755E78" w:rsidRPr="00374EE7">
        <w:t>(</w:t>
      </w:r>
      <w:r w:rsidRPr="00374EE7">
        <w:t>diciembre de</w:t>
      </w:r>
      <w:r w:rsidR="00755E78" w:rsidRPr="00374EE7">
        <w:t xml:space="preserve"> 2016)</w:t>
      </w:r>
      <w:r w:rsidR="00755E78" w:rsidRPr="00374EE7">
        <w:rPr>
          <w:rFonts w:ascii="Times New Roman" w:hAnsi="Times New Roman" w:cs="Times New Roman"/>
          <w:sz w:val="24"/>
          <w:szCs w:val="24"/>
          <w:vertAlign w:val="superscript"/>
        </w:rPr>
        <w:footnoteReference w:id="4"/>
      </w:r>
      <w:r w:rsidRPr="00374EE7">
        <w:t>:</w:t>
      </w:r>
      <w:r w:rsidRPr="00374EE7">
        <w:tab/>
        <w:t xml:space="preserve"> </w:t>
      </w:r>
      <w:r w:rsidRPr="00374EE7">
        <w:tab/>
      </w:r>
      <w:r w:rsidRPr="00374EE7">
        <w:tab/>
      </w:r>
      <w:r w:rsidRPr="00374EE7">
        <w:tab/>
        <w:t>324.304.</w:t>
      </w:r>
      <w:r w:rsidR="00755E78" w:rsidRPr="00374EE7">
        <w:t>407</w:t>
      </w:r>
    </w:p>
    <w:p w:rsidR="00755E78" w:rsidRPr="00CB2F60" w:rsidRDefault="00CB2F60" w:rsidP="00CB2F60">
      <w:pPr>
        <w:spacing w:after="220"/>
        <w:ind w:left="5103" w:hanging="5103"/>
      </w:pPr>
      <w:r w:rsidRPr="00CB2F60">
        <w:t>PIB</w:t>
      </w:r>
      <w:r w:rsidR="00755E78" w:rsidRPr="00CB2F60">
        <w:t xml:space="preserve"> (2016)</w:t>
      </w:r>
      <w:r w:rsidR="00755E78" w:rsidRPr="00755E78">
        <w:rPr>
          <w:szCs w:val="22"/>
          <w:vertAlign w:val="superscript"/>
          <w:lang w:val="en-US"/>
        </w:rPr>
        <w:footnoteReference w:id="5"/>
      </w:r>
      <w:r>
        <w:t xml:space="preserve">: </w:t>
      </w:r>
      <w:r>
        <w:tab/>
      </w:r>
      <w:r>
        <w:tab/>
      </w:r>
      <w:r w:rsidRPr="00CB2F60">
        <w:t>18,</w:t>
      </w:r>
      <w:r w:rsidR="00755E78" w:rsidRPr="00CB2F60">
        <w:t xml:space="preserve">56 </w:t>
      </w:r>
      <w:r w:rsidRPr="00CB2F60">
        <w:t>billones de dóla</w:t>
      </w:r>
      <w:r>
        <w:t>re</w:t>
      </w:r>
      <w:r w:rsidRPr="00CB2F60">
        <w:t>s de los Estados Unidos de Amér</w:t>
      </w:r>
      <w:r>
        <w:t>ica</w:t>
      </w:r>
    </w:p>
    <w:p w:rsidR="00755E78" w:rsidRPr="00CB2F60" w:rsidRDefault="00CB2F60" w:rsidP="00755E78">
      <w:pPr>
        <w:spacing w:after="220"/>
      </w:pPr>
      <w:r>
        <w:t>Gasto en I+D como porcentaje del PIB</w:t>
      </w:r>
      <w:r w:rsidR="00755E78" w:rsidRPr="00CB2F60">
        <w:t xml:space="preserve"> (2013)</w:t>
      </w:r>
      <w:r w:rsidR="00755E78" w:rsidRPr="00755E78">
        <w:rPr>
          <w:szCs w:val="22"/>
          <w:vertAlign w:val="superscript"/>
          <w:lang w:val="en-US"/>
        </w:rPr>
        <w:footnoteReference w:id="6"/>
      </w:r>
      <w:r>
        <w:t xml:space="preserve">: </w:t>
      </w:r>
      <w:r>
        <w:tab/>
        <w:t>2,</w:t>
      </w:r>
      <w:r w:rsidR="00755E78" w:rsidRPr="00CB2F60">
        <w:t>73%</w:t>
      </w:r>
    </w:p>
    <w:p w:rsidR="00755E78" w:rsidRPr="00AF47AD" w:rsidRDefault="00AF47AD" w:rsidP="00755E78">
      <w:pPr>
        <w:spacing w:after="220"/>
      </w:pPr>
      <w:r w:rsidRPr="00AF47AD">
        <w:t>Número de universidades con dedicaci</w:t>
      </w:r>
      <w:r>
        <w:t xml:space="preserve">ón de recursos a la investigación </w:t>
      </w:r>
      <w:r w:rsidR="00755E78" w:rsidRPr="00AF47AD">
        <w:t>(2016)</w:t>
      </w:r>
      <w:r w:rsidR="00755E78" w:rsidRPr="00755E78">
        <w:rPr>
          <w:szCs w:val="22"/>
          <w:vertAlign w:val="superscript"/>
          <w:lang w:val="en-US"/>
        </w:rPr>
        <w:footnoteReference w:id="7"/>
      </w:r>
      <w:r w:rsidR="00755E78" w:rsidRPr="00AF47AD">
        <w:t xml:space="preserve">: </w:t>
      </w:r>
      <w:r w:rsidR="00755E78" w:rsidRPr="00AF47AD">
        <w:tab/>
      </w:r>
      <w:r w:rsidR="00755E78" w:rsidRPr="00AF47AD">
        <w:tab/>
        <w:t>115</w:t>
      </w:r>
    </w:p>
    <w:p w:rsidR="00755E78" w:rsidRPr="009F417B" w:rsidRDefault="00755E78" w:rsidP="00755E78">
      <w:pPr>
        <w:keepNext/>
        <w:pBdr>
          <w:top w:val="single" w:sz="4" w:space="1" w:color="auto"/>
          <w:bottom w:val="single" w:sz="4" w:space="1" w:color="auto"/>
        </w:pBdr>
        <w:spacing w:before="360" w:after="200"/>
        <w:outlineLvl w:val="0"/>
        <w:rPr>
          <w:b/>
          <w:bCs/>
          <w:caps/>
          <w:kern w:val="32"/>
          <w:szCs w:val="32"/>
        </w:rPr>
      </w:pPr>
      <w:r w:rsidRPr="009F417B">
        <w:rPr>
          <w:b/>
          <w:bCs/>
          <w:caps/>
          <w:kern w:val="32"/>
          <w:szCs w:val="32"/>
        </w:rPr>
        <w:t xml:space="preserve">6 – </w:t>
      </w:r>
      <w:r w:rsidR="00370DEC" w:rsidRPr="009F417B">
        <w:rPr>
          <w:b/>
          <w:bCs/>
          <w:caps/>
          <w:kern w:val="32"/>
          <w:szCs w:val="32"/>
        </w:rPr>
        <w:t>PERFIL DE LAS SOLICITUDES DE PATENTES</w:t>
      </w:r>
    </w:p>
    <w:p w:rsidR="00755E78" w:rsidRPr="00AF47AD" w:rsidRDefault="00AF47AD" w:rsidP="00755E78">
      <w:pPr>
        <w:keepNext/>
        <w:spacing w:after="220"/>
      </w:pPr>
      <w:r w:rsidRPr="00AF47AD">
        <w:t xml:space="preserve">Número de patentes concedidas distribuidas </w:t>
      </w:r>
      <w:r w:rsidR="0076474C">
        <w:t>según</w:t>
      </w:r>
      <w:r w:rsidRPr="00AF47AD">
        <w:t xml:space="preserve"> e</w:t>
      </w:r>
      <w:r>
        <w:t>l</w:t>
      </w:r>
      <w:r w:rsidRPr="00AF47AD">
        <w:t xml:space="preserve"> año de co</w:t>
      </w:r>
      <w:r>
        <w:t>nce</w:t>
      </w:r>
      <w:r w:rsidRPr="00AF47AD">
        <w:t>si</w:t>
      </w:r>
      <w:r>
        <w:t>ón</w:t>
      </w:r>
      <w:r w:rsidR="00755E78" w:rsidRPr="00755E78">
        <w:rPr>
          <w:szCs w:val="22"/>
          <w:vertAlign w:val="superscript"/>
          <w:lang w:val="en-US"/>
        </w:rPr>
        <w:footnoteReference w:id="8"/>
      </w:r>
      <w:r w:rsidR="00755E78" w:rsidRPr="00AF47AD">
        <w:t>:</w:t>
      </w:r>
    </w:p>
    <w:tbl>
      <w:tblPr>
        <w:tblStyle w:val="TableGrid"/>
        <w:tblW w:w="0" w:type="auto"/>
        <w:tblLook w:val="04A0" w:firstRow="1" w:lastRow="0" w:firstColumn="1" w:lastColumn="0" w:noHBand="0" w:noVBand="1"/>
      </w:tblPr>
      <w:tblGrid>
        <w:gridCol w:w="2122"/>
        <w:gridCol w:w="1417"/>
        <w:gridCol w:w="1418"/>
        <w:gridCol w:w="1559"/>
        <w:gridCol w:w="1417"/>
        <w:gridCol w:w="1412"/>
      </w:tblGrid>
      <w:tr w:rsidR="00AF47AD" w:rsidRPr="00AF47AD" w:rsidTr="00AF47AD">
        <w:tc>
          <w:tcPr>
            <w:tcW w:w="2122" w:type="dxa"/>
          </w:tcPr>
          <w:p w:rsidR="00755E78" w:rsidRPr="00AF47AD" w:rsidRDefault="00AF47AD" w:rsidP="00755E78">
            <w:pPr>
              <w:keepNext/>
              <w:spacing w:after="220"/>
              <w:rPr>
                <w:b/>
              </w:rPr>
            </w:pPr>
            <w:r w:rsidRPr="00AF47AD">
              <w:rPr>
                <w:b/>
              </w:rPr>
              <w:t>Campo técnico</w:t>
            </w:r>
          </w:p>
        </w:tc>
        <w:tc>
          <w:tcPr>
            <w:tcW w:w="1417" w:type="dxa"/>
          </w:tcPr>
          <w:p w:rsidR="00755E78" w:rsidRPr="00AF47AD" w:rsidRDefault="00755E78" w:rsidP="00755E78">
            <w:pPr>
              <w:keepNext/>
              <w:spacing w:after="220"/>
              <w:rPr>
                <w:b/>
              </w:rPr>
            </w:pPr>
            <w:r w:rsidRPr="00AF47AD">
              <w:rPr>
                <w:b/>
              </w:rPr>
              <w:t>2011</w:t>
            </w:r>
          </w:p>
        </w:tc>
        <w:tc>
          <w:tcPr>
            <w:tcW w:w="1418" w:type="dxa"/>
          </w:tcPr>
          <w:p w:rsidR="00755E78" w:rsidRPr="00AF47AD" w:rsidRDefault="00755E78" w:rsidP="00755E78">
            <w:pPr>
              <w:keepNext/>
              <w:spacing w:after="220"/>
              <w:rPr>
                <w:b/>
              </w:rPr>
            </w:pPr>
            <w:r w:rsidRPr="00AF47AD">
              <w:rPr>
                <w:b/>
              </w:rPr>
              <w:t>2012</w:t>
            </w:r>
          </w:p>
        </w:tc>
        <w:tc>
          <w:tcPr>
            <w:tcW w:w="1559" w:type="dxa"/>
          </w:tcPr>
          <w:p w:rsidR="00755E78" w:rsidRPr="00AF47AD" w:rsidRDefault="00755E78" w:rsidP="00755E78">
            <w:pPr>
              <w:keepNext/>
              <w:spacing w:after="220"/>
              <w:rPr>
                <w:b/>
              </w:rPr>
            </w:pPr>
            <w:r w:rsidRPr="00AF47AD">
              <w:rPr>
                <w:b/>
              </w:rPr>
              <w:t>2013</w:t>
            </w:r>
          </w:p>
        </w:tc>
        <w:tc>
          <w:tcPr>
            <w:tcW w:w="1417" w:type="dxa"/>
          </w:tcPr>
          <w:p w:rsidR="00755E78" w:rsidRPr="00AF47AD" w:rsidRDefault="00755E78" w:rsidP="00755E78">
            <w:pPr>
              <w:keepNext/>
              <w:spacing w:after="220"/>
              <w:rPr>
                <w:b/>
              </w:rPr>
            </w:pPr>
            <w:r w:rsidRPr="00AF47AD">
              <w:rPr>
                <w:b/>
              </w:rPr>
              <w:t>2014</w:t>
            </w:r>
          </w:p>
        </w:tc>
        <w:tc>
          <w:tcPr>
            <w:tcW w:w="1412" w:type="dxa"/>
          </w:tcPr>
          <w:p w:rsidR="00755E78" w:rsidRPr="00AF47AD" w:rsidRDefault="00755E78" w:rsidP="00755E78">
            <w:pPr>
              <w:keepNext/>
              <w:spacing w:after="220"/>
              <w:rPr>
                <w:b/>
              </w:rPr>
            </w:pPr>
            <w:r w:rsidRPr="00AF47AD">
              <w:rPr>
                <w:b/>
              </w:rPr>
              <w:t>2015</w:t>
            </w:r>
          </w:p>
        </w:tc>
      </w:tr>
      <w:tr w:rsidR="00AF47AD" w:rsidRPr="00AF47AD" w:rsidTr="00AF47AD">
        <w:tc>
          <w:tcPr>
            <w:tcW w:w="2122" w:type="dxa"/>
          </w:tcPr>
          <w:p w:rsidR="00755E78" w:rsidRPr="00AF47AD" w:rsidRDefault="00755E78" w:rsidP="00755E78">
            <w:pPr>
              <w:keepNext/>
              <w:spacing w:after="220"/>
            </w:pPr>
            <w:r w:rsidRPr="00AF47AD">
              <w:t>A</w:t>
            </w:r>
          </w:p>
        </w:tc>
        <w:tc>
          <w:tcPr>
            <w:tcW w:w="1417" w:type="dxa"/>
          </w:tcPr>
          <w:p w:rsidR="00755E78" w:rsidRPr="00AF47AD" w:rsidRDefault="00755E78" w:rsidP="00755E78">
            <w:pPr>
              <w:keepNext/>
              <w:spacing w:after="220"/>
            </w:pPr>
            <w:r w:rsidRPr="00AF47AD">
              <w:t>9</w:t>
            </w:r>
            <w:r w:rsidR="00B95739" w:rsidRPr="00AF47AD">
              <w:t>.</w:t>
            </w:r>
            <w:r w:rsidRPr="00AF47AD">
              <w:t>882</w:t>
            </w:r>
          </w:p>
        </w:tc>
        <w:tc>
          <w:tcPr>
            <w:tcW w:w="1418" w:type="dxa"/>
          </w:tcPr>
          <w:p w:rsidR="00755E78" w:rsidRPr="00AF47AD" w:rsidRDefault="00755E78" w:rsidP="00755E78">
            <w:pPr>
              <w:keepNext/>
              <w:spacing w:after="220"/>
            </w:pPr>
            <w:r w:rsidRPr="00AF47AD">
              <w:t>10</w:t>
            </w:r>
            <w:r w:rsidR="00B95739" w:rsidRPr="00AF47AD">
              <w:t>.</w:t>
            </w:r>
            <w:r w:rsidRPr="00AF47AD">
              <w:t>550</w:t>
            </w:r>
          </w:p>
        </w:tc>
        <w:tc>
          <w:tcPr>
            <w:tcW w:w="1559" w:type="dxa"/>
          </w:tcPr>
          <w:p w:rsidR="00755E78" w:rsidRPr="00AF47AD" w:rsidRDefault="00755E78" w:rsidP="00755E78">
            <w:pPr>
              <w:keepNext/>
              <w:spacing w:after="220"/>
            </w:pPr>
            <w:r w:rsidRPr="00AF47AD">
              <w:t>11</w:t>
            </w:r>
            <w:r w:rsidR="00B95739" w:rsidRPr="00AF47AD">
              <w:t>.</w:t>
            </w:r>
            <w:r w:rsidRPr="00AF47AD">
              <w:t>543</w:t>
            </w:r>
          </w:p>
        </w:tc>
        <w:tc>
          <w:tcPr>
            <w:tcW w:w="1417" w:type="dxa"/>
          </w:tcPr>
          <w:p w:rsidR="00755E78" w:rsidRPr="00AF47AD" w:rsidRDefault="00755E78" w:rsidP="00755E78">
            <w:pPr>
              <w:keepNext/>
              <w:spacing w:after="220"/>
            </w:pPr>
            <w:r w:rsidRPr="00AF47AD">
              <w:t>12</w:t>
            </w:r>
            <w:r w:rsidR="00B95739" w:rsidRPr="00AF47AD">
              <w:t>.</w:t>
            </w:r>
            <w:r w:rsidRPr="00AF47AD">
              <w:t>615</w:t>
            </w:r>
          </w:p>
        </w:tc>
        <w:tc>
          <w:tcPr>
            <w:tcW w:w="1412" w:type="dxa"/>
          </w:tcPr>
          <w:p w:rsidR="00755E78" w:rsidRPr="00AF47AD" w:rsidRDefault="00755E78" w:rsidP="00755E78">
            <w:pPr>
              <w:keepNext/>
              <w:spacing w:after="220"/>
            </w:pPr>
            <w:r w:rsidRPr="00AF47AD">
              <w:t>12</w:t>
            </w:r>
            <w:r w:rsidR="00B95739" w:rsidRPr="00AF47AD">
              <w:t>.</w:t>
            </w:r>
            <w:r w:rsidRPr="00AF47AD">
              <w:t>780</w:t>
            </w:r>
          </w:p>
        </w:tc>
      </w:tr>
      <w:tr w:rsidR="00AF47AD" w:rsidRPr="00AF47AD" w:rsidTr="00AF47AD">
        <w:tc>
          <w:tcPr>
            <w:tcW w:w="2122" w:type="dxa"/>
          </w:tcPr>
          <w:p w:rsidR="00755E78" w:rsidRPr="00AF47AD" w:rsidRDefault="00755E78" w:rsidP="00755E78">
            <w:pPr>
              <w:spacing w:after="220"/>
            </w:pPr>
            <w:r w:rsidRPr="00AF47AD">
              <w:t>B</w:t>
            </w:r>
          </w:p>
        </w:tc>
        <w:tc>
          <w:tcPr>
            <w:tcW w:w="1417" w:type="dxa"/>
          </w:tcPr>
          <w:p w:rsidR="00755E78" w:rsidRPr="00AF47AD" w:rsidRDefault="00755E78" w:rsidP="00755E78">
            <w:pPr>
              <w:spacing w:after="220"/>
            </w:pPr>
            <w:r w:rsidRPr="00AF47AD">
              <w:t>42</w:t>
            </w:r>
            <w:r w:rsidR="00B95739" w:rsidRPr="00AF47AD">
              <w:t>.</w:t>
            </w:r>
            <w:r w:rsidRPr="00AF47AD">
              <w:t>265</w:t>
            </w:r>
          </w:p>
        </w:tc>
        <w:tc>
          <w:tcPr>
            <w:tcW w:w="1418" w:type="dxa"/>
          </w:tcPr>
          <w:p w:rsidR="00755E78" w:rsidRPr="00AF47AD" w:rsidRDefault="00755E78" w:rsidP="00755E78">
            <w:pPr>
              <w:spacing w:after="220"/>
            </w:pPr>
            <w:r w:rsidRPr="00AF47AD">
              <w:t>50</w:t>
            </w:r>
            <w:r w:rsidR="00B95739" w:rsidRPr="00AF47AD">
              <w:t>.</w:t>
            </w:r>
            <w:r w:rsidRPr="00AF47AD">
              <w:t>307</w:t>
            </w:r>
          </w:p>
        </w:tc>
        <w:tc>
          <w:tcPr>
            <w:tcW w:w="1559" w:type="dxa"/>
          </w:tcPr>
          <w:p w:rsidR="00755E78" w:rsidRPr="00AF47AD" w:rsidRDefault="00755E78" w:rsidP="00755E78">
            <w:pPr>
              <w:spacing w:after="220"/>
            </w:pPr>
            <w:r w:rsidRPr="00AF47AD">
              <w:t>56</w:t>
            </w:r>
            <w:r w:rsidR="00B95739" w:rsidRPr="00AF47AD">
              <w:t>.</w:t>
            </w:r>
            <w:r w:rsidRPr="00AF47AD">
              <w:t>352</w:t>
            </w:r>
          </w:p>
        </w:tc>
        <w:tc>
          <w:tcPr>
            <w:tcW w:w="1417" w:type="dxa"/>
          </w:tcPr>
          <w:p w:rsidR="00755E78" w:rsidRPr="00AF47AD" w:rsidRDefault="00755E78" w:rsidP="00755E78">
            <w:pPr>
              <w:spacing w:after="220"/>
            </w:pPr>
            <w:r w:rsidRPr="00AF47AD">
              <w:t>60</w:t>
            </w:r>
            <w:r w:rsidR="00B95739" w:rsidRPr="00AF47AD">
              <w:t>.</w:t>
            </w:r>
            <w:r w:rsidRPr="00AF47AD">
              <w:t>819</w:t>
            </w:r>
          </w:p>
        </w:tc>
        <w:tc>
          <w:tcPr>
            <w:tcW w:w="1412" w:type="dxa"/>
          </w:tcPr>
          <w:p w:rsidR="00755E78" w:rsidRPr="00AF47AD" w:rsidRDefault="00755E78" w:rsidP="00755E78">
            <w:pPr>
              <w:spacing w:after="220"/>
            </w:pPr>
            <w:r w:rsidRPr="00AF47AD">
              <w:t>52</w:t>
            </w:r>
            <w:r w:rsidR="00B95739" w:rsidRPr="00AF47AD">
              <w:t>.</w:t>
            </w:r>
            <w:r w:rsidRPr="00AF47AD">
              <w:t>780</w:t>
            </w:r>
          </w:p>
        </w:tc>
      </w:tr>
      <w:tr w:rsidR="00AF47AD" w:rsidRPr="00AF47AD" w:rsidTr="00AF47AD">
        <w:tc>
          <w:tcPr>
            <w:tcW w:w="2122" w:type="dxa"/>
          </w:tcPr>
          <w:p w:rsidR="00755E78" w:rsidRPr="00AF47AD" w:rsidRDefault="00755E78" w:rsidP="00755E78">
            <w:pPr>
              <w:spacing w:after="220"/>
            </w:pPr>
            <w:r w:rsidRPr="00AF47AD">
              <w:t>C</w:t>
            </w:r>
          </w:p>
        </w:tc>
        <w:tc>
          <w:tcPr>
            <w:tcW w:w="1417" w:type="dxa"/>
          </w:tcPr>
          <w:p w:rsidR="00755E78" w:rsidRPr="00AF47AD" w:rsidRDefault="00755E78" w:rsidP="00755E78">
            <w:pPr>
              <w:spacing w:after="220"/>
            </w:pPr>
            <w:r w:rsidRPr="00AF47AD">
              <w:t>13</w:t>
            </w:r>
            <w:r w:rsidR="00B95739" w:rsidRPr="00AF47AD">
              <w:t>.</w:t>
            </w:r>
            <w:r w:rsidRPr="00AF47AD">
              <w:t>669</w:t>
            </w:r>
          </w:p>
        </w:tc>
        <w:tc>
          <w:tcPr>
            <w:tcW w:w="1418" w:type="dxa"/>
          </w:tcPr>
          <w:p w:rsidR="00755E78" w:rsidRPr="00AF47AD" w:rsidRDefault="00755E78" w:rsidP="00755E78">
            <w:pPr>
              <w:spacing w:after="220"/>
            </w:pPr>
            <w:r w:rsidRPr="00AF47AD">
              <w:t>16</w:t>
            </w:r>
            <w:r w:rsidR="00B95739" w:rsidRPr="00AF47AD">
              <w:t>.</w:t>
            </w:r>
            <w:r w:rsidRPr="00AF47AD">
              <w:t>538</w:t>
            </w:r>
          </w:p>
        </w:tc>
        <w:tc>
          <w:tcPr>
            <w:tcW w:w="1559" w:type="dxa"/>
          </w:tcPr>
          <w:p w:rsidR="00755E78" w:rsidRPr="00AF47AD" w:rsidRDefault="00755E78" w:rsidP="00755E78">
            <w:pPr>
              <w:spacing w:after="220"/>
            </w:pPr>
            <w:r w:rsidRPr="00AF47AD">
              <w:t>19</w:t>
            </w:r>
            <w:r w:rsidR="00B95739" w:rsidRPr="00AF47AD">
              <w:t>.</w:t>
            </w:r>
            <w:r w:rsidRPr="00AF47AD">
              <w:t>035</w:t>
            </w:r>
          </w:p>
        </w:tc>
        <w:tc>
          <w:tcPr>
            <w:tcW w:w="1417" w:type="dxa"/>
          </w:tcPr>
          <w:p w:rsidR="00755E78" w:rsidRPr="00AF47AD" w:rsidRDefault="00755E78" w:rsidP="00755E78">
            <w:pPr>
              <w:spacing w:after="220"/>
            </w:pPr>
            <w:r w:rsidRPr="00AF47AD">
              <w:t>19</w:t>
            </w:r>
            <w:r w:rsidR="00B95739" w:rsidRPr="00AF47AD">
              <w:t>.</w:t>
            </w:r>
            <w:r w:rsidRPr="00AF47AD">
              <w:t>992</w:t>
            </w:r>
          </w:p>
        </w:tc>
        <w:tc>
          <w:tcPr>
            <w:tcW w:w="1412" w:type="dxa"/>
          </w:tcPr>
          <w:p w:rsidR="00755E78" w:rsidRPr="00AF47AD" w:rsidRDefault="00755E78" w:rsidP="00755E78">
            <w:pPr>
              <w:spacing w:after="220"/>
            </w:pPr>
            <w:r w:rsidRPr="00AF47AD">
              <w:t>17</w:t>
            </w:r>
            <w:r w:rsidR="00B95739" w:rsidRPr="00AF47AD">
              <w:t>.</w:t>
            </w:r>
            <w:r w:rsidRPr="00AF47AD">
              <w:t>596</w:t>
            </w:r>
          </w:p>
        </w:tc>
      </w:tr>
      <w:tr w:rsidR="00AF47AD" w:rsidRPr="00AF47AD" w:rsidTr="00AF47AD">
        <w:tc>
          <w:tcPr>
            <w:tcW w:w="2122" w:type="dxa"/>
          </w:tcPr>
          <w:p w:rsidR="00755E78" w:rsidRPr="00AF47AD" w:rsidRDefault="00755E78" w:rsidP="00755E78">
            <w:pPr>
              <w:spacing w:after="220"/>
            </w:pPr>
            <w:r w:rsidRPr="00AF47AD">
              <w:t>D</w:t>
            </w:r>
          </w:p>
        </w:tc>
        <w:tc>
          <w:tcPr>
            <w:tcW w:w="1417" w:type="dxa"/>
          </w:tcPr>
          <w:p w:rsidR="00755E78" w:rsidRPr="00AF47AD" w:rsidRDefault="00755E78" w:rsidP="00755E78">
            <w:pPr>
              <w:spacing w:after="220"/>
            </w:pPr>
            <w:r w:rsidRPr="00AF47AD">
              <w:t>18</w:t>
            </w:r>
            <w:r w:rsidR="00B95739" w:rsidRPr="00AF47AD">
              <w:t>.</w:t>
            </w:r>
            <w:r w:rsidRPr="00AF47AD">
              <w:t>481</w:t>
            </w:r>
          </w:p>
        </w:tc>
        <w:tc>
          <w:tcPr>
            <w:tcW w:w="1418" w:type="dxa"/>
          </w:tcPr>
          <w:p w:rsidR="00755E78" w:rsidRPr="00AF47AD" w:rsidRDefault="00755E78" w:rsidP="00755E78">
            <w:pPr>
              <w:spacing w:after="220"/>
            </w:pPr>
            <w:r w:rsidRPr="00AF47AD">
              <w:t>17</w:t>
            </w:r>
            <w:r w:rsidR="00B95739" w:rsidRPr="00AF47AD">
              <w:t>.</w:t>
            </w:r>
            <w:r w:rsidRPr="00AF47AD">
              <w:t>658</w:t>
            </w:r>
          </w:p>
        </w:tc>
        <w:tc>
          <w:tcPr>
            <w:tcW w:w="1559" w:type="dxa"/>
          </w:tcPr>
          <w:p w:rsidR="00755E78" w:rsidRPr="00AF47AD" w:rsidRDefault="00755E78" w:rsidP="00755E78">
            <w:pPr>
              <w:spacing w:after="220"/>
            </w:pPr>
            <w:r w:rsidRPr="00AF47AD">
              <w:t>19</w:t>
            </w:r>
            <w:r w:rsidR="00B95739" w:rsidRPr="00AF47AD">
              <w:t>.</w:t>
            </w:r>
            <w:r w:rsidRPr="00AF47AD">
              <w:t>969</w:t>
            </w:r>
          </w:p>
        </w:tc>
        <w:tc>
          <w:tcPr>
            <w:tcW w:w="1417" w:type="dxa"/>
          </w:tcPr>
          <w:p w:rsidR="00755E78" w:rsidRPr="00AF47AD" w:rsidRDefault="00755E78" w:rsidP="00755E78">
            <w:pPr>
              <w:spacing w:after="220"/>
            </w:pPr>
            <w:r w:rsidRPr="00AF47AD">
              <w:t>22</w:t>
            </w:r>
            <w:r w:rsidR="00B95739" w:rsidRPr="00AF47AD">
              <w:t>.</w:t>
            </w:r>
            <w:r w:rsidRPr="00AF47AD">
              <w:t>058</w:t>
            </w:r>
          </w:p>
        </w:tc>
        <w:tc>
          <w:tcPr>
            <w:tcW w:w="1412" w:type="dxa"/>
          </w:tcPr>
          <w:p w:rsidR="00755E78" w:rsidRPr="00AF47AD" w:rsidRDefault="00755E78" w:rsidP="00755E78">
            <w:pPr>
              <w:spacing w:after="220"/>
            </w:pPr>
            <w:r w:rsidRPr="00AF47AD">
              <w:t>21</w:t>
            </w:r>
            <w:r w:rsidR="00B95739" w:rsidRPr="00AF47AD">
              <w:t>.</w:t>
            </w:r>
            <w:r w:rsidRPr="00AF47AD">
              <w:t>939</w:t>
            </w:r>
          </w:p>
        </w:tc>
      </w:tr>
      <w:tr w:rsidR="00AF47AD" w:rsidRPr="00AF47AD" w:rsidTr="00AF47AD">
        <w:tc>
          <w:tcPr>
            <w:tcW w:w="2122" w:type="dxa"/>
          </w:tcPr>
          <w:p w:rsidR="00755E78" w:rsidRPr="00AF47AD" w:rsidRDefault="00755E78" w:rsidP="00755E78">
            <w:pPr>
              <w:spacing w:after="220"/>
            </w:pPr>
            <w:r w:rsidRPr="00AF47AD">
              <w:t>E</w:t>
            </w:r>
          </w:p>
        </w:tc>
        <w:tc>
          <w:tcPr>
            <w:tcW w:w="1417" w:type="dxa"/>
          </w:tcPr>
          <w:p w:rsidR="00755E78" w:rsidRPr="00AF47AD" w:rsidRDefault="00755E78" w:rsidP="00755E78">
            <w:pPr>
              <w:spacing w:after="220"/>
            </w:pPr>
            <w:r w:rsidRPr="00AF47AD">
              <w:t>21</w:t>
            </w:r>
            <w:r w:rsidR="00B95739" w:rsidRPr="00AF47AD">
              <w:t>.</w:t>
            </w:r>
            <w:r w:rsidRPr="00AF47AD">
              <w:t>329</w:t>
            </w:r>
          </w:p>
        </w:tc>
        <w:tc>
          <w:tcPr>
            <w:tcW w:w="1418" w:type="dxa"/>
          </w:tcPr>
          <w:p w:rsidR="00755E78" w:rsidRPr="00AF47AD" w:rsidRDefault="00755E78" w:rsidP="00755E78">
            <w:pPr>
              <w:spacing w:after="220"/>
            </w:pPr>
            <w:r w:rsidRPr="00AF47AD">
              <w:t>26</w:t>
            </w:r>
            <w:r w:rsidR="00B95739" w:rsidRPr="00AF47AD">
              <w:t>.</w:t>
            </w:r>
            <w:r w:rsidRPr="00AF47AD">
              <w:t>395</w:t>
            </w:r>
          </w:p>
        </w:tc>
        <w:tc>
          <w:tcPr>
            <w:tcW w:w="1559" w:type="dxa"/>
          </w:tcPr>
          <w:p w:rsidR="00755E78" w:rsidRPr="00AF47AD" w:rsidRDefault="00755E78" w:rsidP="00755E78">
            <w:pPr>
              <w:spacing w:after="220"/>
            </w:pPr>
            <w:r w:rsidRPr="00AF47AD">
              <w:t>28</w:t>
            </w:r>
            <w:r w:rsidR="00B95739" w:rsidRPr="00AF47AD">
              <w:t>.</w:t>
            </w:r>
            <w:r w:rsidRPr="00AF47AD">
              <w:t>456</w:t>
            </w:r>
          </w:p>
        </w:tc>
        <w:tc>
          <w:tcPr>
            <w:tcW w:w="1417" w:type="dxa"/>
          </w:tcPr>
          <w:p w:rsidR="00755E78" w:rsidRPr="00AF47AD" w:rsidRDefault="00755E78" w:rsidP="00755E78">
            <w:pPr>
              <w:spacing w:after="220"/>
            </w:pPr>
            <w:r w:rsidRPr="00AF47AD">
              <w:t>31</w:t>
            </w:r>
            <w:r w:rsidR="00B95739" w:rsidRPr="00AF47AD">
              <w:t>.</w:t>
            </w:r>
            <w:r w:rsidRPr="00AF47AD">
              <w:t>099</w:t>
            </w:r>
          </w:p>
        </w:tc>
        <w:tc>
          <w:tcPr>
            <w:tcW w:w="1412" w:type="dxa"/>
          </w:tcPr>
          <w:p w:rsidR="00755E78" w:rsidRPr="00AF47AD" w:rsidRDefault="00755E78" w:rsidP="00755E78">
            <w:pPr>
              <w:spacing w:after="220"/>
            </w:pPr>
            <w:r w:rsidRPr="00AF47AD">
              <w:t>27</w:t>
            </w:r>
            <w:r w:rsidR="00B95739" w:rsidRPr="00AF47AD">
              <w:t>.</w:t>
            </w:r>
            <w:r w:rsidRPr="00AF47AD">
              <w:t>621</w:t>
            </w:r>
          </w:p>
        </w:tc>
      </w:tr>
      <w:tr w:rsidR="00AF47AD" w:rsidRPr="00AF47AD" w:rsidTr="00AF47AD">
        <w:tc>
          <w:tcPr>
            <w:tcW w:w="2122" w:type="dxa"/>
          </w:tcPr>
          <w:p w:rsidR="00755E78" w:rsidRPr="00AF47AD" w:rsidRDefault="00755E78" w:rsidP="00755E78">
            <w:pPr>
              <w:spacing w:after="220"/>
            </w:pPr>
            <w:r w:rsidRPr="00AF47AD">
              <w:t>F</w:t>
            </w:r>
          </w:p>
        </w:tc>
        <w:tc>
          <w:tcPr>
            <w:tcW w:w="1417" w:type="dxa"/>
          </w:tcPr>
          <w:p w:rsidR="00755E78" w:rsidRPr="00AF47AD" w:rsidRDefault="00755E78" w:rsidP="00755E78">
            <w:pPr>
              <w:spacing w:after="220"/>
            </w:pPr>
            <w:r w:rsidRPr="00AF47AD">
              <w:t>46</w:t>
            </w:r>
            <w:r w:rsidR="00B95739" w:rsidRPr="00AF47AD">
              <w:t>.</w:t>
            </w:r>
            <w:r w:rsidRPr="00AF47AD">
              <w:t>132</w:t>
            </w:r>
          </w:p>
        </w:tc>
        <w:tc>
          <w:tcPr>
            <w:tcW w:w="1418" w:type="dxa"/>
          </w:tcPr>
          <w:p w:rsidR="00755E78" w:rsidRPr="00AF47AD" w:rsidRDefault="00755E78" w:rsidP="00755E78">
            <w:pPr>
              <w:spacing w:after="220"/>
            </w:pPr>
            <w:r w:rsidRPr="00AF47AD">
              <w:t>49</w:t>
            </w:r>
            <w:r w:rsidR="00B95739" w:rsidRPr="00AF47AD">
              <w:t>.</w:t>
            </w:r>
            <w:r w:rsidRPr="00AF47AD">
              <w:t>327</w:t>
            </w:r>
          </w:p>
        </w:tc>
        <w:tc>
          <w:tcPr>
            <w:tcW w:w="1559" w:type="dxa"/>
          </w:tcPr>
          <w:p w:rsidR="00755E78" w:rsidRPr="00AF47AD" w:rsidRDefault="00755E78" w:rsidP="00755E78">
            <w:pPr>
              <w:spacing w:after="220"/>
            </w:pPr>
            <w:r w:rsidRPr="00AF47AD">
              <w:t>53</w:t>
            </w:r>
            <w:r w:rsidR="00B95739" w:rsidRPr="00AF47AD">
              <w:t>.</w:t>
            </w:r>
            <w:r w:rsidRPr="00AF47AD">
              <w:t>880</w:t>
            </w:r>
          </w:p>
        </w:tc>
        <w:tc>
          <w:tcPr>
            <w:tcW w:w="1417" w:type="dxa"/>
          </w:tcPr>
          <w:p w:rsidR="00755E78" w:rsidRPr="00AF47AD" w:rsidRDefault="00755E78" w:rsidP="00755E78">
            <w:pPr>
              <w:spacing w:after="220"/>
            </w:pPr>
            <w:r w:rsidRPr="00AF47AD">
              <w:t>57</w:t>
            </w:r>
            <w:r w:rsidR="00B95739" w:rsidRPr="00AF47AD">
              <w:t>.</w:t>
            </w:r>
            <w:r w:rsidRPr="00AF47AD">
              <w:t>845</w:t>
            </w:r>
          </w:p>
        </w:tc>
        <w:tc>
          <w:tcPr>
            <w:tcW w:w="1412" w:type="dxa"/>
          </w:tcPr>
          <w:p w:rsidR="00755E78" w:rsidRPr="00AF47AD" w:rsidRDefault="00755E78" w:rsidP="00755E78">
            <w:pPr>
              <w:spacing w:after="220"/>
            </w:pPr>
            <w:r w:rsidRPr="00AF47AD">
              <w:t>55</w:t>
            </w:r>
            <w:r w:rsidR="00B95739" w:rsidRPr="00AF47AD">
              <w:t>.</w:t>
            </w:r>
            <w:r w:rsidRPr="00AF47AD">
              <w:t>742</w:t>
            </w:r>
          </w:p>
        </w:tc>
      </w:tr>
      <w:tr w:rsidR="00AF47AD" w:rsidRPr="00AF47AD" w:rsidTr="00AF47AD">
        <w:tc>
          <w:tcPr>
            <w:tcW w:w="2122" w:type="dxa"/>
          </w:tcPr>
          <w:p w:rsidR="00755E78" w:rsidRPr="00AF47AD" w:rsidRDefault="00755E78" w:rsidP="00755E78">
            <w:pPr>
              <w:spacing w:after="220"/>
            </w:pPr>
            <w:r w:rsidRPr="00AF47AD">
              <w:t>G</w:t>
            </w:r>
          </w:p>
        </w:tc>
        <w:tc>
          <w:tcPr>
            <w:tcW w:w="1417" w:type="dxa"/>
          </w:tcPr>
          <w:p w:rsidR="00755E78" w:rsidRPr="00AF47AD" w:rsidRDefault="00755E78" w:rsidP="00755E78">
            <w:pPr>
              <w:spacing w:after="220"/>
            </w:pPr>
            <w:r w:rsidRPr="00AF47AD">
              <w:t>120</w:t>
            </w:r>
            <w:r w:rsidR="00B95739" w:rsidRPr="00AF47AD">
              <w:t>.</w:t>
            </w:r>
            <w:r w:rsidRPr="00AF47AD">
              <w:t>319</w:t>
            </w:r>
          </w:p>
        </w:tc>
        <w:tc>
          <w:tcPr>
            <w:tcW w:w="1418" w:type="dxa"/>
          </w:tcPr>
          <w:p w:rsidR="00755E78" w:rsidRPr="00AF47AD" w:rsidRDefault="00755E78" w:rsidP="00755E78">
            <w:pPr>
              <w:spacing w:after="220"/>
            </w:pPr>
            <w:r w:rsidRPr="00AF47AD">
              <w:t>139</w:t>
            </w:r>
            <w:r w:rsidR="00B95739" w:rsidRPr="00AF47AD">
              <w:t>.</w:t>
            </w:r>
            <w:r w:rsidRPr="00AF47AD">
              <w:t>071</w:t>
            </w:r>
          </w:p>
        </w:tc>
        <w:tc>
          <w:tcPr>
            <w:tcW w:w="1559" w:type="dxa"/>
          </w:tcPr>
          <w:p w:rsidR="00755E78" w:rsidRPr="00AF47AD" w:rsidRDefault="00755E78" w:rsidP="00755E78">
            <w:pPr>
              <w:spacing w:after="220"/>
            </w:pPr>
            <w:r w:rsidRPr="00AF47AD">
              <w:t>153</w:t>
            </w:r>
            <w:r w:rsidR="00B95739" w:rsidRPr="00AF47AD">
              <w:t>.</w:t>
            </w:r>
            <w:r w:rsidRPr="00AF47AD">
              <w:t>112</w:t>
            </w:r>
          </w:p>
        </w:tc>
        <w:tc>
          <w:tcPr>
            <w:tcW w:w="1417" w:type="dxa"/>
          </w:tcPr>
          <w:p w:rsidR="00755E78" w:rsidRPr="00AF47AD" w:rsidRDefault="00755E78" w:rsidP="00755E78">
            <w:pPr>
              <w:spacing w:after="220"/>
            </w:pPr>
            <w:r w:rsidRPr="00AF47AD">
              <w:t>166</w:t>
            </w:r>
            <w:r w:rsidR="00B95739" w:rsidRPr="00AF47AD">
              <w:t>.</w:t>
            </w:r>
            <w:r w:rsidRPr="00AF47AD">
              <w:t>456</w:t>
            </w:r>
          </w:p>
        </w:tc>
        <w:tc>
          <w:tcPr>
            <w:tcW w:w="1412" w:type="dxa"/>
          </w:tcPr>
          <w:p w:rsidR="00755E78" w:rsidRPr="00AF47AD" w:rsidRDefault="00755E78" w:rsidP="00755E78">
            <w:pPr>
              <w:spacing w:after="220"/>
            </w:pPr>
            <w:r w:rsidRPr="00AF47AD">
              <w:t>165</w:t>
            </w:r>
            <w:r w:rsidR="00B95739" w:rsidRPr="00AF47AD">
              <w:t>.</w:t>
            </w:r>
            <w:r w:rsidRPr="00AF47AD">
              <w:t>012</w:t>
            </w:r>
          </w:p>
        </w:tc>
      </w:tr>
      <w:tr w:rsidR="00AF47AD" w:rsidRPr="00AF47AD" w:rsidTr="00AF47AD">
        <w:tc>
          <w:tcPr>
            <w:tcW w:w="2122" w:type="dxa"/>
          </w:tcPr>
          <w:p w:rsidR="00755E78" w:rsidRPr="00AF47AD" w:rsidRDefault="00755E78" w:rsidP="00755E78">
            <w:pPr>
              <w:spacing w:after="220"/>
            </w:pPr>
            <w:r w:rsidRPr="00AF47AD">
              <w:t>H</w:t>
            </w:r>
          </w:p>
        </w:tc>
        <w:tc>
          <w:tcPr>
            <w:tcW w:w="1417" w:type="dxa"/>
          </w:tcPr>
          <w:p w:rsidR="00755E78" w:rsidRPr="00AF47AD" w:rsidRDefault="00755E78" w:rsidP="00755E78">
            <w:pPr>
              <w:spacing w:after="220"/>
            </w:pPr>
            <w:r w:rsidRPr="00AF47AD">
              <w:t>58</w:t>
            </w:r>
            <w:r w:rsidR="00B95739" w:rsidRPr="00AF47AD">
              <w:t>.</w:t>
            </w:r>
            <w:r w:rsidRPr="00AF47AD">
              <w:t>054</w:t>
            </w:r>
          </w:p>
        </w:tc>
        <w:tc>
          <w:tcPr>
            <w:tcW w:w="1418" w:type="dxa"/>
          </w:tcPr>
          <w:p w:rsidR="00755E78" w:rsidRPr="00AF47AD" w:rsidRDefault="00755E78" w:rsidP="00755E78">
            <w:pPr>
              <w:spacing w:after="220"/>
            </w:pPr>
            <w:r w:rsidRPr="00AF47AD">
              <w:t>64</w:t>
            </w:r>
            <w:r w:rsidR="00B95739" w:rsidRPr="00AF47AD">
              <w:t>.</w:t>
            </w:r>
            <w:r w:rsidRPr="00AF47AD">
              <w:t>757</w:t>
            </w:r>
          </w:p>
        </w:tc>
        <w:tc>
          <w:tcPr>
            <w:tcW w:w="1559" w:type="dxa"/>
          </w:tcPr>
          <w:p w:rsidR="00755E78" w:rsidRPr="00AF47AD" w:rsidRDefault="00755E78" w:rsidP="00755E78">
            <w:pPr>
              <w:spacing w:after="220"/>
            </w:pPr>
            <w:r w:rsidRPr="00AF47AD">
              <w:t>70</w:t>
            </w:r>
            <w:r w:rsidR="00B95739" w:rsidRPr="00AF47AD">
              <w:t>.</w:t>
            </w:r>
            <w:r w:rsidRPr="00AF47AD">
              <w:t>834</w:t>
            </w:r>
          </w:p>
        </w:tc>
        <w:tc>
          <w:tcPr>
            <w:tcW w:w="1417" w:type="dxa"/>
          </w:tcPr>
          <w:p w:rsidR="00755E78" w:rsidRPr="00AF47AD" w:rsidRDefault="00755E78" w:rsidP="00755E78">
            <w:pPr>
              <w:spacing w:after="220"/>
            </w:pPr>
            <w:r w:rsidRPr="00AF47AD">
              <w:t>76</w:t>
            </w:r>
            <w:r w:rsidR="00B95739" w:rsidRPr="00AF47AD">
              <w:t>.</w:t>
            </w:r>
            <w:r w:rsidRPr="00AF47AD">
              <w:t>376</w:t>
            </w:r>
          </w:p>
        </w:tc>
        <w:tc>
          <w:tcPr>
            <w:tcW w:w="1412" w:type="dxa"/>
          </w:tcPr>
          <w:p w:rsidR="00755E78" w:rsidRPr="00AF47AD" w:rsidRDefault="00755E78" w:rsidP="00755E78">
            <w:pPr>
              <w:spacing w:after="220"/>
            </w:pPr>
            <w:r w:rsidRPr="00AF47AD">
              <w:t>77</w:t>
            </w:r>
            <w:r w:rsidR="00B95739" w:rsidRPr="00AF47AD">
              <w:t>.</w:t>
            </w:r>
            <w:r w:rsidRPr="00AF47AD">
              <w:t>653</w:t>
            </w:r>
          </w:p>
        </w:tc>
      </w:tr>
    </w:tbl>
    <w:p w:rsidR="00755E78" w:rsidRPr="00755E78" w:rsidRDefault="00755E78" w:rsidP="00755E78">
      <w:pPr>
        <w:spacing w:after="220"/>
        <w:rPr>
          <w:lang w:val="en-US"/>
        </w:rPr>
      </w:pPr>
    </w:p>
    <w:p w:rsidR="00755E78" w:rsidRPr="005D4712" w:rsidRDefault="005D4712" w:rsidP="00755E78">
      <w:pPr>
        <w:spacing w:after="220"/>
      </w:pPr>
      <w:r w:rsidRPr="005D4712">
        <w:t xml:space="preserve">Los campos técnicos arriba señalados </w:t>
      </w:r>
      <w:r>
        <w:t>son los siguientes</w:t>
      </w:r>
      <w:r w:rsidR="00755E78" w:rsidRPr="005D4712">
        <w:t>:</w:t>
      </w:r>
    </w:p>
    <w:p w:rsidR="00755E78" w:rsidRPr="005D4712" w:rsidRDefault="00755E78" w:rsidP="00755E78">
      <w:pPr>
        <w:spacing w:after="220"/>
      </w:pPr>
      <w:r w:rsidRPr="005D4712">
        <w:t>A</w:t>
      </w:r>
      <w:r w:rsidRPr="005D4712">
        <w:tab/>
        <w:t>Biotec</w:t>
      </w:r>
      <w:r w:rsidR="005D4712" w:rsidRPr="005D4712">
        <w:t>nología</w:t>
      </w:r>
    </w:p>
    <w:p w:rsidR="00755E78" w:rsidRPr="005D4712" w:rsidRDefault="00755E78" w:rsidP="0076474C">
      <w:pPr>
        <w:spacing w:after="220"/>
        <w:ind w:left="567" w:hanging="567"/>
      </w:pPr>
      <w:r w:rsidRPr="005D4712">
        <w:t>B</w:t>
      </w:r>
      <w:r w:rsidRPr="005D4712">
        <w:tab/>
      </w:r>
      <w:r w:rsidR="005D4712">
        <w:t>Computadoras, sistemas de procesado digit</w:t>
      </w:r>
      <w:r w:rsidR="005D4712" w:rsidRPr="005D4712">
        <w:t>al, seguridad de la informaci</w:t>
      </w:r>
      <w:r w:rsidR="005D4712">
        <w:t>ón, tratamiento de errores/ averías</w:t>
      </w:r>
    </w:p>
    <w:p w:rsidR="00755E78" w:rsidRPr="005D4712" w:rsidRDefault="00755E78" w:rsidP="00755E78">
      <w:pPr>
        <w:spacing w:after="220"/>
      </w:pPr>
      <w:r w:rsidRPr="005D4712">
        <w:t>C</w:t>
      </w:r>
      <w:r w:rsidRPr="005D4712">
        <w:tab/>
      </w:r>
      <w:r w:rsidR="005D4712" w:rsidRPr="005D4712">
        <w:t>Dispositivos médicos</w:t>
      </w:r>
    </w:p>
    <w:p w:rsidR="00755E78" w:rsidRPr="005D4712" w:rsidRDefault="00755E78" w:rsidP="00755E78">
      <w:pPr>
        <w:spacing w:after="220"/>
      </w:pPr>
      <w:r w:rsidRPr="005D4712">
        <w:t>D</w:t>
      </w:r>
      <w:r w:rsidRPr="005D4712">
        <w:tab/>
      </w:r>
      <w:r w:rsidR="005D4712" w:rsidRPr="005D4712">
        <w:t>Dispositivos semiconductor</w:t>
      </w:r>
      <w:r w:rsidR="005D4712">
        <w:t>e</w:t>
      </w:r>
      <w:r w:rsidR="005D4712" w:rsidRPr="005D4712">
        <w:t>s y fa</w:t>
      </w:r>
      <w:r w:rsidR="005D4712">
        <w:t>br</w:t>
      </w:r>
      <w:r w:rsidR="005D4712" w:rsidRPr="005D4712">
        <w:t>icaci</w:t>
      </w:r>
      <w:r w:rsidR="005D4712">
        <w:t xml:space="preserve">ón </w:t>
      </w:r>
    </w:p>
    <w:p w:rsidR="00755E78" w:rsidRPr="005D4712" w:rsidRDefault="00755E78" w:rsidP="00755E78">
      <w:pPr>
        <w:spacing w:after="220"/>
      </w:pPr>
      <w:r w:rsidRPr="005D4712">
        <w:lastRenderedPageBreak/>
        <w:t>E</w:t>
      </w:r>
      <w:r w:rsidRPr="005D4712">
        <w:tab/>
        <w:t>Telecom</w:t>
      </w:r>
      <w:r w:rsidR="005D4712" w:rsidRPr="005D4712">
        <w:t>unicaciones</w:t>
      </w:r>
    </w:p>
    <w:p w:rsidR="00755E78" w:rsidRPr="005D4712" w:rsidRDefault="00755E78" w:rsidP="00755E78">
      <w:pPr>
        <w:spacing w:after="220"/>
      </w:pPr>
      <w:r w:rsidRPr="005D4712">
        <w:t>F</w:t>
      </w:r>
      <w:r w:rsidRPr="005D4712">
        <w:tab/>
      </w:r>
      <w:r w:rsidR="005D4712" w:rsidRPr="005D4712">
        <w:t>Clase</w:t>
      </w:r>
      <w:r w:rsidR="005468F1">
        <w:t>s</w:t>
      </w:r>
      <w:r w:rsidR="005D4712" w:rsidRPr="005D4712">
        <w:t xml:space="preserve"> </w:t>
      </w:r>
      <w:r w:rsidR="005468F1">
        <w:t>sobre química y</w:t>
      </w:r>
      <w:r w:rsidR="005D4712" w:rsidRPr="005D4712">
        <w:t xml:space="preserve"> productos químicos</w:t>
      </w:r>
      <w:r w:rsidRPr="005D4712">
        <w:t xml:space="preserve"> </w:t>
      </w:r>
    </w:p>
    <w:p w:rsidR="00755E78" w:rsidRPr="005D4712" w:rsidRDefault="00755E78" w:rsidP="00755E78">
      <w:pPr>
        <w:spacing w:after="220"/>
      </w:pPr>
      <w:r w:rsidRPr="005D4712">
        <w:t>G</w:t>
      </w:r>
      <w:r w:rsidRPr="005D4712">
        <w:tab/>
      </w:r>
      <w:r w:rsidR="005D4712" w:rsidRPr="005D4712">
        <w:t>Clase</w:t>
      </w:r>
      <w:r w:rsidR="005468F1">
        <w:t>s</w:t>
      </w:r>
      <w:r w:rsidR="005D4712" w:rsidRPr="005D4712">
        <w:t xml:space="preserve"> </w:t>
      </w:r>
      <w:r w:rsidR="005468F1">
        <w:t>sobre electricidad y</w:t>
      </w:r>
      <w:r w:rsidR="005D4712" w:rsidRPr="005D4712">
        <w:t xml:space="preserve"> productos </w:t>
      </w:r>
      <w:r w:rsidR="005D4712">
        <w:t>eléctricos</w:t>
      </w:r>
    </w:p>
    <w:p w:rsidR="00755E78" w:rsidRPr="005D4712" w:rsidRDefault="00755E78" w:rsidP="00755E78">
      <w:pPr>
        <w:spacing w:after="220"/>
      </w:pPr>
      <w:r w:rsidRPr="005D4712">
        <w:t>H</w:t>
      </w:r>
      <w:r w:rsidRPr="005D4712">
        <w:tab/>
      </w:r>
      <w:r w:rsidR="005D4712" w:rsidRPr="005D4712">
        <w:t>Clase</w:t>
      </w:r>
      <w:r w:rsidR="005468F1">
        <w:t>s sobre mecánica y</w:t>
      </w:r>
      <w:r w:rsidR="005D4712" w:rsidRPr="005D4712">
        <w:t xml:space="preserve"> productos mecán</w:t>
      </w:r>
      <w:r w:rsidR="005D4712">
        <w:t>i</w:t>
      </w:r>
      <w:r w:rsidR="005D4712" w:rsidRPr="005D4712">
        <w:t>cos</w:t>
      </w:r>
    </w:p>
    <w:p w:rsidR="00755E78" w:rsidRPr="005D4712" w:rsidRDefault="00755E78" w:rsidP="00755E78">
      <w:pPr>
        <w:spacing w:after="220"/>
      </w:pPr>
      <w:r w:rsidRPr="005D4712">
        <w:t>(</w:t>
      </w:r>
      <w:r w:rsidR="005D4712" w:rsidRPr="005D4712">
        <w:t>Los totales en las filas</w:t>
      </w:r>
      <w:r w:rsidRPr="005D4712">
        <w:t xml:space="preserve"> F, G </w:t>
      </w:r>
      <w:r w:rsidR="005D4712" w:rsidRPr="005D4712">
        <w:t>y</w:t>
      </w:r>
      <w:r w:rsidRPr="005D4712">
        <w:t xml:space="preserve"> H </w:t>
      </w:r>
      <w:r w:rsidR="005D4712">
        <w:t>no recogen las solicitudes incluidas en A-E)</w:t>
      </w:r>
    </w:p>
    <w:p w:rsidR="00755E78" w:rsidRPr="007837C5" w:rsidRDefault="007837C5" w:rsidP="00755E78">
      <w:pPr>
        <w:spacing w:after="220"/>
      </w:pPr>
      <w:r w:rsidRPr="007837C5">
        <w:t>Según la v</w:t>
      </w:r>
      <w:r>
        <w:t>ía de prioridad utilizada</w:t>
      </w:r>
      <w:r w:rsidR="00755E78" w:rsidRPr="007837C5">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755E78" w:rsidRPr="003C680D" w:rsidTr="00B016F4">
        <w:tc>
          <w:tcPr>
            <w:tcW w:w="2463" w:type="dxa"/>
            <w:tcBorders>
              <w:bottom w:val="single" w:sz="4" w:space="0" w:color="auto"/>
            </w:tcBorders>
          </w:tcPr>
          <w:p w:rsidR="00755E78" w:rsidRPr="003C680D" w:rsidRDefault="00755E78" w:rsidP="00755E78">
            <w:pPr>
              <w:spacing w:after="220"/>
            </w:pPr>
          </w:p>
        </w:tc>
        <w:tc>
          <w:tcPr>
            <w:tcW w:w="1421" w:type="dxa"/>
            <w:tcBorders>
              <w:bottom w:val="single" w:sz="4" w:space="0" w:color="auto"/>
            </w:tcBorders>
          </w:tcPr>
          <w:p w:rsidR="00755E78" w:rsidRPr="003C680D" w:rsidRDefault="00755E78" w:rsidP="00755E78">
            <w:pPr>
              <w:spacing w:after="220"/>
            </w:pPr>
            <w:r w:rsidRPr="003C680D">
              <w:t>2011</w:t>
            </w:r>
          </w:p>
        </w:tc>
        <w:tc>
          <w:tcPr>
            <w:tcW w:w="1422" w:type="dxa"/>
            <w:tcBorders>
              <w:bottom w:val="single" w:sz="4" w:space="0" w:color="auto"/>
            </w:tcBorders>
          </w:tcPr>
          <w:p w:rsidR="00755E78" w:rsidRPr="003C680D" w:rsidRDefault="00755E78" w:rsidP="00755E78">
            <w:pPr>
              <w:spacing w:after="220"/>
            </w:pPr>
            <w:r w:rsidRPr="003C680D">
              <w:t>2012</w:t>
            </w:r>
          </w:p>
        </w:tc>
        <w:tc>
          <w:tcPr>
            <w:tcW w:w="1421" w:type="dxa"/>
            <w:tcBorders>
              <w:bottom w:val="single" w:sz="4" w:space="0" w:color="auto"/>
            </w:tcBorders>
          </w:tcPr>
          <w:p w:rsidR="00755E78" w:rsidRPr="003C680D" w:rsidRDefault="00755E78" w:rsidP="00755E78">
            <w:pPr>
              <w:spacing w:after="220"/>
            </w:pPr>
            <w:r w:rsidRPr="003C680D">
              <w:t>2013</w:t>
            </w:r>
          </w:p>
        </w:tc>
        <w:tc>
          <w:tcPr>
            <w:tcW w:w="1422" w:type="dxa"/>
            <w:tcBorders>
              <w:bottom w:val="single" w:sz="4" w:space="0" w:color="auto"/>
            </w:tcBorders>
          </w:tcPr>
          <w:p w:rsidR="00755E78" w:rsidRPr="003C680D" w:rsidRDefault="00755E78" w:rsidP="00755E78">
            <w:pPr>
              <w:spacing w:after="220"/>
            </w:pPr>
            <w:r w:rsidRPr="003C680D">
              <w:t>2014</w:t>
            </w:r>
          </w:p>
        </w:tc>
        <w:tc>
          <w:tcPr>
            <w:tcW w:w="1422" w:type="dxa"/>
            <w:tcBorders>
              <w:bottom w:val="single" w:sz="4" w:space="0" w:color="auto"/>
            </w:tcBorders>
          </w:tcPr>
          <w:p w:rsidR="00755E78" w:rsidRPr="003C680D" w:rsidRDefault="00755E78" w:rsidP="00755E78">
            <w:pPr>
              <w:spacing w:after="220"/>
            </w:pPr>
            <w:r w:rsidRPr="003C680D">
              <w:t>2015</w:t>
            </w:r>
          </w:p>
        </w:tc>
      </w:tr>
      <w:tr w:rsidR="00755E78" w:rsidRPr="003C680D" w:rsidTr="00B016F4">
        <w:tc>
          <w:tcPr>
            <w:tcW w:w="2463" w:type="dxa"/>
            <w:tcBorders>
              <w:top w:val="single" w:sz="4" w:space="0" w:color="auto"/>
              <w:bottom w:val="nil"/>
            </w:tcBorders>
          </w:tcPr>
          <w:p w:rsidR="00755E78" w:rsidRPr="003C680D" w:rsidRDefault="002C69C6" w:rsidP="002C69C6">
            <w:pPr>
              <w:spacing w:after="220"/>
            </w:pPr>
            <w:r w:rsidRPr="003C680D">
              <w:t>Solicitudes totales</w:t>
            </w:r>
            <w:r w:rsidR="00755E78" w:rsidRPr="003C680D">
              <w:t xml:space="preserve"> </w:t>
            </w:r>
          </w:p>
        </w:tc>
        <w:tc>
          <w:tcPr>
            <w:tcW w:w="1421" w:type="dxa"/>
            <w:tcBorders>
              <w:top w:val="single" w:sz="4" w:space="0" w:color="auto"/>
              <w:bottom w:val="nil"/>
            </w:tcBorders>
          </w:tcPr>
          <w:p w:rsidR="00755E78" w:rsidRPr="003C680D" w:rsidRDefault="00755E78" w:rsidP="00755E78">
            <w:pPr>
              <w:spacing w:after="220"/>
            </w:pPr>
            <w:r w:rsidRPr="003C680D">
              <w:t>537</w:t>
            </w:r>
            <w:r w:rsidR="002C69C6" w:rsidRPr="003C680D">
              <w:t>.</w:t>
            </w:r>
            <w:r w:rsidRPr="003C680D">
              <w:t>171</w:t>
            </w:r>
          </w:p>
        </w:tc>
        <w:tc>
          <w:tcPr>
            <w:tcW w:w="1422" w:type="dxa"/>
            <w:tcBorders>
              <w:top w:val="single" w:sz="4" w:space="0" w:color="auto"/>
              <w:bottom w:val="nil"/>
            </w:tcBorders>
          </w:tcPr>
          <w:p w:rsidR="00755E78" w:rsidRPr="003C680D" w:rsidRDefault="00755E78" w:rsidP="00755E78">
            <w:pPr>
              <w:spacing w:after="220"/>
            </w:pPr>
            <w:r w:rsidRPr="003C680D">
              <w:t>565</w:t>
            </w:r>
            <w:r w:rsidR="002C69C6" w:rsidRPr="003C680D">
              <w:t>.</w:t>
            </w:r>
            <w:r w:rsidRPr="003C680D">
              <w:t>566</w:t>
            </w:r>
          </w:p>
        </w:tc>
        <w:tc>
          <w:tcPr>
            <w:tcW w:w="1421" w:type="dxa"/>
            <w:tcBorders>
              <w:top w:val="single" w:sz="4" w:space="0" w:color="auto"/>
              <w:bottom w:val="nil"/>
            </w:tcBorders>
          </w:tcPr>
          <w:p w:rsidR="00755E78" w:rsidRPr="003C680D" w:rsidRDefault="00755E78" w:rsidP="00755E78">
            <w:pPr>
              <w:spacing w:after="220"/>
            </w:pPr>
            <w:r w:rsidRPr="003C680D">
              <w:t>601</w:t>
            </w:r>
            <w:r w:rsidR="002C69C6" w:rsidRPr="003C680D">
              <w:t>.</w:t>
            </w:r>
            <w:r w:rsidRPr="003C680D">
              <w:t>464</w:t>
            </w:r>
          </w:p>
        </w:tc>
        <w:tc>
          <w:tcPr>
            <w:tcW w:w="1422" w:type="dxa"/>
            <w:tcBorders>
              <w:top w:val="single" w:sz="4" w:space="0" w:color="auto"/>
              <w:bottom w:val="nil"/>
            </w:tcBorders>
          </w:tcPr>
          <w:p w:rsidR="00755E78" w:rsidRPr="003C680D" w:rsidRDefault="00755E78" w:rsidP="00755E78">
            <w:pPr>
              <w:spacing w:after="220"/>
            </w:pPr>
            <w:r w:rsidRPr="003C680D">
              <w:t>618</w:t>
            </w:r>
            <w:r w:rsidR="002C69C6" w:rsidRPr="003C680D">
              <w:t>.</w:t>
            </w:r>
            <w:r w:rsidRPr="003C680D">
              <w:t>457</w:t>
            </w:r>
          </w:p>
        </w:tc>
        <w:tc>
          <w:tcPr>
            <w:tcW w:w="1422" w:type="dxa"/>
            <w:tcBorders>
              <w:top w:val="single" w:sz="4" w:space="0" w:color="auto"/>
              <w:bottom w:val="nil"/>
            </w:tcBorders>
          </w:tcPr>
          <w:p w:rsidR="00755E78" w:rsidRPr="003C680D" w:rsidRDefault="00755E78" w:rsidP="00755E78">
            <w:pPr>
              <w:spacing w:after="220"/>
            </w:pPr>
            <w:r w:rsidRPr="003C680D">
              <w:t>617</w:t>
            </w:r>
            <w:r w:rsidR="002C69C6" w:rsidRPr="003C680D">
              <w:t>.</w:t>
            </w:r>
            <w:r w:rsidRPr="003C680D">
              <w:t>216</w:t>
            </w:r>
          </w:p>
        </w:tc>
      </w:tr>
      <w:tr w:rsidR="00755E78" w:rsidRPr="003C680D" w:rsidTr="00B016F4">
        <w:tc>
          <w:tcPr>
            <w:tcW w:w="2463" w:type="dxa"/>
            <w:tcBorders>
              <w:top w:val="nil"/>
            </w:tcBorders>
          </w:tcPr>
          <w:p w:rsidR="00755E78" w:rsidRPr="003C680D" w:rsidRDefault="002C69C6" w:rsidP="002C69C6">
            <w:pPr>
              <w:spacing w:after="220"/>
            </w:pPr>
            <w:r w:rsidRPr="003C680D">
              <w:t xml:space="preserve">Fase nacional del </w:t>
            </w:r>
            <w:r w:rsidR="00755E78" w:rsidRPr="003C680D">
              <w:t xml:space="preserve">PCT </w:t>
            </w:r>
          </w:p>
        </w:tc>
        <w:tc>
          <w:tcPr>
            <w:tcW w:w="1421" w:type="dxa"/>
            <w:tcBorders>
              <w:top w:val="nil"/>
            </w:tcBorders>
          </w:tcPr>
          <w:p w:rsidR="00755E78" w:rsidRPr="003C680D" w:rsidRDefault="00755E78" w:rsidP="00755E78">
            <w:pPr>
              <w:spacing w:after="220"/>
            </w:pPr>
            <w:r w:rsidRPr="003C680D">
              <w:t>65</w:t>
            </w:r>
            <w:r w:rsidR="002C69C6" w:rsidRPr="003C680D">
              <w:t>.</w:t>
            </w:r>
            <w:r w:rsidRPr="003C680D">
              <w:t>463</w:t>
            </w:r>
          </w:p>
        </w:tc>
        <w:tc>
          <w:tcPr>
            <w:tcW w:w="1422" w:type="dxa"/>
            <w:tcBorders>
              <w:top w:val="nil"/>
            </w:tcBorders>
          </w:tcPr>
          <w:p w:rsidR="00755E78" w:rsidRPr="003C680D" w:rsidRDefault="00755E78" w:rsidP="00755E78">
            <w:pPr>
              <w:spacing w:after="220"/>
            </w:pPr>
            <w:r w:rsidRPr="003C680D">
              <w:t>67</w:t>
            </w:r>
            <w:r w:rsidR="002C69C6" w:rsidRPr="003C680D">
              <w:t>.</w:t>
            </w:r>
            <w:r w:rsidRPr="003C680D">
              <w:t>573</w:t>
            </w:r>
          </w:p>
        </w:tc>
        <w:tc>
          <w:tcPr>
            <w:tcW w:w="1421" w:type="dxa"/>
            <w:tcBorders>
              <w:top w:val="nil"/>
            </w:tcBorders>
          </w:tcPr>
          <w:p w:rsidR="00755E78" w:rsidRPr="003C680D" w:rsidRDefault="00755E78" w:rsidP="00755E78">
            <w:pPr>
              <w:spacing w:after="220"/>
            </w:pPr>
            <w:r w:rsidRPr="003C680D">
              <w:t>73</w:t>
            </w:r>
            <w:r w:rsidR="002C69C6" w:rsidRPr="003C680D">
              <w:t>.</w:t>
            </w:r>
            <w:r w:rsidRPr="003C680D">
              <w:t>488</w:t>
            </w:r>
          </w:p>
        </w:tc>
        <w:tc>
          <w:tcPr>
            <w:tcW w:w="1422" w:type="dxa"/>
            <w:tcBorders>
              <w:top w:val="nil"/>
            </w:tcBorders>
          </w:tcPr>
          <w:p w:rsidR="00755E78" w:rsidRPr="003C680D" w:rsidRDefault="00755E78" w:rsidP="00755E78">
            <w:pPr>
              <w:spacing w:after="220"/>
            </w:pPr>
            <w:r w:rsidRPr="003C680D">
              <w:t>78</w:t>
            </w:r>
            <w:r w:rsidR="002C69C6" w:rsidRPr="003C680D">
              <w:t>.</w:t>
            </w:r>
            <w:r w:rsidRPr="003C680D">
              <w:t>213</w:t>
            </w:r>
          </w:p>
        </w:tc>
        <w:tc>
          <w:tcPr>
            <w:tcW w:w="1422" w:type="dxa"/>
            <w:tcBorders>
              <w:top w:val="nil"/>
            </w:tcBorders>
          </w:tcPr>
          <w:p w:rsidR="00755E78" w:rsidRPr="003C680D" w:rsidRDefault="00755E78" w:rsidP="00755E78">
            <w:pPr>
              <w:spacing w:after="220"/>
            </w:pPr>
            <w:r w:rsidRPr="003C680D">
              <w:t>85</w:t>
            </w:r>
            <w:r w:rsidR="002C69C6" w:rsidRPr="003C680D">
              <w:t>.</w:t>
            </w:r>
            <w:r w:rsidRPr="003C680D">
              <w:t>387</w:t>
            </w:r>
          </w:p>
        </w:tc>
      </w:tr>
    </w:tbl>
    <w:p w:rsidR="00755E78" w:rsidRPr="00755E78" w:rsidRDefault="00755E78" w:rsidP="00755E78">
      <w:pPr>
        <w:spacing w:after="220"/>
        <w:rPr>
          <w:lang w:val="en-US"/>
        </w:rPr>
      </w:pPr>
    </w:p>
    <w:p w:rsidR="00755E78" w:rsidRPr="002C69C6" w:rsidRDefault="002C69C6" w:rsidP="00755E78">
      <w:pPr>
        <w:spacing w:after="220"/>
      </w:pPr>
      <w:r w:rsidRPr="002C69C6">
        <w:t>Número de solicitudes int</w:t>
      </w:r>
      <w:r>
        <w:t>e</w:t>
      </w:r>
      <w:r w:rsidRPr="002C69C6">
        <w:t>rnacionales recibida</w:t>
      </w:r>
      <w:r>
        <w:t>s como Oficina receptora del PCT</w:t>
      </w:r>
      <w:r w:rsidR="00755E78" w:rsidRPr="002C69C6">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755E78" w:rsidRPr="00755E78" w:rsidTr="00B016F4">
        <w:tc>
          <w:tcPr>
            <w:tcW w:w="2463" w:type="dxa"/>
          </w:tcPr>
          <w:p w:rsidR="00755E78" w:rsidRPr="002C69C6" w:rsidRDefault="00755E78" w:rsidP="00755E78">
            <w:pPr>
              <w:spacing w:after="220"/>
            </w:pPr>
          </w:p>
        </w:tc>
        <w:tc>
          <w:tcPr>
            <w:tcW w:w="1421" w:type="dxa"/>
          </w:tcPr>
          <w:p w:rsidR="00755E78" w:rsidRPr="00755E78" w:rsidRDefault="00755E78" w:rsidP="00755E78">
            <w:pPr>
              <w:spacing w:after="220"/>
              <w:rPr>
                <w:lang w:val="en-US"/>
              </w:rPr>
            </w:pPr>
            <w:r w:rsidRPr="00755E78">
              <w:rPr>
                <w:lang w:val="en-US"/>
              </w:rPr>
              <w:t>2011</w:t>
            </w:r>
          </w:p>
        </w:tc>
        <w:tc>
          <w:tcPr>
            <w:tcW w:w="1422" w:type="dxa"/>
          </w:tcPr>
          <w:p w:rsidR="00755E78" w:rsidRPr="00755E78" w:rsidRDefault="00755E78" w:rsidP="00755E78">
            <w:pPr>
              <w:spacing w:after="220"/>
              <w:rPr>
                <w:lang w:val="en-US"/>
              </w:rPr>
            </w:pPr>
            <w:r w:rsidRPr="00755E78">
              <w:rPr>
                <w:lang w:val="en-US"/>
              </w:rPr>
              <w:t>2012</w:t>
            </w:r>
          </w:p>
        </w:tc>
        <w:tc>
          <w:tcPr>
            <w:tcW w:w="1421" w:type="dxa"/>
          </w:tcPr>
          <w:p w:rsidR="00755E78" w:rsidRPr="00755E78" w:rsidRDefault="00755E78" w:rsidP="00755E78">
            <w:pPr>
              <w:spacing w:after="220"/>
              <w:rPr>
                <w:lang w:val="en-US"/>
              </w:rPr>
            </w:pPr>
            <w:r w:rsidRPr="00755E78">
              <w:rPr>
                <w:lang w:val="en-US"/>
              </w:rPr>
              <w:t>2013</w:t>
            </w:r>
          </w:p>
        </w:tc>
        <w:tc>
          <w:tcPr>
            <w:tcW w:w="1422" w:type="dxa"/>
          </w:tcPr>
          <w:p w:rsidR="00755E78" w:rsidRPr="00755E78" w:rsidRDefault="00755E78" w:rsidP="00755E78">
            <w:pPr>
              <w:spacing w:after="220"/>
              <w:rPr>
                <w:lang w:val="en-US"/>
              </w:rPr>
            </w:pPr>
            <w:r w:rsidRPr="00755E78">
              <w:rPr>
                <w:lang w:val="en-US"/>
              </w:rPr>
              <w:t>2014</w:t>
            </w:r>
          </w:p>
        </w:tc>
        <w:tc>
          <w:tcPr>
            <w:tcW w:w="1422" w:type="dxa"/>
          </w:tcPr>
          <w:p w:rsidR="00755E78" w:rsidRPr="00755E78" w:rsidRDefault="00755E78" w:rsidP="00755E78">
            <w:pPr>
              <w:spacing w:after="220"/>
              <w:rPr>
                <w:lang w:val="en-US"/>
              </w:rPr>
            </w:pPr>
            <w:r w:rsidRPr="00755E78">
              <w:rPr>
                <w:lang w:val="en-US"/>
              </w:rPr>
              <w:t>2015</w:t>
            </w:r>
          </w:p>
        </w:tc>
      </w:tr>
      <w:tr w:rsidR="00755E78" w:rsidRPr="00755E78" w:rsidTr="00B016F4">
        <w:tc>
          <w:tcPr>
            <w:tcW w:w="2463" w:type="dxa"/>
          </w:tcPr>
          <w:p w:rsidR="00755E78" w:rsidRPr="00755E78" w:rsidRDefault="00755E78" w:rsidP="00755E78">
            <w:pPr>
              <w:spacing w:after="220"/>
              <w:rPr>
                <w:lang w:val="en-US"/>
              </w:rPr>
            </w:pPr>
          </w:p>
        </w:tc>
        <w:tc>
          <w:tcPr>
            <w:tcW w:w="1421" w:type="dxa"/>
          </w:tcPr>
          <w:p w:rsidR="00755E78" w:rsidRPr="00755E78" w:rsidRDefault="002C69C6" w:rsidP="00755E78">
            <w:pPr>
              <w:spacing w:after="220"/>
              <w:rPr>
                <w:lang w:val="en-US"/>
              </w:rPr>
            </w:pPr>
            <w:r>
              <w:rPr>
                <w:lang w:val="en-US"/>
              </w:rPr>
              <w:t>48.</w:t>
            </w:r>
            <w:r w:rsidR="00755E78" w:rsidRPr="00755E78">
              <w:rPr>
                <w:lang w:val="en-US"/>
              </w:rPr>
              <w:t>285</w:t>
            </w:r>
          </w:p>
        </w:tc>
        <w:tc>
          <w:tcPr>
            <w:tcW w:w="1422" w:type="dxa"/>
          </w:tcPr>
          <w:p w:rsidR="00755E78" w:rsidRPr="00755E78" w:rsidRDefault="002C69C6" w:rsidP="00755E78">
            <w:pPr>
              <w:spacing w:after="220"/>
              <w:rPr>
                <w:lang w:val="en-US"/>
              </w:rPr>
            </w:pPr>
            <w:r>
              <w:rPr>
                <w:lang w:val="en-US"/>
              </w:rPr>
              <w:t>52.</w:t>
            </w:r>
            <w:r w:rsidR="00755E78" w:rsidRPr="00755E78">
              <w:rPr>
                <w:lang w:val="en-US"/>
              </w:rPr>
              <w:t>417</w:t>
            </w:r>
          </w:p>
        </w:tc>
        <w:tc>
          <w:tcPr>
            <w:tcW w:w="1421" w:type="dxa"/>
          </w:tcPr>
          <w:p w:rsidR="00755E78" w:rsidRPr="00755E78" w:rsidRDefault="002C69C6" w:rsidP="00755E78">
            <w:pPr>
              <w:spacing w:after="220"/>
              <w:rPr>
                <w:lang w:val="en-US"/>
              </w:rPr>
            </w:pPr>
            <w:r>
              <w:rPr>
                <w:lang w:val="en-US"/>
              </w:rPr>
              <w:t>56.</w:t>
            </w:r>
            <w:r w:rsidR="00755E78" w:rsidRPr="00755E78">
              <w:rPr>
                <w:lang w:val="en-US"/>
              </w:rPr>
              <w:t>226</w:t>
            </w:r>
          </w:p>
        </w:tc>
        <w:tc>
          <w:tcPr>
            <w:tcW w:w="1422" w:type="dxa"/>
          </w:tcPr>
          <w:p w:rsidR="00755E78" w:rsidRPr="00755E78" w:rsidRDefault="002C69C6" w:rsidP="00755E78">
            <w:pPr>
              <w:spacing w:after="220"/>
              <w:rPr>
                <w:lang w:val="en-US"/>
              </w:rPr>
            </w:pPr>
            <w:r>
              <w:rPr>
                <w:lang w:val="en-US"/>
              </w:rPr>
              <w:t>62.</w:t>
            </w:r>
            <w:r w:rsidR="00755E78" w:rsidRPr="00755E78">
              <w:rPr>
                <w:lang w:val="en-US"/>
              </w:rPr>
              <w:t>697</w:t>
            </w:r>
          </w:p>
        </w:tc>
        <w:tc>
          <w:tcPr>
            <w:tcW w:w="1422" w:type="dxa"/>
          </w:tcPr>
          <w:p w:rsidR="00755E78" w:rsidRPr="00755E78" w:rsidRDefault="002C69C6" w:rsidP="00755E78">
            <w:pPr>
              <w:spacing w:after="220"/>
              <w:rPr>
                <w:lang w:val="en-US"/>
              </w:rPr>
            </w:pPr>
            <w:r>
              <w:rPr>
                <w:lang w:val="en-US"/>
              </w:rPr>
              <w:t>56.</w:t>
            </w:r>
            <w:r w:rsidR="00755E78" w:rsidRPr="00755E78">
              <w:rPr>
                <w:lang w:val="en-US"/>
              </w:rPr>
              <w:t>480</w:t>
            </w:r>
          </w:p>
        </w:tc>
      </w:tr>
    </w:tbl>
    <w:p w:rsidR="00755E78" w:rsidRPr="00755E78" w:rsidRDefault="00755E78" w:rsidP="00755E78">
      <w:pPr>
        <w:spacing w:after="220"/>
        <w:rPr>
          <w:lang w:val="en-US"/>
        </w:rPr>
      </w:pPr>
    </w:p>
    <w:p w:rsidR="00755E78" w:rsidRPr="00863E20" w:rsidRDefault="00863E20" w:rsidP="00755E78">
      <w:pPr>
        <w:spacing w:after="220"/>
        <w:rPr>
          <w:b/>
        </w:rPr>
      </w:pPr>
      <w:r w:rsidRPr="00863E20">
        <w:rPr>
          <w:b/>
        </w:rPr>
        <w:t>Tiempo de tramitación nacional y retraso acumulado</w:t>
      </w:r>
    </w:p>
    <w:p w:rsidR="00755E78" w:rsidRPr="00863E20" w:rsidRDefault="00863E20" w:rsidP="00863E20">
      <w:pPr>
        <w:spacing w:after="220"/>
      </w:pPr>
      <w:r>
        <w:t>Datos obtenidos en febrero de 2017 del Centro de Visualización de Datos de la Oficina de Patentes y Marcas de los Estados Unidos de América</w:t>
      </w:r>
      <w:r w:rsidR="00755E78" w:rsidRPr="00863E20">
        <w:rPr>
          <w:szCs w:val="22"/>
          <w:vertAlign w:val="superscript"/>
        </w:rPr>
        <w:footnoteReference w:id="9"/>
      </w:r>
      <w:r w:rsidR="00755E78" w:rsidRPr="00863E20">
        <w:t>.</w:t>
      </w:r>
    </w:p>
    <w:tbl>
      <w:tblPr>
        <w:tblStyle w:val="TableGrid"/>
        <w:tblW w:w="0" w:type="auto"/>
        <w:tblLook w:val="04A0" w:firstRow="1" w:lastRow="0" w:firstColumn="1" w:lastColumn="0" w:noHBand="0" w:noVBand="1"/>
      </w:tblPr>
      <w:tblGrid>
        <w:gridCol w:w="5353"/>
        <w:gridCol w:w="2552"/>
      </w:tblGrid>
      <w:tr w:rsidR="00755E78" w:rsidRPr="00863E20" w:rsidTr="00B016F4">
        <w:tc>
          <w:tcPr>
            <w:tcW w:w="5353" w:type="dxa"/>
            <w:tcBorders>
              <w:top w:val="nil"/>
              <w:left w:val="nil"/>
              <w:bottom w:val="single" w:sz="4" w:space="0" w:color="auto"/>
              <w:right w:val="nil"/>
            </w:tcBorders>
          </w:tcPr>
          <w:p w:rsidR="00755E78" w:rsidRPr="00863E20" w:rsidRDefault="00755E78" w:rsidP="00B95739">
            <w:pPr>
              <w:spacing w:after="220"/>
            </w:pPr>
            <w:r w:rsidRPr="00863E20">
              <w:t>Par</w:t>
            </w:r>
            <w:r w:rsidR="00B95739" w:rsidRPr="00863E20">
              <w:t>ámetro</w:t>
            </w:r>
          </w:p>
        </w:tc>
        <w:tc>
          <w:tcPr>
            <w:tcW w:w="2552" w:type="dxa"/>
            <w:tcBorders>
              <w:top w:val="nil"/>
              <w:left w:val="nil"/>
              <w:bottom w:val="single" w:sz="4" w:space="0" w:color="auto"/>
              <w:right w:val="nil"/>
            </w:tcBorders>
          </w:tcPr>
          <w:p w:rsidR="00755E78" w:rsidRPr="00863E20" w:rsidRDefault="00834C0A" w:rsidP="00755E78">
            <w:pPr>
              <w:spacing w:after="220"/>
            </w:pPr>
            <w:r>
              <w:t>Tiempo</w:t>
            </w:r>
          </w:p>
        </w:tc>
      </w:tr>
      <w:tr w:rsidR="00755E78" w:rsidRPr="00863E20" w:rsidTr="00B016F4">
        <w:tc>
          <w:tcPr>
            <w:tcW w:w="5353" w:type="dxa"/>
            <w:tcBorders>
              <w:left w:val="nil"/>
              <w:bottom w:val="nil"/>
              <w:right w:val="nil"/>
            </w:tcBorders>
          </w:tcPr>
          <w:p w:rsidR="00755E78" w:rsidRPr="00863E20" w:rsidRDefault="00863E20" w:rsidP="00863E20">
            <w:pPr>
              <w:spacing w:after="220"/>
            </w:pPr>
            <w:r w:rsidRPr="00863E20">
              <w:t>Hasta la primera actuación de la oficina</w:t>
            </w:r>
          </w:p>
        </w:tc>
        <w:tc>
          <w:tcPr>
            <w:tcW w:w="2552" w:type="dxa"/>
            <w:tcBorders>
              <w:left w:val="nil"/>
              <w:bottom w:val="nil"/>
              <w:right w:val="nil"/>
            </w:tcBorders>
          </w:tcPr>
          <w:p w:rsidR="00755E78" w:rsidRPr="00863E20" w:rsidRDefault="00755E78" w:rsidP="00B95739">
            <w:pPr>
              <w:spacing w:after="220"/>
            </w:pPr>
            <w:r w:rsidRPr="00863E20">
              <w:t>15</w:t>
            </w:r>
            <w:r w:rsidR="00B95739" w:rsidRPr="00863E20">
              <w:t>,</w:t>
            </w:r>
            <w:r w:rsidRPr="00863E20">
              <w:t xml:space="preserve">7 </w:t>
            </w:r>
            <w:r w:rsidR="00B95739" w:rsidRPr="00863E20">
              <w:t>meses</w:t>
            </w:r>
          </w:p>
        </w:tc>
      </w:tr>
      <w:tr w:rsidR="00755E78" w:rsidRPr="00863E20" w:rsidTr="00B016F4">
        <w:tc>
          <w:tcPr>
            <w:tcW w:w="5353" w:type="dxa"/>
            <w:tcBorders>
              <w:top w:val="nil"/>
              <w:left w:val="nil"/>
              <w:bottom w:val="nil"/>
              <w:right w:val="nil"/>
            </w:tcBorders>
          </w:tcPr>
          <w:p w:rsidR="00755E78" w:rsidRPr="00863E20" w:rsidRDefault="00863E20" w:rsidP="000F521E">
            <w:pPr>
              <w:spacing w:after="220"/>
            </w:pPr>
            <w:r w:rsidRPr="00863E20">
              <w:t>Hasta la d</w:t>
            </w:r>
            <w:r w:rsidR="000F521E">
              <w:t>ecis</w:t>
            </w:r>
            <w:r w:rsidRPr="00863E20">
              <w:t>ión final</w:t>
            </w:r>
          </w:p>
        </w:tc>
        <w:tc>
          <w:tcPr>
            <w:tcW w:w="2552" w:type="dxa"/>
            <w:tcBorders>
              <w:top w:val="nil"/>
              <w:left w:val="nil"/>
              <w:bottom w:val="nil"/>
              <w:right w:val="nil"/>
            </w:tcBorders>
          </w:tcPr>
          <w:p w:rsidR="00755E78" w:rsidRPr="00863E20" w:rsidRDefault="00755E78" w:rsidP="00B95739">
            <w:pPr>
              <w:spacing w:after="220"/>
            </w:pPr>
            <w:r w:rsidRPr="00863E20">
              <w:t>25</w:t>
            </w:r>
            <w:r w:rsidR="00B95739" w:rsidRPr="00863E20">
              <w:t>,</w:t>
            </w:r>
            <w:r w:rsidRPr="00863E20">
              <w:t xml:space="preserve">6 </w:t>
            </w:r>
            <w:r w:rsidR="00B95739" w:rsidRPr="00863E20">
              <w:t>meses</w:t>
            </w:r>
          </w:p>
        </w:tc>
      </w:tr>
    </w:tbl>
    <w:p w:rsidR="00755E78" w:rsidRPr="00863E20" w:rsidRDefault="00755E78" w:rsidP="00755E78">
      <w:pPr>
        <w:spacing w:after="220"/>
      </w:pPr>
    </w:p>
    <w:tbl>
      <w:tblPr>
        <w:tblStyle w:val="TableGrid"/>
        <w:tblW w:w="0" w:type="auto"/>
        <w:tblLook w:val="04A0" w:firstRow="1" w:lastRow="0" w:firstColumn="1" w:lastColumn="0" w:noHBand="0" w:noVBand="1"/>
      </w:tblPr>
      <w:tblGrid>
        <w:gridCol w:w="5353"/>
        <w:gridCol w:w="2552"/>
      </w:tblGrid>
      <w:tr w:rsidR="00755E78" w:rsidRPr="00863E20" w:rsidTr="00B016F4">
        <w:tc>
          <w:tcPr>
            <w:tcW w:w="5353" w:type="dxa"/>
            <w:tcBorders>
              <w:top w:val="nil"/>
              <w:left w:val="nil"/>
              <w:bottom w:val="single" w:sz="4" w:space="0" w:color="auto"/>
              <w:right w:val="nil"/>
            </w:tcBorders>
          </w:tcPr>
          <w:p w:rsidR="00755E78" w:rsidRPr="00863E20" w:rsidRDefault="00B95739" w:rsidP="00755E78">
            <w:pPr>
              <w:spacing w:after="220"/>
            </w:pPr>
            <w:r w:rsidRPr="00863E20">
              <w:t>Medición</w:t>
            </w:r>
          </w:p>
        </w:tc>
        <w:tc>
          <w:tcPr>
            <w:tcW w:w="2552" w:type="dxa"/>
            <w:tcBorders>
              <w:top w:val="nil"/>
              <w:left w:val="nil"/>
              <w:bottom w:val="single" w:sz="4" w:space="0" w:color="auto"/>
              <w:right w:val="nil"/>
            </w:tcBorders>
          </w:tcPr>
          <w:p w:rsidR="00755E78" w:rsidRPr="00863E20" w:rsidRDefault="00B95739" w:rsidP="00755E78">
            <w:pPr>
              <w:spacing w:after="220"/>
            </w:pPr>
            <w:r w:rsidRPr="00863E20">
              <w:t>Número de solicitudes</w:t>
            </w:r>
          </w:p>
        </w:tc>
      </w:tr>
      <w:tr w:rsidR="00755E78" w:rsidRPr="00863E20" w:rsidTr="00B016F4">
        <w:tc>
          <w:tcPr>
            <w:tcW w:w="5353" w:type="dxa"/>
            <w:tcBorders>
              <w:left w:val="nil"/>
              <w:bottom w:val="nil"/>
              <w:right w:val="nil"/>
            </w:tcBorders>
          </w:tcPr>
          <w:p w:rsidR="00755E78" w:rsidRPr="00863E20" w:rsidRDefault="00863E20" w:rsidP="00863E20">
            <w:pPr>
              <w:spacing w:after="220"/>
            </w:pPr>
            <w:r w:rsidRPr="00863E20">
              <w:t xml:space="preserve">Número de solicitudes en espera </w:t>
            </w:r>
            <w:r w:rsidR="00755E78" w:rsidRPr="00863E20">
              <w:t xml:space="preserve"> </w:t>
            </w:r>
          </w:p>
        </w:tc>
        <w:tc>
          <w:tcPr>
            <w:tcW w:w="2552" w:type="dxa"/>
            <w:tcBorders>
              <w:left w:val="nil"/>
              <w:bottom w:val="nil"/>
              <w:right w:val="nil"/>
            </w:tcBorders>
          </w:tcPr>
          <w:p w:rsidR="00755E78" w:rsidRPr="00863E20" w:rsidRDefault="00755E78" w:rsidP="00755E78">
            <w:pPr>
              <w:spacing w:after="220"/>
            </w:pPr>
            <w:r w:rsidRPr="00863E20">
              <w:t>5</w:t>
            </w:r>
            <w:r w:rsidR="00863E20" w:rsidRPr="00863E20">
              <w:t>46.</w:t>
            </w:r>
            <w:r w:rsidRPr="00863E20">
              <w:t>702</w:t>
            </w:r>
          </w:p>
        </w:tc>
      </w:tr>
    </w:tbl>
    <w:p w:rsidR="00755E78" w:rsidRPr="00834C0A" w:rsidRDefault="00755E78" w:rsidP="00755E78">
      <w:pPr>
        <w:spacing w:after="220"/>
      </w:pPr>
    </w:p>
    <w:p w:rsidR="00755E78" w:rsidRPr="00834C0A" w:rsidRDefault="00755E78" w:rsidP="00755E78">
      <w:pPr>
        <w:spacing w:after="220"/>
        <w:rPr>
          <w:b/>
          <w:caps/>
          <w:u w:val="single"/>
        </w:rPr>
      </w:pPr>
      <w:r w:rsidRPr="00834C0A">
        <w:rPr>
          <w:b/>
          <w:caps/>
          <w:u w:val="single"/>
        </w:rPr>
        <w:t>Conclusi</w:t>
      </w:r>
      <w:r w:rsidR="00370DEC" w:rsidRPr="00834C0A">
        <w:rPr>
          <w:b/>
          <w:caps/>
          <w:u w:val="single"/>
        </w:rPr>
        <w:t>ó</w:t>
      </w:r>
      <w:r w:rsidRPr="00834C0A">
        <w:rPr>
          <w:b/>
          <w:caps/>
          <w:u w:val="single"/>
        </w:rPr>
        <w:t>n</w:t>
      </w:r>
    </w:p>
    <w:p w:rsidR="00834C0A" w:rsidRPr="00834C0A" w:rsidRDefault="00834C0A" w:rsidP="00755E78">
      <w:pPr>
        <w:spacing w:after="220"/>
      </w:pPr>
      <w:r w:rsidRPr="00834C0A">
        <w:t xml:space="preserve">Tal como se ha demostrado en </w:t>
      </w:r>
      <w:r w:rsidR="000F521E">
        <w:t>la presente</w:t>
      </w:r>
      <w:r w:rsidRPr="00834C0A">
        <w:t xml:space="preserve"> solicitud, la Oficina de Patentes y </w:t>
      </w:r>
      <w:r>
        <w:t>M</w:t>
      </w:r>
      <w:r w:rsidRPr="00834C0A">
        <w:t xml:space="preserve">arcas de los Estados Unidos de América </w:t>
      </w:r>
      <w:r>
        <w:t xml:space="preserve">cumple plenamente y supera todos los requisitos para obtener la renovación por 10 años adicionales de su designación como </w:t>
      </w:r>
      <w:r w:rsidRPr="00834C0A">
        <w:t xml:space="preserve">Administración encargada de la búsqueda internacional (ISA) y Administración encargada del examen preliminar internacional (IPEA) en virtud del </w:t>
      </w:r>
      <w:r>
        <w:t>Tratado de Cooperación en materia de Patentes (</w:t>
      </w:r>
      <w:r w:rsidRPr="00834C0A">
        <w:t>PCT</w:t>
      </w:r>
      <w:r>
        <w:t>).</w:t>
      </w:r>
    </w:p>
    <w:p w:rsidR="00834C0A" w:rsidRPr="00834C0A" w:rsidRDefault="00834C0A" w:rsidP="00755E78">
      <w:pPr>
        <w:spacing w:after="220"/>
      </w:pPr>
      <w:r w:rsidRPr="00834C0A">
        <w:lastRenderedPageBreak/>
        <w:t>La</w:t>
      </w:r>
      <w:r w:rsidR="00755E78" w:rsidRPr="00834C0A">
        <w:t xml:space="preserve"> USPTO </w:t>
      </w:r>
      <w:r w:rsidRPr="00834C0A">
        <w:t>juega un papel fundamental</w:t>
      </w:r>
      <w:r>
        <w:t xml:space="preserve"> en la promoción de la propiedad intelectual en los Estados Unidos de América y en </w:t>
      </w:r>
      <w:r w:rsidR="00386B13">
        <w:t xml:space="preserve">todo </w:t>
      </w:r>
      <w:r>
        <w:t xml:space="preserve">el mundo, lo </w:t>
      </w:r>
      <w:r w:rsidR="0076474C">
        <w:t>que</w:t>
      </w:r>
      <w:r>
        <w:t xml:space="preserve"> </w:t>
      </w:r>
      <w:r w:rsidR="00386B13">
        <w:t>repercute</w:t>
      </w:r>
      <w:r>
        <w:t xml:space="preserve"> </w:t>
      </w:r>
      <w:r w:rsidR="0076474C">
        <w:t>en</w:t>
      </w:r>
      <w:r>
        <w:t xml:space="preserve"> la economía nacional y mundial</w:t>
      </w:r>
      <w:r w:rsidR="00934D76">
        <w:t>.  E</w:t>
      </w:r>
      <w:r>
        <w:t>n el sistema d</w:t>
      </w:r>
      <w:r w:rsidR="00386B13">
        <w:t>el PCT, la USPT</w:t>
      </w:r>
      <w:r>
        <w:t>O es un actor clave, que tramita un gran porcentaje de las solicitudes, búsquedas y exámenes mundiales en el marco del PCT.</w:t>
      </w:r>
    </w:p>
    <w:p w:rsidR="00834C0A" w:rsidRPr="00834C0A" w:rsidRDefault="00834C0A" w:rsidP="00755E78">
      <w:pPr>
        <w:spacing w:after="220"/>
      </w:pPr>
      <w:r w:rsidRPr="00834C0A">
        <w:t xml:space="preserve">Por todos estos motivos, solicitamos la </w:t>
      </w:r>
      <w:r>
        <w:t xml:space="preserve">designación de la </w:t>
      </w:r>
      <w:r w:rsidRPr="00834C0A">
        <w:t xml:space="preserve">USPTO </w:t>
      </w:r>
      <w:r>
        <w:t xml:space="preserve">como </w:t>
      </w:r>
      <w:r w:rsidRPr="00834C0A">
        <w:t>Administración encargad</w:t>
      </w:r>
      <w:r>
        <w:t xml:space="preserve">a de la búsqueda internacional </w:t>
      </w:r>
      <w:r w:rsidRPr="00834C0A">
        <w:t>y Administración encargada del examen preliminar internacional en virtud del Tratado de Coop</w:t>
      </w:r>
      <w:r>
        <w:t>eración en materia de Patentes durante un periodo adicional de 10 años a partir del 1 de enero de 2018.</w:t>
      </w:r>
    </w:p>
    <w:p w:rsidR="00F0310F" w:rsidRPr="009F417B" w:rsidRDefault="00F0310F" w:rsidP="00F0310F"/>
    <w:p w:rsidR="0045694F" w:rsidRPr="009F417B" w:rsidRDefault="0045694F" w:rsidP="0045694F"/>
    <w:p w:rsidR="0045694F" w:rsidRPr="00F0310F" w:rsidRDefault="0045694F" w:rsidP="0045694F">
      <w:pPr>
        <w:ind w:left="5534"/>
      </w:pPr>
      <w:r w:rsidRPr="00F0310F">
        <w:t>[</w:t>
      </w:r>
      <w:r w:rsidR="00F0310F" w:rsidRPr="00F0310F">
        <w:t>Fin del Anexo y del documento</w:t>
      </w:r>
      <w:r w:rsidRPr="00F0310F">
        <w:t>]</w:t>
      </w:r>
    </w:p>
    <w:p w:rsidR="00152CEA" w:rsidRPr="00F0310F" w:rsidRDefault="00152CEA" w:rsidP="0045694F">
      <w:pPr>
        <w:pStyle w:val="ONUME"/>
        <w:numPr>
          <w:ilvl w:val="0"/>
          <w:numId w:val="0"/>
        </w:numPr>
        <w:jc w:val="center"/>
      </w:pPr>
    </w:p>
    <w:sectPr w:rsidR="00152CEA" w:rsidRPr="00F0310F" w:rsidSect="00B016F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5E" w:rsidRDefault="00EB365E">
      <w:r>
        <w:separator/>
      </w:r>
    </w:p>
  </w:endnote>
  <w:endnote w:type="continuationSeparator" w:id="0">
    <w:p w:rsidR="00EB365E" w:rsidRPr="009D30E6" w:rsidRDefault="00EB365E" w:rsidP="007E663E">
      <w:pPr>
        <w:rPr>
          <w:sz w:val="17"/>
          <w:szCs w:val="17"/>
        </w:rPr>
      </w:pPr>
      <w:r w:rsidRPr="009D30E6">
        <w:rPr>
          <w:sz w:val="17"/>
          <w:szCs w:val="17"/>
        </w:rPr>
        <w:separator/>
      </w:r>
    </w:p>
    <w:p w:rsidR="00EB365E" w:rsidRPr="007E663E" w:rsidRDefault="00EB365E" w:rsidP="007E663E">
      <w:pPr>
        <w:spacing w:after="60"/>
        <w:rPr>
          <w:sz w:val="17"/>
          <w:szCs w:val="17"/>
        </w:rPr>
      </w:pPr>
      <w:r>
        <w:rPr>
          <w:sz w:val="17"/>
        </w:rPr>
        <w:t>[Continuación de la nota de la página anterior]</w:t>
      </w:r>
    </w:p>
  </w:endnote>
  <w:endnote w:type="continuationNotice" w:id="1">
    <w:p w:rsidR="00EB365E" w:rsidRPr="007E663E" w:rsidRDefault="00EB36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5E" w:rsidRDefault="00EB365E">
      <w:r>
        <w:separator/>
      </w:r>
    </w:p>
  </w:footnote>
  <w:footnote w:type="continuationSeparator" w:id="0">
    <w:p w:rsidR="00EB365E" w:rsidRPr="009D30E6" w:rsidRDefault="00EB365E" w:rsidP="007E663E">
      <w:pPr>
        <w:rPr>
          <w:sz w:val="17"/>
          <w:szCs w:val="17"/>
        </w:rPr>
      </w:pPr>
      <w:r w:rsidRPr="009D30E6">
        <w:rPr>
          <w:sz w:val="17"/>
          <w:szCs w:val="17"/>
        </w:rPr>
        <w:separator/>
      </w:r>
    </w:p>
    <w:p w:rsidR="00EB365E" w:rsidRPr="007E663E" w:rsidRDefault="00EB365E" w:rsidP="007E663E">
      <w:pPr>
        <w:spacing w:after="60"/>
        <w:rPr>
          <w:sz w:val="17"/>
          <w:szCs w:val="17"/>
        </w:rPr>
      </w:pPr>
      <w:r>
        <w:rPr>
          <w:sz w:val="17"/>
        </w:rPr>
        <w:t>[Continuación de la nota de la página anterior]</w:t>
      </w:r>
    </w:p>
  </w:footnote>
  <w:footnote w:type="continuationNotice" w:id="1">
    <w:p w:rsidR="00EB365E" w:rsidRPr="007E663E" w:rsidRDefault="00EB365E" w:rsidP="007E663E">
      <w:pPr>
        <w:spacing w:before="60"/>
        <w:jc w:val="right"/>
        <w:rPr>
          <w:sz w:val="17"/>
          <w:szCs w:val="17"/>
        </w:rPr>
      </w:pPr>
      <w:r w:rsidRPr="007E663E">
        <w:rPr>
          <w:sz w:val="17"/>
          <w:szCs w:val="17"/>
        </w:rPr>
        <w:t>[Sigue la nota en la página siguiente]</w:t>
      </w:r>
    </w:p>
  </w:footnote>
  <w:footnote w:id="2">
    <w:p w:rsidR="00D70780" w:rsidRDefault="00D70780" w:rsidP="00755E78">
      <w:pPr>
        <w:pStyle w:val="FootnoteText"/>
      </w:pPr>
      <w:r>
        <w:rPr>
          <w:rStyle w:val="FootnoteReference"/>
        </w:rPr>
        <w:footnoteRef/>
      </w:r>
      <w:r>
        <w:t xml:space="preserve"> </w:t>
      </w:r>
      <w:hyperlink r:id="rId1" w:history="1">
        <w:r w:rsidRPr="00DF608E">
          <w:rPr>
            <w:rStyle w:val="Hyperlink"/>
            <w:lang w:val="en-GB"/>
          </w:rPr>
          <w:t>http://www.wipo.int/pct/en/quality/authorities.html</w:t>
        </w:r>
      </w:hyperlink>
      <w:r>
        <w:rPr>
          <w:lang w:val="en-GB"/>
        </w:rPr>
        <w:t>. </w:t>
      </w:r>
    </w:p>
  </w:footnote>
  <w:footnote w:id="3">
    <w:p w:rsidR="00D70780" w:rsidRPr="00272AFA" w:rsidRDefault="00D70780" w:rsidP="00755E78">
      <w:pPr>
        <w:pStyle w:val="FootnoteText"/>
      </w:pPr>
      <w:r w:rsidRPr="00AF4E3B">
        <w:rPr>
          <w:rStyle w:val="FootnoteReference"/>
        </w:rPr>
        <w:footnoteRef/>
      </w:r>
      <w:r w:rsidRPr="00272AFA">
        <w:t xml:space="preserve"> Acuerdo entre la USPTO y la O</w:t>
      </w:r>
      <w:r>
        <w:t>f</w:t>
      </w:r>
      <w:r w:rsidRPr="00272AFA">
        <w:t xml:space="preserve">icina Internacional de la OMPI </w:t>
      </w:r>
      <w:r>
        <w:t>relativo al funcionamiento de la Oficina de P</w:t>
      </w:r>
      <w:r w:rsidRPr="00272AFA">
        <w:t>atentes</w:t>
      </w:r>
      <w:r w:rsidR="002D1289">
        <w:t xml:space="preserve"> y</w:t>
      </w:r>
      <w:r w:rsidRPr="00272AFA">
        <w:t xml:space="preserve"> </w:t>
      </w:r>
      <w:r w:rsidR="002D1289">
        <w:t xml:space="preserve">Marcas </w:t>
      </w:r>
      <w:r w:rsidRPr="00272AFA">
        <w:t xml:space="preserve">de los Estados Unidos de América </w:t>
      </w:r>
      <w:r>
        <w:t xml:space="preserve">como </w:t>
      </w:r>
      <w:r w:rsidRPr="00272AFA">
        <w:t xml:space="preserve">Administración encargada de la búsqueda internacional </w:t>
      </w:r>
      <w:r>
        <w:t>y</w:t>
      </w:r>
      <w:r w:rsidRPr="00272AFA">
        <w:t xml:space="preserve"> Administración encargada del examen preliminar internacional </w:t>
      </w:r>
      <w:r>
        <w:t xml:space="preserve">en virtud del Tratado de Cooperación en materia de Patentes del 3 de octubre de 2007. </w:t>
      </w:r>
    </w:p>
  </w:footnote>
  <w:footnote w:id="4">
    <w:p w:rsidR="00D70780" w:rsidRPr="00272AFA" w:rsidRDefault="00D70780" w:rsidP="00755E78">
      <w:pPr>
        <w:pStyle w:val="FootnoteText"/>
      </w:pPr>
      <w:r>
        <w:rPr>
          <w:rStyle w:val="FootnoteReference"/>
        </w:rPr>
        <w:footnoteRef/>
      </w:r>
      <w:r w:rsidRPr="00272AFA">
        <w:t xml:space="preserve"> Oficina del censo de los Estados Unidos de América </w:t>
      </w:r>
      <w:r>
        <w:t>en</w:t>
      </w:r>
      <w:r w:rsidRPr="00272AFA">
        <w:t xml:space="preserve"> </w:t>
      </w:r>
      <w:hyperlink r:id="rId2" w:history="1">
        <w:r w:rsidRPr="00272AFA">
          <w:rPr>
            <w:rStyle w:val="Hyperlink"/>
          </w:rPr>
          <w:t>http://www.census.gov/popclock/</w:t>
        </w:r>
      </w:hyperlink>
      <w:r w:rsidRPr="00272AFA">
        <w:t xml:space="preserve"> </w:t>
      </w:r>
    </w:p>
  </w:footnote>
  <w:footnote w:id="5">
    <w:p w:rsidR="00D70780" w:rsidRPr="005D4712" w:rsidRDefault="00D70780" w:rsidP="00755E78">
      <w:pPr>
        <w:pStyle w:val="FootnoteText"/>
      </w:pPr>
      <w:r>
        <w:rPr>
          <w:rStyle w:val="FootnoteReference"/>
        </w:rPr>
        <w:footnoteRef/>
      </w:r>
      <w:r w:rsidRPr="005D4712">
        <w:t xml:space="preserve"> </w:t>
      </w:r>
      <w:r>
        <w:t xml:space="preserve">Oficina de Análisis Económico, </w:t>
      </w:r>
      <w:r w:rsidRPr="005D4712">
        <w:t xml:space="preserve">Departamento de Comercio de los Estados Unidos de América   </w:t>
      </w:r>
      <w:hyperlink r:id="rId3" w:history="1">
        <w:r w:rsidRPr="005D4712">
          <w:rPr>
            <w:rStyle w:val="Hyperlink"/>
          </w:rPr>
          <w:t>https://www.bea.gov/national/index.htm</w:t>
        </w:r>
      </w:hyperlink>
      <w:r w:rsidRPr="005D4712">
        <w:t xml:space="preserve"> </w:t>
      </w:r>
    </w:p>
  </w:footnote>
  <w:footnote w:id="6">
    <w:p w:rsidR="00D70780" w:rsidRPr="004830BD" w:rsidRDefault="00D70780" w:rsidP="00755E78">
      <w:pPr>
        <w:pStyle w:val="FootnoteText"/>
      </w:pPr>
      <w:r>
        <w:rPr>
          <w:rStyle w:val="FootnoteReference"/>
        </w:rPr>
        <w:footnoteRef/>
      </w:r>
      <w:r w:rsidRPr="009F417B">
        <w:t xml:space="preserve">  Banco Mundial.  </w:t>
      </w:r>
      <w:hyperlink r:id="rId4" w:history="1">
        <w:r w:rsidRPr="004830BD">
          <w:rPr>
            <w:rStyle w:val="Hyperlink"/>
          </w:rPr>
          <w:t>http://data.worldbank.org/indicator/GB.XPD.RSDV.GD.ZS?end=2013&amp;start=2013&amp;view=map</w:t>
        </w:r>
      </w:hyperlink>
      <w:r w:rsidRPr="004830BD">
        <w:t xml:space="preserve"> </w:t>
      </w:r>
    </w:p>
  </w:footnote>
  <w:footnote w:id="7">
    <w:p w:rsidR="00D70780" w:rsidRPr="009F417B" w:rsidRDefault="00D70780" w:rsidP="00755E78">
      <w:pPr>
        <w:pStyle w:val="FootnoteText"/>
      </w:pPr>
      <w:r>
        <w:rPr>
          <w:rStyle w:val="FootnoteReference"/>
        </w:rPr>
        <w:footnoteRef/>
      </w:r>
      <w:r w:rsidRPr="005D4712">
        <w:t xml:space="preserve">  Clasificación de Instituciones de Enseñanza Superior de Carnegie.  </w:t>
      </w:r>
      <w:hyperlink r:id="rId5" w:history="1">
        <w:r w:rsidRPr="009F417B">
          <w:rPr>
            <w:rStyle w:val="Hyperlink"/>
          </w:rPr>
          <w:t>http://carnegieclassifications.iu.edu/lookup/standard.php</w:t>
        </w:r>
      </w:hyperlink>
      <w:r w:rsidRPr="009F417B">
        <w:t xml:space="preserve"> </w:t>
      </w:r>
    </w:p>
  </w:footnote>
  <w:footnote w:id="8">
    <w:p w:rsidR="00D70780" w:rsidRPr="009F417B" w:rsidRDefault="00D70780" w:rsidP="00755E78">
      <w:pPr>
        <w:pStyle w:val="FootnoteText"/>
      </w:pPr>
      <w:r>
        <w:rPr>
          <w:rStyle w:val="FootnoteReference"/>
        </w:rPr>
        <w:footnoteRef/>
      </w:r>
      <w:r w:rsidRPr="005D4712">
        <w:t xml:space="preserve"> Centro de visualiz</w:t>
      </w:r>
      <w:r>
        <w:t>a</w:t>
      </w:r>
      <w:r w:rsidRPr="005D4712">
        <w:t xml:space="preserve">ción de datos de la USPTO.  </w:t>
      </w:r>
      <w:r w:rsidRPr="009F417B">
        <w:t>https://www.uspto.gov/web/offices/ac/ido/oeip/taf/reports_stech.htm</w:t>
      </w:r>
    </w:p>
  </w:footnote>
  <w:footnote w:id="9">
    <w:p w:rsidR="00D70780" w:rsidRPr="009F417B" w:rsidRDefault="00D70780" w:rsidP="00755E78">
      <w:pPr>
        <w:pStyle w:val="FootnoteText"/>
      </w:pPr>
      <w:r>
        <w:rPr>
          <w:rStyle w:val="FootnoteReference"/>
        </w:rPr>
        <w:footnoteRef/>
      </w:r>
      <w:r w:rsidRPr="009F417B">
        <w:t xml:space="preserve">  </w:t>
      </w:r>
      <w:hyperlink r:id="rId6" w:history="1">
        <w:r w:rsidRPr="009F417B">
          <w:rPr>
            <w:rStyle w:val="Hyperlink"/>
          </w:rPr>
          <w:t>https://www.uspto.gov/dashboards/patents/main.dashxml</w:t>
        </w:r>
      </w:hyperlink>
      <w:r w:rsidRPr="009F417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780" w:rsidRDefault="00D70780" w:rsidP="00477D6B">
    <w:pPr>
      <w:jc w:val="right"/>
    </w:pPr>
    <w:bookmarkStart w:id="6" w:name="Code2"/>
    <w:bookmarkEnd w:id="6"/>
    <w:r>
      <w:t>PCT/CTC/30/6</w:t>
    </w:r>
  </w:p>
  <w:p w:rsidR="00D70780" w:rsidRDefault="00D70780"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1</w:t>
    </w:r>
    <w:r>
      <w:fldChar w:fldCharType="end"/>
    </w:r>
  </w:p>
  <w:p w:rsidR="00D70780" w:rsidRDefault="00D7078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780" w:rsidRPr="007544BB" w:rsidRDefault="00D70780" w:rsidP="00477D6B">
    <w:pPr>
      <w:jc w:val="right"/>
    </w:pPr>
    <w:r w:rsidRPr="007544BB">
      <w:t>PCT/CTC/30/22</w:t>
    </w:r>
  </w:p>
  <w:p w:rsidR="00D70780" w:rsidRPr="007544BB" w:rsidRDefault="00D70780" w:rsidP="00477D6B">
    <w:pPr>
      <w:jc w:val="right"/>
    </w:pPr>
    <w:r w:rsidRPr="007544BB">
      <w:t xml:space="preserve">Anexo, página </w:t>
    </w:r>
    <w:r w:rsidRPr="007544BB">
      <w:fldChar w:fldCharType="begin"/>
    </w:r>
    <w:r w:rsidRPr="007544BB">
      <w:instrText xml:space="preserve"> PAGE  \* MERGEFORMAT </w:instrText>
    </w:r>
    <w:r w:rsidRPr="007544BB">
      <w:fldChar w:fldCharType="separate"/>
    </w:r>
    <w:r w:rsidR="00A06C8B">
      <w:rPr>
        <w:noProof/>
      </w:rPr>
      <w:t>12</w:t>
    </w:r>
    <w:r w:rsidRPr="007544BB">
      <w:fldChar w:fldCharType="end"/>
    </w:r>
  </w:p>
  <w:p w:rsidR="00D70780" w:rsidRPr="007544BB" w:rsidRDefault="00D7078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780" w:rsidRDefault="00D70780" w:rsidP="00B016F4">
    <w:pPr>
      <w:pStyle w:val="Header"/>
      <w:jc w:val="right"/>
    </w:pPr>
    <w:r>
      <w:t>PCT/CTC/30/22</w:t>
    </w:r>
  </w:p>
  <w:p w:rsidR="00D70780" w:rsidRDefault="00D70780" w:rsidP="00B016F4">
    <w:pPr>
      <w:pStyle w:val="Header"/>
      <w:jc w:val="right"/>
    </w:pPr>
    <w:r>
      <w:t>ANEXO</w:t>
    </w:r>
  </w:p>
  <w:p w:rsidR="00D70780" w:rsidRDefault="00D70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tentative="1">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18">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6"/>
  </w:num>
  <w:num w:numId="5">
    <w:abstractNumId w:val="1"/>
  </w:num>
  <w:num w:numId="6">
    <w:abstractNumId w:val="8"/>
  </w:num>
  <w:num w:numId="7">
    <w:abstractNumId w:val="17"/>
  </w:num>
  <w:num w:numId="8">
    <w:abstractNumId w:val="5"/>
  </w:num>
  <w:num w:numId="9">
    <w:abstractNumId w:val="9"/>
  </w:num>
  <w:num w:numId="10">
    <w:abstractNumId w:val="4"/>
  </w:num>
  <w:num w:numId="11">
    <w:abstractNumId w:val="3"/>
  </w:num>
  <w:num w:numId="12">
    <w:abstractNumId w:val="2"/>
  </w:num>
  <w:num w:numId="13">
    <w:abstractNumId w:val="18"/>
  </w:num>
  <w:num w:numId="14">
    <w:abstractNumId w:val="11"/>
  </w:num>
  <w:num w:numId="15">
    <w:abstractNumId w:val="7"/>
  </w:num>
  <w:num w:numId="16">
    <w:abstractNumId w:val="10"/>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AE"/>
    <w:rsid w:val="00010686"/>
    <w:rsid w:val="00021FAC"/>
    <w:rsid w:val="00043657"/>
    <w:rsid w:val="00052915"/>
    <w:rsid w:val="000774F6"/>
    <w:rsid w:val="00092075"/>
    <w:rsid w:val="000E3BB3"/>
    <w:rsid w:val="000F2788"/>
    <w:rsid w:val="000F521E"/>
    <w:rsid w:val="000F5E56"/>
    <w:rsid w:val="00122C02"/>
    <w:rsid w:val="001362EE"/>
    <w:rsid w:val="00141D88"/>
    <w:rsid w:val="00152CEA"/>
    <w:rsid w:val="00154CFA"/>
    <w:rsid w:val="001832A6"/>
    <w:rsid w:val="001845BA"/>
    <w:rsid w:val="001B0BD8"/>
    <w:rsid w:val="001B46D8"/>
    <w:rsid w:val="001D736C"/>
    <w:rsid w:val="002114DB"/>
    <w:rsid w:val="00232FF3"/>
    <w:rsid w:val="0025191B"/>
    <w:rsid w:val="002527C6"/>
    <w:rsid w:val="002634C4"/>
    <w:rsid w:val="00264BAD"/>
    <w:rsid w:val="00272AFA"/>
    <w:rsid w:val="002A4860"/>
    <w:rsid w:val="002C69C6"/>
    <w:rsid w:val="002D1289"/>
    <w:rsid w:val="002D75E1"/>
    <w:rsid w:val="002E0F47"/>
    <w:rsid w:val="002E5710"/>
    <w:rsid w:val="002F4E68"/>
    <w:rsid w:val="00303D24"/>
    <w:rsid w:val="00307A6F"/>
    <w:rsid w:val="00354647"/>
    <w:rsid w:val="00361646"/>
    <w:rsid w:val="003676D8"/>
    <w:rsid w:val="0037004F"/>
    <w:rsid w:val="00370DEC"/>
    <w:rsid w:val="00374EE7"/>
    <w:rsid w:val="00377273"/>
    <w:rsid w:val="003845C1"/>
    <w:rsid w:val="00386B13"/>
    <w:rsid w:val="00387287"/>
    <w:rsid w:val="00396AE9"/>
    <w:rsid w:val="003A4E05"/>
    <w:rsid w:val="003B7EF8"/>
    <w:rsid w:val="003C3B16"/>
    <w:rsid w:val="003C680D"/>
    <w:rsid w:val="003E48F1"/>
    <w:rsid w:val="003F347A"/>
    <w:rsid w:val="003F5AAE"/>
    <w:rsid w:val="003F610F"/>
    <w:rsid w:val="00423E3E"/>
    <w:rsid w:val="00427AF4"/>
    <w:rsid w:val="00435B74"/>
    <w:rsid w:val="00440DC5"/>
    <w:rsid w:val="0045231F"/>
    <w:rsid w:val="0045694F"/>
    <w:rsid w:val="004647DA"/>
    <w:rsid w:val="00467041"/>
    <w:rsid w:val="0046793F"/>
    <w:rsid w:val="004717B5"/>
    <w:rsid w:val="00477808"/>
    <w:rsid w:val="00477D6B"/>
    <w:rsid w:val="004830BD"/>
    <w:rsid w:val="00485EC1"/>
    <w:rsid w:val="004872D8"/>
    <w:rsid w:val="00496738"/>
    <w:rsid w:val="004A6C37"/>
    <w:rsid w:val="004C182F"/>
    <w:rsid w:val="004C588E"/>
    <w:rsid w:val="004C797C"/>
    <w:rsid w:val="004E297D"/>
    <w:rsid w:val="0052583C"/>
    <w:rsid w:val="00531B02"/>
    <w:rsid w:val="00531DF9"/>
    <w:rsid w:val="00532F0B"/>
    <w:rsid w:val="005332F0"/>
    <w:rsid w:val="0053782C"/>
    <w:rsid w:val="005468F1"/>
    <w:rsid w:val="0055013B"/>
    <w:rsid w:val="00564F5A"/>
    <w:rsid w:val="00571B99"/>
    <w:rsid w:val="005D4712"/>
    <w:rsid w:val="005E4E06"/>
    <w:rsid w:val="005E6F2C"/>
    <w:rsid w:val="00605827"/>
    <w:rsid w:val="0062428F"/>
    <w:rsid w:val="0063512E"/>
    <w:rsid w:val="00646AAC"/>
    <w:rsid w:val="00650A93"/>
    <w:rsid w:val="00664C17"/>
    <w:rsid w:val="00675021"/>
    <w:rsid w:val="006836A2"/>
    <w:rsid w:val="00690A54"/>
    <w:rsid w:val="0069533F"/>
    <w:rsid w:val="006A06C6"/>
    <w:rsid w:val="006C2934"/>
    <w:rsid w:val="006D259C"/>
    <w:rsid w:val="006F612D"/>
    <w:rsid w:val="007224C8"/>
    <w:rsid w:val="00740F00"/>
    <w:rsid w:val="007544BB"/>
    <w:rsid w:val="007548B7"/>
    <w:rsid w:val="00755E78"/>
    <w:rsid w:val="0076474C"/>
    <w:rsid w:val="00772C88"/>
    <w:rsid w:val="007837C5"/>
    <w:rsid w:val="00794BE2"/>
    <w:rsid w:val="007A5581"/>
    <w:rsid w:val="007B71FE"/>
    <w:rsid w:val="007D2978"/>
    <w:rsid w:val="007D781E"/>
    <w:rsid w:val="007E663E"/>
    <w:rsid w:val="00811ADE"/>
    <w:rsid w:val="00815082"/>
    <w:rsid w:val="00822E69"/>
    <w:rsid w:val="00834C0A"/>
    <w:rsid w:val="00841171"/>
    <w:rsid w:val="00863E20"/>
    <w:rsid w:val="0088395E"/>
    <w:rsid w:val="008B2CC1"/>
    <w:rsid w:val="008C6269"/>
    <w:rsid w:val="008D1B6B"/>
    <w:rsid w:val="008E4643"/>
    <w:rsid w:val="008E6BD6"/>
    <w:rsid w:val="00900254"/>
    <w:rsid w:val="0090731E"/>
    <w:rsid w:val="0092119A"/>
    <w:rsid w:val="00934D76"/>
    <w:rsid w:val="00934DF7"/>
    <w:rsid w:val="0095024B"/>
    <w:rsid w:val="00966A22"/>
    <w:rsid w:val="00972F03"/>
    <w:rsid w:val="0099056B"/>
    <w:rsid w:val="009A0008"/>
    <w:rsid w:val="009A0C8B"/>
    <w:rsid w:val="009B6241"/>
    <w:rsid w:val="009B6F74"/>
    <w:rsid w:val="009C2867"/>
    <w:rsid w:val="009D1AC9"/>
    <w:rsid w:val="009F417B"/>
    <w:rsid w:val="009F6D4B"/>
    <w:rsid w:val="00A06C8B"/>
    <w:rsid w:val="00A14706"/>
    <w:rsid w:val="00A16FC0"/>
    <w:rsid w:val="00A32C9E"/>
    <w:rsid w:val="00A3729E"/>
    <w:rsid w:val="00A40658"/>
    <w:rsid w:val="00A43D21"/>
    <w:rsid w:val="00A44E62"/>
    <w:rsid w:val="00AB613D"/>
    <w:rsid w:val="00AB6C0B"/>
    <w:rsid w:val="00AB74A0"/>
    <w:rsid w:val="00AE7F20"/>
    <w:rsid w:val="00AF06B8"/>
    <w:rsid w:val="00AF47AD"/>
    <w:rsid w:val="00B001A5"/>
    <w:rsid w:val="00B016F4"/>
    <w:rsid w:val="00B07D47"/>
    <w:rsid w:val="00B138A9"/>
    <w:rsid w:val="00B34172"/>
    <w:rsid w:val="00B47E89"/>
    <w:rsid w:val="00B65A0A"/>
    <w:rsid w:val="00B66E1D"/>
    <w:rsid w:val="00B67CDC"/>
    <w:rsid w:val="00B72D36"/>
    <w:rsid w:val="00B95739"/>
    <w:rsid w:val="00BC405C"/>
    <w:rsid w:val="00BC4164"/>
    <w:rsid w:val="00BC4A73"/>
    <w:rsid w:val="00BD2DCC"/>
    <w:rsid w:val="00BE7F85"/>
    <w:rsid w:val="00C252F9"/>
    <w:rsid w:val="00C665ED"/>
    <w:rsid w:val="00C90559"/>
    <w:rsid w:val="00CA2251"/>
    <w:rsid w:val="00CA6E7C"/>
    <w:rsid w:val="00CB2F60"/>
    <w:rsid w:val="00CD3759"/>
    <w:rsid w:val="00CF54C6"/>
    <w:rsid w:val="00CF6916"/>
    <w:rsid w:val="00D0104F"/>
    <w:rsid w:val="00D40EBD"/>
    <w:rsid w:val="00D477F8"/>
    <w:rsid w:val="00D56C7C"/>
    <w:rsid w:val="00D700DD"/>
    <w:rsid w:val="00D70780"/>
    <w:rsid w:val="00D71B4D"/>
    <w:rsid w:val="00D86991"/>
    <w:rsid w:val="00D90289"/>
    <w:rsid w:val="00D93D55"/>
    <w:rsid w:val="00D943A8"/>
    <w:rsid w:val="00D949B9"/>
    <w:rsid w:val="00DA207B"/>
    <w:rsid w:val="00DA675A"/>
    <w:rsid w:val="00DC4C60"/>
    <w:rsid w:val="00E0079A"/>
    <w:rsid w:val="00E22CD4"/>
    <w:rsid w:val="00E36436"/>
    <w:rsid w:val="00E444DA"/>
    <w:rsid w:val="00E45C84"/>
    <w:rsid w:val="00E504E5"/>
    <w:rsid w:val="00E52D2F"/>
    <w:rsid w:val="00E60636"/>
    <w:rsid w:val="00E64C38"/>
    <w:rsid w:val="00EB20A3"/>
    <w:rsid w:val="00EB365E"/>
    <w:rsid w:val="00EB7A3E"/>
    <w:rsid w:val="00EC401A"/>
    <w:rsid w:val="00ED140D"/>
    <w:rsid w:val="00ED2065"/>
    <w:rsid w:val="00ED2F0C"/>
    <w:rsid w:val="00ED7EB5"/>
    <w:rsid w:val="00EF530A"/>
    <w:rsid w:val="00EF6622"/>
    <w:rsid w:val="00EF78A9"/>
    <w:rsid w:val="00F0310F"/>
    <w:rsid w:val="00F06680"/>
    <w:rsid w:val="00F067E0"/>
    <w:rsid w:val="00F42925"/>
    <w:rsid w:val="00F42A29"/>
    <w:rsid w:val="00F475AA"/>
    <w:rsid w:val="00F51E2C"/>
    <w:rsid w:val="00F55408"/>
    <w:rsid w:val="00F55A46"/>
    <w:rsid w:val="00F66152"/>
    <w:rsid w:val="00F736F6"/>
    <w:rsid w:val="00F80845"/>
    <w:rsid w:val="00F84474"/>
    <w:rsid w:val="00F8554D"/>
    <w:rsid w:val="00F911A5"/>
    <w:rsid w:val="00FA0F0D"/>
    <w:rsid w:val="00FA5F97"/>
    <w:rsid w:val="00FD124E"/>
    <w:rsid w:val="00FD59D1"/>
    <w:rsid w:val="00FE0866"/>
    <w:rsid w:val="00FE08FB"/>
    <w:rsid w:val="00FE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uiPriority w:val="99"/>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1"/>
    <w:qFormat/>
    <w:rsid w:val="00A32C9E"/>
    <w:pPr>
      <w:keepNext/>
      <w:numPr>
        <w:numId w:val="7"/>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7"/>
      </w:numPr>
      <w:spacing w:before="240" w:after="60"/>
      <w:outlineLvl w:val="1"/>
    </w:pPr>
    <w:rPr>
      <w:bCs/>
      <w:iCs/>
      <w:caps/>
      <w:szCs w:val="28"/>
    </w:rPr>
  </w:style>
  <w:style w:type="paragraph" w:styleId="Heading3">
    <w:name w:val="heading 3"/>
    <w:basedOn w:val="Normal"/>
    <w:next w:val="Normal"/>
    <w:qFormat/>
    <w:rsid w:val="00A32C9E"/>
    <w:pPr>
      <w:keepNext/>
      <w:numPr>
        <w:ilvl w:val="2"/>
        <w:numId w:val="7"/>
      </w:numPr>
      <w:spacing w:before="240" w:after="60"/>
      <w:outlineLvl w:val="2"/>
    </w:pPr>
    <w:rPr>
      <w:bCs/>
      <w:szCs w:val="26"/>
      <w:u w:val="single"/>
    </w:rPr>
  </w:style>
  <w:style w:type="paragraph" w:styleId="Heading4">
    <w:name w:val="heading 4"/>
    <w:basedOn w:val="Normal"/>
    <w:next w:val="Normal"/>
    <w:qFormat/>
    <w:rsid w:val="00A32C9E"/>
    <w:pPr>
      <w:keepNext/>
      <w:numPr>
        <w:ilvl w:val="3"/>
        <w:numId w:val="7"/>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7"/>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7"/>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D949B9"/>
    <w:pPr>
      <w:keepNext/>
      <w:keepLines/>
      <w:numPr>
        <w:ilvl w:val="6"/>
        <w:numId w:val="7"/>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D949B9"/>
    <w:pPr>
      <w:keepNext/>
      <w:keepLines/>
      <w:numPr>
        <w:ilvl w:val="7"/>
        <w:numId w:val="7"/>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D949B9"/>
    <w:pPr>
      <w:keepNext/>
      <w:keepLines/>
      <w:numPr>
        <w:ilvl w:val="8"/>
        <w:numId w:val="7"/>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semiHidden/>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uiPriority w:val="99"/>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uiPriority w:val="99"/>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D949B9"/>
    <w:pPr>
      <w:suppressAutoHyphens/>
      <w:ind w:left="1134"/>
    </w:pPr>
    <w:rPr>
      <w:rFonts w:eastAsia="Times New Roman"/>
      <w:sz w:val="24"/>
      <w:szCs w:val="24"/>
      <w:lang w:val="en-GB" w:eastAsia="en-GB"/>
    </w:rPr>
  </w:style>
  <w:style w:type="character" w:styleId="Emphasis">
    <w:name w:val="Emphasis"/>
    <w:basedOn w:val="DefaultParagraphFont"/>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uiPriority w:val="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9B9"/>
    <w:pPr>
      <w:spacing w:after="100"/>
    </w:pPr>
    <w:rPr>
      <w:lang w:val="en-US"/>
    </w:rPr>
  </w:style>
  <w:style w:type="paragraph" w:styleId="TOC3">
    <w:name w:val="toc 3"/>
    <w:basedOn w:val="Normal"/>
    <w:next w:val="Normal"/>
    <w:autoRedefine/>
    <w:uiPriority w:val="39"/>
    <w:rsid w:val="00D949B9"/>
    <w:pPr>
      <w:spacing w:after="100"/>
      <w:ind w:left="440"/>
    </w:pPr>
    <w:rPr>
      <w:lang w:val="en-US"/>
    </w:rPr>
  </w:style>
  <w:style w:type="paragraph" w:styleId="TOC4">
    <w:name w:val="toc 4"/>
    <w:basedOn w:val="Normal"/>
    <w:next w:val="Normal"/>
    <w:autoRedefine/>
    <w:uiPriority w:val="39"/>
    <w:rsid w:val="00D949B9"/>
    <w:pPr>
      <w:spacing w:after="100"/>
      <w:ind w:left="660"/>
    </w:pPr>
    <w:rPr>
      <w:lang w:val="en-US"/>
    </w:rPr>
  </w:style>
  <w:style w:type="character" w:customStyle="1" w:styleId="BodyTextChar">
    <w:name w:val="Body Text Char"/>
    <w:basedOn w:val="DefaultParagraphFont"/>
    <w:link w:val="BodyText"/>
    <w:uiPriority w:val="1"/>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uiPriority w:val="99"/>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12"/>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ea.gov/national/index.htm" TargetMode="External"/><Relationship Id="rId2" Type="http://schemas.openxmlformats.org/officeDocument/2006/relationships/hyperlink" Target="http://www.census.gov/popclock/" TargetMode="External"/><Relationship Id="rId1" Type="http://schemas.openxmlformats.org/officeDocument/2006/relationships/hyperlink" Target="http://www.wipo.int/pct/en/quality/authorities.html" TargetMode="External"/><Relationship Id="rId6" Type="http://schemas.openxmlformats.org/officeDocument/2006/relationships/hyperlink" Target="https://www.uspto.gov/dashboards/patents/main.dashxml" TargetMode="External"/><Relationship Id="rId5" Type="http://schemas.openxmlformats.org/officeDocument/2006/relationships/hyperlink" Target="http://carnegieclassifications.iu.edu/lookup/standard.php" TargetMode="External"/><Relationship Id="rId4" Type="http://schemas.openxmlformats.org/officeDocument/2006/relationships/hyperlink" Target="http://data.worldbank.org/indicator/GB.XPD.RSDV.GD.ZS?end=2013&amp;start=2013&amp;view=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5707</Words>
  <Characters>31462</Characters>
  <Application>Microsoft Office Word</Application>
  <DocSecurity>0</DocSecurity>
  <Lines>262</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PCT/CTC/30/22</vt:lpstr>
      <vt:lpstr>PCT/CTC/30/22</vt:lpstr>
    </vt:vector>
  </TitlesOfParts>
  <Company>WIPO</Company>
  <LinksUpToDate>false</LinksUpToDate>
  <CharactersWithSpaces>37095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PCT/CTC/30/22</dc:title>
  <dc:subject>Extension of Appointment of the United States Patent and Trademark Office as an Internaitonal Searching and Preliminary Examining Authority under the PCT</dc:subject>
  <dc:creator>CEVALLOS DUQUE Nilo</dc:creator>
  <cp:lastModifiedBy>MARLOW Thomas</cp:lastModifiedBy>
  <cp:revision>3</cp:revision>
  <dcterms:created xsi:type="dcterms:W3CDTF">2017-03-24T16:14:00Z</dcterms:created>
  <dcterms:modified xsi:type="dcterms:W3CDTF">2017-03-24T16:17:00Z</dcterms:modified>
</cp:coreProperties>
</file>