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A7178" w:rsidRPr="008B2CC1" w:rsidTr="009745E8">
        <w:tc>
          <w:tcPr>
            <w:tcW w:w="4513" w:type="dxa"/>
            <w:tcBorders>
              <w:bottom w:val="single" w:sz="4" w:space="0" w:color="auto"/>
            </w:tcBorders>
            <w:tcMar>
              <w:bottom w:w="170" w:type="dxa"/>
            </w:tcMar>
          </w:tcPr>
          <w:p w:rsidR="00EA7178" w:rsidRPr="008B2CC1" w:rsidRDefault="00EA7178" w:rsidP="009745E8"/>
        </w:tc>
        <w:tc>
          <w:tcPr>
            <w:tcW w:w="4337" w:type="dxa"/>
            <w:tcBorders>
              <w:bottom w:val="single" w:sz="4" w:space="0" w:color="auto"/>
            </w:tcBorders>
            <w:tcMar>
              <w:left w:w="0" w:type="dxa"/>
              <w:right w:w="0" w:type="dxa"/>
            </w:tcMar>
          </w:tcPr>
          <w:p w:rsidR="00EA7178" w:rsidRPr="008B2CC1" w:rsidRDefault="00EA7178" w:rsidP="009745E8">
            <w:r>
              <w:rPr>
                <w:noProof/>
                <w:lang w:eastAsia="en-US"/>
              </w:rPr>
              <w:drawing>
                <wp:inline distT="0" distB="0" distL="0" distR="0" wp14:anchorId="27A8D108" wp14:editId="1267E957">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A7178" w:rsidRPr="008B2CC1" w:rsidRDefault="00EA7178" w:rsidP="009745E8">
            <w:pPr>
              <w:jc w:val="right"/>
            </w:pPr>
            <w:r>
              <w:rPr>
                <w:b/>
                <w:sz w:val="40"/>
                <w:szCs w:val="40"/>
              </w:rPr>
              <w:t>S</w:t>
            </w:r>
          </w:p>
        </w:tc>
      </w:tr>
      <w:tr w:rsidR="00EA7178" w:rsidRPr="001832A6" w:rsidTr="009745E8">
        <w:trPr>
          <w:trHeight w:hRule="exact" w:val="357"/>
        </w:trPr>
        <w:tc>
          <w:tcPr>
            <w:tcW w:w="9356" w:type="dxa"/>
            <w:gridSpan w:val="3"/>
            <w:tcBorders>
              <w:top w:val="single" w:sz="4" w:space="0" w:color="auto"/>
            </w:tcBorders>
            <w:tcMar>
              <w:top w:w="170" w:type="dxa"/>
              <w:left w:w="0" w:type="dxa"/>
              <w:right w:w="0" w:type="dxa"/>
            </w:tcMar>
            <w:vAlign w:val="bottom"/>
          </w:tcPr>
          <w:p w:rsidR="00EA7178" w:rsidRPr="0090731E" w:rsidRDefault="00EA7178" w:rsidP="00EA7178">
            <w:pPr>
              <w:jc w:val="right"/>
              <w:rPr>
                <w:rFonts w:ascii="Arial Black" w:hAnsi="Arial Black"/>
                <w:caps/>
                <w:sz w:val="15"/>
              </w:rPr>
            </w:pPr>
            <w:r>
              <w:rPr>
                <w:rFonts w:ascii="Arial Black" w:hAnsi="Arial Black"/>
                <w:caps/>
                <w:sz w:val="15"/>
              </w:rPr>
              <w:t>PCT/CTC/30/</w:t>
            </w:r>
            <w:bookmarkStart w:id="0" w:name="Code"/>
            <w:bookmarkEnd w:id="0"/>
            <w:r>
              <w:rPr>
                <w:rFonts w:ascii="Arial Black" w:hAnsi="Arial Black"/>
                <w:caps/>
                <w:sz w:val="15"/>
              </w:rPr>
              <w:t>3</w:t>
            </w:r>
          </w:p>
        </w:tc>
      </w:tr>
      <w:tr w:rsidR="00EA7178" w:rsidRPr="001832A6" w:rsidTr="009745E8">
        <w:trPr>
          <w:trHeight w:hRule="exact" w:val="170"/>
        </w:trPr>
        <w:tc>
          <w:tcPr>
            <w:tcW w:w="9356" w:type="dxa"/>
            <w:gridSpan w:val="3"/>
            <w:noWrap/>
            <w:tcMar>
              <w:left w:w="0" w:type="dxa"/>
              <w:right w:w="0" w:type="dxa"/>
            </w:tcMar>
            <w:vAlign w:val="bottom"/>
          </w:tcPr>
          <w:p w:rsidR="00EA7178" w:rsidRPr="0090731E" w:rsidRDefault="00EA7178" w:rsidP="009745E8">
            <w:pPr>
              <w:jc w:val="right"/>
              <w:rPr>
                <w:rFonts w:ascii="Arial Black" w:hAnsi="Arial Black"/>
                <w:caps/>
                <w:sz w:val="15"/>
              </w:rPr>
            </w:pPr>
            <w:r w:rsidRPr="0090731E">
              <w:rPr>
                <w:rFonts w:ascii="Arial Black" w:hAnsi="Arial Black"/>
                <w:caps/>
                <w:sz w:val="15"/>
              </w:rPr>
              <w:t xml:space="preserve">ORIGINAL: </w:t>
            </w:r>
            <w:bookmarkStart w:id="1" w:name="Original"/>
            <w:bookmarkEnd w:id="1"/>
            <w:r>
              <w:rPr>
                <w:rFonts w:ascii="Arial Black" w:hAnsi="Arial Black"/>
                <w:caps/>
                <w:sz w:val="15"/>
              </w:rPr>
              <w:t xml:space="preserve"> INGLÉS</w:t>
            </w:r>
          </w:p>
        </w:tc>
      </w:tr>
      <w:tr w:rsidR="00EA7178" w:rsidRPr="001832A6" w:rsidTr="009745E8">
        <w:trPr>
          <w:trHeight w:hRule="exact" w:val="198"/>
        </w:trPr>
        <w:tc>
          <w:tcPr>
            <w:tcW w:w="9356" w:type="dxa"/>
            <w:gridSpan w:val="3"/>
            <w:tcMar>
              <w:left w:w="0" w:type="dxa"/>
              <w:right w:w="0" w:type="dxa"/>
            </w:tcMar>
            <w:vAlign w:val="bottom"/>
          </w:tcPr>
          <w:p w:rsidR="00EA7178" w:rsidRPr="0090731E" w:rsidRDefault="00EA7178" w:rsidP="009745E8">
            <w:pPr>
              <w:jc w:val="right"/>
              <w:rPr>
                <w:rFonts w:ascii="Arial Black" w:hAnsi="Arial Black"/>
                <w:caps/>
                <w:sz w:val="15"/>
              </w:rPr>
            </w:pPr>
            <w:r>
              <w:rPr>
                <w:rFonts w:ascii="Arial Black" w:hAnsi="Arial Black"/>
                <w:caps/>
                <w:sz w:val="15"/>
              </w:rPr>
              <w:t>fecha</w:t>
            </w:r>
            <w:r w:rsidRPr="0090731E">
              <w:rPr>
                <w:rFonts w:ascii="Arial Black" w:hAnsi="Arial Black"/>
                <w:caps/>
                <w:sz w:val="15"/>
              </w:rPr>
              <w:t xml:space="preserve">: </w:t>
            </w:r>
            <w:bookmarkStart w:id="2" w:name="Date"/>
            <w:bookmarkEnd w:id="2"/>
            <w:r>
              <w:rPr>
                <w:rFonts w:ascii="Arial Black" w:hAnsi="Arial Black"/>
                <w:caps/>
                <w:sz w:val="15"/>
              </w:rPr>
              <w:t xml:space="preserve"> 16 DE MARZO DE 2017</w:t>
            </w:r>
          </w:p>
        </w:tc>
      </w:tr>
    </w:tbl>
    <w:p w:rsidR="00EA7178" w:rsidRPr="008B2CC1" w:rsidRDefault="00EA7178" w:rsidP="00EA7178"/>
    <w:p w:rsidR="00EA7178" w:rsidRPr="008B2CC1" w:rsidRDefault="00EA7178" w:rsidP="00EA7178"/>
    <w:p w:rsidR="00EA7178" w:rsidRPr="008B2CC1" w:rsidRDefault="00EA7178" w:rsidP="00EA7178"/>
    <w:p w:rsidR="00EA7178" w:rsidRPr="008B2CC1" w:rsidRDefault="00EA7178" w:rsidP="00EA7178"/>
    <w:p w:rsidR="00EA7178" w:rsidRPr="008B2CC1" w:rsidRDefault="00EA7178" w:rsidP="00EA7178"/>
    <w:p w:rsidR="00EA7178" w:rsidRPr="00EA7178" w:rsidRDefault="00EA7178" w:rsidP="00EA7178">
      <w:pPr>
        <w:rPr>
          <w:b/>
          <w:sz w:val="28"/>
          <w:szCs w:val="28"/>
          <w:lang w:val="es-ES"/>
        </w:rPr>
      </w:pPr>
      <w:r w:rsidRPr="00EA7178">
        <w:rPr>
          <w:b/>
          <w:sz w:val="28"/>
          <w:szCs w:val="28"/>
          <w:lang w:val="es-ES"/>
        </w:rPr>
        <w:t>Tratado de Cooperación en materia de Patentes (PCT)</w:t>
      </w:r>
    </w:p>
    <w:p w:rsidR="00EA7178" w:rsidRPr="00EA7178" w:rsidRDefault="00EA7178" w:rsidP="00EA7178">
      <w:pPr>
        <w:rPr>
          <w:b/>
          <w:sz w:val="28"/>
          <w:szCs w:val="28"/>
          <w:lang w:val="es-ES"/>
        </w:rPr>
      </w:pPr>
      <w:r w:rsidRPr="00EA7178">
        <w:rPr>
          <w:b/>
          <w:sz w:val="28"/>
          <w:szCs w:val="28"/>
          <w:lang w:val="es-ES"/>
        </w:rPr>
        <w:t>Comité de Cooperación Técnica</w:t>
      </w:r>
    </w:p>
    <w:p w:rsidR="00EA7178" w:rsidRPr="00EA7178" w:rsidRDefault="00EA7178" w:rsidP="00EA7178">
      <w:pPr>
        <w:rPr>
          <w:lang w:val="es-ES"/>
        </w:rPr>
      </w:pPr>
    </w:p>
    <w:p w:rsidR="00EA7178" w:rsidRPr="00EA7178" w:rsidRDefault="00EA7178" w:rsidP="00EA7178">
      <w:pPr>
        <w:rPr>
          <w:lang w:val="es-ES"/>
        </w:rPr>
      </w:pPr>
    </w:p>
    <w:p w:rsidR="00EA7178" w:rsidRPr="00EA7178" w:rsidRDefault="00EA7178" w:rsidP="00EA7178">
      <w:pPr>
        <w:rPr>
          <w:b/>
          <w:sz w:val="24"/>
          <w:szCs w:val="24"/>
          <w:lang w:val="es-ES"/>
        </w:rPr>
      </w:pPr>
      <w:r w:rsidRPr="00EA7178">
        <w:rPr>
          <w:b/>
          <w:sz w:val="24"/>
          <w:szCs w:val="24"/>
          <w:lang w:val="es-ES"/>
        </w:rPr>
        <w:t>Trigésima sesión</w:t>
      </w:r>
    </w:p>
    <w:p w:rsidR="00EA7178" w:rsidRPr="00EA7178" w:rsidRDefault="00EA7178" w:rsidP="00EA7178">
      <w:pPr>
        <w:rPr>
          <w:b/>
          <w:sz w:val="24"/>
          <w:szCs w:val="24"/>
          <w:lang w:val="es-ES"/>
        </w:rPr>
      </w:pPr>
      <w:r w:rsidRPr="00EA7178">
        <w:rPr>
          <w:b/>
          <w:sz w:val="24"/>
          <w:szCs w:val="24"/>
          <w:lang w:val="es-ES"/>
        </w:rPr>
        <w:t>Ginebra, 8 a 12 de mayo de 2017</w:t>
      </w:r>
    </w:p>
    <w:p w:rsidR="00632912" w:rsidRPr="00632912" w:rsidRDefault="00632912" w:rsidP="00632912">
      <w:pPr>
        <w:rPr>
          <w:lang w:val="es-ES"/>
        </w:rPr>
      </w:pPr>
    </w:p>
    <w:p w:rsidR="00632912" w:rsidRPr="00632912" w:rsidRDefault="00632912" w:rsidP="00632912">
      <w:pPr>
        <w:rPr>
          <w:lang w:val="es-ES"/>
        </w:rPr>
      </w:pPr>
    </w:p>
    <w:p w:rsidR="00632912" w:rsidRPr="00632912" w:rsidRDefault="00632912" w:rsidP="00632912">
      <w:pPr>
        <w:rPr>
          <w:lang w:val="es-ES"/>
        </w:rPr>
      </w:pPr>
    </w:p>
    <w:p w:rsidR="00632912" w:rsidRPr="00632912" w:rsidRDefault="00632912" w:rsidP="00632912">
      <w:pPr>
        <w:rPr>
          <w:caps/>
          <w:sz w:val="24"/>
          <w:lang w:val="es-ES"/>
        </w:rPr>
      </w:pPr>
      <w:bookmarkStart w:id="3" w:name="TitleOfDoc"/>
      <w:bookmarkEnd w:id="3"/>
      <w:r>
        <w:rPr>
          <w:rFonts w:eastAsia="Arial"/>
          <w:caps/>
          <w:sz w:val="24"/>
          <w:szCs w:val="24"/>
          <w:bdr w:val="nil"/>
          <w:lang w:val="es-ES"/>
        </w:rPr>
        <w:t xml:space="preserve">Prórroga de la designación de la Oficina </w:t>
      </w:r>
      <w:r w:rsidR="009745E8">
        <w:rPr>
          <w:rFonts w:eastAsia="Arial"/>
          <w:caps/>
          <w:sz w:val="24"/>
          <w:szCs w:val="24"/>
          <w:bdr w:val="nil"/>
          <w:lang w:val="es-ES"/>
        </w:rPr>
        <w:t>Austríaca</w:t>
      </w:r>
      <w:r>
        <w:rPr>
          <w:rFonts w:eastAsia="Arial"/>
          <w:caps/>
          <w:sz w:val="24"/>
          <w:szCs w:val="24"/>
          <w:bdr w:val="nil"/>
          <w:lang w:val="es-ES"/>
        </w:rPr>
        <w:t xml:space="preserve"> de Patentes </w:t>
      </w:r>
      <w:r w:rsidR="009745E8">
        <w:rPr>
          <w:rFonts w:eastAsia="Arial"/>
          <w:caps/>
          <w:sz w:val="24"/>
          <w:szCs w:val="24"/>
          <w:bdr w:val="nil"/>
          <w:lang w:val="es-ES"/>
        </w:rPr>
        <w:t>COMO</w:t>
      </w:r>
      <w:r>
        <w:rPr>
          <w:rFonts w:eastAsia="Arial"/>
          <w:caps/>
          <w:sz w:val="24"/>
          <w:szCs w:val="24"/>
          <w:bdr w:val="nil"/>
          <w:lang w:val="es-ES"/>
        </w:rPr>
        <w:t xml:space="preserve"> administración encargada de la búsqueda y del examen preliminar internacional</w:t>
      </w:r>
      <w:r w:rsidR="009745E8">
        <w:rPr>
          <w:rFonts w:eastAsia="Arial"/>
          <w:caps/>
          <w:sz w:val="24"/>
          <w:szCs w:val="24"/>
          <w:bdr w:val="nil"/>
          <w:lang w:val="es-ES"/>
        </w:rPr>
        <w:t>es</w:t>
      </w:r>
      <w:r>
        <w:rPr>
          <w:rFonts w:eastAsia="Arial"/>
          <w:caps/>
          <w:sz w:val="24"/>
          <w:szCs w:val="24"/>
          <w:bdr w:val="nil"/>
          <w:lang w:val="es-ES"/>
        </w:rPr>
        <w:t xml:space="preserve"> en virtud del PCT</w:t>
      </w:r>
    </w:p>
    <w:p w:rsidR="00632912" w:rsidRPr="00632912" w:rsidRDefault="00632912" w:rsidP="00632912">
      <w:pPr>
        <w:rPr>
          <w:lang w:val="es-ES"/>
        </w:rPr>
      </w:pPr>
    </w:p>
    <w:p w:rsidR="00632912" w:rsidRPr="00632912" w:rsidRDefault="00632912" w:rsidP="00632912">
      <w:pPr>
        <w:rPr>
          <w:i/>
          <w:lang w:val="es-ES"/>
        </w:rPr>
      </w:pPr>
      <w:bookmarkStart w:id="4" w:name="Prepared"/>
      <w:bookmarkEnd w:id="4"/>
      <w:r>
        <w:rPr>
          <w:rFonts w:eastAsia="Arial"/>
          <w:i/>
          <w:iCs/>
          <w:szCs w:val="22"/>
          <w:bdr w:val="nil"/>
          <w:lang w:val="es-ES"/>
        </w:rPr>
        <w:t>Documento preparado por la Oficina Internacional</w:t>
      </w:r>
    </w:p>
    <w:p w:rsidR="00632912" w:rsidRPr="00632912" w:rsidRDefault="00632912">
      <w:pPr>
        <w:rPr>
          <w:lang w:val="es-ES"/>
        </w:rPr>
      </w:pPr>
    </w:p>
    <w:p w:rsidR="00632912" w:rsidRPr="00632912" w:rsidRDefault="00632912">
      <w:pPr>
        <w:rPr>
          <w:lang w:val="es-ES"/>
        </w:rPr>
      </w:pPr>
    </w:p>
    <w:p w:rsidR="00632912" w:rsidRPr="00632912" w:rsidRDefault="00632912">
      <w:pPr>
        <w:rPr>
          <w:lang w:val="es-ES"/>
        </w:rPr>
      </w:pPr>
    </w:p>
    <w:p w:rsidR="00632912" w:rsidRPr="00632912" w:rsidRDefault="00632912" w:rsidP="00632912">
      <w:pPr>
        <w:rPr>
          <w:lang w:val="es-ES"/>
        </w:rPr>
      </w:pPr>
    </w:p>
    <w:p w:rsidR="009745E8" w:rsidRPr="009745E8" w:rsidRDefault="009745E8" w:rsidP="009745E8">
      <w:pPr>
        <w:pStyle w:val="ONUMFS"/>
        <w:rPr>
          <w:szCs w:val="22"/>
          <w:lang w:val="es-ES"/>
        </w:rPr>
      </w:pPr>
      <w:bookmarkStart w:id="5" w:name="_Ref447032909"/>
      <w:r w:rsidRPr="009745E8">
        <w:rPr>
          <w:lang w:val="es-ES"/>
        </w:rPr>
        <w:t>Todas las Administraciones internacionales existentes fueron designadas por la Asamblea de la Unión PCT por un plazo que expirará el 31 de diciembre de 2017.  Por consiguiente, en 2017 la Asamblea estará llamada a adoptar una decisión con respecto a la prórroga de la designación de cada una de las Administraciones inter</w:t>
      </w:r>
      <w:bookmarkStart w:id="6" w:name="_GoBack"/>
      <w:bookmarkEnd w:id="6"/>
      <w:r w:rsidRPr="009745E8">
        <w:rPr>
          <w:lang w:val="es-ES"/>
        </w:rPr>
        <w:t>nacionales existentes que aspiren a una prórroga de su designación, teniendo en cuenta la recomendación previamente solicitada a este Comité (véanse los Artículos 16.3.e) y 32.3 del PCT).  El documento PCT/CTC/30/INF/1 contiene más información sobre este proceso y sobre la función del Comité en el marco del mismo.</w:t>
      </w:r>
    </w:p>
    <w:bookmarkEnd w:id="5"/>
    <w:p w:rsidR="00632912" w:rsidRPr="00632912" w:rsidRDefault="00632912" w:rsidP="00EA7178">
      <w:pPr>
        <w:pStyle w:val="ONUMFS"/>
        <w:rPr>
          <w:lang w:val="es-ES"/>
        </w:rPr>
      </w:pPr>
      <w:r>
        <w:rPr>
          <w:bdr w:val="nil"/>
          <w:lang w:val="es-ES"/>
        </w:rPr>
        <w:t xml:space="preserve">El 6 de marzo de 2017, la Oficina </w:t>
      </w:r>
      <w:r w:rsidR="009745E8">
        <w:rPr>
          <w:bdr w:val="nil"/>
          <w:lang w:val="es-ES"/>
        </w:rPr>
        <w:t>Austríaca</w:t>
      </w:r>
      <w:r>
        <w:rPr>
          <w:bdr w:val="nil"/>
          <w:lang w:val="es-ES"/>
        </w:rPr>
        <w:t xml:space="preserve"> de Patentes presentó una solicitud de prórroga de su designación en calidad de Administración encargada de la búsqueda internacional y de Administración encargada del examen preliminar internacional en virtud del PCT.  En el Anexo del presente documento se reproduce dicha solicitud.</w:t>
      </w:r>
    </w:p>
    <w:p w:rsidR="00632912" w:rsidRPr="00632912" w:rsidRDefault="00632912" w:rsidP="00EA7178">
      <w:pPr>
        <w:pStyle w:val="ONUMFS"/>
        <w:ind w:left="5534"/>
        <w:rPr>
          <w:i/>
          <w:lang w:val="es-ES"/>
        </w:rPr>
      </w:pPr>
      <w:r>
        <w:rPr>
          <w:i/>
          <w:iCs/>
          <w:bdr w:val="nil"/>
          <w:lang w:val="es-ES"/>
        </w:rPr>
        <w:t>Se invita al Comité a dar su opinión sobre este asunto.</w:t>
      </w:r>
    </w:p>
    <w:p w:rsidR="00632912" w:rsidRPr="00632912" w:rsidRDefault="00632912" w:rsidP="00632912">
      <w:pPr>
        <w:rPr>
          <w:lang w:val="es-ES"/>
        </w:rPr>
      </w:pPr>
    </w:p>
    <w:p w:rsidR="00632912" w:rsidRPr="00632912" w:rsidRDefault="00632912" w:rsidP="00632912">
      <w:pPr>
        <w:pStyle w:val="ONUME"/>
        <w:numPr>
          <w:ilvl w:val="0"/>
          <w:numId w:val="0"/>
        </w:numPr>
        <w:ind w:left="5533"/>
        <w:rPr>
          <w:lang w:val="es-ES"/>
        </w:rPr>
        <w:sectPr w:rsidR="00632912" w:rsidRPr="00632912" w:rsidSect="00632912">
          <w:headerReference w:type="default" r:id="rId10"/>
          <w:pgSz w:w="11907" w:h="16840" w:code="9"/>
          <w:pgMar w:top="567" w:right="1134" w:bottom="1418" w:left="1418" w:header="510" w:footer="1021" w:gutter="0"/>
          <w:cols w:space="720"/>
          <w:titlePg/>
          <w:docGrid w:linePitch="299"/>
        </w:sectPr>
      </w:pPr>
      <w:r>
        <w:rPr>
          <w:rFonts w:eastAsia="Arial"/>
          <w:szCs w:val="22"/>
          <w:bdr w:val="nil"/>
          <w:lang w:val="es-ES"/>
        </w:rPr>
        <w:t>[Sigue el Anexo I]</w:t>
      </w:r>
    </w:p>
    <w:p w:rsidR="00632912" w:rsidRPr="00632912" w:rsidRDefault="00632912" w:rsidP="00632912">
      <w:pPr>
        <w:pStyle w:val="ONUME"/>
        <w:numPr>
          <w:ilvl w:val="0"/>
          <w:numId w:val="0"/>
        </w:numPr>
        <w:jc w:val="center"/>
        <w:rPr>
          <w:caps/>
          <w:lang w:val="es-ES"/>
        </w:rPr>
      </w:pPr>
      <w:r>
        <w:rPr>
          <w:rFonts w:eastAsia="Arial"/>
          <w:caps/>
          <w:szCs w:val="22"/>
          <w:bdr w:val="nil"/>
          <w:lang w:val="es-ES"/>
        </w:rPr>
        <w:lastRenderedPageBreak/>
        <w:t>Solicitud de prórroga de la designación</w:t>
      </w:r>
      <w:r>
        <w:rPr>
          <w:rFonts w:eastAsia="Arial"/>
          <w:caps/>
          <w:szCs w:val="22"/>
          <w:bdr w:val="nil"/>
          <w:lang w:val="es-ES"/>
        </w:rPr>
        <w:br/>
        <w:t xml:space="preserve"> de la Oficina </w:t>
      </w:r>
      <w:r w:rsidR="009745E8">
        <w:rPr>
          <w:rFonts w:eastAsia="Arial"/>
          <w:caps/>
          <w:szCs w:val="22"/>
          <w:bdr w:val="nil"/>
          <w:lang w:val="es-ES"/>
        </w:rPr>
        <w:t>Austríaca</w:t>
      </w:r>
      <w:r>
        <w:rPr>
          <w:rFonts w:eastAsia="Arial"/>
          <w:caps/>
          <w:szCs w:val="22"/>
          <w:bdr w:val="nil"/>
          <w:lang w:val="es-ES"/>
        </w:rPr>
        <w:t xml:space="preserve"> de Patentes</w:t>
      </w:r>
      <w:r>
        <w:rPr>
          <w:rFonts w:eastAsia="Arial"/>
          <w:caps/>
          <w:szCs w:val="22"/>
          <w:bdr w:val="nil"/>
          <w:lang w:val="es-ES"/>
        </w:rPr>
        <w:br/>
        <w:t xml:space="preserve"> como Administración encargada de la búsqueda y del examen preliminar internacional</w:t>
      </w:r>
      <w:r w:rsidR="009745E8">
        <w:rPr>
          <w:rFonts w:eastAsia="Arial"/>
          <w:caps/>
          <w:szCs w:val="22"/>
          <w:bdr w:val="nil"/>
          <w:lang w:val="es-ES"/>
        </w:rPr>
        <w:t>es</w:t>
      </w:r>
      <w:r>
        <w:rPr>
          <w:rFonts w:eastAsia="Arial"/>
          <w:caps/>
          <w:szCs w:val="22"/>
          <w:bdr w:val="nil"/>
          <w:lang w:val="es-ES"/>
        </w:rPr>
        <w:t xml:space="preserve"> en virtud del PCT</w:t>
      </w:r>
    </w:p>
    <w:p w:rsidR="00632912" w:rsidRPr="00632912" w:rsidRDefault="00632912" w:rsidP="00632912">
      <w:pPr>
        <w:pStyle w:val="ONUME"/>
        <w:numPr>
          <w:ilvl w:val="0"/>
          <w:numId w:val="0"/>
        </w:numPr>
        <w:rPr>
          <w:lang w:val="es-ES"/>
        </w:rPr>
      </w:pPr>
    </w:p>
    <w:p w:rsidR="00632912" w:rsidRPr="00632912" w:rsidRDefault="00632912" w:rsidP="00632912">
      <w:pPr>
        <w:pStyle w:val="SectionHeading"/>
        <w:rPr>
          <w:lang w:val="es-ES"/>
        </w:rPr>
      </w:pPr>
      <w:r>
        <w:rPr>
          <w:rFonts w:eastAsia="Arial"/>
          <w:szCs w:val="22"/>
          <w:bdr w:val="nil"/>
          <w:lang w:val="es-ES"/>
        </w:rPr>
        <w:t>1 – General</w:t>
      </w:r>
    </w:p>
    <w:p w:rsidR="00632912" w:rsidRPr="00632912" w:rsidRDefault="00632912" w:rsidP="00632912">
      <w:pPr>
        <w:rPr>
          <w:lang w:val="es-ES"/>
        </w:rPr>
      </w:pPr>
      <w:r>
        <w:rPr>
          <w:rFonts w:eastAsia="Arial"/>
          <w:b/>
          <w:bCs/>
          <w:szCs w:val="22"/>
          <w:bdr w:val="nil"/>
          <w:lang w:val="es-ES"/>
        </w:rPr>
        <w:t>Nombre de la Oficina nacional</w:t>
      </w:r>
      <w:r w:rsidR="001D316C">
        <w:rPr>
          <w:rFonts w:eastAsia="Arial"/>
          <w:b/>
          <w:bCs/>
          <w:color w:val="1F497D"/>
          <w:szCs w:val="22"/>
          <w:bdr w:val="nil"/>
          <w:lang w:val="es-ES"/>
        </w:rPr>
        <w:t xml:space="preserve">: </w:t>
      </w:r>
      <w:r>
        <w:rPr>
          <w:rFonts w:eastAsia="Arial"/>
          <w:szCs w:val="22"/>
          <w:bdr w:val="nil"/>
          <w:lang w:val="es-ES"/>
        </w:rPr>
        <w:t xml:space="preserve">Oficina </w:t>
      </w:r>
      <w:r w:rsidR="009745E8">
        <w:rPr>
          <w:rFonts w:eastAsia="Arial"/>
          <w:szCs w:val="22"/>
          <w:bdr w:val="nil"/>
          <w:lang w:val="es-ES"/>
        </w:rPr>
        <w:t>Austríaca</w:t>
      </w:r>
      <w:r>
        <w:rPr>
          <w:rFonts w:eastAsia="Arial"/>
          <w:szCs w:val="22"/>
          <w:bdr w:val="nil"/>
          <w:lang w:val="es-ES"/>
        </w:rPr>
        <w:t xml:space="preserve"> de Patentes (APO)</w:t>
      </w:r>
    </w:p>
    <w:p w:rsidR="00632912" w:rsidRPr="00632912" w:rsidRDefault="00632912" w:rsidP="00632912">
      <w:pPr>
        <w:rPr>
          <w:b/>
          <w:bCs/>
          <w:lang w:val="es-ES"/>
        </w:rPr>
      </w:pPr>
    </w:p>
    <w:p w:rsidR="00632912" w:rsidRPr="00632912" w:rsidRDefault="00632912" w:rsidP="00632912">
      <w:pPr>
        <w:rPr>
          <w:lang w:val="es-ES"/>
        </w:rPr>
      </w:pPr>
      <w:r>
        <w:rPr>
          <w:rFonts w:eastAsia="Arial"/>
          <w:b/>
          <w:bCs/>
          <w:szCs w:val="22"/>
          <w:bdr w:val="nil"/>
          <w:lang w:val="es-ES"/>
        </w:rPr>
        <w:t xml:space="preserve">Periodo de sesiones de la Asamblea en que se </w:t>
      </w:r>
      <w:r w:rsidR="009745E8">
        <w:rPr>
          <w:rFonts w:eastAsia="Arial"/>
          <w:b/>
          <w:bCs/>
          <w:szCs w:val="22"/>
          <w:bdr w:val="nil"/>
          <w:lang w:val="es-ES"/>
        </w:rPr>
        <w:t>s</w:t>
      </w:r>
      <w:r>
        <w:rPr>
          <w:rFonts w:eastAsia="Arial"/>
          <w:b/>
          <w:bCs/>
          <w:szCs w:val="22"/>
          <w:bdr w:val="nil"/>
          <w:lang w:val="es-ES"/>
        </w:rPr>
        <w:t>olicita la designación</w:t>
      </w:r>
      <w:r w:rsidR="001D316C">
        <w:rPr>
          <w:rFonts w:eastAsia="Arial"/>
          <w:b/>
          <w:bCs/>
          <w:szCs w:val="22"/>
          <w:bdr w:val="nil"/>
          <w:lang w:val="es-ES"/>
        </w:rPr>
        <w:t xml:space="preserve">: </w:t>
      </w:r>
      <w:r w:rsidR="001D316C">
        <w:rPr>
          <w:rFonts w:eastAsia="Arial"/>
          <w:szCs w:val="22"/>
          <w:bdr w:val="nil"/>
          <w:lang w:val="es-ES"/>
        </w:rPr>
        <w:t>Cuadragésimo</w:t>
      </w:r>
      <w:r>
        <w:rPr>
          <w:rFonts w:eastAsia="Arial"/>
          <w:szCs w:val="22"/>
          <w:bdr w:val="nil"/>
          <w:lang w:val="es-ES"/>
        </w:rPr>
        <w:t xml:space="preserve"> </w:t>
      </w:r>
      <w:r w:rsidR="009745E8">
        <w:rPr>
          <w:rFonts w:eastAsia="Arial"/>
          <w:szCs w:val="22"/>
          <w:bdr w:val="nil"/>
          <w:lang w:val="es-ES"/>
        </w:rPr>
        <w:t>nove</w:t>
      </w:r>
      <w:r>
        <w:rPr>
          <w:rFonts w:eastAsia="Arial"/>
          <w:szCs w:val="22"/>
          <w:bdr w:val="nil"/>
          <w:lang w:val="es-ES"/>
        </w:rPr>
        <w:t>no periodo de sesiones.</w:t>
      </w:r>
    </w:p>
    <w:p w:rsidR="00632912" w:rsidRPr="00632912" w:rsidRDefault="00632912" w:rsidP="00632912">
      <w:pPr>
        <w:rPr>
          <w:b/>
          <w:bCs/>
          <w:lang w:val="es-ES"/>
        </w:rPr>
      </w:pPr>
    </w:p>
    <w:p w:rsidR="00632912" w:rsidRPr="00632912" w:rsidRDefault="00632912" w:rsidP="00632912">
      <w:pPr>
        <w:rPr>
          <w:lang w:val="es-ES"/>
        </w:rPr>
      </w:pPr>
      <w:r>
        <w:rPr>
          <w:rFonts w:eastAsia="Arial"/>
          <w:szCs w:val="22"/>
          <w:bdr w:val="nil"/>
          <w:lang w:val="es-ES"/>
        </w:rPr>
        <w:t xml:space="preserve">La Oficina </w:t>
      </w:r>
      <w:r w:rsidR="009745E8">
        <w:rPr>
          <w:rFonts w:eastAsia="Arial"/>
          <w:szCs w:val="22"/>
          <w:bdr w:val="nil"/>
          <w:lang w:val="es-ES"/>
        </w:rPr>
        <w:t>Austríaca</w:t>
      </w:r>
      <w:r>
        <w:rPr>
          <w:rFonts w:eastAsia="Arial"/>
          <w:szCs w:val="22"/>
          <w:bdr w:val="nil"/>
          <w:lang w:val="es-ES"/>
        </w:rPr>
        <w:t xml:space="preserve"> de Patentes (APO) fue </w:t>
      </w:r>
      <w:r w:rsidR="009745E8">
        <w:rPr>
          <w:rFonts w:eastAsia="Arial"/>
          <w:szCs w:val="22"/>
          <w:bdr w:val="nil"/>
          <w:lang w:val="es-ES"/>
        </w:rPr>
        <w:t>crea</w:t>
      </w:r>
      <w:r>
        <w:rPr>
          <w:rFonts w:eastAsia="Arial"/>
          <w:szCs w:val="22"/>
          <w:bdr w:val="nil"/>
          <w:lang w:val="es-ES"/>
        </w:rPr>
        <w:t>da en 1899 en tanto que organismo nacional responsable de examinar, conceder y administrar derechos de la propiedad industrial y está actualmente adscrita al Ministerio de Transporte, Innovación y Tecnología.  Desde 1978, la APO ha des</w:t>
      </w:r>
      <w:r w:rsidR="00FF3C55">
        <w:rPr>
          <w:rFonts w:eastAsia="Arial"/>
          <w:szCs w:val="22"/>
          <w:bdr w:val="nil"/>
          <w:lang w:val="es-ES"/>
        </w:rPr>
        <w:t>empeñado el papel de Administración i</w:t>
      </w:r>
      <w:r>
        <w:rPr>
          <w:rFonts w:eastAsia="Arial"/>
          <w:szCs w:val="22"/>
          <w:bdr w:val="nil"/>
          <w:lang w:val="es-ES"/>
        </w:rPr>
        <w:t>nternacional en virtud del PCT</w:t>
      </w:r>
      <w:r w:rsidR="00331787">
        <w:rPr>
          <w:rFonts w:eastAsia="Arial"/>
          <w:szCs w:val="22"/>
          <w:bdr w:val="nil"/>
          <w:lang w:val="es-ES"/>
        </w:rPr>
        <w:t xml:space="preserve"> y </w:t>
      </w:r>
      <w:r>
        <w:rPr>
          <w:rFonts w:eastAsia="Arial"/>
          <w:szCs w:val="22"/>
          <w:bdr w:val="nil"/>
          <w:lang w:val="es-ES"/>
        </w:rPr>
        <w:t xml:space="preserve">ofrece </w:t>
      </w:r>
      <w:r w:rsidR="00331787">
        <w:rPr>
          <w:rFonts w:eastAsia="Arial"/>
          <w:szCs w:val="22"/>
          <w:bdr w:val="nil"/>
          <w:lang w:val="es-ES"/>
        </w:rPr>
        <w:t xml:space="preserve">también </w:t>
      </w:r>
      <w:r>
        <w:rPr>
          <w:rFonts w:eastAsia="Arial"/>
          <w:szCs w:val="22"/>
          <w:bdr w:val="nil"/>
          <w:lang w:val="es-ES"/>
        </w:rPr>
        <w:t>búsquedas suplementarias en el marco del PCT.</w:t>
      </w:r>
    </w:p>
    <w:p w:rsidR="00632912" w:rsidRPr="00632912" w:rsidRDefault="00632912" w:rsidP="00632912">
      <w:pPr>
        <w:rPr>
          <w:lang w:val="es-ES"/>
        </w:rPr>
      </w:pPr>
    </w:p>
    <w:p w:rsidR="00632912" w:rsidRPr="00632912" w:rsidRDefault="00632912" w:rsidP="00632912">
      <w:pPr>
        <w:rPr>
          <w:lang w:val="es-ES"/>
        </w:rPr>
      </w:pPr>
      <w:r>
        <w:rPr>
          <w:rFonts w:eastAsia="Arial"/>
          <w:szCs w:val="22"/>
          <w:bdr w:val="nil"/>
          <w:lang w:val="es-ES"/>
        </w:rPr>
        <w:t xml:space="preserve">La APO prepara informes de búsqueda y examen para las solicitudes de patentes nacionales e internacionales en todos los campos técnicos.  En 2016, la APO preparó más de 3.500 informes sustanciales de búsqueda y examen para patentes y modelos de utilidad. </w:t>
      </w:r>
    </w:p>
    <w:p w:rsidR="00632912" w:rsidRPr="00632912" w:rsidRDefault="00632912" w:rsidP="00632912">
      <w:pPr>
        <w:rPr>
          <w:lang w:val="es-ES"/>
        </w:rPr>
      </w:pPr>
    </w:p>
    <w:p w:rsidR="00632912" w:rsidRPr="00632912" w:rsidRDefault="00632912" w:rsidP="00632912">
      <w:pPr>
        <w:rPr>
          <w:lang w:val="es-ES"/>
        </w:rPr>
      </w:pPr>
      <w:r>
        <w:rPr>
          <w:rFonts w:eastAsia="Arial"/>
          <w:szCs w:val="22"/>
          <w:bdr w:val="nil"/>
          <w:lang w:val="es-ES"/>
        </w:rPr>
        <w:t xml:space="preserve">La Oficina </w:t>
      </w:r>
      <w:r w:rsidR="009745E8">
        <w:rPr>
          <w:rFonts w:eastAsia="Arial"/>
          <w:szCs w:val="22"/>
          <w:bdr w:val="nil"/>
          <w:lang w:val="es-ES"/>
        </w:rPr>
        <w:t>Austríaca</w:t>
      </w:r>
      <w:r>
        <w:rPr>
          <w:rFonts w:eastAsia="Arial"/>
          <w:szCs w:val="22"/>
          <w:bdr w:val="nil"/>
          <w:lang w:val="es-ES"/>
        </w:rPr>
        <w:t xml:space="preserve"> de Patentes ha sido designada en calidad de Administración encargada de la búsqueda internacional (ISA)/Administración encargada del examen preliminar internacional (IPEA)/Administración encargada de la búsqueda suplementaria internacional (SISA) para las solicitudes de 37 Oficinas receptoras distintas.  En la actualidad, el número de informes de búsqueda y examen del PCT asciende a unos 200 al año.</w:t>
      </w:r>
    </w:p>
    <w:p w:rsidR="00632912" w:rsidRPr="00632912" w:rsidRDefault="001D316C" w:rsidP="00632912">
      <w:pPr>
        <w:pStyle w:val="SectionHeading"/>
        <w:rPr>
          <w:lang w:val="es-ES"/>
        </w:rPr>
      </w:pPr>
      <w:r>
        <w:rPr>
          <w:rFonts w:eastAsia="Arial"/>
          <w:szCs w:val="22"/>
          <w:bdr w:val="nil"/>
          <w:lang w:val="es-ES"/>
        </w:rPr>
        <w:t xml:space="preserve">2 – CRITERIOS SUSTANTIVOS: </w:t>
      </w:r>
      <w:r w:rsidR="00632912">
        <w:rPr>
          <w:rFonts w:eastAsia="Arial"/>
          <w:szCs w:val="22"/>
          <w:bdr w:val="nil"/>
          <w:lang w:val="es-ES"/>
        </w:rPr>
        <w:t>REQUISITOS MÍNIMOS PARA LAS ISA/IPEA</w:t>
      </w:r>
    </w:p>
    <w:p w:rsidR="00632912" w:rsidRPr="00632912" w:rsidRDefault="00632912" w:rsidP="00632912">
      <w:pPr>
        <w:rPr>
          <w:lang w:val="es-ES"/>
        </w:rPr>
      </w:pPr>
      <w:r>
        <w:rPr>
          <w:rFonts w:eastAsia="Arial"/>
          <w:szCs w:val="22"/>
          <w:bdr w:val="nil"/>
          <w:lang w:val="es-ES"/>
        </w:rPr>
        <w:t xml:space="preserve">Según se ha descrito anteriormente, la Oficina </w:t>
      </w:r>
      <w:r w:rsidR="009745E8">
        <w:rPr>
          <w:rFonts w:eastAsia="Arial"/>
          <w:szCs w:val="22"/>
          <w:bdr w:val="nil"/>
          <w:lang w:val="es-ES"/>
        </w:rPr>
        <w:t>Austríaca</w:t>
      </w:r>
      <w:r>
        <w:rPr>
          <w:rFonts w:eastAsia="Arial"/>
          <w:szCs w:val="22"/>
          <w:bdr w:val="nil"/>
          <w:lang w:val="es-ES"/>
        </w:rPr>
        <w:t xml:space="preserve"> de Patentes cumple los requisitos mínimos estipulados en las Reglas 36.1.i) a 36.1.v) para la renovación de su designación como Administración encargada de la búsqueda internacional, así como las Reglas 63.1.i) a 63.1.v) para la renovación de su designación como Administración encargada del examen preliminar internacional. </w:t>
      </w:r>
    </w:p>
    <w:p w:rsidR="00632912" w:rsidRPr="00632912" w:rsidRDefault="00632912" w:rsidP="00632912">
      <w:pPr>
        <w:pStyle w:val="SectionHeading"/>
        <w:rPr>
          <w:lang w:val="es-ES"/>
        </w:rPr>
      </w:pPr>
      <w:r>
        <w:rPr>
          <w:rFonts w:eastAsia="Arial"/>
          <w:szCs w:val="22"/>
          <w:bdr w:val="nil"/>
          <w:lang w:val="es-ES"/>
        </w:rPr>
        <w:t>2.1 – Capacidad de búsqueda y examen</w:t>
      </w:r>
    </w:p>
    <w:p w:rsidR="00632912" w:rsidRPr="00632912" w:rsidRDefault="00632912" w:rsidP="00632912">
      <w:pPr>
        <w:rPr>
          <w:b/>
          <w:i/>
          <w:lang w:val="es-ES"/>
        </w:rPr>
      </w:pPr>
      <w:r>
        <w:rPr>
          <w:rFonts w:eastAsia="Arial"/>
          <w:b/>
          <w:bCs/>
          <w:i/>
          <w:iCs/>
          <w:szCs w:val="22"/>
          <w:bdr w:val="nil"/>
          <w:lang w:val="es-ES"/>
        </w:rPr>
        <w:t>Regla 36.1.i) [63.1.i) para las Administraciones encargadas del examen preliminar internacional]</w:t>
      </w:r>
      <w:proofErr w:type="gramStart"/>
      <w:r>
        <w:rPr>
          <w:rFonts w:eastAsia="Arial"/>
          <w:b/>
          <w:bCs/>
          <w:i/>
          <w:iCs/>
          <w:szCs w:val="22"/>
          <w:bdr w:val="nil"/>
          <w:lang w:val="es-ES"/>
        </w:rPr>
        <w:t>:</w:t>
      </w:r>
      <w:r w:rsidR="000C6962">
        <w:rPr>
          <w:rFonts w:eastAsia="Arial"/>
          <w:b/>
          <w:bCs/>
          <w:i/>
          <w:iCs/>
          <w:szCs w:val="22"/>
          <w:bdr w:val="nil"/>
          <w:lang w:val="es-ES"/>
        </w:rPr>
        <w:t xml:space="preserve"> </w:t>
      </w:r>
      <w:r>
        <w:rPr>
          <w:rFonts w:eastAsia="Arial"/>
          <w:b/>
          <w:bCs/>
          <w:i/>
          <w:iCs/>
          <w:szCs w:val="22"/>
          <w:bdr w:val="nil"/>
          <w:lang w:val="es-ES"/>
        </w:rPr>
        <w:t xml:space="preserve"> La</w:t>
      </w:r>
      <w:proofErr w:type="gramEnd"/>
      <w:r>
        <w:rPr>
          <w:rFonts w:eastAsia="Arial"/>
          <w:b/>
          <w:bCs/>
          <w:i/>
          <w:iCs/>
          <w:szCs w:val="22"/>
          <w:bdr w:val="nil"/>
          <w:lang w:val="es-ES"/>
        </w:rPr>
        <w:t xml:space="preserve"> Oficina nacional o la organización intergubernamental deberá tener, por lo menos, 100 empleados con plena dedicación, con las calificaciones técnicas suficientes para efectuar las búsquedas [los exámenes].</w:t>
      </w:r>
    </w:p>
    <w:p w:rsidR="00632912" w:rsidRPr="00632912" w:rsidRDefault="00632912" w:rsidP="00632912">
      <w:pPr>
        <w:pStyle w:val="Sub-heading"/>
        <w:rPr>
          <w:lang w:val="es-ES"/>
        </w:rPr>
      </w:pPr>
      <w:r>
        <w:rPr>
          <w:rFonts w:eastAsia="Arial"/>
          <w:bCs/>
          <w:szCs w:val="22"/>
          <w:bdr w:val="nil"/>
          <w:lang w:val="es-ES"/>
        </w:rPr>
        <w:t xml:space="preserve">Empleados calificados para </w:t>
      </w:r>
      <w:r w:rsidR="00D67F19">
        <w:rPr>
          <w:rFonts w:eastAsia="Arial"/>
          <w:bCs/>
          <w:szCs w:val="22"/>
          <w:bdr w:val="nil"/>
          <w:lang w:val="es-ES"/>
        </w:rPr>
        <w:t>efectuar</w:t>
      </w:r>
      <w:r>
        <w:rPr>
          <w:rFonts w:eastAsia="Arial"/>
          <w:bCs/>
          <w:szCs w:val="22"/>
          <w:bdr w:val="nil"/>
          <w:lang w:val="es-ES"/>
        </w:rPr>
        <w:t xml:space="preserve"> la</w:t>
      </w:r>
      <w:r w:rsidR="00D67F19">
        <w:rPr>
          <w:rFonts w:eastAsia="Arial"/>
          <w:bCs/>
          <w:szCs w:val="22"/>
          <w:bdr w:val="nil"/>
          <w:lang w:val="es-ES"/>
        </w:rPr>
        <w:t>s</w:t>
      </w:r>
      <w:r>
        <w:rPr>
          <w:rFonts w:eastAsia="Arial"/>
          <w:bCs/>
          <w:szCs w:val="22"/>
          <w:bdr w:val="nil"/>
          <w:lang w:val="es-ES"/>
        </w:rPr>
        <w:t xml:space="preserve"> búsqueda</w:t>
      </w:r>
      <w:r w:rsidR="00D67F19">
        <w:rPr>
          <w:rFonts w:eastAsia="Arial"/>
          <w:bCs/>
          <w:szCs w:val="22"/>
          <w:bdr w:val="nil"/>
          <w:lang w:val="es-ES"/>
        </w:rPr>
        <w:t xml:space="preserve">s y </w:t>
      </w:r>
      <w:r>
        <w:rPr>
          <w:rFonts w:eastAsia="Arial"/>
          <w:bCs/>
          <w:szCs w:val="22"/>
          <w:bdr w:val="nil"/>
          <w:lang w:val="es-ES"/>
        </w:rPr>
        <w:t>l</w:t>
      </w:r>
      <w:r w:rsidR="00D67F19">
        <w:rPr>
          <w:rFonts w:eastAsia="Arial"/>
          <w:bCs/>
          <w:szCs w:val="22"/>
          <w:bdr w:val="nil"/>
          <w:lang w:val="es-ES"/>
        </w:rPr>
        <w:t>os</w:t>
      </w:r>
      <w:r>
        <w:rPr>
          <w:rFonts w:eastAsia="Arial"/>
          <w:bCs/>
          <w:szCs w:val="22"/>
          <w:bdr w:val="nil"/>
          <w:lang w:val="es-ES"/>
        </w:rPr>
        <w:t xml:space="preserve"> ex</w:t>
      </w:r>
      <w:r w:rsidR="00D67F19">
        <w:rPr>
          <w:rFonts w:eastAsia="Arial"/>
          <w:bCs/>
          <w:szCs w:val="22"/>
          <w:bdr w:val="nil"/>
          <w:lang w:val="es-ES"/>
        </w:rPr>
        <w:t>á</w:t>
      </w:r>
      <w:r>
        <w:rPr>
          <w:rFonts w:eastAsia="Arial"/>
          <w:bCs/>
          <w:szCs w:val="22"/>
          <w:bdr w:val="nil"/>
          <w:lang w:val="es-ES"/>
        </w:rPr>
        <w:t>men</w:t>
      </w:r>
      <w:r w:rsidR="00D67F19">
        <w:rPr>
          <w:rFonts w:eastAsia="Arial"/>
          <w:bCs/>
          <w:szCs w:val="22"/>
          <w:bdr w:val="nil"/>
          <w:lang w:val="es-ES"/>
        </w:rPr>
        <w:t>es</w:t>
      </w:r>
      <w:r>
        <w:rPr>
          <w:rFonts w:eastAsia="Arial"/>
          <w:bCs/>
          <w:szCs w:val="22"/>
          <w:bdr w:val="nil"/>
          <w:lang w:val="es-ES"/>
        </w:rPr>
        <w:t xml:space="preserve">:  </w:t>
      </w:r>
    </w:p>
    <w:p w:rsidR="00632912" w:rsidRDefault="00632912" w:rsidP="00632912">
      <w:pPr>
        <w:rPr>
          <w:rFonts w:eastAsia="Arial"/>
          <w:szCs w:val="22"/>
          <w:bdr w:val="nil"/>
          <w:lang w:val="es-ES"/>
        </w:rPr>
      </w:pPr>
      <w:r>
        <w:rPr>
          <w:rFonts w:eastAsia="Arial"/>
          <w:szCs w:val="22"/>
          <w:bdr w:val="nil"/>
          <w:lang w:val="es-ES"/>
        </w:rPr>
        <w:t xml:space="preserve">La APO dispone de aproximadamente 100 empleados </w:t>
      </w:r>
      <w:r w:rsidR="00D67F19">
        <w:rPr>
          <w:rFonts w:eastAsia="Arial"/>
          <w:szCs w:val="22"/>
          <w:bdr w:val="nil"/>
          <w:lang w:val="es-ES"/>
        </w:rPr>
        <w:t>trabajando a tiempo completo</w:t>
      </w:r>
      <w:r>
        <w:rPr>
          <w:rFonts w:eastAsia="Arial"/>
          <w:szCs w:val="22"/>
          <w:bdr w:val="nil"/>
          <w:lang w:val="es-ES"/>
        </w:rPr>
        <w:t xml:space="preserve"> que reúnen las competencias técnicas suficientes para efectuar búsquedas.  Los requisitos de empleo (poseer un diploma universitario, como mínimo equivalente a una maestría) garantizan las calificaciones técnicas necesarias para la búsqueda y el examen en todos los campos técnicos.  Los examinadores tienen acceso a herramientas de traducción por Internet y EPOQUENet.</w:t>
      </w:r>
    </w:p>
    <w:p w:rsidR="00632912" w:rsidRDefault="00632912" w:rsidP="00632912">
      <w:pPr>
        <w:rPr>
          <w:rFonts w:eastAsia="Arial"/>
          <w:szCs w:val="22"/>
          <w:bdr w:val="nil"/>
          <w:lang w:val="es-ES"/>
        </w:rPr>
      </w:pPr>
    </w:p>
    <w:p w:rsidR="00632912" w:rsidRPr="00632912" w:rsidRDefault="00632912" w:rsidP="00632912">
      <w:pPr>
        <w:rPr>
          <w:lang w:val="es-ES"/>
        </w:rPr>
      </w:pPr>
    </w:p>
    <w:tbl>
      <w:tblPr>
        <w:tblpPr w:leftFromText="141" w:rightFromText="141" w:vertAnchor="text" w:horzAnchor="margin" w:tblpXSpec="center" w:tblpY="239"/>
        <w:tblW w:w="8613" w:type="dxa"/>
        <w:tblBorders>
          <w:insideH w:val="single" w:sz="4" w:space="0" w:color="auto"/>
          <w:insideV w:val="single" w:sz="4" w:space="0" w:color="auto"/>
        </w:tblBorders>
        <w:tblCellMar>
          <w:left w:w="170" w:type="dxa"/>
        </w:tblCellMar>
        <w:tblLook w:val="04A0" w:firstRow="1" w:lastRow="0" w:firstColumn="1" w:lastColumn="0" w:noHBand="0" w:noVBand="1"/>
      </w:tblPr>
      <w:tblGrid>
        <w:gridCol w:w="4361"/>
        <w:gridCol w:w="4252"/>
      </w:tblGrid>
      <w:tr w:rsidR="00200C88" w:rsidRPr="007A338F" w:rsidTr="00632912">
        <w:trPr>
          <w:cantSplit/>
          <w:trHeight w:hRule="exact" w:val="568"/>
        </w:trPr>
        <w:tc>
          <w:tcPr>
            <w:tcW w:w="4361" w:type="dxa"/>
            <w:tcBorders>
              <w:top w:val="nil"/>
              <w:left w:val="nil"/>
              <w:bottom w:val="single" w:sz="4" w:space="0" w:color="auto"/>
              <w:right w:val="single" w:sz="4" w:space="0" w:color="auto"/>
            </w:tcBorders>
          </w:tcPr>
          <w:p w:rsidR="00632912" w:rsidRDefault="00632912" w:rsidP="00632912">
            <w:pPr>
              <w:keepNext/>
              <w:keepLines/>
              <w:rPr>
                <w:b/>
                <w:bCs/>
                <w:sz w:val="24"/>
                <w:szCs w:val="24"/>
                <w:lang w:val="de-DE" w:eastAsia="de-DE"/>
              </w:rPr>
            </w:pPr>
            <w:r>
              <w:rPr>
                <w:rFonts w:eastAsia="Arial"/>
                <w:b/>
                <w:bCs/>
                <w:szCs w:val="22"/>
                <w:bdr w:val="nil"/>
                <w:lang w:val="es-ES"/>
              </w:rPr>
              <w:t>Campo técnico</w:t>
            </w:r>
          </w:p>
        </w:tc>
        <w:tc>
          <w:tcPr>
            <w:tcW w:w="4252" w:type="dxa"/>
            <w:tcBorders>
              <w:top w:val="nil"/>
              <w:left w:val="single" w:sz="4" w:space="0" w:color="auto"/>
              <w:bottom w:val="single" w:sz="4" w:space="0" w:color="auto"/>
              <w:right w:val="nil"/>
            </w:tcBorders>
          </w:tcPr>
          <w:p w:rsidR="00632912" w:rsidRPr="00632912" w:rsidRDefault="00632912" w:rsidP="00D67F19">
            <w:pPr>
              <w:keepNext/>
              <w:keepLines/>
              <w:rPr>
                <w:b/>
                <w:bCs/>
                <w:sz w:val="24"/>
                <w:szCs w:val="24"/>
                <w:lang w:val="es-ES" w:eastAsia="de-DE"/>
              </w:rPr>
            </w:pPr>
            <w:r>
              <w:rPr>
                <w:rFonts w:eastAsia="Arial"/>
                <w:b/>
                <w:bCs/>
                <w:szCs w:val="22"/>
                <w:bdr w:val="nil"/>
                <w:lang w:val="es-ES"/>
              </w:rPr>
              <w:t>Número (</w:t>
            </w:r>
            <w:r w:rsidR="00D67F19">
              <w:rPr>
                <w:rFonts w:eastAsia="Arial"/>
                <w:b/>
                <w:bCs/>
                <w:szCs w:val="22"/>
                <w:bdr w:val="nil"/>
                <w:lang w:val="es-ES"/>
              </w:rPr>
              <w:t xml:space="preserve">en tiempo completo </w:t>
            </w:r>
            <w:r>
              <w:rPr>
                <w:rFonts w:eastAsia="Arial"/>
                <w:b/>
                <w:bCs/>
                <w:szCs w:val="22"/>
                <w:bdr w:val="nil"/>
                <w:lang w:val="es-ES"/>
              </w:rPr>
              <w:t>equivalente)</w:t>
            </w:r>
          </w:p>
        </w:tc>
      </w:tr>
      <w:tr w:rsidR="00200C88" w:rsidTr="00632912">
        <w:trPr>
          <w:cantSplit/>
          <w:trHeight w:hRule="exact" w:val="284"/>
        </w:trPr>
        <w:tc>
          <w:tcPr>
            <w:tcW w:w="4361" w:type="dxa"/>
            <w:tcBorders>
              <w:top w:val="single" w:sz="4" w:space="0" w:color="auto"/>
              <w:left w:val="nil"/>
              <w:bottom w:val="single" w:sz="4" w:space="0" w:color="auto"/>
              <w:right w:val="single" w:sz="4" w:space="0" w:color="auto"/>
            </w:tcBorders>
          </w:tcPr>
          <w:p w:rsidR="00632912" w:rsidRDefault="00632912" w:rsidP="00632912">
            <w:pPr>
              <w:keepNext/>
              <w:keepLines/>
              <w:rPr>
                <w:sz w:val="24"/>
                <w:szCs w:val="24"/>
                <w:lang w:val="de-DE" w:eastAsia="de-DE"/>
              </w:rPr>
            </w:pPr>
            <w:r>
              <w:rPr>
                <w:rFonts w:eastAsia="Arial"/>
                <w:szCs w:val="22"/>
                <w:bdr w:val="nil"/>
                <w:lang w:val="es-ES"/>
              </w:rPr>
              <w:t>Construcción / Física</w:t>
            </w:r>
          </w:p>
        </w:tc>
        <w:tc>
          <w:tcPr>
            <w:tcW w:w="4252" w:type="dxa"/>
            <w:tcBorders>
              <w:top w:val="single" w:sz="4" w:space="0" w:color="auto"/>
              <w:left w:val="single" w:sz="4" w:space="0" w:color="auto"/>
              <w:bottom w:val="single" w:sz="4" w:space="0" w:color="auto"/>
              <w:right w:val="nil"/>
            </w:tcBorders>
          </w:tcPr>
          <w:p w:rsidR="00632912" w:rsidRDefault="00632912" w:rsidP="00632912">
            <w:pPr>
              <w:keepNext/>
              <w:keepLines/>
              <w:jc w:val="center"/>
              <w:rPr>
                <w:sz w:val="24"/>
                <w:szCs w:val="24"/>
                <w:lang w:val="de-DE" w:eastAsia="de-DE"/>
              </w:rPr>
            </w:pPr>
            <w:r>
              <w:t>21</w:t>
            </w:r>
          </w:p>
        </w:tc>
      </w:tr>
      <w:tr w:rsidR="00200C88" w:rsidTr="00632912">
        <w:trPr>
          <w:cantSplit/>
          <w:trHeight w:hRule="exact" w:val="284"/>
        </w:trPr>
        <w:tc>
          <w:tcPr>
            <w:tcW w:w="4361" w:type="dxa"/>
            <w:tcBorders>
              <w:top w:val="single" w:sz="4" w:space="0" w:color="auto"/>
              <w:left w:val="nil"/>
              <w:bottom w:val="single" w:sz="4" w:space="0" w:color="auto"/>
              <w:right w:val="single" w:sz="4" w:space="0" w:color="auto"/>
            </w:tcBorders>
          </w:tcPr>
          <w:p w:rsidR="00632912" w:rsidRDefault="00632912" w:rsidP="00632912">
            <w:pPr>
              <w:keepNext/>
              <w:keepLines/>
              <w:rPr>
                <w:sz w:val="24"/>
                <w:szCs w:val="24"/>
                <w:lang w:val="de-DE" w:eastAsia="de-DE"/>
              </w:rPr>
            </w:pPr>
            <w:r>
              <w:rPr>
                <w:rFonts w:eastAsia="Arial"/>
                <w:szCs w:val="22"/>
                <w:bdr w:val="nil"/>
                <w:lang w:val="es-ES"/>
              </w:rPr>
              <w:t>Mecánica</w:t>
            </w:r>
          </w:p>
        </w:tc>
        <w:tc>
          <w:tcPr>
            <w:tcW w:w="4252" w:type="dxa"/>
            <w:tcBorders>
              <w:top w:val="single" w:sz="4" w:space="0" w:color="auto"/>
              <w:left w:val="single" w:sz="4" w:space="0" w:color="auto"/>
              <w:bottom w:val="single" w:sz="4" w:space="0" w:color="auto"/>
              <w:right w:val="nil"/>
            </w:tcBorders>
          </w:tcPr>
          <w:p w:rsidR="00632912" w:rsidRDefault="00632912" w:rsidP="00632912">
            <w:pPr>
              <w:keepNext/>
              <w:keepLines/>
              <w:jc w:val="center"/>
              <w:rPr>
                <w:sz w:val="24"/>
                <w:szCs w:val="24"/>
                <w:lang w:val="de-DE" w:eastAsia="de-DE"/>
              </w:rPr>
            </w:pPr>
            <w:r>
              <w:t>27</w:t>
            </w:r>
          </w:p>
        </w:tc>
      </w:tr>
      <w:tr w:rsidR="00200C88" w:rsidTr="00632912">
        <w:trPr>
          <w:cantSplit/>
          <w:trHeight w:hRule="exact" w:val="284"/>
        </w:trPr>
        <w:tc>
          <w:tcPr>
            <w:tcW w:w="4361" w:type="dxa"/>
            <w:tcBorders>
              <w:top w:val="single" w:sz="4" w:space="0" w:color="auto"/>
              <w:left w:val="nil"/>
              <w:bottom w:val="single" w:sz="4" w:space="0" w:color="auto"/>
              <w:right w:val="single" w:sz="4" w:space="0" w:color="auto"/>
            </w:tcBorders>
          </w:tcPr>
          <w:p w:rsidR="00632912" w:rsidRDefault="00632912" w:rsidP="00632912">
            <w:pPr>
              <w:keepNext/>
              <w:keepLines/>
              <w:rPr>
                <w:sz w:val="24"/>
                <w:szCs w:val="24"/>
                <w:lang w:val="de-DE" w:eastAsia="de-DE"/>
              </w:rPr>
            </w:pPr>
            <w:r>
              <w:rPr>
                <w:rFonts w:eastAsia="Arial"/>
                <w:szCs w:val="22"/>
                <w:bdr w:val="nil"/>
                <w:lang w:val="es-ES"/>
              </w:rPr>
              <w:t>Electricidad/ electrónica</w:t>
            </w:r>
          </w:p>
        </w:tc>
        <w:tc>
          <w:tcPr>
            <w:tcW w:w="4252" w:type="dxa"/>
            <w:tcBorders>
              <w:top w:val="single" w:sz="4" w:space="0" w:color="auto"/>
              <w:left w:val="single" w:sz="4" w:space="0" w:color="auto"/>
              <w:bottom w:val="single" w:sz="4" w:space="0" w:color="auto"/>
              <w:right w:val="nil"/>
            </w:tcBorders>
          </w:tcPr>
          <w:p w:rsidR="00632912" w:rsidRDefault="00632912" w:rsidP="00632912">
            <w:pPr>
              <w:keepNext/>
              <w:keepLines/>
              <w:jc w:val="center"/>
              <w:rPr>
                <w:sz w:val="24"/>
                <w:szCs w:val="24"/>
                <w:lang w:val="de-DE" w:eastAsia="de-DE"/>
              </w:rPr>
            </w:pPr>
            <w:r>
              <w:t>29</w:t>
            </w:r>
          </w:p>
        </w:tc>
      </w:tr>
      <w:tr w:rsidR="00200C88" w:rsidTr="00632912">
        <w:trPr>
          <w:cantSplit/>
          <w:trHeight w:hRule="exact" w:val="284"/>
        </w:trPr>
        <w:tc>
          <w:tcPr>
            <w:tcW w:w="4361" w:type="dxa"/>
            <w:tcBorders>
              <w:top w:val="single" w:sz="4" w:space="0" w:color="auto"/>
              <w:left w:val="nil"/>
              <w:bottom w:val="single" w:sz="4" w:space="0" w:color="auto"/>
              <w:right w:val="single" w:sz="4" w:space="0" w:color="auto"/>
            </w:tcBorders>
          </w:tcPr>
          <w:p w:rsidR="00632912" w:rsidRDefault="00632912" w:rsidP="00632912">
            <w:pPr>
              <w:keepNext/>
              <w:keepLines/>
              <w:rPr>
                <w:sz w:val="24"/>
                <w:szCs w:val="24"/>
                <w:lang w:val="de-DE" w:eastAsia="de-DE"/>
              </w:rPr>
            </w:pPr>
            <w:r>
              <w:rPr>
                <w:rFonts w:eastAsia="Arial"/>
                <w:szCs w:val="22"/>
                <w:bdr w:val="nil"/>
                <w:lang w:val="es-ES"/>
              </w:rPr>
              <w:t>Química / biotecnología</w:t>
            </w:r>
          </w:p>
        </w:tc>
        <w:tc>
          <w:tcPr>
            <w:tcW w:w="4252" w:type="dxa"/>
            <w:tcBorders>
              <w:top w:val="single" w:sz="4" w:space="0" w:color="auto"/>
              <w:left w:val="single" w:sz="4" w:space="0" w:color="auto"/>
              <w:bottom w:val="single" w:sz="4" w:space="0" w:color="auto"/>
              <w:right w:val="nil"/>
            </w:tcBorders>
          </w:tcPr>
          <w:p w:rsidR="00632912" w:rsidRDefault="00632912" w:rsidP="00632912">
            <w:pPr>
              <w:keepNext/>
              <w:keepLines/>
              <w:jc w:val="center"/>
              <w:rPr>
                <w:sz w:val="24"/>
                <w:szCs w:val="24"/>
                <w:lang w:val="de-DE" w:eastAsia="de-DE"/>
              </w:rPr>
            </w:pPr>
            <w:r>
              <w:t>24</w:t>
            </w:r>
          </w:p>
        </w:tc>
      </w:tr>
      <w:tr w:rsidR="00200C88" w:rsidTr="00632912">
        <w:trPr>
          <w:cantSplit/>
          <w:trHeight w:hRule="exact" w:val="284"/>
        </w:trPr>
        <w:tc>
          <w:tcPr>
            <w:tcW w:w="4361" w:type="dxa"/>
            <w:tcBorders>
              <w:top w:val="single" w:sz="4" w:space="0" w:color="auto"/>
              <w:left w:val="nil"/>
              <w:bottom w:val="nil"/>
              <w:right w:val="single" w:sz="4" w:space="0" w:color="auto"/>
            </w:tcBorders>
          </w:tcPr>
          <w:p w:rsidR="00632912" w:rsidRDefault="00632912" w:rsidP="00632912">
            <w:pPr>
              <w:rPr>
                <w:b/>
                <w:i/>
                <w:iCs/>
                <w:sz w:val="24"/>
                <w:szCs w:val="24"/>
                <w:lang w:val="de-DE" w:eastAsia="de-DE"/>
              </w:rPr>
            </w:pPr>
            <w:r>
              <w:rPr>
                <w:rFonts w:eastAsia="Arial"/>
                <w:b/>
                <w:bCs/>
                <w:i/>
                <w:iCs/>
                <w:szCs w:val="22"/>
                <w:bdr w:val="nil"/>
                <w:lang w:val="es-ES"/>
              </w:rPr>
              <w:t>Total</w:t>
            </w:r>
          </w:p>
        </w:tc>
        <w:tc>
          <w:tcPr>
            <w:tcW w:w="4252" w:type="dxa"/>
            <w:tcBorders>
              <w:top w:val="single" w:sz="4" w:space="0" w:color="auto"/>
              <w:left w:val="single" w:sz="4" w:space="0" w:color="auto"/>
              <w:bottom w:val="nil"/>
              <w:right w:val="nil"/>
            </w:tcBorders>
          </w:tcPr>
          <w:p w:rsidR="00632912" w:rsidRDefault="00632912" w:rsidP="00632912">
            <w:pPr>
              <w:jc w:val="center"/>
              <w:rPr>
                <w:b/>
                <w:i/>
                <w:iCs/>
                <w:sz w:val="24"/>
                <w:szCs w:val="24"/>
                <w:lang w:val="de-DE" w:eastAsia="de-DE"/>
              </w:rPr>
            </w:pPr>
            <w:r>
              <w:rPr>
                <w:b/>
                <w:i/>
                <w:iCs/>
              </w:rPr>
              <w:t>101</w:t>
            </w:r>
          </w:p>
        </w:tc>
      </w:tr>
    </w:tbl>
    <w:p w:rsidR="00632912" w:rsidRPr="00135CEA" w:rsidRDefault="00632912" w:rsidP="00632912"/>
    <w:p w:rsidR="00632912" w:rsidRPr="00632912" w:rsidRDefault="00632912" w:rsidP="00632912">
      <w:pPr>
        <w:rPr>
          <w:lang w:val="es-ES"/>
        </w:rPr>
      </w:pPr>
      <w:r>
        <w:rPr>
          <w:rFonts w:eastAsia="Arial"/>
          <w:szCs w:val="22"/>
          <w:bdr w:val="nil"/>
          <w:lang w:val="es-ES"/>
        </w:rPr>
        <w:t xml:space="preserve">Los nuevos empleados deben completar un programa de formación de entre 2 y 4 años, que incluye una supervisión minuciosa por parte de un examinador experimentado y un programa de enseñanza seguido de un examen oral y escrito.  Tras esta etapa de formación y el  posterior examen, el examinador dispone de todas las competencias necesarias y trabaja </w:t>
      </w:r>
      <w:r w:rsidR="00733EF3">
        <w:rPr>
          <w:rFonts w:eastAsia="Arial"/>
          <w:szCs w:val="22"/>
          <w:bdr w:val="nil"/>
          <w:lang w:val="es-ES"/>
        </w:rPr>
        <w:t>baj</w:t>
      </w:r>
      <w:r>
        <w:rPr>
          <w:rFonts w:eastAsia="Arial"/>
          <w:szCs w:val="22"/>
          <w:bdr w:val="nil"/>
          <w:lang w:val="es-ES"/>
        </w:rPr>
        <w:t xml:space="preserve">o una supervisión mínima.  A partir de ahí se espera que la búsqueda y el examen se efectúen de conformidad con las directrices del PCT y la legislación nacional. </w:t>
      </w:r>
    </w:p>
    <w:p w:rsidR="00632912" w:rsidRPr="00632912" w:rsidRDefault="00632912" w:rsidP="00632912">
      <w:pPr>
        <w:rPr>
          <w:lang w:val="es-ES"/>
        </w:rPr>
      </w:pPr>
    </w:p>
    <w:p w:rsidR="00632912" w:rsidRPr="00632912" w:rsidRDefault="00632912" w:rsidP="00632912">
      <w:pPr>
        <w:rPr>
          <w:lang w:val="es-ES"/>
        </w:rPr>
      </w:pPr>
      <w:r>
        <w:rPr>
          <w:rFonts w:eastAsia="Arial"/>
          <w:szCs w:val="22"/>
          <w:bdr w:val="nil"/>
          <w:lang w:val="es-ES"/>
        </w:rPr>
        <w:t>Los examinadores en periodo de formación también desempeñan las funciones de encargados de</w:t>
      </w:r>
      <w:r w:rsidR="00AA4077">
        <w:rPr>
          <w:rFonts w:eastAsia="Arial"/>
          <w:szCs w:val="22"/>
          <w:bdr w:val="nil"/>
          <w:lang w:val="es-ES"/>
        </w:rPr>
        <w:t xml:space="preserve"> expedientes</w:t>
      </w:r>
      <w:r>
        <w:rPr>
          <w:rFonts w:eastAsia="Arial"/>
          <w:szCs w:val="22"/>
          <w:bdr w:val="nil"/>
          <w:lang w:val="es-ES"/>
        </w:rPr>
        <w:t xml:space="preserve"> en los procedimientos de </w:t>
      </w:r>
      <w:r w:rsidR="00DD1DCD">
        <w:rPr>
          <w:rFonts w:eastAsia="Arial"/>
          <w:szCs w:val="22"/>
          <w:bdr w:val="nil"/>
          <w:lang w:val="es-ES"/>
        </w:rPr>
        <w:t>nulidad</w:t>
      </w:r>
      <w:r>
        <w:rPr>
          <w:rFonts w:eastAsia="Arial"/>
          <w:szCs w:val="22"/>
          <w:bdr w:val="nil"/>
          <w:lang w:val="es-ES"/>
        </w:rPr>
        <w:t xml:space="preserve">.  Esto les ayuda a aprender a evaluar con precisión una patente.  Después de aprobado el examen, los examinadores adquieren mayores competencias </w:t>
      </w:r>
      <w:r w:rsidR="00DD1DCD">
        <w:rPr>
          <w:rFonts w:eastAsia="Arial"/>
          <w:szCs w:val="22"/>
          <w:bdr w:val="nil"/>
          <w:lang w:val="es-ES"/>
        </w:rPr>
        <w:t>gracias a su participación en las sesiones de los órganos que se ocupan de los</w:t>
      </w:r>
      <w:r>
        <w:rPr>
          <w:rFonts w:eastAsia="Arial"/>
          <w:szCs w:val="22"/>
          <w:bdr w:val="nil"/>
          <w:lang w:val="es-ES"/>
        </w:rPr>
        <w:t xml:space="preserve"> </w:t>
      </w:r>
      <w:r w:rsidR="00DD1DCD">
        <w:rPr>
          <w:rFonts w:eastAsia="Arial"/>
          <w:szCs w:val="22"/>
          <w:bdr w:val="nil"/>
          <w:lang w:val="es-ES"/>
        </w:rPr>
        <w:t xml:space="preserve">procedimientos </w:t>
      </w:r>
      <w:r>
        <w:rPr>
          <w:rFonts w:eastAsia="Arial"/>
          <w:szCs w:val="22"/>
          <w:bdr w:val="nil"/>
          <w:lang w:val="es-ES"/>
        </w:rPr>
        <w:t xml:space="preserve">de oposición y </w:t>
      </w:r>
      <w:r w:rsidR="00DD1DCD">
        <w:rPr>
          <w:rFonts w:eastAsia="Arial"/>
          <w:szCs w:val="22"/>
          <w:bdr w:val="nil"/>
          <w:lang w:val="es-ES"/>
        </w:rPr>
        <w:t>nulidad</w:t>
      </w:r>
      <w:r>
        <w:rPr>
          <w:rFonts w:eastAsia="Arial"/>
          <w:szCs w:val="22"/>
          <w:bdr w:val="nil"/>
          <w:lang w:val="es-ES"/>
        </w:rPr>
        <w:t>.  L</w:t>
      </w:r>
      <w:r w:rsidR="00DD1DCD">
        <w:rPr>
          <w:rFonts w:eastAsia="Arial"/>
          <w:szCs w:val="22"/>
          <w:bdr w:val="nil"/>
          <w:lang w:val="es-ES"/>
        </w:rPr>
        <w:t>a experiencia que recaban en es</w:t>
      </w:r>
      <w:r>
        <w:rPr>
          <w:rFonts w:eastAsia="Arial"/>
          <w:szCs w:val="22"/>
          <w:bdr w:val="nil"/>
          <w:lang w:val="es-ES"/>
        </w:rPr>
        <w:t>e contexto tiene un efecto muy positivo a la hora de entender el procedimiento que se sigue durante las actividades de búsqueda y examen.</w:t>
      </w:r>
    </w:p>
    <w:p w:rsidR="00632912" w:rsidRPr="00632912" w:rsidRDefault="00632912" w:rsidP="00632912">
      <w:pPr>
        <w:rPr>
          <w:lang w:val="es-ES"/>
        </w:rPr>
      </w:pPr>
    </w:p>
    <w:p w:rsidR="00632912" w:rsidRPr="00632912" w:rsidRDefault="00632912" w:rsidP="00632912">
      <w:pPr>
        <w:rPr>
          <w:lang w:val="es-ES"/>
        </w:rPr>
      </w:pPr>
      <w:r>
        <w:rPr>
          <w:rFonts w:eastAsia="Arial"/>
          <w:szCs w:val="22"/>
          <w:bdr w:val="nil"/>
          <w:lang w:val="es-ES"/>
        </w:rPr>
        <w:t>Los examinadores también participan en EPOQUENet y en otros cursos de formación ofrecidos por la Oficina Europea de Patentes (OEP) y en los seminarios y otras actividades de capacitación en línea relacionadas con la búsqueda y el examen, organizadas por la OEP y la OMPI.  Además, las actividades de capacitación incluyen un intercambio de experiencias y prácticas óptimas en la búsqueda y el examen entre las oficinas de patentes.</w:t>
      </w:r>
    </w:p>
    <w:p w:rsidR="00632912" w:rsidRPr="00632912" w:rsidRDefault="00632912" w:rsidP="00632912">
      <w:pPr>
        <w:rPr>
          <w:lang w:val="es-ES"/>
        </w:rPr>
      </w:pPr>
    </w:p>
    <w:p w:rsidR="00632912" w:rsidRPr="00632912" w:rsidRDefault="00632912" w:rsidP="00632912">
      <w:pPr>
        <w:rPr>
          <w:color w:val="3B3B3B"/>
          <w:lang w:val="es-ES"/>
        </w:rPr>
      </w:pPr>
      <w:r>
        <w:rPr>
          <w:rFonts w:eastAsia="Arial"/>
          <w:szCs w:val="22"/>
          <w:bdr w:val="nil"/>
          <w:lang w:val="es-ES"/>
        </w:rPr>
        <w:t xml:space="preserve">Las actividades </w:t>
      </w:r>
      <w:r w:rsidR="00DD1DCD">
        <w:rPr>
          <w:rFonts w:eastAsia="Arial"/>
          <w:szCs w:val="22"/>
          <w:bdr w:val="nil"/>
          <w:lang w:val="es-ES"/>
        </w:rPr>
        <w:t>de</w:t>
      </w:r>
      <w:r>
        <w:rPr>
          <w:rFonts w:eastAsia="Arial"/>
          <w:szCs w:val="22"/>
          <w:bdr w:val="nil"/>
          <w:lang w:val="es-ES"/>
        </w:rPr>
        <w:t xml:space="preserve"> capacitación y desarrollo</w:t>
      </w:r>
      <w:r w:rsidR="00DD1DCD">
        <w:rPr>
          <w:rFonts w:eastAsia="Arial"/>
          <w:szCs w:val="22"/>
          <w:bdr w:val="nil"/>
          <w:lang w:val="es-ES"/>
        </w:rPr>
        <w:t xml:space="preserve"> continuos</w:t>
      </w:r>
      <w:r>
        <w:rPr>
          <w:rFonts w:eastAsia="Arial"/>
          <w:szCs w:val="22"/>
          <w:bdr w:val="nil"/>
          <w:lang w:val="es-ES"/>
        </w:rPr>
        <w:t xml:space="preserve"> permiten que los examinadores adquieran una mayor consciencia de la importancia de cumplir los criterios y las normas de calidad.</w:t>
      </w:r>
      <w:r w:rsidR="00DD1DCD">
        <w:rPr>
          <w:rFonts w:eastAsia="Arial"/>
          <w:szCs w:val="22"/>
          <w:bdr w:val="nil"/>
          <w:lang w:val="es-ES"/>
        </w:rPr>
        <w:t xml:space="preserve">  </w:t>
      </w:r>
      <w:r>
        <w:rPr>
          <w:rFonts w:eastAsia="Arial"/>
          <w:szCs w:val="22"/>
          <w:bdr w:val="nil"/>
          <w:lang w:val="es-ES"/>
        </w:rPr>
        <w:t xml:space="preserve">Para más información, sírvase consultar nuestros </w:t>
      </w:r>
      <w:r>
        <w:rPr>
          <w:rFonts w:eastAsia="Arial"/>
          <w:color w:val="3B3B3B"/>
          <w:szCs w:val="22"/>
          <w:bdr w:val="nil"/>
          <w:lang w:val="es-ES"/>
        </w:rPr>
        <w:t xml:space="preserve"> Informes de calidad de la Administración internacional publicados desde 2006, en el siguiente enlace: </w:t>
      </w:r>
      <w:hyperlink r:id="rId11" w:history="1">
        <w:r>
          <w:rPr>
            <w:rFonts w:eastAsia="Arial"/>
            <w:szCs w:val="22"/>
            <w:bdr w:val="nil"/>
            <w:lang w:val="es-ES"/>
          </w:rPr>
          <w:t>http://www.wipo.int/pct/en/quality/authorities.html</w:t>
        </w:r>
      </w:hyperlink>
      <w:r>
        <w:rPr>
          <w:rFonts w:eastAsia="Arial"/>
          <w:color w:val="3B3B3B"/>
          <w:szCs w:val="22"/>
          <w:bdr w:val="nil"/>
          <w:lang w:val="es-ES"/>
        </w:rPr>
        <w:t>.</w:t>
      </w:r>
    </w:p>
    <w:p w:rsidR="00632912" w:rsidRPr="00632912" w:rsidRDefault="00632912" w:rsidP="00632912">
      <w:pPr>
        <w:rPr>
          <w:lang w:val="es-ES"/>
        </w:rPr>
      </w:pPr>
    </w:p>
    <w:p w:rsidR="00632912" w:rsidRPr="00632912" w:rsidRDefault="00632912" w:rsidP="00632912">
      <w:pPr>
        <w:rPr>
          <w:i/>
          <w:lang w:val="es-ES"/>
        </w:rPr>
      </w:pPr>
      <w:r>
        <w:rPr>
          <w:rFonts w:eastAsia="Arial"/>
          <w:i/>
          <w:iCs/>
          <w:szCs w:val="22"/>
          <w:bdr w:val="nil"/>
          <w:lang w:val="es-ES"/>
        </w:rPr>
        <w:t>De todo ello se deduce que la APO cumple los requisitos estab</w:t>
      </w:r>
      <w:r w:rsidR="000C6962">
        <w:rPr>
          <w:rFonts w:eastAsia="Arial"/>
          <w:i/>
          <w:iCs/>
          <w:szCs w:val="22"/>
          <w:bdr w:val="nil"/>
          <w:lang w:val="es-ES"/>
        </w:rPr>
        <w:t>lecidos en las Reglas 36.1.i) y </w:t>
      </w:r>
      <w:r>
        <w:rPr>
          <w:rFonts w:eastAsia="Arial"/>
          <w:i/>
          <w:iCs/>
          <w:szCs w:val="22"/>
          <w:bdr w:val="nil"/>
          <w:lang w:val="es-ES"/>
        </w:rPr>
        <w:t>63.1.i) del PCT.</w:t>
      </w:r>
    </w:p>
    <w:p w:rsidR="00632912" w:rsidRPr="00632912" w:rsidRDefault="00632912" w:rsidP="00632912">
      <w:pPr>
        <w:pStyle w:val="22Standard"/>
        <w:ind w:left="0"/>
        <w:jc w:val="both"/>
        <w:rPr>
          <w:i/>
          <w:lang w:val="es-ES"/>
        </w:rPr>
      </w:pPr>
    </w:p>
    <w:p w:rsidR="00632912" w:rsidRPr="00632912" w:rsidRDefault="00632912" w:rsidP="00632912">
      <w:pPr>
        <w:rPr>
          <w:b/>
          <w:i/>
          <w:lang w:val="es-ES"/>
        </w:rPr>
      </w:pPr>
      <w:r>
        <w:rPr>
          <w:rFonts w:eastAsia="Arial"/>
          <w:b/>
          <w:bCs/>
          <w:i/>
          <w:iCs/>
          <w:szCs w:val="22"/>
          <w:bdr w:val="nil"/>
          <w:lang w:val="es-ES"/>
        </w:rPr>
        <w:t>Regla 36.1.ii) [63.1.ii) para las Administraciones encargadas del examen preliminar internacional]</w:t>
      </w:r>
      <w:proofErr w:type="gramStart"/>
      <w:r>
        <w:rPr>
          <w:rFonts w:eastAsia="Arial"/>
          <w:b/>
          <w:bCs/>
          <w:i/>
          <w:iCs/>
          <w:szCs w:val="22"/>
          <w:bdr w:val="nil"/>
          <w:lang w:val="es-ES"/>
        </w:rPr>
        <w:t>:</w:t>
      </w:r>
      <w:r w:rsidR="00120AC4">
        <w:rPr>
          <w:rFonts w:eastAsia="Arial"/>
          <w:b/>
          <w:bCs/>
          <w:i/>
          <w:iCs/>
          <w:szCs w:val="22"/>
          <w:bdr w:val="nil"/>
          <w:lang w:val="es-ES"/>
        </w:rPr>
        <w:t xml:space="preserve"> </w:t>
      </w:r>
      <w:r>
        <w:rPr>
          <w:rFonts w:eastAsia="Arial"/>
          <w:b/>
          <w:bCs/>
          <w:i/>
          <w:iCs/>
          <w:szCs w:val="22"/>
          <w:bdr w:val="nil"/>
          <w:lang w:val="es-ES"/>
        </w:rPr>
        <w:t xml:space="preserve"> Esa</w:t>
      </w:r>
      <w:proofErr w:type="gramEnd"/>
      <w:r>
        <w:rPr>
          <w:rFonts w:eastAsia="Arial"/>
          <w:b/>
          <w:bCs/>
          <w:i/>
          <w:iCs/>
          <w:szCs w:val="22"/>
          <w:bdr w:val="nil"/>
          <w:lang w:val="es-ES"/>
        </w:rPr>
        <w:t xml:space="preserve"> Oficina u organización deberá poseer, por lo menos, la documentación mínima mencionada en la Regla 34, o tener acceso a esa documentación mínima, la cual deberá estar ordenada en forma adecuada a los fines de la búsqueda [examen] y presentarse en papel, en microformato o en soporte electrónico.</w:t>
      </w:r>
    </w:p>
    <w:p w:rsidR="00632912" w:rsidRPr="00632912" w:rsidRDefault="00632912" w:rsidP="00632912">
      <w:pPr>
        <w:pStyle w:val="Sub-heading"/>
        <w:rPr>
          <w:lang w:val="es-ES"/>
        </w:rPr>
      </w:pPr>
      <w:r>
        <w:rPr>
          <w:rFonts w:eastAsia="Arial"/>
          <w:bCs/>
          <w:szCs w:val="22"/>
          <w:bdr w:val="nil"/>
          <w:lang w:val="es-ES"/>
        </w:rPr>
        <w:t xml:space="preserve">Acceso a la documentación mínima adecuada para fines de la búsqueda:  </w:t>
      </w:r>
    </w:p>
    <w:p w:rsidR="00632912" w:rsidRPr="00632912" w:rsidRDefault="00632912" w:rsidP="00632912">
      <w:pPr>
        <w:rPr>
          <w:lang w:val="es-ES"/>
        </w:rPr>
      </w:pPr>
      <w:r>
        <w:rPr>
          <w:rFonts w:eastAsia="Arial"/>
          <w:szCs w:val="22"/>
          <w:bdr w:val="nil"/>
          <w:lang w:val="es-ES"/>
        </w:rPr>
        <w:t>Se ha establecido un proceso de búsqueda y examen asistido por computadora.  Todos los examinadores tiene acceso a EPOQUENet, a Internet y a todo un conjunto de bases de datos.  Ello les brinda numerosas posibilidades de mejorar y completar su búsqueda sobre el estado de la técnica, además de la búsqueda en la documentación mínima del PCT.</w:t>
      </w:r>
    </w:p>
    <w:p w:rsidR="00632912" w:rsidRPr="00632912" w:rsidRDefault="00632912" w:rsidP="00632912">
      <w:pPr>
        <w:rPr>
          <w:lang w:val="es-ES"/>
        </w:rPr>
      </w:pPr>
    </w:p>
    <w:p w:rsidR="00632912" w:rsidRPr="00632912" w:rsidRDefault="00632912" w:rsidP="00632912">
      <w:pPr>
        <w:rPr>
          <w:lang w:val="es-ES"/>
        </w:rPr>
      </w:pPr>
      <w:r>
        <w:rPr>
          <w:rFonts w:eastAsia="Arial"/>
          <w:szCs w:val="22"/>
          <w:bdr w:val="nil"/>
          <w:lang w:val="es-ES"/>
        </w:rPr>
        <w:lastRenderedPageBreak/>
        <w:t xml:space="preserve">Además, existe una extensa documentación disponible en papel, microficha y CD-ROM proporcionada por numerosos países y gestionada por la biblioteca de la Oficina </w:t>
      </w:r>
      <w:r w:rsidR="009745E8">
        <w:rPr>
          <w:rFonts w:eastAsia="Arial"/>
          <w:szCs w:val="22"/>
          <w:bdr w:val="nil"/>
          <w:lang w:val="es-ES"/>
        </w:rPr>
        <w:t>Austríaca</w:t>
      </w:r>
      <w:r>
        <w:rPr>
          <w:rFonts w:eastAsia="Arial"/>
          <w:szCs w:val="22"/>
          <w:bdr w:val="nil"/>
          <w:lang w:val="es-ES"/>
        </w:rPr>
        <w:t xml:space="preserve"> de Patentes.</w:t>
      </w:r>
    </w:p>
    <w:p w:rsidR="00632912" w:rsidRPr="00632912" w:rsidRDefault="00632912" w:rsidP="00632912">
      <w:pPr>
        <w:rPr>
          <w:lang w:val="es-ES"/>
        </w:rPr>
      </w:pPr>
    </w:p>
    <w:p w:rsidR="00632912" w:rsidRPr="00632912" w:rsidRDefault="00632912" w:rsidP="00632912">
      <w:pPr>
        <w:rPr>
          <w:lang w:val="es-ES"/>
        </w:rPr>
      </w:pPr>
      <w:r>
        <w:rPr>
          <w:rFonts w:eastAsia="Arial"/>
          <w:szCs w:val="22"/>
          <w:bdr w:val="nil"/>
          <w:lang w:val="es-ES"/>
        </w:rPr>
        <w:t xml:space="preserve">Para mayor información, sírvase consultar nuestros Informes de calidad de la Administración internacional publicados desde 2006, en el siguiente enlace:  </w:t>
      </w:r>
      <w:hyperlink r:id="rId12" w:history="1">
        <w:r>
          <w:rPr>
            <w:rFonts w:eastAsia="Arial"/>
            <w:szCs w:val="22"/>
            <w:bdr w:val="nil"/>
            <w:lang w:val="es-ES"/>
          </w:rPr>
          <w:t>http://www.wipo.int/pct/en/quality/authorities.html</w:t>
        </w:r>
      </w:hyperlink>
      <w:r>
        <w:rPr>
          <w:rFonts w:eastAsia="Arial"/>
          <w:szCs w:val="22"/>
          <w:bdr w:val="nil"/>
          <w:lang w:val="es-ES"/>
        </w:rPr>
        <w:t xml:space="preserve"> </w:t>
      </w:r>
    </w:p>
    <w:p w:rsidR="00632912" w:rsidRPr="00632912" w:rsidRDefault="00632912" w:rsidP="00632912">
      <w:pPr>
        <w:rPr>
          <w:lang w:val="es-ES"/>
        </w:rPr>
      </w:pPr>
    </w:p>
    <w:p w:rsidR="00632912" w:rsidRPr="00632912" w:rsidRDefault="00632912" w:rsidP="00632912">
      <w:pPr>
        <w:rPr>
          <w:i/>
          <w:lang w:val="es-ES"/>
        </w:rPr>
      </w:pPr>
      <w:r>
        <w:rPr>
          <w:rFonts w:eastAsia="Arial"/>
          <w:i/>
          <w:iCs/>
          <w:szCs w:val="22"/>
          <w:bdr w:val="nil"/>
          <w:lang w:val="es-ES"/>
        </w:rPr>
        <w:t xml:space="preserve">De todo ello se deduce que la Oficina </w:t>
      </w:r>
      <w:r w:rsidR="009745E8">
        <w:rPr>
          <w:rFonts w:eastAsia="Arial"/>
          <w:i/>
          <w:iCs/>
          <w:szCs w:val="22"/>
          <w:bdr w:val="nil"/>
          <w:lang w:val="es-ES"/>
        </w:rPr>
        <w:t>Austríaca</w:t>
      </w:r>
      <w:r>
        <w:rPr>
          <w:rFonts w:eastAsia="Arial"/>
          <w:i/>
          <w:iCs/>
          <w:szCs w:val="22"/>
          <w:bdr w:val="nil"/>
          <w:lang w:val="es-ES"/>
        </w:rPr>
        <w:t xml:space="preserve"> de Patentes cumple con lo dispuesto en las Reglas 36.1.ii) y 63.1.ii) del PCT.</w:t>
      </w:r>
    </w:p>
    <w:p w:rsidR="00632912" w:rsidRPr="00632912" w:rsidRDefault="00632912" w:rsidP="00632912">
      <w:pPr>
        <w:rPr>
          <w:lang w:val="es-ES"/>
        </w:rPr>
      </w:pPr>
    </w:p>
    <w:p w:rsidR="00632912" w:rsidRPr="00632912" w:rsidRDefault="00632912" w:rsidP="00632912">
      <w:pPr>
        <w:rPr>
          <w:lang w:val="es-ES"/>
        </w:rPr>
      </w:pPr>
      <w:r>
        <w:rPr>
          <w:rFonts w:eastAsia="Arial"/>
          <w:b/>
          <w:bCs/>
          <w:i/>
          <w:iCs/>
          <w:szCs w:val="22"/>
          <w:bdr w:val="nil"/>
          <w:lang w:val="es-ES"/>
        </w:rPr>
        <w:t>Regla 36.1.iii) [63.1.iii) para las Administraciones encargadas del examen preliminar internacional]</w:t>
      </w:r>
      <w:proofErr w:type="gramStart"/>
      <w:r>
        <w:rPr>
          <w:rFonts w:eastAsia="Arial"/>
          <w:b/>
          <w:bCs/>
          <w:i/>
          <w:iCs/>
          <w:szCs w:val="22"/>
          <w:bdr w:val="nil"/>
          <w:lang w:val="es-ES"/>
        </w:rPr>
        <w:t xml:space="preserve">: </w:t>
      </w:r>
      <w:r w:rsidR="00120AC4">
        <w:rPr>
          <w:rFonts w:eastAsia="Arial"/>
          <w:b/>
          <w:bCs/>
          <w:i/>
          <w:iCs/>
          <w:szCs w:val="22"/>
          <w:bdr w:val="nil"/>
          <w:lang w:val="es-ES"/>
        </w:rPr>
        <w:t xml:space="preserve"> </w:t>
      </w:r>
      <w:r>
        <w:rPr>
          <w:rFonts w:eastAsia="Arial"/>
          <w:b/>
          <w:bCs/>
          <w:i/>
          <w:iCs/>
          <w:szCs w:val="22"/>
          <w:bdr w:val="nil"/>
          <w:lang w:val="es-ES"/>
        </w:rPr>
        <w:t>Esa</w:t>
      </w:r>
      <w:proofErr w:type="gramEnd"/>
      <w:r>
        <w:rPr>
          <w:rFonts w:eastAsia="Arial"/>
          <w:b/>
          <w:bCs/>
          <w:i/>
          <w:iCs/>
          <w:szCs w:val="22"/>
          <w:bdr w:val="nil"/>
          <w:lang w:val="es-ES"/>
        </w:rPr>
        <w:t xml:space="preserve"> Oficina u organización deberá disponer de un personal capacitado para proceder a la búsqueda [examen] en los sectores técnicos en los que deba realizarse la búsqueda y que posea los conocimientos lingüísticos necesarios para comprender, por lo menos, los idiomas en los que esté redactada o traducida la documentación mínima mencionada en la Regla 34.</w:t>
      </w:r>
    </w:p>
    <w:p w:rsidR="00632912" w:rsidRPr="00632912" w:rsidRDefault="00632912" w:rsidP="00632912">
      <w:pPr>
        <w:rPr>
          <w:lang w:val="es-ES"/>
        </w:rPr>
      </w:pPr>
    </w:p>
    <w:p w:rsidR="00632912" w:rsidRPr="00632912" w:rsidRDefault="00632912" w:rsidP="00632912">
      <w:pPr>
        <w:rPr>
          <w:lang w:val="es-ES"/>
        </w:rPr>
      </w:pPr>
      <w:r>
        <w:rPr>
          <w:rFonts w:eastAsia="Arial"/>
          <w:szCs w:val="22"/>
          <w:bdr w:val="nil"/>
          <w:lang w:val="es-ES"/>
        </w:rPr>
        <w:t xml:space="preserve">Antes de incorporarse a la APO, los nuevos examinadores, además del idioma principal de trabajo, el alemán, han de comprender el inglés y tener conocimientos básicos de francés.  La APO ofrece </w:t>
      </w:r>
      <w:r w:rsidR="00331787">
        <w:rPr>
          <w:rFonts w:eastAsia="Arial"/>
          <w:szCs w:val="22"/>
          <w:bdr w:val="nil"/>
          <w:lang w:val="es-ES"/>
        </w:rPr>
        <w:t xml:space="preserve">cursos de inglés y francés </w:t>
      </w:r>
      <w:r>
        <w:rPr>
          <w:rFonts w:eastAsia="Arial"/>
          <w:szCs w:val="22"/>
          <w:bdr w:val="nil"/>
          <w:lang w:val="es-ES"/>
        </w:rPr>
        <w:t xml:space="preserve">a sus examinadores para que sigan </w:t>
      </w:r>
      <w:r w:rsidR="00331787">
        <w:rPr>
          <w:rFonts w:eastAsia="Arial"/>
          <w:szCs w:val="22"/>
          <w:bdr w:val="nil"/>
          <w:lang w:val="es-ES"/>
        </w:rPr>
        <w:t>perfeccionando</w:t>
      </w:r>
      <w:r>
        <w:rPr>
          <w:rFonts w:eastAsia="Arial"/>
          <w:szCs w:val="22"/>
          <w:bdr w:val="nil"/>
          <w:lang w:val="es-ES"/>
        </w:rPr>
        <w:t xml:space="preserve"> dichos idiomas. </w:t>
      </w:r>
    </w:p>
    <w:p w:rsidR="00632912" w:rsidRPr="00632912" w:rsidRDefault="00632912" w:rsidP="00632912">
      <w:pPr>
        <w:pStyle w:val="Sub-heading"/>
        <w:rPr>
          <w:lang w:val="es-ES"/>
        </w:rPr>
      </w:pPr>
      <w:r>
        <w:rPr>
          <w:rFonts w:eastAsia="Arial"/>
          <w:bCs/>
          <w:szCs w:val="22"/>
          <w:bdr w:val="nil"/>
          <w:lang w:val="es-ES"/>
        </w:rPr>
        <w:t>Idioma</w:t>
      </w:r>
      <w:r w:rsidR="00331787">
        <w:rPr>
          <w:rFonts w:eastAsia="Arial"/>
          <w:bCs/>
          <w:szCs w:val="22"/>
          <w:bdr w:val="nil"/>
          <w:lang w:val="es-ES"/>
        </w:rPr>
        <w:t>s</w:t>
      </w:r>
      <w:r>
        <w:rPr>
          <w:rFonts w:eastAsia="Arial"/>
          <w:bCs/>
          <w:szCs w:val="22"/>
          <w:bdr w:val="nil"/>
          <w:lang w:val="es-ES"/>
        </w:rPr>
        <w:t xml:space="preserve"> en los que </w:t>
      </w:r>
      <w:r w:rsidR="00DD1DCD">
        <w:rPr>
          <w:rFonts w:eastAsia="Arial"/>
          <w:bCs/>
          <w:szCs w:val="22"/>
          <w:bdr w:val="nil"/>
          <w:lang w:val="es-ES"/>
        </w:rPr>
        <w:t>las solicitudes nacionales pueden ser presentadas y tramitadas</w:t>
      </w:r>
      <w:r w:rsidR="000902F8">
        <w:rPr>
          <w:rFonts w:eastAsia="Arial"/>
          <w:bCs/>
          <w:szCs w:val="22"/>
          <w:bdr w:val="nil"/>
          <w:lang w:val="es-ES"/>
        </w:rPr>
        <w:t>:</w:t>
      </w:r>
    </w:p>
    <w:p w:rsidR="00632912" w:rsidRPr="00632912" w:rsidRDefault="00632912" w:rsidP="00632912">
      <w:pPr>
        <w:rPr>
          <w:lang w:val="es-ES"/>
        </w:rPr>
      </w:pPr>
      <w:r>
        <w:rPr>
          <w:rFonts w:eastAsia="Arial"/>
          <w:szCs w:val="22"/>
          <w:bdr w:val="nil"/>
          <w:lang w:val="es-ES"/>
        </w:rPr>
        <w:t xml:space="preserve">Las solicitudes nacionales pueden presentarse en alemán, inglés o francés.  Si la solicitud no está redactada en alemán, el solicitante recibe una primera opinión por escrito que incluye los resultados de búsqueda basados en esa versión en inglés o francés.  Para continuar su solicitud, el solicitante deberá presentar una traducción de la solicitud completa en alemán. </w:t>
      </w:r>
    </w:p>
    <w:p w:rsidR="00632912" w:rsidRPr="00632912" w:rsidRDefault="00632912" w:rsidP="00632912">
      <w:pPr>
        <w:rPr>
          <w:lang w:val="es-ES"/>
        </w:rPr>
      </w:pPr>
    </w:p>
    <w:p w:rsidR="00632912" w:rsidRPr="00632912" w:rsidRDefault="00632912" w:rsidP="00632912">
      <w:pPr>
        <w:rPr>
          <w:lang w:val="es-ES"/>
        </w:rPr>
      </w:pPr>
      <w:r>
        <w:rPr>
          <w:rFonts w:eastAsia="Arial"/>
          <w:szCs w:val="22"/>
          <w:bdr w:val="nil"/>
          <w:lang w:val="es-ES"/>
        </w:rPr>
        <w:t>Los examinadores de la APO emplean herramientas de traducción disponibles en EPOQUENet y en otras bases de datos.</w:t>
      </w:r>
    </w:p>
    <w:p w:rsidR="00632912" w:rsidRPr="00632912" w:rsidRDefault="00632912" w:rsidP="00632912">
      <w:pPr>
        <w:rPr>
          <w:lang w:val="es-ES"/>
        </w:rPr>
      </w:pPr>
    </w:p>
    <w:p w:rsidR="00632912" w:rsidRPr="00632912" w:rsidRDefault="00632912" w:rsidP="00632912">
      <w:pPr>
        <w:rPr>
          <w:i/>
          <w:lang w:val="es-ES"/>
        </w:rPr>
      </w:pPr>
      <w:r>
        <w:rPr>
          <w:rFonts w:eastAsia="Arial"/>
          <w:i/>
          <w:iCs/>
          <w:szCs w:val="22"/>
          <w:bdr w:val="nil"/>
          <w:lang w:val="es-ES"/>
        </w:rPr>
        <w:t>En consecuencia, la APO cumple con lo dispuesto en las Reglas 36.1.iii) y 63.1.iii) del PCT.</w:t>
      </w:r>
    </w:p>
    <w:p w:rsidR="00632912" w:rsidRPr="00632912" w:rsidRDefault="00632912" w:rsidP="00632912">
      <w:pPr>
        <w:pStyle w:val="SectionHeading"/>
        <w:rPr>
          <w:lang w:val="es-ES"/>
        </w:rPr>
      </w:pPr>
      <w:r>
        <w:rPr>
          <w:rFonts w:eastAsia="Arial"/>
          <w:szCs w:val="22"/>
          <w:bdr w:val="nil"/>
          <w:lang w:val="es-ES"/>
        </w:rPr>
        <w:t>2.2 – Gestión de calidad</w:t>
      </w:r>
    </w:p>
    <w:p w:rsidR="00632912" w:rsidRPr="00632912" w:rsidRDefault="00632912" w:rsidP="00632912">
      <w:pPr>
        <w:rPr>
          <w:b/>
          <w:i/>
          <w:lang w:val="es-ES"/>
        </w:rPr>
      </w:pPr>
      <w:r>
        <w:rPr>
          <w:rFonts w:eastAsia="Arial"/>
          <w:b/>
          <w:bCs/>
          <w:i/>
          <w:iCs/>
          <w:szCs w:val="22"/>
          <w:bdr w:val="nil"/>
          <w:lang w:val="es-ES"/>
        </w:rPr>
        <w:t>Regla 36.1.iv) [63.1.iv) para las Administraciones encargadas del examen preliminar internacional]</w:t>
      </w:r>
      <w:proofErr w:type="gramStart"/>
      <w:r>
        <w:rPr>
          <w:rFonts w:eastAsia="Arial"/>
          <w:b/>
          <w:bCs/>
          <w:i/>
          <w:iCs/>
          <w:szCs w:val="22"/>
          <w:bdr w:val="nil"/>
          <w:lang w:val="es-ES"/>
        </w:rPr>
        <w:t>:</w:t>
      </w:r>
      <w:r w:rsidR="00935967">
        <w:rPr>
          <w:rFonts w:eastAsia="Arial"/>
          <w:b/>
          <w:bCs/>
          <w:i/>
          <w:iCs/>
          <w:szCs w:val="22"/>
          <w:bdr w:val="nil"/>
          <w:lang w:val="es-ES"/>
        </w:rPr>
        <w:t xml:space="preserve"> </w:t>
      </w:r>
      <w:r>
        <w:rPr>
          <w:rFonts w:eastAsia="Arial"/>
          <w:b/>
          <w:bCs/>
          <w:i/>
          <w:iCs/>
          <w:szCs w:val="22"/>
          <w:bdr w:val="nil"/>
          <w:lang w:val="es-ES"/>
        </w:rPr>
        <w:t xml:space="preserve"> Esa</w:t>
      </w:r>
      <w:proofErr w:type="gramEnd"/>
      <w:r>
        <w:rPr>
          <w:rFonts w:eastAsia="Arial"/>
          <w:b/>
          <w:bCs/>
          <w:i/>
          <w:iCs/>
          <w:szCs w:val="22"/>
          <w:bdr w:val="nil"/>
          <w:lang w:val="es-ES"/>
        </w:rPr>
        <w:t xml:space="preserve"> Oficina u organización deberá disponer de un sistema de gestión de calidad y un sistema de revisión interna, conforme a las reglas comunes de la búsqueda internacional [examen preliminar]</w:t>
      </w:r>
    </w:p>
    <w:p w:rsidR="00632912" w:rsidRPr="00632912" w:rsidRDefault="00632912" w:rsidP="00632912">
      <w:pPr>
        <w:rPr>
          <w:lang w:val="es-ES"/>
        </w:rPr>
      </w:pPr>
    </w:p>
    <w:p w:rsidR="00632912" w:rsidRPr="00632912" w:rsidRDefault="00632912" w:rsidP="00632912">
      <w:pPr>
        <w:rPr>
          <w:lang w:val="es-ES"/>
        </w:rPr>
      </w:pPr>
      <w:r>
        <w:rPr>
          <w:rFonts w:eastAsia="Arial"/>
          <w:szCs w:val="22"/>
          <w:bdr w:val="nil"/>
          <w:lang w:val="es-ES"/>
        </w:rPr>
        <w:t xml:space="preserve">Para más información, sírvase consultar nuestros Informes de Calidad de la Administración internacional publicados desde 2006, disponibles en el siguiente enlace: </w:t>
      </w:r>
      <w:hyperlink r:id="rId13" w:history="1">
        <w:r>
          <w:rPr>
            <w:rFonts w:eastAsia="Arial"/>
            <w:szCs w:val="22"/>
            <w:bdr w:val="nil"/>
            <w:lang w:val="es-ES"/>
          </w:rPr>
          <w:t>http://www.wipo.int/pct/en/quality/authorities.html</w:t>
        </w:r>
      </w:hyperlink>
    </w:p>
    <w:p w:rsidR="00632912" w:rsidRPr="00632912" w:rsidRDefault="00632912" w:rsidP="00632912">
      <w:pPr>
        <w:rPr>
          <w:lang w:val="es-ES"/>
        </w:rPr>
      </w:pPr>
    </w:p>
    <w:p w:rsidR="00632912" w:rsidRPr="00632912" w:rsidRDefault="00632912" w:rsidP="00632912">
      <w:pPr>
        <w:rPr>
          <w:lang w:val="es-ES"/>
        </w:rPr>
      </w:pPr>
      <w:r>
        <w:rPr>
          <w:rFonts w:eastAsia="Arial"/>
          <w:szCs w:val="22"/>
          <w:bdr w:val="nil"/>
          <w:lang w:val="es-ES"/>
        </w:rPr>
        <w:t>Gracias a su Sistema de Gestión de Calidad (QMS), la APO sigue mejorando continuamente su desempeño de acuerdo con los requisitos del QMS y es capaz de evaluar la eficacia de su QMS.</w:t>
      </w:r>
    </w:p>
    <w:p w:rsidR="00632912" w:rsidRPr="00632912" w:rsidRDefault="00632912" w:rsidP="00632912">
      <w:pPr>
        <w:rPr>
          <w:lang w:val="es-ES"/>
        </w:rPr>
      </w:pPr>
    </w:p>
    <w:p w:rsidR="00632912" w:rsidRPr="00632912" w:rsidRDefault="00632912" w:rsidP="00632912">
      <w:pPr>
        <w:rPr>
          <w:lang w:val="es-ES"/>
        </w:rPr>
      </w:pPr>
      <w:r>
        <w:rPr>
          <w:rFonts w:eastAsia="Arial"/>
          <w:szCs w:val="22"/>
          <w:bdr w:val="nil"/>
          <w:lang w:val="es-ES"/>
        </w:rPr>
        <w:t>La dirección de la APO puede identificar la causa de cualquier incumplimiento de los requisitos del QMS y las directrices de búsqueda y examen del PCT y adoptar de inmediato las medidas correctivas oportunas.</w:t>
      </w:r>
    </w:p>
    <w:p w:rsidR="00632912" w:rsidRPr="00632912" w:rsidRDefault="00632912" w:rsidP="00632912">
      <w:pPr>
        <w:rPr>
          <w:lang w:val="es-ES"/>
        </w:rPr>
      </w:pPr>
    </w:p>
    <w:p w:rsidR="00632912" w:rsidRPr="00632912" w:rsidRDefault="00632912" w:rsidP="00632912">
      <w:pPr>
        <w:rPr>
          <w:lang w:val="es-ES"/>
        </w:rPr>
      </w:pPr>
      <w:r>
        <w:rPr>
          <w:rFonts w:eastAsia="Arial"/>
          <w:szCs w:val="22"/>
          <w:bdr w:val="nil"/>
          <w:lang w:val="es-ES"/>
        </w:rPr>
        <w:lastRenderedPageBreak/>
        <w:t xml:space="preserve">Desde 2015, la APO emplea también el Marco común de evaluación (CAF) para evaluar la calidad de la Oficina </w:t>
      </w:r>
      <w:r w:rsidR="009745E8">
        <w:rPr>
          <w:rFonts w:eastAsia="Arial"/>
          <w:szCs w:val="22"/>
          <w:bdr w:val="nil"/>
          <w:lang w:val="es-ES"/>
        </w:rPr>
        <w:t>Austríaca</w:t>
      </w:r>
      <w:r>
        <w:rPr>
          <w:rFonts w:eastAsia="Arial"/>
          <w:szCs w:val="22"/>
          <w:bdr w:val="nil"/>
          <w:lang w:val="es-ES"/>
        </w:rPr>
        <w:t xml:space="preserve"> de Patentes.  "El Marco común de evaluación (CAF) es el instrumento común europeo de gestión de calidad para el sector público".  Si desea mayor información sobre el CAF, sírvase consultar el sitio Web del CAF Center EU: </w:t>
      </w:r>
      <w:hyperlink r:id="rId14" w:history="1">
        <w:r>
          <w:rPr>
            <w:rFonts w:eastAsia="Arial"/>
            <w:szCs w:val="22"/>
            <w:bdr w:val="nil"/>
            <w:lang w:val="es-ES"/>
          </w:rPr>
          <w:t>http://www.caf-zentrum.at/de/CAF-Center-EU</w:t>
        </w:r>
      </w:hyperlink>
      <w:r>
        <w:rPr>
          <w:rFonts w:eastAsia="Arial"/>
          <w:szCs w:val="22"/>
          <w:bdr w:val="nil"/>
          <w:lang w:val="es-ES"/>
        </w:rPr>
        <w:t>.</w:t>
      </w:r>
    </w:p>
    <w:p w:rsidR="00632912" w:rsidRPr="00632912" w:rsidRDefault="00632912" w:rsidP="00632912">
      <w:pPr>
        <w:rPr>
          <w:lang w:val="es-ES"/>
        </w:rPr>
      </w:pPr>
    </w:p>
    <w:p w:rsidR="00632912" w:rsidRPr="00632912" w:rsidRDefault="00632912" w:rsidP="00632912">
      <w:pPr>
        <w:rPr>
          <w:i/>
          <w:lang w:val="es-ES"/>
        </w:rPr>
      </w:pPr>
      <w:r>
        <w:rPr>
          <w:rFonts w:eastAsia="Arial"/>
          <w:i/>
          <w:iCs/>
          <w:szCs w:val="22"/>
          <w:bdr w:val="nil"/>
          <w:lang w:val="es-ES"/>
        </w:rPr>
        <w:t>De todo ello se deduce que la APO cumple los requisitos establecidos en las Reglas 36.1.iv) y 63.1.iv) del PCT.</w:t>
      </w:r>
    </w:p>
    <w:p w:rsidR="00632912" w:rsidRPr="00632912" w:rsidRDefault="00632912" w:rsidP="00632912">
      <w:pPr>
        <w:pStyle w:val="SectionHeading"/>
        <w:rPr>
          <w:lang w:val="es-ES"/>
        </w:rPr>
      </w:pPr>
      <w:r>
        <w:rPr>
          <w:rFonts w:eastAsia="Arial"/>
          <w:szCs w:val="22"/>
          <w:bdr w:val="nil"/>
          <w:lang w:val="es-ES"/>
        </w:rPr>
        <w:t>3 – Evaluación por otras Administraciones</w:t>
      </w:r>
    </w:p>
    <w:p w:rsidR="00632912" w:rsidRPr="00632912" w:rsidRDefault="00632912" w:rsidP="00632912">
      <w:pPr>
        <w:pStyle w:val="Sub-heading"/>
        <w:rPr>
          <w:lang w:val="es-ES"/>
        </w:rPr>
      </w:pPr>
      <w:r>
        <w:rPr>
          <w:rFonts w:eastAsia="Arial"/>
          <w:bCs/>
          <w:szCs w:val="22"/>
          <w:bdr w:val="nil"/>
          <w:lang w:val="es-ES"/>
        </w:rPr>
        <w:t xml:space="preserve">ISA/IPEA existentes que ayudan a evaluar si se cumplen los criterios: </w:t>
      </w:r>
    </w:p>
    <w:p w:rsidR="00632912" w:rsidRPr="00632912" w:rsidRDefault="00632912" w:rsidP="00632912">
      <w:pPr>
        <w:rPr>
          <w:lang w:val="es-ES"/>
        </w:rPr>
      </w:pPr>
      <w:r>
        <w:rPr>
          <w:rFonts w:eastAsia="Arial"/>
          <w:szCs w:val="22"/>
          <w:bdr w:val="nil"/>
          <w:lang w:val="es-ES"/>
        </w:rPr>
        <w:t xml:space="preserve">No se espera que se recurra a una evaluación formal de la Oficina por parte de otras Administraciones internacionales en el contexto de la prórroga de una designación existente.  No obstante, la Oficina está interesada en colaborar con otras Administraciones y hacerse eco de sus opiniones con objeto de mejorar sus servicios.  En este contexto, la Oficina participó en el ejercicio piloto de "revisión por homólogos" durante la reunión del Subgrupo encargado de la Calidad celebrada en el marco de la vigésima cuarta sesión de la Reunión de las Administraciones internacionales del PCT (véase los párrafos 9 a 12 del documento PCT/MIA/24/15) y tiene previsto participar en ejercicios similares en el futuro. </w:t>
      </w:r>
    </w:p>
    <w:p w:rsidR="00632912" w:rsidRPr="00632912" w:rsidRDefault="00632912" w:rsidP="00632912">
      <w:pPr>
        <w:rPr>
          <w:lang w:val="es-ES"/>
        </w:rPr>
      </w:pPr>
    </w:p>
    <w:p w:rsidR="00632912" w:rsidRPr="00632912" w:rsidRDefault="00632912" w:rsidP="00632912">
      <w:pPr>
        <w:rPr>
          <w:lang w:val="es-ES"/>
        </w:rPr>
      </w:pPr>
      <w:r>
        <w:rPr>
          <w:rFonts w:eastAsia="Arial"/>
          <w:szCs w:val="22"/>
          <w:bdr w:val="nil"/>
          <w:lang w:val="es-ES"/>
        </w:rPr>
        <w:t xml:space="preserve">Además, en 2016, dos expertos de la División de Patentes del INAPI de Chile efectuaron una visita a la APO para compartir experiencias con miras a seguir mejorando la calidad del trabajo de ambas Oficinas dentro de las funciones que les confiere el PCT. </w:t>
      </w:r>
    </w:p>
    <w:p w:rsidR="00632912" w:rsidRPr="00632912" w:rsidRDefault="000333F2" w:rsidP="00632912">
      <w:pPr>
        <w:pStyle w:val="SectionHeading"/>
        <w:rPr>
          <w:lang w:val="es-ES"/>
        </w:rPr>
      </w:pPr>
      <w:r>
        <w:rPr>
          <w:rFonts w:eastAsia="Arial"/>
          <w:szCs w:val="22"/>
          <w:bdr w:val="nil"/>
          <w:lang w:val="es-ES"/>
        </w:rPr>
        <w:t>4 – Declaración de motivos</w:t>
      </w:r>
    </w:p>
    <w:p w:rsidR="00632912" w:rsidRPr="00632912" w:rsidRDefault="00632912" w:rsidP="00632912">
      <w:pPr>
        <w:rPr>
          <w:color w:val="000000"/>
          <w:lang w:val="es-ES" w:eastAsia="fr-FR"/>
        </w:rPr>
      </w:pPr>
      <w:r>
        <w:rPr>
          <w:rFonts w:eastAsia="Arial"/>
          <w:szCs w:val="22"/>
          <w:bdr w:val="nil"/>
          <w:lang w:val="es-ES"/>
        </w:rPr>
        <w:t xml:space="preserve">La Oficina </w:t>
      </w:r>
      <w:r w:rsidR="009745E8">
        <w:rPr>
          <w:rFonts w:eastAsia="Arial"/>
          <w:szCs w:val="22"/>
          <w:bdr w:val="nil"/>
          <w:lang w:val="es-ES"/>
        </w:rPr>
        <w:t>Austríaca</w:t>
      </w:r>
      <w:r>
        <w:rPr>
          <w:rFonts w:eastAsia="Arial"/>
          <w:szCs w:val="22"/>
          <w:bdr w:val="nil"/>
          <w:lang w:val="es-ES"/>
        </w:rPr>
        <w:t xml:space="preserve"> de Patentes (APO) fue establecida en 1899 en tanto que organismo nacional responsable de examinar, conceder y administrar derechos de la propiedad industrial.  Desde 1978, la APO ha desempeñado</w:t>
      </w:r>
      <w:r>
        <w:rPr>
          <w:rFonts w:eastAsia="Arial"/>
          <w:color w:val="000000"/>
          <w:szCs w:val="22"/>
          <w:bdr w:val="nil"/>
          <w:lang w:val="es-ES"/>
        </w:rPr>
        <w:t xml:space="preserve"> el papel de Administración internacional en el marco del PCT. </w:t>
      </w:r>
    </w:p>
    <w:p w:rsidR="00632912" w:rsidRPr="00632912" w:rsidRDefault="00632912" w:rsidP="00632912">
      <w:pPr>
        <w:rPr>
          <w:color w:val="000000"/>
          <w:lang w:val="es-ES" w:eastAsia="fr-FR"/>
        </w:rPr>
      </w:pPr>
    </w:p>
    <w:p w:rsidR="00632912" w:rsidRPr="00632912" w:rsidRDefault="00632912" w:rsidP="00632912">
      <w:pPr>
        <w:ind w:left="567" w:hanging="567"/>
        <w:rPr>
          <w:lang w:val="es-ES"/>
        </w:rPr>
      </w:pPr>
      <w:r>
        <w:rPr>
          <w:rFonts w:eastAsia="Arial"/>
          <w:color w:val="000000"/>
          <w:szCs w:val="22"/>
          <w:bdr w:val="nil"/>
          <w:lang w:val="es-ES" w:eastAsia="fr-FR"/>
        </w:rPr>
        <w:t>i)</w:t>
      </w:r>
      <w:r>
        <w:rPr>
          <w:rFonts w:eastAsia="Arial"/>
          <w:color w:val="000000"/>
          <w:szCs w:val="22"/>
          <w:bdr w:val="nil"/>
          <w:lang w:val="es-ES" w:eastAsia="fr-FR"/>
        </w:rPr>
        <w:tab/>
        <w:t xml:space="preserve">La APO desempeña el papel de ISA/IPEA/SISA para 37 Oficinas receptoras distintas.  </w:t>
      </w:r>
      <w:r>
        <w:rPr>
          <w:rFonts w:eastAsia="Arial"/>
          <w:szCs w:val="22"/>
          <w:bdr w:val="nil"/>
          <w:lang w:val="es-ES" w:eastAsia="fr-FR"/>
        </w:rPr>
        <w:t xml:space="preserve">La reglamentación limita la capacidad de la Oficina </w:t>
      </w:r>
      <w:r w:rsidR="009745E8">
        <w:rPr>
          <w:rFonts w:eastAsia="Arial"/>
          <w:szCs w:val="22"/>
          <w:bdr w:val="nil"/>
          <w:lang w:val="es-ES" w:eastAsia="fr-FR"/>
        </w:rPr>
        <w:t>Austríaca</w:t>
      </w:r>
      <w:r>
        <w:rPr>
          <w:rFonts w:eastAsia="Arial"/>
          <w:szCs w:val="22"/>
          <w:bdr w:val="nil"/>
          <w:lang w:val="es-ES" w:eastAsia="fr-FR"/>
        </w:rPr>
        <w:t xml:space="preserve"> de Patentes de concluir acuerdos ISA/IPEA exclusivamente a las Oficinas de países en desarrollo, lo que nos obliga en ocasiones a rechazar nuevos acuerdos.  </w:t>
      </w:r>
      <w:r>
        <w:rPr>
          <w:rFonts w:eastAsia="Arial"/>
          <w:color w:val="000000"/>
          <w:szCs w:val="22"/>
          <w:bdr w:val="nil"/>
          <w:lang w:val="es-ES" w:eastAsia="fr-FR"/>
        </w:rPr>
        <w:t>Dentro de nuestras funciones en calidad de Administración internacional, nos satisface poder compartir nuestra amplia experiencia (</w:t>
      </w:r>
      <w:r>
        <w:rPr>
          <w:rFonts w:eastAsia="Arial"/>
          <w:szCs w:val="22"/>
          <w:bdr w:val="nil"/>
          <w:lang w:val="es-ES" w:eastAsia="fr-FR"/>
        </w:rPr>
        <w:t xml:space="preserve">de más de 100 años) en la concesión de patentes nacionales con las </w:t>
      </w:r>
      <w:r>
        <w:rPr>
          <w:rFonts w:eastAsia="Arial"/>
          <w:color w:val="000000"/>
          <w:szCs w:val="22"/>
          <w:bdr w:val="nil"/>
          <w:lang w:val="es-ES" w:eastAsia="fr-FR"/>
        </w:rPr>
        <w:t xml:space="preserve">Oficinas y los solicitantes de otros países, haciendo hincapié en los Estados en desarrollo, al tiempo que les proporcionamos asistencia en la búsqueda y el examen.  La mayoría de los solicitantes podrán beneficiarse de un descuento especial </w:t>
      </w:r>
      <w:r w:rsidR="000333F2">
        <w:rPr>
          <w:rFonts w:eastAsia="Arial"/>
          <w:color w:val="000000"/>
          <w:szCs w:val="22"/>
          <w:bdr w:val="nil"/>
          <w:lang w:val="es-ES" w:eastAsia="fr-FR"/>
        </w:rPr>
        <w:t xml:space="preserve">para personas físicas </w:t>
      </w:r>
      <w:r>
        <w:rPr>
          <w:rFonts w:eastAsia="Arial"/>
          <w:color w:val="000000"/>
          <w:szCs w:val="22"/>
          <w:bdr w:val="nil"/>
          <w:lang w:val="es-ES" w:eastAsia="fr-FR"/>
        </w:rPr>
        <w:t xml:space="preserve">en las tasas oficiales de búsqueda.  Aquellos solicitantes que no reúnan los criterios para dicho descuento podrán obtener un reembolso parcial de la tasa de búsqueda, siempre que podamos aprovechar una búsqueda anterior.  Para más información, sírvase consultar la guía de solicitantes del PCT, disponible en el siguiente enlace: </w:t>
      </w:r>
      <w:hyperlink r:id="rId15" w:history="1">
        <w:r>
          <w:rPr>
            <w:rFonts w:eastAsia="Arial"/>
            <w:color w:val="000000"/>
            <w:szCs w:val="22"/>
            <w:bdr w:val="nil"/>
            <w:lang w:val="es-ES" w:eastAsia="fr-FR"/>
          </w:rPr>
          <w:t>http://www.wipo.int/pct/guide/en/gdvol1/annexes/annexd/ax_d_at.pdf</w:t>
        </w:r>
      </w:hyperlink>
    </w:p>
    <w:p w:rsidR="00632912" w:rsidRPr="00632912" w:rsidRDefault="00632912" w:rsidP="00632912">
      <w:pPr>
        <w:rPr>
          <w:lang w:val="es-ES"/>
        </w:rPr>
      </w:pPr>
    </w:p>
    <w:p w:rsidR="00632912" w:rsidRPr="00632912" w:rsidRDefault="00632912" w:rsidP="00632912">
      <w:pPr>
        <w:ind w:left="567"/>
        <w:rPr>
          <w:lang w:val="es-ES" w:eastAsia="fr-FR"/>
        </w:rPr>
      </w:pPr>
      <w:r>
        <w:rPr>
          <w:rFonts w:eastAsia="Arial"/>
          <w:szCs w:val="22"/>
          <w:bdr w:val="nil"/>
          <w:lang w:val="es-ES"/>
        </w:rPr>
        <w:t>Todos los años organizamos junto con la OMPI un curso de capacitación para examinadores de otras Oficinas.  En dicho curso y atendiendo a una solicitud especial de los participantes, hace</w:t>
      </w:r>
      <w:r w:rsidR="000333F2">
        <w:rPr>
          <w:rFonts w:eastAsia="Arial"/>
          <w:szCs w:val="22"/>
          <w:bdr w:val="nil"/>
          <w:lang w:val="es-ES"/>
        </w:rPr>
        <w:t xml:space="preserve">mos hincapié en la búsqueda en </w:t>
      </w:r>
      <w:r>
        <w:rPr>
          <w:rFonts w:eastAsia="Arial"/>
          <w:szCs w:val="22"/>
          <w:bdr w:val="nil"/>
          <w:lang w:val="es-ES"/>
        </w:rPr>
        <w:t xml:space="preserve">bases de datos. </w:t>
      </w:r>
    </w:p>
    <w:p w:rsidR="00632912" w:rsidRPr="00632912" w:rsidRDefault="00632912" w:rsidP="00632912">
      <w:pPr>
        <w:rPr>
          <w:lang w:val="es-ES" w:eastAsia="fr-FR"/>
        </w:rPr>
      </w:pPr>
    </w:p>
    <w:p w:rsidR="00632912" w:rsidRPr="00632912" w:rsidRDefault="00632912" w:rsidP="00632912">
      <w:pPr>
        <w:ind w:left="567"/>
        <w:rPr>
          <w:lang w:val="es-ES" w:eastAsia="fr-FR"/>
        </w:rPr>
      </w:pPr>
      <w:r>
        <w:rPr>
          <w:rFonts w:eastAsia="Arial"/>
          <w:szCs w:val="22"/>
          <w:bdr w:val="nil"/>
          <w:lang w:val="es-ES" w:eastAsia="fr-FR"/>
        </w:rPr>
        <w:t xml:space="preserve">Asimismo, nuestra Oficina participa activamente en el proyecto Global PPH, que incluye el PCT-PPH (procedimiento acelerado de examen de solicitudes de patente  PCT) (véase </w:t>
      </w:r>
      <w:r>
        <w:rPr>
          <w:rFonts w:eastAsia="Arial"/>
          <w:szCs w:val="22"/>
          <w:bdr w:val="nil"/>
          <w:lang w:val="es-ES" w:eastAsia="fr-FR"/>
        </w:rPr>
        <w:lastRenderedPageBreak/>
        <w:t xml:space="preserve">el portal del sitio </w:t>
      </w:r>
      <w:r w:rsidR="00B25080">
        <w:rPr>
          <w:rFonts w:eastAsia="Arial"/>
          <w:szCs w:val="22"/>
          <w:bdr w:val="nil"/>
          <w:lang w:val="es-ES" w:eastAsia="fr-FR"/>
        </w:rPr>
        <w:t xml:space="preserve">web </w:t>
      </w:r>
      <w:r>
        <w:rPr>
          <w:rFonts w:eastAsia="Arial"/>
          <w:szCs w:val="22"/>
          <w:bdr w:val="nil"/>
          <w:lang w:val="es-ES" w:eastAsia="fr-FR"/>
        </w:rPr>
        <w:t xml:space="preserve">del PHP en el siguiente enlace: </w:t>
      </w:r>
      <w:hyperlink r:id="rId16" w:history="1">
        <w:r>
          <w:rPr>
            <w:rFonts w:eastAsia="Arial"/>
            <w:szCs w:val="22"/>
            <w:bdr w:val="nil"/>
            <w:lang w:val="es-ES" w:eastAsia="fr-FR"/>
          </w:rPr>
          <w:t>http://www.jpo.go.jp/ppph-portal/index.htm</w:t>
        </w:r>
      </w:hyperlink>
      <w:r>
        <w:rPr>
          <w:rFonts w:eastAsia="Arial"/>
          <w:szCs w:val="22"/>
          <w:bdr w:val="nil"/>
          <w:lang w:val="es-ES" w:eastAsia="fr-FR"/>
        </w:rPr>
        <w:t xml:space="preserve">).  De este modo, los solicitantes que recurren a la APO en su calidad de ISA o de Oficina de primera presentación pueden solicitar un procedimiento de examen acelerado para ulteriores presentaciones de solicitudes en más de veinte oficinas. </w:t>
      </w:r>
    </w:p>
    <w:p w:rsidR="00632912" w:rsidRPr="00632912" w:rsidRDefault="00632912" w:rsidP="00632912">
      <w:pPr>
        <w:rPr>
          <w:lang w:val="es-ES" w:eastAsia="fr-FR"/>
        </w:rPr>
      </w:pPr>
    </w:p>
    <w:p w:rsidR="00632912" w:rsidRPr="00632912" w:rsidRDefault="00632912" w:rsidP="00632912">
      <w:pPr>
        <w:ind w:left="567" w:hanging="567"/>
        <w:rPr>
          <w:lang w:val="es-ES"/>
        </w:rPr>
      </w:pPr>
      <w:r>
        <w:rPr>
          <w:rFonts w:eastAsia="Arial"/>
          <w:szCs w:val="22"/>
          <w:bdr w:val="nil"/>
          <w:lang w:val="es-ES"/>
        </w:rPr>
        <w:t>ii)</w:t>
      </w:r>
      <w:r>
        <w:rPr>
          <w:rFonts w:eastAsia="Arial"/>
          <w:szCs w:val="22"/>
          <w:bdr w:val="nil"/>
          <w:lang w:val="es-ES"/>
        </w:rPr>
        <w:tab/>
        <w:t xml:space="preserve">Además, al ser una Administración internacional en </w:t>
      </w:r>
      <w:r w:rsidR="00B25080">
        <w:rPr>
          <w:rFonts w:eastAsia="Arial"/>
          <w:szCs w:val="22"/>
          <w:bdr w:val="nil"/>
          <w:lang w:val="es-ES"/>
        </w:rPr>
        <w:t xml:space="preserve">virtud </w:t>
      </w:r>
      <w:r>
        <w:rPr>
          <w:rFonts w:eastAsia="Arial"/>
          <w:szCs w:val="22"/>
          <w:bdr w:val="nil"/>
          <w:lang w:val="es-ES"/>
        </w:rPr>
        <w:t xml:space="preserve">del PCT, la Oficina </w:t>
      </w:r>
      <w:r w:rsidR="009745E8">
        <w:rPr>
          <w:rFonts w:eastAsia="Arial"/>
          <w:szCs w:val="22"/>
          <w:bdr w:val="nil"/>
          <w:lang w:val="es-ES"/>
        </w:rPr>
        <w:t>Austríaca</w:t>
      </w:r>
      <w:r>
        <w:rPr>
          <w:rFonts w:eastAsia="Arial"/>
          <w:szCs w:val="22"/>
          <w:bdr w:val="nil"/>
          <w:lang w:val="es-ES"/>
        </w:rPr>
        <w:t xml:space="preserve"> de Patentes puede participar activamente en la rápida evolución del PCT.  La APO se beneficia de su condición de ISA/IPE/SISA, ya que le permite mantener un contacto regular y un intenso intercambio de conocimientos con otras oficinas de patentes más desarrolladas.  Dada su condición, la APO participa en la mejora y armonización del proceso de búsqueda y examen.  Ser una Administración internacional significa estar firmemente comprometidos con los baremos internacionales más elevados de búsqueda y examen y mantener al día nuestros servicios y procesos teniendo en cuenta el estado de la técnica.  Ello no s</w:t>
      </w:r>
      <w:r w:rsidR="00B25080">
        <w:rPr>
          <w:rFonts w:eastAsia="Arial"/>
          <w:szCs w:val="22"/>
          <w:bdr w:val="nil"/>
          <w:lang w:val="es-ES"/>
        </w:rPr>
        <w:t>o</w:t>
      </w:r>
      <w:r>
        <w:rPr>
          <w:rFonts w:eastAsia="Arial"/>
          <w:szCs w:val="22"/>
          <w:bdr w:val="nil"/>
          <w:lang w:val="es-ES"/>
        </w:rPr>
        <w:t xml:space="preserve">lo redunda en una mayor autoestima de nuestro personal, sino que es también nuestra tarjeta de presentación en los círculos de </w:t>
      </w:r>
      <w:r w:rsidR="00B25080">
        <w:rPr>
          <w:rFonts w:eastAsia="Arial"/>
          <w:szCs w:val="22"/>
          <w:bdr w:val="nil"/>
          <w:lang w:val="es-ES"/>
        </w:rPr>
        <w:t xml:space="preserve">la </w:t>
      </w:r>
      <w:r>
        <w:rPr>
          <w:rFonts w:eastAsia="Arial"/>
          <w:szCs w:val="22"/>
          <w:bdr w:val="nil"/>
          <w:lang w:val="es-ES"/>
        </w:rPr>
        <w:t>innovación, tanto a nivel nacional como internacional.</w:t>
      </w:r>
    </w:p>
    <w:p w:rsidR="00632912" w:rsidRPr="00632912" w:rsidRDefault="00632912" w:rsidP="00632912">
      <w:pPr>
        <w:rPr>
          <w:lang w:val="es-ES"/>
        </w:rPr>
      </w:pPr>
    </w:p>
    <w:p w:rsidR="00632912" w:rsidRPr="00632912" w:rsidRDefault="00632912" w:rsidP="00632912">
      <w:pPr>
        <w:ind w:left="567" w:hanging="567"/>
        <w:rPr>
          <w:lang w:val="es-ES"/>
        </w:rPr>
      </w:pPr>
      <w:r>
        <w:rPr>
          <w:rFonts w:eastAsia="Arial"/>
          <w:szCs w:val="22"/>
          <w:bdr w:val="nil"/>
          <w:lang w:val="es-ES"/>
        </w:rPr>
        <w:t>iii)</w:t>
      </w:r>
      <w:r>
        <w:rPr>
          <w:rFonts w:eastAsia="Arial"/>
          <w:szCs w:val="22"/>
          <w:bdr w:val="nil"/>
          <w:lang w:val="es-ES"/>
        </w:rPr>
        <w:tab/>
        <w:t xml:space="preserve">En su conjunto, la Oficina </w:t>
      </w:r>
      <w:r w:rsidR="009745E8">
        <w:rPr>
          <w:rFonts w:eastAsia="Arial"/>
          <w:szCs w:val="22"/>
          <w:bdr w:val="nil"/>
          <w:lang w:val="es-ES"/>
        </w:rPr>
        <w:t>Austríaca</w:t>
      </w:r>
      <w:r>
        <w:rPr>
          <w:rFonts w:eastAsia="Arial"/>
          <w:szCs w:val="22"/>
          <w:bdr w:val="nil"/>
          <w:lang w:val="es-ES"/>
        </w:rPr>
        <w:t xml:space="preserve"> de Patentes ha sido un socio fiable y flexible dentro del sistema del PCT durante más de 30 años. </w:t>
      </w:r>
    </w:p>
    <w:p w:rsidR="00632912" w:rsidRPr="00632912" w:rsidRDefault="00632912" w:rsidP="00632912">
      <w:pPr>
        <w:rPr>
          <w:lang w:val="es-ES"/>
        </w:rPr>
      </w:pPr>
    </w:p>
    <w:p w:rsidR="00632912" w:rsidRPr="00632912" w:rsidRDefault="00632912" w:rsidP="00632912">
      <w:pPr>
        <w:ind w:left="567"/>
        <w:rPr>
          <w:lang w:val="es-ES"/>
        </w:rPr>
      </w:pPr>
      <w:r>
        <w:rPr>
          <w:rFonts w:eastAsia="Arial"/>
          <w:szCs w:val="22"/>
          <w:bdr w:val="nil"/>
          <w:lang w:val="es-ES"/>
        </w:rPr>
        <w:t xml:space="preserve">Hemos tenido la oportunidad de demostrar nuestra flexibilidad a la hora de aplicar y poner a prueba nuevos sistemas.  En colaboración con la OMPI, tenemos </w:t>
      </w:r>
      <w:r w:rsidR="009A19C8">
        <w:rPr>
          <w:rFonts w:eastAsia="Arial"/>
          <w:szCs w:val="22"/>
          <w:bdr w:val="nil"/>
          <w:lang w:val="es-ES"/>
        </w:rPr>
        <w:t>la satisfacción de poder</w:t>
      </w:r>
      <w:r>
        <w:rPr>
          <w:rFonts w:eastAsia="Arial"/>
          <w:szCs w:val="22"/>
          <w:bdr w:val="nil"/>
          <w:lang w:val="es-ES"/>
        </w:rPr>
        <w:t xml:space="preserve"> contribuir al desarrollo de nuevos sistemas, como el ePCT o el eSearchCopy, que adoptamos desde el principio y que usamos de manera intensiva.  En la actualidad estamos recibiendo copias de eSearchCopy de 10 Oficinas receptoras (de un total de 37) para las que desempeñamos el papel de ISA.  Nos sentimos orgullosos de ser una de las oficinas que utiliza con mayor asiduidad el ePCT para las comunicaciones con los solicitan</w:t>
      </w:r>
      <w:r w:rsidR="009A19C8">
        <w:rPr>
          <w:rFonts w:eastAsia="Arial"/>
          <w:szCs w:val="22"/>
          <w:bdr w:val="nil"/>
          <w:lang w:val="es-ES"/>
        </w:rPr>
        <w:t>tes, la OMPI y otras oficinas -</w:t>
      </w:r>
      <w:r>
        <w:rPr>
          <w:rFonts w:eastAsia="Arial"/>
          <w:szCs w:val="22"/>
          <w:bdr w:val="nil"/>
          <w:lang w:val="es-ES"/>
        </w:rPr>
        <w:t xml:space="preserve">en el desempeño de nuestras funciones tanto en calidad de Oficina receptora como de ISA/IPEA.  Actualmente </w:t>
      </w:r>
      <w:r w:rsidR="00FF3C55">
        <w:rPr>
          <w:rFonts w:eastAsia="Arial"/>
          <w:szCs w:val="22"/>
          <w:bdr w:val="nil"/>
          <w:lang w:val="es-ES"/>
        </w:rPr>
        <w:t xml:space="preserve">la totalidad de </w:t>
      </w:r>
      <w:r>
        <w:rPr>
          <w:rFonts w:eastAsia="Arial"/>
          <w:szCs w:val="22"/>
          <w:bdr w:val="nil"/>
          <w:lang w:val="es-ES"/>
        </w:rPr>
        <w:t>nuestra antigua base de datos</w:t>
      </w:r>
      <w:r w:rsidR="00FF3C55">
        <w:rPr>
          <w:rFonts w:eastAsia="Arial"/>
          <w:szCs w:val="22"/>
          <w:bdr w:val="nil"/>
          <w:lang w:val="es-ES"/>
        </w:rPr>
        <w:t xml:space="preserve"> está siendo reemplazada</w:t>
      </w:r>
      <w:r>
        <w:rPr>
          <w:rFonts w:eastAsia="Arial"/>
          <w:szCs w:val="22"/>
          <w:bdr w:val="nil"/>
          <w:lang w:val="es-ES"/>
        </w:rPr>
        <w:t xml:space="preserve"> por el ePCT.</w:t>
      </w:r>
    </w:p>
    <w:p w:rsidR="00632912" w:rsidRPr="00632912" w:rsidRDefault="00632912" w:rsidP="00632912">
      <w:pPr>
        <w:rPr>
          <w:lang w:val="es-ES"/>
        </w:rPr>
      </w:pPr>
    </w:p>
    <w:p w:rsidR="00632912" w:rsidRPr="00632912" w:rsidRDefault="00632912" w:rsidP="00632912">
      <w:pPr>
        <w:ind w:left="567"/>
        <w:rPr>
          <w:lang w:val="es-ES"/>
        </w:rPr>
      </w:pPr>
      <w:r>
        <w:rPr>
          <w:rFonts w:eastAsia="Arial"/>
          <w:szCs w:val="22"/>
          <w:bdr w:val="nil"/>
          <w:lang w:val="es-ES"/>
        </w:rPr>
        <w:t xml:space="preserve">Aguardamos con interés poder compartir </w:t>
      </w:r>
      <w:r w:rsidR="00FF3C55">
        <w:rPr>
          <w:rFonts w:eastAsia="Arial"/>
          <w:szCs w:val="22"/>
          <w:bdr w:val="nil"/>
          <w:lang w:val="es-ES"/>
        </w:rPr>
        <w:t>ampliamente</w:t>
      </w:r>
      <w:r>
        <w:rPr>
          <w:rFonts w:eastAsia="Arial"/>
          <w:szCs w:val="22"/>
          <w:bdr w:val="nil"/>
          <w:lang w:val="es-ES"/>
        </w:rPr>
        <w:t xml:space="preserve"> nuestra experiencia, </w:t>
      </w:r>
      <w:r w:rsidR="00FF3C55">
        <w:rPr>
          <w:rFonts w:eastAsia="Arial"/>
          <w:szCs w:val="22"/>
          <w:bdr w:val="nil"/>
          <w:lang w:val="es-ES"/>
        </w:rPr>
        <w:t>ya</w:t>
      </w:r>
      <w:r>
        <w:rPr>
          <w:rFonts w:eastAsia="Arial"/>
          <w:szCs w:val="22"/>
          <w:bdr w:val="nil"/>
          <w:lang w:val="es-ES"/>
        </w:rPr>
        <w:t xml:space="preserve"> que estamos convencidos de que los sistemas ePCT y eSearchCopy constituyen una mejor alternativa para los solicitantes, las oficinas y, en suma, para todo el sistema PCT.</w:t>
      </w:r>
    </w:p>
    <w:p w:rsidR="00632912" w:rsidRPr="00632912" w:rsidRDefault="00632912" w:rsidP="00632912">
      <w:pPr>
        <w:rPr>
          <w:lang w:val="es-ES" w:eastAsia="fr-FR"/>
        </w:rPr>
      </w:pPr>
    </w:p>
    <w:p w:rsidR="00632912" w:rsidRPr="00632912" w:rsidRDefault="00632912" w:rsidP="00632912">
      <w:pPr>
        <w:rPr>
          <w:lang w:val="es-ES"/>
        </w:rPr>
      </w:pPr>
      <w:r>
        <w:rPr>
          <w:rFonts w:eastAsia="Arial"/>
          <w:szCs w:val="22"/>
          <w:bdr w:val="nil"/>
          <w:lang w:val="es-ES" w:eastAsia="fr-FR"/>
        </w:rPr>
        <w:t>Sería un honor para nosotros seguir contribuyendo a las labores esenciales del PCT en tanto que una de sus Administraciones internacionales.</w:t>
      </w:r>
    </w:p>
    <w:p w:rsidR="00632912" w:rsidRPr="00EA7178" w:rsidRDefault="00632912" w:rsidP="00632912">
      <w:pPr>
        <w:pStyle w:val="SectionHeading"/>
        <w:rPr>
          <w:lang w:val="es-ES"/>
        </w:rPr>
      </w:pPr>
      <w:r>
        <w:rPr>
          <w:rFonts w:eastAsia="Arial"/>
          <w:szCs w:val="22"/>
          <w:bdr w:val="nil"/>
          <w:lang w:val="es-ES"/>
        </w:rPr>
        <w:t>5 – Estado solicitante</w:t>
      </w:r>
    </w:p>
    <w:p w:rsidR="00B97901" w:rsidRDefault="00632912" w:rsidP="00632912">
      <w:pPr>
        <w:rPr>
          <w:rFonts w:eastAsia="Arial"/>
          <w:szCs w:val="22"/>
          <w:bdr w:val="nil"/>
          <w:lang w:val="es-ES"/>
        </w:rPr>
      </w:pPr>
      <w:r>
        <w:rPr>
          <w:rFonts w:eastAsia="Arial"/>
          <w:szCs w:val="22"/>
          <w:bdr w:val="nil"/>
          <w:lang w:val="es-ES"/>
        </w:rPr>
        <w:t xml:space="preserve">Austria es una </w:t>
      </w:r>
      <w:r w:rsidR="00B25080">
        <w:rPr>
          <w:rFonts w:eastAsia="Arial"/>
          <w:szCs w:val="22"/>
          <w:bdr w:val="nil"/>
          <w:lang w:val="es-ES"/>
        </w:rPr>
        <w:t xml:space="preserve">república federal </w:t>
      </w:r>
      <w:r>
        <w:rPr>
          <w:rFonts w:eastAsia="Arial"/>
          <w:szCs w:val="22"/>
          <w:bdr w:val="nil"/>
          <w:lang w:val="es-ES"/>
        </w:rPr>
        <w:t xml:space="preserve">con democracia parlamentaria situada en </w:t>
      </w:r>
      <w:hyperlink r:id="rId17" w:tooltip="Central Europe" w:history="1">
        <w:r>
          <w:rPr>
            <w:rFonts w:eastAsia="Arial"/>
            <w:szCs w:val="22"/>
            <w:bdr w:val="nil"/>
            <w:lang w:val="es-ES"/>
          </w:rPr>
          <w:t>Europa Central</w:t>
        </w:r>
      </w:hyperlink>
      <w:r>
        <w:rPr>
          <w:rFonts w:eastAsia="Arial"/>
          <w:szCs w:val="22"/>
          <w:bdr w:val="nil"/>
          <w:lang w:val="es-ES"/>
        </w:rPr>
        <w:t xml:space="preserve">.  La legislación federal es competencia de las dos cámaras del Parlamento, el Consejo Nacional (Nationalrat) y el Consejo Federal (Bundesrat), que es la Cámara alta del Parlamento.  Austria es miembro de la Unión Europea, de las Naciones Unidas y de la mayoría de </w:t>
      </w:r>
      <w:r w:rsidR="009A19C8">
        <w:rPr>
          <w:rFonts w:eastAsia="Arial"/>
          <w:szCs w:val="22"/>
          <w:bdr w:val="nil"/>
          <w:lang w:val="es-ES"/>
        </w:rPr>
        <w:t>sus organismos especializados</w:t>
      </w:r>
      <w:r w:rsidR="00B97901">
        <w:rPr>
          <w:rFonts w:eastAsia="Arial"/>
          <w:szCs w:val="22"/>
          <w:bdr w:val="nil"/>
          <w:lang w:val="es-ES"/>
        </w:rPr>
        <w:t>.</w:t>
      </w:r>
    </w:p>
    <w:p w:rsidR="00B97901" w:rsidRDefault="00B97901" w:rsidP="00632912">
      <w:pPr>
        <w:rPr>
          <w:rFonts w:eastAsia="Arial"/>
          <w:szCs w:val="22"/>
          <w:bdr w:val="nil"/>
          <w:lang w:val="es-ES"/>
        </w:rPr>
      </w:pPr>
    </w:p>
    <w:p w:rsidR="00632912" w:rsidRPr="00632912" w:rsidRDefault="00632912" w:rsidP="00632912">
      <w:pPr>
        <w:rPr>
          <w:lang w:val="es-ES"/>
        </w:rPr>
      </w:pPr>
      <w:r>
        <w:rPr>
          <w:rFonts w:eastAsia="Arial"/>
          <w:szCs w:val="22"/>
          <w:bdr w:val="nil"/>
          <w:lang w:val="es-ES"/>
        </w:rPr>
        <w:t>De los aproximadamente 8 millones de habitantes de Austria, el 98% habla alemán.  Los seis grupos étnicos oficialmente reconocidos en Austria (croatas del Burgenland, romaníes, eslovacos, eslovenos, checos y húngaros) se concentran en el este y el sur del país.</w:t>
      </w:r>
    </w:p>
    <w:p w:rsidR="00632912" w:rsidRPr="00632912" w:rsidRDefault="00632912" w:rsidP="00632912">
      <w:pPr>
        <w:rPr>
          <w:lang w:val="es-ES"/>
        </w:rPr>
      </w:pPr>
    </w:p>
    <w:p w:rsidR="00632912" w:rsidRPr="00632912" w:rsidRDefault="00632912" w:rsidP="00632912">
      <w:pPr>
        <w:rPr>
          <w:lang w:val="es-ES"/>
        </w:rPr>
      </w:pPr>
      <w:r>
        <w:rPr>
          <w:rFonts w:eastAsia="Arial"/>
          <w:szCs w:val="22"/>
          <w:bdr w:val="nil"/>
          <w:lang w:val="es-ES"/>
        </w:rPr>
        <w:t xml:space="preserve">Después de comenzar el año con el famoso concierto de Año Nuevo (el "Neujahrskonzert"), ahora retransmitido en más de 90 países, los austriacos aportan su contribución a una economía fuerte en la que la maquinaria, la metalurgia y el sector textil revisten una especial importancia, </w:t>
      </w:r>
      <w:r w:rsidR="009A19C8">
        <w:rPr>
          <w:rFonts w:eastAsia="Arial"/>
          <w:szCs w:val="22"/>
          <w:bdr w:val="nil"/>
          <w:lang w:val="es-ES"/>
        </w:rPr>
        <w:t>aunque</w:t>
      </w:r>
      <w:r>
        <w:rPr>
          <w:rFonts w:eastAsia="Arial"/>
          <w:szCs w:val="22"/>
          <w:bdr w:val="nil"/>
          <w:lang w:val="es-ES"/>
        </w:rPr>
        <w:t xml:space="preserve"> </w:t>
      </w:r>
      <w:r w:rsidR="009A19C8">
        <w:rPr>
          <w:rFonts w:eastAsia="Arial"/>
          <w:szCs w:val="22"/>
          <w:bdr w:val="nil"/>
          <w:lang w:val="es-ES"/>
        </w:rPr>
        <w:t xml:space="preserve">el turismo sea </w:t>
      </w:r>
      <w:r>
        <w:rPr>
          <w:rFonts w:eastAsia="Arial"/>
          <w:szCs w:val="22"/>
          <w:bdr w:val="nil"/>
          <w:lang w:val="es-ES"/>
        </w:rPr>
        <w:t>la in</w:t>
      </w:r>
      <w:r w:rsidR="009A19C8">
        <w:rPr>
          <w:rFonts w:eastAsia="Arial"/>
          <w:szCs w:val="22"/>
          <w:bdr w:val="nil"/>
          <w:lang w:val="es-ES"/>
        </w:rPr>
        <w:t>dustria más importante del país</w:t>
      </w:r>
      <w:r>
        <w:rPr>
          <w:rFonts w:eastAsia="Arial"/>
          <w:szCs w:val="22"/>
          <w:bdr w:val="nil"/>
          <w:lang w:val="es-ES"/>
        </w:rPr>
        <w:t>.</w:t>
      </w:r>
    </w:p>
    <w:p w:rsidR="00632912" w:rsidRPr="00632912" w:rsidRDefault="00632912" w:rsidP="00632912">
      <w:pPr>
        <w:rPr>
          <w:lang w:val="es-ES"/>
        </w:rPr>
      </w:pPr>
    </w:p>
    <w:p w:rsidR="00632912" w:rsidRPr="00632912" w:rsidRDefault="00632912" w:rsidP="00632912">
      <w:pPr>
        <w:rPr>
          <w:lang w:val="es-ES"/>
        </w:rPr>
      </w:pPr>
      <w:r>
        <w:rPr>
          <w:rFonts w:eastAsia="Arial"/>
          <w:szCs w:val="22"/>
          <w:bdr w:val="nil"/>
          <w:lang w:val="es-ES"/>
        </w:rPr>
        <w:lastRenderedPageBreak/>
        <w:t>Desde hace más de 100 años, Austria aplica un sistema de P.I. eficaz que cuenta con una legislación actualizada, un órgano administrativo, un régimen institucionalizado de abogados y otras partes interesadas.  Según los indicadores de P.I. publicados por la OMPI, en 2015 Austria ocupaba el d</w:t>
      </w:r>
      <w:r w:rsidR="00B25080">
        <w:rPr>
          <w:rFonts w:eastAsia="Arial"/>
          <w:szCs w:val="22"/>
          <w:bdr w:val="nil"/>
          <w:lang w:val="es-ES"/>
        </w:rPr>
        <w:t>e</w:t>
      </w:r>
      <w:r>
        <w:rPr>
          <w:rFonts w:eastAsia="Arial"/>
          <w:szCs w:val="22"/>
          <w:bdr w:val="nil"/>
          <w:lang w:val="es-ES"/>
        </w:rPr>
        <w:t>cimoctavo puesto en cuanto a las marcas (97.027) y el d</w:t>
      </w:r>
      <w:r w:rsidR="00B25080">
        <w:rPr>
          <w:rFonts w:eastAsia="Arial"/>
          <w:szCs w:val="22"/>
          <w:bdr w:val="nil"/>
          <w:lang w:val="es-ES"/>
        </w:rPr>
        <w:t>e</w:t>
      </w:r>
      <w:r>
        <w:rPr>
          <w:rFonts w:eastAsia="Arial"/>
          <w:szCs w:val="22"/>
          <w:bdr w:val="nil"/>
          <w:lang w:val="es-ES"/>
        </w:rPr>
        <w:t xml:space="preserve">cimosexto en la presentación de solicitudes de patentes (13.925) por parte de residentes. </w:t>
      </w:r>
    </w:p>
    <w:p w:rsidR="00632912" w:rsidRPr="00632912" w:rsidRDefault="00632912" w:rsidP="00632912">
      <w:pPr>
        <w:rPr>
          <w:lang w:val="es-ES"/>
        </w:rPr>
      </w:pPr>
    </w:p>
    <w:p w:rsidR="00632912" w:rsidRPr="00632912" w:rsidRDefault="00632912" w:rsidP="00632912">
      <w:pPr>
        <w:rPr>
          <w:lang w:val="es-ES"/>
        </w:rPr>
      </w:pPr>
      <w:r>
        <w:rPr>
          <w:rFonts w:eastAsia="Arial"/>
          <w:szCs w:val="22"/>
          <w:bdr w:val="nil"/>
          <w:lang w:val="es-ES"/>
        </w:rPr>
        <w:t xml:space="preserve">Si desea ver un panorama "turístico" de Austria, sírvase consultar el enlace siguiente: </w:t>
      </w:r>
      <w:hyperlink r:id="rId18" w:history="1">
        <w:r>
          <w:rPr>
            <w:rFonts w:eastAsia="Arial"/>
            <w:szCs w:val="22"/>
            <w:bdr w:val="nil"/>
            <w:lang w:val="es-ES"/>
          </w:rPr>
          <w:t>http://www.austria.info/uk</w:t>
        </w:r>
      </w:hyperlink>
      <w:r>
        <w:rPr>
          <w:rFonts w:eastAsia="Arial"/>
          <w:szCs w:val="22"/>
          <w:bdr w:val="nil"/>
          <w:lang w:val="es-ES"/>
        </w:rPr>
        <w:t xml:space="preserve">; </w:t>
      </w:r>
      <w:r w:rsidR="00B25080">
        <w:rPr>
          <w:rFonts w:eastAsia="Arial"/>
          <w:szCs w:val="22"/>
          <w:bdr w:val="nil"/>
          <w:lang w:val="es-ES"/>
        </w:rPr>
        <w:t xml:space="preserve"> p</w:t>
      </w:r>
      <w:r>
        <w:rPr>
          <w:rFonts w:eastAsia="Arial"/>
          <w:szCs w:val="22"/>
          <w:bdr w:val="nil"/>
          <w:lang w:val="es-ES"/>
        </w:rPr>
        <w:t xml:space="preserve">ara un panorama general de la economía austriaca, sírvase consultar el enlace:  </w:t>
      </w:r>
      <w:hyperlink r:id="rId19" w:history="1">
        <w:r>
          <w:rPr>
            <w:rFonts w:eastAsia="Arial"/>
            <w:szCs w:val="22"/>
            <w:bdr w:val="nil"/>
            <w:lang w:val="es-ES"/>
          </w:rPr>
          <w:t>http://www.austria-export.biz/en/</w:t>
        </w:r>
      </w:hyperlink>
      <w:r>
        <w:rPr>
          <w:rFonts w:eastAsia="Arial"/>
          <w:szCs w:val="22"/>
          <w:bdr w:val="nil"/>
          <w:lang w:val="es-ES"/>
        </w:rPr>
        <w:t>.</w:t>
      </w:r>
    </w:p>
    <w:p w:rsidR="00632912" w:rsidRDefault="00632912" w:rsidP="00632912">
      <w:pPr>
        <w:pStyle w:val="Sub-heading"/>
      </w:pPr>
      <w:r>
        <w:rPr>
          <w:rFonts w:eastAsia="Arial"/>
          <w:bCs/>
          <w:szCs w:val="22"/>
          <w:bdr w:val="nil"/>
          <w:lang w:val="es-ES"/>
        </w:rPr>
        <w:t xml:space="preserve">Ubicación regional </w:t>
      </w:r>
    </w:p>
    <w:p w:rsidR="00632912" w:rsidRDefault="00632912" w:rsidP="00632912">
      <w:pPr>
        <w:rPr>
          <w:lang w:val="tr-TR"/>
        </w:rPr>
      </w:pPr>
    </w:p>
    <w:p w:rsidR="00632912" w:rsidRDefault="00632912" w:rsidP="00632912">
      <w:pPr>
        <w:jc w:val="center"/>
        <w:rPr>
          <w:lang w:val="tr-TR"/>
        </w:rPr>
      </w:pPr>
      <w:r>
        <w:rPr>
          <w:noProof/>
          <w:lang w:eastAsia="en-US"/>
        </w:rPr>
        <w:drawing>
          <wp:inline distT="0" distB="0" distL="0" distR="0" wp14:anchorId="6006641F" wp14:editId="703BE8FA">
            <wp:extent cx="3545840" cy="2815590"/>
            <wp:effectExtent l="0" t="0" r="0" b="3810"/>
            <wp:docPr id="7" name="Grafik 116" descr="West und Mitteleuropa : Kostenlose Karten, kostenlose stumme Karte, kostenlose unausgefüllt Landkarte, kostenlose hochauflösende Umrisskarte : Länder, Namen, 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6" descr="West und Mitteleuropa : Kostenlose Karten, kostenlose stumme Karte, kostenlose unausgefüllt Landkarte, kostenlose hochauflösende Umrisskarte : Länder, Namen, Farb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45840" cy="2815590"/>
                    </a:xfrm>
                    <a:prstGeom prst="rect">
                      <a:avLst/>
                    </a:prstGeom>
                    <a:noFill/>
                    <a:ln>
                      <a:noFill/>
                    </a:ln>
                  </pic:spPr>
                </pic:pic>
              </a:graphicData>
            </a:graphic>
          </wp:inline>
        </w:drawing>
      </w:r>
    </w:p>
    <w:p w:rsidR="00632912" w:rsidRPr="00632912" w:rsidRDefault="00632912" w:rsidP="00632912">
      <w:pPr>
        <w:jc w:val="center"/>
        <w:rPr>
          <w:i/>
          <w:iCs/>
          <w:lang w:val="es-ES"/>
        </w:rPr>
      </w:pPr>
      <w:r>
        <w:rPr>
          <w:rFonts w:eastAsia="Arial"/>
          <w:i/>
          <w:iCs/>
          <w:szCs w:val="22"/>
          <w:bdr w:val="nil"/>
          <w:lang w:val="es-ES"/>
        </w:rPr>
        <w:t>Mapa de Austria y los países vecinos</w:t>
      </w:r>
    </w:p>
    <w:p w:rsidR="00632912" w:rsidRPr="00632912" w:rsidRDefault="00632912" w:rsidP="00632912">
      <w:pPr>
        <w:rPr>
          <w:b/>
          <w:bCs/>
          <w:caps/>
          <w:szCs w:val="32"/>
          <w:lang w:val="es-ES"/>
        </w:rPr>
      </w:pPr>
    </w:p>
    <w:p w:rsidR="00632912" w:rsidRPr="00632912" w:rsidRDefault="00632912" w:rsidP="00632912">
      <w:pPr>
        <w:pStyle w:val="Heading1"/>
        <w:rPr>
          <w:lang w:val="es-ES"/>
        </w:rPr>
      </w:pPr>
    </w:p>
    <w:p w:rsidR="00632912" w:rsidRPr="00632912" w:rsidRDefault="00632912" w:rsidP="00632912">
      <w:pPr>
        <w:pStyle w:val="Sub-heading"/>
        <w:rPr>
          <w:lang w:val="es-ES"/>
        </w:rPr>
      </w:pPr>
      <w:r>
        <w:rPr>
          <w:rFonts w:eastAsia="Arial"/>
          <w:bCs/>
          <w:szCs w:val="22"/>
          <w:bdr w:val="nil"/>
          <w:lang w:val="es-ES"/>
        </w:rPr>
        <w:t xml:space="preserve">5.1 Pertenencia a organizaciones regionales:  </w:t>
      </w:r>
    </w:p>
    <w:p w:rsidR="00632912" w:rsidRPr="00632912" w:rsidRDefault="00632912" w:rsidP="00632912">
      <w:pPr>
        <w:rPr>
          <w:lang w:val="es-ES"/>
        </w:rPr>
      </w:pPr>
      <w:r>
        <w:rPr>
          <w:rFonts w:eastAsia="Arial"/>
          <w:szCs w:val="22"/>
          <w:bdr w:val="nil"/>
          <w:lang w:val="es-ES"/>
        </w:rPr>
        <w:t>Austria es miembro de las Naciones Unidas así como de la mayoría de sus organismos especializados.  Austria es miembro de la Unión Europea desde 1995.</w:t>
      </w:r>
    </w:p>
    <w:p w:rsidR="00632912" w:rsidRPr="00632912" w:rsidRDefault="00632912" w:rsidP="00632912">
      <w:pPr>
        <w:rPr>
          <w:lang w:val="es-ES"/>
        </w:rPr>
      </w:pPr>
    </w:p>
    <w:p w:rsidR="00632912" w:rsidRPr="00632912" w:rsidRDefault="00632912" w:rsidP="00632912">
      <w:pPr>
        <w:rPr>
          <w:lang w:val="es-ES"/>
        </w:rPr>
      </w:pPr>
      <w:r>
        <w:rPr>
          <w:rFonts w:eastAsia="Arial"/>
          <w:szCs w:val="22"/>
          <w:bdr w:val="nil"/>
          <w:lang w:val="es-ES"/>
        </w:rPr>
        <w:t xml:space="preserve">Desde abril de 1979 Austria es Estado contratante del PCT y, desde mayo de 1979, es miembro de la Organización Europea de Patentes. </w:t>
      </w:r>
    </w:p>
    <w:p w:rsidR="00632912" w:rsidRPr="00632912" w:rsidRDefault="00632912" w:rsidP="00632912">
      <w:pPr>
        <w:pStyle w:val="Sub-heading"/>
        <w:rPr>
          <w:lang w:val="es-ES"/>
        </w:rPr>
      </w:pPr>
      <w:r>
        <w:rPr>
          <w:rFonts w:eastAsia="Arial"/>
          <w:bCs/>
          <w:szCs w:val="22"/>
          <w:bdr w:val="nil"/>
          <w:lang w:val="es-ES"/>
        </w:rPr>
        <w:t xml:space="preserve">5.2 Población:  </w:t>
      </w:r>
    </w:p>
    <w:p w:rsidR="00632912" w:rsidRPr="00632912" w:rsidRDefault="00632912" w:rsidP="00632912">
      <w:pPr>
        <w:pStyle w:val="22Standard"/>
        <w:ind w:left="0"/>
        <w:rPr>
          <w:lang w:val="es-ES"/>
        </w:rPr>
      </w:pPr>
      <w:r>
        <w:rPr>
          <w:rFonts w:eastAsia="Arial"/>
          <w:szCs w:val="22"/>
          <w:bdr w:val="nil"/>
          <w:lang w:val="es-ES"/>
        </w:rPr>
        <w:t>2015</w:t>
      </w:r>
      <w:r>
        <w:rPr>
          <w:rFonts w:eastAsia="Arial"/>
          <w:szCs w:val="22"/>
          <w:bdr w:val="nil"/>
          <w:lang w:val="es-ES"/>
        </w:rPr>
        <w:tab/>
      </w:r>
      <w:r>
        <w:rPr>
          <w:rFonts w:eastAsia="Arial"/>
          <w:szCs w:val="22"/>
          <w:bdr w:val="nil"/>
          <w:lang w:val="es-ES"/>
        </w:rPr>
        <w:tab/>
        <w:t>8.629.519</w:t>
      </w:r>
      <w:r>
        <w:rPr>
          <w:rFonts w:eastAsia="Arial"/>
          <w:szCs w:val="22"/>
          <w:bdr w:val="nil"/>
          <w:lang w:val="es-ES"/>
        </w:rPr>
        <w:tab/>
      </w:r>
      <w:r>
        <w:rPr>
          <w:rFonts w:eastAsia="Arial"/>
          <w:szCs w:val="22"/>
          <w:bdr w:val="nil"/>
          <w:lang w:val="es-ES"/>
        </w:rPr>
        <w:tab/>
      </w:r>
      <w:r>
        <w:rPr>
          <w:rFonts w:eastAsia="Arial"/>
          <w:szCs w:val="22"/>
          <w:bdr w:val="nil"/>
          <w:lang w:val="es-ES"/>
        </w:rPr>
        <w:tab/>
      </w:r>
      <w:r>
        <w:rPr>
          <w:rFonts w:eastAsia="Arial"/>
          <w:szCs w:val="22"/>
          <w:bdr w:val="nil"/>
          <w:lang w:val="es-ES"/>
        </w:rPr>
        <w:tab/>
      </w:r>
      <w:r>
        <w:rPr>
          <w:rFonts w:eastAsia="Arial"/>
          <w:szCs w:val="22"/>
          <w:bdr w:val="nil"/>
          <w:lang w:val="es-ES"/>
        </w:rPr>
        <w:tab/>
      </w:r>
      <w:r>
        <w:rPr>
          <w:rFonts w:eastAsia="Arial"/>
          <w:szCs w:val="22"/>
          <w:bdr w:val="nil"/>
          <w:lang w:val="es-ES"/>
        </w:rPr>
        <w:tab/>
      </w:r>
      <w:r w:rsidR="001D316C">
        <w:rPr>
          <w:rFonts w:eastAsia="Arial"/>
          <w:szCs w:val="22"/>
          <w:bdr w:val="nil"/>
          <w:lang w:val="es-ES"/>
        </w:rPr>
        <w:tab/>
      </w:r>
      <w:r>
        <w:rPr>
          <w:rFonts w:eastAsia="Arial"/>
          <w:i/>
          <w:iCs/>
          <w:szCs w:val="22"/>
          <w:bdr w:val="nil"/>
          <w:lang w:val="es-ES"/>
        </w:rPr>
        <w:t>(Fuente</w:t>
      </w:r>
      <w:proofErr w:type="gramStart"/>
      <w:r>
        <w:rPr>
          <w:rFonts w:eastAsia="Arial"/>
          <w:i/>
          <w:iCs/>
          <w:szCs w:val="22"/>
          <w:bdr w:val="nil"/>
          <w:lang w:val="es-ES"/>
        </w:rPr>
        <w:t>:  Statistik</w:t>
      </w:r>
      <w:proofErr w:type="gramEnd"/>
      <w:r>
        <w:rPr>
          <w:rFonts w:eastAsia="Arial"/>
          <w:i/>
          <w:iCs/>
          <w:szCs w:val="22"/>
          <w:bdr w:val="nil"/>
          <w:lang w:val="es-ES"/>
        </w:rPr>
        <w:t xml:space="preserve"> Austria)</w:t>
      </w:r>
    </w:p>
    <w:p w:rsidR="00632912" w:rsidRPr="00632912" w:rsidRDefault="00632912" w:rsidP="00632912">
      <w:pPr>
        <w:pStyle w:val="Sub-heading"/>
        <w:rPr>
          <w:lang w:val="es-ES"/>
        </w:rPr>
      </w:pPr>
      <w:r>
        <w:rPr>
          <w:rFonts w:eastAsia="Arial"/>
          <w:bCs/>
          <w:szCs w:val="22"/>
          <w:bdr w:val="nil"/>
          <w:lang w:val="es-ES"/>
        </w:rPr>
        <w:t xml:space="preserve">5,3 PIB </w:t>
      </w:r>
      <w:r w:rsidRPr="007A338F">
        <w:rPr>
          <w:rFonts w:eastAsia="Arial"/>
          <w:bCs/>
          <w:szCs w:val="22"/>
          <w:bdr w:val="nil"/>
          <w:lang w:val="es-ES"/>
        </w:rPr>
        <w:t>per c</w:t>
      </w:r>
      <w:r w:rsidR="00DC31FF" w:rsidRPr="007A338F">
        <w:rPr>
          <w:rFonts w:eastAsia="Arial"/>
          <w:bCs/>
          <w:szCs w:val="22"/>
          <w:bdr w:val="nil"/>
          <w:lang w:val="es-ES"/>
        </w:rPr>
        <w:t>á</w:t>
      </w:r>
      <w:r w:rsidRPr="007A338F">
        <w:rPr>
          <w:rFonts w:eastAsia="Arial"/>
          <w:bCs/>
          <w:szCs w:val="22"/>
          <w:bdr w:val="nil"/>
          <w:lang w:val="es-ES"/>
        </w:rPr>
        <w:t>pita</w:t>
      </w:r>
      <w:r>
        <w:rPr>
          <w:rFonts w:eastAsia="Arial"/>
          <w:bCs/>
          <w:szCs w:val="22"/>
          <w:bdr w:val="nil"/>
          <w:lang w:val="es-ES"/>
        </w:rPr>
        <w:t xml:space="preserve">:  </w:t>
      </w:r>
    </w:p>
    <w:p w:rsidR="00632912" w:rsidRPr="00632912" w:rsidRDefault="00632912" w:rsidP="00632912">
      <w:pPr>
        <w:pStyle w:val="22Standard"/>
        <w:ind w:left="0"/>
        <w:rPr>
          <w:b/>
          <w:bCs/>
          <w:caps/>
          <w:szCs w:val="32"/>
          <w:lang w:val="es-ES"/>
        </w:rPr>
      </w:pPr>
      <w:r>
        <w:rPr>
          <w:rFonts w:eastAsia="Arial"/>
          <w:szCs w:val="22"/>
          <w:bdr w:val="nil"/>
          <w:lang w:val="es-ES"/>
        </w:rPr>
        <w:t>2015</w:t>
      </w:r>
      <w:r>
        <w:rPr>
          <w:rFonts w:eastAsia="Arial"/>
          <w:szCs w:val="22"/>
          <w:bdr w:val="nil"/>
          <w:lang w:val="es-ES"/>
        </w:rPr>
        <w:tab/>
      </w:r>
      <w:r>
        <w:rPr>
          <w:rFonts w:eastAsia="Arial"/>
          <w:szCs w:val="22"/>
          <w:bdr w:val="nil"/>
          <w:lang w:val="es-ES"/>
        </w:rPr>
        <w:tab/>
        <w:t>39.390.- euros</w:t>
      </w:r>
      <w:r>
        <w:rPr>
          <w:rFonts w:eastAsia="Arial"/>
          <w:szCs w:val="22"/>
          <w:bdr w:val="nil"/>
          <w:lang w:val="es-ES"/>
        </w:rPr>
        <w:tab/>
      </w:r>
      <w:r>
        <w:rPr>
          <w:rFonts w:eastAsia="Arial"/>
          <w:szCs w:val="22"/>
          <w:bdr w:val="nil"/>
          <w:lang w:val="es-ES"/>
        </w:rPr>
        <w:tab/>
      </w:r>
      <w:r>
        <w:rPr>
          <w:rFonts w:eastAsia="Arial"/>
          <w:szCs w:val="22"/>
          <w:bdr w:val="nil"/>
          <w:lang w:val="es-ES"/>
        </w:rPr>
        <w:tab/>
      </w:r>
      <w:r>
        <w:rPr>
          <w:rFonts w:eastAsia="Arial"/>
          <w:szCs w:val="22"/>
          <w:bdr w:val="nil"/>
          <w:lang w:val="es-ES"/>
        </w:rPr>
        <w:tab/>
      </w:r>
      <w:r>
        <w:rPr>
          <w:rFonts w:eastAsia="Arial"/>
          <w:szCs w:val="22"/>
          <w:bdr w:val="nil"/>
          <w:lang w:val="es-ES"/>
        </w:rPr>
        <w:tab/>
      </w:r>
      <w:r>
        <w:rPr>
          <w:rFonts w:eastAsia="Arial"/>
          <w:szCs w:val="22"/>
          <w:bdr w:val="nil"/>
          <w:lang w:val="es-ES"/>
        </w:rPr>
        <w:tab/>
      </w:r>
      <w:r>
        <w:rPr>
          <w:rFonts w:eastAsia="Arial"/>
          <w:i/>
          <w:iCs/>
          <w:szCs w:val="22"/>
          <w:bdr w:val="nil"/>
          <w:lang w:val="es-ES"/>
        </w:rPr>
        <w:t>(Fuente</w:t>
      </w:r>
      <w:proofErr w:type="gramStart"/>
      <w:r>
        <w:rPr>
          <w:rFonts w:eastAsia="Arial"/>
          <w:i/>
          <w:iCs/>
          <w:szCs w:val="22"/>
          <w:bdr w:val="nil"/>
          <w:lang w:val="es-ES"/>
        </w:rPr>
        <w:t>:  Statistik</w:t>
      </w:r>
      <w:proofErr w:type="gramEnd"/>
      <w:r>
        <w:rPr>
          <w:rFonts w:eastAsia="Arial"/>
          <w:i/>
          <w:iCs/>
          <w:szCs w:val="22"/>
          <w:bdr w:val="nil"/>
          <w:lang w:val="es-ES"/>
        </w:rPr>
        <w:t xml:space="preserve"> Austria)</w:t>
      </w:r>
    </w:p>
    <w:p w:rsidR="00632912" w:rsidRPr="00632912" w:rsidRDefault="00632912" w:rsidP="00632912">
      <w:pPr>
        <w:pStyle w:val="Sub-heading"/>
        <w:rPr>
          <w:lang w:val="es-ES"/>
        </w:rPr>
      </w:pPr>
      <w:r>
        <w:rPr>
          <w:rFonts w:eastAsia="Arial"/>
          <w:bCs/>
          <w:szCs w:val="22"/>
          <w:bdr w:val="nil"/>
          <w:lang w:val="es-ES"/>
        </w:rPr>
        <w:t xml:space="preserve">5.4 Gasto nacional estimado en I + D (% del PIB):  </w:t>
      </w:r>
    </w:p>
    <w:p w:rsidR="00632912" w:rsidRPr="00632912" w:rsidRDefault="001D316C" w:rsidP="00632912">
      <w:pPr>
        <w:pStyle w:val="22Standard"/>
        <w:ind w:left="0"/>
        <w:rPr>
          <w:lang w:val="es-ES"/>
        </w:rPr>
      </w:pPr>
      <w:r>
        <w:rPr>
          <w:rFonts w:eastAsia="Arial"/>
          <w:szCs w:val="22"/>
          <w:bdr w:val="nil"/>
          <w:lang w:val="es-ES"/>
        </w:rPr>
        <w:t>2015</w:t>
      </w:r>
      <w:r>
        <w:rPr>
          <w:rFonts w:eastAsia="Arial"/>
          <w:szCs w:val="22"/>
          <w:bdr w:val="nil"/>
          <w:lang w:val="es-ES"/>
        </w:rPr>
        <w:tab/>
      </w:r>
      <w:r>
        <w:rPr>
          <w:rFonts w:eastAsia="Arial"/>
          <w:szCs w:val="22"/>
          <w:bdr w:val="nil"/>
          <w:lang w:val="es-ES"/>
        </w:rPr>
        <w:tab/>
        <w:t>3,10</w:t>
      </w:r>
      <w:r w:rsidR="00B97901">
        <w:rPr>
          <w:rFonts w:eastAsia="Arial"/>
          <w:szCs w:val="22"/>
          <w:bdr w:val="nil"/>
          <w:lang w:val="es-ES"/>
        </w:rPr>
        <w:t>%</w:t>
      </w:r>
      <w:r w:rsidR="00B97901">
        <w:rPr>
          <w:rFonts w:eastAsia="Arial"/>
          <w:szCs w:val="22"/>
          <w:bdr w:val="nil"/>
          <w:lang w:val="es-ES"/>
        </w:rPr>
        <w:tab/>
      </w:r>
      <w:r>
        <w:rPr>
          <w:rFonts w:eastAsia="Arial"/>
          <w:szCs w:val="22"/>
          <w:bdr w:val="nil"/>
          <w:lang w:val="es-ES"/>
        </w:rPr>
        <w:tab/>
      </w:r>
      <w:r>
        <w:rPr>
          <w:rFonts w:eastAsia="Arial"/>
          <w:szCs w:val="22"/>
          <w:bdr w:val="nil"/>
          <w:lang w:val="es-ES"/>
        </w:rPr>
        <w:tab/>
      </w:r>
      <w:r>
        <w:rPr>
          <w:rFonts w:eastAsia="Arial"/>
          <w:szCs w:val="22"/>
          <w:bdr w:val="nil"/>
          <w:lang w:val="es-ES"/>
        </w:rPr>
        <w:tab/>
      </w:r>
      <w:r>
        <w:rPr>
          <w:rFonts w:eastAsia="Arial"/>
          <w:szCs w:val="22"/>
          <w:bdr w:val="nil"/>
          <w:lang w:val="es-ES"/>
        </w:rPr>
        <w:tab/>
      </w:r>
      <w:r>
        <w:rPr>
          <w:rFonts w:eastAsia="Arial"/>
          <w:szCs w:val="22"/>
          <w:bdr w:val="nil"/>
          <w:lang w:val="es-ES"/>
        </w:rPr>
        <w:tab/>
      </w:r>
      <w:r>
        <w:rPr>
          <w:rFonts w:eastAsia="Arial"/>
          <w:szCs w:val="22"/>
          <w:bdr w:val="nil"/>
          <w:lang w:val="es-ES"/>
        </w:rPr>
        <w:tab/>
      </w:r>
      <w:r w:rsidR="00632912">
        <w:rPr>
          <w:rFonts w:eastAsia="Arial"/>
          <w:i/>
          <w:iCs/>
          <w:szCs w:val="22"/>
          <w:bdr w:val="nil"/>
          <w:lang w:val="es-ES"/>
        </w:rPr>
        <w:t>(Fuente</w:t>
      </w:r>
      <w:proofErr w:type="gramStart"/>
      <w:r w:rsidR="00632912">
        <w:rPr>
          <w:rFonts w:eastAsia="Arial"/>
          <w:i/>
          <w:iCs/>
          <w:szCs w:val="22"/>
          <w:bdr w:val="nil"/>
          <w:lang w:val="es-ES"/>
        </w:rPr>
        <w:t>:  Statistik</w:t>
      </w:r>
      <w:proofErr w:type="gramEnd"/>
      <w:r w:rsidR="00632912">
        <w:rPr>
          <w:rFonts w:eastAsia="Arial"/>
          <w:i/>
          <w:iCs/>
          <w:szCs w:val="22"/>
          <w:bdr w:val="nil"/>
          <w:lang w:val="es-ES"/>
        </w:rPr>
        <w:t xml:space="preserve"> Austria)</w:t>
      </w:r>
    </w:p>
    <w:p w:rsidR="00632912" w:rsidRPr="00632912" w:rsidRDefault="00632912" w:rsidP="00632912">
      <w:pPr>
        <w:pStyle w:val="22Standard"/>
        <w:ind w:left="0"/>
        <w:rPr>
          <w:i/>
          <w:lang w:val="de-CH"/>
        </w:rPr>
      </w:pPr>
      <w:r w:rsidRPr="00632912">
        <w:rPr>
          <w:rFonts w:eastAsia="Arial"/>
          <w:i/>
          <w:iCs/>
          <w:szCs w:val="22"/>
          <w:bdr w:val="nil"/>
          <w:lang w:val="de-CH"/>
        </w:rPr>
        <w:lastRenderedPageBreak/>
        <w:t xml:space="preserve">Fuente:  Statistik Austria  </w:t>
      </w:r>
      <w:hyperlink r:id="rId21" w:history="1">
        <w:r w:rsidRPr="00632912">
          <w:rPr>
            <w:rFonts w:eastAsia="Arial"/>
            <w:i/>
            <w:iCs/>
            <w:szCs w:val="22"/>
            <w:bdr w:val="nil"/>
            <w:lang w:val="de-CH"/>
          </w:rPr>
          <w:t>http://www.statistik.at/web_en/statistics/index.html</w:t>
        </w:r>
      </w:hyperlink>
    </w:p>
    <w:p w:rsidR="00632912" w:rsidRPr="00632912" w:rsidRDefault="00632912" w:rsidP="00632912">
      <w:pPr>
        <w:pStyle w:val="22Standard"/>
        <w:ind w:left="0"/>
        <w:rPr>
          <w:lang w:val="de-CH"/>
        </w:rPr>
      </w:pPr>
    </w:p>
    <w:p w:rsidR="00632912" w:rsidRDefault="00632912" w:rsidP="00632912">
      <w:pPr>
        <w:jc w:val="center"/>
        <w:rPr>
          <w:lang w:val="de-DE"/>
        </w:rPr>
      </w:pPr>
      <w:r>
        <w:rPr>
          <w:noProof/>
          <w:lang w:eastAsia="en-US"/>
        </w:rPr>
        <w:drawing>
          <wp:inline distT="0" distB="0" distL="0" distR="0" wp14:anchorId="4565B85B" wp14:editId="6A5E4682">
            <wp:extent cx="5608955" cy="2893695"/>
            <wp:effectExtent l="0" t="0" r="0" b="1905"/>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08955" cy="2893695"/>
                    </a:xfrm>
                    <a:prstGeom prst="rect">
                      <a:avLst/>
                    </a:prstGeom>
                    <a:noFill/>
                    <a:ln>
                      <a:noFill/>
                    </a:ln>
                  </pic:spPr>
                </pic:pic>
              </a:graphicData>
            </a:graphic>
          </wp:inline>
        </w:drawing>
      </w:r>
    </w:p>
    <w:p w:rsidR="00632912" w:rsidRDefault="00632912" w:rsidP="00632912"/>
    <w:p w:rsidR="00632912" w:rsidRPr="00632912" w:rsidRDefault="00632912" w:rsidP="00632912">
      <w:pPr>
        <w:pStyle w:val="Sub-heading"/>
        <w:rPr>
          <w:lang w:val="es-ES"/>
        </w:rPr>
      </w:pPr>
      <w:r>
        <w:rPr>
          <w:rFonts w:eastAsia="Arial"/>
          <w:bCs/>
          <w:szCs w:val="22"/>
          <w:bdr w:val="nil"/>
          <w:lang w:val="es-ES"/>
        </w:rPr>
        <w:t xml:space="preserve">5.5 Número de universidades de investigación:  </w:t>
      </w:r>
    </w:p>
    <w:p w:rsidR="00632912" w:rsidRPr="00632912" w:rsidRDefault="00632912" w:rsidP="00632912">
      <w:pPr>
        <w:pStyle w:val="22Standard"/>
        <w:ind w:left="0"/>
        <w:rPr>
          <w:lang w:val="es-ES"/>
        </w:rPr>
      </w:pPr>
      <w:r>
        <w:rPr>
          <w:rFonts w:eastAsia="Arial"/>
          <w:szCs w:val="22"/>
          <w:bdr w:val="nil"/>
          <w:lang w:val="es-ES"/>
        </w:rPr>
        <w:t>2013    Un</w:t>
      </w:r>
      <w:r w:rsidR="00A423BE">
        <w:rPr>
          <w:rFonts w:eastAsia="Arial"/>
          <w:szCs w:val="22"/>
          <w:bdr w:val="nil"/>
          <w:lang w:val="es-ES"/>
        </w:rPr>
        <w:t xml:space="preserve">idades universitarias con I+D: </w:t>
      </w:r>
      <w:r>
        <w:rPr>
          <w:rFonts w:eastAsia="Arial"/>
          <w:szCs w:val="22"/>
          <w:bdr w:val="nil"/>
          <w:lang w:val="es-ES"/>
        </w:rPr>
        <w:t>1.273</w:t>
      </w:r>
      <w:r>
        <w:rPr>
          <w:rFonts w:eastAsia="Arial"/>
          <w:szCs w:val="22"/>
          <w:bdr w:val="nil"/>
          <w:lang w:val="es-ES"/>
        </w:rPr>
        <w:tab/>
      </w:r>
      <w:r>
        <w:rPr>
          <w:rFonts w:eastAsia="Arial"/>
          <w:szCs w:val="22"/>
          <w:bdr w:val="nil"/>
          <w:lang w:val="es-ES"/>
        </w:rPr>
        <w:tab/>
      </w:r>
      <w:r>
        <w:rPr>
          <w:rFonts w:eastAsia="Arial"/>
          <w:i/>
          <w:iCs/>
          <w:szCs w:val="22"/>
          <w:bdr w:val="nil"/>
          <w:lang w:val="es-ES"/>
        </w:rPr>
        <w:t>(Fuente</w:t>
      </w:r>
      <w:proofErr w:type="gramStart"/>
      <w:r>
        <w:rPr>
          <w:rFonts w:eastAsia="Arial"/>
          <w:i/>
          <w:iCs/>
          <w:szCs w:val="22"/>
          <w:bdr w:val="nil"/>
          <w:lang w:val="es-ES"/>
        </w:rPr>
        <w:t>:  Statistik</w:t>
      </w:r>
      <w:proofErr w:type="gramEnd"/>
      <w:r>
        <w:rPr>
          <w:rFonts w:eastAsia="Arial"/>
          <w:i/>
          <w:iCs/>
          <w:szCs w:val="22"/>
          <w:bdr w:val="nil"/>
          <w:lang w:val="es-ES"/>
        </w:rPr>
        <w:t xml:space="preserve"> Austria)</w:t>
      </w:r>
    </w:p>
    <w:p w:rsidR="00632912" w:rsidRPr="00632912" w:rsidRDefault="00632912" w:rsidP="00632912">
      <w:pPr>
        <w:pStyle w:val="Sub-heading"/>
        <w:rPr>
          <w:lang w:val="es-ES"/>
        </w:rPr>
      </w:pPr>
      <w:r>
        <w:rPr>
          <w:rFonts w:eastAsia="Arial"/>
          <w:bCs/>
          <w:szCs w:val="22"/>
          <w:bdr w:val="nil"/>
          <w:lang w:val="es-ES"/>
        </w:rPr>
        <w:t xml:space="preserve">5.6 Resumen de la red de información nacional sobre patentes (por ejemplo, bibliotecas de patentes, centros de apoyo a la tecnología y la innovación):  </w:t>
      </w:r>
    </w:p>
    <w:p w:rsidR="00A423BE" w:rsidRDefault="00632912" w:rsidP="00632912">
      <w:pPr>
        <w:keepNext/>
        <w:rPr>
          <w:rStyle w:val="alt-edited"/>
          <w:rFonts w:eastAsia="Arial"/>
          <w:szCs w:val="22"/>
          <w:bdr w:val="nil"/>
          <w:lang w:val="es-ES"/>
        </w:rPr>
      </w:pPr>
      <w:r>
        <w:rPr>
          <w:rStyle w:val="alt-edited"/>
          <w:rFonts w:eastAsia="Arial"/>
          <w:szCs w:val="22"/>
          <w:bdr w:val="nil"/>
          <w:lang w:val="es-ES"/>
        </w:rPr>
        <w:t xml:space="preserve">La APO, </w:t>
      </w:r>
      <w:r w:rsidR="00DC0E4A">
        <w:rPr>
          <w:rStyle w:val="alt-edited"/>
          <w:rFonts w:eastAsia="Arial"/>
          <w:szCs w:val="22"/>
          <w:bdr w:val="nil"/>
          <w:lang w:val="es-ES"/>
        </w:rPr>
        <w:t>siendo uno</w:t>
      </w:r>
      <w:r>
        <w:rPr>
          <w:rStyle w:val="alt-edited"/>
          <w:rFonts w:eastAsia="Arial"/>
          <w:szCs w:val="22"/>
          <w:bdr w:val="nil"/>
          <w:lang w:val="es-ES"/>
        </w:rPr>
        <w:t xml:space="preserve"> de los Centros PATLIB nacionales, dispone de un servicio de atención al </w:t>
      </w:r>
      <w:r w:rsidR="00A423BE">
        <w:rPr>
          <w:rStyle w:val="alt-edited"/>
          <w:rFonts w:eastAsia="Arial"/>
          <w:szCs w:val="22"/>
          <w:bdr w:val="nil"/>
          <w:lang w:val="es-ES"/>
        </w:rPr>
        <w:t xml:space="preserve"> </w:t>
      </w:r>
    </w:p>
    <w:p w:rsidR="00632912" w:rsidRPr="00632912" w:rsidRDefault="00A423BE" w:rsidP="00632912">
      <w:pPr>
        <w:keepNext/>
        <w:rPr>
          <w:lang w:val="es-ES"/>
        </w:rPr>
      </w:pPr>
      <w:r>
        <w:rPr>
          <w:rStyle w:val="alt-edited"/>
          <w:rFonts w:eastAsia="Arial"/>
          <w:szCs w:val="22"/>
          <w:bdr w:val="nil"/>
          <w:lang w:val="es-ES"/>
        </w:rPr>
        <w:t>c</w:t>
      </w:r>
      <w:r w:rsidR="00632912">
        <w:rPr>
          <w:rStyle w:val="alt-edited"/>
          <w:rFonts w:eastAsia="Arial"/>
          <w:szCs w:val="22"/>
          <w:bdr w:val="nil"/>
          <w:lang w:val="es-ES"/>
        </w:rPr>
        <w:t>liente.</w:t>
      </w:r>
      <w:r w:rsidR="00632912">
        <w:rPr>
          <w:noProof/>
          <w:lang w:eastAsia="en-US"/>
        </w:rPr>
        <w:drawing>
          <wp:anchor distT="0" distB="0" distL="114300" distR="114300" simplePos="0" relativeHeight="251659264" behindDoc="0" locked="0" layoutInCell="1" allowOverlap="1" wp14:anchorId="3DC3E60F" wp14:editId="1F5D9874">
            <wp:simplePos x="0" y="0"/>
            <wp:positionH relativeFrom="column">
              <wp:posOffset>1766570</wp:posOffset>
            </wp:positionH>
            <wp:positionV relativeFrom="paragraph">
              <wp:posOffset>203835</wp:posOffset>
            </wp:positionV>
            <wp:extent cx="2393950" cy="1461135"/>
            <wp:effectExtent l="0" t="0" r="6350" b="5715"/>
            <wp:wrapTopAndBottom/>
            <wp:docPr id="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93950" cy="1461135"/>
                    </a:xfrm>
                    <a:prstGeom prst="rect">
                      <a:avLst/>
                    </a:prstGeom>
                    <a:noFill/>
                    <a:ln>
                      <a:noFill/>
                    </a:ln>
                  </pic:spPr>
                </pic:pic>
              </a:graphicData>
            </a:graphic>
          </wp:anchor>
        </w:drawing>
      </w:r>
    </w:p>
    <w:p w:rsidR="00632912" w:rsidRPr="00632912" w:rsidRDefault="00632912" w:rsidP="00632912">
      <w:pPr>
        <w:rPr>
          <w:lang w:val="es-ES"/>
        </w:rPr>
      </w:pPr>
      <w:r>
        <w:rPr>
          <w:rFonts w:eastAsia="Arial"/>
          <w:szCs w:val="22"/>
          <w:bdr w:val="nil"/>
          <w:lang w:val="es-ES"/>
        </w:rPr>
        <w:t>Además, presta asistencia a las pequeñas y medianas empresas mediante un servicio de consultoría, realizado conjuntamente con un organismo económico (discover.IP).  También ofrece servicios de búsqueda y examen para las invenciones.  Existen sesiones de formación y de búsqueda especiales para los estudiantes</w:t>
      </w:r>
      <w:r w:rsidR="00A423BE">
        <w:rPr>
          <w:rFonts w:eastAsia="Arial"/>
          <w:szCs w:val="22"/>
          <w:bdr w:val="nil"/>
          <w:lang w:val="es-ES"/>
        </w:rPr>
        <w:t>.</w:t>
      </w:r>
      <w:r>
        <w:rPr>
          <w:rFonts w:eastAsia="Arial"/>
          <w:szCs w:val="22"/>
          <w:bdr w:val="nil"/>
          <w:lang w:val="es-ES"/>
        </w:rPr>
        <w:t xml:space="preserve">  La gama de información disponible se amplía con conferencias tanto en la oficina como en las regiones.</w:t>
      </w:r>
    </w:p>
    <w:p w:rsidR="00632912" w:rsidRPr="00632912" w:rsidRDefault="00632912" w:rsidP="00632912">
      <w:pPr>
        <w:rPr>
          <w:lang w:val="es-ES"/>
        </w:rPr>
      </w:pPr>
    </w:p>
    <w:p w:rsidR="00632912" w:rsidRPr="00632912" w:rsidRDefault="00632912" w:rsidP="00632912">
      <w:pPr>
        <w:rPr>
          <w:highlight w:val="yellow"/>
          <w:lang w:val="es-ES"/>
        </w:rPr>
      </w:pPr>
      <w:r>
        <w:rPr>
          <w:rFonts w:eastAsia="Arial"/>
          <w:szCs w:val="22"/>
          <w:bdr w:val="nil"/>
          <w:lang w:val="es-ES"/>
        </w:rPr>
        <w:t xml:space="preserve">Además de la APO, existen otros 5 Centros PATLIB en Austria.  A ello se suman todas las </w:t>
      </w:r>
      <w:r w:rsidR="00B25080">
        <w:rPr>
          <w:rFonts w:eastAsia="Arial"/>
          <w:szCs w:val="22"/>
          <w:bdr w:val="nil"/>
          <w:lang w:val="es-ES"/>
        </w:rPr>
        <w:t xml:space="preserve">cámaras </w:t>
      </w:r>
      <w:r>
        <w:rPr>
          <w:rFonts w:eastAsia="Arial"/>
          <w:szCs w:val="22"/>
          <w:bdr w:val="nil"/>
          <w:lang w:val="es-ES"/>
        </w:rPr>
        <w:t xml:space="preserve">de comercio regionales y sus organismos subsidiarios, que asesoran en materia de derechos de P.I. y brindan información sobre financiación para la aplicación de las innovaciones.  </w:t>
      </w:r>
    </w:p>
    <w:p w:rsidR="00632912" w:rsidRPr="00632912" w:rsidRDefault="00632912" w:rsidP="00632912">
      <w:pPr>
        <w:pStyle w:val="Sub-heading"/>
        <w:rPr>
          <w:lang w:val="es-ES"/>
        </w:rPr>
      </w:pPr>
      <w:r>
        <w:rPr>
          <w:rFonts w:eastAsia="Arial"/>
          <w:bCs/>
          <w:szCs w:val="22"/>
          <w:bdr w:val="nil"/>
          <w:lang w:val="es-ES"/>
        </w:rPr>
        <w:lastRenderedPageBreak/>
        <w:t xml:space="preserve">5.7. Industrias locales más importantes:  </w:t>
      </w:r>
    </w:p>
    <w:p w:rsidR="00632912" w:rsidRPr="00632912" w:rsidRDefault="00632912" w:rsidP="00632912">
      <w:pPr>
        <w:rPr>
          <w:lang w:val="es-ES"/>
        </w:rPr>
      </w:pPr>
      <w:r>
        <w:rPr>
          <w:rFonts w:eastAsia="Arial"/>
          <w:szCs w:val="22"/>
          <w:bdr w:val="nil"/>
          <w:lang w:val="es-ES"/>
        </w:rPr>
        <w:t>Austria es un país industrializado altamente desarrollado que cuenta con un destacado sector de los servicios.  Las industrias más importantes son las de los productos alimentarios, productos de lujo, la ingeniería mecánica y la industria siderúrgica, los productos químicos, el sector textil y la fabricación de automóviles.</w:t>
      </w:r>
    </w:p>
    <w:p w:rsidR="00632912" w:rsidRPr="00632912" w:rsidRDefault="00632912" w:rsidP="00632912">
      <w:pPr>
        <w:rPr>
          <w:lang w:val="es-ES"/>
        </w:rPr>
      </w:pPr>
    </w:p>
    <w:p w:rsidR="00632912" w:rsidRPr="00632912" w:rsidRDefault="00632912" w:rsidP="00632912">
      <w:pPr>
        <w:rPr>
          <w:lang w:val="es-ES"/>
        </w:rPr>
      </w:pPr>
      <w:r>
        <w:rPr>
          <w:rFonts w:eastAsia="Arial"/>
          <w:szCs w:val="22"/>
          <w:bdr w:val="nil"/>
          <w:lang w:val="es-ES"/>
        </w:rPr>
        <w:t>Los sectores industrial y comercial de Austria se caracterizan por su elevado porcentaje de medianas empresas.  La industria austriaca abarca todos los ramos de la manufactura, desde los productos básicos hasta la fabricación de productos altamente procesados que requieren un uso intensivo de mano de obra.  La construcción de plantas y sistemas (que abarca la planificación, la entrega y el montaje de instalaciones de producción llave en mano, incluida la pericia y la experiencia operativa necesarias) constituye una parte cada vez más importante de su industria.  Este campo está orientado sobre todo a la exportación, al igual que el sector de la electrónica (que incluye, entre otras, la producción de circuitos integrados)</w:t>
      </w:r>
    </w:p>
    <w:p w:rsidR="00632912" w:rsidRPr="00632912" w:rsidRDefault="00632912" w:rsidP="00632912">
      <w:pPr>
        <w:rPr>
          <w:lang w:val="es-ES"/>
        </w:rPr>
      </w:pPr>
    </w:p>
    <w:p w:rsidR="00632912" w:rsidRPr="00632912" w:rsidRDefault="00632912" w:rsidP="00632912">
      <w:pPr>
        <w:rPr>
          <w:lang w:val="es-ES"/>
        </w:rPr>
      </w:pPr>
      <w:r>
        <w:rPr>
          <w:rFonts w:eastAsia="Arial"/>
          <w:szCs w:val="22"/>
          <w:bdr w:val="nil"/>
          <w:lang w:val="es-ES"/>
        </w:rPr>
        <w:t>Para acceder a las estadísticas económicas actuales, sírvase consultar el sitio Web de Statistik Austria, disponible en el enlace siguiente:</w:t>
      </w:r>
    </w:p>
    <w:p w:rsidR="00632912" w:rsidRPr="00EA7178" w:rsidRDefault="00F401D2" w:rsidP="00632912">
      <w:pPr>
        <w:rPr>
          <w:lang w:val="es-ES"/>
        </w:rPr>
      </w:pPr>
      <w:hyperlink r:id="rId24" w:history="1">
        <w:r w:rsidR="00632912" w:rsidRPr="00EA7178">
          <w:rPr>
            <w:rFonts w:eastAsia="Arial"/>
            <w:szCs w:val="22"/>
            <w:bdr w:val="nil"/>
            <w:lang w:val="es-ES"/>
          </w:rPr>
          <w:t>http://www.statistik.at/web_en</w:t>
        </w:r>
      </w:hyperlink>
      <w:r w:rsidR="00632912" w:rsidRPr="00EA7178">
        <w:rPr>
          <w:rFonts w:eastAsia="Arial"/>
          <w:szCs w:val="22"/>
          <w:bdr w:val="nil"/>
          <w:lang w:val="es-ES"/>
        </w:rPr>
        <w:t xml:space="preserve"> </w:t>
      </w:r>
    </w:p>
    <w:p w:rsidR="00632912" w:rsidRDefault="00632912" w:rsidP="00632912">
      <w:pPr>
        <w:pStyle w:val="Sub-heading"/>
        <w:spacing w:after="0"/>
      </w:pPr>
      <w:r>
        <w:rPr>
          <w:rFonts w:eastAsia="Arial"/>
          <w:bCs/>
          <w:szCs w:val="22"/>
          <w:bdr w:val="nil"/>
          <w:lang w:val="es-ES"/>
        </w:rPr>
        <w:t xml:space="preserve">Principales socios comerciales:  </w:t>
      </w:r>
    </w:p>
    <w:tbl>
      <w:tblPr>
        <w:tblW w:w="8095" w:type="dxa"/>
        <w:tblInd w:w="55"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91"/>
        <w:gridCol w:w="1135"/>
        <w:gridCol w:w="2835"/>
        <w:gridCol w:w="1134"/>
      </w:tblGrid>
      <w:tr w:rsidR="00200C88" w:rsidTr="00632912">
        <w:trPr>
          <w:trHeight w:hRule="exact" w:val="284"/>
        </w:trPr>
        <w:tc>
          <w:tcPr>
            <w:tcW w:w="4126" w:type="dxa"/>
            <w:gridSpan w:val="2"/>
            <w:tcBorders>
              <w:top w:val="nil"/>
              <w:left w:val="nil"/>
              <w:bottom w:val="single" w:sz="4" w:space="0" w:color="auto"/>
              <w:right w:val="single" w:sz="4" w:space="0" w:color="auto"/>
            </w:tcBorders>
            <w:vAlign w:val="center"/>
          </w:tcPr>
          <w:p w:rsidR="00632912" w:rsidRDefault="00632912" w:rsidP="00632912">
            <w:pPr>
              <w:jc w:val="center"/>
              <w:rPr>
                <w:bCs/>
                <w:color w:val="000000"/>
                <w:sz w:val="24"/>
                <w:lang w:eastAsia="de-AT"/>
              </w:rPr>
            </w:pPr>
            <w:r>
              <w:rPr>
                <w:rFonts w:eastAsia="Arial"/>
                <w:bCs/>
                <w:szCs w:val="22"/>
                <w:bdr w:val="nil"/>
                <w:lang w:val="es-ES" w:eastAsia="de-AT"/>
              </w:rPr>
              <w:t>Importación 2015</w:t>
            </w:r>
          </w:p>
        </w:tc>
        <w:tc>
          <w:tcPr>
            <w:tcW w:w="3969" w:type="dxa"/>
            <w:gridSpan w:val="2"/>
            <w:tcBorders>
              <w:top w:val="nil"/>
              <w:left w:val="single" w:sz="4" w:space="0" w:color="auto"/>
              <w:bottom w:val="single" w:sz="4" w:space="0" w:color="auto"/>
              <w:right w:val="nil"/>
            </w:tcBorders>
            <w:vAlign w:val="center"/>
          </w:tcPr>
          <w:p w:rsidR="00632912" w:rsidRDefault="00632912" w:rsidP="00632912">
            <w:pPr>
              <w:jc w:val="center"/>
              <w:rPr>
                <w:bCs/>
                <w:color w:val="000000"/>
                <w:sz w:val="24"/>
                <w:lang w:eastAsia="de-AT"/>
              </w:rPr>
            </w:pPr>
            <w:r>
              <w:rPr>
                <w:rFonts w:eastAsia="Arial"/>
                <w:bCs/>
                <w:color w:val="000000"/>
                <w:szCs w:val="22"/>
                <w:bdr w:val="nil"/>
                <w:lang w:val="es-ES" w:eastAsia="de-AT"/>
              </w:rPr>
              <w:t>Exportación 2015</w:t>
            </w:r>
          </w:p>
        </w:tc>
      </w:tr>
      <w:tr w:rsidR="00200C88" w:rsidTr="00632912">
        <w:trPr>
          <w:trHeight w:hRule="exact" w:val="284"/>
        </w:trPr>
        <w:tc>
          <w:tcPr>
            <w:tcW w:w="2991" w:type="dxa"/>
            <w:tcBorders>
              <w:top w:val="single" w:sz="4" w:space="0" w:color="auto"/>
              <w:left w:val="nil"/>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Estado</w:t>
            </w:r>
          </w:p>
        </w:tc>
        <w:tc>
          <w:tcPr>
            <w:tcW w:w="1135"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jc w:val="center"/>
              <w:rPr>
                <w:bCs/>
                <w:color w:val="000000"/>
                <w:sz w:val="24"/>
                <w:lang w:eastAsia="de-AT"/>
              </w:rPr>
            </w:pPr>
            <w:r>
              <w:rPr>
                <w:rFonts w:eastAsia="Arial"/>
                <w:bCs/>
                <w:color w:val="000000"/>
                <w:szCs w:val="22"/>
                <w:bdr w:val="nil"/>
                <w:lang w:val="es-ES" w:eastAsia="de-AT"/>
              </w:rPr>
              <w:t>en %</w:t>
            </w:r>
          </w:p>
        </w:tc>
        <w:tc>
          <w:tcPr>
            <w:tcW w:w="2835"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Estado</w:t>
            </w:r>
          </w:p>
        </w:tc>
        <w:tc>
          <w:tcPr>
            <w:tcW w:w="1134" w:type="dxa"/>
            <w:tcBorders>
              <w:top w:val="single" w:sz="4" w:space="0" w:color="auto"/>
              <w:left w:val="single" w:sz="4" w:space="0" w:color="auto"/>
              <w:bottom w:val="single" w:sz="4" w:space="0" w:color="auto"/>
              <w:right w:val="nil"/>
            </w:tcBorders>
            <w:vAlign w:val="center"/>
          </w:tcPr>
          <w:p w:rsidR="00632912" w:rsidRDefault="00632912" w:rsidP="00632912">
            <w:pPr>
              <w:jc w:val="center"/>
              <w:rPr>
                <w:bCs/>
                <w:color w:val="000000"/>
                <w:sz w:val="24"/>
                <w:lang w:eastAsia="de-AT"/>
              </w:rPr>
            </w:pPr>
            <w:r>
              <w:rPr>
                <w:rFonts w:eastAsia="Arial"/>
                <w:bCs/>
                <w:color w:val="000000"/>
                <w:szCs w:val="22"/>
                <w:bdr w:val="nil"/>
                <w:lang w:val="es-ES" w:eastAsia="de-AT"/>
              </w:rPr>
              <w:t>en %</w:t>
            </w:r>
          </w:p>
        </w:tc>
      </w:tr>
      <w:tr w:rsidR="00200C88" w:rsidTr="00632912">
        <w:trPr>
          <w:trHeight w:hRule="exact" w:val="284"/>
        </w:trPr>
        <w:tc>
          <w:tcPr>
            <w:tcW w:w="2991" w:type="dxa"/>
            <w:tcBorders>
              <w:top w:val="single" w:sz="4" w:space="0" w:color="auto"/>
              <w:left w:val="nil"/>
              <w:bottom w:val="single" w:sz="4" w:space="0" w:color="auto"/>
              <w:right w:val="single" w:sz="4" w:space="0" w:color="auto"/>
            </w:tcBorders>
            <w:vAlign w:val="center"/>
          </w:tcPr>
          <w:p w:rsidR="00632912" w:rsidRDefault="00632912" w:rsidP="00632912">
            <w:pPr>
              <w:rPr>
                <w:bCs/>
                <w:color w:val="000000"/>
                <w:sz w:val="6"/>
                <w:lang w:eastAsia="de-AT"/>
              </w:rPr>
            </w:pPr>
          </w:p>
        </w:tc>
        <w:tc>
          <w:tcPr>
            <w:tcW w:w="1135"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jc w:val="center"/>
              <w:rPr>
                <w:bCs/>
                <w:color w:val="000000"/>
                <w:sz w:val="6"/>
                <w:lang w:eastAsia="de-AT"/>
              </w:rPr>
            </w:pPr>
          </w:p>
        </w:tc>
        <w:tc>
          <w:tcPr>
            <w:tcW w:w="2835"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rPr>
                <w:bCs/>
                <w:color w:val="000000"/>
                <w:sz w:val="6"/>
                <w:lang w:eastAsia="de-AT"/>
              </w:rPr>
            </w:pPr>
          </w:p>
        </w:tc>
        <w:tc>
          <w:tcPr>
            <w:tcW w:w="1134" w:type="dxa"/>
            <w:tcBorders>
              <w:top w:val="single" w:sz="4" w:space="0" w:color="auto"/>
              <w:left w:val="single" w:sz="4" w:space="0" w:color="auto"/>
              <w:bottom w:val="single" w:sz="4" w:space="0" w:color="auto"/>
              <w:right w:val="nil"/>
            </w:tcBorders>
            <w:vAlign w:val="center"/>
          </w:tcPr>
          <w:p w:rsidR="00632912" w:rsidRDefault="00632912" w:rsidP="00632912">
            <w:pPr>
              <w:jc w:val="center"/>
              <w:rPr>
                <w:bCs/>
                <w:color w:val="000000"/>
                <w:sz w:val="6"/>
                <w:lang w:eastAsia="de-AT"/>
              </w:rPr>
            </w:pPr>
          </w:p>
        </w:tc>
      </w:tr>
      <w:tr w:rsidR="00200C88" w:rsidTr="00632912">
        <w:trPr>
          <w:trHeight w:hRule="exact" w:val="284"/>
        </w:trPr>
        <w:tc>
          <w:tcPr>
            <w:tcW w:w="2991" w:type="dxa"/>
            <w:tcBorders>
              <w:top w:val="single" w:sz="4" w:space="0" w:color="auto"/>
              <w:left w:val="nil"/>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Alemania</w:t>
            </w:r>
          </w:p>
        </w:tc>
        <w:tc>
          <w:tcPr>
            <w:tcW w:w="1135" w:type="dxa"/>
            <w:tcBorders>
              <w:top w:val="single" w:sz="4" w:space="0" w:color="auto"/>
              <w:left w:val="single" w:sz="4" w:space="0" w:color="auto"/>
              <w:bottom w:val="single" w:sz="4" w:space="0" w:color="auto"/>
              <w:right w:val="single" w:sz="4" w:space="0" w:color="auto"/>
            </w:tcBorders>
            <w:vAlign w:val="center"/>
          </w:tcPr>
          <w:p w:rsidR="00632912" w:rsidRDefault="00632912" w:rsidP="00A423BE">
            <w:pPr>
              <w:jc w:val="center"/>
              <w:rPr>
                <w:color w:val="000000"/>
                <w:sz w:val="24"/>
                <w:lang w:eastAsia="de-AT"/>
              </w:rPr>
            </w:pPr>
            <w:r>
              <w:rPr>
                <w:color w:val="000000"/>
                <w:lang w:eastAsia="de-AT"/>
              </w:rPr>
              <w:t>36</w:t>
            </w:r>
            <w:r w:rsidR="00A423BE">
              <w:rPr>
                <w:color w:val="000000"/>
                <w:lang w:eastAsia="de-AT"/>
              </w:rPr>
              <w:t>,</w:t>
            </w:r>
            <w:r>
              <w:rPr>
                <w:color w:val="000000"/>
                <w:lang w:eastAsia="de-AT"/>
              </w:rPr>
              <w:t>9</w:t>
            </w:r>
          </w:p>
        </w:tc>
        <w:tc>
          <w:tcPr>
            <w:tcW w:w="2835"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Alemania</w:t>
            </w:r>
          </w:p>
        </w:tc>
        <w:tc>
          <w:tcPr>
            <w:tcW w:w="1134" w:type="dxa"/>
            <w:tcBorders>
              <w:top w:val="single" w:sz="4" w:space="0" w:color="auto"/>
              <w:left w:val="single" w:sz="4" w:space="0" w:color="auto"/>
              <w:bottom w:val="single" w:sz="4" w:space="0" w:color="auto"/>
              <w:right w:val="nil"/>
            </w:tcBorders>
            <w:vAlign w:val="center"/>
          </w:tcPr>
          <w:p w:rsidR="00632912" w:rsidRDefault="00632912" w:rsidP="00632912">
            <w:pPr>
              <w:jc w:val="center"/>
              <w:rPr>
                <w:color w:val="000000"/>
                <w:sz w:val="24"/>
                <w:lang w:eastAsia="de-AT"/>
              </w:rPr>
            </w:pPr>
            <w:r>
              <w:rPr>
                <w:color w:val="000000"/>
                <w:lang w:eastAsia="de-AT"/>
              </w:rPr>
              <w:t>30</w:t>
            </w:r>
          </w:p>
        </w:tc>
      </w:tr>
      <w:tr w:rsidR="00200C88" w:rsidTr="00632912">
        <w:trPr>
          <w:trHeight w:hRule="exact" w:val="284"/>
        </w:trPr>
        <w:tc>
          <w:tcPr>
            <w:tcW w:w="2991" w:type="dxa"/>
            <w:tcBorders>
              <w:top w:val="single" w:sz="4" w:space="0" w:color="auto"/>
              <w:left w:val="nil"/>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Italia</w:t>
            </w:r>
          </w:p>
        </w:tc>
        <w:tc>
          <w:tcPr>
            <w:tcW w:w="1135" w:type="dxa"/>
            <w:tcBorders>
              <w:top w:val="single" w:sz="4" w:space="0" w:color="auto"/>
              <w:left w:val="single" w:sz="4" w:space="0" w:color="auto"/>
              <w:bottom w:val="single" w:sz="4" w:space="0" w:color="auto"/>
              <w:right w:val="single" w:sz="4" w:space="0" w:color="auto"/>
            </w:tcBorders>
            <w:vAlign w:val="center"/>
          </w:tcPr>
          <w:p w:rsidR="00632912" w:rsidRDefault="00632912" w:rsidP="00A423BE">
            <w:pPr>
              <w:jc w:val="center"/>
              <w:rPr>
                <w:color w:val="000000"/>
                <w:sz w:val="24"/>
                <w:lang w:eastAsia="de-AT"/>
              </w:rPr>
            </w:pPr>
            <w:r>
              <w:rPr>
                <w:color w:val="000000"/>
                <w:lang w:eastAsia="de-AT"/>
              </w:rPr>
              <w:t>6</w:t>
            </w:r>
            <w:r w:rsidR="00A423BE">
              <w:rPr>
                <w:color w:val="000000"/>
                <w:lang w:eastAsia="de-AT"/>
              </w:rPr>
              <w:t>,</w:t>
            </w:r>
            <w:r>
              <w:rPr>
                <w:color w:val="000000"/>
                <w:lang w:eastAsia="de-AT"/>
              </w:rPr>
              <w:t>1</w:t>
            </w:r>
          </w:p>
        </w:tc>
        <w:tc>
          <w:tcPr>
            <w:tcW w:w="2835"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Estados Unidos</w:t>
            </w:r>
          </w:p>
        </w:tc>
        <w:tc>
          <w:tcPr>
            <w:tcW w:w="1134" w:type="dxa"/>
            <w:tcBorders>
              <w:top w:val="single" w:sz="4" w:space="0" w:color="auto"/>
              <w:left w:val="single" w:sz="4" w:space="0" w:color="auto"/>
              <w:bottom w:val="single" w:sz="4" w:space="0" w:color="auto"/>
              <w:right w:val="nil"/>
            </w:tcBorders>
            <w:vAlign w:val="center"/>
          </w:tcPr>
          <w:p w:rsidR="00632912" w:rsidRDefault="00632912" w:rsidP="00A423BE">
            <w:pPr>
              <w:jc w:val="center"/>
              <w:rPr>
                <w:color w:val="000000"/>
                <w:sz w:val="24"/>
                <w:lang w:eastAsia="de-AT"/>
              </w:rPr>
            </w:pPr>
            <w:r>
              <w:rPr>
                <w:color w:val="000000"/>
                <w:lang w:eastAsia="de-AT"/>
              </w:rPr>
              <w:t>6</w:t>
            </w:r>
            <w:r w:rsidR="00A423BE">
              <w:rPr>
                <w:color w:val="000000"/>
                <w:lang w:eastAsia="de-AT"/>
              </w:rPr>
              <w:t>,</w:t>
            </w:r>
            <w:r>
              <w:rPr>
                <w:color w:val="000000"/>
                <w:lang w:eastAsia="de-AT"/>
              </w:rPr>
              <w:t>9</w:t>
            </w:r>
          </w:p>
        </w:tc>
      </w:tr>
      <w:tr w:rsidR="00200C88" w:rsidTr="00632912">
        <w:trPr>
          <w:trHeight w:hRule="exact" w:val="284"/>
        </w:trPr>
        <w:tc>
          <w:tcPr>
            <w:tcW w:w="2991" w:type="dxa"/>
            <w:tcBorders>
              <w:top w:val="single" w:sz="4" w:space="0" w:color="auto"/>
              <w:left w:val="nil"/>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China</w:t>
            </w:r>
          </w:p>
        </w:tc>
        <w:tc>
          <w:tcPr>
            <w:tcW w:w="1135"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jc w:val="center"/>
              <w:rPr>
                <w:color w:val="000000"/>
                <w:sz w:val="24"/>
                <w:lang w:eastAsia="de-AT"/>
              </w:rPr>
            </w:pPr>
            <w:r>
              <w:rPr>
                <w:color w:val="000000"/>
                <w:lang w:eastAsia="de-AT"/>
              </w:rPr>
              <w:t>6</w:t>
            </w:r>
          </w:p>
        </w:tc>
        <w:tc>
          <w:tcPr>
            <w:tcW w:w="2835"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Italia</w:t>
            </w:r>
          </w:p>
        </w:tc>
        <w:tc>
          <w:tcPr>
            <w:tcW w:w="1134" w:type="dxa"/>
            <w:tcBorders>
              <w:top w:val="single" w:sz="4" w:space="0" w:color="auto"/>
              <w:left w:val="single" w:sz="4" w:space="0" w:color="auto"/>
              <w:bottom w:val="single" w:sz="4" w:space="0" w:color="auto"/>
              <w:right w:val="nil"/>
            </w:tcBorders>
            <w:vAlign w:val="center"/>
          </w:tcPr>
          <w:p w:rsidR="00632912" w:rsidRDefault="00632912" w:rsidP="00A423BE">
            <w:pPr>
              <w:jc w:val="center"/>
              <w:rPr>
                <w:color w:val="000000"/>
                <w:sz w:val="24"/>
                <w:lang w:eastAsia="de-AT"/>
              </w:rPr>
            </w:pPr>
            <w:r>
              <w:rPr>
                <w:color w:val="000000"/>
                <w:lang w:eastAsia="de-AT"/>
              </w:rPr>
              <w:t>6</w:t>
            </w:r>
            <w:r w:rsidR="00A423BE">
              <w:rPr>
                <w:color w:val="000000"/>
                <w:lang w:eastAsia="de-AT"/>
              </w:rPr>
              <w:t>,</w:t>
            </w:r>
            <w:r>
              <w:rPr>
                <w:color w:val="000000"/>
                <w:lang w:eastAsia="de-AT"/>
              </w:rPr>
              <w:t>3</w:t>
            </w:r>
          </w:p>
        </w:tc>
      </w:tr>
      <w:tr w:rsidR="00200C88" w:rsidTr="00632912">
        <w:trPr>
          <w:trHeight w:hRule="exact" w:val="284"/>
        </w:trPr>
        <w:tc>
          <w:tcPr>
            <w:tcW w:w="2991" w:type="dxa"/>
            <w:tcBorders>
              <w:top w:val="single" w:sz="4" w:space="0" w:color="auto"/>
              <w:left w:val="nil"/>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Suiza</w:t>
            </w:r>
          </w:p>
        </w:tc>
        <w:tc>
          <w:tcPr>
            <w:tcW w:w="1135" w:type="dxa"/>
            <w:tcBorders>
              <w:top w:val="single" w:sz="4" w:space="0" w:color="auto"/>
              <w:left w:val="single" w:sz="4" w:space="0" w:color="auto"/>
              <w:bottom w:val="single" w:sz="4" w:space="0" w:color="auto"/>
              <w:right w:val="single" w:sz="4" w:space="0" w:color="auto"/>
            </w:tcBorders>
            <w:vAlign w:val="center"/>
          </w:tcPr>
          <w:p w:rsidR="00632912" w:rsidRDefault="00632912" w:rsidP="00A423BE">
            <w:pPr>
              <w:jc w:val="center"/>
              <w:rPr>
                <w:color w:val="000000"/>
                <w:sz w:val="24"/>
                <w:lang w:eastAsia="de-AT"/>
              </w:rPr>
            </w:pPr>
            <w:r>
              <w:rPr>
                <w:color w:val="000000"/>
                <w:lang w:eastAsia="de-AT"/>
              </w:rPr>
              <w:t>5</w:t>
            </w:r>
            <w:r w:rsidR="00A423BE">
              <w:rPr>
                <w:color w:val="000000"/>
                <w:lang w:eastAsia="de-AT"/>
              </w:rPr>
              <w:t>,</w:t>
            </w:r>
            <w:r>
              <w:rPr>
                <w:color w:val="000000"/>
                <w:lang w:eastAsia="de-AT"/>
              </w:rPr>
              <w:t>6</w:t>
            </w:r>
          </w:p>
        </w:tc>
        <w:tc>
          <w:tcPr>
            <w:tcW w:w="2835"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Suiza</w:t>
            </w:r>
          </w:p>
        </w:tc>
        <w:tc>
          <w:tcPr>
            <w:tcW w:w="1134" w:type="dxa"/>
            <w:tcBorders>
              <w:top w:val="single" w:sz="4" w:space="0" w:color="auto"/>
              <w:left w:val="single" w:sz="4" w:space="0" w:color="auto"/>
              <w:bottom w:val="single" w:sz="4" w:space="0" w:color="auto"/>
              <w:right w:val="nil"/>
            </w:tcBorders>
            <w:vAlign w:val="center"/>
          </w:tcPr>
          <w:p w:rsidR="00632912" w:rsidRDefault="00632912" w:rsidP="00A423BE">
            <w:pPr>
              <w:jc w:val="center"/>
              <w:rPr>
                <w:color w:val="000000"/>
                <w:sz w:val="24"/>
                <w:lang w:eastAsia="de-AT"/>
              </w:rPr>
            </w:pPr>
            <w:r>
              <w:rPr>
                <w:color w:val="000000"/>
                <w:lang w:eastAsia="de-AT"/>
              </w:rPr>
              <w:t>5</w:t>
            </w:r>
            <w:r w:rsidR="00A423BE">
              <w:rPr>
                <w:color w:val="000000"/>
                <w:lang w:eastAsia="de-AT"/>
              </w:rPr>
              <w:t>,</w:t>
            </w:r>
            <w:r>
              <w:rPr>
                <w:color w:val="000000"/>
                <w:lang w:eastAsia="de-AT"/>
              </w:rPr>
              <w:t>4</w:t>
            </w:r>
          </w:p>
        </w:tc>
      </w:tr>
      <w:tr w:rsidR="00200C88" w:rsidTr="00632912">
        <w:trPr>
          <w:trHeight w:hRule="exact" w:val="284"/>
        </w:trPr>
        <w:tc>
          <w:tcPr>
            <w:tcW w:w="2991" w:type="dxa"/>
            <w:tcBorders>
              <w:top w:val="single" w:sz="4" w:space="0" w:color="auto"/>
              <w:left w:val="nil"/>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República Checa</w:t>
            </w:r>
          </w:p>
        </w:tc>
        <w:tc>
          <w:tcPr>
            <w:tcW w:w="1135" w:type="dxa"/>
            <w:tcBorders>
              <w:top w:val="single" w:sz="4" w:space="0" w:color="auto"/>
              <w:left w:val="single" w:sz="4" w:space="0" w:color="auto"/>
              <w:bottom w:val="single" w:sz="4" w:space="0" w:color="auto"/>
              <w:right w:val="single" w:sz="4" w:space="0" w:color="auto"/>
            </w:tcBorders>
            <w:vAlign w:val="center"/>
          </w:tcPr>
          <w:p w:rsidR="00632912" w:rsidRDefault="00632912" w:rsidP="00A423BE">
            <w:pPr>
              <w:jc w:val="center"/>
              <w:rPr>
                <w:color w:val="000000"/>
                <w:sz w:val="24"/>
                <w:lang w:eastAsia="de-AT"/>
              </w:rPr>
            </w:pPr>
            <w:r>
              <w:rPr>
                <w:color w:val="000000"/>
                <w:lang w:eastAsia="de-AT"/>
              </w:rPr>
              <w:t>4</w:t>
            </w:r>
            <w:r w:rsidR="00A423BE">
              <w:rPr>
                <w:color w:val="000000"/>
                <w:lang w:eastAsia="de-AT"/>
              </w:rPr>
              <w:t>,</w:t>
            </w:r>
            <w:r>
              <w:rPr>
                <w:color w:val="000000"/>
                <w:lang w:eastAsia="de-AT"/>
              </w:rPr>
              <w:t>2</w:t>
            </w:r>
          </w:p>
        </w:tc>
        <w:tc>
          <w:tcPr>
            <w:tcW w:w="2835"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Francia</w:t>
            </w:r>
          </w:p>
        </w:tc>
        <w:tc>
          <w:tcPr>
            <w:tcW w:w="1134" w:type="dxa"/>
            <w:tcBorders>
              <w:top w:val="single" w:sz="4" w:space="0" w:color="auto"/>
              <w:left w:val="single" w:sz="4" w:space="0" w:color="auto"/>
              <w:bottom w:val="single" w:sz="4" w:space="0" w:color="auto"/>
              <w:right w:val="nil"/>
            </w:tcBorders>
            <w:vAlign w:val="center"/>
          </w:tcPr>
          <w:p w:rsidR="00632912" w:rsidRDefault="00632912" w:rsidP="00A423BE">
            <w:pPr>
              <w:jc w:val="center"/>
              <w:rPr>
                <w:color w:val="000000"/>
                <w:sz w:val="24"/>
                <w:lang w:eastAsia="de-AT"/>
              </w:rPr>
            </w:pPr>
            <w:r>
              <w:rPr>
                <w:color w:val="000000"/>
                <w:lang w:eastAsia="de-AT"/>
              </w:rPr>
              <w:t>4</w:t>
            </w:r>
            <w:r w:rsidR="00A423BE">
              <w:rPr>
                <w:color w:val="000000"/>
                <w:lang w:eastAsia="de-AT"/>
              </w:rPr>
              <w:t>,</w:t>
            </w:r>
            <w:r>
              <w:rPr>
                <w:color w:val="000000"/>
                <w:lang w:eastAsia="de-AT"/>
              </w:rPr>
              <w:t>5</w:t>
            </w:r>
          </w:p>
        </w:tc>
      </w:tr>
      <w:tr w:rsidR="00200C88" w:rsidTr="00632912">
        <w:trPr>
          <w:trHeight w:hRule="exact" w:val="284"/>
        </w:trPr>
        <w:tc>
          <w:tcPr>
            <w:tcW w:w="2991" w:type="dxa"/>
            <w:tcBorders>
              <w:top w:val="single" w:sz="4" w:space="0" w:color="auto"/>
              <w:left w:val="nil"/>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Estados Unidos</w:t>
            </w:r>
          </w:p>
        </w:tc>
        <w:tc>
          <w:tcPr>
            <w:tcW w:w="1135" w:type="dxa"/>
            <w:tcBorders>
              <w:top w:val="single" w:sz="4" w:space="0" w:color="auto"/>
              <w:left w:val="single" w:sz="4" w:space="0" w:color="auto"/>
              <w:bottom w:val="single" w:sz="4" w:space="0" w:color="auto"/>
              <w:right w:val="single" w:sz="4" w:space="0" w:color="auto"/>
            </w:tcBorders>
            <w:vAlign w:val="center"/>
          </w:tcPr>
          <w:p w:rsidR="00632912" w:rsidRDefault="00632912" w:rsidP="00A423BE">
            <w:pPr>
              <w:jc w:val="center"/>
              <w:rPr>
                <w:color w:val="000000"/>
                <w:sz w:val="24"/>
                <w:lang w:eastAsia="de-AT"/>
              </w:rPr>
            </w:pPr>
            <w:r>
              <w:rPr>
                <w:color w:val="000000"/>
                <w:lang w:eastAsia="de-AT"/>
              </w:rPr>
              <w:t>3</w:t>
            </w:r>
            <w:r w:rsidR="00A423BE">
              <w:rPr>
                <w:color w:val="000000"/>
                <w:lang w:eastAsia="de-AT"/>
              </w:rPr>
              <w:t>,</w:t>
            </w:r>
            <w:r>
              <w:rPr>
                <w:color w:val="000000"/>
                <w:lang w:eastAsia="de-AT"/>
              </w:rPr>
              <w:t>9</w:t>
            </w:r>
          </w:p>
        </w:tc>
        <w:tc>
          <w:tcPr>
            <w:tcW w:w="2835"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República Checa</w:t>
            </w:r>
          </w:p>
        </w:tc>
        <w:tc>
          <w:tcPr>
            <w:tcW w:w="1134" w:type="dxa"/>
            <w:tcBorders>
              <w:top w:val="single" w:sz="4" w:space="0" w:color="auto"/>
              <w:left w:val="single" w:sz="4" w:space="0" w:color="auto"/>
              <w:bottom w:val="single" w:sz="4" w:space="0" w:color="auto"/>
              <w:right w:val="nil"/>
            </w:tcBorders>
            <w:vAlign w:val="center"/>
          </w:tcPr>
          <w:p w:rsidR="00632912" w:rsidRDefault="00632912" w:rsidP="00A423BE">
            <w:pPr>
              <w:jc w:val="center"/>
              <w:rPr>
                <w:color w:val="000000"/>
                <w:sz w:val="24"/>
                <w:lang w:eastAsia="de-AT"/>
              </w:rPr>
            </w:pPr>
            <w:r>
              <w:rPr>
                <w:color w:val="000000"/>
                <w:lang w:eastAsia="de-AT"/>
              </w:rPr>
              <w:t>3</w:t>
            </w:r>
            <w:r w:rsidR="00A423BE">
              <w:rPr>
                <w:color w:val="000000"/>
                <w:lang w:eastAsia="de-AT"/>
              </w:rPr>
              <w:t>,</w:t>
            </w:r>
            <w:r>
              <w:rPr>
                <w:color w:val="000000"/>
                <w:lang w:eastAsia="de-AT"/>
              </w:rPr>
              <w:t>6</w:t>
            </w:r>
          </w:p>
        </w:tc>
      </w:tr>
      <w:tr w:rsidR="00200C88" w:rsidTr="00632912">
        <w:trPr>
          <w:trHeight w:hRule="exact" w:val="284"/>
        </w:trPr>
        <w:tc>
          <w:tcPr>
            <w:tcW w:w="2991" w:type="dxa"/>
            <w:tcBorders>
              <w:top w:val="single" w:sz="4" w:space="0" w:color="auto"/>
              <w:left w:val="nil"/>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Francia</w:t>
            </w:r>
          </w:p>
        </w:tc>
        <w:tc>
          <w:tcPr>
            <w:tcW w:w="1135" w:type="dxa"/>
            <w:tcBorders>
              <w:top w:val="single" w:sz="4" w:space="0" w:color="auto"/>
              <w:left w:val="single" w:sz="4" w:space="0" w:color="auto"/>
              <w:bottom w:val="single" w:sz="4" w:space="0" w:color="auto"/>
              <w:right w:val="single" w:sz="4" w:space="0" w:color="auto"/>
            </w:tcBorders>
            <w:vAlign w:val="center"/>
          </w:tcPr>
          <w:p w:rsidR="00632912" w:rsidRDefault="00632912" w:rsidP="00A423BE">
            <w:pPr>
              <w:jc w:val="center"/>
              <w:rPr>
                <w:color w:val="000000"/>
                <w:sz w:val="24"/>
                <w:lang w:eastAsia="de-AT"/>
              </w:rPr>
            </w:pPr>
            <w:r>
              <w:rPr>
                <w:color w:val="000000"/>
                <w:lang w:eastAsia="de-AT"/>
              </w:rPr>
              <w:t>2</w:t>
            </w:r>
            <w:r w:rsidR="00A423BE">
              <w:rPr>
                <w:color w:val="000000"/>
                <w:lang w:eastAsia="de-AT"/>
              </w:rPr>
              <w:t>,</w:t>
            </w:r>
            <w:r>
              <w:rPr>
                <w:color w:val="000000"/>
                <w:lang w:eastAsia="de-AT"/>
              </w:rPr>
              <w:t>7</w:t>
            </w:r>
          </w:p>
        </w:tc>
        <w:tc>
          <w:tcPr>
            <w:tcW w:w="2835"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Hungría</w:t>
            </w:r>
          </w:p>
        </w:tc>
        <w:tc>
          <w:tcPr>
            <w:tcW w:w="1134" w:type="dxa"/>
            <w:tcBorders>
              <w:top w:val="single" w:sz="4" w:space="0" w:color="auto"/>
              <w:left w:val="single" w:sz="4" w:space="0" w:color="auto"/>
              <w:bottom w:val="single" w:sz="4" w:space="0" w:color="auto"/>
              <w:right w:val="nil"/>
            </w:tcBorders>
            <w:vAlign w:val="center"/>
          </w:tcPr>
          <w:p w:rsidR="00632912" w:rsidRDefault="00632912" w:rsidP="00A423BE">
            <w:pPr>
              <w:jc w:val="center"/>
              <w:rPr>
                <w:color w:val="000000"/>
                <w:sz w:val="24"/>
                <w:lang w:eastAsia="de-AT"/>
              </w:rPr>
            </w:pPr>
            <w:r>
              <w:rPr>
                <w:color w:val="000000"/>
                <w:lang w:eastAsia="de-AT"/>
              </w:rPr>
              <w:t>3</w:t>
            </w:r>
            <w:r w:rsidR="00A423BE">
              <w:rPr>
                <w:color w:val="000000"/>
                <w:lang w:eastAsia="de-AT"/>
              </w:rPr>
              <w:t>,</w:t>
            </w:r>
            <w:r>
              <w:rPr>
                <w:color w:val="000000"/>
                <w:lang w:eastAsia="de-AT"/>
              </w:rPr>
              <w:t>3</w:t>
            </w:r>
          </w:p>
        </w:tc>
      </w:tr>
      <w:tr w:rsidR="00200C88" w:rsidTr="00632912">
        <w:trPr>
          <w:trHeight w:hRule="exact" w:val="284"/>
        </w:trPr>
        <w:tc>
          <w:tcPr>
            <w:tcW w:w="2991" w:type="dxa"/>
            <w:tcBorders>
              <w:top w:val="single" w:sz="4" w:space="0" w:color="auto"/>
              <w:left w:val="nil"/>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Países Bajos</w:t>
            </w:r>
          </w:p>
        </w:tc>
        <w:tc>
          <w:tcPr>
            <w:tcW w:w="1135" w:type="dxa"/>
            <w:tcBorders>
              <w:top w:val="single" w:sz="4" w:space="0" w:color="auto"/>
              <w:left w:val="single" w:sz="4" w:space="0" w:color="auto"/>
              <w:bottom w:val="single" w:sz="4" w:space="0" w:color="auto"/>
              <w:right w:val="single" w:sz="4" w:space="0" w:color="auto"/>
            </w:tcBorders>
            <w:vAlign w:val="center"/>
          </w:tcPr>
          <w:p w:rsidR="00632912" w:rsidRDefault="00632912" w:rsidP="00A423BE">
            <w:pPr>
              <w:jc w:val="center"/>
              <w:rPr>
                <w:color w:val="000000"/>
                <w:sz w:val="24"/>
                <w:lang w:eastAsia="de-AT"/>
              </w:rPr>
            </w:pPr>
            <w:r>
              <w:rPr>
                <w:color w:val="000000"/>
                <w:lang w:eastAsia="de-AT"/>
              </w:rPr>
              <w:t>2</w:t>
            </w:r>
            <w:r w:rsidR="00A423BE">
              <w:rPr>
                <w:color w:val="000000"/>
                <w:lang w:eastAsia="de-AT"/>
              </w:rPr>
              <w:t>,</w:t>
            </w:r>
            <w:r>
              <w:rPr>
                <w:color w:val="000000"/>
                <w:lang w:eastAsia="de-AT"/>
              </w:rPr>
              <w:t>6</w:t>
            </w:r>
          </w:p>
        </w:tc>
        <w:tc>
          <w:tcPr>
            <w:tcW w:w="2835"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Reino Unido</w:t>
            </w:r>
          </w:p>
        </w:tc>
        <w:tc>
          <w:tcPr>
            <w:tcW w:w="1134" w:type="dxa"/>
            <w:tcBorders>
              <w:top w:val="single" w:sz="4" w:space="0" w:color="auto"/>
              <w:left w:val="single" w:sz="4" w:space="0" w:color="auto"/>
              <w:bottom w:val="single" w:sz="4" w:space="0" w:color="auto"/>
              <w:right w:val="nil"/>
            </w:tcBorders>
            <w:vAlign w:val="center"/>
          </w:tcPr>
          <w:p w:rsidR="00632912" w:rsidRDefault="00632912" w:rsidP="00A423BE">
            <w:pPr>
              <w:jc w:val="center"/>
              <w:rPr>
                <w:color w:val="000000"/>
                <w:sz w:val="24"/>
                <w:lang w:eastAsia="de-AT"/>
              </w:rPr>
            </w:pPr>
            <w:r>
              <w:rPr>
                <w:color w:val="000000"/>
                <w:lang w:eastAsia="de-AT"/>
              </w:rPr>
              <w:t>3</w:t>
            </w:r>
            <w:r w:rsidR="00A423BE">
              <w:rPr>
                <w:color w:val="000000"/>
                <w:lang w:eastAsia="de-AT"/>
              </w:rPr>
              <w:t>,</w:t>
            </w:r>
            <w:r>
              <w:rPr>
                <w:color w:val="000000"/>
                <w:lang w:eastAsia="de-AT"/>
              </w:rPr>
              <w:t>2</w:t>
            </w:r>
          </w:p>
        </w:tc>
      </w:tr>
      <w:tr w:rsidR="00200C88" w:rsidTr="00632912">
        <w:trPr>
          <w:trHeight w:hRule="exact" w:val="284"/>
        </w:trPr>
        <w:tc>
          <w:tcPr>
            <w:tcW w:w="2991" w:type="dxa"/>
            <w:tcBorders>
              <w:top w:val="single" w:sz="4" w:space="0" w:color="auto"/>
              <w:left w:val="nil"/>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Hungría</w:t>
            </w:r>
          </w:p>
        </w:tc>
        <w:tc>
          <w:tcPr>
            <w:tcW w:w="1135" w:type="dxa"/>
            <w:tcBorders>
              <w:top w:val="single" w:sz="4" w:space="0" w:color="auto"/>
              <w:left w:val="single" w:sz="4" w:space="0" w:color="auto"/>
              <w:bottom w:val="single" w:sz="4" w:space="0" w:color="auto"/>
              <w:right w:val="single" w:sz="4" w:space="0" w:color="auto"/>
            </w:tcBorders>
            <w:vAlign w:val="center"/>
          </w:tcPr>
          <w:p w:rsidR="00632912" w:rsidRDefault="00632912" w:rsidP="00A423BE">
            <w:pPr>
              <w:jc w:val="center"/>
              <w:rPr>
                <w:color w:val="000000"/>
                <w:sz w:val="24"/>
                <w:lang w:eastAsia="de-AT"/>
              </w:rPr>
            </w:pPr>
            <w:r>
              <w:rPr>
                <w:color w:val="000000"/>
                <w:lang w:eastAsia="de-AT"/>
              </w:rPr>
              <w:t>2</w:t>
            </w:r>
            <w:r w:rsidR="00A423BE">
              <w:rPr>
                <w:color w:val="000000"/>
                <w:lang w:eastAsia="de-AT"/>
              </w:rPr>
              <w:t>,</w:t>
            </w:r>
            <w:r>
              <w:rPr>
                <w:color w:val="000000"/>
                <w:lang w:eastAsia="de-AT"/>
              </w:rPr>
              <w:t>6</w:t>
            </w:r>
          </w:p>
        </w:tc>
        <w:tc>
          <w:tcPr>
            <w:tcW w:w="2835"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Polonia</w:t>
            </w:r>
          </w:p>
        </w:tc>
        <w:tc>
          <w:tcPr>
            <w:tcW w:w="1134" w:type="dxa"/>
            <w:tcBorders>
              <w:top w:val="single" w:sz="4" w:space="0" w:color="auto"/>
              <w:left w:val="single" w:sz="4" w:space="0" w:color="auto"/>
              <w:bottom w:val="single" w:sz="4" w:space="0" w:color="auto"/>
              <w:right w:val="nil"/>
            </w:tcBorders>
            <w:vAlign w:val="center"/>
          </w:tcPr>
          <w:p w:rsidR="00632912" w:rsidRDefault="00632912" w:rsidP="00A423BE">
            <w:pPr>
              <w:jc w:val="center"/>
              <w:rPr>
                <w:color w:val="000000"/>
                <w:sz w:val="24"/>
                <w:lang w:eastAsia="de-AT"/>
              </w:rPr>
            </w:pPr>
            <w:r>
              <w:rPr>
                <w:color w:val="000000"/>
                <w:lang w:eastAsia="de-AT"/>
              </w:rPr>
              <w:t>3</w:t>
            </w:r>
            <w:r w:rsidR="00A423BE">
              <w:rPr>
                <w:color w:val="000000"/>
                <w:lang w:eastAsia="de-AT"/>
              </w:rPr>
              <w:t>,</w:t>
            </w:r>
            <w:r>
              <w:rPr>
                <w:color w:val="000000"/>
                <w:lang w:eastAsia="de-AT"/>
              </w:rPr>
              <w:t>2</w:t>
            </w:r>
          </w:p>
        </w:tc>
      </w:tr>
      <w:tr w:rsidR="00200C88" w:rsidTr="00632912">
        <w:trPr>
          <w:trHeight w:hRule="exact" w:val="284"/>
        </w:trPr>
        <w:tc>
          <w:tcPr>
            <w:tcW w:w="2991" w:type="dxa"/>
            <w:tcBorders>
              <w:top w:val="single" w:sz="4" w:space="0" w:color="auto"/>
              <w:left w:val="nil"/>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Polonia</w:t>
            </w:r>
          </w:p>
        </w:tc>
        <w:tc>
          <w:tcPr>
            <w:tcW w:w="1135" w:type="dxa"/>
            <w:tcBorders>
              <w:top w:val="single" w:sz="4" w:space="0" w:color="auto"/>
              <w:left w:val="single" w:sz="4" w:space="0" w:color="auto"/>
              <w:bottom w:val="single" w:sz="4" w:space="0" w:color="auto"/>
              <w:right w:val="single" w:sz="4" w:space="0" w:color="auto"/>
            </w:tcBorders>
            <w:vAlign w:val="center"/>
          </w:tcPr>
          <w:p w:rsidR="00632912" w:rsidRDefault="00632912" w:rsidP="00A423BE">
            <w:pPr>
              <w:jc w:val="center"/>
              <w:rPr>
                <w:color w:val="000000"/>
                <w:sz w:val="24"/>
                <w:lang w:eastAsia="de-AT"/>
              </w:rPr>
            </w:pPr>
            <w:r>
              <w:rPr>
                <w:color w:val="000000"/>
                <w:lang w:eastAsia="de-AT"/>
              </w:rPr>
              <w:t>2</w:t>
            </w:r>
            <w:r w:rsidR="00A423BE">
              <w:rPr>
                <w:color w:val="000000"/>
                <w:lang w:eastAsia="de-AT"/>
              </w:rPr>
              <w:t>,</w:t>
            </w:r>
            <w:r>
              <w:rPr>
                <w:color w:val="000000"/>
                <w:lang w:eastAsia="de-AT"/>
              </w:rPr>
              <w:t>2</w:t>
            </w:r>
          </w:p>
        </w:tc>
        <w:tc>
          <w:tcPr>
            <w:tcW w:w="2835"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China</w:t>
            </w:r>
          </w:p>
        </w:tc>
        <w:tc>
          <w:tcPr>
            <w:tcW w:w="1134" w:type="dxa"/>
            <w:tcBorders>
              <w:top w:val="single" w:sz="4" w:space="0" w:color="auto"/>
              <w:left w:val="single" w:sz="4" w:space="0" w:color="auto"/>
              <w:bottom w:val="single" w:sz="4" w:space="0" w:color="auto"/>
              <w:right w:val="nil"/>
            </w:tcBorders>
            <w:vAlign w:val="center"/>
          </w:tcPr>
          <w:p w:rsidR="00632912" w:rsidRDefault="00632912" w:rsidP="00A423BE">
            <w:pPr>
              <w:jc w:val="center"/>
              <w:rPr>
                <w:color w:val="000000"/>
                <w:sz w:val="24"/>
                <w:lang w:eastAsia="de-AT"/>
              </w:rPr>
            </w:pPr>
            <w:r>
              <w:rPr>
                <w:color w:val="000000"/>
                <w:lang w:eastAsia="de-AT"/>
              </w:rPr>
              <w:t>2</w:t>
            </w:r>
            <w:r w:rsidR="00A423BE">
              <w:rPr>
                <w:color w:val="000000"/>
                <w:lang w:eastAsia="de-AT"/>
              </w:rPr>
              <w:t>,</w:t>
            </w:r>
            <w:r>
              <w:rPr>
                <w:color w:val="000000"/>
                <w:lang w:eastAsia="de-AT"/>
              </w:rPr>
              <w:t>5</w:t>
            </w:r>
          </w:p>
        </w:tc>
      </w:tr>
      <w:tr w:rsidR="00200C88" w:rsidTr="00632912">
        <w:trPr>
          <w:trHeight w:hRule="exact" w:val="284"/>
        </w:trPr>
        <w:tc>
          <w:tcPr>
            <w:tcW w:w="2991" w:type="dxa"/>
            <w:tcBorders>
              <w:top w:val="single" w:sz="4" w:space="0" w:color="auto"/>
              <w:left w:val="nil"/>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Eslovaquia</w:t>
            </w:r>
          </w:p>
        </w:tc>
        <w:tc>
          <w:tcPr>
            <w:tcW w:w="1135" w:type="dxa"/>
            <w:tcBorders>
              <w:top w:val="single" w:sz="4" w:space="0" w:color="auto"/>
              <w:left w:val="single" w:sz="4" w:space="0" w:color="auto"/>
              <w:bottom w:val="single" w:sz="4" w:space="0" w:color="auto"/>
              <w:right w:val="single" w:sz="4" w:space="0" w:color="auto"/>
            </w:tcBorders>
            <w:vAlign w:val="center"/>
          </w:tcPr>
          <w:p w:rsidR="00632912" w:rsidRDefault="00632912" w:rsidP="00A423BE">
            <w:pPr>
              <w:jc w:val="center"/>
              <w:rPr>
                <w:color w:val="000000"/>
                <w:sz w:val="24"/>
                <w:lang w:eastAsia="de-AT"/>
              </w:rPr>
            </w:pPr>
            <w:r>
              <w:rPr>
                <w:color w:val="000000"/>
                <w:lang w:eastAsia="de-AT"/>
              </w:rPr>
              <w:t>2</w:t>
            </w:r>
            <w:r w:rsidR="00A423BE">
              <w:rPr>
                <w:color w:val="000000"/>
                <w:lang w:eastAsia="de-AT"/>
              </w:rPr>
              <w:t>,</w:t>
            </w:r>
            <w:r>
              <w:rPr>
                <w:color w:val="000000"/>
                <w:lang w:eastAsia="de-AT"/>
              </w:rPr>
              <w:t>2</w:t>
            </w:r>
          </w:p>
        </w:tc>
        <w:tc>
          <w:tcPr>
            <w:tcW w:w="2835"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Eslovaquia</w:t>
            </w:r>
          </w:p>
        </w:tc>
        <w:tc>
          <w:tcPr>
            <w:tcW w:w="1134" w:type="dxa"/>
            <w:tcBorders>
              <w:top w:val="single" w:sz="4" w:space="0" w:color="auto"/>
              <w:left w:val="single" w:sz="4" w:space="0" w:color="auto"/>
              <w:bottom w:val="single" w:sz="4" w:space="0" w:color="auto"/>
              <w:right w:val="nil"/>
            </w:tcBorders>
            <w:vAlign w:val="center"/>
          </w:tcPr>
          <w:p w:rsidR="00632912" w:rsidRDefault="00A423BE" w:rsidP="00632912">
            <w:pPr>
              <w:jc w:val="center"/>
              <w:rPr>
                <w:color w:val="000000"/>
                <w:sz w:val="24"/>
                <w:lang w:eastAsia="de-AT"/>
              </w:rPr>
            </w:pPr>
            <w:r>
              <w:rPr>
                <w:color w:val="000000"/>
                <w:lang w:eastAsia="de-AT"/>
              </w:rPr>
              <w:t>2,</w:t>
            </w:r>
            <w:r w:rsidR="00632912">
              <w:rPr>
                <w:color w:val="000000"/>
                <w:lang w:eastAsia="de-AT"/>
              </w:rPr>
              <w:t>1</w:t>
            </w:r>
          </w:p>
        </w:tc>
      </w:tr>
      <w:tr w:rsidR="00200C88" w:rsidTr="00632912">
        <w:trPr>
          <w:trHeight w:hRule="exact" w:val="284"/>
        </w:trPr>
        <w:tc>
          <w:tcPr>
            <w:tcW w:w="2991" w:type="dxa"/>
            <w:tcBorders>
              <w:top w:val="single" w:sz="4" w:space="0" w:color="auto"/>
              <w:left w:val="nil"/>
              <w:bottom w:val="nil"/>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Reino Unido</w:t>
            </w:r>
          </w:p>
        </w:tc>
        <w:tc>
          <w:tcPr>
            <w:tcW w:w="1135" w:type="dxa"/>
            <w:tcBorders>
              <w:top w:val="single" w:sz="4" w:space="0" w:color="auto"/>
              <w:left w:val="single" w:sz="4" w:space="0" w:color="auto"/>
              <w:bottom w:val="nil"/>
              <w:right w:val="single" w:sz="4" w:space="0" w:color="auto"/>
            </w:tcBorders>
            <w:vAlign w:val="center"/>
          </w:tcPr>
          <w:p w:rsidR="00632912" w:rsidRDefault="00632912" w:rsidP="00A423BE">
            <w:pPr>
              <w:jc w:val="center"/>
              <w:rPr>
                <w:color w:val="000000"/>
                <w:sz w:val="24"/>
                <w:lang w:eastAsia="de-AT"/>
              </w:rPr>
            </w:pPr>
            <w:r>
              <w:rPr>
                <w:color w:val="000000"/>
                <w:lang w:eastAsia="de-AT"/>
              </w:rPr>
              <w:t>1</w:t>
            </w:r>
            <w:r w:rsidR="00A423BE">
              <w:rPr>
                <w:color w:val="000000"/>
                <w:lang w:eastAsia="de-AT"/>
              </w:rPr>
              <w:t>,</w:t>
            </w:r>
            <w:r>
              <w:rPr>
                <w:color w:val="000000"/>
                <w:lang w:eastAsia="de-AT"/>
              </w:rPr>
              <w:t>8</w:t>
            </w:r>
          </w:p>
        </w:tc>
        <w:tc>
          <w:tcPr>
            <w:tcW w:w="2835" w:type="dxa"/>
            <w:tcBorders>
              <w:top w:val="single" w:sz="4" w:space="0" w:color="auto"/>
              <w:left w:val="single" w:sz="4" w:space="0" w:color="auto"/>
              <w:bottom w:val="nil"/>
              <w:right w:val="single" w:sz="4" w:space="0" w:color="auto"/>
            </w:tcBorders>
            <w:vAlign w:val="center"/>
          </w:tcPr>
          <w:p w:rsidR="00632912" w:rsidRDefault="00632912" w:rsidP="00632912">
            <w:pPr>
              <w:rPr>
                <w:bCs/>
                <w:color w:val="000000"/>
                <w:sz w:val="24"/>
                <w:lang w:eastAsia="de-AT"/>
              </w:rPr>
            </w:pPr>
            <w:r>
              <w:rPr>
                <w:rFonts w:eastAsia="Arial"/>
                <w:bCs/>
                <w:color w:val="000000"/>
                <w:szCs w:val="22"/>
                <w:bdr w:val="nil"/>
                <w:lang w:val="es-ES" w:eastAsia="de-AT"/>
              </w:rPr>
              <w:t>Eslovenia</w:t>
            </w:r>
          </w:p>
        </w:tc>
        <w:tc>
          <w:tcPr>
            <w:tcW w:w="1134" w:type="dxa"/>
            <w:tcBorders>
              <w:top w:val="single" w:sz="4" w:space="0" w:color="auto"/>
              <w:left w:val="single" w:sz="4" w:space="0" w:color="auto"/>
              <w:bottom w:val="nil"/>
              <w:right w:val="nil"/>
            </w:tcBorders>
            <w:vAlign w:val="center"/>
          </w:tcPr>
          <w:p w:rsidR="00632912" w:rsidRDefault="00A423BE" w:rsidP="00632912">
            <w:pPr>
              <w:jc w:val="center"/>
              <w:rPr>
                <w:color w:val="000000"/>
                <w:sz w:val="24"/>
                <w:lang w:eastAsia="de-AT"/>
              </w:rPr>
            </w:pPr>
            <w:r>
              <w:rPr>
                <w:color w:val="000000"/>
                <w:lang w:eastAsia="de-AT"/>
              </w:rPr>
              <w:t>2,</w:t>
            </w:r>
            <w:r w:rsidR="00632912">
              <w:rPr>
                <w:color w:val="000000"/>
                <w:lang w:eastAsia="de-AT"/>
              </w:rPr>
              <w:t>1</w:t>
            </w:r>
          </w:p>
        </w:tc>
      </w:tr>
    </w:tbl>
    <w:p w:rsidR="00632912" w:rsidRDefault="00632912" w:rsidP="00632912">
      <w:pPr>
        <w:rPr>
          <w:lang w:val="de-DE" w:eastAsia="de-DE"/>
        </w:rPr>
      </w:pPr>
    </w:p>
    <w:p w:rsidR="00632912" w:rsidRDefault="00632912" w:rsidP="00632912">
      <w:pPr>
        <w:rPr>
          <w:lang w:val="de-DE" w:eastAsia="de-DE"/>
        </w:rPr>
      </w:pPr>
    </w:p>
    <w:p w:rsidR="00632912" w:rsidRDefault="00632912" w:rsidP="00632912">
      <w:pPr>
        <w:pStyle w:val="Sub-heading"/>
      </w:pPr>
      <w:r>
        <w:rPr>
          <w:rFonts w:eastAsia="Arial"/>
          <w:bCs/>
          <w:szCs w:val="22"/>
          <w:bdr w:val="nil"/>
          <w:lang w:val="es-ES"/>
        </w:rPr>
        <w:t>5.9 Información complementaria:</w:t>
      </w:r>
    </w:p>
    <w:p w:rsidR="00632912" w:rsidRPr="00EA7178" w:rsidRDefault="00632912" w:rsidP="00632912">
      <w:pPr>
        <w:rPr>
          <w:rStyle w:val="alt-edited"/>
          <w:lang w:val="es-ES"/>
        </w:rPr>
      </w:pPr>
      <w:r>
        <w:rPr>
          <w:rFonts w:eastAsia="Arial"/>
          <w:szCs w:val="22"/>
          <w:bdr w:val="nil"/>
          <w:lang w:val="es-ES"/>
        </w:rPr>
        <w:t xml:space="preserve">Actualmente se está desarrollando una nueva estrategia </w:t>
      </w:r>
      <w:r w:rsidR="00A423BE">
        <w:rPr>
          <w:rFonts w:eastAsia="Arial"/>
          <w:szCs w:val="22"/>
          <w:bdr w:val="nil"/>
          <w:lang w:val="es-ES"/>
        </w:rPr>
        <w:t xml:space="preserve">de P.I. </w:t>
      </w:r>
      <w:r>
        <w:rPr>
          <w:rFonts w:eastAsia="Arial"/>
          <w:szCs w:val="22"/>
          <w:bdr w:val="nil"/>
          <w:lang w:val="es-ES"/>
        </w:rPr>
        <w:t>que se prevé será aprobada por</w:t>
      </w:r>
      <w:r w:rsidR="008760EE">
        <w:rPr>
          <w:rFonts w:eastAsia="Arial"/>
          <w:szCs w:val="22"/>
          <w:bdr w:val="nil"/>
          <w:lang w:val="es-ES"/>
        </w:rPr>
        <w:t xml:space="preserve"> el Gobierno Federal en febrero</w:t>
      </w:r>
      <w:r>
        <w:rPr>
          <w:rFonts w:eastAsia="Arial"/>
          <w:szCs w:val="22"/>
          <w:bdr w:val="nil"/>
          <w:lang w:val="es-ES"/>
        </w:rPr>
        <w:t>.  La APO acogerá unos "servicios compartidos de P.I." y coordinará las actividades de las distintas partes interesadas en la propiedad intelectual.  Para más información, sírvase consultar el siguiente enlace:</w:t>
      </w:r>
    </w:p>
    <w:p w:rsidR="00632912" w:rsidRPr="00EA7178" w:rsidRDefault="00F401D2" w:rsidP="00632912">
      <w:pPr>
        <w:rPr>
          <w:lang w:val="es-ES"/>
        </w:rPr>
      </w:pPr>
      <w:hyperlink r:id="rId25" w:history="1">
        <w:r w:rsidR="00632912" w:rsidRPr="00EA7178">
          <w:rPr>
            <w:rFonts w:eastAsia="Arial"/>
            <w:szCs w:val="22"/>
            <w:bdr w:val="nil"/>
            <w:lang w:val="es-ES"/>
          </w:rPr>
          <w:t>http://archiv.bundeskanzleramt.at/DocView.axd?CobId=65314</w:t>
        </w:r>
      </w:hyperlink>
      <w:r w:rsidR="00632912" w:rsidRPr="00EA7178">
        <w:rPr>
          <w:rFonts w:eastAsia="Arial"/>
          <w:szCs w:val="22"/>
          <w:bdr w:val="nil"/>
          <w:lang w:val="es-ES"/>
        </w:rPr>
        <w:t xml:space="preserve"> </w:t>
      </w:r>
    </w:p>
    <w:p w:rsidR="00632912" w:rsidRPr="00EA7178" w:rsidRDefault="00632912" w:rsidP="00632912">
      <w:pPr>
        <w:rPr>
          <w:lang w:val="es-ES"/>
        </w:rPr>
      </w:pPr>
    </w:p>
    <w:p w:rsidR="00632912" w:rsidRPr="00632912" w:rsidRDefault="00632912" w:rsidP="00632912">
      <w:pPr>
        <w:rPr>
          <w:lang w:val="es-ES"/>
        </w:rPr>
      </w:pPr>
      <w:r>
        <w:rPr>
          <w:rFonts w:eastAsia="Arial"/>
          <w:szCs w:val="22"/>
          <w:bdr w:val="nil"/>
          <w:lang w:val="es-ES"/>
        </w:rPr>
        <w:t xml:space="preserve">La </w:t>
      </w:r>
      <w:r w:rsidR="008760EE">
        <w:rPr>
          <w:rFonts w:eastAsia="Arial"/>
          <w:szCs w:val="22"/>
          <w:bdr w:val="nil"/>
          <w:lang w:val="es-ES"/>
        </w:rPr>
        <w:t>“Es</w:t>
      </w:r>
      <w:r>
        <w:rPr>
          <w:rFonts w:eastAsia="Arial"/>
          <w:szCs w:val="22"/>
          <w:bdr w:val="nil"/>
          <w:lang w:val="es-ES"/>
        </w:rPr>
        <w:t xml:space="preserve">trategia </w:t>
      </w:r>
      <w:r w:rsidR="008760EE">
        <w:rPr>
          <w:rFonts w:eastAsia="Arial"/>
          <w:szCs w:val="22"/>
          <w:bdr w:val="nil"/>
          <w:lang w:val="es-ES"/>
        </w:rPr>
        <w:t xml:space="preserve"> de </w:t>
      </w:r>
      <w:r>
        <w:rPr>
          <w:rFonts w:eastAsia="Arial"/>
          <w:szCs w:val="22"/>
          <w:bdr w:val="nil"/>
          <w:lang w:val="es-ES"/>
        </w:rPr>
        <w:t xml:space="preserve">investigación, tecnología e innovación" </w:t>
      </w:r>
      <w:r w:rsidR="008760EE">
        <w:rPr>
          <w:rFonts w:eastAsia="Arial"/>
          <w:szCs w:val="22"/>
          <w:bdr w:val="nil"/>
          <w:lang w:val="es-ES"/>
        </w:rPr>
        <w:t xml:space="preserve">austriaca </w:t>
      </w:r>
      <w:r>
        <w:rPr>
          <w:rFonts w:eastAsia="Arial"/>
          <w:szCs w:val="22"/>
          <w:bdr w:val="nil"/>
          <w:lang w:val="es-ES"/>
        </w:rPr>
        <w:t xml:space="preserve">puede descargarse (en alemán) en el siguiente enlace: </w:t>
      </w:r>
      <w:hyperlink r:id="rId26" w:history="1">
        <w:r>
          <w:rPr>
            <w:rFonts w:eastAsia="Arial"/>
            <w:szCs w:val="22"/>
            <w:bdr w:val="nil"/>
            <w:lang w:val="es-ES"/>
          </w:rPr>
          <w:t>https://www.bmvit.gv.at/service/publikationen/innovation/forschungspolitik/downloads/fti_strategie.pdf</w:t>
        </w:r>
      </w:hyperlink>
      <w:r>
        <w:rPr>
          <w:rFonts w:eastAsia="Arial"/>
          <w:szCs w:val="22"/>
          <w:bdr w:val="nil"/>
          <w:lang w:val="es-ES"/>
        </w:rPr>
        <w:t xml:space="preserve"> </w:t>
      </w:r>
    </w:p>
    <w:p w:rsidR="00632912" w:rsidRPr="00632912" w:rsidRDefault="00632912" w:rsidP="00632912">
      <w:pPr>
        <w:rPr>
          <w:lang w:val="es-ES"/>
        </w:rPr>
      </w:pPr>
    </w:p>
    <w:p w:rsidR="00632912" w:rsidRPr="00632912" w:rsidRDefault="00632912" w:rsidP="00632912">
      <w:pPr>
        <w:rPr>
          <w:rStyle w:val="Hyperlink"/>
          <w:lang w:val="es-ES"/>
        </w:rPr>
      </w:pPr>
      <w:r>
        <w:rPr>
          <w:rFonts w:eastAsia="Arial"/>
          <w:szCs w:val="22"/>
          <w:bdr w:val="nil"/>
          <w:lang w:val="es-ES"/>
        </w:rPr>
        <w:t>La "Estrategia de i</w:t>
      </w:r>
      <w:r w:rsidR="008760EE">
        <w:rPr>
          <w:rFonts w:eastAsia="Arial"/>
          <w:szCs w:val="22"/>
          <w:bdr w:val="nil"/>
          <w:lang w:val="es-ES"/>
        </w:rPr>
        <w:t>nnovación abierta para Austria"</w:t>
      </w:r>
      <w:r>
        <w:rPr>
          <w:rFonts w:eastAsia="Arial"/>
          <w:szCs w:val="22"/>
          <w:bdr w:val="nil"/>
          <w:lang w:val="es-ES"/>
        </w:rPr>
        <w:t xml:space="preserve"> puede descargarse en el siguiente enlace: </w:t>
      </w:r>
      <w:hyperlink r:id="rId27" w:history="1">
        <w:r>
          <w:rPr>
            <w:rFonts w:eastAsia="Arial"/>
            <w:szCs w:val="22"/>
            <w:bdr w:val="nil"/>
            <w:lang w:val="es-ES"/>
          </w:rPr>
          <w:t>https://www.bmvit.gv.at/en/innovation/downloads/open_innovation_strategy_for_austria.pdf</w:t>
        </w:r>
      </w:hyperlink>
    </w:p>
    <w:p w:rsidR="00632912" w:rsidRPr="00632912" w:rsidRDefault="00632912" w:rsidP="00632912">
      <w:pPr>
        <w:rPr>
          <w:lang w:val="es-ES"/>
        </w:rPr>
      </w:pPr>
    </w:p>
    <w:p w:rsidR="00632912" w:rsidRPr="00632912" w:rsidRDefault="00632912" w:rsidP="00A423BE">
      <w:pPr>
        <w:pStyle w:val="22Standard"/>
        <w:ind w:left="0"/>
        <w:rPr>
          <w:i/>
          <w:noProof/>
          <w:lang w:val="es-ES" w:eastAsia="en-GB"/>
        </w:rPr>
      </w:pPr>
      <w:r w:rsidRPr="002826E0">
        <w:rPr>
          <w:i/>
          <w:noProof/>
          <w:lang w:eastAsia="en-US"/>
        </w:rPr>
        <w:drawing>
          <wp:anchor distT="0" distB="0" distL="114300" distR="114300" simplePos="0" relativeHeight="251658240" behindDoc="0" locked="0" layoutInCell="1" allowOverlap="1" wp14:anchorId="64AE6D29" wp14:editId="129EA1A1">
            <wp:simplePos x="0" y="0"/>
            <wp:positionH relativeFrom="column">
              <wp:posOffset>242570</wp:posOffset>
            </wp:positionH>
            <wp:positionV relativeFrom="paragraph">
              <wp:posOffset>480060</wp:posOffset>
            </wp:positionV>
            <wp:extent cx="3455035" cy="2440940"/>
            <wp:effectExtent l="0" t="0" r="0" b="0"/>
            <wp:wrapTopAndBottom/>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55035" cy="2440940"/>
                    </a:xfrm>
                    <a:prstGeom prst="rect">
                      <a:avLst/>
                    </a:prstGeom>
                    <a:noFill/>
                  </pic:spPr>
                </pic:pic>
              </a:graphicData>
            </a:graphic>
          </wp:anchor>
        </w:drawing>
      </w:r>
      <w:r>
        <w:rPr>
          <w:rFonts w:eastAsia="Arial"/>
          <w:i/>
          <w:iCs/>
          <w:noProof/>
          <w:szCs w:val="22"/>
          <w:bdr w:val="nil"/>
          <w:lang w:val="es-ES" w:eastAsia="fr-CH"/>
        </w:rPr>
        <w:t xml:space="preserve">Fuente:  Estrategia de Propiedad Intelectual </w:t>
      </w:r>
      <w:hyperlink r:id="rId29" w:history="1">
        <w:r>
          <w:rPr>
            <w:rFonts w:eastAsia="Arial"/>
            <w:i/>
            <w:iCs/>
            <w:noProof/>
            <w:szCs w:val="22"/>
            <w:bdr w:val="nil"/>
            <w:lang w:val="es-ES" w:eastAsia="fr-CH"/>
          </w:rPr>
          <w:t>http://archiv.bundeskanzleramt.at/DocView.axd?CobId=65314</w:t>
        </w:r>
      </w:hyperlink>
    </w:p>
    <w:p w:rsidR="00632912" w:rsidRPr="00632912" w:rsidRDefault="00632912" w:rsidP="00632912">
      <w:pPr>
        <w:rPr>
          <w:lang w:val="es-ES"/>
        </w:rPr>
      </w:pPr>
    </w:p>
    <w:p w:rsidR="00632912" w:rsidRPr="00632912" w:rsidRDefault="00632912" w:rsidP="00632912">
      <w:pPr>
        <w:pStyle w:val="SectionHeading"/>
        <w:rPr>
          <w:lang w:val="es-ES"/>
        </w:rPr>
      </w:pPr>
      <w:r>
        <w:rPr>
          <w:rFonts w:eastAsia="Arial"/>
          <w:szCs w:val="22"/>
          <w:bdr w:val="nil"/>
          <w:lang w:val="es-ES"/>
        </w:rPr>
        <w:t>6 – Perfil de las solicitudes de patentes</w:t>
      </w:r>
    </w:p>
    <w:p w:rsidR="00632912" w:rsidRPr="00632912" w:rsidRDefault="00632912" w:rsidP="00632912">
      <w:pPr>
        <w:pStyle w:val="Sub-heading"/>
        <w:rPr>
          <w:lang w:val="es-ES"/>
        </w:rPr>
      </w:pPr>
      <w:r>
        <w:rPr>
          <w:rFonts w:eastAsia="Arial"/>
          <w:bCs/>
          <w:szCs w:val="22"/>
          <w:bdr w:val="nil"/>
          <w:lang w:val="es-ES"/>
        </w:rPr>
        <w:t>Número de solicitudes nacionales recibidas </w:t>
      </w:r>
    </w:p>
    <w:tbl>
      <w:tblPr>
        <w:tblW w:w="8613" w:type="dxa"/>
        <w:tblBorders>
          <w:insideH w:val="single" w:sz="4" w:space="0" w:color="auto"/>
          <w:insideV w:val="single" w:sz="4" w:space="0" w:color="auto"/>
        </w:tblBorders>
        <w:tblLook w:val="04A0" w:firstRow="1" w:lastRow="0" w:firstColumn="1" w:lastColumn="0" w:noHBand="0" w:noVBand="1"/>
      </w:tblPr>
      <w:tblGrid>
        <w:gridCol w:w="4361"/>
        <w:gridCol w:w="1063"/>
        <w:gridCol w:w="1063"/>
        <w:gridCol w:w="1063"/>
        <w:gridCol w:w="1063"/>
      </w:tblGrid>
      <w:tr w:rsidR="00200C88" w:rsidTr="00632912">
        <w:trPr>
          <w:cantSplit/>
          <w:trHeight w:hRule="exact" w:val="284"/>
        </w:trPr>
        <w:tc>
          <w:tcPr>
            <w:tcW w:w="4361" w:type="dxa"/>
            <w:tcBorders>
              <w:top w:val="nil"/>
              <w:left w:val="nil"/>
              <w:bottom w:val="single" w:sz="4" w:space="0" w:color="auto"/>
              <w:right w:val="single" w:sz="4" w:space="0" w:color="auto"/>
            </w:tcBorders>
          </w:tcPr>
          <w:p w:rsidR="00632912" w:rsidRPr="00632912" w:rsidRDefault="00632912" w:rsidP="00632912">
            <w:pPr>
              <w:rPr>
                <w:b/>
                <w:bCs/>
                <w:sz w:val="24"/>
                <w:szCs w:val="24"/>
                <w:lang w:val="es-ES" w:eastAsia="de-DE"/>
              </w:rPr>
            </w:pPr>
          </w:p>
        </w:tc>
        <w:tc>
          <w:tcPr>
            <w:tcW w:w="1063" w:type="dxa"/>
            <w:tcBorders>
              <w:top w:val="nil"/>
              <w:left w:val="single" w:sz="4" w:space="0" w:color="auto"/>
              <w:bottom w:val="single" w:sz="4" w:space="0" w:color="auto"/>
              <w:right w:val="single" w:sz="4" w:space="0" w:color="auto"/>
            </w:tcBorders>
          </w:tcPr>
          <w:p w:rsidR="00632912" w:rsidRDefault="00632912" w:rsidP="00632912">
            <w:pPr>
              <w:jc w:val="center"/>
              <w:rPr>
                <w:b/>
                <w:sz w:val="24"/>
                <w:szCs w:val="24"/>
                <w:lang w:val="de-DE" w:eastAsia="de-DE"/>
              </w:rPr>
            </w:pPr>
            <w:r>
              <w:rPr>
                <w:b/>
              </w:rPr>
              <w:t>2012</w:t>
            </w:r>
          </w:p>
        </w:tc>
        <w:tc>
          <w:tcPr>
            <w:tcW w:w="1063" w:type="dxa"/>
            <w:tcBorders>
              <w:top w:val="nil"/>
              <w:left w:val="single" w:sz="4" w:space="0" w:color="auto"/>
              <w:bottom w:val="single" w:sz="4" w:space="0" w:color="auto"/>
              <w:right w:val="single" w:sz="4" w:space="0" w:color="auto"/>
            </w:tcBorders>
          </w:tcPr>
          <w:p w:rsidR="00632912" w:rsidRDefault="00632912" w:rsidP="00632912">
            <w:pPr>
              <w:jc w:val="center"/>
              <w:rPr>
                <w:b/>
                <w:sz w:val="24"/>
                <w:szCs w:val="24"/>
                <w:lang w:val="de-DE" w:eastAsia="de-DE"/>
              </w:rPr>
            </w:pPr>
            <w:r>
              <w:rPr>
                <w:b/>
              </w:rPr>
              <w:t>2013</w:t>
            </w:r>
          </w:p>
        </w:tc>
        <w:tc>
          <w:tcPr>
            <w:tcW w:w="1063" w:type="dxa"/>
            <w:tcBorders>
              <w:top w:val="nil"/>
              <w:left w:val="single" w:sz="4" w:space="0" w:color="auto"/>
              <w:bottom w:val="single" w:sz="4" w:space="0" w:color="auto"/>
              <w:right w:val="single" w:sz="4" w:space="0" w:color="auto"/>
            </w:tcBorders>
          </w:tcPr>
          <w:p w:rsidR="00632912" w:rsidRDefault="00632912" w:rsidP="00632912">
            <w:pPr>
              <w:jc w:val="center"/>
              <w:rPr>
                <w:b/>
                <w:sz w:val="24"/>
                <w:szCs w:val="24"/>
                <w:lang w:val="de-DE" w:eastAsia="de-DE"/>
              </w:rPr>
            </w:pPr>
            <w:r>
              <w:rPr>
                <w:b/>
              </w:rPr>
              <w:t>2014</w:t>
            </w:r>
          </w:p>
        </w:tc>
        <w:tc>
          <w:tcPr>
            <w:tcW w:w="1063" w:type="dxa"/>
            <w:tcBorders>
              <w:top w:val="nil"/>
              <w:left w:val="single" w:sz="4" w:space="0" w:color="auto"/>
              <w:bottom w:val="single" w:sz="4" w:space="0" w:color="auto"/>
              <w:right w:val="nil"/>
            </w:tcBorders>
          </w:tcPr>
          <w:p w:rsidR="00632912" w:rsidRDefault="00632912" w:rsidP="00632912">
            <w:pPr>
              <w:jc w:val="center"/>
              <w:rPr>
                <w:b/>
                <w:sz w:val="24"/>
                <w:szCs w:val="24"/>
                <w:lang w:val="de-DE" w:eastAsia="de-DE"/>
              </w:rPr>
            </w:pPr>
            <w:r>
              <w:rPr>
                <w:b/>
              </w:rPr>
              <w:t>2015</w:t>
            </w:r>
          </w:p>
        </w:tc>
      </w:tr>
      <w:tr w:rsidR="00200C88" w:rsidTr="00632912">
        <w:trPr>
          <w:cantSplit/>
          <w:trHeight w:hRule="exact" w:val="284"/>
        </w:trPr>
        <w:tc>
          <w:tcPr>
            <w:tcW w:w="4361" w:type="dxa"/>
            <w:tcBorders>
              <w:top w:val="single" w:sz="4" w:space="0" w:color="auto"/>
              <w:left w:val="nil"/>
              <w:bottom w:val="single" w:sz="4" w:space="0" w:color="auto"/>
              <w:right w:val="single" w:sz="4" w:space="0" w:color="auto"/>
            </w:tcBorders>
          </w:tcPr>
          <w:p w:rsidR="00632912" w:rsidRDefault="00632912" w:rsidP="00632912">
            <w:pPr>
              <w:rPr>
                <w:sz w:val="6"/>
                <w:szCs w:val="24"/>
                <w:lang w:val="de-DE" w:eastAsia="de-DE"/>
              </w:rPr>
            </w:pPr>
          </w:p>
        </w:tc>
        <w:tc>
          <w:tcPr>
            <w:tcW w:w="1063"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jc w:val="center"/>
              <w:rPr>
                <w:sz w:val="6"/>
                <w:szCs w:val="24"/>
                <w:lang w:val="de-DE" w:eastAsia="de-DE"/>
              </w:rPr>
            </w:pPr>
          </w:p>
        </w:tc>
        <w:tc>
          <w:tcPr>
            <w:tcW w:w="1063"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jc w:val="center"/>
              <w:rPr>
                <w:sz w:val="6"/>
                <w:szCs w:val="24"/>
                <w:lang w:val="de-DE" w:eastAsia="de-DE"/>
              </w:rPr>
            </w:pPr>
          </w:p>
        </w:tc>
        <w:tc>
          <w:tcPr>
            <w:tcW w:w="1063"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jc w:val="center"/>
              <w:rPr>
                <w:sz w:val="6"/>
                <w:szCs w:val="24"/>
                <w:lang w:val="de-DE" w:eastAsia="de-DE"/>
              </w:rPr>
            </w:pPr>
          </w:p>
        </w:tc>
        <w:tc>
          <w:tcPr>
            <w:tcW w:w="1063" w:type="dxa"/>
            <w:tcBorders>
              <w:top w:val="single" w:sz="4" w:space="0" w:color="auto"/>
              <w:left w:val="single" w:sz="4" w:space="0" w:color="auto"/>
              <w:bottom w:val="single" w:sz="4" w:space="0" w:color="auto"/>
              <w:right w:val="nil"/>
            </w:tcBorders>
            <w:vAlign w:val="center"/>
          </w:tcPr>
          <w:p w:rsidR="00632912" w:rsidRDefault="00632912" w:rsidP="00632912">
            <w:pPr>
              <w:jc w:val="center"/>
              <w:rPr>
                <w:sz w:val="6"/>
                <w:szCs w:val="24"/>
                <w:lang w:val="de-DE" w:eastAsia="de-DE"/>
              </w:rPr>
            </w:pPr>
          </w:p>
        </w:tc>
      </w:tr>
      <w:tr w:rsidR="00200C88" w:rsidTr="00632912">
        <w:trPr>
          <w:cantSplit/>
          <w:trHeight w:hRule="exact" w:val="284"/>
        </w:trPr>
        <w:tc>
          <w:tcPr>
            <w:tcW w:w="4361" w:type="dxa"/>
            <w:tcBorders>
              <w:top w:val="single" w:sz="4" w:space="0" w:color="auto"/>
              <w:left w:val="nil"/>
              <w:bottom w:val="single" w:sz="4" w:space="0" w:color="auto"/>
              <w:right w:val="single" w:sz="4" w:space="0" w:color="auto"/>
            </w:tcBorders>
          </w:tcPr>
          <w:p w:rsidR="00632912" w:rsidRDefault="00632912" w:rsidP="00632912">
            <w:pPr>
              <w:rPr>
                <w:sz w:val="24"/>
                <w:szCs w:val="24"/>
                <w:lang w:val="de-DE" w:eastAsia="de-DE"/>
              </w:rPr>
            </w:pPr>
            <w:r>
              <w:rPr>
                <w:rFonts w:eastAsia="Arial"/>
                <w:szCs w:val="22"/>
                <w:bdr w:val="nil"/>
                <w:lang w:val="es-ES"/>
              </w:rPr>
              <w:t>Patente</w:t>
            </w:r>
            <w:r w:rsidR="00A423BE">
              <w:rPr>
                <w:rFonts w:eastAsia="Arial"/>
                <w:szCs w:val="22"/>
                <w:bdr w:val="nil"/>
                <w:lang w:val="es-ES"/>
              </w:rPr>
              <w:t>s</w:t>
            </w:r>
            <w:r>
              <w:rPr>
                <w:rFonts w:eastAsia="Arial"/>
                <w:szCs w:val="22"/>
                <w:bdr w:val="nil"/>
                <w:lang w:val="es-ES"/>
              </w:rPr>
              <w:t xml:space="preserve"> </w:t>
            </w:r>
          </w:p>
        </w:tc>
        <w:tc>
          <w:tcPr>
            <w:tcW w:w="1063" w:type="dxa"/>
            <w:tcBorders>
              <w:top w:val="single" w:sz="4" w:space="0" w:color="auto"/>
              <w:left w:val="single" w:sz="4" w:space="0" w:color="auto"/>
              <w:bottom w:val="single" w:sz="4" w:space="0" w:color="auto"/>
              <w:right w:val="single" w:sz="4" w:space="0" w:color="auto"/>
            </w:tcBorders>
            <w:tcMar>
              <w:right w:w="284" w:type="dxa"/>
            </w:tcMar>
            <w:vAlign w:val="center"/>
          </w:tcPr>
          <w:p w:rsidR="00632912" w:rsidRDefault="00632912" w:rsidP="00A423BE">
            <w:pPr>
              <w:jc w:val="right"/>
              <w:rPr>
                <w:sz w:val="24"/>
                <w:szCs w:val="24"/>
                <w:lang w:val="de-DE" w:eastAsia="de-DE"/>
              </w:rPr>
            </w:pPr>
            <w:r>
              <w:t>2</w:t>
            </w:r>
            <w:r w:rsidR="00A423BE">
              <w:t>.</w:t>
            </w:r>
            <w:r>
              <w:t>552</w:t>
            </w:r>
          </w:p>
        </w:tc>
        <w:tc>
          <w:tcPr>
            <w:tcW w:w="1063" w:type="dxa"/>
            <w:tcBorders>
              <w:top w:val="single" w:sz="4" w:space="0" w:color="auto"/>
              <w:left w:val="single" w:sz="4" w:space="0" w:color="auto"/>
              <w:bottom w:val="single" w:sz="4" w:space="0" w:color="auto"/>
              <w:right w:val="single" w:sz="4" w:space="0" w:color="auto"/>
            </w:tcBorders>
            <w:tcMar>
              <w:right w:w="284" w:type="dxa"/>
            </w:tcMar>
            <w:vAlign w:val="center"/>
          </w:tcPr>
          <w:p w:rsidR="00632912" w:rsidRDefault="00632912" w:rsidP="00A423BE">
            <w:pPr>
              <w:jc w:val="right"/>
              <w:rPr>
                <w:sz w:val="24"/>
                <w:szCs w:val="24"/>
                <w:lang w:val="de-DE" w:eastAsia="de-DE"/>
              </w:rPr>
            </w:pPr>
            <w:r>
              <w:t>2</w:t>
            </w:r>
            <w:r w:rsidR="00A423BE">
              <w:t>.</w:t>
            </w:r>
            <w:r>
              <w:t>406</w:t>
            </w:r>
          </w:p>
        </w:tc>
        <w:tc>
          <w:tcPr>
            <w:tcW w:w="1063" w:type="dxa"/>
            <w:tcBorders>
              <w:top w:val="single" w:sz="4" w:space="0" w:color="auto"/>
              <w:left w:val="single" w:sz="4" w:space="0" w:color="auto"/>
              <w:bottom w:val="single" w:sz="4" w:space="0" w:color="auto"/>
              <w:right w:val="single" w:sz="4" w:space="0" w:color="auto"/>
            </w:tcBorders>
            <w:tcMar>
              <w:right w:w="284" w:type="dxa"/>
            </w:tcMar>
            <w:vAlign w:val="center"/>
          </w:tcPr>
          <w:p w:rsidR="00632912" w:rsidRDefault="00632912" w:rsidP="00A423BE">
            <w:pPr>
              <w:jc w:val="right"/>
              <w:rPr>
                <w:sz w:val="24"/>
                <w:szCs w:val="24"/>
                <w:lang w:val="de-DE" w:eastAsia="de-DE"/>
              </w:rPr>
            </w:pPr>
            <w:r>
              <w:t>2</w:t>
            </w:r>
            <w:r w:rsidR="00A423BE">
              <w:t>.</w:t>
            </w:r>
            <w:r>
              <w:t>363</w:t>
            </w:r>
          </w:p>
        </w:tc>
        <w:tc>
          <w:tcPr>
            <w:tcW w:w="1063" w:type="dxa"/>
            <w:tcBorders>
              <w:top w:val="single" w:sz="4" w:space="0" w:color="auto"/>
              <w:left w:val="single" w:sz="4" w:space="0" w:color="auto"/>
              <w:bottom w:val="single" w:sz="4" w:space="0" w:color="auto"/>
              <w:right w:val="nil"/>
            </w:tcBorders>
            <w:tcMar>
              <w:right w:w="284" w:type="dxa"/>
            </w:tcMar>
            <w:vAlign w:val="center"/>
          </w:tcPr>
          <w:p w:rsidR="00632912" w:rsidRDefault="00632912" w:rsidP="00A423BE">
            <w:pPr>
              <w:jc w:val="right"/>
              <w:rPr>
                <w:sz w:val="24"/>
                <w:szCs w:val="24"/>
                <w:lang w:val="de-DE" w:eastAsia="de-DE"/>
              </w:rPr>
            </w:pPr>
            <w:r>
              <w:t>2</w:t>
            </w:r>
            <w:r w:rsidR="00A423BE">
              <w:t>.</w:t>
            </w:r>
            <w:r>
              <w:t>441</w:t>
            </w:r>
          </w:p>
        </w:tc>
      </w:tr>
      <w:tr w:rsidR="00200C88" w:rsidTr="00632912">
        <w:trPr>
          <w:cantSplit/>
          <w:trHeight w:hRule="exact" w:val="284"/>
        </w:trPr>
        <w:tc>
          <w:tcPr>
            <w:tcW w:w="4361" w:type="dxa"/>
            <w:tcBorders>
              <w:top w:val="single" w:sz="4" w:space="0" w:color="auto"/>
              <w:left w:val="nil"/>
              <w:bottom w:val="nil"/>
              <w:right w:val="single" w:sz="4" w:space="0" w:color="auto"/>
            </w:tcBorders>
          </w:tcPr>
          <w:p w:rsidR="00632912" w:rsidRDefault="00632912" w:rsidP="00632912">
            <w:pPr>
              <w:rPr>
                <w:sz w:val="24"/>
                <w:szCs w:val="24"/>
                <w:lang w:val="de-DE" w:eastAsia="de-DE"/>
              </w:rPr>
            </w:pPr>
            <w:r>
              <w:rPr>
                <w:rFonts w:eastAsia="Arial"/>
                <w:szCs w:val="22"/>
                <w:bdr w:val="nil"/>
                <w:lang w:val="es-ES"/>
              </w:rPr>
              <w:t>Modelos de utilidad</w:t>
            </w:r>
          </w:p>
        </w:tc>
        <w:tc>
          <w:tcPr>
            <w:tcW w:w="1063" w:type="dxa"/>
            <w:tcBorders>
              <w:top w:val="single" w:sz="4" w:space="0" w:color="auto"/>
              <w:left w:val="single" w:sz="4" w:space="0" w:color="auto"/>
              <w:bottom w:val="nil"/>
              <w:right w:val="single" w:sz="4" w:space="0" w:color="auto"/>
            </w:tcBorders>
            <w:tcMar>
              <w:right w:w="284" w:type="dxa"/>
            </w:tcMar>
            <w:vAlign w:val="center"/>
          </w:tcPr>
          <w:p w:rsidR="00632912" w:rsidRDefault="00632912" w:rsidP="00632912">
            <w:pPr>
              <w:jc w:val="right"/>
              <w:rPr>
                <w:sz w:val="24"/>
                <w:szCs w:val="24"/>
                <w:lang w:val="de-DE" w:eastAsia="de-DE"/>
              </w:rPr>
            </w:pPr>
            <w:r>
              <w:t>711</w:t>
            </w:r>
          </w:p>
        </w:tc>
        <w:tc>
          <w:tcPr>
            <w:tcW w:w="1063" w:type="dxa"/>
            <w:tcBorders>
              <w:top w:val="single" w:sz="4" w:space="0" w:color="auto"/>
              <w:left w:val="single" w:sz="4" w:space="0" w:color="auto"/>
              <w:bottom w:val="nil"/>
              <w:right w:val="single" w:sz="4" w:space="0" w:color="auto"/>
            </w:tcBorders>
            <w:tcMar>
              <w:right w:w="284" w:type="dxa"/>
            </w:tcMar>
            <w:vAlign w:val="center"/>
          </w:tcPr>
          <w:p w:rsidR="00632912" w:rsidRDefault="00632912" w:rsidP="00632912">
            <w:pPr>
              <w:jc w:val="right"/>
              <w:rPr>
                <w:sz w:val="24"/>
                <w:szCs w:val="24"/>
                <w:lang w:val="de-DE" w:eastAsia="de-DE"/>
              </w:rPr>
            </w:pPr>
            <w:r>
              <w:t>763</w:t>
            </w:r>
          </w:p>
        </w:tc>
        <w:tc>
          <w:tcPr>
            <w:tcW w:w="1063" w:type="dxa"/>
            <w:tcBorders>
              <w:top w:val="single" w:sz="4" w:space="0" w:color="auto"/>
              <w:left w:val="single" w:sz="4" w:space="0" w:color="auto"/>
              <w:bottom w:val="nil"/>
              <w:right w:val="single" w:sz="4" w:space="0" w:color="auto"/>
            </w:tcBorders>
            <w:tcMar>
              <w:right w:w="284" w:type="dxa"/>
            </w:tcMar>
            <w:vAlign w:val="center"/>
          </w:tcPr>
          <w:p w:rsidR="00632912" w:rsidRDefault="00632912" w:rsidP="00632912">
            <w:pPr>
              <w:jc w:val="right"/>
              <w:rPr>
                <w:sz w:val="24"/>
                <w:szCs w:val="24"/>
                <w:lang w:val="de-DE" w:eastAsia="de-DE"/>
              </w:rPr>
            </w:pPr>
            <w:r>
              <w:t>748</w:t>
            </w:r>
          </w:p>
        </w:tc>
        <w:tc>
          <w:tcPr>
            <w:tcW w:w="1063" w:type="dxa"/>
            <w:tcBorders>
              <w:top w:val="single" w:sz="4" w:space="0" w:color="auto"/>
              <w:left w:val="single" w:sz="4" w:space="0" w:color="auto"/>
              <w:bottom w:val="nil"/>
              <w:right w:val="nil"/>
            </w:tcBorders>
            <w:tcMar>
              <w:right w:w="284" w:type="dxa"/>
            </w:tcMar>
            <w:vAlign w:val="center"/>
          </w:tcPr>
          <w:p w:rsidR="00632912" w:rsidRDefault="00632912" w:rsidP="00632912">
            <w:pPr>
              <w:jc w:val="right"/>
              <w:rPr>
                <w:sz w:val="24"/>
                <w:szCs w:val="24"/>
                <w:lang w:val="de-DE" w:eastAsia="de-DE"/>
              </w:rPr>
            </w:pPr>
            <w:r>
              <w:t>754</w:t>
            </w:r>
          </w:p>
        </w:tc>
      </w:tr>
    </w:tbl>
    <w:p w:rsidR="00632912" w:rsidRDefault="00632912" w:rsidP="00632912">
      <w:pPr>
        <w:rPr>
          <w:i/>
          <w:iCs/>
          <w:lang w:val="de-DE" w:eastAsia="de-DE"/>
        </w:rPr>
      </w:pPr>
    </w:p>
    <w:p w:rsidR="00632912" w:rsidRPr="00632912" w:rsidRDefault="00632912" w:rsidP="00632912">
      <w:pPr>
        <w:pStyle w:val="Sub-heading"/>
        <w:rPr>
          <w:lang w:val="es-ES"/>
        </w:rPr>
      </w:pPr>
      <w:r>
        <w:rPr>
          <w:rFonts w:eastAsia="Arial"/>
          <w:bCs/>
          <w:szCs w:val="22"/>
          <w:bdr w:val="nil"/>
          <w:lang w:val="es-ES"/>
        </w:rPr>
        <w:t xml:space="preserve">Número de patentes /modelos de utilidad </w:t>
      </w:r>
      <w:r w:rsidR="00A423BE">
        <w:rPr>
          <w:rFonts w:eastAsia="Arial"/>
          <w:bCs/>
          <w:szCs w:val="22"/>
          <w:bdr w:val="nil"/>
          <w:lang w:val="es-ES"/>
        </w:rPr>
        <w:t xml:space="preserve">nacionales </w:t>
      </w:r>
      <w:r>
        <w:rPr>
          <w:rFonts w:eastAsia="Arial"/>
          <w:bCs/>
          <w:szCs w:val="22"/>
          <w:bdr w:val="nil"/>
          <w:lang w:val="es-ES"/>
        </w:rPr>
        <w:t xml:space="preserve">concedidos </w:t>
      </w:r>
    </w:p>
    <w:tbl>
      <w:tblPr>
        <w:tblW w:w="8613" w:type="dxa"/>
        <w:tblBorders>
          <w:insideH w:val="single" w:sz="4" w:space="0" w:color="auto"/>
          <w:insideV w:val="single" w:sz="4" w:space="0" w:color="auto"/>
        </w:tblBorders>
        <w:tblLook w:val="04A0" w:firstRow="1" w:lastRow="0" w:firstColumn="1" w:lastColumn="0" w:noHBand="0" w:noVBand="1"/>
      </w:tblPr>
      <w:tblGrid>
        <w:gridCol w:w="4361"/>
        <w:gridCol w:w="1063"/>
        <w:gridCol w:w="1063"/>
        <w:gridCol w:w="1063"/>
        <w:gridCol w:w="1063"/>
      </w:tblGrid>
      <w:tr w:rsidR="00200C88" w:rsidTr="00632912">
        <w:trPr>
          <w:cantSplit/>
          <w:trHeight w:hRule="exact" w:val="284"/>
        </w:trPr>
        <w:tc>
          <w:tcPr>
            <w:tcW w:w="4361" w:type="dxa"/>
            <w:tcBorders>
              <w:top w:val="nil"/>
              <w:left w:val="nil"/>
              <w:bottom w:val="single" w:sz="4" w:space="0" w:color="auto"/>
              <w:right w:val="single" w:sz="4" w:space="0" w:color="auto"/>
            </w:tcBorders>
          </w:tcPr>
          <w:p w:rsidR="00632912" w:rsidRPr="00632912" w:rsidRDefault="00632912" w:rsidP="00632912">
            <w:pPr>
              <w:rPr>
                <w:b/>
                <w:bCs/>
                <w:sz w:val="24"/>
                <w:szCs w:val="24"/>
                <w:lang w:val="es-ES" w:eastAsia="de-DE"/>
              </w:rPr>
            </w:pPr>
          </w:p>
        </w:tc>
        <w:tc>
          <w:tcPr>
            <w:tcW w:w="1063" w:type="dxa"/>
            <w:tcBorders>
              <w:top w:val="nil"/>
              <w:left w:val="single" w:sz="4" w:space="0" w:color="auto"/>
              <w:bottom w:val="single" w:sz="4" w:space="0" w:color="auto"/>
              <w:right w:val="single" w:sz="4" w:space="0" w:color="auto"/>
            </w:tcBorders>
          </w:tcPr>
          <w:p w:rsidR="00632912" w:rsidRPr="000B2BDD" w:rsidRDefault="00632912" w:rsidP="00632912">
            <w:pPr>
              <w:jc w:val="center"/>
              <w:rPr>
                <w:b/>
                <w:bCs/>
                <w:sz w:val="24"/>
                <w:szCs w:val="24"/>
                <w:lang w:val="en-GB" w:eastAsia="de-DE"/>
              </w:rPr>
            </w:pPr>
            <w:r w:rsidRPr="000B2BDD">
              <w:rPr>
                <w:b/>
                <w:bCs/>
                <w:sz w:val="24"/>
                <w:szCs w:val="24"/>
                <w:lang w:val="en-GB" w:eastAsia="de-DE"/>
              </w:rPr>
              <w:t>2012</w:t>
            </w:r>
          </w:p>
        </w:tc>
        <w:tc>
          <w:tcPr>
            <w:tcW w:w="1063" w:type="dxa"/>
            <w:tcBorders>
              <w:top w:val="nil"/>
              <w:left w:val="single" w:sz="4" w:space="0" w:color="auto"/>
              <w:bottom w:val="single" w:sz="4" w:space="0" w:color="auto"/>
              <w:right w:val="single" w:sz="4" w:space="0" w:color="auto"/>
            </w:tcBorders>
          </w:tcPr>
          <w:p w:rsidR="00632912" w:rsidRPr="000B2BDD" w:rsidRDefault="00632912" w:rsidP="00632912">
            <w:pPr>
              <w:jc w:val="center"/>
              <w:rPr>
                <w:b/>
                <w:bCs/>
                <w:sz w:val="24"/>
                <w:szCs w:val="24"/>
                <w:lang w:val="en-GB" w:eastAsia="de-DE"/>
              </w:rPr>
            </w:pPr>
            <w:r w:rsidRPr="000B2BDD">
              <w:rPr>
                <w:b/>
                <w:bCs/>
                <w:sz w:val="24"/>
                <w:szCs w:val="24"/>
                <w:lang w:val="en-GB" w:eastAsia="de-DE"/>
              </w:rPr>
              <w:t>2013</w:t>
            </w:r>
          </w:p>
        </w:tc>
        <w:tc>
          <w:tcPr>
            <w:tcW w:w="1063" w:type="dxa"/>
            <w:tcBorders>
              <w:top w:val="nil"/>
              <w:left w:val="single" w:sz="4" w:space="0" w:color="auto"/>
              <w:bottom w:val="single" w:sz="4" w:space="0" w:color="auto"/>
              <w:right w:val="single" w:sz="4" w:space="0" w:color="auto"/>
            </w:tcBorders>
          </w:tcPr>
          <w:p w:rsidR="00632912" w:rsidRPr="000B2BDD" w:rsidRDefault="00632912" w:rsidP="00632912">
            <w:pPr>
              <w:jc w:val="center"/>
              <w:rPr>
                <w:b/>
                <w:bCs/>
                <w:sz w:val="24"/>
                <w:szCs w:val="24"/>
                <w:lang w:val="en-GB" w:eastAsia="de-DE"/>
              </w:rPr>
            </w:pPr>
            <w:r w:rsidRPr="000B2BDD">
              <w:rPr>
                <w:b/>
                <w:bCs/>
                <w:sz w:val="24"/>
                <w:szCs w:val="24"/>
                <w:lang w:val="en-GB" w:eastAsia="de-DE"/>
              </w:rPr>
              <w:t>2014</w:t>
            </w:r>
          </w:p>
        </w:tc>
        <w:tc>
          <w:tcPr>
            <w:tcW w:w="1063" w:type="dxa"/>
            <w:tcBorders>
              <w:top w:val="nil"/>
              <w:left w:val="single" w:sz="4" w:space="0" w:color="auto"/>
              <w:bottom w:val="single" w:sz="4" w:space="0" w:color="auto"/>
              <w:right w:val="nil"/>
            </w:tcBorders>
          </w:tcPr>
          <w:p w:rsidR="00632912" w:rsidRPr="000B2BDD" w:rsidRDefault="00632912" w:rsidP="00632912">
            <w:pPr>
              <w:jc w:val="center"/>
              <w:rPr>
                <w:b/>
                <w:bCs/>
                <w:sz w:val="24"/>
                <w:szCs w:val="24"/>
                <w:lang w:val="en-GB" w:eastAsia="de-DE"/>
              </w:rPr>
            </w:pPr>
            <w:r w:rsidRPr="000B2BDD">
              <w:rPr>
                <w:b/>
                <w:bCs/>
                <w:sz w:val="24"/>
                <w:szCs w:val="24"/>
                <w:lang w:val="en-GB" w:eastAsia="de-DE"/>
              </w:rPr>
              <w:t>2015</w:t>
            </w:r>
          </w:p>
        </w:tc>
      </w:tr>
      <w:tr w:rsidR="00200C88" w:rsidTr="00632912">
        <w:trPr>
          <w:cantSplit/>
          <w:trHeight w:hRule="exact" w:val="284"/>
        </w:trPr>
        <w:tc>
          <w:tcPr>
            <w:tcW w:w="4361" w:type="dxa"/>
            <w:tcBorders>
              <w:top w:val="single" w:sz="4" w:space="0" w:color="auto"/>
              <w:left w:val="nil"/>
              <w:bottom w:val="single" w:sz="4" w:space="0" w:color="auto"/>
              <w:right w:val="single" w:sz="4" w:space="0" w:color="auto"/>
            </w:tcBorders>
          </w:tcPr>
          <w:p w:rsidR="00632912" w:rsidRPr="000B2BDD" w:rsidRDefault="00632912" w:rsidP="00632912">
            <w:pPr>
              <w:rPr>
                <w:b/>
                <w:bCs/>
                <w:sz w:val="24"/>
                <w:szCs w:val="24"/>
                <w:lang w:val="en-GB" w:eastAsia="de-DE"/>
              </w:rPr>
            </w:pPr>
          </w:p>
        </w:tc>
        <w:tc>
          <w:tcPr>
            <w:tcW w:w="1063" w:type="dxa"/>
            <w:tcBorders>
              <w:top w:val="single" w:sz="4" w:space="0" w:color="auto"/>
              <w:left w:val="single" w:sz="4" w:space="0" w:color="auto"/>
              <w:bottom w:val="single" w:sz="4" w:space="0" w:color="auto"/>
              <w:right w:val="single" w:sz="4" w:space="0" w:color="auto"/>
            </w:tcBorders>
          </w:tcPr>
          <w:p w:rsidR="00632912" w:rsidRPr="000B2BDD" w:rsidRDefault="00632912" w:rsidP="00632912">
            <w:pPr>
              <w:jc w:val="center"/>
              <w:rPr>
                <w:b/>
                <w:bCs/>
                <w:sz w:val="24"/>
                <w:szCs w:val="24"/>
                <w:lang w:val="en-GB" w:eastAsia="de-DE"/>
              </w:rPr>
            </w:pPr>
          </w:p>
        </w:tc>
        <w:tc>
          <w:tcPr>
            <w:tcW w:w="1063" w:type="dxa"/>
            <w:tcBorders>
              <w:top w:val="single" w:sz="4" w:space="0" w:color="auto"/>
              <w:left w:val="single" w:sz="4" w:space="0" w:color="auto"/>
              <w:bottom w:val="single" w:sz="4" w:space="0" w:color="auto"/>
              <w:right w:val="single" w:sz="4" w:space="0" w:color="auto"/>
            </w:tcBorders>
          </w:tcPr>
          <w:p w:rsidR="00632912" w:rsidRPr="000B2BDD" w:rsidRDefault="00632912" w:rsidP="00632912">
            <w:pPr>
              <w:jc w:val="center"/>
              <w:rPr>
                <w:b/>
                <w:bCs/>
                <w:sz w:val="24"/>
                <w:szCs w:val="24"/>
                <w:lang w:val="en-GB" w:eastAsia="de-DE"/>
              </w:rPr>
            </w:pPr>
          </w:p>
        </w:tc>
        <w:tc>
          <w:tcPr>
            <w:tcW w:w="1063" w:type="dxa"/>
            <w:tcBorders>
              <w:top w:val="single" w:sz="4" w:space="0" w:color="auto"/>
              <w:left w:val="single" w:sz="4" w:space="0" w:color="auto"/>
              <w:bottom w:val="single" w:sz="4" w:space="0" w:color="auto"/>
              <w:right w:val="single" w:sz="4" w:space="0" w:color="auto"/>
            </w:tcBorders>
          </w:tcPr>
          <w:p w:rsidR="00632912" w:rsidRPr="000B2BDD" w:rsidRDefault="00632912" w:rsidP="00632912">
            <w:pPr>
              <w:jc w:val="center"/>
              <w:rPr>
                <w:b/>
                <w:bCs/>
                <w:sz w:val="24"/>
                <w:szCs w:val="24"/>
                <w:lang w:val="en-GB" w:eastAsia="de-DE"/>
              </w:rPr>
            </w:pPr>
          </w:p>
        </w:tc>
        <w:tc>
          <w:tcPr>
            <w:tcW w:w="1063" w:type="dxa"/>
            <w:tcBorders>
              <w:top w:val="single" w:sz="4" w:space="0" w:color="auto"/>
              <w:left w:val="single" w:sz="4" w:space="0" w:color="auto"/>
              <w:bottom w:val="single" w:sz="4" w:space="0" w:color="auto"/>
              <w:right w:val="nil"/>
            </w:tcBorders>
          </w:tcPr>
          <w:p w:rsidR="00632912" w:rsidRPr="000B2BDD" w:rsidRDefault="00632912" w:rsidP="00632912">
            <w:pPr>
              <w:jc w:val="center"/>
              <w:rPr>
                <w:b/>
                <w:bCs/>
                <w:sz w:val="24"/>
                <w:szCs w:val="24"/>
                <w:lang w:val="en-GB" w:eastAsia="de-DE"/>
              </w:rPr>
            </w:pPr>
          </w:p>
        </w:tc>
      </w:tr>
      <w:tr w:rsidR="00200C88" w:rsidTr="00632912">
        <w:trPr>
          <w:cantSplit/>
          <w:trHeight w:hRule="exact" w:val="284"/>
        </w:trPr>
        <w:tc>
          <w:tcPr>
            <w:tcW w:w="4361" w:type="dxa"/>
            <w:tcBorders>
              <w:top w:val="single" w:sz="4" w:space="0" w:color="auto"/>
              <w:left w:val="nil"/>
              <w:bottom w:val="single" w:sz="4" w:space="0" w:color="auto"/>
              <w:right w:val="single" w:sz="4" w:space="0" w:color="auto"/>
            </w:tcBorders>
          </w:tcPr>
          <w:p w:rsidR="00632912" w:rsidRPr="00530C53" w:rsidRDefault="00632912" w:rsidP="00632912">
            <w:pPr>
              <w:rPr>
                <w:bCs/>
                <w:szCs w:val="22"/>
                <w:lang w:val="en-GB" w:eastAsia="de-DE"/>
              </w:rPr>
            </w:pPr>
            <w:r w:rsidRPr="00530C53">
              <w:rPr>
                <w:rFonts w:eastAsia="Arial"/>
                <w:bCs/>
                <w:szCs w:val="22"/>
                <w:bdr w:val="nil"/>
                <w:lang w:val="es-ES" w:eastAsia="de-DE"/>
              </w:rPr>
              <w:t>Patente</w:t>
            </w:r>
            <w:r w:rsidR="00A423BE" w:rsidRPr="00530C53">
              <w:rPr>
                <w:rFonts w:eastAsia="Arial"/>
                <w:bCs/>
                <w:szCs w:val="22"/>
                <w:bdr w:val="nil"/>
                <w:lang w:val="es-ES" w:eastAsia="de-DE"/>
              </w:rPr>
              <w:t>s</w:t>
            </w:r>
            <w:r w:rsidRPr="00530C53">
              <w:rPr>
                <w:rFonts w:eastAsia="Arial"/>
                <w:bCs/>
                <w:szCs w:val="22"/>
                <w:bdr w:val="nil"/>
                <w:lang w:val="es-ES" w:eastAsia="de-DE"/>
              </w:rPr>
              <w:t xml:space="preserve"> </w:t>
            </w:r>
          </w:p>
        </w:tc>
        <w:tc>
          <w:tcPr>
            <w:tcW w:w="1063" w:type="dxa"/>
            <w:tcBorders>
              <w:top w:val="single" w:sz="4" w:space="0" w:color="auto"/>
              <w:left w:val="single" w:sz="4" w:space="0" w:color="auto"/>
              <w:bottom w:val="single" w:sz="4" w:space="0" w:color="auto"/>
              <w:right w:val="single" w:sz="4" w:space="0" w:color="auto"/>
            </w:tcBorders>
            <w:tcMar>
              <w:right w:w="284" w:type="dxa"/>
            </w:tcMar>
            <w:vAlign w:val="center"/>
          </w:tcPr>
          <w:p w:rsidR="00632912" w:rsidRPr="00530C53" w:rsidRDefault="00632912" w:rsidP="00A423BE">
            <w:pPr>
              <w:jc w:val="right"/>
              <w:rPr>
                <w:bCs/>
                <w:szCs w:val="22"/>
                <w:lang w:val="en-GB" w:eastAsia="de-DE"/>
              </w:rPr>
            </w:pPr>
            <w:r w:rsidRPr="00530C53">
              <w:rPr>
                <w:bCs/>
                <w:szCs w:val="22"/>
                <w:lang w:val="en-GB" w:eastAsia="de-DE"/>
              </w:rPr>
              <w:t>1</w:t>
            </w:r>
            <w:r w:rsidR="00A423BE" w:rsidRPr="00530C53">
              <w:rPr>
                <w:bCs/>
                <w:szCs w:val="22"/>
                <w:lang w:val="en-GB" w:eastAsia="de-DE"/>
              </w:rPr>
              <w:t>.</w:t>
            </w:r>
            <w:r w:rsidRPr="00530C53">
              <w:rPr>
                <w:bCs/>
                <w:szCs w:val="22"/>
                <w:lang w:val="en-GB" w:eastAsia="de-DE"/>
              </w:rPr>
              <w:t>439</w:t>
            </w:r>
          </w:p>
        </w:tc>
        <w:tc>
          <w:tcPr>
            <w:tcW w:w="1063" w:type="dxa"/>
            <w:tcBorders>
              <w:top w:val="single" w:sz="4" w:space="0" w:color="auto"/>
              <w:left w:val="single" w:sz="4" w:space="0" w:color="auto"/>
              <w:bottom w:val="single" w:sz="4" w:space="0" w:color="auto"/>
              <w:right w:val="single" w:sz="4" w:space="0" w:color="auto"/>
            </w:tcBorders>
            <w:tcMar>
              <w:right w:w="284" w:type="dxa"/>
            </w:tcMar>
            <w:vAlign w:val="center"/>
          </w:tcPr>
          <w:p w:rsidR="00632912" w:rsidRPr="00530C53" w:rsidRDefault="00632912" w:rsidP="00A423BE">
            <w:pPr>
              <w:jc w:val="right"/>
              <w:rPr>
                <w:bCs/>
                <w:szCs w:val="22"/>
                <w:lang w:val="en-GB" w:eastAsia="de-DE"/>
              </w:rPr>
            </w:pPr>
            <w:r w:rsidRPr="00530C53">
              <w:rPr>
                <w:bCs/>
                <w:szCs w:val="22"/>
                <w:lang w:val="en-GB" w:eastAsia="de-DE"/>
              </w:rPr>
              <w:t>1</w:t>
            </w:r>
            <w:r w:rsidR="00A423BE" w:rsidRPr="00530C53">
              <w:rPr>
                <w:bCs/>
                <w:szCs w:val="22"/>
                <w:lang w:val="en-GB" w:eastAsia="de-DE"/>
              </w:rPr>
              <w:t>.</w:t>
            </w:r>
            <w:r w:rsidRPr="00530C53">
              <w:rPr>
                <w:bCs/>
                <w:szCs w:val="22"/>
                <w:lang w:val="en-GB" w:eastAsia="de-DE"/>
              </w:rPr>
              <w:t>256</w:t>
            </w:r>
          </w:p>
        </w:tc>
        <w:tc>
          <w:tcPr>
            <w:tcW w:w="1063" w:type="dxa"/>
            <w:tcBorders>
              <w:top w:val="single" w:sz="4" w:space="0" w:color="auto"/>
              <w:left w:val="single" w:sz="4" w:space="0" w:color="auto"/>
              <w:bottom w:val="single" w:sz="4" w:space="0" w:color="auto"/>
              <w:right w:val="single" w:sz="4" w:space="0" w:color="auto"/>
            </w:tcBorders>
            <w:tcMar>
              <w:right w:w="284" w:type="dxa"/>
            </w:tcMar>
            <w:vAlign w:val="center"/>
          </w:tcPr>
          <w:p w:rsidR="00632912" w:rsidRPr="00530C53" w:rsidRDefault="00632912" w:rsidP="00632912">
            <w:pPr>
              <w:jc w:val="right"/>
              <w:rPr>
                <w:bCs/>
                <w:szCs w:val="22"/>
                <w:lang w:val="en-GB" w:eastAsia="de-DE"/>
              </w:rPr>
            </w:pPr>
            <w:r w:rsidRPr="00530C53">
              <w:rPr>
                <w:bCs/>
                <w:szCs w:val="22"/>
                <w:lang w:val="en-GB" w:eastAsia="de-DE"/>
              </w:rPr>
              <w:t>962</w:t>
            </w:r>
          </w:p>
        </w:tc>
        <w:tc>
          <w:tcPr>
            <w:tcW w:w="1063" w:type="dxa"/>
            <w:tcBorders>
              <w:top w:val="single" w:sz="4" w:space="0" w:color="auto"/>
              <w:left w:val="single" w:sz="4" w:space="0" w:color="auto"/>
              <w:bottom w:val="single" w:sz="4" w:space="0" w:color="auto"/>
              <w:right w:val="nil"/>
            </w:tcBorders>
            <w:tcMar>
              <w:right w:w="284" w:type="dxa"/>
            </w:tcMar>
            <w:vAlign w:val="center"/>
          </w:tcPr>
          <w:p w:rsidR="00632912" w:rsidRPr="00530C53" w:rsidRDefault="00632912" w:rsidP="00A423BE">
            <w:pPr>
              <w:jc w:val="right"/>
              <w:rPr>
                <w:bCs/>
                <w:szCs w:val="22"/>
                <w:lang w:val="en-GB" w:eastAsia="de-DE"/>
              </w:rPr>
            </w:pPr>
            <w:r w:rsidRPr="00530C53">
              <w:rPr>
                <w:bCs/>
                <w:szCs w:val="22"/>
                <w:lang w:val="en-GB" w:eastAsia="de-DE"/>
              </w:rPr>
              <w:t>1</w:t>
            </w:r>
            <w:r w:rsidR="00A423BE" w:rsidRPr="00530C53">
              <w:rPr>
                <w:bCs/>
                <w:szCs w:val="22"/>
                <w:lang w:val="en-GB" w:eastAsia="de-DE"/>
              </w:rPr>
              <w:t>.</w:t>
            </w:r>
            <w:r w:rsidRPr="00530C53">
              <w:rPr>
                <w:bCs/>
                <w:szCs w:val="22"/>
                <w:lang w:val="en-GB" w:eastAsia="de-DE"/>
              </w:rPr>
              <w:t>356</w:t>
            </w:r>
          </w:p>
        </w:tc>
      </w:tr>
      <w:tr w:rsidR="00200C88" w:rsidTr="00632912">
        <w:trPr>
          <w:cantSplit/>
          <w:trHeight w:hRule="exact" w:val="284"/>
        </w:trPr>
        <w:tc>
          <w:tcPr>
            <w:tcW w:w="4361" w:type="dxa"/>
            <w:tcBorders>
              <w:top w:val="single" w:sz="4" w:space="0" w:color="auto"/>
              <w:left w:val="nil"/>
              <w:bottom w:val="nil"/>
              <w:right w:val="single" w:sz="4" w:space="0" w:color="auto"/>
            </w:tcBorders>
          </w:tcPr>
          <w:p w:rsidR="00632912" w:rsidRPr="00530C53" w:rsidRDefault="00632912" w:rsidP="00632912">
            <w:pPr>
              <w:rPr>
                <w:bCs/>
                <w:szCs w:val="22"/>
                <w:lang w:val="en-GB" w:eastAsia="de-DE"/>
              </w:rPr>
            </w:pPr>
            <w:r w:rsidRPr="00530C53">
              <w:rPr>
                <w:rFonts w:eastAsia="Arial"/>
                <w:bCs/>
                <w:szCs w:val="22"/>
                <w:bdr w:val="nil"/>
                <w:lang w:val="es-ES" w:eastAsia="de-DE"/>
              </w:rPr>
              <w:t>Modelos de utilidad</w:t>
            </w:r>
          </w:p>
        </w:tc>
        <w:tc>
          <w:tcPr>
            <w:tcW w:w="1063" w:type="dxa"/>
            <w:tcBorders>
              <w:top w:val="single" w:sz="4" w:space="0" w:color="auto"/>
              <w:left w:val="single" w:sz="4" w:space="0" w:color="auto"/>
              <w:bottom w:val="nil"/>
              <w:right w:val="single" w:sz="4" w:space="0" w:color="auto"/>
            </w:tcBorders>
            <w:tcMar>
              <w:right w:w="284" w:type="dxa"/>
            </w:tcMar>
            <w:vAlign w:val="center"/>
          </w:tcPr>
          <w:p w:rsidR="00632912" w:rsidRPr="00530C53" w:rsidRDefault="00632912" w:rsidP="00632912">
            <w:pPr>
              <w:jc w:val="right"/>
              <w:rPr>
                <w:bCs/>
                <w:szCs w:val="22"/>
                <w:lang w:val="en-GB" w:eastAsia="de-DE"/>
              </w:rPr>
            </w:pPr>
            <w:r w:rsidRPr="00530C53">
              <w:rPr>
                <w:bCs/>
                <w:szCs w:val="22"/>
                <w:lang w:val="en-GB" w:eastAsia="de-DE"/>
              </w:rPr>
              <w:t>686</w:t>
            </w:r>
          </w:p>
        </w:tc>
        <w:tc>
          <w:tcPr>
            <w:tcW w:w="1063" w:type="dxa"/>
            <w:tcBorders>
              <w:top w:val="single" w:sz="4" w:space="0" w:color="auto"/>
              <w:left w:val="single" w:sz="4" w:space="0" w:color="auto"/>
              <w:bottom w:val="nil"/>
              <w:right w:val="single" w:sz="4" w:space="0" w:color="auto"/>
            </w:tcBorders>
            <w:tcMar>
              <w:right w:w="284" w:type="dxa"/>
            </w:tcMar>
            <w:vAlign w:val="center"/>
          </w:tcPr>
          <w:p w:rsidR="00632912" w:rsidRPr="00530C53" w:rsidRDefault="00632912" w:rsidP="00632912">
            <w:pPr>
              <w:jc w:val="right"/>
              <w:rPr>
                <w:bCs/>
                <w:szCs w:val="22"/>
                <w:lang w:val="en-GB" w:eastAsia="de-DE"/>
              </w:rPr>
            </w:pPr>
            <w:r w:rsidRPr="00530C53">
              <w:rPr>
                <w:bCs/>
                <w:szCs w:val="22"/>
                <w:lang w:val="en-GB" w:eastAsia="de-DE"/>
              </w:rPr>
              <w:t>582</w:t>
            </w:r>
          </w:p>
        </w:tc>
        <w:tc>
          <w:tcPr>
            <w:tcW w:w="1063" w:type="dxa"/>
            <w:tcBorders>
              <w:top w:val="single" w:sz="4" w:space="0" w:color="auto"/>
              <w:left w:val="single" w:sz="4" w:space="0" w:color="auto"/>
              <w:bottom w:val="nil"/>
              <w:right w:val="single" w:sz="4" w:space="0" w:color="auto"/>
            </w:tcBorders>
            <w:tcMar>
              <w:right w:w="284" w:type="dxa"/>
            </w:tcMar>
            <w:vAlign w:val="center"/>
          </w:tcPr>
          <w:p w:rsidR="00632912" w:rsidRPr="00530C53" w:rsidRDefault="00632912" w:rsidP="00632912">
            <w:pPr>
              <w:jc w:val="right"/>
              <w:rPr>
                <w:bCs/>
                <w:szCs w:val="22"/>
                <w:lang w:val="en-GB" w:eastAsia="de-DE"/>
              </w:rPr>
            </w:pPr>
            <w:r w:rsidRPr="00530C53">
              <w:rPr>
                <w:bCs/>
                <w:szCs w:val="22"/>
                <w:lang w:val="en-GB" w:eastAsia="de-DE"/>
              </w:rPr>
              <w:t>488</w:t>
            </w:r>
          </w:p>
        </w:tc>
        <w:tc>
          <w:tcPr>
            <w:tcW w:w="1063" w:type="dxa"/>
            <w:tcBorders>
              <w:top w:val="single" w:sz="4" w:space="0" w:color="auto"/>
              <w:left w:val="single" w:sz="4" w:space="0" w:color="auto"/>
              <w:bottom w:val="nil"/>
              <w:right w:val="nil"/>
            </w:tcBorders>
            <w:tcMar>
              <w:right w:w="284" w:type="dxa"/>
            </w:tcMar>
            <w:vAlign w:val="center"/>
          </w:tcPr>
          <w:p w:rsidR="00632912" w:rsidRPr="00530C53" w:rsidRDefault="00632912" w:rsidP="00632912">
            <w:pPr>
              <w:jc w:val="right"/>
              <w:rPr>
                <w:bCs/>
                <w:szCs w:val="22"/>
                <w:lang w:val="en-GB" w:eastAsia="de-DE"/>
              </w:rPr>
            </w:pPr>
            <w:r w:rsidRPr="00530C53">
              <w:rPr>
                <w:bCs/>
                <w:szCs w:val="22"/>
                <w:lang w:val="en-GB" w:eastAsia="de-DE"/>
              </w:rPr>
              <w:t>604</w:t>
            </w:r>
          </w:p>
        </w:tc>
      </w:tr>
    </w:tbl>
    <w:p w:rsidR="00632912" w:rsidRDefault="00632912" w:rsidP="00632912">
      <w:pPr>
        <w:rPr>
          <w:b/>
          <w:bCs/>
          <w:lang w:val="de-DE" w:eastAsia="de-DE"/>
        </w:rPr>
      </w:pPr>
    </w:p>
    <w:p w:rsidR="00632912" w:rsidRPr="00632912" w:rsidRDefault="00632912" w:rsidP="00632912">
      <w:pPr>
        <w:pStyle w:val="Sub-heading"/>
        <w:rPr>
          <w:lang w:val="es-ES"/>
        </w:rPr>
      </w:pPr>
      <w:r>
        <w:rPr>
          <w:rFonts w:eastAsia="Arial"/>
          <w:bCs/>
          <w:szCs w:val="22"/>
          <w:bdr w:val="nil"/>
          <w:lang w:val="es-ES"/>
        </w:rPr>
        <w:t xml:space="preserve">Número de patentes nacionales concedidas - por </w:t>
      </w:r>
      <w:r w:rsidR="00A423BE">
        <w:rPr>
          <w:rFonts w:eastAsia="Arial"/>
          <w:bCs/>
          <w:szCs w:val="22"/>
          <w:bdr w:val="nil"/>
          <w:lang w:val="es-ES"/>
        </w:rPr>
        <w:t>campo técnico</w:t>
      </w:r>
    </w:p>
    <w:tbl>
      <w:tblPr>
        <w:tblW w:w="8520" w:type="dxa"/>
        <w:tblInd w:w="55" w:type="dxa"/>
        <w:tblBorders>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4268"/>
        <w:gridCol w:w="1063"/>
        <w:gridCol w:w="1063"/>
        <w:gridCol w:w="1063"/>
        <w:gridCol w:w="1063"/>
      </w:tblGrid>
      <w:tr w:rsidR="00200C88" w:rsidTr="00632912">
        <w:trPr>
          <w:trHeight w:hRule="exact" w:val="284"/>
        </w:trPr>
        <w:tc>
          <w:tcPr>
            <w:tcW w:w="4268" w:type="dxa"/>
            <w:tcBorders>
              <w:top w:val="nil"/>
              <w:left w:val="nil"/>
              <w:bottom w:val="single" w:sz="8" w:space="0" w:color="000000"/>
              <w:right w:val="single" w:sz="8" w:space="0" w:color="000000"/>
            </w:tcBorders>
            <w:noWrap/>
            <w:vAlign w:val="center"/>
          </w:tcPr>
          <w:p w:rsidR="00632912" w:rsidRDefault="00632912" w:rsidP="00632912">
            <w:pPr>
              <w:rPr>
                <w:b/>
                <w:bCs/>
                <w:color w:val="000000"/>
                <w:sz w:val="21"/>
                <w:szCs w:val="21"/>
                <w:lang w:eastAsia="de-AT"/>
              </w:rPr>
            </w:pPr>
            <w:r>
              <w:rPr>
                <w:rFonts w:eastAsia="Arial"/>
                <w:b/>
                <w:bCs/>
                <w:szCs w:val="22"/>
                <w:bdr w:val="nil"/>
                <w:lang w:val="es-ES"/>
              </w:rPr>
              <w:t>Campo técnico</w:t>
            </w:r>
          </w:p>
        </w:tc>
        <w:tc>
          <w:tcPr>
            <w:tcW w:w="1063" w:type="dxa"/>
            <w:tcBorders>
              <w:top w:val="nil"/>
              <w:left w:val="single" w:sz="8" w:space="0" w:color="000000"/>
              <w:bottom w:val="single" w:sz="8" w:space="0" w:color="000000"/>
              <w:right w:val="single" w:sz="8" w:space="0" w:color="000000"/>
            </w:tcBorders>
            <w:noWrap/>
            <w:vAlign w:val="center"/>
          </w:tcPr>
          <w:p w:rsidR="00632912" w:rsidRDefault="00632912" w:rsidP="00632912">
            <w:pPr>
              <w:jc w:val="center"/>
              <w:rPr>
                <w:b/>
                <w:bCs/>
                <w:color w:val="000000"/>
                <w:sz w:val="21"/>
                <w:szCs w:val="21"/>
                <w:lang w:eastAsia="de-AT"/>
              </w:rPr>
            </w:pPr>
            <w:r>
              <w:rPr>
                <w:b/>
                <w:bCs/>
                <w:color w:val="000000"/>
                <w:sz w:val="21"/>
                <w:szCs w:val="21"/>
                <w:lang w:eastAsia="de-AT"/>
              </w:rPr>
              <w:t>2012</w:t>
            </w:r>
          </w:p>
        </w:tc>
        <w:tc>
          <w:tcPr>
            <w:tcW w:w="1063" w:type="dxa"/>
            <w:tcBorders>
              <w:top w:val="nil"/>
              <w:left w:val="single" w:sz="8" w:space="0" w:color="000000"/>
              <w:bottom w:val="single" w:sz="8" w:space="0" w:color="000000"/>
              <w:right w:val="single" w:sz="8" w:space="0" w:color="000000"/>
            </w:tcBorders>
            <w:noWrap/>
            <w:vAlign w:val="center"/>
          </w:tcPr>
          <w:p w:rsidR="00632912" w:rsidRDefault="00632912" w:rsidP="00632912">
            <w:pPr>
              <w:jc w:val="center"/>
              <w:rPr>
                <w:b/>
                <w:bCs/>
                <w:color w:val="000000"/>
                <w:sz w:val="21"/>
                <w:szCs w:val="21"/>
                <w:lang w:eastAsia="de-AT"/>
              </w:rPr>
            </w:pPr>
            <w:r>
              <w:rPr>
                <w:b/>
                <w:bCs/>
                <w:color w:val="000000"/>
                <w:sz w:val="21"/>
                <w:szCs w:val="21"/>
                <w:lang w:eastAsia="de-AT"/>
              </w:rPr>
              <w:t>2013</w:t>
            </w:r>
          </w:p>
        </w:tc>
        <w:tc>
          <w:tcPr>
            <w:tcW w:w="1063" w:type="dxa"/>
            <w:tcBorders>
              <w:top w:val="nil"/>
              <w:left w:val="single" w:sz="8" w:space="0" w:color="000000"/>
              <w:bottom w:val="single" w:sz="8" w:space="0" w:color="000000"/>
              <w:right w:val="single" w:sz="8" w:space="0" w:color="000000"/>
            </w:tcBorders>
            <w:noWrap/>
            <w:vAlign w:val="center"/>
          </w:tcPr>
          <w:p w:rsidR="00632912" w:rsidRDefault="00632912" w:rsidP="00632912">
            <w:pPr>
              <w:jc w:val="center"/>
              <w:rPr>
                <w:b/>
                <w:bCs/>
                <w:color w:val="000000"/>
                <w:sz w:val="21"/>
                <w:szCs w:val="21"/>
                <w:lang w:eastAsia="de-AT"/>
              </w:rPr>
            </w:pPr>
            <w:r>
              <w:rPr>
                <w:b/>
                <w:bCs/>
                <w:color w:val="000000"/>
                <w:sz w:val="21"/>
                <w:szCs w:val="21"/>
                <w:lang w:eastAsia="de-AT"/>
              </w:rPr>
              <w:t>2014</w:t>
            </w:r>
          </w:p>
        </w:tc>
        <w:tc>
          <w:tcPr>
            <w:tcW w:w="1063" w:type="dxa"/>
            <w:tcBorders>
              <w:top w:val="nil"/>
              <w:left w:val="single" w:sz="8" w:space="0" w:color="000000"/>
              <w:bottom w:val="single" w:sz="8" w:space="0" w:color="000000"/>
              <w:right w:val="nil"/>
            </w:tcBorders>
            <w:shd w:val="clear" w:color="auto" w:fill="FFFFFF"/>
            <w:noWrap/>
            <w:vAlign w:val="center"/>
          </w:tcPr>
          <w:p w:rsidR="00632912" w:rsidRDefault="00632912" w:rsidP="00632912">
            <w:pPr>
              <w:jc w:val="center"/>
              <w:rPr>
                <w:b/>
                <w:bCs/>
                <w:color w:val="000000"/>
                <w:sz w:val="21"/>
                <w:szCs w:val="21"/>
                <w:lang w:eastAsia="de-AT"/>
              </w:rPr>
            </w:pPr>
            <w:r>
              <w:rPr>
                <w:b/>
                <w:bCs/>
                <w:color w:val="000000"/>
                <w:sz w:val="21"/>
                <w:szCs w:val="21"/>
                <w:lang w:eastAsia="de-AT"/>
              </w:rPr>
              <w:t>2015</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noWrap/>
            <w:vAlign w:val="bottom"/>
          </w:tcPr>
          <w:p w:rsidR="00632912" w:rsidRDefault="00632912" w:rsidP="00632912">
            <w:pPr>
              <w:rPr>
                <w:color w:val="000000"/>
                <w:sz w:val="6"/>
                <w:lang w:eastAsia="de-AT"/>
              </w:rPr>
            </w:pPr>
          </w:p>
        </w:tc>
        <w:tc>
          <w:tcPr>
            <w:tcW w:w="1063" w:type="dxa"/>
            <w:tcBorders>
              <w:top w:val="single" w:sz="8" w:space="0" w:color="000000"/>
              <w:left w:val="single" w:sz="8" w:space="0" w:color="000000"/>
              <w:bottom w:val="single" w:sz="8" w:space="0" w:color="000000"/>
              <w:right w:val="single" w:sz="8" w:space="0" w:color="000000"/>
            </w:tcBorders>
            <w:noWrap/>
            <w:vAlign w:val="bottom"/>
          </w:tcPr>
          <w:p w:rsidR="00632912" w:rsidRDefault="00632912" w:rsidP="00632912">
            <w:pPr>
              <w:rPr>
                <w:color w:val="000000"/>
                <w:sz w:val="6"/>
                <w:lang w:eastAsia="de-AT"/>
              </w:rPr>
            </w:pPr>
          </w:p>
        </w:tc>
        <w:tc>
          <w:tcPr>
            <w:tcW w:w="1063" w:type="dxa"/>
            <w:tcBorders>
              <w:top w:val="single" w:sz="8" w:space="0" w:color="000000"/>
              <w:left w:val="single" w:sz="8" w:space="0" w:color="000000"/>
              <w:bottom w:val="single" w:sz="8" w:space="0" w:color="000000"/>
              <w:right w:val="single" w:sz="8" w:space="0" w:color="000000"/>
            </w:tcBorders>
            <w:noWrap/>
            <w:vAlign w:val="bottom"/>
          </w:tcPr>
          <w:p w:rsidR="00632912" w:rsidRDefault="00632912" w:rsidP="00632912">
            <w:pPr>
              <w:rPr>
                <w:color w:val="000000"/>
                <w:sz w:val="6"/>
                <w:lang w:eastAsia="de-AT"/>
              </w:rPr>
            </w:pPr>
          </w:p>
        </w:tc>
        <w:tc>
          <w:tcPr>
            <w:tcW w:w="1063" w:type="dxa"/>
            <w:tcBorders>
              <w:top w:val="single" w:sz="8" w:space="0" w:color="000000"/>
              <w:left w:val="single" w:sz="8" w:space="0" w:color="000000"/>
              <w:bottom w:val="single" w:sz="8" w:space="0" w:color="000000"/>
              <w:right w:val="single" w:sz="8" w:space="0" w:color="000000"/>
            </w:tcBorders>
            <w:noWrap/>
            <w:vAlign w:val="bottom"/>
          </w:tcPr>
          <w:p w:rsidR="00632912" w:rsidRDefault="00632912" w:rsidP="00632912">
            <w:pPr>
              <w:rPr>
                <w:color w:val="000000"/>
                <w:sz w:val="6"/>
                <w:lang w:eastAsia="de-AT"/>
              </w:rPr>
            </w:pPr>
          </w:p>
        </w:tc>
        <w:tc>
          <w:tcPr>
            <w:tcW w:w="1063" w:type="dxa"/>
            <w:tcBorders>
              <w:top w:val="single" w:sz="8" w:space="0" w:color="000000"/>
              <w:left w:val="single" w:sz="8" w:space="0" w:color="000000"/>
              <w:bottom w:val="single" w:sz="8" w:space="0" w:color="000000"/>
              <w:right w:val="nil"/>
            </w:tcBorders>
            <w:noWrap/>
            <w:vAlign w:val="bottom"/>
          </w:tcPr>
          <w:p w:rsidR="00632912" w:rsidRDefault="00632912" w:rsidP="00632912">
            <w:pPr>
              <w:rPr>
                <w:color w:val="000000"/>
                <w:sz w:val="6"/>
                <w:lang w:eastAsia="de-AT"/>
              </w:rPr>
            </w:pP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vAlign w:val="center"/>
          </w:tcPr>
          <w:p w:rsidR="00632912" w:rsidRPr="00632912" w:rsidRDefault="00632912" w:rsidP="00632912">
            <w:pPr>
              <w:rPr>
                <w:color w:val="000000"/>
                <w:sz w:val="20"/>
                <w:szCs w:val="24"/>
                <w:lang w:val="es-ES" w:eastAsia="de-AT"/>
              </w:rPr>
            </w:pPr>
            <w:r>
              <w:rPr>
                <w:rFonts w:eastAsia="Arial"/>
                <w:color w:val="000000"/>
                <w:sz w:val="20"/>
                <w:bdr w:val="nil"/>
                <w:lang w:val="es-ES" w:eastAsia="de-AT"/>
              </w:rPr>
              <w:t>1 - Máquinas y aparatos electrónicos, energía eléctrica</w:t>
            </w:r>
          </w:p>
        </w:tc>
        <w:tc>
          <w:tcPr>
            <w:tcW w:w="1063" w:type="dxa"/>
            <w:tcBorders>
              <w:top w:val="single" w:sz="8" w:space="0" w:color="000000"/>
              <w:left w:val="single" w:sz="8" w:space="0" w:color="000000"/>
              <w:bottom w:val="single" w:sz="8" w:space="0" w:color="000000"/>
              <w:right w:val="single" w:sz="8" w:space="0" w:color="000000"/>
            </w:tcBorders>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80</w:t>
            </w:r>
          </w:p>
        </w:tc>
        <w:tc>
          <w:tcPr>
            <w:tcW w:w="1063" w:type="dxa"/>
            <w:tcBorders>
              <w:top w:val="single" w:sz="8" w:space="0" w:color="000000"/>
              <w:left w:val="single" w:sz="8" w:space="0" w:color="000000"/>
              <w:bottom w:val="single" w:sz="8" w:space="0" w:color="000000"/>
              <w:right w:val="single" w:sz="8" w:space="0" w:color="000000"/>
            </w:tcBorders>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81</w:t>
            </w:r>
          </w:p>
        </w:tc>
        <w:tc>
          <w:tcPr>
            <w:tcW w:w="1063" w:type="dxa"/>
            <w:tcBorders>
              <w:top w:val="single" w:sz="8" w:space="0" w:color="000000"/>
              <w:left w:val="single" w:sz="8" w:space="0" w:color="000000"/>
              <w:bottom w:val="single" w:sz="8" w:space="0" w:color="000000"/>
              <w:right w:val="single" w:sz="8" w:space="0" w:color="000000"/>
            </w:tcBorders>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80</w:t>
            </w:r>
          </w:p>
        </w:tc>
        <w:tc>
          <w:tcPr>
            <w:tcW w:w="1063" w:type="dxa"/>
            <w:tcBorders>
              <w:top w:val="single" w:sz="8" w:space="0" w:color="000000"/>
              <w:left w:val="single" w:sz="8" w:space="0" w:color="000000"/>
              <w:bottom w:val="single" w:sz="8" w:space="0" w:color="000000"/>
              <w:right w:val="nil"/>
            </w:tcBorders>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122</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32912" w:rsidRDefault="00632912" w:rsidP="00632912">
            <w:pPr>
              <w:rPr>
                <w:color w:val="000000"/>
                <w:sz w:val="20"/>
                <w:szCs w:val="24"/>
                <w:lang w:eastAsia="de-AT"/>
              </w:rPr>
            </w:pPr>
            <w:r>
              <w:rPr>
                <w:rFonts w:eastAsia="Arial"/>
                <w:color w:val="000000"/>
                <w:sz w:val="20"/>
                <w:bdr w:val="nil"/>
                <w:lang w:val="es-ES" w:eastAsia="de-AT"/>
              </w:rPr>
              <w:t>2 - Tecnología audiovisual</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23</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19</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12</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17</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32912" w:rsidRDefault="00632912" w:rsidP="00632912">
            <w:pPr>
              <w:rPr>
                <w:color w:val="000000"/>
                <w:sz w:val="20"/>
                <w:szCs w:val="24"/>
                <w:lang w:eastAsia="de-AT"/>
              </w:rPr>
            </w:pPr>
            <w:r>
              <w:rPr>
                <w:rFonts w:eastAsia="Arial"/>
                <w:color w:val="000000"/>
                <w:sz w:val="20"/>
                <w:bdr w:val="nil"/>
                <w:lang w:val="es-ES" w:eastAsia="de-AT"/>
              </w:rPr>
              <w:t>3 - Telecomunicaciones</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6</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7</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6</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8</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32912" w:rsidRDefault="00632912" w:rsidP="00632912">
            <w:pPr>
              <w:rPr>
                <w:color w:val="000000"/>
                <w:sz w:val="20"/>
                <w:szCs w:val="24"/>
                <w:lang w:eastAsia="de-AT"/>
              </w:rPr>
            </w:pPr>
            <w:r>
              <w:rPr>
                <w:rFonts w:eastAsia="Arial"/>
                <w:color w:val="000000"/>
                <w:sz w:val="20"/>
                <w:bdr w:val="nil"/>
                <w:lang w:val="es-ES" w:eastAsia="de-AT"/>
              </w:rPr>
              <w:t>4 - Comunicación digital</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6</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8</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3</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4</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32912" w:rsidRDefault="00632912" w:rsidP="00632912">
            <w:pPr>
              <w:rPr>
                <w:color w:val="000000"/>
                <w:sz w:val="20"/>
                <w:szCs w:val="24"/>
                <w:lang w:eastAsia="de-AT"/>
              </w:rPr>
            </w:pPr>
            <w:r>
              <w:rPr>
                <w:rFonts w:eastAsia="Arial"/>
                <w:color w:val="000000"/>
                <w:sz w:val="20"/>
                <w:bdr w:val="nil"/>
                <w:lang w:val="es-ES" w:eastAsia="de-AT"/>
              </w:rPr>
              <w:t>5 - Procesos básicos de comunicación</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4</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3</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2</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32912" w:rsidRDefault="00632912" w:rsidP="00632912">
            <w:pPr>
              <w:rPr>
                <w:color w:val="000000"/>
                <w:sz w:val="20"/>
                <w:szCs w:val="24"/>
                <w:lang w:eastAsia="de-AT"/>
              </w:rPr>
            </w:pPr>
            <w:r>
              <w:rPr>
                <w:rFonts w:eastAsia="Arial"/>
                <w:color w:val="000000"/>
                <w:sz w:val="20"/>
                <w:bdr w:val="nil"/>
                <w:lang w:val="es-ES" w:eastAsia="de-AT"/>
              </w:rPr>
              <w:t>6 - Tecnología informática</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15</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19</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7</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14</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32912" w:rsidRPr="00632912" w:rsidRDefault="00632912" w:rsidP="00632912">
            <w:pPr>
              <w:rPr>
                <w:color w:val="000000"/>
                <w:sz w:val="20"/>
                <w:szCs w:val="24"/>
                <w:lang w:val="es-ES" w:eastAsia="de-AT"/>
              </w:rPr>
            </w:pPr>
            <w:r>
              <w:rPr>
                <w:rFonts w:eastAsia="Arial"/>
                <w:color w:val="000000"/>
                <w:sz w:val="20"/>
                <w:bdr w:val="nil"/>
                <w:lang w:val="es-ES" w:eastAsia="de-AT"/>
              </w:rPr>
              <w:t>7 - Métodos de gestión mediante T.I.</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3</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2</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32912" w:rsidRDefault="00632912" w:rsidP="00632912">
            <w:pPr>
              <w:rPr>
                <w:color w:val="000000"/>
                <w:sz w:val="20"/>
                <w:szCs w:val="24"/>
                <w:lang w:eastAsia="de-AT"/>
              </w:rPr>
            </w:pPr>
            <w:r>
              <w:rPr>
                <w:rFonts w:eastAsia="Arial"/>
                <w:color w:val="000000"/>
                <w:sz w:val="20"/>
                <w:bdr w:val="nil"/>
                <w:lang w:val="es-ES" w:eastAsia="de-AT"/>
              </w:rPr>
              <w:t>8 - Semiconductores</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9</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11</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8</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10</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32912" w:rsidRDefault="00632912" w:rsidP="00632912">
            <w:pPr>
              <w:rPr>
                <w:color w:val="000000"/>
                <w:sz w:val="20"/>
                <w:szCs w:val="24"/>
                <w:lang w:eastAsia="de-AT"/>
              </w:rPr>
            </w:pPr>
            <w:r>
              <w:rPr>
                <w:rFonts w:eastAsia="Arial"/>
                <w:color w:val="000000"/>
                <w:sz w:val="20"/>
                <w:bdr w:val="nil"/>
                <w:lang w:val="es-ES" w:eastAsia="de-AT"/>
              </w:rPr>
              <w:t>9 - Óptica</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13</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6</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9</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16</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32912" w:rsidRDefault="00632912" w:rsidP="00632912">
            <w:pPr>
              <w:rPr>
                <w:color w:val="000000"/>
                <w:sz w:val="20"/>
                <w:szCs w:val="24"/>
                <w:lang w:eastAsia="de-AT"/>
              </w:rPr>
            </w:pPr>
            <w:r>
              <w:rPr>
                <w:rFonts w:eastAsia="Arial"/>
                <w:color w:val="000000"/>
                <w:sz w:val="20"/>
                <w:bdr w:val="nil"/>
                <w:lang w:val="es-ES" w:eastAsia="de-AT"/>
              </w:rPr>
              <w:lastRenderedPageBreak/>
              <w:t>10 - Medición</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83</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58</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43</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81</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32912" w:rsidRDefault="00632912" w:rsidP="00632912">
            <w:pPr>
              <w:rPr>
                <w:color w:val="000000"/>
                <w:sz w:val="20"/>
                <w:szCs w:val="24"/>
                <w:lang w:eastAsia="de-AT"/>
              </w:rPr>
            </w:pPr>
            <w:r>
              <w:rPr>
                <w:rFonts w:eastAsia="Arial"/>
                <w:color w:val="000000"/>
                <w:sz w:val="20"/>
                <w:bdr w:val="nil"/>
                <w:lang w:val="es-ES" w:eastAsia="de-AT"/>
              </w:rPr>
              <w:t>11 - Análisis de material biológico</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2</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2</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5</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32912" w:rsidRDefault="00632912" w:rsidP="00632912">
            <w:pPr>
              <w:rPr>
                <w:color w:val="000000"/>
                <w:sz w:val="20"/>
                <w:szCs w:val="24"/>
                <w:lang w:eastAsia="de-AT"/>
              </w:rPr>
            </w:pPr>
            <w:r>
              <w:rPr>
                <w:rFonts w:eastAsia="Arial"/>
                <w:color w:val="000000"/>
                <w:sz w:val="20"/>
                <w:bdr w:val="nil"/>
                <w:lang w:val="es-ES" w:eastAsia="de-AT"/>
              </w:rPr>
              <w:t>12 - Control</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25</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18</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19</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26</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32912" w:rsidRDefault="00632912" w:rsidP="00632912">
            <w:pPr>
              <w:rPr>
                <w:color w:val="000000"/>
                <w:sz w:val="20"/>
                <w:szCs w:val="24"/>
                <w:lang w:eastAsia="de-AT"/>
              </w:rPr>
            </w:pPr>
            <w:r>
              <w:rPr>
                <w:rFonts w:eastAsia="Arial"/>
                <w:color w:val="000000"/>
                <w:sz w:val="20"/>
                <w:bdr w:val="nil"/>
                <w:lang w:val="es-ES" w:eastAsia="de-AT"/>
              </w:rPr>
              <w:t>13 - Tecnología médica</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51</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45</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33</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42</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32912" w:rsidRDefault="00632912" w:rsidP="00632912">
            <w:pPr>
              <w:rPr>
                <w:color w:val="000000"/>
                <w:sz w:val="20"/>
                <w:szCs w:val="24"/>
                <w:lang w:eastAsia="de-AT"/>
              </w:rPr>
            </w:pPr>
            <w:r>
              <w:rPr>
                <w:rFonts w:eastAsia="Arial"/>
                <w:color w:val="000000"/>
                <w:sz w:val="20"/>
                <w:bdr w:val="nil"/>
                <w:lang w:val="es-ES" w:eastAsia="de-AT"/>
              </w:rPr>
              <w:t>14 - Productos químicos orgánicos elaborados</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5</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6</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4</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3</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32912" w:rsidRDefault="00632912" w:rsidP="00632912">
            <w:pPr>
              <w:rPr>
                <w:color w:val="000000"/>
                <w:sz w:val="20"/>
                <w:szCs w:val="24"/>
                <w:lang w:eastAsia="de-AT"/>
              </w:rPr>
            </w:pPr>
            <w:r>
              <w:rPr>
                <w:rFonts w:eastAsia="Arial"/>
                <w:color w:val="000000"/>
                <w:sz w:val="20"/>
                <w:bdr w:val="nil"/>
                <w:lang w:val="es-ES" w:eastAsia="de-AT"/>
              </w:rPr>
              <w:t>15 - Biotecnología</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7</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4</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2</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3</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32912" w:rsidRDefault="00632912" w:rsidP="00632912">
            <w:pPr>
              <w:rPr>
                <w:color w:val="000000"/>
                <w:sz w:val="20"/>
                <w:szCs w:val="24"/>
                <w:lang w:eastAsia="de-AT"/>
              </w:rPr>
            </w:pPr>
            <w:r>
              <w:rPr>
                <w:rFonts w:eastAsia="Arial"/>
                <w:color w:val="000000"/>
                <w:sz w:val="20"/>
                <w:bdr w:val="nil"/>
                <w:lang w:val="es-ES" w:eastAsia="de-AT"/>
              </w:rPr>
              <w:t>16 - Productos farmacéuticos</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13</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6</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4</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3</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32912" w:rsidRDefault="00632912" w:rsidP="00632912">
            <w:pPr>
              <w:rPr>
                <w:color w:val="000000"/>
                <w:sz w:val="20"/>
                <w:szCs w:val="24"/>
                <w:lang w:eastAsia="de-AT"/>
              </w:rPr>
            </w:pPr>
            <w:r>
              <w:rPr>
                <w:rFonts w:eastAsia="Arial"/>
                <w:color w:val="000000"/>
                <w:sz w:val="20"/>
                <w:bdr w:val="nil"/>
                <w:lang w:val="es-ES" w:eastAsia="de-AT"/>
              </w:rPr>
              <w:t>17 - Química macromolecular, polímeros</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9</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4</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6</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4</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32912" w:rsidRDefault="00632912" w:rsidP="00632912">
            <w:pPr>
              <w:rPr>
                <w:color w:val="000000"/>
                <w:sz w:val="20"/>
                <w:szCs w:val="24"/>
                <w:lang w:eastAsia="de-AT"/>
              </w:rPr>
            </w:pPr>
            <w:r>
              <w:rPr>
                <w:rFonts w:eastAsia="Arial"/>
                <w:color w:val="000000"/>
                <w:sz w:val="20"/>
                <w:bdr w:val="nil"/>
                <w:lang w:val="es-ES" w:eastAsia="de-AT"/>
              </w:rPr>
              <w:t>18 - Química de alimentos</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10</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5</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9</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11</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32912" w:rsidRDefault="00632912" w:rsidP="00632912">
            <w:pPr>
              <w:rPr>
                <w:color w:val="000000"/>
                <w:sz w:val="20"/>
                <w:szCs w:val="24"/>
                <w:lang w:eastAsia="de-AT"/>
              </w:rPr>
            </w:pPr>
            <w:r>
              <w:rPr>
                <w:rFonts w:eastAsia="Arial"/>
                <w:color w:val="000000"/>
                <w:sz w:val="20"/>
                <w:bdr w:val="nil"/>
                <w:lang w:val="es-ES" w:eastAsia="de-AT"/>
              </w:rPr>
              <w:t>19 - Química de materiales</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26</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15</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7</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15</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32912" w:rsidRDefault="00632912" w:rsidP="00632912">
            <w:pPr>
              <w:rPr>
                <w:color w:val="000000"/>
                <w:sz w:val="20"/>
                <w:szCs w:val="24"/>
                <w:lang w:eastAsia="de-AT"/>
              </w:rPr>
            </w:pPr>
            <w:r>
              <w:rPr>
                <w:rFonts w:eastAsia="Arial"/>
                <w:color w:val="000000"/>
                <w:sz w:val="20"/>
                <w:bdr w:val="nil"/>
                <w:lang w:val="es-ES" w:eastAsia="de-AT"/>
              </w:rPr>
              <w:t>20 - Materiales, metalurgia</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34</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35</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16</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17</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32912" w:rsidRDefault="00632912" w:rsidP="00632912">
            <w:pPr>
              <w:rPr>
                <w:color w:val="000000"/>
                <w:sz w:val="20"/>
                <w:szCs w:val="24"/>
                <w:lang w:eastAsia="de-AT"/>
              </w:rPr>
            </w:pPr>
            <w:r>
              <w:rPr>
                <w:rFonts w:eastAsia="Arial"/>
                <w:color w:val="000000"/>
                <w:sz w:val="20"/>
                <w:bdr w:val="nil"/>
                <w:lang w:val="es-ES" w:eastAsia="de-AT"/>
              </w:rPr>
              <w:t>21 - Tecnología de superficie, revestimientos</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18</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22</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15</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29</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32912" w:rsidRPr="00632912" w:rsidRDefault="00632912" w:rsidP="00632912">
            <w:pPr>
              <w:rPr>
                <w:color w:val="000000"/>
                <w:sz w:val="20"/>
                <w:szCs w:val="24"/>
                <w:lang w:val="es-ES" w:eastAsia="de-AT"/>
              </w:rPr>
            </w:pPr>
            <w:r>
              <w:rPr>
                <w:rFonts w:eastAsia="Arial"/>
                <w:color w:val="000000"/>
                <w:sz w:val="20"/>
                <w:bdr w:val="nil"/>
                <w:lang w:val="es-ES" w:eastAsia="de-AT"/>
              </w:rPr>
              <w:t>22 - Tecnología de las microestructuras, nanotecnología</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 </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 </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32912" w:rsidRDefault="00632912" w:rsidP="00632912">
            <w:pPr>
              <w:rPr>
                <w:color w:val="000000"/>
                <w:sz w:val="20"/>
                <w:szCs w:val="24"/>
                <w:lang w:eastAsia="de-AT"/>
              </w:rPr>
            </w:pPr>
            <w:r>
              <w:rPr>
                <w:rFonts w:eastAsia="Arial"/>
                <w:color w:val="000000"/>
                <w:sz w:val="20"/>
                <w:bdr w:val="nil"/>
                <w:lang w:val="es-ES" w:eastAsia="de-AT"/>
              </w:rPr>
              <w:t>23 - Ingeniería química</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29</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29</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28</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38</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32912" w:rsidRDefault="00632912" w:rsidP="00632912">
            <w:pPr>
              <w:rPr>
                <w:color w:val="000000"/>
                <w:sz w:val="20"/>
                <w:szCs w:val="24"/>
                <w:lang w:eastAsia="de-AT"/>
              </w:rPr>
            </w:pPr>
            <w:r>
              <w:rPr>
                <w:rFonts w:eastAsia="Arial"/>
                <w:color w:val="000000"/>
                <w:sz w:val="20"/>
                <w:bdr w:val="nil"/>
                <w:lang w:val="es-ES" w:eastAsia="de-AT"/>
              </w:rPr>
              <w:t>24 - Tecnología medioambiental</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26</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29</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22</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19</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32912" w:rsidRDefault="00632912" w:rsidP="00632912">
            <w:pPr>
              <w:rPr>
                <w:color w:val="000000"/>
                <w:sz w:val="20"/>
                <w:szCs w:val="24"/>
                <w:lang w:eastAsia="de-AT"/>
              </w:rPr>
            </w:pPr>
            <w:r>
              <w:rPr>
                <w:rFonts w:eastAsia="Arial"/>
                <w:color w:val="000000"/>
                <w:sz w:val="20"/>
                <w:bdr w:val="nil"/>
                <w:lang w:val="es-ES" w:eastAsia="de-AT"/>
              </w:rPr>
              <w:t>25 - Manipulación</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69</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58</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39</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62</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32912" w:rsidRDefault="00632912" w:rsidP="00632912">
            <w:pPr>
              <w:rPr>
                <w:color w:val="000000"/>
                <w:sz w:val="20"/>
                <w:szCs w:val="24"/>
                <w:lang w:eastAsia="de-AT"/>
              </w:rPr>
            </w:pPr>
            <w:r>
              <w:rPr>
                <w:rFonts w:eastAsia="Arial"/>
                <w:color w:val="000000"/>
                <w:sz w:val="20"/>
                <w:bdr w:val="nil"/>
                <w:lang w:val="es-ES" w:eastAsia="de-AT"/>
              </w:rPr>
              <w:t>26 - Máquinas herramientas</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100</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73</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71</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86</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32912" w:rsidRDefault="00632912" w:rsidP="00632912">
            <w:pPr>
              <w:rPr>
                <w:color w:val="000000"/>
                <w:sz w:val="20"/>
                <w:szCs w:val="24"/>
                <w:lang w:eastAsia="de-AT"/>
              </w:rPr>
            </w:pPr>
            <w:r>
              <w:rPr>
                <w:rFonts w:eastAsia="Arial"/>
                <w:color w:val="000000"/>
                <w:sz w:val="20"/>
                <w:bdr w:val="nil"/>
                <w:lang w:val="es-ES" w:eastAsia="de-AT"/>
              </w:rPr>
              <w:t>27 - Motores, bombas, turbinas</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87</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88</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67</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58</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32912" w:rsidRPr="00632912" w:rsidRDefault="00632912" w:rsidP="00632912">
            <w:pPr>
              <w:rPr>
                <w:color w:val="000000"/>
                <w:sz w:val="20"/>
                <w:szCs w:val="24"/>
                <w:lang w:val="es-ES" w:eastAsia="de-AT"/>
              </w:rPr>
            </w:pPr>
            <w:r>
              <w:rPr>
                <w:rFonts w:eastAsia="Arial"/>
                <w:color w:val="000000"/>
                <w:sz w:val="20"/>
                <w:bdr w:val="nil"/>
                <w:lang w:val="es-ES" w:eastAsia="de-AT"/>
              </w:rPr>
              <w:t>28 - Textiles y máquinas de fabricar papel</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41</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44</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28</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47</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32912" w:rsidRDefault="00632912" w:rsidP="00632912">
            <w:pPr>
              <w:rPr>
                <w:color w:val="000000"/>
                <w:sz w:val="20"/>
                <w:szCs w:val="24"/>
                <w:lang w:eastAsia="de-AT"/>
              </w:rPr>
            </w:pPr>
            <w:r>
              <w:rPr>
                <w:rFonts w:eastAsia="Arial"/>
                <w:color w:val="000000"/>
                <w:sz w:val="20"/>
                <w:bdr w:val="nil"/>
                <w:lang w:val="es-ES" w:eastAsia="de-AT"/>
              </w:rPr>
              <w:t>29 - Otras máquinas especiales</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93</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70</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84</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138</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32912" w:rsidRDefault="00632912" w:rsidP="00632912">
            <w:pPr>
              <w:rPr>
                <w:color w:val="000000"/>
                <w:sz w:val="20"/>
                <w:szCs w:val="24"/>
                <w:lang w:eastAsia="de-AT"/>
              </w:rPr>
            </w:pPr>
            <w:r>
              <w:rPr>
                <w:rFonts w:eastAsia="Arial"/>
                <w:color w:val="000000"/>
                <w:sz w:val="20"/>
                <w:bdr w:val="nil"/>
                <w:lang w:val="es-ES" w:eastAsia="de-AT"/>
              </w:rPr>
              <w:t>30 - Procedimientos térmicos y aparatos</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79</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58</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39</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56</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32912" w:rsidRDefault="00632912" w:rsidP="00632912">
            <w:pPr>
              <w:rPr>
                <w:color w:val="000000"/>
                <w:sz w:val="20"/>
                <w:szCs w:val="24"/>
                <w:lang w:eastAsia="de-AT"/>
              </w:rPr>
            </w:pPr>
            <w:r>
              <w:rPr>
                <w:rFonts w:eastAsia="Arial"/>
                <w:color w:val="000000"/>
                <w:sz w:val="20"/>
                <w:bdr w:val="nil"/>
                <w:lang w:val="es-ES" w:eastAsia="de-AT"/>
              </w:rPr>
              <w:t>31 - Elementos mecánicos</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75</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86</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47</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54</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32912" w:rsidRDefault="00632912" w:rsidP="00632912">
            <w:pPr>
              <w:rPr>
                <w:color w:val="000000"/>
                <w:sz w:val="20"/>
                <w:szCs w:val="24"/>
                <w:lang w:eastAsia="de-AT"/>
              </w:rPr>
            </w:pPr>
            <w:r>
              <w:rPr>
                <w:rFonts w:eastAsia="Arial"/>
                <w:color w:val="000000"/>
                <w:sz w:val="20"/>
                <w:bdr w:val="nil"/>
                <w:lang w:val="es-ES" w:eastAsia="de-AT"/>
              </w:rPr>
              <w:t>32 - Transporte</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81</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79</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69</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102</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32912" w:rsidRDefault="00632912" w:rsidP="00632912">
            <w:pPr>
              <w:rPr>
                <w:color w:val="000000"/>
                <w:sz w:val="20"/>
                <w:szCs w:val="24"/>
                <w:lang w:eastAsia="de-AT"/>
              </w:rPr>
            </w:pPr>
            <w:r>
              <w:rPr>
                <w:rFonts w:eastAsia="Arial"/>
                <w:color w:val="000000"/>
                <w:sz w:val="20"/>
                <w:bdr w:val="nil"/>
                <w:lang w:val="es-ES" w:eastAsia="de-AT"/>
              </w:rPr>
              <w:t>33 - Mobiliario, juegos</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105</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81</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49</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75</w:t>
            </w:r>
          </w:p>
        </w:tc>
      </w:tr>
      <w:tr w:rsidR="00200C88" w:rsidTr="00632912">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32912" w:rsidRDefault="00632912" w:rsidP="00632912">
            <w:pPr>
              <w:rPr>
                <w:color w:val="000000"/>
                <w:sz w:val="20"/>
                <w:szCs w:val="24"/>
                <w:lang w:eastAsia="de-AT"/>
              </w:rPr>
            </w:pPr>
            <w:r>
              <w:rPr>
                <w:rFonts w:eastAsia="Arial"/>
                <w:color w:val="000000"/>
                <w:sz w:val="20"/>
                <w:bdr w:val="nil"/>
                <w:lang w:val="es-ES" w:eastAsia="de-AT"/>
              </w:rPr>
              <w:t>34 - Otros bienes de consumo</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38</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45</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22</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44</w:t>
            </w:r>
          </w:p>
        </w:tc>
      </w:tr>
      <w:tr w:rsidR="00200C88" w:rsidTr="00632912">
        <w:trPr>
          <w:trHeight w:hRule="exact" w:val="284"/>
        </w:trPr>
        <w:tc>
          <w:tcPr>
            <w:tcW w:w="4268" w:type="dxa"/>
            <w:tcBorders>
              <w:top w:val="single" w:sz="8" w:space="0" w:color="000000"/>
              <w:left w:val="nil"/>
              <w:bottom w:val="nil"/>
              <w:right w:val="single" w:sz="8" w:space="0" w:color="000000"/>
            </w:tcBorders>
            <w:shd w:val="clear" w:color="auto" w:fill="FAFAFA"/>
            <w:vAlign w:val="center"/>
          </w:tcPr>
          <w:p w:rsidR="00632912" w:rsidRDefault="00632912" w:rsidP="00632912">
            <w:pPr>
              <w:rPr>
                <w:color w:val="000000"/>
                <w:sz w:val="20"/>
                <w:szCs w:val="24"/>
                <w:lang w:eastAsia="de-AT"/>
              </w:rPr>
            </w:pPr>
            <w:r>
              <w:rPr>
                <w:rFonts w:eastAsia="Arial"/>
                <w:color w:val="000000"/>
                <w:sz w:val="20"/>
                <w:bdr w:val="nil"/>
                <w:lang w:val="es-ES" w:eastAsia="de-AT"/>
              </w:rPr>
              <w:t>35 - Ingeniería civil</w:t>
            </w:r>
          </w:p>
        </w:tc>
        <w:tc>
          <w:tcPr>
            <w:tcW w:w="1063" w:type="dxa"/>
            <w:tcBorders>
              <w:top w:val="single" w:sz="8" w:space="0" w:color="000000"/>
              <w:left w:val="single" w:sz="8" w:space="0" w:color="000000"/>
              <w:bottom w:val="nil"/>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189</w:t>
            </w:r>
          </w:p>
        </w:tc>
        <w:tc>
          <w:tcPr>
            <w:tcW w:w="1063" w:type="dxa"/>
            <w:tcBorders>
              <w:top w:val="single" w:sz="8" w:space="0" w:color="000000"/>
              <w:left w:val="single" w:sz="8" w:space="0" w:color="000000"/>
              <w:bottom w:val="nil"/>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157</w:t>
            </w:r>
          </w:p>
        </w:tc>
        <w:tc>
          <w:tcPr>
            <w:tcW w:w="1063" w:type="dxa"/>
            <w:tcBorders>
              <w:top w:val="single" w:sz="8" w:space="0" w:color="000000"/>
              <w:left w:val="single" w:sz="8" w:space="0" w:color="000000"/>
              <w:bottom w:val="nil"/>
              <w:right w:val="single" w:sz="8" w:space="0" w:color="000000"/>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119</w:t>
            </w:r>
          </w:p>
        </w:tc>
        <w:tc>
          <w:tcPr>
            <w:tcW w:w="1063" w:type="dxa"/>
            <w:tcBorders>
              <w:top w:val="single" w:sz="8" w:space="0" w:color="000000"/>
              <w:left w:val="single" w:sz="8" w:space="0" w:color="000000"/>
              <w:bottom w:val="nil"/>
              <w:right w:val="nil"/>
            </w:tcBorders>
            <w:shd w:val="clear" w:color="auto" w:fill="FAFAFA"/>
            <w:noWrap/>
            <w:vAlign w:val="center"/>
          </w:tcPr>
          <w:p w:rsidR="00632912" w:rsidRDefault="00632912" w:rsidP="00632912">
            <w:pPr>
              <w:tabs>
                <w:tab w:val="left" w:pos="822"/>
              </w:tabs>
              <w:ind w:right="284"/>
              <w:jc w:val="right"/>
              <w:rPr>
                <w:color w:val="000000"/>
                <w:sz w:val="20"/>
                <w:szCs w:val="24"/>
                <w:lang w:eastAsia="de-AT"/>
              </w:rPr>
            </w:pPr>
            <w:r>
              <w:rPr>
                <w:color w:val="000000"/>
                <w:sz w:val="20"/>
                <w:lang w:eastAsia="de-AT"/>
              </w:rPr>
              <w:t>157</w:t>
            </w:r>
          </w:p>
        </w:tc>
      </w:tr>
    </w:tbl>
    <w:p w:rsidR="00632912" w:rsidRDefault="00632912" w:rsidP="00632912">
      <w:pPr>
        <w:rPr>
          <w:i/>
          <w:iCs/>
          <w:lang w:val="de-DE" w:eastAsia="de-DE"/>
        </w:rPr>
      </w:pPr>
    </w:p>
    <w:p w:rsidR="00632912" w:rsidRPr="00632912" w:rsidRDefault="00632912" w:rsidP="00632912">
      <w:pPr>
        <w:pStyle w:val="Sub-heading"/>
        <w:rPr>
          <w:lang w:val="es-ES"/>
        </w:rPr>
      </w:pPr>
      <w:r>
        <w:rPr>
          <w:rFonts w:eastAsia="Arial"/>
          <w:bCs/>
          <w:szCs w:val="22"/>
          <w:bdr w:val="nil"/>
          <w:lang w:val="es-ES"/>
        </w:rPr>
        <w:t>Número de solicitudes nacionales recibidas - según la vía utilizada</w:t>
      </w:r>
    </w:p>
    <w:tbl>
      <w:tblPr>
        <w:tblW w:w="8613" w:type="dxa"/>
        <w:tblBorders>
          <w:insideH w:val="single" w:sz="4" w:space="0" w:color="auto"/>
          <w:insideV w:val="single" w:sz="4" w:space="0" w:color="auto"/>
        </w:tblBorders>
        <w:tblLook w:val="04A0" w:firstRow="1" w:lastRow="0" w:firstColumn="1" w:lastColumn="0" w:noHBand="0" w:noVBand="1"/>
      </w:tblPr>
      <w:tblGrid>
        <w:gridCol w:w="4361"/>
        <w:gridCol w:w="1063"/>
        <w:gridCol w:w="1063"/>
        <w:gridCol w:w="1063"/>
        <w:gridCol w:w="1063"/>
      </w:tblGrid>
      <w:tr w:rsidR="00200C88" w:rsidTr="00632912">
        <w:trPr>
          <w:cantSplit/>
          <w:trHeight w:hRule="exact" w:val="284"/>
        </w:trPr>
        <w:tc>
          <w:tcPr>
            <w:tcW w:w="4361" w:type="dxa"/>
            <w:tcBorders>
              <w:top w:val="nil"/>
              <w:left w:val="nil"/>
              <w:bottom w:val="single" w:sz="4" w:space="0" w:color="auto"/>
              <w:right w:val="single" w:sz="4" w:space="0" w:color="auto"/>
            </w:tcBorders>
          </w:tcPr>
          <w:p w:rsidR="00632912" w:rsidRDefault="00530C53" w:rsidP="00530C53">
            <w:pPr>
              <w:keepNext/>
              <w:keepLines/>
              <w:rPr>
                <w:sz w:val="24"/>
                <w:szCs w:val="24"/>
                <w:lang w:val="de-DE" w:eastAsia="de-DE"/>
              </w:rPr>
            </w:pPr>
            <w:r>
              <w:rPr>
                <w:rFonts w:eastAsia="Arial"/>
                <w:szCs w:val="22"/>
                <w:bdr w:val="nil"/>
                <w:lang w:val="es-ES"/>
              </w:rPr>
              <w:t>Vía</w:t>
            </w:r>
          </w:p>
        </w:tc>
        <w:tc>
          <w:tcPr>
            <w:tcW w:w="1063" w:type="dxa"/>
            <w:tcBorders>
              <w:top w:val="nil"/>
              <w:left w:val="single" w:sz="4" w:space="0" w:color="auto"/>
              <w:bottom w:val="single" w:sz="4" w:space="0" w:color="auto"/>
              <w:right w:val="single" w:sz="4" w:space="0" w:color="auto"/>
            </w:tcBorders>
            <w:vAlign w:val="center"/>
          </w:tcPr>
          <w:p w:rsidR="00632912" w:rsidRDefault="00632912" w:rsidP="00632912">
            <w:pPr>
              <w:keepNext/>
              <w:keepLines/>
              <w:jc w:val="center"/>
              <w:rPr>
                <w:b/>
                <w:sz w:val="24"/>
                <w:szCs w:val="24"/>
                <w:lang w:val="de-DE" w:eastAsia="de-DE"/>
              </w:rPr>
            </w:pPr>
            <w:r>
              <w:rPr>
                <w:b/>
              </w:rPr>
              <w:t>2012</w:t>
            </w:r>
          </w:p>
        </w:tc>
        <w:tc>
          <w:tcPr>
            <w:tcW w:w="1063" w:type="dxa"/>
            <w:tcBorders>
              <w:top w:val="nil"/>
              <w:left w:val="single" w:sz="4" w:space="0" w:color="auto"/>
              <w:bottom w:val="single" w:sz="4" w:space="0" w:color="auto"/>
              <w:right w:val="single" w:sz="4" w:space="0" w:color="auto"/>
            </w:tcBorders>
            <w:vAlign w:val="center"/>
          </w:tcPr>
          <w:p w:rsidR="00632912" w:rsidRDefault="00632912" w:rsidP="00632912">
            <w:pPr>
              <w:keepNext/>
              <w:keepLines/>
              <w:jc w:val="center"/>
              <w:rPr>
                <w:b/>
                <w:sz w:val="24"/>
                <w:szCs w:val="24"/>
                <w:lang w:val="de-DE" w:eastAsia="de-DE"/>
              </w:rPr>
            </w:pPr>
            <w:r>
              <w:rPr>
                <w:b/>
              </w:rPr>
              <w:t>2013</w:t>
            </w:r>
          </w:p>
        </w:tc>
        <w:tc>
          <w:tcPr>
            <w:tcW w:w="1063" w:type="dxa"/>
            <w:tcBorders>
              <w:top w:val="nil"/>
              <w:left w:val="single" w:sz="4" w:space="0" w:color="auto"/>
              <w:bottom w:val="single" w:sz="4" w:space="0" w:color="auto"/>
              <w:right w:val="single" w:sz="4" w:space="0" w:color="auto"/>
            </w:tcBorders>
            <w:vAlign w:val="center"/>
          </w:tcPr>
          <w:p w:rsidR="00632912" w:rsidRDefault="00632912" w:rsidP="00632912">
            <w:pPr>
              <w:keepNext/>
              <w:keepLines/>
              <w:jc w:val="center"/>
              <w:rPr>
                <w:b/>
                <w:sz w:val="24"/>
                <w:szCs w:val="24"/>
                <w:lang w:val="de-DE" w:eastAsia="de-DE"/>
              </w:rPr>
            </w:pPr>
            <w:r>
              <w:rPr>
                <w:b/>
              </w:rPr>
              <w:t>2014</w:t>
            </w:r>
          </w:p>
        </w:tc>
        <w:tc>
          <w:tcPr>
            <w:tcW w:w="1063" w:type="dxa"/>
            <w:tcBorders>
              <w:top w:val="nil"/>
              <w:left w:val="single" w:sz="4" w:space="0" w:color="auto"/>
              <w:bottom w:val="single" w:sz="4" w:space="0" w:color="auto"/>
              <w:right w:val="nil"/>
            </w:tcBorders>
            <w:vAlign w:val="center"/>
          </w:tcPr>
          <w:p w:rsidR="00632912" w:rsidRDefault="00632912" w:rsidP="00632912">
            <w:pPr>
              <w:keepNext/>
              <w:keepLines/>
              <w:jc w:val="center"/>
              <w:rPr>
                <w:b/>
                <w:sz w:val="24"/>
                <w:szCs w:val="24"/>
                <w:lang w:val="de-DE" w:eastAsia="de-DE"/>
              </w:rPr>
            </w:pPr>
            <w:r>
              <w:rPr>
                <w:b/>
              </w:rPr>
              <w:t>2015</w:t>
            </w:r>
          </w:p>
        </w:tc>
      </w:tr>
      <w:tr w:rsidR="00200C88" w:rsidTr="00632912">
        <w:trPr>
          <w:cantSplit/>
          <w:trHeight w:hRule="exact" w:val="284"/>
        </w:trPr>
        <w:tc>
          <w:tcPr>
            <w:tcW w:w="4361" w:type="dxa"/>
            <w:tcBorders>
              <w:top w:val="single" w:sz="4" w:space="0" w:color="auto"/>
              <w:left w:val="nil"/>
              <w:bottom w:val="single" w:sz="4" w:space="0" w:color="auto"/>
              <w:right w:val="single" w:sz="4" w:space="0" w:color="auto"/>
            </w:tcBorders>
          </w:tcPr>
          <w:p w:rsidR="00632912" w:rsidRDefault="00632912" w:rsidP="00632912">
            <w:pPr>
              <w:keepNext/>
              <w:keepLines/>
              <w:rPr>
                <w:sz w:val="6"/>
                <w:szCs w:val="24"/>
                <w:lang w:val="de-DE" w:eastAsia="de-DE"/>
              </w:rPr>
            </w:pPr>
          </w:p>
        </w:tc>
        <w:tc>
          <w:tcPr>
            <w:tcW w:w="1063"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keepNext/>
              <w:keepLines/>
              <w:jc w:val="center"/>
              <w:rPr>
                <w:sz w:val="6"/>
                <w:szCs w:val="24"/>
                <w:lang w:val="de-DE" w:eastAsia="de-DE"/>
              </w:rPr>
            </w:pPr>
          </w:p>
        </w:tc>
        <w:tc>
          <w:tcPr>
            <w:tcW w:w="1063"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keepNext/>
              <w:keepLines/>
              <w:jc w:val="center"/>
              <w:rPr>
                <w:sz w:val="6"/>
                <w:szCs w:val="24"/>
                <w:lang w:val="de-DE" w:eastAsia="de-DE"/>
              </w:rPr>
            </w:pPr>
          </w:p>
        </w:tc>
        <w:tc>
          <w:tcPr>
            <w:tcW w:w="1063"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keepNext/>
              <w:keepLines/>
              <w:jc w:val="center"/>
              <w:rPr>
                <w:sz w:val="6"/>
                <w:szCs w:val="24"/>
                <w:lang w:val="de-DE" w:eastAsia="de-DE"/>
              </w:rPr>
            </w:pPr>
          </w:p>
        </w:tc>
        <w:tc>
          <w:tcPr>
            <w:tcW w:w="1063" w:type="dxa"/>
            <w:tcBorders>
              <w:top w:val="single" w:sz="4" w:space="0" w:color="auto"/>
              <w:left w:val="single" w:sz="4" w:space="0" w:color="auto"/>
              <w:bottom w:val="single" w:sz="4" w:space="0" w:color="auto"/>
              <w:right w:val="nil"/>
            </w:tcBorders>
            <w:vAlign w:val="center"/>
          </w:tcPr>
          <w:p w:rsidR="00632912" w:rsidRDefault="00632912" w:rsidP="00632912">
            <w:pPr>
              <w:keepNext/>
              <w:keepLines/>
              <w:jc w:val="center"/>
              <w:rPr>
                <w:sz w:val="6"/>
                <w:szCs w:val="24"/>
                <w:lang w:val="de-DE" w:eastAsia="de-DE"/>
              </w:rPr>
            </w:pPr>
          </w:p>
        </w:tc>
      </w:tr>
      <w:tr w:rsidR="00200C88" w:rsidTr="001D316C">
        <w:trPr>
          <w:cantSplit/>
          <w:trHeight w:hRule="exact" w:val="566"/>
        </w:trPr>
        <w:tc>
          <w:tcPr>
            <w:tcW w:w="4361" w:type="dxa"/>
            <w:tcBorders>
              <w:top w:val="single" w:sz="4" w:space="0" w:color="auto"/>
              <w:left w:val="nil"/>
              <w:bottom w:val="single" w:sz="4" w:space="0" w:color="auto"/>
              <w:right w:val="single" w:sz="4" w:space="0" w:color="auto"/>
            </w:tcBorders>
          </w:tcPr>
          <w:p w:rsidR="00632912" w:rsidRPr="00632912" w:rsidRDefault="00632912" w:rsidP="00632912">
            <w:pPr>
              <w:keepNext/>
              <w:keepLines/>
              <w:rPr>
                <w:sz w:val="24"/>
                <w:szCs w:val="24"/>
                <w:lang w:val="es-ES" w:eastAsia="de-DE"/>
              </w:rPr>
            </w:pPr>
            <w:r>
              <w:rPr>
                <w:rFonts w:eastAsia="Arial"/>
                <w:szCs w:val="22"/>
                <w:bdr w:val="nil"/>
                <w:lang w:val="es-ES"/>
              </w:rPr>
              <w:t>Patente - primera presentación nacional + prioridad por la vía de París</w:t>
            </w:r>
          </w:p>
        </w:tc>
        <w:tc>
          <w:tcPr>
            <w:tcW w:w="1063" w:type="dxa"/>
            <w:tcBorders>
              <w:top w:val="single" w:sz="4" w:space="0" w:color="auto"/>
              <w:left w:val="single" w:sz="4" w:space="0" w:color="auto"/>
              <w:bottom w:val="single" w:sz="4" w:space="0" w:color="auto"/>
              <w:right w:val="single" w:sz="4" w:space="0" w:color="auto"/>
            </w:tcBorders>
            <w:vAlign w:val="center"/>
          </w:tcPr>
          <w:p w:rsidR="00632912" w:rsidRDefault="00632912" w:rsidP="001D316C">
            <w:pPr>
              <w:keepNext/>
              <w:keepLines/>
              <w:ind w:right="170"/>
              <w:jc w:val="right"/>
              <w:rPr>
                <w:sz w:val="24"/>
                <w:szCs w:val="24"/>
                <w:lang w:val="de-DE" w:eastAsia="de-DE"/>
              </w:rPr>
            </w:pPr>
            <w:r>
              <w:t>2</w:t>
            </w:r>
            <w:r w:rsidR="001D316C">
              <w:t>.</w:t>
            </w:r>
            <w:r>
              <w:t>002</w:t>
            </w:r>
          </w:p>
        </w:tc>
        <w:tc>
          <w:tcPr>
            <w:tcW w:w="1063" w:type="dxa"/>
            <w:tcBorders>
              <w:top w:val="single" w:sz="4" w:space="0" w:color="auto"/>
              <w:left w:val="single" w:sz="4" w:space="0" w:color="auto"/>
              <w:bottom w:val="single" w:sz="4" w:space="0" w:color="auto"/>
              <w:right w:val="single" w:sz="4" w:space="0" w:color="auto"/>
            </w:tcBorders>
            <w:vAlign w:val="center"/>
          </w:tcPr>
          <w:p w:rsidR="00632912" w:rsidRDefault="00632912" w:rsidP="001D316C">
            <w:pPr>
              <w:keepNext/>
              <w:keepLines/>
              <w:ind w:right="170"/>
              <w:jc w:val="right"/>
              <w:rPr>
                <w:sz w:val="24"/>
                <w:szCs w:val="24"/>
                <w:lang w:val="de-DE" w:eastAsia="de-DE"/>
              </w:rPr>
            </w:pPr>
            <w:r>
              <w:t>1</w:t>
            </w:r>
            <w:r w:rsidR="001D316C">
              <w:t>.</w:t>
            </w:r>
            <w:r>
              <w:t>873</w:t>
            </w:r>
          </w:p>
        </w:tc>
        <w:tc>
          <w:tcPr>
            <w:tcW w:w="1063" w:type="dxa"/>
            <w:tcBorders>
              <w:top w:val="single" w:sz="4" w:space="0" w:color="auto"/>
              <w:left w:val="single" w:sz="4" w:space="0" w:color="auto"/>
              <w:bottom w:val="single" w:sz="4" w:space="0" w:color="auto"/>
              <w:right w:val="single" w:sz="4" w:space="0" w:color="auto"/>
            </w:tcBorders>
            <w:vAlign w:val="center"/>
          </w:tcPr>
          <w:p w:rsidR="00632912" w:rsidRDefault="00632912" w:rsidP="001D316C">
            <w:pPr>
              <w:keepNext/>
              <w:keepLines/>
              <w:ind w:right="170"/>
              <w:jc w:val="right"/>
              <w:rPr>
                <w:sz w:val="24"/>
                <w:szCs w:val="24"/>
                <w:lang w:val="de-DE" w:eastAsia="de-DE"/>
              </w:rPr>
            </w:pPr>
            <w:r>
              <w:t>1</w:t>
            </w:r>
            <w:r w:rsidR="001D316C">
              <w:t>.</w:t>
            </w:r>
            <w:r>
              <w:t>901</w:t>
            </w:r>
          </w:p>
        </w:tc>
        <w:tc>
          <w:tcPr>
            <w:tcW w:w="1063" w:type="dxa"/>
            <w:tcBorders>
              <w:top w:val="single" w:sz="4" w:space="0" w:color="auto"/>
              <w:left w:val="single" w:sz="4" w:space="0" w:color="auto"/>
              <w:bottom w:val="single" w:sz="4" w:space="0" w:color="auto"/>
              <w:right w:val="nil"/>
            </w:tcBorders>
            <w:vAlign w:val="center"/>
          </w:tcPr>
          <w:p w:rsidR="00632912" w:rsidRDefault="00632912" w:rsidP="001D316C">
            <w:pPr>
              <w:keepNext/>
              <w:keepLines/>
              <w:ind w:right="170"/>
              <w:jc w:val="right"/>
              <w:rPr>
                <w:sz w:val="24"/>
                <w:szCs w:val="24"/>
                <w:lang w:val="de-DE" w:eastAsia="de-DE"/>
              </w:rPr>
            </w:pPr>
            <w:r>
              <w:t>1</w:t>
            </w:r>
            <w:r w:rsidR="001D316C">
              <w:t>.</w:t>
            </w:r>
            <w:r>
              <w:t>954</w:t>
            </w:r>
          </w:p>
        </w:tc>
      </w:tr>
      <w:tr w:rsidR="00200C88" w:rsidTr="001D316C">
        <w:trPr>
          <w:cantSplit/>
          <w:trHeight w:hRule="exact" w:val="560"/>
        </w:trPr>
        <w:tc>
          <w:tcPr>
            <w:tcW w:w="4361" w:type="dxa"/>
            <w:tcBorders>
              <w:top w:val="single" w:sz="4" w:space="0" w:color="auto"/>
              <w:left w:val="nil"/>
              <w:bottom w:val="single" w:sz="4" w:space="0" w:color="auto"/>
              <w:right w:val="single" w:sz="4" w:space="0" w:color="auto"/>
            </w:tcBorders>
          </w:tcPr>
          <w:p w:rsidR="00632912" w:rsidRPr="00632912" w:rsidRDefault="00632912" w:rsidP="00632912">
            <w:pPr>
              <w:keepNext/>
              <w:keepLines/>
              <w:rPr>
                <w:sz w:val="24"/>
                <w:szCs w:val="24"/>
                <w:lang w:val="es-ES" w:eastAsia="de-DE"/>
              </w:rPr>
            </w:pPr>
            <w:r>
              <w:rPr>
                <w:rFonts w:eastAsia="Arial"/>
                <w:szCs w:val="22"/>
                <w:bdr w:val="nil"/>
                <w:lang w:val="es-ES"/>
              </w:rPr>
              <w:t>Patente - Entrada en la fase nacional del PCT</w:t>
            </w:r>
          </w:p>
        </w:tc>
        <w:tc>
          <w:tcPr>
            <w:tcW w:w="1063"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keepNext/>
              <w:keepLines/>
              <w:ind w:right="170"/>
              <w:jc w:val="right"/>
              <w:rPr>
                <w:sz w:val="24"/>
                <w:szCs w:val="24"/>
                <w:lang w:val="de-DE" w:eastAsia="de-DE"/>
              </w:rPr>
            </w:pPr>
            <w:r>
              <w:t>550</w:t>
            </w:r>
          </w:p>
        </w:tc>
        <w:tc>
          <w:tcPr>
            <w:tcW w:w="1063"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keepNext/>
              <w:keepLines/>
              <w:ind w:right="170"/>
              <w:jc w:val="right"/>
              <w:rPr>
                <w:sz w:val="24"/>
                <w:szCs w:val="24"/>
                <w:lang w:val="de-DE" w:eastAsia="de-DE"/>
              </w:rPr>
            </w:pPr>
            <w:r>
              <w:t>533</w:t>
            </w:r>
          </w:p>
        </w:tc>
        <w:tc>
          <w:tcPr>
            <w:tcW w:w="1063"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keepNext/>
              <w:keepLines/>
              <w:ind w:right="170"/>
              <w:jc w:val="right"/>
              <w:rPr>
                <w:sz w:val="24"/>
                <w:szCs w:val="24"/>
                <w:lang w:val="de-DE" w:eastAsia="de-DE"/>
              </w:rPr>
            </w:pPr>
            <w:r>
              <w:t>462</w:t>
            </w:r>
          </w:p>
        </w:tc>
        <w:tc>
          <w:tcPr>
            <w:tcW w:w="1063" w:type="dxa"/>
            <w:tcBorders>
              <w:top w:val="single" w:sz="4" w:space="0" w:color="auto"/>
              <w:left w:val="single" w:sz="4" w:space="0" w:color="auto"/>
              <w:bottom w:val="single" w:sz="4" w:space="0" w:color="auto"/>
              <w:right w:val="nil"/>
            </w:tcBorders>
            <w:vAlign w:val="center"/>
          </w:tcPr>
          <w:p w:rsidR="00632912" w:rsidRDefault="00632912" w:rsidP="00632912">
            <w:pPr>
              <w:keepNext/>
              <w:keepLines/>
              <w:ind w:right="170"/>
              <w:jc w:val="right"/>
              <w:rPr>
                <w:sz w:val="24"/>
                <w:szCs w:val="24"/>
                <w:lang w:val="de-DE" w:eastAsia="de-DE"/>
              </w:rPr>
            </w:pPr>
            <w:r>
              <w:t>487</w:t>
            </w:r>
          </w:p>
        </w:tc>
      </w:tr>
      <w:tr w:rsidR="00200C88" w:rsidTr="001D316C">
        <w:trPr>
          <w:cantSplit/>
          <w:trHeight w:hRule="exact" w:val="567"/>
        </w:trPr>
        <w:tc>
          <w:tcPr>
            <w:tcW w:w="4361" w:type="dxa"/>
            <w:tcBorders>
              <w:top w:val="single" w:sz="4" w:space="0" w:color="auto"/>
              <w:left w:val="nil"/>
              <w:bottom w:val="single" w:sz="4" w:space="0" w:color="auto"/>
              <w:right w:val="single" w:sz="4" w:space="0" w:color="auto"/>
            </w:tcBorders>
          </w:tcPr>
          <w:p w:rsidR="00632912" w:rsidRPr="00632912" w:rsidRDefault="00632912" w:rsidP="00632912">
            <w:pPr>
              <w:keepNext/>
              <w:keepLines/>
              <w:rPr>
                <w:sz w:val="24"/>
                <w:szCs w:val="24"/>
                <w:lang w:val="es-ES" w:eastAsia="de-DE"/>
              </w:rPr>
            </w:pPr>
            <w:r>
              <w:rPr>
                <w:rFonts w:eastAsia="Arial"/>
                <w:szCs w:val="22"/>
                <w:bdr w:val="nil"/>
                <w:lang w:val="es-ES"/>
              </w:rPr>
              <w:t>Modelo de utilidad - primera presentación nacional/prioridad nacional</w:t>
            </w:r>
          </w:p>
        </w:tc>
        <w:tc>
          <w:tcPr>
            <w:tcW w:w="1063"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keepNext/>
              <w:keepLines/>
              <w:ind w:right="170"/>
              <w:jc w:val="right"/>
              <w:rPr>
                <w:sz w:val="24"/>
                <w:szCs w:val="24"/>
                <w:lang w:val="de-DE" w:eastAsia="de-DE"/>
              </w:rPr>
            </w:pPr>
            <w:r>
              <w:t>694</w:t>
            </w:r>
          </w:p>
        </w:tc>
        <w:tc>
          <w:tcPr>
            <w:tcW w:w="1063"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keepNext/>
              <w:keepLines/>
              <w:ind w:right="170"/>
              <w:jc w:val="right"/>
              <w:rPr>
                <w:sz w:val="24"/>
                <w:szCs w:val="24"/>
                <w:lang w:val="de-DE" w:eastAsia="de-DE"/>
              </w:rPr>
            </w:pPr>
            <w:r>
              <w:t>741</w:t>
            </w:r>
          </w:p>
        </w:tc>
        <w:tc>
          <w:tcPr>
            <w:tcW w:w="1063"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keepNext/>
              <w:keepLines/>
              <w:ind w:right="170"/>
              <w:jc w:val="right"/>
              <w:rPr>
                <w:sz w:val="24"/>
                <w:szCs w:val="24"/>
                <w:lang w:val="de-DE" w:eastAsia="de-DE"/>
              </w:rPr>
            </w:pPr>
            <w:r>
              <w:t>724</w:t>
            </w:r>
          </w:p>
        </w:tc>
        <w:tc>
          <w:tcPr>
            <w:tcW w:w="1063" w:type="dxa"/>
            <w:tcBorders>
              <w:top w:val="single" w:sz="4" w:space="0" w:color="auto"/>
              <w:left w:val="single" w:sz="4" w:space="0" w:color="auto"/>
              <w:bottom w:val="single" w:sz="4" w:space="0" w:color="auto"/>
              <w:right w:val="nil"/>
            </w:tcBorders>
            <w:vAlign w:val="center"/>
          </w:tcPr>
          <w:p w:rsidR="00632912" w:rsidRDefault="00632912" w:rsidP="00632912">
            <w:pPr>
              <w:keepNext/>
              <w:keepLines/>
              <w:ind w:right="170"/>
              <w:jc w:val="right"/>
              <w:rPr>
                <w:sz w:val="24"/>
                <w:szCs w:val="24"/>
                <w:lang w:val="de-DE" w:eastAsia="de-DE"/>
              </w:rPr>
            </w:pPr>
            <w:r>
              <w:t>713</w:t>
            </w:r>
          </w:p>
        </w:tc>
      </w:tr>
      <w:tr w:rsidR="00200C88" w:rsidTr="001D316C">
        <w:trPr>
          <w:cantSplit/>
          <w:trHeight w:hRule="exact" w:val="562"/>
        </w:trPr>
        <w:tc>
          <w:tcPr>
            <w:tcW w:w="4361" w:type="dxa"/>
            <w:tcBorders>
              <w:top w:val="single" w:sz="4" w:space="0" w:color="auto"/>
              <w:left w:val="nil"/>
              <w:bottom w:val="nil"/>
              <w:right w:val="single" w:sz="4" w:space="0" w:color="auto"/>
            </w:tcBorders>
          </w:tcPr>
          <w:p w:rsidR="00632912" w:rsidRPr="00632912" w:rsidRDefault="00632912" w:rsidP="00632912">
            <w:pPr>
              <w:keepNext/>
              <w:keepLines/>
              <w:rPr>
                <w:sz w:val="24"/>
                <w:szCs w:val="24"/>
                <w:lang w:val="es-ES" w:eastAsia="de-DE"/>
              </w:rPr>
            </w:pPr>
            <w:r>
              <w:rPr>
                <w:rFonts w:eastAsia="Arial"/>
                <w:szCs w:val="22"/>
                <w:bdr w:val="nil"/>
                <w:lang w:val="es-ES"/>
              </w:rPr>
              <w:t>Modelo de utilidad - Entrada en la fase nacional del PCT</w:t>
            </w:r>
          </w:p>
        </w:tc>
        <w:tc>
          <w:tcPr>
            <w:tcW w:w="1063" w:type="dxa"/>
            <w:tcBorders>
              <w:top w:val="single" w:sz="4" w:space="0" w:color="auto"/>
              <w:left w:val="single" w:sz="4" w:space="0" w:color="auto"/>
              <w:bottom w:val="nil"/>
              <w:right w:val="single" w:sz="4" w:space="0" w:color="auto"/>
            </w:tcBorders>
            <w:vAlign w:val="center"/>
          </w:tcPr>
          <w:p w:rsidR="00632912" w:rsidRDefault="00632912" w:rsidP="00632912">
            <w:pPr>
              <w:keepNext/>
              <w:keepLines/>
              <w:ind w:right="170"/>
              <w:jc w:val="right"/>
              <w:rPr>
                <w:sz w:val="24"/>
                <w:szCs w:val="24"/>
                <w:lang w:val="de-DE" w:eastAsia="de-DE"/>
              </w:rPr>
            </w:pPr>
            <w:r>
              <w:t>17</w:t>
            </w:r>
          </w:p>
        </w:tc>
        <w:tc>
          <w:tcPr>
            <w:tcW w:w="1063" w:type="dxa"/>
            <w:tcBorders>
              <w:top w:val="single" w:sz="4" w:space="0" w:color="auto"/>
              <w:left w:val="single" w:sz="4" w:space="0" w:color="auto"/>
              <w:bottom w:val="nil"/>
              <w:right w:val="single" w:sz="4" w:space="0" w:color="auto"/>
            </w:tcBorders>
            <w:vAlign w:val="center"/>
          </w:tcPr>
          <w:p w:rsidR="00632912" w:rsidRDefault="00632912" w:rsidP="00632912">
            <w:pPr>
              <w:keepNext/>
              <w:keepLines/>
              <w:ind w:right="170"/>
              <w:jc w:val="right"/>
              <w:rPr>
                <w:sz w:val="24"/>
                <w:szCs w:val="24"/>
                <w:lang w:val="de-DE" w:eastAsia="de-DE"/>
              </w:rPr>
            </w:pPr>
            <w:r>
              <w:t>22</w:t>
            </w:r>
          </w:p>
        </w:tc>
        <w:tc>
          <w:tcPr>
            <w:tcW w:w="1063" w:type="dxa"/>
            <w:tcBorders>
              <w:top w:val="single" w:sz="4" w:space="0" w:color="auto"/>
              <w:left w:val="single" w:sz="4" w:space="0" w:color="auto"/>
              <w:bottom w:val="nil"/>
              <w:right w:val="single" w:sz="4" w:space="0" w:color="auto"/>
            </w:tcBorders>
            <w:vAlign w:val="center"/>
          </w:tcPr>
          <w:p w:rsidR="00632912" w:rsidRDefault="00632912" w:rsidP="00632912">
            <w:pPr>
              <w:keepNext/>
              <w:keepLines/>
              <w:ind w:right="170"/>
              <w:jc w:val="right"/>
              <w:rPr>
                <w:sz w:val="24"/>
                <w:szCs w:val="24"/>
                <w:lang w:val="de-DE" w:eastAsia="de-DE"/>
              </w:rPr>
            </w:pPr>
            <w:r>
              <w:t>24</w:t>
            </w:r>
          </w:p>
        </w:tc>
        <w:tc>
          <w:tcPr>
            <w:tcW w:w="1063" w:type="dxa"/>
            <w:tcBorders>
              <w:top w:val="single" w:sz="4" w:space="0" w:color="auto"/>
              <w:left w:val="single" w:sz="4" w:space="0" w:color="auto"/>
              <w:bottom w:val="nil"/>
              <w:right w:val="nil"/>
            </w:tcBorders>
            <w:vAlign w:val="center"/>
          </w:tcPr>
          <w:p w:rsidR="00632912" w:rsidRDefault="00632912" w:rsidP="00632912">
            <w:pPr>
              <w:keepNext/>
              <w:keepLines/>
              <w:ind w:right="170"/>
              <w:jc w:val="right"/>
              <w:rPr>
                <w:sz w:val="24"/>
                <w:szCs w:val="24"/>
                <w:lang w:val="de-DE" w:eastAsia="de-DE"/>
              </w:rPr>
            </w:pPr>
            <w:r>
              <w:t>41</w:t>
            </w:r>
          </w:p>
        </w:tc>
      </w:tr>
    </w:tbl>
    <w:p w:rsidR="00632912" w:rsidRDefault="00632912" w:rsidP="00632912">
      <w:pPr>
        <w:rPr>
          <w:lang w:val="de-DE" w:eastAsia="de-DE"/>
        </w:rPr>
      </w:pPr>
    </w:p>
    <w:p w:rsidR="00530C53" w:rsidRDefault="00530C53">
      <w:pPr>
        <w:rPr>
          <w:rFonts w:eastAsia="Arial"/>
          <w:b/>
          <w:bCs/>
          <w:szCs w:val="22"/>
          <w:bdr w:val="nil"/>
          <w:lang w:val="es-ES"/>
        </w:rPr>
      </w:pPr>
      <w:r>
        <w:rPr>
          <w:rFonts w:eastAsia="Arial"/>
          <w:bCs/>
          <w:szCs w:val="22"/>
          <w:bdr w:val="nil"/>
          <w:lang w:val="es-ES"/>
        </w:rPr>
        <w:br w:type="page"/>
      </w:r>
    </w:p>
    <w:p w:rsidR="00632912" w:rsidRPr="00530C53" w:rsidRDefault="00632912" w:rsidP="00632912">
      <w:pPr>
        <w:pStyle w:val="Sub-heading"/>
        <w:rPr>
          <w:lang w:val="es-ES"/>
        </w:rPr>
      </w:pPr>
      <w:r>
        <w:rPr>
          <w:rFonts w:eastAsia="Arial"/>
          <w:bCs/>
          <w:szCs w:val="22"/>
          <w:bdr w:val="nil"/>
          <w:lang w:val="es-ES"/>
        </w:rPr>
        <w:lastRenderedPageBreak/>
        <w:t>Número de solicitudes internacionales recibidas</w:t>
      </w:r>
    </w:p>
    <w:tbl>
      <w:tblPr>
        <w:tblW w:w="8521" w:type="dxa"/>
        <w:tblInd w:w="55" w:type="dxa"/>
        <w:tblBorders>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2992"/>
        <w:gridCol w:w="1276"/>
        <w:gridCol w:w="1106"/>
        <w:gridCol w:w="1106"/>
        <w:gridCol w:w="1106"/>
        <w:gridCol w:w="935"/>
      </w:tblGrid>
      <w:tr w:rsidR="00200C88" w:rsidRPr="00530C53" w:rsidTr="00530C53">
        <w:trPr>
          <w:trHeight w:hRule="exact" w:val="714"/>
        </w:trPr>
        <w:tc>
          <w:tcPr>
            <w:tcW w:w="2992" w:type="dxa"/>
            <w:tcBorders>
              <w:top w:val="nil"/>
              <w:left w:val="nil"/>
              <w:bottom w:val="single" w:sz="8" w:space="0" w:color="000000"/>
              <w:right w:val="single" w:sz="8" w:space="0" w:color="000000"/>
            </w:tcBorders>
            <w:noWrap/>
            <w:vAlign w:val="center"/>
          </w:tcPr>
          <w:p w:rsidR="00632912" w:rsidRPr="00632912" w:rsidRDefault="00632912" w:rsidP="00632912">
            <w:pPr>
              <w:rPr>
                <w:b/>
                <w:bCs/>
                <w:color w:val="000000"/>
                <w:sz w:val="21"/>
                <w:szCs w:val="21"/>
                <w:lang w:val="es-ES" w:eastAsia="de-AT"/>
              </w:rPr>
            </w:pPr>
            <w:r>
              <w:rPr>
                <w:rFonts w:eastAsia="Arial"/>
                <w:b/>
                <w:bCs/>
                <w:szCs w:val="22"/>
                <w:bdr w:val="nil"/>
                <w:lang w:val="es-ES"/>
              </w:rPr>
              <w:t xml:space="preserve">Oficina </w:t>
            </w:r>
            <w:r w:rsidR="009745E8">
              <w:rPr>
                <w:rFonts w:eastAsia="Arial"/>
                <w:b/>
                <w:bCs/>
                <w:szCs w:val="22"/>
                <w:bdr w:val="nil"/>
                <w:lang w:val="es-ES"/>
              </w:rPr>
              <w:t>Austríaca</w:t>
            </w:r>
            <w:r>
              <w:rPr>
                <w:rFonts w:eastAsia="Arial"/>
                <w:b/>
                <w:bCs/>
                <w:szCs w:val="22"/>
                <w:bdr w:val="nil"/>
                <w:lang w:val="es-ES"/>
              </w:rPr>
              <w:t xml:space="preserve"> de Patentes en calidad de</w:t>
            </w:r>
          </w:p>
        </w:tc>
        <w:tc>
          <w:tcPr>
            <w:tcW w:w="1276" w:type="dxa"/>
            <w:tcBorders>
              <w:top w:val="nil"/>
              <w:left w:val="single" w:sz="8" w:space="0" w:color="000000"/>
              <w:bottom w:val="single" w:sz="8" w:space="0" w:color="000000"/>
              <w:right w:val="single" w:sz="8" w:space="0" w:color="000000"/>
            </w:tcBorders>
            <w:noWrap/>
            <w:vAlign w:val="center"/>
          </w:tcPr>
          <w:p w:rsidR="00632912" w:rsidRPr="00530C53" w:rsidRDefault="00632912" w:rsidP="00632912">
            <w:pPr>
              <w:jc w:val="center"/>
              <w:rPr>
                <w:b/>
                <w:bCs/>
                <w:color w:val="000000"/>
                <w:sz w:val="21"/>
                <w:szCs w:val="21"/>
                <w:lang w:val="es-ES" w:eastAsia="de-AT"/>
              </w:rPr>
            </w:pPr>
            <w:r w:rsidRPr="00530C53">
              <w:rPr>
                <w:b/>
                <w:bCs/>
                <w:color w:val="000000"/>
                <w:sz w:val="21"/>
                <w:szCs w:val="21"/>
                <w:lang w:val="es-ES" w:eastAsia="de-AT"/>
              </w:rPr>
              <w:t>2012</w:t>
            </w:r>
          </w:p>
        </w:tc>
        <w:tc>
          <w:tcPr>
            <w:tcW w:w="1106" w:type="dxa"/>
            <w:tcBorders>
              <w:top w:val="nil"/>
              <w:left w:val="single" w:sz="8" w:space="0" w:color="000000"/>
              <w:bottom w:val="single" w:sz="8" w:space="0" w:color="000000"/>
              <w:right w:val="single" w:sz="8" w:space="0" w:color="000000"/>
            </w:tcBorders>
            <w:vAlign w:val="center"/>
          </w:tcPr>
          <w:p w:rsidR="00632912" w:rsidRPr="00530C53" w:rsidRDefault="00632912" w:rsidP="00632912">
            <w:pPr>
              <w:jc w:val="center"/>
              <w:rPr>
                <w:b/>
                <w:bCs/>
                <w:color w:val="000000"/>
                <w:sz w:val="21"/>
                <w:szCs w:val="21"/>
                <w:lang w:val="es-ES" w:eastAsia="de-AT"/>
              </w:rPr>
            </w:pPr>
            <w:r w:rsidRPr="00530C53">
              <w:rPr>
                <w:b/>
                <w:bCs/>
                <w:color w:val="000000"/>
                <w:sz w:val="21"/>
                <w:szCs w:val="21"/>
                <w:lang w:val="es-ES" w:eastAsia="de-AT"/>
              </w:rPr>
              <w:t>2013</w:t>
            </w:r>
          </w:p>
        </w:tc>
        <w:tc>
          <w:tcPr>
            <w:tcW w:w="1106" w:type="dxa"/>
            <w:tcBorders>
              <w:top w:val="nil"/>
              <w:left w:val="single" w:sz="8" w:space="0" w:color="000000"/>
              <w:bottom w:val="single" w:sz="8" w:space="0" w:color="000000"/>
              <w:right w:val="single" w:sz="8" w:space="0" w:color="000000"/>
            </w:tcBorders>
            <w:noWrap/>
            <w:vAlign w:val="center"/>
          </w:tcPr>
          <w:p w:rsidR="00632912" w:rsidRPr="00530C53" w:rsidRDefault="00632912" w:rsidP="00632912">
            <w:pPr>
              <w:jc w:val="center"/>
              <w:rPr>
                <w:b/>
                <w:bCs/>
                <w:color w:val="000000"/>
                <w:sz w:val="21"/>
                <w:szCs w:val="21"/>
                <w:lang w:val="es-ES" w:eastAsia="de-AT"/>
              </w:rPr>
            </w:pPr>
            <w:r w:rsidRPr="00530C53">
              <w:rPr>
                <w:b/>
                <w:bCs/>
                <w:color w:val="000000"/>
                <w:sz w:val="21"/>
                <w:szCs w:val="21"/>
                <w:lang w:val="es-ES" w:eastAsia="de-AT"/>
              </w:rPr>
              <w:t>2014</w:t>
            </w:r>
          </w:p>
        </w:tc>
        <w:tc>
          <w:tcPr>
            <w:tcW w:w="1106" w:type="dxa"/>
            <w:tcBorders>
              <w:top w:val="nil"/>
              <w:left w:val="single" w:sz="8" w:space="0" w:color="000000"/>
              <w:bottom w:val="single" w:sz="8" w:space="0" w:color="000000"/>
              <w:right w:val="single" w:sz="8" w:space="0" w:color="000000"/>
            </w:tcBorders>
            <w:noWrap/>
            <w:vAlign w:val="center"/>
          </w:tcPr>
          <w:p w:rsidR="00632912" w:rsidRPr="00530C53" w:rsidRDefault="00632912" w:rsidP="00632912">
            <w:pPr>
              <w:jc w:val="center"/>
              <w:rPr>
                <w:b/>
                <w:bCs/>
                <w:color w:val="000000"/>
                <w:sz w:val="21"/>
                <w:szCs w:val="21"/>
                <w:lang w:val="es-ES" w:eastAsia="de-AT"/>
              </w:rPr>
            </w:pPr>
            <w:r w:rsidRPr="00530C53">
              <w:rPr>
                <w:b/>
                <w:bCs/>
                <w:color w:val="000000"/>
                <w:sz w:val="21"/>
                <w:szCs w:val="21"/>
                <w:lang w:val="es-ES" w:eastAsia="de-AT"/>
              </w:rPr>
              <w:t>2015</w:t>
            </w:r>
          </w:p>
        </w:tc>
        <w:tc>
          <w:tcPr>
            <w:tcW w:w="935" w:type="dxa"/>
            <w:tcBorders>
              <w:top w:val="nil"/>
              <w:left w:val="single" w:sz="8" w:space="0" w:color="000000"/>
              <w:bottom w:val="single" w:sz="8" w:space="0" w:color="000000"/>
              <w:right w:val="nil"/>
            </w:tcBorders>
            <w:shd w:val="clear" w:color="auto" w:fill="FFFFFF"/>
            <w:noWrap/>
            <w:vAlign w:val="center"/>
          </w:tcPr>
          <w:p w:rsidR="00632912" w:rsidRPr="00530C53" w:rsidRDefault="00632912" w:rsidP="00632912">
            <w:pPr>
              <w:jc w:val="center"/>
              <w:rPr>
                <w:b/>
                <w:bCs/>
                <w:color w:val="000000"/>
                <w:sz w:val="21"/>
                <w:szCs w:val="21"/>
                <w:lang w:val="es-ES" w:eastAsia="de-AT"/>
              </w:rPr>
            </w:pPr>
            <w:r w:rsidRPr="00530C53">
              <w:rPr>
                <w:b/>
                <w:bCs/>
                <w:color w:val="000000"/>
                <w:sz w:val="21"/>
                <w:szCs w:val="21"/>
                <w:lang w:val="es-ES" w:eastAsia="de-AT"/>
              </w:rPr>
              <w:t>2016</w:t>
            </w:r>
          </w:p>
        </w:tc>
      </w:tr>
      <w:tr w:rsidR="00200C88" w:rsidRPr="00530C53" w:rsidTr="00632912">
        <w:trPr>
          <w:trHeight w:hRule="exact" w:val="284"/>
        </w:trPr>
        <w:tc>
          <w:tcPr>
            <w:tcW w:w="2992" w:type="dxa"/>
            <w:tcBorders>
              <w:top w:val="single" w:sz="8" w:space="0" w:color="000000"/>
              <w:left w:val="nil"/>
              <w:bottom w:val="single" w:sz="8" w:space="0" w:color="000000"/>
              <w:right w:val="single" w:sz="8" w:space="0" w:color="000000"/>
            </w:tcBorders>
            <w:noWrap/>
            <w:vAlign w:val="center"/>
          </w:tcPr>
          <w:p w:rsidR="00632912" w:rsidRPr="00530C53" w:rsidRDefault="00632912" w:rsidP="00632912">
            <w:pPr>
              <w:rPr>
                <w:color w:val="000000"/>
                <w:sz w:val="6"/>
                <w:lang w:val="es-ES" w:eastAsia="de-AT"/>
              </w:rPr>
            </w:pPr>
          </w:p>
        </w:tc>
        <w:tc>
          <w:tcPr>
            <w:tcW w:w="1276" w:type="dxa"/>
            <w:tcBorders>
              <w:top w:val="single" w:sz="8" w:space="0" w:color="000000"/>
              <w:left w:val="single" w:sz="8" w:space="0" w:color="000000"/>
              <w:bottom w:val="single" w:sz="8" w:space="0" w:color="000000"/>
              <w:right w:val="single" w:sz="8" w:space="0" w:color="000000"/>
            </w:tcBorders>
            <w:noWrap/>
            <w:vAlign w:val="center"/>
          </w:tcPr>
          <w:p w:rsidR="00632912" w:rsidRPr="00530C53" w:rsidRDefault="00632912" w:rsidP="00632912">
            <w:pPr>
              <w:jc w:val="center"/>
              <w:rPr>
                <w:color w:val="000000"/>
                <w:sz w:val="6"/>
                <w:lang w:val="es-ES" w:eastAsia="de-AT"/>
              </w:rPr>
            </w:pPr>
          </w:p>
        </w:tc>
        <w:tc>
          <w:tcPr>
            <w:tcW w:w="1106" w:type="dxa"/>
            <w:tcBorders>
              <w:top w:val="single" w:sz="8" w:space="0" w:color="000000"/>
              <w:left w:val="single" w:sz="8" w:space="0" w:color="000000"/>
              <w:bottom w:val="single" w:sz="8" w:space="0" w:color="000000"/>
              <w:right w:val="single" w:sz="8" w:space="0" w:color="000000"/>
            </w:tcBorders>
            <w:vAlign w:val="center"/>
          </w:tcPr>
          <w:p w:rsidR="00632912" w:rsidRPr="00530C53" w:rsidRDefault="00632912" w:rsidP="00632912">
            <w:pPr>
              <w:jc w:val="center"/>
              <w:rPr>
                <w:color w:val="000000"/>
                <w:sz w:val="6"/>
                <w:lang w:val="es-ES" w:eastAsia="de-AT"/>
              </w:rPr>
            </w:pPr>
          </w:p>
        </w:tc>
        <w:tc>
          <w:tcPr>
            <w:tcW w:w="1106" w:type="dxa"/>
            <w:tcBorders>
              <w:top w:val="single" w:sz="8" w:space="0" w:color="000000"/>
              <w:left w:val="single" w:sz="8" w:space="0" w:color="000000"/>
              <w:bottom w:val="single" w:sz="8" w:space="0" w:color="000000"/>
              <w:right w:val="single" w:sz="8" w:space="0" w:color="000000"/>
            </w:tcBorders>
            <w:noWrap/>
            <w:vAlign w:val="center"/>
          </w:tcPr>
          <w:p w:rsidR="00632912" w:rsidRPr="00530C53" w:rsidRDefault="00632912" w:rsidP="00632912">
            <w:pPr>
              <w:jc w:val="center"/>
              <w:rPr>
                <w:color w:val="000000"/>
                <w:sz w:val="6"/>
                <w:lang w:val="es-ES" w:eastAsia="de-AT"/>
              </w:rPr>
            </w:pPr>
          </w:p>
        </w:tc>
        <w:tc>
          <w:tcPr>
            <w:tcW w:w="1106" w:type="dxa"/>
            <w:tcBorders>
              <w:top w:val="single" w:sz="8" w:space="0" w:color="000000"/>
              <w:left w:val="single" w:sz="8" w:space="0" w:color="000000"/>
              <w:bottom w:val="single" w:sz="8" w:space="0" w:color="000000"/>
              <w:right w:val="single" w:sz="8" w:space="0" w:color="000000"/>
            </w:tcBorders>
            <w:noWrap/>
            <w:vAlign w:val="center"/>
          </w:tcPr>
          <w:p w:rsidR="00632912" w:rsidRPr="00530C53" w:rsidRDefault="00632912" w:rsidP="00632912">
            <w:pPr>
              <w:jc w:val="center"/>
              <w:rPr>
                <w:color w:val="000000"/>
                <w:sz w:val="6"/>
                <w:lang w:val="es-ES" w:eastAsia="de-AT"/>
              </w:rPr>
            </w:pPr>
          </w:p>
        </w:tc>
        <w:tc>
          <w:tcPr>
            <w:tcW w:w="935" w:type="dxa"/>
            <w:tcBorders>
              <w:top w:val="single" w:sz="8" w:space="0" w:color="000000"/>
              <w:left w:val="single" w:sz="8" w:space="0" w:color="000000"/>
              <w:bottom w:val="single" w:sz="8" w:space="0" w:color="000000"/>
              <w:right w:val="nil"/>
            </w:tcBorders>
            <w:noWrap/>
            <w:vAlign w:val="center"/>
          </w:tcPr>
          <w:p w:rsidR="00632912" w:rsidRPr="00530C53" w:rsidRDefault="00632912" w:rsidP="00632912">
            <w:pPr>
              <w:jc w:val="center"/>
              <w:rPr>
                <w:color w:val="000000"/>
                <w:sz w:val="6"/>
                <w:lang w:val="es-ES" w:eastAsia="de-AT"/>
              </w:rPr>
            </w:pPr>
          </w:p>
        </w:tc>
      </w:tr>
      <w:tr w:rsidR="00200C88" w:rsidRPr="00530C53" w:rsidTr="00632912">
        <w:trPr>
          <w:trHeight w:hRule="exact" w:val="284"/>
        </w:trPr>
        <w:tc>
          <w:tcPr>
            <w:tcW w:w="2992" w:type="dxa"/>
            <w:tcBorders>
              <w:top w:val="single" w:sz="8" w:space="0" w:color="000000"/>
              <w:left w:val="nil"/>
              <w:bottom w:val="single" w:sz="8" w:space="0" w:color="000000"/>
              <w:right w:val="single" w:sz="8" w:space="0" w:color="000000"/>
            </w:tcBorders>
            <w:vAlign w:val="center"/>
          </w:tcPr>
          <w:p w:rsidR="00632912" w:rsidRPr="00530C53" w:rsidRDefault="00632912" w:rsidP="00632912">
            <w:pPr>
              <w:rPr>
                <w:color w:val="000000"/>
                <w:sz w:val="20"/>
                <w:szCs w:val="24"/>
                <w:lang w:val="es-ES" w:eastAsia="de-AT"/>
              </w:rPr>
            </w:pPr>
            <w:r>
              <w:rPr>
                <w:rFonts w:eastAsia="Arial"/>
                <w:color w:val="000000"/>
                <w:sz w:val="20"/>
                <w:bdr w:val="nil"/>
                <w:lang w:val="es-ES" w:eastAsia="de-AT"/>
              </w:rPr>
              <w:t>Oficina receptora</w:t>
            </w:r>
          </w:p>
        </w:tc>
        <w:tc>
          <w:tcPr>
            <w:tcW w:w="1276" w:type="dxa"/>
            <w:tcBorders>
              <w:top w:val="single" w:sz="8" w:space="0" w:color="000000"/>
              <w:left w:val="single" w:sz="8" w:space="0" w:color="000000"/>
              <w:bottom w:val="single" w:sz="8" w:space="0" w:color="000000"/>
              <w:right w:val="single" w:sz="8" w:space="0" w:color="000000"/>
            </w:tcBorders>
            <w:noWrap/>
            <w:vAlign w:val="center"/>
          </w:tcPr>
          <w:p w:rsidR="00632912" w:rsidRPr="00530C53" w:rsidRDefault="00632912" w:rsidP="00632912">
            <w:pPr>
              <w:jc w:val="center"/>
              <w:rPr>
                <w:color w:val="000000"/>
                <w:sz w:val="20"/>
                <w:szCs w:val="24"/>
                <w:lang w:val="es-ES" w:eastAsia="de-AT"/>
              </w:rPr>
            </w:pPr>
            <w:r w:rsidRPr="00530C53">
              <w:rPr>
                <w:color w:val="000000"/>
                <w:sz w:val="20"/>
                <w:lang w:val="es-ES" w:eastAsia="de-AT"/>
              </w:rPr>
              <w:t>535</w:t>
            </w:r>
          </w:p>
        </w:tc>
        <w:tc>
          <w:tcPr>
            <w:tcW w:w="1106" w:type="dxa"/>
            <w:tcBorders>
              <w:top w:val="single" w:sz="8" w:space="0" w:color="000000"/>
              <w:left w:val="single" w:sz="8" w:space="0" w:color="000000"/>
              <w:bottom w:val="single" w:sz="8" w:space="0" w:color="000000"/>
              <w:right w:val="single" w:sz="8" w:space="0" w:color="000000"/>
            </w:tcBorders>
            <w:vAlign w:val="center"/>
          </w:tcPr>
          <w:p w:rsidR="00632912" w:rsidRPr="00530C53" w:rsidRDefault="00632912" w:rsidP="00632912">
            <w:pPr>
              <w:jc w:val="center"/>
              <w:rPr>
                <w:color w:val="000000"/>
                <w:sz w:val="20"/>
                <w:szCs w:val="24"/>
                <w:lang w:val="es-ES" w:eastAsia="de-AT"/>
              </w:rPr>
            </w:pPr>
            <w:r w:rsidRPr="00530C53">
              <w:rPr>
                <w:color w:val="000000"/>
                <w:sz w:val="20"/>
                <w:lang w:val="es-ES" w:eastAsia="de-AT"/>
              </w:rPr>
              <w:t>473</w:t>
            </w:r>
          </w:p>
        </w:tc>
        <w:tc>
          <w:tcPr>
            <w:tcW w:w="1106" w:type="dxa"/>
            <w:tcBorders>
              <w:top w:val="single" w:sz="8" w:space="0" w:color="000000"/>
              <w:left w:val="single" w:sz="8" w:space="0" w:color="000000"/>
              <w:bottom w:val="single" w:sz="8" w:space="0" w:color="000000"/>
              <w:right w:val="single" w:sz="8" w:space="0" w:color="000000"/>
            </w:tcBorders>
            <w:noWrap/>
            <w:vAlign w:val="center"/>
          </w:tcPr>
          <w:p w:rsidR="00632912" w:rsidRPr="00530C53" w:rsidRDefault="00632912" w:rsidP="00632912">
            <w:pPr>
              <w:jc w:val="center"/>
              <w:rPr>
                <w:color w:val="000000"/>
                <w:sz w:val="20"/>
                <w:szCs w:val="24"/>
                <w:lang w:val="es-ES" w:eastAsia="de-AT"/>
              </w:rPr>
            </w:pPr>
            <w:r w:rsidRPr="00530C53">
              <w:rPr>
                <w:color w:val="000000"/>
                <w:sz w:val="20"/>
                <w:lang w:val="es-ES" w:eastAsia="de-AT"/>
              </w:rPr>
              <w:t>539</w:t>
            </w:r>
          </w:p>
        </w:tc>
        <w:tc>
          <w:tcPr>
            <w:tcW w:w="1106" w:type="dxa"/>
            <w:tcBorders>
              <w:top w:val="single" w:sz="8" w:space="0" w:color="000000"/>
              <w:left w:val="single" w:sz="8" w:space="0" w:color="000000"/>
              <w:bottom w:val="single" w:sz="8" w:space="0" w:color="000000"/>
              <w:right w:val="single" w:sz="8" w:space="0" w:color="000000"/>
            </w:tcBorders>
            <w:noWrap/>
            <w:vAlign w:val="center"/>
          </w:tcPr>
          <w:p w:rsidR="00632912" w:rsidRPr="00530C53" w:rsidRDefault="00632912" w:rsidP="00632912">
            <w:pPr>
              <w:jc w:val="center"/>
              <w:rPr>
                <w:color w:val="000000"/>
                <w:sz w:val="20"/>
                <w:szCs w:val="24"/>
                <w:lang w:val="es-ES" w:eastAsia="de-AT"/>
              </w:rPr>
            </w:pPr>
            <w:r w:rsidRPr="00530C53">
              <w:rPr>
                <w:color w:val="000000"/>
                <w:sz w:val="20"/>
                <w:lang w:val="es-ES" w:eastAsia="de-AT"/>
              </w:rPr>
              <w:t>492</w:t>
            </w:r>
          </w:p>
        </w:tc>
        <w:tc>
          <w:tcPr>
            <w:tcW w:w="935" w:type="dxa"/>
            <w:tcBorders>
              <w:top w:val="single" w:sz="8" w:space="0" w:color="000000"/>
              <w:left w:val="single" w:sz="8" w:space="0" w:color="000000"/>
              <w:bottom w:val="single" w:sz="8" w:space="0" w:color="000000"/>
              <w:right w:val="nil"/>
            </w:tcBorders>
            <w:noWrap/>
            <w:vAlign w:val="center"/>
          </w:tcPr>
          <w:p w:rsidR="00632912" w:rsidRPr="00530C53" w:rsidRDefault="00632912" w:rsidP="00632912">
            <w:pPr>
              <w:jc w:val="center"/>
              <w:rPr>
                <w:color w:val="000000"/>
                <w:sz w:val="20"/>
                <w:szCs w:val="24"/>
                <w:lang w:val="es-ES" w:eastAsia="de-AT"/>
              </w:rPr>
            </w:pPr>
            <w:r w:rsidRPr="00530C53">
              <w:rPr>
                <w:color w:val="000000"/>
                <w:sz w:val="20"/>
                <w:lang w:val="es-ES" w:eastAsia="de-AT"/>
              </w:rPr>
              <w:t>507</w:t>
            </w:r>
          </w:p>
        </w:tc>
      </w:tr>
      <w:tr w:rsidR="00200C88" w:rsidTr="00632912">
        <w:trPr>
          <w:trHeight w:hRule="exact" w:val="284"/>
        </w:trPr>
        <w:tc>
          <w:tcPr>
            <w:tcW w:w="2992" w:type="dxa"/>
            <w:tcBorders>
              <w:top w:val="single" w:sz="8" w:space="0" w:color="000000"/>
              <w:left w:val="nil"/>
              <w:bottom w:val="nil"/>
              <w:right w:val="single" w:sz="8" w:space="0" w:color="000000"/>
            </w:tcBorders>
            <w:shd w:val="clear" w:color="auto" w:fill="FFFFFF"/>
            <w:vAlign w:val="center"/>
          </w:tcPr>
          <w:p w:rsidR="00632912" w:rsidRDefault="00632912" w:rsidP="00632912">
            <w:pPr>
              <w:rPr>
                <w:color w:val="000000"/>
                <w:sz w:val="20"/>
                <w:szCs w:val="24"/>
                <w:lang w:eastAsia="de-AT"/>
              </w:rPr>
            </w:pPr>
            <w:r>
              <w:rPr>
                <w:rFonts w:eastAsia="Arial"/>
                <w:color w:val="000000"/>
                <w:sz w:val="20"/>
                <w:bdr w:val="nil"/>
                <w:lang w:val="es-ES" w:eastAsia="de-AT"/>
              </w:rPr>
              <w:t>ISA/IPEA/SISA</w:t>
            </w:r>
          </w:p>
        </w:tc>
        <w:tc>
          <w:tcPr>
            <w:tcW w:w="1276" w:type="dxa"/>
            <w:tcBorders>
              <w:top w:val="single" w:sz="8" w:space="0" w:color="000000"/>
              <w:left w:val="single" w:sz="8" w:space="0" w:color="000000"/>
              <w:bottom w:val="nil"/>
              <w:right w:val="single" w:sz="8" w:space="0" w:color="000000"/>
            </w:tcBorders>
            <w:shd w:val="clear" w:color="auto" w:fill="FFFFFF"/>
            <w:noWrap/>
            <w:vAlign w:val="center"/>
          </w:tcPr>
          <w:p w:rsidR="00632912" w:rsidRDefault="00632912" w:rsidP="00632912">
            <w:pPr>
              <w:jc w:val="center"/>
              <w:rPr>
                <w:color w:val="000000"/>
                <w:sz w:val="20"/>
                <w:szCs w:val="24"/>
                <w:lang w:eastAsia="de-AT"/>
              </w:rPr>
            </w:pPr>
            <w:r>
              <w:rPr>
                <w:color w:val="000000"/>
                <w:sz w:val="20"/>
                <w:lang w:eastAsia="de-AT"/>
              </w:rPr>
              <w:t>197</w:t>
            </w:r>
          </w:p>
        </w:tc>
        <w:tc>
          <w:tcPr>
            <w:tcW w:w="1106" w:type="dxa"/>
            <w:tcBorders>
              <w:top w:val="single" w:sz="8" w:space="0" w:color="000000"/>
              <w:left w:val="single" w:sz="8" w:space="0" w:color="000000"/>
              <w:bottom w:val="nil"/>
              <w:right w:val="single" w:sz="8" w:space="0" w:color="000000"/>
            </w:tcBorders>
            <w:shd w:val="clear" w:color="auto" w:fill="FFFFFF"/>
            <w:vAlign w:val="center"/>
          </w:tcPr>
          <w:p w:rsidR="00632912" w:rsidRDefault="00632912" w:rsidP="00632912">
            <w:pPr>
              <w:jc w:val="center"/>
              <w:rPr>
                <w:color w:val="000000"/>
                <w:sz w:val="20"/>
                <w:szCs w:val="24"/>
                <w:lang w:eastAsia="de-AT"/>
              </w:rPr>
            </w:pPr>
            <w:r>
              <w:rPr>
                <w:color w:val="000000"/>
                <w:sz w:val="20"/>
                <w:lang w:eastAsia="de-AT"/>
              </w:rPr>
              <w:t>233</w:t>
            </w:r>
          </w:p>
        </w:tc>
        <w:tc>
          <w:tcPr>
            <w:tcW w:w="1106" w:type="dxa"/>
            <w:tcBorders>
              <w:top w:val="single" w:sz="8" w:space="0" w:color="000000"/>
              <w:left w:val="single" w:sz="8" w:space="0" w:color="000000"/>
              <w:bottom w:val="nil"/>
              <w:right w:val="single" w:sz="8" w:space="0" w:color="000000"/>
            </w:tcBorders>
            <w:shd w:val="clear" w:color="auto" w:fill="FFFFFF"/>
            <w:noWrap/>
            <w:vAlign w:val="center"/>
          </w:tcPr>
          <w:p w:rsidR="00632912" w:rsidRDefault="00632912" w:rsidP="00632912">
            <w:pPr>
              <w:jc w:val="center"/>
              <w:rPr>
                <w:color w:val="000000"/>
                <w:sz w:val="20"/>
                <w:szCs w:val="24"/>
                <w:lang w:eastAsia="de-AT"/>
              </w:rPr>
            </w:pPr>
            <w:r>
              <w:rPr>
                <w:color w:val="000000"/>
                <w:sz w:val="20"/>
                <w:lang w:eastAsia="de-AT"/>
              </w:rPr>
              <w:t>234</w:t>
            </w:r>
          </w:p>
        </w:tc>
        <w:tc>
          <w:tcPr>
            <w:tcW w:w="1106" w:type="dxa"/>
            <w:tcBorders>
              <w:top w:val="single" w:sz="8" w:space="0" w:color="000000"/>
              <w:left w:val="single" w:sz="8" w:space="0" w:color="000000"/>
              <w:bottom w:val="nil"/>
              <w:right w:val="single" w:sz="8" w:space="0" w:color="000000"/>
            </w:tcBorders>
            <w:shd w:val="clear" w:color="auto" w:fill="FFFFFF"/>
            <w:noWrap/>
            <w:vAlign w:val="center"/>
          </w:tcPr>
          <w:p w:rsidR="00632912" w:rsidRDefault="00632912" w:rsidP="00632912">
            <w:pPr>
              <w:jc w:val="center"/>
              <w:rPr>
                <w:color w:val="000000"/>
                <w:sz w:val="20"/>
                <w:szCs w:val="24"/>
                <w:lang w:eastAsia="de-AT"/>
              </w:rPr>
            </w:pPr>
            <w:r>
              <w:rPr>
                <w:color w:val="000000"/>
                <w:sz w:val="20"/>
                <w:lang w:eastAsia="de-AT"/>
              </w:rPr>
              <w:t>205</w:t>
            </w:r>
          </w:p>
        </w:tc>
        <w:tc>
          <w:tcPr>
            <w:tcW w:w="935" w:type="dxa"/>
            <w:tcBorders>
              <w:top w:val="single" w:sz="8" w:space="0" w:color="000000"/>
              <w:left w:val="single" w:sz="8" w:space="0" w:color="000000"/>
              <w:bottom w:val="nil"/>
              <w:right w:val="nil"/>
            </w:tcBorders>
            <w:shd w:val="clear" w:color="auto" w:fill="FFFFFF"/>
            <w:noWrap/>
            <w:vAlign w:val="center"/>
          </w:tcPr>
          <w:p w:rsidR="00632912" w:rsidRDefault="00632912" w:rsidP="00632912">
            <w:pPr>
              <w:jc w:val="center"/>
              <w:rPr>
                <w:color w:val="000000"/>
                <w:sz w:val="20"/>
                <w:szCs w:val="24"/>
                <w:lang w:eastAsia="de-AT"/>
              </w:rPr>
            </w:pPr>
            <w:r>
              <w:rPr>
                <w:color w:val="000000"/>
                <w:sz w:val="20"/>
                <w:lang w:eastAsia="de-AT"/>
              </w:rPr>
              <w:t>215</w:t>
            </w:r>
          </w:p>
        </w:tc>
      </w:tr>
    </w:tbl>
    <w:p w:rsidR="00632912" w:rsidRPr="00632912" w:rsidRDefault="001D316C" w:rsidP="00632912">
      <w:pPr>
        <w:rPr>
          <w:i/>
          <w:lang w:val="es-ES"/>
        </w:rPr>
      </w:pPr>
      <w:r>
        <w:rPr>
          <w:rFonts w:eastAsia="Arial"/>
          <w:i/>
          <w:iCs/>
          <w:szCs w:val="22"/>
          <w:bdr w:val="nil"/>
          <w:lang w:val="es-ES"/>
        </w:rPr>
        <w:t xml:space="preserve">SISA: </w:t>
      </w:r>
      <w:r w:rsidR="00632912">
        <w:rPr>
          <w:rFonts w:eastAsia="Arial"/>
          <w:i/>
          <w:iCs/>
          <w:szCs w:val="22"/>
          <w:bdr w:val="nil"/>
          <w:lang w:val="es-ES"/>
        </w:rPr>
        <w:t>Administración encargada de la búsqueda suplementaria internacional</w:t>
      </w:r>
    </w:p>
    <w:p w:rsidR="00632912" w:rsidRPr="00632912" w:rsidRDefault="00632912" w:rsidP="00632912">
      <w:pPr>
        <w:pStyle w:val="Sub-heading"/>
        <w:rPr>
          <w:lang w:val="es-ES"/>
        </w:rPr>
      </w:pPr>
      <w:r>
        <w:rPr>
          <w:rFonts w:eastAsia="Arial"/>
          <w:bCs/>
          <w:szCs w:val="22"/>
          <w:bdr w:val="nil"/>
          <w:lang w:val="es-ES"/>
        </w:rPr>
        <w:t>Número de informes de búsqueda internacional establecidos por ISA/AT</w:t>
      </w:r>
    </w:p>
    <w:tbl>
      <w:tblPr>
        <w:tblW w:w="8520" w:type="dxa"/>
        <w:tblInd w:w="55" w:type="dxa"/>
        <w:tblBorders>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2992"/>
        <w:gridCol w:w="1098"/>
        <w:gridCol w:w="1099"/>
        <w:gridCol w:w="1098"/>
        <w:gridCol w:w="1099"/>
        <w:gridCol w:w="1134"/>
      </w:tblGrid>
      <w:tr w:rsidR="00200C88" w:rsidTr="00632912">
        <w:trPr>
          <w:trHeight w:hRule="exact" w:val="284"/>
        </w:trPr>
        <w:tc>
          <w:tcPr>
            <w:tcW w:w="2992" w:type="dxa"/>
            <w:tcBorders>
              <w:top w:val="nil"/>
              <w:left w:val="nil"/>
              <w:bottom w:val="single" w:sz="8" w:space="0" w:color="000000"/>
              <w:right w:val="single" w:sz="8" w:space="0" w:color="000000"/>
            </w:tcBorders>
            <w:noWrap/>
            <w:vAlign w:val="center"/>
          </w:tcPr>
          <w:p w:rsidR="00632912" w:rsidRPr="00632912" w:rsidRDefault="00632912" w:rsidP="00632912">
            <w:pPr>
              <w:rPr>
                <w:b/>
                <w:bCs/>
                <w:color w:val="000000"/>
                <w:sz w:val="21"/>
                <w:szCs w:val="21"/>
                <w:lang w:val="es-ES" w:eastAsia="de-AT"/>
              </w:rPr>
            </w:pPr>
          </w:p>
        </w:tc>
        <w:tc>
          <w:tcPr>
            <w:tcW w:w="1098" w:type="dxa"/>
            <w:tcBorders>
              <w:top w:val="nil"/>
              <w:left w:val="single" w:sz="8" w:space="0" w:color="000000"/>
              <w:bottom w:val="single" w:sz="8" w:space="0" w:color="000000"/>
              <w:right w:val="single" w:sz="8" w:space="0" w:color="000000"/>
            </w:tcBorders>
            <w:noWrap/>
            <w:vAlign w:val="center"/>
          </w:tcPr>
          <w:p w:rsidR="00632912" w:rsidRDefault="00632912" w:rsidP="00632912">
            <w:pPr>
              <w:jc w:val="center"/>
              <w:rPr>
                <w:b/>
                <w:bCs/>
                <w:color w:val="000000"/>
                <w:sz w:val="21"/>
                <w:szCs w:val="21"/>
                <w:lang w:eastAsia="de-AT"/>
              </w:rPr>
            </w:pPr>
            <w:r>
              <w:rPr>
                <w:b/>
                <w:bCs/>
                <w:color w:val="000000"/>
                <w:sz w:val="21"/>
                <w:szCs w:val="21"/>
                <w:lang w:eastAsia="de-AT"/>
              </w:rPr>
              <w:t>2012</w:t>
            </w:r>
          </w:p>
        </w:tc>
        <w:tc>
          <w:tcPr>
            <w:tcW w:w="1099" w:type="dxa"/>
            <w:tcBorders>
              <w:top w:val="nil"/>
              <w:left w:val="single" w:sz="8" w:space="0" w:color="000000"/>
              <w:bottom w:val="single" w:sz="8" w:space="0" w:color="000000"/>
              <w:right w:val="single" w:sz="8" w:space="0" w:color="000000"/>
            </w:tcBorders>
            <w:vAlign w:val="center"/>
          </w:tcPr>
          <w:p w:rsidR="00632912" w:rsidRDefault="00632912" w:rsidP="00632912">
            <w:pPr>
              <w:jc w:val="center"/>
              <w:rPr>
                <w:b/>
                <w:bCs/>
                <w:color w:val="000000"/>
                <w:sz w:val="21"/>
                <w:szCs w:val="21"/>
                <w:lang w:eastAsia="de-AT"/>
              </w:rPr>
            </w:pPr>
            <w:r>
              <w:rPr>
                <w:b/>
                <w:bCs/>
                <w:color w:val="000000"/>
                <w:sz w:val="21"/>
                <w:szCs w:val="21"/>
                <w:lang w:eastAsia="de-AT"/>
              </w:rPr>
              <w:t>2013</w:t>
            </w:r>
          </w:p>
        </w:tc>
        <w:tc>
          <w:tcPr>
            <w:tcW w:w="1098" w:type="dxa"/>
            <w:tcBorders>
              <w:top w:val="nil"/>
              <w:left w:val="single" w:sz="8" w:space="0" w:color="000000"/>
              <w:bottom w:val="single" w:sz="8" w:space="0" w:color="000000"/>
              <w:right w:val="single" w:sz="8" w:space="0" w:color="000000"/>
            </w:tcBorders>
            <w:noWrap/>
            <w:vAlign w:val="center"/>
          </w:tcPr>
          <w:p w:rsidR="00632912" w:rsidRDefault="00632912" w:rsidP="00632912">
            <w:pPr>
              <w:jc w:val="center"/>
              <w:rPr>
                <w:b/>
                <w:bCs/>
                <w:color w:val="000000"/>
                <w:sz w:val="21"/>
                <w:szCs w:val="21"/>
                <w:lang w:eastAsia="de-AT"/>
              </w:rPr>
            </w:pPr>
            <w:r>
              <w:rPr>
                <w:b/>
                <w:bCs/>
                <w:color w:val="000000"/>
                <w:sz w:val="21"/>
                <w:szCs w:val="21"/>
                <w:lang w:eastAsia="de-AT"/>
              </w:rPr>
              <w:t>2014</w:t>
            </w:r>
          </w:p>
        </w:tc>
        <w:tc>
          <w:tcPr>
            <w:tcW w:w="1099" w:type="dxa"/>
            <w:tcBorders>
              <w:top w:val="nil"/>
              <w:left w:val="single" w:sz="8" w:space="0" w:color="000000"/>
              <w:bottom w:val="single" w:sz="8" w:space="0" w:color="000000"/>
              <w:right w:val="single" w:sz="8" w:space="0" w:color="000000"/>
            </w:tcBorders>
            <w:noWrap/>
            <w:vAlign w:val="center"/>
          </w:tcPr>
          <w:p w:rsidR="00632912" w:rsidRDefault="00632912" w:rsidP="00632912">
            <w:pPr>
              <w:jc w:val="center"/>
              <w:rPr>
                <w:b/>
                <w:bCs/>
                <w:color w:val="000000"/>
                <w:sz w:val="21"/>
                <w:szCs w:val="21"/>
                <w:lang w:eastAsia="de-AT"/>
              </w:rPr>
            </w:pPr>
            <w:r>
              <w:rPr>
                <w:b/>
                <w:bCs/>
                <w:color w:val="000000"/>
                <w:sz w:val="21"/>
                <w:szCs w:val="21"/>
                <w:lang w:eastAsia="de-AT"/>
              </w:rPr>
              <w:t>2015</w:t>
            </w:r>
          </w:p>
        </w:tc>
        <w:tc>
          <w:tcPr>
            <w:tcW w:w="1134" w:type="dxa"/>
            <w:tcBorders>
              <w:top w:val="nil"/>
              <w:left w:val="single" w:sz="8" w:space="0" w:color="000000"/>
              <w:bottom w:val="single" w:sz="8" w:space="0" w:color="000000"/>
              <w:right w:val="nil"/>
            </w:tcBorders>
          </w:tcPr>
          <w:p w:rsidR="00632912" w:rsidRDefault="00632912" w:rsidP="00632912">
            <w:pPr>
              <w:jc w:val="center"/>
              <w:rPr>
                <w:b/>
                <w:bCs/>
                <w:color w:val="000000"/>
                <w:sz w:val="21"/>
                <w:szCs w:val="21"/>
                <w:lang w:eastAsia="de-AT"/>
              </w:rPr>
            </w:pPr>
            <w:r>
              <w:rPr>
                <w:b/>
                <w:bCs/>
                <w:color w:val="000000"/>
                <w:sz w:val="21"/>
                <w:szCs w:val="21"/>
                <w:lang w:eastAsia="de-AT"/>
              </w:rPr>
              <w:t>2016</w:t>
            </w:r>
          </w:p>
        </w:tc>
      </w:tr>
      <w:tr w:rsidR="00200C88" w:rsidTr="00632912">
        <w:trPr>
          <w:trHeight w:hRule="exact" w:val="284"/>
        </w:trPr>
        <w:tc>
          <w:tcPr>
            <w:tcW w:w="2992" w:type="dxa"/>
            <w:tcBorders>
              <w:top w:val="single" w:sz="8" w:space="0" w:color="000000"/>
              <w:left w:val="nil"/>
              <w:bottom w:val="single" w:sz="8" w:space="0" w:color="000000"/>
              <w:right w:val="single" w:sz="8" w:space="0" w:color="000000"/>
            </w:tcBorders>
            <w:noWrap/>
            <w:vAlign w:val="center"/>
          </w:tcPr>
          <w:p w:rsidR="00632912" w:rsidRDefault="00632912" w:rsidP="00632912">
            <w:pPr>
              <w:rPr>
                <w:color w:val="000000"/>
                <w:sz w:val="6"/>
                <w:lang w:eastAsia="de-AT"/>
              </w:rPr>
            </w:pPr>
          </w:p>
        </w:tc>
        <w:tc>
          <w:tcPr>
            <w:tcW w:w="1098" w:type="dxa"/>
            <w:tcBorders>
              <w:top w:val="single" w:sz="8" w:space="0" w:color="000000"/>
              <w:left w:val="single" w:sz="8" w:space="0" w:color="000000"/>
              <w:bottom w:val="single" w:sz="8" w:space="0" w:color="000000"/>
              <w:right w:val="single" w:sz="8" w:space="0" w:color="000000"/>
            </w:tcBorders>
            <w:noWrap/>
            <w:vAlign w:val="center"/>
          </w:tcPr>
          <w:p w:rsidR="00632912" w:rsidRDefault="00632912" w:rsidP="00632912">
            <w:pPr>
              <w:jc w:val="center"/>
              <w:rPr>
                <w:color w:val="000000"/>
                <w:sz w:val="6"/>
                <w:lang w:eastAsia="de-AT"/>
              </w:rPr>
            </w:pPr>
          </w:p>
        </w:tc>
        <w:tc>
          <w:tcPr>
            <w:tcW w:w="1099" w:type="dxa"/>
            <w:tcBorders>
              <w:top w:val="single" w:sz="8" w:space="0" w:color="000000"/>
              <w:left w:val="single" w:sz="8" w:space="0" w:color="000000"/>
              <w:bottom w:val="single" w:sz="8" w:space="0" w:color="000000"/>
              <w:right w:val="single" w:sz="8" w:space="0" w:color="000000"/>
            </w:tcBorders>
            <w:vAlign w:val="center"/>
          </w:tcPr>
          <w:p w:rsidR="00632912" w:rsidRDefault="00632912" w:rsidP="00632912">
            <w:pPr>
              <w:jc w:val="center"/>
              <w:rPr>
                <w:color w:val="000000"/>
                <w:sz w:val="6"/>
                <w:lang w:eastAsia="de-AT"/>
              </w:rPr>
            </w:pPr>
          </w:p>
        </w:tc>
        <w:tc>
          <w:tcPr>
            <w:tcW w:w="1098" w:type="dxa"/>
            <w:tcBorders>
              <w:top w:val="single" w:sz="8" w:space="0" w:color="000000"/>
              <w:left w:val="single" w:sz="8" w:space="0" w:color="000000"/>
              <w:bottom w:val="single" w:sz="8" w:space="0" w:color="000000"/>
              <w:right w:val="single" w:sz="8" w:space="0" w:color="000000"/>
            </w:tcBorders>
            <w:noWrap/>
            <w:vAlign w:val="center"/>
          </w:tcPr>
          <w:p w:rsidR="00632912" w:rsidRDefault="00632912" w:rsidP="00632912">
            <w:pPr>
              <w:jc w:val="center"/>
              <w:rPr>
                <w:color w:val="000000"/>
                <w:sz w:val="6"/>
                <w:lang w:eastAsia="de-AT"/>
              </w:rPr>
            </w:pPr>
          </w:p>
        </w:tc>
        <w:tc>
          <w:tcPr>
            <w:tcW w:w="1099" w:type="dxa"/>
            <w:tcBorders>
              <w:top w:val="single" w:sz="8" w:space="0" w:color="000000"/>
              <w:left w:val="single" w:sz="8" w:space="0" w:color="000000"/>
              <w:bottom w:val="single" w:sz="8" w:space="0" w:color="000000"/>
              <w:right w:val="single" w:sz="8" w:space="0" w:color="000000"/>
            </w:tcBorders>
            <w:noWrap/>
            <w:vAlign w:val="center"/>
          </w:tcPr>
          <w:p w:rsidR="00632912" w:rsidRDefault="00632912" w:rsidP="00632912">
            <w:pPr>
              <w:jc w:val="center"/>
              <w:rPr>
                <w:color w:val="000000"/>
                <w:sz w:val="6"/>
                <w:lang w:eastAsia="de-AT"/>
              </w:rPr>
            </w:pPr>
          </w:p>
        </w:tc>
        <w:tc>
          <w:tcPr>
            <w:tcW w:w="1134" w:type="dxa"/>
            <w:tcBorders>
              <w:top w:val="single" w:sz="8" w:space="0" w:color="000000"/>
              <w:left w:val="single" w:sz="8" w:space="0" w:color="000000"/>
              <w:bottom w:val="single" w:sz="8" w:space="0" w:color="000000"/>
              <w:right w:val="nil"/>
            </w:tcBorders>
          </w:tcPr>
          <w:p w:rsidR="00632912" w:rsidRDefault="00632912" w:rsidP="00632912">
            <w:pPr>
              <w:jc w:val="center"/>
              <w:rPr>
                <w:color w:val="000000"/>
                <w:sz w:val="6"/>
                <w:lang w:eastAsia="de-AT"/>
              </w:rPr>
            </w:pPr>
          </w:p>
        </w:tc>
      </w:tr>
      <w:tr w:rsidR="00200C88" w:rsidTr="00632912">
        <w:trPr>
          <w:trHeight w:hRule="exact" w:val="284"/>
        </w:trPr>
        <w:tc>
          <w:tcPr>
            <w:tcW w:w="2992" w:type="dxa"/>
            <w:tcBorders>
              <w:top w:val="single" w:sz="8" w:space="0" w:color="000000"/>
              <w:left w:val="nil"/>
              <w:bottom w:val="nil"/>
              <w:right w:val="single" w:sz="8" w:space="0" w:color="000000"/>
            </w:tcBorders>
            <w:vAlign w:val="center"/>
          </w:tcPr>
          <w:p w:rsidR="00632912" w:rsidRDefault="00632912" w:rsidP="00632912">
            <w:pPr>
              <w:rPr>
                <w:color w:val="000000"/>
                <w:sz w:val="20"/>
                <w:szCs w:val="24"/>
                <w:lang w:eastAsia="de-AT"/>
              </w:rPr>
            </w:pPr>
            <w:r>
              <w:rPr>
                <w:rFonts w:eastAsia="Arial"/>
                <w:color w:val="000000"/>
                <w:sz w:val="20"/>
                <w:bdr w:val="nil"/>
                <w:lang w:val="es-ES" w:eastAsia="de-AT"/>
              </w:rPr>
              <w:t>ISA – Informes de búsqueda</w:t>
            </w:r>
          </w:p>
        </w:tc>
        <w:tc>
          <w:tcPr>
            <w:tcW w:w="1098" w:type="dxa"/>
            <w:tcBorders>
              <w:top w:val="single" w:sz="8" w:space="0" w:color="000000"/>
              <w:left w:val="single" w:sz="8" w:space="0" w:color="000000"/>
              <w:bottom w:val="nil"/>
              <w:right w:val="single" w:sz="8" w:space="0" w:color="000000"/>
            </w:tcBorders>
            <w:noWrap/>
            <w:vAlign w:val="center"/>
          </w:tcPr>
          <w:p w:rsidR="00632912" w:rsidRDefault="00632912" w:rsidP="00632912">
            <w:pPr>
              <w:jc w:val="center"/>
              <w:rPr>
                <w:color w:val="000000"/>
                <w:sz w:val="20"/>
                <w:szCs w:val="24"/>
                <w:lang w:eastAsia="de-AT"/>
              </w:rPr>
            </w:pPr>
            <w:r>
              <w:rPr>
                <w:color w:val="000000"/>
                <w:sz w:val="20"/>
                <w:lang w:eastAsia="de-AT"/>
              </w:rPr>
              <w:t>392</w:t>
            </w:r>
          </w:p>
        </w:tc>
        <w:tc>
          <w:tcPr>
            <w:tcW w:w="1099" w:type="dxa"/>
            <w:tcBorders>
              <w:top w:val="single" w:sz="8" w:space="0" w:color="000000"/>
              <w:left w:val="single" w:sz="8" w:space="0" w:color="000000"/>
              <w:bottom w:val="nil"/>
              <w:right w:val="single" w:sz="8" w:space="0" w:color="000000"/>
            </w:tcBorders>
            <w:vAlign w:val="center"/>
          </w:tcPr>
          <w:p w:rsidR="00632912" w:rsidRDefault="00632912" w:rsidP="00632912">
            <w:pPr>
              <w:jc w:val="center"/>
              <w:rPr>
                <w:color w:val="000000"/>
                <w:sz w:val="20"/>
                <w:szCs w:val="24"/>
                <w:lang w:eastAsia="de-AT"/>
              </w:rPr>
            </w:pPr>
            <w:r>
              <w:rPr>
                <w:color w:val="000000"/>
                <w:sz w:val="20"/>
                <w:lang w:eastAsia="de-AT"/>
              </w:rPr>
              <w:t>269</w:t>
            </w:r>
          </w:p>
        </w:tc>
        <w:tc>
          <w:tcPr>
            <w:tcW w:w="1098" w:type="dxa"/>
            <w:tcBorders>
              <w:top w:val="single" w:sz="8" w:space="0" w:color="000000"/>
              <w:left w:val="single" w:sz="8" w:space="0" w:color="000000"/>
              <w:bottom w:val="nil"/>
              <w:right w:val="single" w:sz="8" w:space="0" w:color="000000"/>
            </w:tcBorders>
            <w:noWrap/>
            <w:vAlign w:val="center"/>
          </w:tcPr>
          <w:p w:rsidR="00632912" w:rsidRDefault="00632912" w:rsidP="00632912">
            <w:pPr>
              <w:jc w:val="center"/>
              <w:rPr>
                <w:color w:val="000000"/>
                <w:sz w:val="20"/>
                <w:szCs w:val="24"/>
                <w:lang w:eastAsia="de-AT"/>
              </w:rPr>
            </w:pPr>
            <w:r>
              <w:rPr>
                <w:color w:val="000000"/>
                <w:sz w:val="20"/>
                <w:lang w:eastAsia="de-AT"/>
              </w:rPr>
              <w:t>206</w:t>
            </w:r>
          </w:p>
        </w:tc>
        <w:tc>
          <w:tcPr>
            <w:tcW w:w="1099" w:type="dxa"/>
            <w:tcBorders>
              <w:top w:val="single" w:sz="8" w:space="0" w:color="000000"/>
              <w:left w:val="single" w:sz="8" w:space="0" w:color="000000"/>
              <w:bottom w:val="nil"/>
              <w:right w:val="single" w:sz="8" w:space="0" w:color="000000"/>
            </w:tcBorders>
            <w:noWrap/>
            <w:vAlign w:val="center"/>
          </w:tcPr>
          <w:p w:rsidR="00632912" w:rsidRDefault="00632912" w:rsidP="00632912">
            <w:pPr>
              <w:jc w:val="center"/>
              <w:rPr>
                <w:color w:val="000000"/>
                <w:sz w:val="20"/>
                <w:szCs w:val="24"/>
                <w:lang w:eastAsia="de-AT"/>
              </w:rPr>
            </w:pPr>
            <w:r>
              <w:rPr>
                <w:color w:val="000000"/>
                <w:sz w:val="20"/>
                <w:lang w:eastAsia="de-AT"/>
              </w:rPr>
              <w:t>204</w:t>
            </w:r>
          </w:p>
        </w:tc>
        <w:tc>
          <w:tcPr>
            <w:tcW w:w="1134" w:type="dxa"/>
            <w:tcBorders>
              <w:top w:val="single" w:sz="8" w:space="0" w:color="000000"/>
              <w:left w:val="single" w:sz="8" w:space="0" w:color="000000"/>
              <w:bottom w:val="nil"/>
              <w:right w:val="nil"/>
            </w:tcBorders>
            <w:vAlign w:val="center"/>
          </w:tcPr>
          <w:p w:rsidR="00632912" w:rsidRDefault="00632912" w:rsidP="00632912">
            <w:pPr>
              <w:jc w:val="center"/>
              <w:rPr>
                <w:color w:val="000000"/>
                <w:sz w:val="20"/>
                <w:szCs w:val="24"/>
                <w:lang w:eastAsia="de-AT"/>
              </w:rPr>
            </w:pPr>
            <w:r>
              <w:rPr>
                <w:color w:val="000000"/>
                <w:sz w:val="20"/>
                <w:lang w:eastAsia="de-AT"/>
              </w:rPr>
              <w:t>209</w:t>
            </w:r>
          </w:p>
        </w:tc>
      </w:tr>
    </w:tbl>
    <w:p w:rsidR="00632912" w:rsidRDefault="00632912" w:rsidP="00632912">
      <w:pPr>
        <w:rPr>
          <w:lang w:val="de-DE" w:eastAsia="de-DE"/>
        </w:rPr>
      </w:pPr>
    </w:p>
    <w:p w:rsidR="00632912" w:rsidRPr="00632912" w:rsidRDefault="00632912" w:rsidP="00632912">
      <w:pPr>
        <w:rPr>
          <w:lang w:val="es-ES"/>
        </w:rPr>
      </w:pPr>
      <w:r>
        <w:rPr>
          <w:rFonts w:eastAsia="Arial"/>
          <w:szCs w:val="22"/>
          <w:bdr w:val="nil"/>
          <w:lang w:val="es-ES"/>
        </w:rPr>
        <w:t>Desde 2012, los solicitantes de 29 países han seleccionado la ISA/AT.  Los diez países principales han sido</w:t>
      </w:r>
      <w:r w:rsidR="008760EE">
        <w:rPr>
          <w:rFonts w:eastAsia="Arial"/>
          <w:szCs w:val="22"/>
          <w:bdr w:val="nil"/>
          <w:lang w:val="es-ES"/>
        </w:rPr>
        <w:t>:</w:t>
      </w:r>
      <w:r>
        <w:rPr>
          <w:rFonts w:eastAsia="Arial"/>
          <w:szCs w:val="22"/>
          <w:bdr w:val="nil"/>
          <w:lang w:val="es-ES"/>
        </w:rPr>
        <w:t xml:space="preserve"> Argelia, Bahrein, Brasil, Colombia, Egipto, Emiratos Árabes Unidos, India, República de Corea, Singapur y Sudáfrica (por orden alfabético).</w:t>
      </w:r>
    </w:p>
    <w:p w:rsidR="00632912" w:rsidRPr="00632912" w:rsidRDefault="00632912" w:rsidP="00632912">
      <w:pPr>
        <w:rPr>
          <w:lang w:val="es-ES"/>
        </w:rPr>
      </w:pPr>
    </w:p>
    <w:p w:rsidR="00632912" w:rsidRPr="00632912" w:rsidRDefault="001D316C" w:rsidP="00632912">
      <w:pPr>
        <w:rPr>
          <w:lang w:val="es-ES"/>
        </w:rPr>
      </w:pPr>
      <w:r>
        <w:rPr>
          <w:rFonts w:eastAsia="Arial"/>
          <w:i/>
          <w:iCs/>
          <w:szCs w:val="22"/>
          <w:bdr w:val="nil"/>
          <w:lang w:val="es-ES"/>
        </w:rPr>
        <w:t xml:space="preserve">Fuente: </w:t>
      </w:r>
      <w:r w:rsidR="00632912">
        <w:rPr>
          <w:rFonts w:eastAsia="Arial"/>
          <w:i/>
          <w:iCs/>
          <w:szCs w:val="22"/>
          <w:bdr w:val="nil"/>
          <w:lang w:val="es-ES"/>
        </w:rPr>
        <w:t xml:space="preserve">OMPI </w:t>
      </w:r>
      <w:r w:rsidR="00632912">
        <w:rPr>
          <w:rFonts w:eastAsia="Arial"/>
          <w:i/>
          <w:iCs/>
          <w:color w:val="3B3B3B"/>
          <w:szCs w:val="22"/>
          <w:bdr w:val="nil"/>
          <w:lang w:val="es-ES"/>
        </w:rPr>
        <w:t>Estadísticas de P.I. de un vista</w:t>
      </w:r>
      <w:r>
        <w:rPr>
          <w:rFonts w:eastAsia="Arial"/>
          <w:i/>
          <w:iCs/>
          <w:color w:val="3B3B3B"/>
          <w:szCs w:val="22"/>
          <w:bdr w:val="nil"/>
          <w:lang w:val="es-ES"/>
        </w:rPr>
        <w:t xml:space="preserve">zo </w:t>
      </w:r>
      <w:hyperlink r:id="rId30" w:history="1">
        <w:r w:rsidR="00632912">
          <w:rPr>
            <w:rFonts w:eastAsia="Arial"/>
            <w:szCs w:val="22"/>
            <w:bdr w:val="nil"/>
            <w:lang w:val="es-ES"/>
          </w:rPr>
          <w:t>http://ipstats.wipo.int/ipstatv2/index.htm?tab=patent</w:t>
        </w:r>
      </w:hyperlink>
    </w:p>
    <w:p w:rsidR="00632912" w:rsidRPr="00632912" w:rsidRDefault="00632912" w:rsidP="00632912">
      <w:pPr>
        <w:rPr>
          <w:lang w:val="es-ES"/>
        </w:rPr>
      </w:pPr>
      <w:r>
        <w:rPr>
          <w:rFonts w:eastAsia="Arial"/>
          <w:szCs w:val="22"/>
          <w:bdr w:val="nil"/>
          <w:lang w:val="es-ES"/>
        </w:rPr>
        <w:t>Derecho de la propieda</w:t>
      </w:r>
      <w:r w:rsidR="001D316C">
        <w:rPr>
          <w:rFonts w:eastAsia="Arial"/>
          <w:szCs w:val="22"/>
          <w:bdr w:val="nil"/>
          <w:lang w:val="es-ES"/>
        </w:rPr>
        <w:t>d intelectual:</w:t>
      </w:r>
      <w:r>
        <w:rPr>
          <w:rFonts w:eastAsia="Arial"/>
          <w:szCs w:val="22"/>
          <w:bdr w:val="nil"/>
          <w:lang w:val="es-ES"/>
        </w:rPr>
        <w:t xml:space="preserve"> PCT; </w:t>
      </w:r>
      <w:r w:rsidR="001D316C">
        <w:rPr>
          <w:rFonts w:eastAsia="Arial"/>
          <w:szCs w:val="22"/>
          <w:bdr w:val="nil"/>
          <w:lang w:val="es-ES"/>
        </w:rPr>
        <w:t xml:space="preserve"> </w:t>
      </w:r>
      <w:r>
        <w:rPr>
          <w:rFonts w:eastAsia="Arial"/>
          <w:szCs w:val="22"/>
          <w:bdr w:val="nil"/>
          <w:lang w:val="es-ES"/>
        </w:rPr>
        <w:t>Años</w:t>
      </w:r>
      <w:r w:rsidR="001D316C">
        <w:rPr>
          <w:rFonts w:eastAsia="Arial"/>
          <w:szCs w:val="22"/>
          <w:bdr w:val="nil"/>
          <w:lang w:val="es-ES"/>
        </w:rPr>
        <w:t>:</w:t>
      </w:r>
      <w:r>
        <w:rPr>
          <w:rFonts w:eastAsia="Arial"/>
          <w:szCs w:val="22"/>
          <w:bdr w:val="nil"/>
          <w:lang w:val="es-ES"/>
        </w:rPr>
        <w:t xml:space="preserve"> 2010 – 2017;  Tip</w:t>
      </w:r>
      <w:r w:rsidR="008760EE">
        <w:rPr>
          <w:rFonts w:eastAsia="Arial"/>
          <w:szCs w:val="22"/>
          <w:bdr w:val="nil"/>
          <w:lang w:val="es-ES"/>
        </w:rPr>
        <w:t xml:space="preserve">o de presentación de informes: </w:t>
      </w:r>
      <w:r>
        <w:rPr>
          <w:rFonts w:eastAsia="Arial"/>
          <w:szCs w:val="22"/>
          <w:bdr w:val="nil"/>
          <w:lang w:val="es-ES"/>
        </w:rPr>
        <w:t xml:space="preserve">Estadísticas anuales; </w:t>
      </w:r>
    </w:p>
    <w:p w:rsidR="00632912" w:rsidRPr="00632912" w:rsidRDefault="008760EE" w:rsidP="00632912">
      <w:pPr>
        <w:rPr>
          <w:lang w:val="es-ES"/>
        </w:rPr>
      </w:pPr>
      <w:r>
        <w:rPr>
          <w:rFonts w:eastAsia="Arial"/>
          <w:szCs w:val="22"/>
          <w:bdr w:val="nil"/>
          <w:lang w:val="es-ES"/>
        </w:rPr>
        <w:t>Indicador:</w:t>
      </w:r>
      <w:r w:rsidR="00632912">
        <w:rPr>
          <w:rFonts w:eastAsia="Arial"/>
          <w:szCs w:val="22"/>
          <w:bdr w:val="nil"/>
          <w:lang w:val="es-ES"/>
        </w:rPr>
        <w:t xml:space="preserve"> 8a - Administraciones encargadas de la búsqueda internacional (ISA) seleccionadas por los solicitantes</w:t>
      </w:r>
    </w:p>
    <w:p w:rsidR="00632912" w:rsidRPr="00632912" w:rsidRDefault="00632912" w:rsidP="00632912">
      <w:pPr>
        <w:rPr>
          <w:lang w:val="es-ES"/>
        </w:rPr>
      </w:pPr>
    </w:p>
    <w:p w:rsidR="00632912" w:rsidRDefault="00632912" w:rsidP="00632912">
      <w:pPr>
        <w:rPr>
          <w:lang w:val="de-DE"/>
        </w:rPr>
      </w:pPr>
      <w:r>
        <w:rPr>
          <w:noProof/>
          <w:lang w:eastAsia="en-US"/>
        </w:rPr>
        <w:drawing>
          <wp:inline distT="0" distB="0" distL="0" distR="0" wp14:anchorId="338A639B" wp14:editId="5F1BEDC6">
            <wp:extent cx="5655909" cy="3143250"/>
            <wp:effectExtent l="0" t="0" r="2540" b="0"/>
            <wp:docPr id="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660216" cy="3145644"/>
                    </a:xfrm>
                    <a:prstGeom prst="rect">
                      <a:avLst/>
                    </a:prstGeom>
                    <a:noFill/>
                    <a:ln>
                      <a:noFill/>
                    </a:ln>
                  </pic:spPr>
                </pic:pic>
              </a:graphicData>
            </a:graphic>
          </wp:inline>
        </w:drawing>
      </w:r>
    </w:p>
    <w:p w:rsidR="00632912" w:rsidRDefault="00632912" w:rsidP="00632912">
      <w:pPr>
        <w:jc w:val="center"/>
        <w:rPr>
          <w:b/>
          <w:bCs/>
          <w:lang w:val="de-DE"/>
        </w:rPr>
      </w:pPr>
    </w:p>
    <w:p w:rsidR="00632912" w:rsidRPr="00632912" w:rsidRDefault="00632912" w:rsidP="00632912">
      <w:pPr>
        <w:pStyle w:val="Sub-heading"/>
        <w:rPr>
          <w:lang w:val="es-ES"/>
        </w:rPr>
      </w:pPr>
      <w:r>
        <w:rPr>
          <w:rFonts w:eastAsia="Arial"/>
          <w:bCs/>
          <w:szCs w:val="22"/>
          <w:bdr w:val="nil"/>
          <w:lang w:val="es-ES"/>
        </w:rPr>
        <w:t xml:space="preserve">Principales Oficinas/Estados </w:t>
      </w:r>
      <w:r w:rsidR="00EB1282">
        <w:rPr>
          <w:rFonts w:eastAsia="Arial"/>
          <w:bCs/>
          <w:szCs w:val="22"/>
          <w:bdr w:val="nil"/>
          <w:lang w:val="es-ES"/>
        </w:rPr>
        <w:t xml:space="preserve">en los que se reivindica la prioridad de solicitudes </w:t>
      </w:r>
      <w:r>
        <w:rPr>
          <w:rFonts w:eastAsia="Arial"/>
          <w:bCs/>
          <w:szCs w:val="22"/>
          <w:bdr w:val="nil"/>
          <w:lang w:val="es-ES"/>
        </w:rPr>
        <w:t>nacionales:</w:t>
      </w:r>
    </w:p>
    <w:p w:rsidR="00632912" w:rsidRPr="00632912" w:rsidRDefault="00632912" w:rsidP="00632912">
      <w:pPr>
        <w:rPr>
          <w:lang w:val="es-ES"/>
        </w:rPr>
      </w:pPr>
      <w:r>
        <w:rPr>
          <w:rFonts w:eastAsia="Arial"/>
          <w:szCs w:val="22"/>
          <w:bdr w:val="nil"/>
          <w:lang w:val="es-ES"/>
        </w:rPr>
        <w:t xml:space="preserve">Las principales Oficinas/Estados </w:t>
      </w:r>
      <w:r w:rsidR="00EB1282">
        <w:rPr>
          <w:rFonts w:eastAsia="Arial"/>
          <w:szCs w:val="22"/>
          <w:bdr w:val="nil"/>
          <w:lang w:val="es-ES"/>
        </w:rPr>
        <w:t xml:space="preserve">en las </w:t>
      </w:r>
      <w:r>
        <w:rPr>
          <w:rFonts w:eastAsia="Arial"/>
          <w:szCs w:val="22"/>
          <w:bdr w:val="nil"/>
          <w:lang w:val="es-ES"/>
        </w:rPr>
        <w:t xml:space="preserve">que </w:t>
      </w:r>
      <w:r w:rsidR="00EB1282">
        <w:rPr>
          <w:rFonts w:eastAsia="Arial"/>
          <w:szCs w:val="22"/>
          <w:bdr w:val="nil"/>
          <w:lang w:val="es-ES"/>
        </w:rPr>
        <w:t xml:space="preserve">se reivindica la prioridad de solicitudes austríacas </w:t>
      </w:r>
      <w:r>
        <w:rPr>
          <w:rFonts w:eastAsia="Arial"/>
          <w:szCs w:val="22"/>
          <w:bdr w:val="nil"/>
          <w:lang w:val="es-ES"/>
        </w:rPr>
        <w:t xml:space="preserve">desde 2000 son la Oficina Europea de Patentes y el PCT, seguidos de Alemania, Australia, Argentina, Brasil, Canadá, Croacia, China, Chipre, Dinamarca, Eslovaquia, Eslovenia, España, Estados Unidos de América, Federación de Rusia, Finlandia, Francia, Hungría, Italia, Japón, </w:t>
      </w:r>
      <w:r>
        <w:rPr>
          <w:rFonts w:eastAsia="Arial"/>
          <w:szCs w:val="22"/>
          <w:bdr w:val="nil"/>
          <w:lang w:val="es-ES"/>
        </w:rPr>
        <w:lastRenderedPageBreak/>
        <w:t xml:space="preserve">México, Noruega, Nueva Zelandia, Organización Eurasiática de Patentes, Polonia, Reino Unido, </w:t>
      </w:r>
      <w:r w:rsidR="00EB1282">
        <w:rPr>
          <w:rFonts w:eastAsia="Arial"/>
          <w:szCs w:val="22"/>
          <w:bdr w:val="nil"/>
          <w:lang w:val="es-ES"/>
        </w:rPr>
        <w:t xml:space="preserve">República Checa, </w:t>
      </w:r>
      <w:r>
        <w:rPr>
          <w:rFonts w:eastAsia="Arial"/>
          <w:szCs w:val="22"/>
          <w:bdr w:val="nil"/>
          <w:lang w:val="es-ES"/>
        </w:rPr>
        <w:t>República de Corea, Serbia, Sudáfrica, Suiza, Taiwán y Ucrania (por orden alfabético).</w:t>
      </w:r>
    </w:p>
    <w:p w:rsidR="00632912" w:rsidRPr="00632912" w:rsidRDefault="00632912" w:rsidP="00632912">
      <w:pPr>
        <w:rPr>
          <w:lang w:val="es-ES"/>
        </w:rPr>
      </w:pPr>
    </w:p>
    <w:p w:rsidR="00632912" w:rsidRPr="00632912" w:rsidRDefault="001D316C" w:rsidP="00632912">
      <w:pPr>
        <w:rPr>
          <w:b/>
          <w:bCs/>
          <w:i/>
          <w:lang w:val="es-ES"/>
        </w:rPr>
      </w:pPr>
      <w:r>
        <w:rPr>
          <w:rFonts w:eastAsia="Arial"/>
          <w:i/>
          <w:iCs/>
          <w:szCs w:val="22"/>
          <w:bdr w:val="nil"/>
          <w:lang w:val="es-ES"/>
        </w:rPr>
        <w:t>Fuente</w:t>
      </w:r>
      <w:proofErr w:type="gramStart"/>
      <w:r>
        <w:rPr>
          <w:rFonts w:eastAsia="Arial"/>
          <w:i/>
          <w:iCs/>
          <w:szCs w:val="22"/>
          <w:bdr w:val="nil"/>
          <w:lang w:val="es-ES"/>
        </w:rPr>
        <w:t>:</w:t>
      </w:r>
      <w:r w:rsidR="00B97901">
        <w:rPr>
          <w:rFonts w:eastAsia="Arial"/>
          <w:i/>
          <w:iCs/>
          <w:szCs w:val="22"/>
          <w:bdr w:val="nil"/>
          <w:lang w:val="es-ES"/>
        </w:rPr>
        <w:t xml:space="preserve"> </w:t>
      </w:r>
      <w:r>
        <w:rPr>
          <w:rFonts w:eastAsia="Arial"/>
          <w:i/>
          <w:iCs/>
          <w:szCs w:val="22"/>
          <w:bdr w:val="nil"/>
          <w:lang w:val="es-ES"/>
        </w:rPr>
        <w:t xml:space="preserve"> </w:t>
      </w:r>
      <w:r w:rsidR="00632912">
        <w:rPr>
          <w:rFonts w:eastAsia="Arial"/>
          <w:i/>
          <w:iCs/>
          <w:szCs w:val="22"/>
          <w:bdr w:val="nil"/>
          <w:lang w:val="es-ES"/>
        </w:rPr>
        <w:t>Patstat</w:t>
      </w:r>
      <w:proofErr w:type="gramEnd"/>
    </w:p>
    <w:p w:rsidR="00632912" w:rsidRPr="00632912" w:rsidRDefault="00632912" w:rsidP="00632912">
      <w:pPr>
        <w:rPr>
          <w:lang w:val="es-ES"/>
        </w:rPr>
      </w:pPr>
    </w:p>
    <w:p w:rsidR="00632912" w:rsidRPr="00632912" w:rsidRDefault="00632912" w:rsidP="00632912">
      <w:pPr>
        <w:rPr>
          <w:lang w:val="es-ES" w:eastAsia="fr-FR"/>
        </w:rPr>
      </w:pPr>
      <w:r>
        <w:rPr>
          <w:rFonts w:eastAsia="Arial"/>
          <w:szCs w:val="22"/>
          <w:bdr w:val="nil"/>
          <w:lang w:val="es-ES" w:eastAsia="fr-FR"/>
        </w:rPr>
        <w:t xml:space="preserve">Teniendo en cuenta que nuestra oficina participa activamente en el PPH Global, que incluye el PCT-PPH (procedimiento acelerado de examen de solicitudes de patente del PCT), los solicitantes que recurren a la APO en su calidad de ISA o de Oficina de primera presentación pueden solicitar un procedimiento de examen acelerado para ulteriores presentaciones de solicitudes en más de veinte oficinas. </w:t>
      </w:r>
    </w:p>
    <w:p w:rsidR="00632912" w:rsidRPr="00632912" w:rsidRDefault="00632912" w:rsidP="00632912">
      <w:pPr>
        <w:pStyle w:val="Sub-heading"/>
        <w:rPr>
          <w:lang w:val="es-ES"/>
        </w:rPr>
      </w:pPr>
      <w:r>
        <w:rPr>
          <w:rFonts w:eastAsia="Arial"/>
          <w:bCs/>
          <w:szCs w:val="22"/>
          <w:bdr w:val="nil"/>
          <w:lang w:val="es-ES"/>
        </w:rPr>
        <w:t>Tiempo medio de tramitación de patentes nacionales</w:t>
      </w:r>
    </w:p>
    <w:tbl>
      <w:tblPr>
        <w:tblW w:w="0" w:type="auto"/>
        <w:tblBorders>
          <w:insideH w:val="single" w:sz="4" w:space="0" w:color="auto"/>
          <w:insideV w:val="single" w:sz="4" w:space="0" w:color="auto"/>
        </w:tblBorders>
        <w:tblLook w:val="04A0" w:firstRow="1" w:lastRow="0" w:firstColumn="1" w:lastColumn="0" w:noHBand="0" w:noVBand="1"/>
      </w:tblPr>
      <w:tblGrid>
        <w:gridCol w:w="3780"/>
        <w:gridCol w:w="2825"/>
        <w:gridCol w:w="2150"/>
      </w:tblGrid>
      <w:tr w:rsidR="00200C88" w:rsidTr="00632912">
        <w:trPr>
          <w:cantSplit/>
          <w:trHeight w:hRule="exact" w:val="284"/>
        </w:trPr>
        <w:tc>
          <w:tcPr>
            <w:tcW w:w="3780" w:type="dxa"/>
            <w:tcBorders>
              <w:top w:val="nil"/>
              <w:left w:val="nil"/>
              <w:bottom w:val="single" w:sz="4" w:space="0" w:color="auto"/>
              <w:right w:val="single" w:sz="4" w:space="0" w:color="auto"/>
            </w:tcBorders>
          </w:tcPr>
          <w:p w:rsidR="00632912" w:rsidRDefault="00632912" w:rsidP="00632912">
            <w:pPr>
              <w:rPr>
                <w:b/>
                <w:bCs/>
                <w:sz w:val="24"/>
                <w:szCs w:val="24"/>
                <w:lang w:val="de-DE" w:eastAsia="de-DE"/>
              </w:rPr>
            </w:pPr>
            <w:r>
              <w:rPr>
                <w:rFonts w:eastAsia="Arial"/>
                <w:b/>
                <w:bCs/>
                <w:szCs w:val="22"/>
                <w:bdr w:val="nil"/>
                <w:lang w:val="es-ES"/>
              </w:rPr>
              <w:t>Indicador</w:t>
            </w:r>
          </w:p>
        </w:tc>
        <w:tc>
          <w:tcPr>
            <w:tcW w:w="2825" w:type="dxa"/>
            <w:tcBorders>
              <w:top w:val="nil"/>
              <w:left w:val="single" w:sz="4" w:space="0" w:color="auto"/>
              <w:bottom w:val="single" w:sz="4" w:space="0" w:color="auto"/>
              <w:right w:val="single" w:sz="4" w:space="0" w:color="auto"/>
            </w:tcBorders>
          </w:tcPr>
          <w:p w:rsidR="00632912" w:rsidRDefault="00632912" w:rsidP="00632912">
            <w:pPr>
              <w:rPr>
                <w:b/>
                <w:bCs/>
                <w:sz w:val="24"/>
                <w:szCs w:val="24"/>
                <w:lang w:val="de-DE" w:eastAsia="de-DE"/>
              </w:rPr>
            </w:pPr>
            <w:r>
              <w:rPr>
                <w:rFonts w:eastAsia="Arial"/>
                <w:b/>
                <w:bCs/>
                <w:szCs w:val="22"/>
                <w:bdr w:val="nil"/>
                <w:lang w:val="es-ES"/>
              </w:rPr>
              <w:t>Medida desde</w:t>
            </w:r>
          </w:p>
        </w:tc>
        <w:tc>
          <w:tcPr>
            <w:tcW w:w="2150" w:type="dxa"/>
            <w:tcBorders>
              <w:top w:val="nil"/>
              <w:left w:val="single" w:sz="4" w:space="0" w:color="auto"/>
              <w:bottom w:val="single" w:sz="4" w:space="0" w:color="auto"/>
              <w:right w:val="nil"/>
            </w:tcBorders>
          </w:tcPr>
          <w:p w:rsidR="00632912" w:rsidRDefault="00632912" w:rsidP="00632912">
            <w:pPr>
              <w:rPr>
                <w:b/>
                <w:bCs/>
                <w:sz w:val="24"/>
                <w:szCs w:val="24"/>
                <w:lang w:val="de-DE" w:eastAsia="de-DE"/>
              </w:rPr>
            </w:pPr>
            <w:r>
              <w:rPr>
                <w:rFonts w:eastAsia="Arial"/>
                <w:b/>
                <w:bCs/>
                <w:szCs w:val="22"/>
                <w:bdr w:val="nil"/>
                <w:lang w:val="es-ES"/>
              </w:rPr>
              <w:t>Tiempo (meses)</w:t>
            </w:r>
          </w:p>
        </w:tc>
      </w:tr>
      <w:tr w:rsidR="00200C88" w:rsidTr="00632912">
        <w:trPr>
          <w:cantSplit/>
          <w:trHeight w:hRule="exact" w:val="284"/>
        </w:trPr>
        <w:tc>
          <w:tcPr>
            <w:tcW w:w="3780" w:type="dxa"/>
            <w:tcBorders>
              <w:top w:val="single" w:sz="4" w:space="0" w:color="auto"/>
              <w:left w:val="nil"/>
              <w:bottom w:val="single" w:sz="4" w:space="0" w:color="auto"/>
              <w:right w:val="single" w:sz="4" w:space="0" w:color="auto"/>
            </w:tcBorders>
          </w:tcPr>
          <w:p w:rsidR="00632912" w:rsidRDefault="00632912" w:rsidP="00632912">
            <w:pPr>
              <w:rPr>
                <w:sz w:val="6"/>
                <w:szCs w:val="24"/>
                <w:lang w:val="de-DE" w:eastAsia="de-DE"/>
              </w:rPr>
            </w:pPr>
          </w:p>
        </w:tc>
        <w:tc>
          <w:tcPr>
            <w:tcW w:w="2825" w:type="dxa"/>
            <w:tcBorders>
              <w:top w:val="single" w:sz="4" w:space="0" w:color="auto"/>
              <w:left w:val="single" w:sz="4" w:space="0" w:color="auto"/>
              <w:bottom w:val="single" w:sz="4" w:space="0" w:color="auto"/>
              <w:right w:val="single" w:sz="4" w:space="0" w:color="auto"/>
            </w:tcBorders>
            <w:vAlign w:val="center"/>
          </w:tcPr>
          <w:p w:rsidR="00632912" w:rsidRDefault="00632912" w:rsidP="00632912">
            <w:pPr>
              <w:jc w:val="center"/>
              <w:rPr>
                <w:sz w:val="6"/>
                <w:szCs w:val="24"/>
                <w:lang w:val="de-DE" w:eastAsia="de-DE"/>
              </w:rPr>
            </w:pPr>
          </w:p>
        </w:tc>
        <w:tc>
          <w:tcPr>
            <w:tcW w:w="2150" w:type="dxa"/>
            <w:tcBorders>
              <w:top w:val="single" w:sz="4" w:space="0" w:color="auto"/>
              <w:left w:val="single" w:sz="4" w:space="0" w:color="auto"/>
              <w:bottom w:val="single" w:sz="4" w:space="0" w:color="auto"/>
              <w:right w:val="nil"/>
            </w:tcBorders>
            <w:vAlign w:val="center"/>
          </w:tcPr>
          <w:p w:rsidR="00632912" w:rsidRDefault="00632912" w:rsidP="00632912">
            <w:pPr>
              <w:jc w:val="center"/>
              <w:rPr>
                <w:sz w:val="6"/>
                <w:szCs w:val="24"/>
                <w:lang w:val="de-DE" w:eastAsia="de-DE"/>
              </w:rPr>
            </w:pPr>
          </w:p>
        </w:tc>
      </w:tr>
      <w:tr w:rsidR="00200C88" w:rsidTr="00632912">
        <w:trPr>
          <w:cantSplit/>
          <w:trHeight w:hRule="exact" w:val="284"/>
        </w:trPr>
        <w:tc>
          <w:tcPr>
            <w:tcW w:w="3780" w:type="dxa"/>
            <w:tcBorders>
              <w:top w:val="single" w:sz="4" w:space="0" w:color="auto"/>
              <w:left w:val="nil"/>
              <w:bottom w:val="single" w:sz="4" w:space="0" w:color="auto"/>
              <w:right w:val="single" w:sz="4" w:space="0" w:color="auto"/>
            </w:tcBorders>
          </w:tcPr>
          <w:p w:rsidR="00632912" w:rsidRDefault="00632912" w:rsidP="00632912">
            <w:pPr>
              <w:rPr>
                <w:sz w:val="24"/>
                <w:szCs w:val="24"/>
                <w:lang w:val="de-DE" w:eastAsia="de-DE"/>
              </w:rPr>
            </w:pPr>
            <w:r>
              <w:rPr>
                <w:rFonts w:eastAsia="Arial"/>
                <w:szCs w:val="22"/>
                <w:bdr w:val="nil"/>
                <w:lang w:val="es-ES"/>
              </w:rPr>
              <w:t>Hasta la búsqueda</w:t>
            </w:r>
          </w:p>
        </w:tc>
        <w:tc>
          <w:tcPr>
            <w:tcW w:w="2825" w:type="dxa"/>
            <w:tcBorders>
              <w:top w:val="single" w:sz="4" w:space="0" w:color="auto"/>
              <w:left w:val="single" w:sz="4" w:space="0" w:color="auto"/>
              <w:bottom w:val="single" w:sz="4" w:space="0" w:color="auto"/>
              <w:right w:val="single" w:sz="4" w:space="0" w:color="auto"/>
            </w:tcBorders>
            <w:vAlign w:val="center"/>
          </w:tcPr>
          <w:p w:rsidR="00632912" w:rsidRDefault="00632912" w:rsidP="001D316C">
            <w:pPr>
              <w:rPr>
                <w:sz w:val="24"/>
                <w:szCs w:val="24"/>
                <w:lang w:val="de-DE" w:eastAsia="de-DE"/>
              </w:rPr>
            </w:pPr>
            <w:r>
              <w:rPr>
                <w:rFonts w:eastAsia="Arial"/>
                <w:szCs w:val="22"/>
                <w:bdr w:val="nil"/>
                <w:lang w:val="es-ES"/>
              </w:rPr>
              <w:t>Base de datos interna</w:t>
            </w:r>
          </w:p>
        </w:tc>
        <w:tc>
          <w:tcPr>
            <w:tcW w:w="2150" w:type="dxa"/>
            <w:tcBorders>
              <w:top w:val="single" w:sz="4" w:space="0" w:color="auto"/>
              <w:left w:val="single" w:sz="4" w:space="0" w:color="auto"/>
              <w:bottom w:val="single" w:sz="4" w:space="0" w:color="auto"/>
              <w:right w:val="nil"/>
            </w:tcBorders>
            <w:vAlign w:val="center"/>
          </w:tcPr>
          <w:p w:rsidR="00632912" w:rsidRDefault="00632912" w:rsidP="00632912">
            <w:pPr>
              <w:jc w:val="center"/>
              <w:rPr>
                <w:sz w:val="24"/>
                <w:szCs w:val="24"/>
                <w:lang w:val="de-DE" w:eastAsia="de-DE"/>
              </w:rPr>
            </w:pPr>
            <w:r>
              <w:rPr>
                <w:rFonts w:eastAsia="Arial"/>
                <w:szCs w:val="22"/>
                <w:bdr w:val="nil"/>
                <w:lang w:val="es-ES"/>
              </w:rPr>
              <w:t>7,9</w:t>
            </w:r>
          </w:p>
        </w:tc>
      </w:tr>
      <w:tr w:rsidR="00200C88" w:rsidTr="00632912">
        <w:trPr>
          <w:cantSplit/>
          <w:trHeight w:hRule="exact" w:val="284"/>
        </w:trPr>
        <w:tc>
          <w:tcPr>
            <w:tcW w:w="3780" w:type="dxa"/>
            <w:tcBorders>
              <w:top w:val="single" w:sz="4" w:space="0" w:color="auto"/>
              <w:left w:val="nil"/>
              <w:bottom w:val="single" w:sz="4" w:space="0" w:color="auto"/>
              <w:right w:val="single" w:sz="4" w:space="0" w:color="auto"/>
            </w:tcBorders>
          </w:tcPr>
          <w:p w:rsidR="00632912" w:rsidRDefault="00632912" w:rsidP="00632912">
            <w:pPr>
              <w:rPr>
                <w:sz w:val="24"/>
                <w:szCs w:val="24"/>
                <w:lang w:val="de-DE" w:eastAsia="de-DE"/>
              </w:rPr>
            </w:pPr>
            <w:r>
              <w:rPr>
                <w:rFonts w:eastAsia="Arial"/>
                <w:szCs w:val="22"/>
                <w:bdr w:val="nil"/>
                <w:lang w:val="es-ES"/>
              </w:rPr>
              <w:t>Hasta el primer examen</w:t>
            </w:r>
          </w:p>
        </w:tc>
        <w:tc>
          <w:tcPr>
            <w:tcW w:w="2825" w:type="dxa"/>
            <w:tcBorders>
              <w:top w:val="single" w:sz="4" w:space="0" w:color="auto"/>
              <w:left w:val="single" w:sz="4" w:space="0" w:color="auto"/>
              <w:bottom w:val="single" w:sz="4" w:space="0" w:color="auto"/>
              <w:right w:val="single" w:sz="4" w:space="0" w:color="auto"/>
            </w:tcBorders>
            <w:vAlign w:val="center"/>
          </w:tcPr>
          <w:p w:rsidR="00632912" w:rsidRDefault="00632912" w:rsidP="001D316C">
            <w:pPr>
              <w:rPr>
                <w:sz w:val="24"/>
                <w:szCs w:val="24"/>
                <w:lang w:val="de-DE" w:eastAsia="de-DE"/>
              </w:rPr>
            </w:pPr>
            <w:r>
              <w:rPr>
                <w:rFonts w:eastAsia="Arial"/>
                <w:szCs w:val="22"/>
                <w:bdr w:val="nil"/>
                <w:lang w:val="es-ES"/>
              </w:rPr>
              <w:t>Base de datos interna</w:t>
            </w:r>
          </w:p>
        </w:tc>
        <w:tc>
          <w:tcPr>
            <w:tcW w:w="2150" w:type="dxa"/>
            <w:tcBorders>
              <w:top w:val="single" w:sz="4" w:space="0" w:color="auto"/>
              <w:left w:val="single" w:sz="4" w:space="0" w:color="auto"/>
              <w:bottom w:val="single" w:sz="4" w:space="0" w:color="auto"/>
              <w:right w:val="nil"/>
            </w:tcBorders>
            <w:vAlign w:val="center"/>
          </w:tcPr>
          <w:p w:rsidR="00632912" w:rsidRDefault="00632912" w:rsidP="00632912">
            <w:pPr>
              <w:jc w:val="center"/>
              <w:rPr>
                <w:sz w:val="24"/>
                <w:szCs w:val="24"/>
                <w:lang w:val="de-DE" w:eastAsia="de-DE"/>
              </w:rPr>
            </w:pPr>
            <w:r>
              <w:rPr>
                <w:rFonts w:eastAsia="Arial"/>
                <w:szCs w:val="22"/>
                <w:bdr w:val="nil"/>
                <w:lang w:val="es-ES"/>
              </w:rPr>
              <w:t>7,9</w:t>
            </w:r>
          </w:p>
        </w:tc>
      </w:tr>
      <w:tr w:rsidR="00200C88" w:rsidTr="00632912">
        <w:trPr>
          <w:cantSplit/>
          <w:trHeight w:hRule="exact" w:val="284"/>
        </w:trPr>
        <w:tc>
          <w:tcPr>
            <w:tcW w:w="3780" w:type="dxa"/>
            <w:tcBorders>
              <w:top w:val="single" w:sz="4" w:space="0" w:color="auto"/>
              <w:left w:val="nil"/>
              <w:bottom w:val="nil"/>
              <w:right w:val="single" w:sz="4" w:space="0" w:color="auto"/>
            </w:tcBorders>
          </w:tcPr>
          <w:p w:rsidR="00632912" w:rsidRDefault="00632912" w:rsidP="00632912">
            <w:pPr>
              <w:rPr>
                <w:sz w:val="24"/>
                <w:szCs w:val="24"/>
                <w:lang w:val="de-DE" w:eastAsia="de-DE"/>
              </w:rPr>
            </w:pPr>
            <w:r>
              <w:rPr>
                <w:rFonts w:eastAsia="Arial"/>
                <w:szCs w:val="22"/>
                <w:bdr w:val="nil"/>
                <w:lang w:val="es-ES"/>
              </w:rPr>
              <w:t>Hasta la concesión</w:t>
            </w:r>
          </w:p>
        </w:tc>
        <w:tc>
          <w:tcPr>
            <w:tcW w:w="2825" w:type="dxa"/>
            <w:tcBorders>
              <w:top w:val="single" w:sz="4" w:space="0" w:color="auto"/>
              <w:left w:val="single" w:sz="4" w:space="0" w:color="auto"/>
              <w:bottom w:val="nil"/>
              <w:right w:val="single" w:sz="4" w:space="0" w:color="auto"/>
            </w:tcBorders>
            <w:vAlign w:val="center"/>
          </w:tcPr>
          <w:p w:rsidR="00632912" w:rsidRDefault="00632912" w:rsidP="001D316C">
            <w:pPr>
              <w:rPr>
                <w:sz w:val="24"/>
                <w:szCs w:val="24"/>
                <w:lang w:val="de-DE" w:eastAsia="de-DE"/>
              </w:rPr>
            </w:pPr>
            <w:r>
              <w:rPr>
                <w:rFonts w:eastAsia="Arial"/>
                <w:szCs w:val="22"/>
                <w:bdr w:val="nil"/>
                <w:lang w:val="es-ES"/>
              </w:rPr>
              <w:t>Base de datos interna</w:t>
            </w:r>
          </w:p>
        </w:tc>
        <w:tc>
          <w:tcPr>
            <w:tcW w:w="2150" w:type="dxa"/>
            <w:tcBorders>
              <w:top w:val="single" w:sz="4" w:space="0" w:color="auto"/>
              <w:left w:val="single" w:sz="4" w:space="0" w:color="auto"/>
              <w:bottom w:val="nil"/>
              <w:right w:val="nil"/>
            </w:tcBorders>
            <w:vAlign w:val="center"/>
          </w:tcPr>
          <w:p w:rsidR="00632912" w:rsidRDefault="001D316C" w:rsidP="00632912">
            <w:pPr>
              <w:jc w:val="center"/>
              <w:rPr>
                <w:sz w:val="24"/>
                <w:szCs w:val="24"/>
                <w:lang w:val="de-DE" w:eastAsia="de-DE"/>
              </w:rPr>
            </w:pPr>
            <w:r>
              <w:t>18,</w:t>
            </w:r>
            <w:r w:rsidR="00632912">
              <w:t>5</w:t>
            </w:r>
          </w:p>
        </w:tc>
      </w:tr>
    </w:tbl>
    <w:p w:rsidR="00632912" w:rsidRPr="00135CEA" w:rsidRDefault="00632912" w:rsidP="00632912"/>
    <w:p w:rsidR="00632912" w:rsidRPr="00632912" w:rsidRDefault="00632912" w:rsidP="00632912">
      <w:pPr>
        <w:rPr>
          <w:lang w:val="es-ES"/>
        </w:rPr>
      </w:pPr>
      <w:r>
        <w:rPr>
          <w:rFonts w:eastAsia="Arial"/>
          <w:szCs w:val="22"/>
          <w:bdr w:val="nil"/>
          <w:lang w:val="es-ES"/>
        </w:rPr>
        <w:t xml:space="preserve">Conforme a la Ley de Patentes </w:t>
      </w:r>
      <w:r w:rsidR="00EB1282">
        <w:rPr>
          <w:rFonts w:eastAsia="Arial"/>
          <w:szCs w:val="22"/>
          <w:bdr w:val="nil"/>
          <w:lang w:val="es-ES"/>
        </w:rPr>
        <w:t>de Austria</w:t>
      </w:r>
      <w:r>
        <w:rPr>
          <w:rFonts w:eastAsia="Arial"/>
          <w:szCs w:val="22"/>
          <w:bdr w:val="nil"/>
          <w:lang w:val="es-ES"/>
        </w:rPr>
        <w:t>, toda solicitud de patente incluye implícitamente una solicitud de búsqueda y examen, sin que resulte necesario exigir e</w:t>
      </w:r>
      <w:r w:rsidR="001D316C">
        <w:rPr>
          <w:rFonts w:eastAsia="Arial"/>
          <w:szCs w:val="22"/>
          <w:bdr w:val="nil"/>
          <w:lang w:val="es-ES"/>
        </w:rPr>
        <w:t xml:space="preserve">l pago de una tasa adicional.  </w:t>
      </w:r>
      <w:r>
        <w:rPr>
          <w:rFonts w:eastAsia="Arial"/>
          <w:szCs w:val="22"/>
          <w:bdr w:val="nil"/>
          <w:lang w:val="es-ES"/>
        </w:rPr>
        <w:t xml:space="preserve">Esto significa que el procedimiento de tramitación de la patente </w:t>
      </w:r>
      <w:r w:rsidR="00EB1282">
        <w:rPr>
          <w:rFonts w:eastAsia="Arial"/>
          <w:szCs w:val="22"/>
          <w:bdr w:val="nil"/>
          <w:lang w:val="es-ES"/>
        </w:rPr>
        <w:t xml:space="preserve">en Austria </w:t>
      </w:r>
      <w:r>
        <w:rPr>
          <w:rFonts w:eastAsia="Arial"/>
          <w:szCs w:val="22"/>
          <w:bdr w:val="nil"/>
          <w:lang w:val="es-ES"/>
        </w:rPr>
        <w:t>es similar al procedimiento del PCT, en la medida en que la primera acción de la oficina incluye un informe de búsqueda y una opinión escrita.</w:t>
      </w:r>
    </w:p>
    <w:p w:rsidR="00632912" w:rsidRDefault="00632912" w:rsidP="00632912">
      <w:pPr>
        <w:pStyle w:val="Sub-heading"/>
        <w:rPr>
          <w:lang w:val="de-DE"/>
        </w:rPr>
      </w:pPr>
      <w:r>
        <w:rPr>
          <w:rFonts w:eastAsia="Arial"/>
          <w:bCs/>
          <w:szCs w:val="22"/>
          <w:bdr w:val="nil"/>
          <w:lang w:val="es-ES"/>
        </w:rPr>
        <w:t xml:space="preserve">Carga de trabajo </w:t>
      </w:r>
    </w:p>
    <w:tbl>
      <w:tblPr>
        <w:tblW w:w="0" w:type="auto"/>
        <w:tblBorders>
          <w:insideH w:val="single" w:sz="4" w:space="0" w:color="auto"/>
          <w:insideV w:val="single" w:sz="4" w:space="0" w:color="auto"/>
        </w:tblBorders>
        <w:tblLook w:val="04A0" w:firstRow="1" w:lastRow="0" w:firstColumn="1" w:lastColumn="0" w:noHBand="0" w:noVBand="1"/>
      </w:tblPr>
      <w:tblGrid>
        <w:gridCol w:w="6062"/>
        <w:gridCol w:w="2686"/>
      </w:tblGrid>
      <w:tr w:rsidR="00200C88" w:rsidTr="00632912">
        <w:trPr>
          <w:cantSplit/>
          <w:trHeight w:hRule="exact" w:val="284"/>
        </w:trPr>
        <w:tc>
          <w:tcPr>
            <w:tcW w:w="6062" w:type="dxa"/>
            <w:tcBorders>
              <w:top w:val="nil"/>
              <w:left w:val="nil"/>
              <w:bottom w:val="single" w:sz="4" w:space="0" w:color="auto"/>
              <w:right w:val="single" w:sz="4" w:space="0" w:color="auto"/>
            </w:tcBorders>
          </w:tcPr>
          <w:p w:rsidR="00632912" w:rsidRDefault="00632912" w:rsidP="00632912">
            <w:pPr>
              <w:keepNext/>
              <w:keepLines/>
              <w:rPr>
                <w:b/>
                <w:bCs/>
                <w:sz w:val="24"/>
                <w:szCs w:val="24"/>
                <w:lang w:val="de-DE" w:eastAsia="de-DE"/>
              </w:rPr>
            </w:pPr>
            <w:r>
              <w:rPr>
                <w:rFonts w:eastAsia="Arial"/>
                <w:b/>
                <w:bCs/>
                <w:szCs w:val="22"/>
                <w:bdr w:val="nil"/>
                <w:lang w:val="es-ES"/>
              </w:rPr>
              <w:t>Medida</w:t>
            </w:r>
          </w:p>
        </w:tc>
        <w:tc>
          <w:tcPr>
            <w:tcW w:w="2686" w:type="dxa"/>
            <w:tcBorders>
              <w:top w:val="nil"/>
              <w:left w:val="single" w:sz="4" w:space="0" w:color="auto"/>
              <w:bottom w:val="single" w:sz="4" w:space="0" w:color="auto"/>
              <w:right w:val="nil"/>
            </w:tcBorders>
          </w:tcPr>
          <w:p w:rsidR="00632912" w:rsidRDefault="00632912" w:rsidP="00632912">
            <w:pPr>
              <w:keepNext/>
              <w:keepLines/>
              <w:rPr>
                <w:b/>
                <w:bCs/>
                <w:sz w:val="24"/>
                <w:szCs w:val="24"/>
                <w:lang w:val="de-DE" w:eastAsia="de-DE"/>
              </w:rPr>
            </w:pPr>
            <w:r>
              <w:rPr>
                <w:rFonts w:eastAsia="Arial"/>
                <w:b/>
                <w:bCs/>
                <w:szCs w:val="22"/>
                <w:bdr w:val="nil"/>
                <w:lang w:val="es-ES"/>
              </w:rPr>
              <w:t>Número de solicitudes</w:t>
            </w:r>
          </w:p>
        </w:tc>
      </w:tr>
      <w:tr w:rsidR="00200C88" w:rsidTr="00632912">
        <w:trPr>
          <w:cantSplit/>
          <w:trHeight w:hRule="exact" w:val="284"/>
        </w:trPr>
        <w:tc>
          <w:tcPr>
            <w:tcW w:w="6062" w:type="dxa"/>
            <w:tcBorders>
              <w:top w:val="single" w:sz="4" w:space="0" w:color="auto"/>
              <w:left w:val="nil"/>
              <w:bottom w:val="single" w:sz="4" w:space="0" w:color="auto"/>
              <w:right w:val="single" w:sz="4" w:space="0" w:color="auto"/>
            </w:tcBorders>
          </w:tcPr>
          <w:p w:rsidR="00632912" w:rsidRDefault="00632912" w:rsidP="00632912">
            <w:pPr>
              <w:keepNext/>
              <w:keepLines/>
              <w:rPr>
                <w:sz w:val="6"/>
                <w:szCs w:val="24"/>
                <w:lang w:val="de-DE" w:eastAsia="de-DE"/>
              </w:rPr>
            </w:pPr>
          </w:p>
        </w:tc>
        <w:tc>
          <w:tcPr>
            <w:tcW w:w="2686" w:type="dxa"/>
            <w:tcBorders>
              <w:top w:val="single" w:sz="4" w:space="0" w:color="auto"/>
              <w:left w:val="single" w:sz="4" w:space="0" w:color="auto"/>
              <w:bottom w:val="single" w:sz="4" w:space="0" w:color="auto"/>
              <w:right w:val="nil"/>
            </w:tcBorders>
            <w:vAlign w:val="center"/>
          </w:tcPr>
          <w:p w:rsidR="00632912" w:rsidRDefault="00632912" w:rsidP="00632912">
            <w:pPr>
              <w:keepNext/>
              <w:keepLines/>
              <w:jc w:val="center"/>
              <w:rPr>
                <w:sz w:val="6"/>
                <w:szCs w:val="24"/>
                <w:lang w:val="de-DE" w:eastAsia="de-DE"/>
              </w:rPr>
            </w:pPr>
          </w:p>
        </w:tc>
      </w:tr>
      <w:tr w:rsidR="00200C88" w:rsidTr="00632912">
        <w:trPr>
          <w:cantSplit/>
          <w:trHeight w:hRule="exact" w:val="284"/>
        </w:trPr>
        <w:tc>
          <w:tcPr>
            <w:tcW w:w="6062" w:type="dxa"/>
            <w:tcBorders>
              <w:top w:val="single" w:sz="4" w:space="0" w:color="auto"/>
              <w:left w:val="nil"/>
              <w:bottom w:val="single" w:sz="4" w:space="0" w:color="auto"/>
              <w:right w:val="single" w:sz="4" w:space="0" w:color="auto"/>
            </w:tcBorders>
          </w:tcPr>
          <w:p w:rsidR="00632912" w:rsidRDefault="00632912" w:rsidP="00632912">
            <w:pPr>
              <w:keepNext/>
              <w:keepLines/>
              <w:rPr>
                <w:sz w:val="24"/>
                <w:szCs w:val="24"/>
                <w:lang w:val="de-DE" w:eastAsia="de-DE"/>
              </w:rPr>
            </w:pPr>
            <w:r>
              <w:rPr>
                <w:rFonts w:eastAsia="Arial"/>
                <w:szCs w:val="22"/>
                <w:bdr w:val="nil"/>
                <w:lang w:val="es-ES"/>
              </w:rPr>
              <w:t>Total de solicitudes pendientes</w:t>
            </w:r>
          </w:p>
        </w:tc>
        <w:tc>
          <w:tcPr>
            <w:tcW w:w="2686" w:type="dxa"/>
            <w:tcBorders>
              <w:top w:val="single" w:sz="4" w:space="0" w:color="auto"/>
              <w:left w:val="single" w:sz="4" w:space="0" w:color="auto"/>
              <w:bottom w:val="single" w:sz="4" w:space="0" w:color="auto"/>
              <w:right w:val="nil"/>
            </w:tcBorders>
            <w:vAlign w:val="center"/>
          </w:tcPr>
          <w:p w:rsidR="00632912" w:rsidRDefault="001D316C" w:rsidP="00632912">
            <w:pPr>
              <w:keepNext/>
              <w:keepLines/>
              <w:jc w:val="center"/>
              <w:rPr>
                <w:sz w:val="24"/>
                <w:szCs w:val="24"/>
                <w:lang w:val="de-DE" w:eastAsia="de-DE"/>
              </w:rPr>
            </w:pPr>
            <w:r>
              <w:t>4.</w:t>
            </w:r>
            <w:r w:rsidR="00632912">
              <w:t>900</w:t>
            </w:r>
          </w:p>
        </w:tc>
      </w:tr>
      <w:tr w:rsidR="00200C88" w:rsidTr="001D316C">
        <w:trPr>
          <w:cantSplit/>
          <w:trHeight w:hRule="exact" w:val="609"/>
        </w:trPr>
        <w:tc>
          <w:tcPr>
            <w:tcW w:w="6062" w:type="dxa"/>
            <w:tcBorders>
              <w:top w:val="single" w:sz="4" w:space="0" w:color="auto"/>
              <w:left w:val="nil"/>
              <w:bottom w:val="single" w:sz="4" w:space="0" w:color="auto"/>
              <w:right w:val="single" w:sz="4" w:space="0" w:color="auto"/>
            </w:tcBorders>
          </w:tcPr>
          <w:p w:rsidR="00632912" w:rsidRPr="00632912" w:rsidRDefault="00632912" w:rsidP="00632912">
            <w:pPr>
              <w:keepNext/>
              <w:keepLines/>
              <w:rPr>
                <w:sz w:val="24"/>
                <w:szCs w:val="24"/>
                <w:lang w:val="es-ES" w:eastAsia="de-DE"/>
              </w:rPr>
            </w:pPr>
            <w:r>
              <w:rPr>
                <w:rFonts w:eastAsia="Arial"/>
                <w:szCs w:val="22"/>
                <w:bdr w:val="nil"/>
                <w:lang w:val="es-ES"/>
              </w:rPr>
              <w:t>Solicitudes pendientes de búsqueda (con las tasas pagadas)</w:t>
            </w:r>
          </w:p>
        </w:tc>
        <w:tc>
          <w:tcPr>
            <w:tcW w:w="2686" w:type="dxa"/>
            <w:tcBorders>
              <w:top w:val="single" w:sz="4" w:space="0" w:color="auto"/>
              <w:left w:val="single" w:sz="4" w:space="0" w:color="auto"/>
              <w:bottom w:val="single" w:sz="4" w:space="0" w:color="auto"/>
              <w:right w:val="nil"/>
            </w:tcBorders>
            <w:vAlign w:val="center"/>
          </w:tcPr>
          <w:p w:rsidR="00632912" w:rsidRDefault="00632912" w:rsidP="001D316C">
            <w:pPr>
              <w:keepNext/>
              <w:keepLines/>
              <w:jc w:val="center"/>
              <w:rPr>
                <w:sz w:val="24"/>
                <w:szCs w:val="24"/>
                <w:lang w:val="de-DE" w:eastAsia="de-DE"/>
              </w:rPr>
            </w:pPr>
            <w:r>
              <w:t>1</w:t>
            </w:r>
            <w:r w:rsidR="001D316C">
              <w:t>.</w:t>
            </w:r>
            <w:r>
              <w:t>400</w:t>
            </w:r>
          </w:p>
        </w:tc>
      </w:tr>
      <w:tr w:rsidR="00200C88" w:rsidTr="001D316C">
        <w:trPr>
          <w:cantSplit/>
          <w:trHeight w:hRule="exact" w:val="562"/>
        </w:trPr>
        <w:tc>
          <w:tcPr>
            <w:tcW w:w="6062" w:type="dxa"/>
            <w:tcBorders>
              <w:top w:val="single" w:sz="4" w:space="0" w:color="auto"/>
              <w:left w:val="nil"/>
              <w:bottom w:val="nil"/>
              <w:right w:val="single" w:sz="4" w:space="0" w:color="auto"/>
            </w:tcBorders>
          </w:tcPr>
          <w:p w:rsidR="00632912" w:rsidRPr="00632912" w:rsidRDefault="00632912" w:rsidP="00632912">
            <w:pPr>
              <w:keepLines/>
              <w:rPr>
                <w:sz w:val="24"/>
                <w:szCs w:val="24"/>
                <w:lang w:val="es-ES" w:eastAsia="de-DE"/>
              </w:rPr>
            </w:pPr>
            <w:r>
              <w:rPr>
                <w:rFonts w:eastAsia="Arial"/>
                <w:szCs w:val="22"/>
                <w:bdr w:val="nil"/>
                <w:lang w:val="es-ES"/>
              </w:rPr>
              <w:t>Solicitudes pendientes de primer examen (con las tasas pagadas)</w:t>
            </w:r>
          </w:p>
        </w:tc>
        <w:tc>
          <w:tcPr>
            <w:tcW w:w="2686" w:type="dxa"/>
            <w:tcBorders>
              <w:top w:val="single" w:sz="4" w:space="0" w:color="auto"/>
              <w:left w:val="single" w:sz="4" w:space="0" w:color="auto"/>
              <w:bottom w:val="nil"/>
              <w:right w:val="nil"/>
            </w:tcBorders>
            <w:vAlign w:val="center"/>
          </w:tcPr>
          <w:p w:rsidR="00632912" w:rsidRDefault="00632912" w:rsidP="001D316C">
            <w:pPr>
              <w:jc w:val="center"/>
              <w:rPr>
                <w:sz w:val="24"/>
                <w:szCs w:val="24"/>
                <w:lang w:val="de-DE" w:eastAsia="de-DE"/>
              </w:rPr>
            </w:pPr>
            <w:r>
              <w:t>1</w:t>
            </w:r>
            <w:r w:rsidR="001D316C">
              <w:t>.</w:t>
            </w:r>
            <w:r>
              <w:t>400</w:t>
            </w:r>
          </w:p>
        </w:tc>
      </w:tr>
    </w:tbl>
    <w:p w:rsidR="00632912" w:rsidRDefault="00632912" w:rsidP="00632912">
      <w:pPr>
        <w:rPr>
          <w:b/>
          <w:caps/>
        </w:rPr>
      </w:pPr>
    </w:p>
    <w:p w:rsidR="00632912" w:rsidRDefault="00632912" w:rsidP="00632912">
      <w:pPr>
        <w:pStyle w:val="SectionHeading"/>
      </w:pPr>
      <w:r>
        <w:rPr>
          <w:rFonts w:eastAsia="Arial"/>
          <w:szCs w:val="22"/>
          <w:bdr w:val="nil"/>
          <w:lang w:val="es-ES"/>
        </w:rPr>
        <w:t>7 - Otros</w:t>
      </w:r>
    </w:p>
    <w:p w:rsidR="00632912" w:rsidRPr="00632912" w:rsidRDefault="00632912" w:rsidP="00632912">
      <w:pPr>
        <w:rPr>
          <w:lang w:val="es-ES"/>
        </w:rPr>
      </w:pPr>
      <w:r>
        <w:rPr>
          <w:rFonts w:eastAsia="Arial"/>
          <w:szCs w:val="22"/>
          <w:bdr w:val="nil"/>
          <w:lang w:val="es-ES"/>
        </w:rPr>
        <w:t>Si desea formular otras preguntas adicionales, no dude en ponerse en contacto con:</w:t>
      </w:r>
    </w:p>
    <w:p w:rsidR="00632912" w:rsidRPr="00632912" w:rsidRDefault="00632912" w:rsidP="00632912">
      <w:pPr>
        <w:ind w:left="567"/>
        <w:rPr>
          <w:lang w:val="es-ES"/>
        </w:rPr>
      </w:pPr>
      <w:r>
        <w:rPr>
          <w:rFonts w:eastAsia="Arial"/>
          <w:szCs w:val="22"/>
          <w:bdr w:val="nil"/>
          <w:lang w:val="es-ES"/>
        </w:rPr>
        <w:t>Katharina Fastenbauer</w:t>
      </w:r>
    </w:p>
    <w:p w:rsidR="00632912" w:rsidRPr="00632912" w:rsidRDefault="00632912" w:rsidP="00632912">
      <w:pPr>
        <w:ind w:left="567"/>
        <w:rPr>
          <w:lang w:val="es-ES"/>
        </w:rPr>
      </w:pPr>
      <w:r>
        <w:rPr>
          <w:rFonts w:eastAsia="Arial"/>
          <w:szCs w:val="22"/>
          <w:bdr w:val="nil"/>
          <w:lang w:val="es-ES"/>
        </w:rPr>
        <w:t>Jefa de asistencia en materia de patentes y PCT</w:t>
      </w:r>
    </w:p>
    <w:p w:rsidR="00632912" w:rsidRPr="00632912" w:rsidRDefault="00632912" w:rsidP="00632912">
      <w:pPr>
        <w:ind w:left="567"/>
        <w:rPr>
          <w:lang w:val="es-ES"/>
        </w:rPr>
      </w:pPr>
      <w:r>
        <w:rPr>
          <w:rFonts w:eastAsia="Arial"/>
          <w:szCs w:val="22"/>
          <w:bdr w:val="nil"/>
          <w:lang w:val="es-ES"/>
        </w:rPr>
        <w:t>Vicepresidenta adjunta para asuntos técnicos</w:t>
      </w:r>
    </w:p>
    <w:p w:rsidR="00632912" w:rsidRPr="00632912" w:rsidRDefault="00632912" w:rsidP="00632912">
      <w:pPr>
        <w:ind w:left="567"/>
        <w:rPr>
          <w:lang w:val="es-ES"/>
        </w:rPr>
      </w:pPr>
      <w:r w:rsidRPr="00632912">
        <w:rPr>
          <w:lang w:val="es-ES"/>
        </w:rPr>
        <w:t> </w:t>
      </w:r>
    </w:p>
    <w:p w:rsidR="00632912" w:rsidRPr="00632912" w:rsidRDefault="00632912" w:rsidP="00632912">
      <w:pPr>
        <w:ind w:left="567"/>
        <w:rPr>
          <w:lang w:val="es-ES"/>
        </w:rPr>
      </w:pPr>
      <w:r>
        <w:rPr>
          <w:rFonts w:eastAsia="Arial"/>
          <w:szCs w:val="22"/>
          <w:bdr w:val="nil"/>
          <w:lang w:val="es-ES"/>
        </w:rPr>
        <w:t xml:space="preserve">Oficina </w:t>
      </w:r>
      <w:r w:rsidR="009745E8">
        <w:rPr>
          <w:rFonts w:eastAsia="Arial"/>
          <w:szCs w:val="22"/>
          <w:bdr w:val="nil"/>
          <w:lang w:val="es-ES"/>
        </w:rPr>
        <w:t>Austríaca</w:t>
      </w:r>
      <w:r>
        <w:rPr>
          <w:rFonts w:eastAsia="Arial"/>
          <w:szCs w:val="22"/>
          <w:bdr w:val="nil"/>
          <w:lang w:val="es-ES"/>
        </w:rPr>
        <w:t xml:space="preserve"> de Patentes</w:t>
      </w:r>
    </w:p>
    <w:p w:rsidR="00632912" w:rsidRPr="00632912" w:rsidRDefault="00632912" w:rsidP="00632912">
      <w:pPr>
        <w:ind w:left="567"/>
        <w:rPr>
          <w:lang w:val="es-ES"/>
        </w:rPr>
      </w:pPr>
      <w:r>
        <w:rPr>
          <w:rFonts w:eastAsia="Arial"/>
          <w:szCs w:val="22"/>
          <w:bdr w:val="nil"/>
          <w:lang w:val="es-ES"/>
        </w:rPr>
        <w:t>Dresdnerstraße 87</w:t>
      </w:r>
    </w:p>
    <w:p w:rsidR="00632912" w:rsidRPr="00632912" w:rsidRDefault="00632912" w:rsidP="00632912">
      <w:pPr>
        <w:ind w:left="567"/>
        <w:rPr>
          <w:lang w:val="es-ES"/>
        </w:rPr>
      </w:pPr>
      <w:r>
        <w:rPr>
          <w:rFonts w:eastAsia="Arial"/>
          <w:szCs w:val="22"/>
          <w:bdr w:val="nil"/>
          <w:lang w:val="es-ES"/>
        </w:rPr>
        <w:t>1200 Viena</w:t>
      </w:r>
    </w:p>
    <w:p w:rsidR="00632912" w:rsidRPr="00632912" w:rsidRDefault="00632912" w:rsidP="00632912">
      <w:pPr>
        <w:ind w:left="567"/>
        <w:rPr>
          <w:lang w:val="es-ES"/>
        </w:rPr>
      </w:pPr>
      <w:r>
        <w:rPr>
          <w:rFonts w:eastAsia="Arial"/>
          <w:szCs w:val="22"/>
          <w:bdr w:val="nil"/>
          <w:lang w:val="es-ES"/>
        </w:rPr>
        <w:t xml:space="preserve">Austria </w:t>
      </w:r>
    </w:p>
    <w:p w:rsidR="00632912" w:rsidRPr="00632912" w:rsidRDefault="00632912" w:rsidP="00632912">
      <w:pPr>
        <w:ind w:left="567"/>
        <w:rPr>
          <w:lang w:val="es-ES"/>
        </w:rPr>
      </w:pPr>
      <w:r w:rsidRPr="00632912">
        <w:rPr>
          <w:lang w:val="es-ES"/>
        </w:rPr>
        <w:t> </w:t>
      </w:r>
    </w:p>
    <w:p w:rsidR="00632912" w:rsidRPr="00632912" w:rsidRDefault="001D316C" w:rsidP="00632912">
      <w:pPr>
        <w:ind w:left="567"/>
        <w:rPr>
          <w:lang w:val="es-ES"/>
        </w:rPr>
      </w:pPr>
      <w:r>
        <w:rPr>
          <w:rFonts w:eastAsia="Arial"/>
          <w:szCs w:val="22"/>
          <w:bdr w:val="nil"/>
          <w:lang w:val="es-ES"/>
        </w:rPr>
        <w:t xml:space="preserve">Tel.: </w:t>
      </w:r>
      <w:r w:rsidR="008760EE">
        <w:rPr>
          <w:rFonts w:eastAsia="Arial"/>
          <w:szCs w:val="22"/>
          <w:bdr w:val="nil"/>
          <w:lang w:val="es-ES"/>
        </w:rPr>
        <w:t xml:space="preserve">+43 1 53 424 447;  Fax.: </w:t>
      </w:r>
      <w:r w:rsidR="00632912">
        <w:rPr>
          <w:rFonts w:eastAsia="Arial"/>
          <w:szCs w:val="22"/>
          <w:bdr w:val="nil"/>
          <w:lang w:val="es-ES"/>
        </w:rPr>
        <w:t>+43 1 53 424 535</w:t>
      </w:r>
    </w:p>
    <w:p w:rsidR="00632912" w:rsidRPr="00632912" w:rsidRDefault="00F401D2" w:rsidP="00632912">
      <w:pPr>
        <w:ind w:left="567"/>
        <w:rPr>
          <w:lang w:val="es-ES"/>
        </w:rPr>
      </w:pPr>
      <w:hyperlink r:id="rId32" w:history="1">
        <w:r w:rsidR="00632912">
          <w:rPr>
            <w:rFonts w:eastAsia="Arial"/>
            <w:szCs w:val="22"/>
            <w:bdr w:val="nil"/>
            <w:lang w:val="es-ES"/>
          </w:rPr>
          <w:t>Katharina.Fastenbauer@patentamt.at</w:t>
        </w:r>
      </w:hyperlink>
    </w:p>
    <w:p w:rsidR="00632912" w:rsidRDefault="00632912" w:rsidP="00632912">
      <w:pPr>
        <w:rPr>
          <w:lang w:val="es-ES"/>
        </w:rPr>
      </w:pPr>
    </w:p>
    <w:p w:rsidR="00B97901" w:rsidRPr="00632912" w:rsidRDefault="00B97901" w:rsidP="00632912">
      <w:pPr>
        <w:rPr>
          <w:lang w:val="es-ES"/>
        </w:rPr>
      </w:pPr>
    </w:p>
    <w:p w:rsidR="00632912" w:rsidRPr="00632912" w:rsidRDefault="00632912" w:rsidP="00632912">
      <w:pPr>
        <w:pStyle w:val="Endofdocument-Annex"/>
        <w:rPr>
          <w:lang w:val="es-ES"/>
        </w:rPr>
      </w:pPr>
      <w:r>
        <w:rPr>
          <w:rFonts w:eastAsia="Arial"/>
          <w:szCs w:val="22"/>
          <w:bdr w:val="nil"/>
          <w:lang w:val="es-ES"/>
        </w:rPr>
        <w:t>[Fin del Anexo y del documento]</w:t>
      </w:r>
    </w:p>
    <w:sectPr w:rsidR="00632912" w:rsidRPr="00632912" w:rsidSect="00632912">
      <w:headerReference w:type="default" r:id="rId33"/>
      <w:headerReference w:type="first" r:id="rId3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5E8" w:rsidRDefault="009745E8">
      <w:r>
        <w:separator/>
      </w:r>
    </w:p>
  </w:endnote>
  <w:endnote w:type="continuationSeparator" w:id="0">
    <w:p w:rsidR="009745E8" w:rsidRDefault="0097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5E8" w:rsidRDefault="009745E8">
      <w:r>
        <w:separator/>
      </w:r>
    </w:p>
  </w:footnote>
  <w:footnote w:type="continuationSeparator" w:id="0">
    <w:p w:rsidR="009745E8" w:rsidRDefault="00974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E8" w:rsidRDefault="009745E8" w:rsidP="00632912">
    <w:pPr>
      <w:jc w:val="right"/>
    </w:pPr>
    <w:bookmarkStart w:id="7" w:name="Code2"/>
    <w:bookmarkEnd w:id="7"/>
    <w:r>
      <w:rPr>
        <w:rFonts w:eastAsia="Arial"/>
        <w:szCs w:val="22"/>
        <w:bdr w:val="nil"/>
        <w:lang w:val="es-ES"/>
      </w:rPr>
      <w:t>PCT/CTC/30/3</w:t>
    </w:r>
  </w:p>
  <w:p w:rsidR="009745E8" w:rsidRDefault="009745E8" w:rsidP="00632912">
    <w:pPr>
      <w:jc w:val="right"/>
    </w:pPr>
    <w:r>
      <w:rPr>
        <w:rFonts w:eastAsia="Arial"/>
        <w:szCs w:val="22"/>
        <w:bdr w:val="nil"/>
        <w:lang w:val="es-ES"/>
      </w:rPr>
      <w:t xml:space="preserve">page </w:t>
    </w:r>
    <w:r>
      <w:fldChar w:fldCharType="begin"/>
    </w:r>
    <w:r>
      <w:instrText xml:space="preserve"> PAGE  \* MERGEFORMAT </w:instrText>
    </w:r>
    <w:r>
      <w:fldChar w:fldCharType="separate"/>
    </w:r>
    <w:r>
      <w:rPr>
        <w:noProof/>
      </w:rPr>
      <w:t>2</w:t>
    </w:r>
    <w:r>
      <w:fldChar w:fldCharType="end"/>
    </w:r>
  </w:p>
  <w:p w:rsidR="009745E8" w:rsidRDefault="009745E8" w:rsidP="00632912">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E8" w:rsidRPr="00AA5F79" w:rsidRDefault="009745E8" w:rsidP="00632912">
    <w:pPr>
      <w:jc w:val="right"/>
      <w:rPr>
        <w:lang w:val="fr-FR"/>
      </w:rPr>
    </w:pPr>
    <w:r>
      <w:rPr>
        <w:rFonts w:eastAsia="Arial"/>
        <w:szCs w:val="22"/>
        <w:bdr w:val="nil"/>
        <w:lang w:val="es-ES"/>
      </w:rPr>
      <w:t>PCT/CTC/30/3</w:t>
    </w:r>
  </w:p>
  <w:p w:rsidR="009745E8" w:rsidRPr="00AA5F79" w:rsidRDefault="009745E8" w:rsidP="00632912">
    <w:pPr>
      <w:jc w:val="right"/>
      <w:rPr>
        <w:lang w:val="fr-FR"/>
      </w:rPr>
    </w:pPr>
    <w:r>
      <w:rPr>
        <w:rFonts w:eastAsia="Arial"/>
        <w:szCs w:val="22"/>
        <w:bdr w:val="nil"/>
        <w:lang w:val="es-ES"/>
      </w:rPr>
      <w:t xml:space="preserve">Anexo, página </w:t>
    </w:r>
    <w:r>
      <w:fldChar w:fldCharType="begin"/>
    </w:r>
    <w:r w:rsidRPr="00AA5F79">
      <w:rPr>
        <w:lang w:val="fr-FR"/>
      </w:rPr>
      <w:instrText xml:space="preserve"> PAGE  \* MERGEFORMAT </w:instrText>
    </w:r>
    <w:r>
      <w:fldChar w:fldCharType="separate"/>
    </w:r>
    <w:r w:rsidR="00F401D2">
      <w:rPr>
        <w:noProof/>
        <w:lang w:val="fr-FR"/>
      </w:rPr>
      <w:t>12</w:t>
    </w:r>
    <w:r>
      <w:fldChar w:fldCharType="end"/>
    </w:r>
  </w:p>
  <w:p w:rsidR="009745E8" w:rsidRPr="00AA5F79" w:rsidRDefault="009745E8" w:rsidP="00632912">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E8" w:rsidRDefault="009745E8" w:rsidP="00632912">
    <w:pPr>
      <w:pStyle w:val="Header"/>
      <w:jc w:val="right"/>
    </w:pPr>
    <w:r>
      <w:rPr>
        <w:rFonts w:eastAsia="Arial"/>
        <w:szCs w:val="22"/>
        <w:bdr w:val="nil"/>
        <w:lang w:val="es-ES"/>
      </w:rPr>
      <w:t>PCT/CTC/30/3</w:t>
    </w:r>
  </w:p>
  <w:p w:rsidR="009745E8" w:rsidRDefault="009745E8" w:rsidP="00632912">
    <w:pPr>
      <w:pStyle w:val="Header"/>
      <w:jc w:val="right"/>
    </w:pPr>
    <w:r>
      <w:rPr>
        <w:rFonts w:eastAsia="Arial"/>
        <w:szCs w:val="22"/>
        <w:bdr w:val="nil"/>
        <w:lang w:val="es-ES"/>
      </w:rPr>
      <w:t>ANEXO</w:t>
    </w:r>
  </w:p>
  <w:p w:rsidR="009745E8" w:rsidRDefault="009745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C7B4D0C2">
      <w:start w:val="1"/>
      <w:numFmt w:val="decimal"/>
      <w:pStyle w:val="ListNumber"/>
      <w:lvlText w:val="03.%1."/>
      <w:lvlJc w:val="left"/>
      <w:pPr>
        <w:tabs>
          <w:tab w:val="num" w:pos="567"/>
        </w:tabs>
        <w:ind w:left="0" w:firstLine="0"/>
      </w:pPr>
      <w:rPr>
        <w:rFonts w:hint="default"/>
      </w:rPr>
    </w:lvl>
    <w:lvl w:ilvl="1" w:tplc="265CDAC6" w:tentative="1">
      <w:start w:val="1"/>
      <w:numFmt w:val="lowerLetter"/>
      <w:lvlText w:val="%2."/>
      <w:lvlJc w:val="left"/>
      <w:pPr>
        <w:tabs>
          <w:tab w:val="num" w:pos="1440"/>
        </w:tabs>
        <w:ind w:left="1440" w:hanging="360"/>
      </w:pPr>
    </w:lvl>
    <w:lvl w:ilvl="2" w:tplc="94F0383E" w:tentative="1">
      <w:start w:val="1"/>
      <w:numFmt w:val="lowerRoman"/>
      <w:lvlText w:val="%3."/>
      <w:lvlJc w:val="right"/>
      <w:pPr>
        <w:tabs>
          <w:tab w:val="num" w:pos="2160"/>
        </w:tabs>
        <w:ind w:left="2160" w:hanging="180"/>
      </w:pPr>
    </w:lvl>
    <w:lvl w:ilvl="3" w:tplc="362E06F8" w:tentative="1">
      <w:start w:val="1"/>
      <w:numFmt w:val="decimal"/>
      <w:lvlText w:val="%4."/>
      <w:lvlJc w:val="left"/>
      <w:pPr>
        <w:tabs>
          <w:tab w:val="num" w:pos="2880"/>
        </w:tabs>
        <w:ind w:left="2880" w:hanging="360"/>
      </w:pPr>
    </w:lvl>
    <w:lvl w:ilvl="4" w:tplc="C2CCA7A6" w:tentative="1">
      <w:start w:val="1"/>
      <w:numFmt w:val="lowerLetter"/>
      <w:lvlText w:val="%5."/>
      <w:lvlJc w:val="left"/>
      <w:pPr>
        <w:tabs>
          <w:tab w:val="num" w:pos="3600"/>
        </w:tabs>
        <w:ind w:left="3600" w:hanging="360"/>
      </w:pPr>
    </w:lvl>
    <w:lvl w:ilvl="5" w:tplc="3A927AC2" w:tentative="1">
      <w:start w:val="1"/>
      <w:numFmt w:val="lowerRoman"/>
      <w:lvlText w:val="%6."/>
      <w:lvlJc w:val="right"/>
      <w:pPr>
        <w:tabs>
          <w:tab w:val="num" w:pos="4320"/>
        </w:tabs>
        <w:ind w:left="4320" w:hanging="180"/>
      </w:pPr>
    </w:lvl>
    <w:lvl w:ilvl="6" w:tplc="0914BFB6" w:tentative="1">
      <w:start w:val="1"/>
      <w:numFmt w:val="decimal"/>
      <w:lvlText w:val="%7."/>
      <w:lvlJc w:val="left"/>
      <w:pPr>
        <w:tabs>
          <w:tab w:val="num" w:pos="5040"/>
        </w:tabs>
        <w:ind w:left="5040" w:hanging="360"/>
      </w:pPr>
    </w:lvl>
    <w:lvl w:ilvl="7" w:tplc="4E76952E" w:tentative="1">
      <w:start w:val="1"/>
      <w:numFmt w:val="lowerLetter"/>
      <w:lvlText w:val="%8."/>
      <w:lvlJc w:val="left"/>
      <w:pPr>
        <w:tabs>
          <w:tab w:val="num" w:pos="5760"/>
        </w:tabs>
        <w:ind w:left="5760" w:hanging="360"/>
      </w:pPr>
    </w:lvl>
    <w:lvl w:ilvl="8" w:tplc="76342A48" w:tentative="1">
      <w:start w:val="1"/>
      <w:numFmt w:val="lowerRoman"/>
      <w:lvlText w:val="%9."/>
      <w:lvlJc w:val="right"/>
      <w:pPr>
        <w:tabs>
          <w:tab w:val="num" w:pos="6480"/>
        </w:tabs>
        <w:ind w:left="6480" w:hanging="180"/>
      </w:pPr>
    </w:lvl>
  </w:abstractNum>
  <w:abstractNum w:abstractNumId="6">
    <w:nsid w:val="689E3511"/>
    <w:multiLevelType w:val="hybridMultilevel"/>
    <w:tmpl w:val="B740B88A"/>
    <w:lvl w:ilvl="0" w:tplc="531E3AC6">
      <w:start w:val="1"/>
      <w:numFmt w:val="lowerRoman"/>
      <w:lvlText w:val="(%1)"/>
      <w:lvlJc w:val="left"/>
      <w:pPr>
        <w:ind w:left="1004" w:hanging="720"/>
      </w:pPr>
    </w:lvl>
    <w:lvl w:ilvl="1" w:tplc="0E6E1276">
      <w:start w:val="1"/>
      <w:numFmt w:val="lowerLetter"/>
      <w:lvlText w:val="%2."/>
      <w:lvlJc w:val="left"/>
      <w:pPr>
        <w:ind w:left="1364" w:hanging="360"/>
      </w:pPr>
    </w:lvl>
    <w:lvl w:ilvl="2" w:tplc="8FA65426">
      <w:start w:val="1"/>
      <w:numFmt w:val="lowerRoman"/>
      <w:lvlText w:val="%3."/>
      <w:lvlJc w:val="right"/>
      <w:pPr>
        <w:ind w:left="2084" w:hanging="180"/>
      </w:pPr>
    </w:lvl>
    <w:lvl w:ilvl="3" w:tplc="8FD08AF8">
      <w:start w:val="1"/>
      <w:numFmt w:val="decimal"/>
      <w:lvlText w:val="%4."/>
      <w:lvlJc w:val="left"/>
      <w:pPr>
        <w:ind w:left="2804" w:hanging="360"/>
      </w:pPr>
    </w:lvl>
    <w:lvl w:ilvl="4" w:tplc="C2C45D50">
      <w:start w:val="1"/>
      <w:numFmt w:val="lowerLetter"/>
      <w:lvlText w:val="%5."/>
      <w:lvlJc w:val="left"/>
      <w:pPr>
        <w:ind w:left="3524" w:hanging="360"/>
      </w:pPr>
    </w:lvl>
    <w:lvl w:ilvl="5" w:tplc="1972A4DC">
      <w:start w:val="1"/>
      <w:numFmt w:val="lowerRoman"/>
      <w:lvlText w:val="%6."/>
      <w:lvlJc w:val="right"/>
      <w:pPr>
        <w:ind w:left="4244" w:hanging="180"/>
      </w:pPr>
    </w:lvl>
    <w:lvl w:ilvl="6" w:tplc="F56A75A4">
      <w:start w:val="1"/>
      <w:numFmt w:val="decimal"/>
      <w:lvlText w:val="%7."/>
      <w:lvlJc w:val="left"/>
      <w:pPr>
        <w:ind w:left="4964" w:hanging="360"/>
      </w:pPr>
    </w:lvl>
    <w:lvl w:ilvl="7" w:tplc="AFF621F8">
      <w:start w:val="1"/>
      <w:numFmt w:val="lowerLetter"/>
      <w:lvlText w:val="%8."/>
      <w:lvlJc w:val="left"/>
      <w:pPr>
        <w:ind w:left="5684" w:hanging="360"/>
      </w:pPr>
    </w:lvl>
    <w:lvl w:ilvl="8" w:tplc="AC50F60C">
      <w:start w:val="1"/>
      <w:numFmt w:val="lowerRoman"/>
      <w:lvlText w:val="%9."/>
      <w:lvlJc w:val="right"/>
      <w:pPr>
        <w:ind w:left="6404"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C88"/>
    <w:rsid w:val="000333F2"/>
    <w:rsid w:val="000902F8"/>
    <w:rsid w:val="000C6962"/>
    <w:rsid w:val="00120AC4"/>
    <w:rsid w:val="001A7108"/>
    <w:rsid w:val="001D316C"/>
    <w:rsid w:val="00200C88"/>
    <w:rsid w:val="003134B4"/>
    <w:rsid w:val="00331787"/>
    <w:rsid w:val="003F52AF"/>
    <w:rsid w:val="00413685"/>
    <w:rsid w:val="0044100D"/>
    <w:rsid w:val="00462EC2"/>
    <w:rsid w:val="00530C53"/>
    <w:rsid w:val="00632912"/>
    <w:rsid w:val="0066504F"/>
    <w:rsid w:val="006776A3"/>
    <w:rsid w:val="006E3BFA"/>
    <w:rsid w:val="006E5CAE"/>
    <w:rsid w:val="00733EF3"/>
    <w:rsid w:val="007A338F"/>
    <w:rsid w:val="008760EE"/>
    <w:rsid w:val="00935967"/>
    <w:rsid w:val="009745E8"/>
    <w:rsid w:val="009A19C8"/>
    <w:rsid w:val="00A423BE"/>
    <w:rsid w:val="00AA4077"/>
    <w:rsid w:val="00AF2C27"/>
    <w:rsid w:val="00B25080"/>
    <w:rsid w:val="00B97901"/>
    <w:rsid w:val="00D535F8"/>
    <w:rsid w:val="00D67F19"/>
    <w:rsid w:val="00D90772"/>
    <w:rsid w:val="00DC0E4A"/>
    <w:rsid w:val="00DC31FF"/>
    <w:rsid w:val="00DD1DCD"/>
    <w:rsid w:val="00E865F9"/>
    <w:rsid w:val="00EA7178"/>
    <w:rsid w:val="00EB1282"/>
    <w:rsid w:val="00F37719"/>
    <w:rsid w:val="00F401D2"/>
    <w:rsid w:val="00FF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1Char">
    <w:name w:val="Heading 1 Char"/>
    <w:link w:val="Heading1"/>
    <w:rsid w:val="0060519C"/>
    <w:rPr>
      <w:rFonts w:ascii="Arial" w:eastAsia="SimSun" w:hAnsi="Arial" w:cs="Arial"/>
      <w:b/>
      <w:bCs/>
      <w:caps/>
      <w:kern w:val="32"/>
      <w:sz w:val="22"/>
      <w:szCs w:val="32"/>
      <w:lang w:eastAsia="zh-CN"/>
    </w:rPr>
  </w:style>
  <w:style w:type="character" w:styleId="Hyperlink">
    <w:name w:val="Hyperlink"/>
    <w:rsid w:val="002060B4"/>
  </w:style>
  <w:style w:type="character" w:customStyle="1" w:styleId="22StandardZchn">
    <w:name w:val="22 Standard Zchn"/>
    <w:link w:val="22Standard"/>
    <w:locked/>
    <w:rsid w:val="0060519C"/>
    <w:rPr>
      <w:rFonts w:ascii="Arial" w:eastAsia="SimSun" w:hAnsi="Arial" w:cs="Arial"/>
      <w:sz w:val="22"/>
      <w:lang w:eastAsia="zh-CN"/>
    </w:rPr>
  </w:style>
  <w:style w:type="paragraph" w:customStyle="1" w:styleId="22Standard">
    <w:name w:val="22 Standard"/>
    <w:basedOn w:val="Normal"/>
    <w:link w:val="22StandardZchn"/>
    <w:rsid w:val="0060519C"/>
    <w:pPr>
      <w:spacing w:after="120" w:line="300" w:lineRule="exact"/>
      <w:ind w:left="284"/>
    </w:pPr>
  </w:style>
  <w:style w:type="character" w:customStyle="1" w:styleId="alt-edited">
    <w:name w:val="alt-edited"/>
    <w:rsid w:val="0060519C"/>
  </w:style>
  <w:style w:type="paragraph" w:customStyle="1" w:styleId="SectionHeading">
    <w:name w:val="Section Heading"/>
    <w:basedOn w:val="Heading1"/>
    <w:link w:val="SectionHeadingChar"/>
    <w:qFormat/>
    <w:rsid w:val="00135CEA"/>
    <w:pPr>
      <w:pBdr>
        <w:top w:val="single" w:sz="4" w:space="1" w:color="auto"/>
        <w:bottom w:val="single" w:sz="4" w:space="1" w:color="auto"/>
      </w:pBdr>
      <w:spacing w:before="360" w:after="200"/>
    </w:pPr>
  </w:style>
  <w:style w:type="character" w:customStyle="1" w:styleId="SectionHeadingChar">
    <w:name w:val="Section Heading Char"/>
    <w:link w:val="SectionHeading"/>
    <w:rsid w:val="00135CEA"/>
    <w:rPr>
      <w:rFonts w:ascii="Arial" w:eastAsia="SimSun" w:hAnsi="Arial" w:cs="Arial"/>
      <w:b/>
      <w:bCs/>
      <w:caps/>
      <w:kern w:val="32"/>
      <w:sz w:val="22"/>
      <w:szCs w:val="32"/>
      <w:lang w:eastAsia="zh-CN"/>
    </w:rPr>
  </w:style>
  <w:style w:type="paragraph" w:customStyle="1" w:styleId="Sub-heading">
    <w:name w:val="Sub-heading"/>
    <w:basedOn w:val="Normal"/>
    <w:link w:val="Sub-headingChar"/>
    <w:qFormat/>
    <w:rsid w:val="00135CEA"/>
    <w:pPr>
      <w:keepNext/>
      <w:spacing w:before="240" w:after="240"/>
    </w:pPr>
    <w:rPr>
      <w:b/>
      <w:lang w:val="en-GB"/>
    </w:rPr>
  </w:style>
  <w:style w:type="character" w:customStyle="1" w:styleId="Sub-headingChar">
    <w:name w:val="Sub-heading Char"/>
    <w:basedOn w:val="DefaultParagraphFont"/>
    <w:link w:val="Sub-heading"/>
    <w:rsid w:val="00135CEA"/>
    <w:rPr>
      <w:rFonts w:ascii="Arial" w:eastAsia="SimSun" w:hAnsi="Arial" w:cs="Arial"/>
      <w:b/>
      <w:sz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1Char">
    <w:name w:val="Heading 1 Char"/>
    <w:link w:val="Heading1"/>
    <w:rsid w:val="0060519C"/>
    <w:rPr>
      <w:rFonts w:ascii="Arial" w:eastAsia="SimSun" w:hAnsi="Arial" w:cs="Arial"/>
      <w:b/>
      <w:bCs/>
      <w:caps/>
      <w:kern w:val="32"/>
      <w:sz w:val="22"/>
      <w:szCs w:val="32"/>
      <w:lang w:eastAsia="zh-CN"/>
    </w:rPr>
  </w:style>
  <w:style w:type="character" w:styleId="Hyperlink">
    <w:name w:val="Hyperlink"/>
    <w:rsid w:val="002060B4"/>
  </w:style>
  <w:style w:type="character" w:customStyle="1" w:styleId="22StandardZchn">
    <w:name w:val="22 Standard Zchn"/>
    <w:link w:val="22Standard"/>
    <w:locked/>
    <w:rsid w:val="0060519C"/>
    <w:rPr>
      <w:rFonts w:ascii="Arial" w:eastAsia="SimSun" w:hAnsi="Arial" w:cs="Arial"/>
      <w:sz w:val="22"/>
      <w:lang w:eastAsia="zh-CN"/>
    </w:rPr>
  </w:style>
  <w:style w:type="paragraph" w:customStyle="1" w:styleId="22Standard">
    <w:name w:val="22 Standard"/>
    <w:basedOn w:val="Normal"/>
    <w:link w:val="22StandardZchn"/>
    <w:rsid w:val="0060519C"/>
    <w:pPr>
      <w:spacing w:after="120" w:line="300" w:lineRule="exact"/>
      <w:ind w:left="284"/>
    </w:pPr>
  </w:style>
  <w:style w:type="character" w:customStyle="1" w:styleId="alt-edited">
    <w:name w:val="alt-edited"/>
    <w:rsid w:val="0060519C"/>
  </w:style>
  <w:style w:type="paragraph" w:customStyle="1" w:styleId="SectionHeading">
    <w:name w:val="Section Heading"/>
    <w:basedOn w:val="Heading1"/>
    <w:link w:val="SectionHeadingChar"/>
    <w:qFormat/>
    <w:rsid w:val="00135CEA"/>
    <w:pPr>
      <w:pBdr>
        <w:top w:val="single" w:sz="4" w:space="1" w:color="auto"/>
        <w:bottom w:val="single" w:sz="4" w:space="1" w:color="auto"/>
      </w:pBdr>
      <w:spacing w:before="360" w:after="200"/>
    </w:pPr>
  </w:style>
  <w:style w:type="character" w:customStyle="1" w:styleId="SectionHeadingChar">
    <w:name w:val="Section Heading Char"/>
    <w:link w:val="SectionHeading"/>
    <w:rsid w:val="00135CEA"/>
    <w:rPr>
      <w:rFonts w:ascii="Arial" w:eastAsia="SimSun" w:hAnsi="Arial" w:cs="Arial"/>
      <w:b/>
      <w:bCs/>
      <w:caps/>
      <w:kern w:val="32"/>
      <w:sz w:val="22"/>
      <w:szCs w:val="32"/>
      <w:lang w:eastAsia="zh-CN"/>
    </w:rPr>
  </w:style>
  <w:style w:type="paragraph" w:customStyle="1" w:styleId="Sub-heading">
    <w:name w:val="Sub-heading"/>
    <w:basedOn w:val="Normal"/>
    <w:link w:val="Sub-headingChar"/>
    <w:qFormat/>
    <w:rsid w:val="00135CEA"/>
    <w:pPr>
      <w:keepNext/>
      <w:spacing w:before="240" w:after="240"/>
    </w:pPr>
    <w:rPr>
      <w:b/>
      <w:lang w:val="en-GB"/>
    </w:rPr>
  </w:style>
  <w:style w:type="character" w:customStyle="1" w:styleId="Sub-headingChar">
    <w:name w:val="Sub-heading Char"/>
    <w:basedOn w:val="DefaultParagraphFont"/>
    <w:link w:val="Sub-heading"/>
    <w:rsid w:val="00135CEA"/>
    <w:rPr>
      <w:rFonts w:ascii="Arial" w:eastAsia="SimSun" w:hAnsi="Arial" w:cs="Arial"/>
      <w:b/>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pct/en/quality/authorities.html" TargetMode="External"/><Relationship Id="rId18" Type="http://schemas.openxmlformats.org/officeDocument/2006/relationships/hyperlink" Target="http://www.austria.info/uk" TargetMode="External"/><Relationship Id="rId26" Type="http://schemas.openxmlformats.org/officeDocument/2006/relationships/hyperlink" Target="https://www.bmvit.gv.at/service/publikationen/innovation/forschungspolitik/downloads/fti_strategie.pdf" TargetMode="External"/><Relationship Id="rId3" Type="http://schemas.openxmlformats.org/officeDocument/2006/relationships/styles" Target="styles.xml"/><Relationship Id="rId21" Type="http://schemas.openxmlformats.org/officeDocument/2006/relationships/hyperlink" Target="http://www.statistik.at/web_en/statistics/index.html"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wipo.int/pct/en/quality/authorities.html" TargetMode="External"/><Relationship Id="rId17" Type="http://schemas.openxmlformats.org/officeDocument/2006/relationships/hyperlink" Target="https://en.wikipedia.org/wiki/Central_Europe" TargetMode="External"/><Relationship Id="rId25" Type="http://schemas.openxmlformats.org/officeDocument/2006/relationships/hyperlink" Target="http://archiv.bundeskanzleramt.at/DocView.axd?CobId=65314"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jpo.go.jp/ppph-portal/index.htm" TargetMode="External"/><Relationship Id="rId20" Type="http://schemas.openxmlformats.org/officeDocument/2006/relationships/image" Target="media/image2.png"/><Relationship Id="rId29" Type="http://schemas.openxmlformats.org/officeDocument/2006/relationships/hyperlink" Target="http://archiv.bundeskanzleramt.at/DocView.axd?CobId=653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ct/en/quality/authorities.html" TargetMode="External"/><Relationship Id="rId24" Type="http://schemas.openxmlformats.org/officeDocument/2006/relationships/hyperlink" Target="http://www.statistik.at/web_en" TargetMode="External"/><Relationship Id="rId32" Type="http://schemas.openxmlformats.org/officeDocument/2006/relationships/hyperlink" Target="mailto:Katharina.Fastenbauer@patentamt.at" TargetMode="External"/><Relationship Id="rId5" Type="http://schemas.openxmlformats.org/officeDocument/2006/relationships/settings" Target="settings.xml"/><Relationship Id="rId15" Type="http://schemas.openxmlformats.org/officeDocument/2006/relationships/hyperlink" Target="http://www.wipo.int/pct/guide/en/gdvol1/annexes/annexd/ax_d_at.pdf" TargetMode="External"/><Relationship Id="rId23" Type="http://schemas.openxmlformats.org/officeDocument/2006/relationships/image" Target="media/image4.png"/><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austria-export.biz/en/" TargetMode="External"/><Relationship Id="rId31"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af-zentrum.at/de/CAF-Center-EU" TargetMode="External"/><Relationship Id="rId22" Type="http://schemas.openxmlformats.org/officeDocument/2006/relationships/image" Target="media/image3.png"/><Relationship Id="rId27" Type="http://schemas.openxmlformats.org/officeDocument/2006/relationships/hyperlink" Target="https://www.bmvit.gv.at/en/innovation/downloads/open_innovation_strategy_for_austria.pdf" TargetMode="External"/><Relationship Id="rId30" Type="http://schemas.openxmlformats.org/officeDocument/2006/relationships/hyperlink" Target="http://ipstats.wipo.int/ipstatv2/index.htm?tab=paten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952E1-525F-4713-A819-30803808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4205</Words>
  <Characters>24970</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PCT/CTC/30/3</vt:lpstr>
      <vt:lpstr>PCT/CTC/30/3</vt:lpstr>
    </vt:vector>
  </TitlesOfParts>
  <Company>WIPO</Company>
  <LinksUpToDate>false</LinksUpToDate>
  <CharactersWithSpaces>29117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PCT/CTC/30/3</dc:title>
  <dc:subject>Advice on the Extension of Appointment of the Austrian Patent Office as an Internaitonal Searching and Preliminary Examining Authority Under the PCT</dc:subject>
  <dc:creator>MARLOW Thomas</dc:creator>
  <cp:lastModifiedBy>MARLOW Thomas</cp:lastModifiedBy>
  <cp:revision>2</cp:revision>
  <cp:lastPrinted>2017-02-28T14:25:00Z</cp:lastPrinted>
  <dcterms:created xsi:type="dcterms:W3CDTF">2017-03-23T13:52:00Z</dcterms:created>
  <dcterms:modified xsi:type="dcterms:W3CDTF">2017-03-23T13:52:00Z</dcterms:modified>
</cp:coreProperties>
</file>