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408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="00B458E1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B458E1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B458E1">
              <w:rPr>
                <w:rFonts w:ascii="Arial Black" w:hAnsi="Arial Black"/>
                <w:caps/>
                <w:sz w:val="15"/>
              </w:rPr>
              <w:t>19 DE MARZO DE 2018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C1A53" w:rsidRDefault="00AC1A53" w:rsidP="008B2CC1"/>
    <w:p w:rsidR="00AC1A53" w:rsidRDefault="00AC1A53" w:rsidP="008B2CC1"/>
    <w:p w:rsidR="00AC1A53" w:rsidRDefault="00AC1A53" w:rsidP="008B2CC1"/>
    <w:p w:rsidR="00AC1A53" w:rsidRDefault="00AC1A53" w:rsidP="008B2CC1"/>
    <w:p w:rsidR="00AC1A53" w:rsidRDefault="00AC1A53" w:rsidP="008B2CC1"/>
    <w:p w:rsidR="00AC1A53" w:rsidRDefault="00F94081" w:rsidP="00B67CDC">
      <w:pPr>
        <w:rPr>
          <w:b/>
          <w:sz w:val="28"/>
          <w:szCs w:val="28"/>
        </w:rPr>
      </w:pPr>
      <w:r w:rsidRPr="00F94081">
        <w:rPr>
          <w:b/>
          <w:sz w:val="28"/>
          <w:szCs w:val="28"/>
        </w:rPr>
        <w:t>Grupo de Trabajo del Tratado de Cooperación en materia de Patentes (PCT)</w:t>
      </w:r>
    </w:p>
    <w:p w:rsidR="00AC1A53" w:rsidRDefault="00AC1A53" w:rsidP="003845C1"/>
    <w:p w:rsidR="00AC1A53" w:rsidRDefault="00AC1A53" w:rsidP="003845C1"/>
    <w:p w:rsidR="00AC1A53" w:rsidRDefault="00F94081" w:rsidP="00F94081">
      <w:pPr>
        <w:rPr>
          <w:b/>
          <w:sz w:val="24"/>
          <w:szCs w:val="24"/>
        </w:rPr>
      </w:pPr>
      <w:r w:rsidRPr="00F94081">
        <w:rPr>
          <w:b/>
          <w:sz w:val="24"/>
          <w:szCs w:val="24"/>
        </w:rPr>
        <w:t>Undécima reunión</w:t>
      </w:r>
    </w:p>
    <w:p w:rsidR="00AC1A53" w:rsidRDefault="00F94081" w:rsidP="00F94081">
      <w:pPr>
        <w:rPr>
          <w:b/>
          <w:sz w:val="24"/>
          <w:szCs w:val="24"/>
        </w:rPr>
      </w:pPr>
      <w:r w:rsidRPr="00F94081">
        <w:rPr>
          <w:b/>
          <w:sz w:val="24"/>
          <w:szCs w:val="24"/>
        </w:rPr>
        <w:t>Ginebra, 18 a 22 de junio de 2018</w:t>
      </w:r>
    </w:p>
    <w:p w:rsidR="00AC1A53" w:rsidRDefault="00AC1A53" w:rsidP="008B2CC1"/>
    <w:p w:rsidR="00AC1A53" w:rsidRDefault="00AC1A53" w:rsidP="008B2CC1"/>
    <w:p w:rsidR="00AC1A53" w:rsidRDefault="00AC1A53" w:rsidP="008B2CC1"/>
    <w:p w:rsidR="00AC1A53" w:rsidRPr="001A04A9" w:rsidRDefault="00AC1A53" w:rsidP="00AC1A53">
      <w:pPr>
        <w:rPr>
          <w:caps/>
          <w:sz w:val="24"/>
        </w:rPr>
      </w:pPr>
      <w:bookmarkStart w:id="4" w:name="TitleOfDoc"/>
      <w:bookmarkEnd w:id="4"/>
      <w:r w:rsidRPr="00AC1A53">
        <w:rPr>
          <w:caps/>
          <w:color w:val="000000"/>
          <w:sz w:val="24"/>
          <w:lang w:val="es-ES_tradnl"/>
        </w:rPr>
        <w:t>IDIOMAS DE INTERPRETACIÓN EN EL GRUPO DE TRABAJO DEL PCT</w:t>
      </w:r>
    </w:p>
    <w:p w:rsidR="00AC1A53" w:rsidRPr="001A04A9" w:rsidRDefault="00AC1A53" w:rsidP="008B2CC1"/>
    <w:p w:rsidR="00AC1A53" w:rsidRPr="001A04A9" w:rsidRDefault="00AC1A53" w:rsidP="00AC1A53">
      <w:pPr>
        <w:rPr>
          <w:i/>
        </w:rPr>
      </w:pPr>
      <w:bookmarkStart w:id="5" w:name="Prepared"/>
      <w:bookmarkEnd w:id="5"/>
      <w:r w:rsidRPr="00466E15">
        <w:rPr>
          <w:i/>
          <w:lang w:val="es-ES_tradnl"/>
        </w:rPr>
        <w:t>Documento preparado por la Oficina Internacional</w:t>
      </w:r>
    </w:p>
    <w:p w:rsidR="00AC1A53" w:rsidRPr="001A04A9" w:rsidRDefault="00AC1A53" w:rsidP="003845C1"/>
    <w:p w:rsidR="00AC1A53" w:rsidRPr="001A04A9" w:rsidRDefault="00AC1A53"/>
    <w:p w:rsidR="00AC1A53" w:rsidRPr="001A04A9" w:rsidRDefault="00AC1A53"/>
    <w:p w:rsidR="00AC1A53" w:rsidRPr="001A04A9" w:rsidRDefault="00AC1A53"/>
    <w:p w:rsidR="00AC1A53" w:rsidRPr="00241BAC" w:rsidRDefault="00796EEA" w:rsidP="00241BAC">
      <w:pPr>
        <w:pStyle w:val="ONUME"/>
      </w:pPr>
      <w:r w:rsidRPr="00796EEA">
        <w:rPr>
          <w:color w:val="000000"/>
          <w:lang w:val="es-ES_tradnl"/>
        </w:rPr>
        <w:t xml:space="preserve">El 10 de octubre de 2017, la Oficina Estatal de Propiedad Intelectual de la República Popular China solicitó, mediante una carta dirigida a la Oficina Internacional, que se ofrezcan servicios de interpretación en chino en el Grupo de Trabajo del PCT, </w:t>
      </w:r>
      <w:r w:rsidR="00241BAC">
        <w:rPr>
          <w:color w:val="000000"/>
          <w:lang w:val="es-ES_tradnl"/>
        </w:rPr>
        <w:t>en los siguientes términos</w:t>
      </w:r>
      <w:r w:rsidRPr="00796EEA">
        <w:rPr>
          <w:color w:val="000000"/>
          <w:lang w:val="es-ES_tradnl"/>
        </w:rPr>
        <w:t>:</w:t>
      </w:r>
    </w:p>
    <w:p w:rsidR="00AC1A53" w:rsidRPr="00241BAC" w:rsidRDefault="008C4175" w:rsidP="00241BAC">
      <w:pPr>
        <w:pStyle w:val="ONUME"/>
        <w:numPr>
          <w:ilvl w:val="0"/>
          <w:numId w:val="0"/>
        </w:numPr>
        <w:ind w:left="567"/>
      </w:pPr>
      <w:r w:rsidRPr="008C4175">
        <w:rPr>
          <w:color w:val="000000"/>
          <w:lang w:val="es-ES_tradnl"/>
        </w:rPr>
        <w:t>“</w:t>
      </w:r>
      <w:r w:rsidRPr="00F708DC">
        <w:rPr>
          <w:lang w:val="es-ES_tradnl"/>
        </w:rPr>
        <w:t>La SIPO concede desde siempre una gran importancia al Sistema del PCT y a su utilización en China.</w:t>
      </w:r>
      <w:r w:rsidR="00B458E1" w:rsidRPr="001A04A9">
        <w:t xml:space="preserve">  </w:t>
      </w:r>
      <w:r w:rsidRPr="00F708DC">
        <w:rPr>
          <w:lang w:val="es-ES_tradnl"/>
        </w:rPr>
        <w:t xml:space="preserve">Desde hace algunos años, China </w:t>
      </w:r>
      <w:r w:rsidR="00F708DC" w:rsidRPr="00F708DC">
        <w:rPr>
          <w:lang w:val="es-ES_tradnl"/>
        </w:rPr>
        <w:t>es</w:t>
      </w:r>
      <w:r w:rsidRPr="00F708DC">
        <w:rPr>
          <w:lang w:val="es-ES_tradnl"/>
        </w:rPr>
        <w:t xml:space="preserve"> uno de los principales usuarios del Tratado de Cooperación en materia de Patentes.</w:t>
      </w:r>
      <w:r w:rsidR="00B458E1" w:rsidRPr="00F708DC">
        <w:t xml:space="preserve">  </w:t>
      </w:r>
      <w:r w:rsidRPr="00F708DC">
        <w:rPr>
          <w:lang w:val="es-ES_tradnl"/>
        </w:rPr>
        <w:t xml:space="preserve">En </w:t>
      </w:r>
      <w:r w:rsidRPr="008C4175">
        <w:rPr>
          <w:color w:val="000000"/>
          <w:lang w:val="es-ES_tradnl"/>
        </w:rPr>
        <w:t xml:space="preserve">2016, China ocupó el tercer puesto en lo que se refiere al número de solicitudes, tras registrar un </w:t>
      </w:r>
      <w:r w:rsidR="00F708DC" w:rsidRPr="008C4175">
        <w:rPr>
          <w:color w:val="000000"/>
          <w:lang w:val="es-ES_tradnl"/>
        </w:rPr>
        <w:t xml:space="preserve">notable </w:t>
      </w:r>
      <w:r w:rsidRPr="008C4175">
        <w:rPr>
          <w:color w:val="000000"/>
          <w:lang w:val="es-ES_tradnl"/>
        </w:rPr>
        <w:t xml:space="preserve">aumento </w:t>
      </w:r>
      <w:r w:rsidR="00F708DC">
        <w:rPr>
          <w:color w:val="000000"/>
          <w:lang w:val="es-ES_tradnl"/>
        </w:rPr>
        <w:t>del </w:t>
      </w:r>
      <w:r w:rsidRPr="008C4175">
        <w:rPr>
          <w:color w:val="000000"/>
          <w:lang w:val="es-ES_tradnl"/>
        </w:rPr>
        <w:t>44,7%.</w:t>
      </w:r>
      <w:r w:rsidR="00B458E1" w:rsidRPr="00F708DC">
        <w:t xml:space="preserve">  </w:t>
      </w:r>
      <w:r w:rsidR="00E73A0A" w:rsidRPr="00E73A0A">
        <w:rPr>
          <w:color w:val="000000"/>
          <w:lang w:val="es-ES_tradnl"/>
        </w:rPr>
        <w:t xml:space="preserve">Habida cuenta del rápido </w:t>
      </w:r>
      <w:r w:rsidR="00EC5C63">
        <w:rPr>
          <w:color w:val="000000"/>
          <w:lang w:val="es-ES_tradnl"/>
        </w:rPr>
        <w:t>crecimiento</w:t>
      </w:r>
      <w:r w:rsidR="00E73A0A" w:rsidRPr="00E73A0A">
        <w:rPr>
          <w:color w:val="000000"/>
          <w:lang w:val="es-ES_tradnl"/>
        </w:rPr>
        <w:t xml:space="preserve"> </w:t>
      </w:r>
      <w:r w:rsidR="00F708DC">
        <w:rPr>
          <w:color w:val="000000"/>
          <w:lang w:val="es-ES_tradnl"/>
        </w:rPr>
        <w:t>observado</w:t>
      </w:r>
      <w:r w:rsidR="00E73A0A" w:rsidRPr="00E73A0A">
        <w:rPr>
          <w:color w:val="000000"/>
          <w:lang w:val="es-ES_tradnl"/>
        </w:rPr>
        <w:t xml:space="preserve"> en la presentación de solicitudes del PCT, China desea firmemente poder intercambiar opiniones y examinar en profundidad las cuestiones relativas al PCT en la reunión del Grupo de Trabajo del PCT.</w:t>
      </w:r>
      <w:r w:rsidR="00B458E1" w:rsidRPr="00F708DC">
        <w:t xml:space="preserve">  </w:t>
      </w:r>
      <w:r w:rsidR="00241BAC">
        <w:t>A tal fin</w:t>
      </w:r>
      <w:r w:rsidR="001E32FD" w:rsidRPr="001E32FD">
        <w:rPr>
          <w:color w:val="000000"/>
          <w:lang w:val="es-ES_tradnl"/>
        </w:rPr>
        <w:t>, sería manifiestamente necesario y útil que el chino fuera considerado un idioma de trabajo en esta reunión”.</w:t>
      </w:r>
    </w:p>
    <w:p w:rsidR="00AC1A53" w:rsidRPr="0011377F" w:rsidRDefault="009D59EE" w:rsidP="0011377F">
      <w:pPr>
        <w:pStyle w:val="ONUME"/>
      </w:pPr>
      <w:r w:rsidRPr="00EC5C63">
        <w:rPr>
          <w:lang w:val="es-ES_tradnl"/>
        </w:rPr>
        <w:t xml:space="preserve">En la política lingüística de la OMPI, la decisión sobre </w:t>
      </w:r>
      <w:r w:rsidR="00EC5C63">
        <w:rPr>
          <w:lang w:val="es-ES_tradnl"/>
        </w:rPr>
        <w:t xml:space="preserve">los servicios de </w:t>
      </w:r>
      <w:r w:rsidRPr="00EC5C63">
        <w:rPr>
          <w:lang w:val="es-ES_tradnl"/>
        </w:rPr>
        <w:t>interpretación en reuniones distintas a las de los órganos principales, como las Asambleas de los Estados miembros de la OMPI y los comités permanentes, recae sobre el órgano en cuestión, en función de los fondos disponibles.</w:t>
      </w:r>
      <w:r w:rsidR="00B458E1" w:rsidRPr="0011377F">
        <w:t xml:space="preserve">  </w:t>
      </w:r>
      <w:r w:rsidRPr="00EC5C63">
        <w:rPr>
          <w:lang w:val="es-ES_tradnl"/>
        </w:rPr>
        <w:t>La Oficina Internacional toma nota de que los respectivos grupos de trabajo de los Sistemas de Madrid, La Haya y Lisboa ya han decidido proporcionar servicios de interpretación en los seis idiomas de las Naciones Unidas.</w:t>
      </w:r>
      <w:r w:rsidR="00B458E1" w:rsidRPr="001A04A9">
        <w:t xml:space="preserve">  </w:t>
      </w:r>
      <w:r w:rsidRPr="00EC5C63">
        <w:rPr>
          <w:lang w:val="es-ES_tradnl"/>
        </w:rPr>
        <w:t xml:space="preserve">En sus últimas reuniones, el Grupo de Trabajo del PCT ha facilitado los documentos en los seis idiomas, pero </w:t>
      </w:r>
      <w:r w:rsidR="0011377F">
        <w:rPr>
          <w:lang w:val="es-ES_tradnl"/>
        </w:rPr>
        <w:t xml:space="preserve">la </w:t>
      </w:r>
      <w:r w:rsidRPr="00EC5C63">
        <w:rPr>
          <w:lang w:val="es-ES_tradnl"/>
        </w:rPr>
        <w:t>interpretación solo se ha proporcionado en español, francés e inglés.</w:t>
      </w:r>
      <w:r w:rsidR="00B458E1" w:rsidRPr="0011377F">
        <w:t xml:space="preserve">  </w:t>
      </w:r>
      <w:r w:rsidR="001A04A9">
        <w:rPr>
          <w:lang w:val="es-ES_tradnl"/>
        </w:rPr>
        <w:t>Para</w:t>
      </w:r>
      <w:r w:rsidR="00595A15" w:rsidRPr="00EC5C63">
        <w:rPr>
          <w:lang w:val="es-ES_tradnl"/>
        </w:rPr>
        <w:t xml:space="preserve"> la presente reunión se ha facilitado </w:t>
      </w:r>
      <w:r w:rsidR="0011377F">
        <w:rPr>
          <w:lang w:val="es-ES_tradnl"/>
        </w:rPr>
        <w:t xml:space="preserve">excepcionalmente </w:t>
      </w:r>
      <w:r w:rsidR="00595A15" w:rsidRPr="00EC5C63">
        <w:rPr>
          <w:lang w:val="es-ES_tradnl"/>
        </w:rPr>
        <w:t xml:space="preserve">la </w:t>
      </w:r>
      <w:r w:rsidR="00466E15" w:rsidRPr="00EC5C63">
        <w:rPr>
          <w:lang w:val="es-ES_tradnl"/>
        </w:rPr>
        <w:t>interpretación</w:t>
      </w:r>
      <w:r w:rsidR="00A32B53">
        <w:rPr>
          <w:lang w:val="es-ES_tradnl"/>
        </w:rPr>
        <w:t xml:space="preserve"> en los seis idiomas</w:t>
      </w:r>
      <w:r w:rsidR="00595A15" w:rsidRPr="00EC5C63">
        <w:rPr>
          <w:lang w:val="es-ES_tradnl"/>
        </w:rPr>
        <w:t xml:space="preserve"> y se propone ampliar oficialmente esta modalidad de trabajo a todas las reuniones futuras del Grupo de Trabajo, con sujeción a la disponibilidad de fondos.</w:t>
      </w:r>
    </w:p>
    <w:p w:rsidR="00AC1A53" w:rsidRPr="001A04A9" w:rsidRDefault="005F6BC4" w:rsidP="0011377F">
      <w:pPr>
        <w:pStyle w:val="ONUME"/>
        <w:keepLines/>
      </w:pPr>
      <w:r w:rsidRPr="005F6BC4">
        <w:rPr>
          <w:color w:val="000000"/>
          <w:lang w:val="es-ES_tradnl"/>
        </w:rPr>
        <w:lastRenderedPageBreak/>
        <w:t>Los costos adicionales relativos a la interpretación en árabe, chino y ruso, en comparación con la interpretación en tres idiomas, es de 45</w:t>
      </w:r>
      <w:r w:rsidR="001A04A9">
        <w:rPr>
          <w:color w:val="000000"/>
          <w:lang w:val="es-ES_tradnl"/>
        </w:rPr>
        <w:t>.</w:t>
      </w:r>
      <w:r w:rsidRPr="005F6BC4">
        <w:rPr>
          <w:color w:val="000000"/>
          <w:lang w:val="es-ES_tradnl"/>
        </w:rPr>
        <w:t>000 francos suizos por reunión.</w:t>
      </w:r>
      <w:r w:rsidR="00B458E1" w:rsidRPr="0011377F">
        <w:t xml:space="preserve">  </w:t>
      </w:r>
      <w:r w:rsidRPr="005F6BC4">
        <w:rPr>
          <w:color w:val="000000"/>
          <w:lang w:val="es-ES_tradnl"/>
        </w:rPr>
        <w:t>Esta cuantía está prevista en el programa 5 del presupues</w:t>
      </w:r>
      <w:r w:rsidR="00163DD1">
        <w:rPr>
          <w:color w:val="000000"/>
          <w:lang w:val="es-ES_tradnl"/>
        </w:rPr>
        <w:t>to por programas para el bienio </w:t>
      </w:r>
      <w:r w:rsidRPr="005F6BC4">
        <w:rPr>
          <w:color w:val="000000"/>
          <w:lang w:val="es-ES_tradnl"/>
        </w:rPr>
        <w:t>2018/19, aprobado por los Estados miembros en las Asambleas de la OMPI celebradas en octubre de 2017.</w:t>
      </w:r>
      <w:r w:rsidR="00B458E1" w:rsidRPr="00163DD1">
        <w:t xml:space="preserve">  </w:t>
      </w:r>
      <w:r w:rsidRPr="005F6BC4">
        <w:rPr>
          <w:color w:val="000000"/>
          <w:lang w:val="es-ES_tradnl"/>
        </w:rPr>
        <w:t>Por consiguiente, los fondos para este bienio están disponibles, en caso de que el Grupo de Trabajo apruebe la propuesta.</w:t>
      </w:r>
    </w:p>
    <w:p w:rsidR="00AC1A53" w:rsidRPr="0085590D" w:rsidRDefault="0085590D" w:rsidP="0085590D">
      <w:pPr>
        <w:pStyle w:val="ONUME"/>
        <w:tabs>
          <w:tab w:val="left" w:pos="6096"/>
        </w:tabs>
        <w:ind w:left="5533"/>
        <w:rPr>
          <w:i/>
        </w:rPr>
      </w:pPr>
      <w:r w:rsidRPr="0085590D">
        <w:rPr>
          <w:i/>
          <w:color w:val="000000"/>
          <w:lang w:val="es-ES_tradnl"/>
        </w:rPr>
        <w:t xml:space="preserve">Se invita al Grupo de Trabajo a acordar que en sus futuras reuniones se proporcionarán servicios de interpretación en los seis idiomas oficiales de las Naciones Unidas, con sujeción a </w:t>
      </w:r>
      <w:r w:rsidR="001A04A9">
        <w:rPr>
          <w:i/>
          <w:color w:val="000000"/>
          <w:lang w:val="es-ES_tradnl"/>
        </w:rPr>
        <w:t>la disponibilidad de</w:t>
      </w:r>
      <w:r w:rsidRPr="0085590D">
        <w:rPr>
          <w:i/>
          <w:color w:val="000000"/>
          <w:lang w:val="es-ES_tradnl"/>
        </w:rPr>
        <w:t xml:space="preserve"> fondos.</w:t>
      </w:r>
    </w:p>
    <w:p w:rsidR="00AC1A53" w:rsidRPr="0085590D" w:rsidRDefault="00AC1A53" w:rsidP="00B458E1"/>
    <w:p w:rsidR="00AC1A53" w:rsidRPr="0011377F" w:rsidRDefault="0085590D" w:rsidP="0085590D">
      <w:pPr>
        <w:pStyle w:val="Endofdocument-Annex"/>
      </w:pPr>
      <w:r w:rsidRPr="0011377F">
        <w:rPr>
          <w:lang w:val="es-ES_tradnl"/>
        </w:rPr>
        <w:t>[Fin del documento]</w:t>
      </w:r>
    </w:p>
    <w:p w:rsidR="00AC1A53" w:rsidRDefault="00AC1A53">
      <w:pPr>
        <w:rPr>
          <w:lang w:val="en-US"/>
        </w:rPr>
      </w:pPr>
    </w:p>
    <w:p w:rsidR="00152CEA" w:rsidRPr="00B458E1" w:rsidRDefault="00152CEA">
      <w:pPr>
        <w:rPr>
          <w:lang w:val="en-US"/>
        </w:rPr>
      </w:pPr>
    </w:p>
    <w:sectPr w:rsidR="00152CEA" w:rsidRPr="00B458E1" w:rsidSect="00B458E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E1" w:rsidRDefault="00B458E1">
      <w:r>
        <w:separator/>
      </w:r>
    </w:p>
  </w:endnote>
  <w:endnote w:type="continuationSeparator" w:id="0">
    <w:p w:rsidR="00B458E1" w:rsidRPr="009D30E6" w:rsidRDefault="00B458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58E1" w:rsidRPr="007E663E" w:rsidRDefault="00B458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458E1" w:rsidRPr="007E663E" w:rsidRDefault="00B458E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E1" w:rsidRDefault="00B458E1">
      <w:r>
        <w:separator/>
      </w:r>
    </w:p>
  </w:footnote>
  <w:footnote w:type="continuationSeparator" w:id="0">
    <w:p w:rsidR="00B458E1" w:rsidRPr="009D30E6" w:rsidRDefault="00B458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58E1" w:rsidRPr="007E663E" w:rsidRDefault="00B458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458E1" w:rsidRPr="007E663E" w:rsidRDefault="00B458E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B458E1" w:rsidP="00477D6B">
    <w:pPr>
      <w:jc w:val="right"/>
    </w:pPr>
    <w:bookmarkStart w:id="6" w:name="Code2"/>
    <w:bookmarkEnd w:id="6"/>
    <w:r>
      <w:t>PCT/WG/11/3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9543B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FAB Main|TextBase TMs\WorkspaceSTS\Administration &amp; Finance\FAB Instruments|TextBase TMs\WorkspaceSTS\Brands, Designs &amp; DN\Trademarks|TextBase TMs\WorkspaceSTS\Brands, Designs &amp; DN\Hague|TextBase TMs\WorkspaceSTS\Brands, Designs &amp; DN\Lisbon|TextBase TMs\WorkspaceSTS\Brands, Designs &amp; DN\T Instruments|TextBase TMs\WorkspaceSTS\Brands, Designs &amp; DN\L Instruments|TextBase TMs\WorkspaceSTS\Brands, Designs &amp; DN\H Instruments|TextBase TMs\WorkspaceSTS\Administration &amp; Finance\WIPO Staff Rules|TextBase TMs\WorkspaceSTS\Copyright\Copyright|TextBase TMs\WorkspaceSTS\GRTKF\GRTKF|TextBase TMs\WorkspaceSTS\Development\Dev_Agenda|TextBase TMs\WorkspaceSTS\UPOV\UPOV Main|TextBase TMs\WorkspaceSTS\UPOV\U Instruments|TextBase TMs\WorkspaceSTS\XLegacy\LegacySTS|TextBase TMs\WorkspaceSTS\GRTKF\G Instruments"/>
    <w:docVar w:name="TextBaseURL" w:val="empty"/>
    <w:docVar w:name="UILng" w:val="en"/>
  </w:docVars>
  <w:rsids>
    <w:rsidRoot w:val="00B458E1"/>
    <w:rsid w:val="00010686"/>
    <w:rsid w:val="00052915"/>
    <w:rsid w:val="000E3BB3"/>
    <w:rsid w:val="000F5E56"/>
    <w:rsid w:val="0011377F"/>
    <w:rsid w:val="001362EE"/>
    <w:rsid w:val="00152CEA"/>
    <w:rsid w:val="00163DD1"/>
    <w:rsid w:val="001832A6"/>
    <w:rsid w:val="001A04A9"/>
    <w:rsid w:val="001E32FD"/>
    <w:rsid w:val="00241BAC"/>
    <w:rsid w:val="002634C4"/>
    <w:rsid w:val="002C2E2F"/>
    <w:rsid w:val="002E0F47"/>
    <w:rsid w:val="002E2A13"/>
    <w:rsid w:val="002F4E68"/>
    <w:rsid w:val="00310826"/>
    <w:rsid w:val="00354647"/>
    <w:rsid w:val="00377273"/>
    <w:rsid w:val="003845C1"/>
    <w:rsid w:val="00387287"/>
    <w:rsid w:val="003B739A"/>
    <w:rsid w:val="003E48F1"/>
    <w:rsid w:val="003F347A"/>
    <w:rsid w:val="00423E3E"/>
    <w:rsid w:val="00427AF4"/>
    <w:rsid w:val="0045231F"/>
    <w:rsid w:val="004647DA"/>
    <w:rsid w:val="00466E15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95A15"/>
    <w:rsid w:val="005F6BC4"/>
    <w:rsid w:val="00605827"/>
    <w:rsid w:val="00675021"/>
    <w:rsid w:val="006A06C6"/>
    <w:rsid w:val="007224C8"/>
    <w:rsid w:val="00794BE2"/>
    <w:rsid w:val="00796EEA"/>
    <w:rsid w:val="007A5581"/>
    <w:rsid w:val="007B71FE"/>
    <w:rsid w:val="007D781E"/>
    <w:rsid w:val="007E663E"/>
    <w:rsid w:val="00815082"/>
    <w:rsid w:val="0085590D"/>
    <w:rsid w:val="0088395E"/>
    <w:rsid w:val="008B2CC1"/>
    <w:rsid w:val="008C4175"/>
    <w:rsid w:val="008E6BD6"/>
    <w:rsid w:val="0090731E"/>
    <w:rsid w:val="00966A22"/>
    <w:rsid w:val="00972F03"/>
    <w:rsid w:val="009A0C8B"/>
    <w:rsid w:val="009A20CD"/>
    <w:rsid w:val="009A2A27"/>
    <w:rsid w:val="009B6241"/>
    <w:rsid w:val="009D59EE"/>
    <w:rsid w:val="00A16FC0"/>
    <w:rsid w:val="00A32B53"/>
    <w:rsid w:val="00A32C9E"/>
    <w:rsid w:val="00AB613D"/>
    <w:rsid w:val="00AC1A53"/>
    <w:rsid w:val="00AE7F20"/>
    <w:rsid w:val="00B458E1"/>
    <w:rsid w:val="00B534D5"/>
    <w:rsid w:val="00B65A0A"/>
    <w:rsid w:val="00B67CDC"/>
    <w:rsid w:val="00B72D36"/>
    <w:rsid w:val="00BC4164"/>
    <w:rsid w:val="00BD2DCC"/>
    <w:rsid w:val="00C90559"/>
    <w:rsid w:val="00C9543B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73A0A"/>
    <w:rsid w:val="00EB7A3E"/>
    <w:rsid w:val="00EC1AA7"/>
    <w:rsid w:val="00EC401A"/>
    <w:rsid w:val="00EC5C63"/>
    <w:rsid w:val="00EF530A"/>
    <w:rsid w:val="00EF6622"/>
    <w:rsid w:val="00EF78A9"/>
    <w:rsid w:val="00F55408"/>
    <w:rsid w:val="00F66152"/>
    <w:rsid w:val="00F708DC"/>
    <w:rsid w:val="00F80845"/>
    <w:rsid w:val="00F84474"/>
    <w:rsid w:val="00F94081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(S)</Template>
  <TotalTime>0</TotalTime>
  <Pages>2</Pages>
  <Words>484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</vt:lpstr>
    </vt:vector>
  </TitlesOfParts>
  <Company>WIPO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PCT/WG/11/3</dc:title>
  <dc:subject>Languages of Interpretation in the PCT Working Group</dc:subject>
  <dc:creator>MATEOS CLERIGUÉ Roberto</dc:creator>
  <cp:lastModifiedBy>MARLOW Thomas</cp:lastModifiedBy>
  <cp:revision>2</cp:revision>
  <cp:lastPrinted>2018-03-21T10:57:00Z</cp:lastPrinted>
  <dcterms:created xsi:type="dcterms:W3CDTF">2018-03-21T14:50:00Z</dcterms:created>
  <dcterms:modified xsi:type="dcterms:W3CDTF">2018-03-21T14:50:00Z</dcterms:modified>
</cp:coreProperties>
</file>