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6463B8" w:rsidTr="00361450">
        <w:tc>
          <w:tcPr>
            <w:tcW w:w="4513" w:type="dxa"/>
            <w:tcBorders>
              <w:bottom w:val="single" w:sz="4" w:space="0" w:color="auto"/>
            </w:tcBorders>
            <w:tcMar>
              <w:bottom w:w="170" w:type="dxa"/>
            </w:tcMar>
          </w:tcPr>
          <w:p w:rsidR="00EC4E49" w:rsidRPr="006463B8" w:rsidRDefault="00EC4E49" w:rsidP="00916EE2">
            <w:pPr>
              <w:rPr>
                <w:lang w:val="es-ES"/>
              </w:rPr>
            </w:pPr>
          </w:p>
        </w:tc>
        <w:tc>
          <w:tcPr>
            <w:tcW w:w="4337" w:type="dxa"/>
            <w:tcBorders>
              <w:bottom w:val="single" w:sz="4" w:space="0" w:color="auto"/>
            </w:tcBorders>
            <w:tcMar>
              <w:left w:w="0" w:type="dxa"/>
              <w:right w:w="0" w:type="dxa"/>
            </w:tcMar>
          </w:tcPr>
          <w:p w:rsidR="00EC4E49" w:rsidRPr="006463B8" w:rsidRDefault="000A04AD" w:rsidP="00916EE2">
            <w:pPr>
              <w:rPr>
                <w:lang w:val="es-ES"/>
              </w:rPr>
            </w:pPr>
            <w:r w:rsidRPr="006463B8">
              <w:rPr>
                <w:noProof/>
                <w:lang w:eastAsia="en-US"/>
              </w:rPr>
              <w:drawing>
                <wp:inline distT="0" distB="0" distL="0" distR="0" wp14:anchorId="5DB52392" wp14:editId="092275C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463B8" w:rsidRDefault="000A04AD" w:rsidP="00916EE2">
            <w:pPr>
              <w:jc w:val="right"/>
              <w:rPr>
                <w:lang w:val="es-ES"/>
              </w:rPr>
            </w:pPr>
            <w:r w:rsidRPr="006463B8">
              <w:rPr>
                <w:b/>
                <w:sz w:val="40"/>
                <w:szCs w:val="40"/>
                <w:lang w:val="es-ES"/>
              </w:rPr>
              <w:t>S</w:t>
            </w:r>
          </w:p>
        </w:tc>
      </w:tr>
      <w:tr w:rsidR="008B2CC1" w:rsidRPr="006463B8"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6463B8" w:rsidRDefault="00F960DD" w:rsidP="003D5922">
            <w:pPr>
              <w:jc w:val="right"/>
              <w:rPr>
                <w:rFonts w:ascii="Arial Black" w:hAnsi="Arial Black"/>
                <w:caps/>
                <w:sz w:val="15"/>
                <w:lang w:val="es-ES"/>
              </w:rPr>
            </w:pPr>
            <w:r w:rsidRPr="006463B8">
              <w:rPr>
                <w:rFonts w:ascii="Arial Black" w:hAnsi="Arial Black"/>
                <w:caps/>
                <w:sz w:val="15"/>
                <w:lang w:val="es-ES"/>
              </w:rPr>
              <w:t>PCT/WG/1</w:t>
            </w:r>
            <w:r w:rsidR="003D5922" w:rsidRPr="006463B8">
              <w:rPr>
                <w:rFonts w:ascii="Arial Black" w:hAnsi="Arial Black"/>
                <w:caps/>
                <w:sz w:val="15"/>
                <w:lang w:val="es-ES"/>
              </w:rPr>
              <w:t>2</w:t>
            </w:r>
            <w:r w:rsidRPr="006463B8">
              <w:rPr>
                <w:rFonts w:ascii="Arial Black" w:hAnsi="Arial Black"/>
                <w:caps/>
                <w:sz w:val="15"/>
                <w:lang w:val="es-ES"/>
              </w:rPr>
              <w:t>/</w:t>
            </w:r>
            <w:bookmarkStart w:id="0" w:name="Code"/>
            <w:bookmarkEnd w:id="0"/>
            <w:r w:rsidR="00C17E6A" w:rsidRPr="006463B8">
              <w:rPr>
                <w:rFonts w:ascii="Arial Black" w:hAnsi="Arial Black"/>
                <w:caps/>
                <w:sz w:val="15"/>
                <w:lang w:val="es-ES"/>
              </w:rPr>
              <w:t>17</w:t>
            </w:r>
          </w:p>
        </w:tc>
      </w:tr>
      <w:tr w:rsidR="008B2CC1" w:rsidRPr="006463B8" w:rsidTr="00916EE2">
        <w:trPr>
          <w:trHeight w:hRule="exact" w:val="170"/>
        </w:trPr>
        <w:tc>
          <w:tcPr>
            <w:tcW w:w="9356" w:type="dxa"/>
            <w:gridSpan w:val="3"/>
            <w:noWrap/>
            <w:tcMar>
              <w:left w:w="0" w:type="dxa"/>
              <w:right w:w="0" w:type="dxa"/>
            </w:tcMar>
            <w:vAlign w:val="bottom"/>
          </w:tcPr>
          <w:p w:rsidR="008B2CC1" w:rsidRPr="006463B8" w:rsidRDefault="008B2CC1" w:rsidP="000A04AD">
            <w:pPr>
              <w:jc w:val="right"/>
              <w:rPr>
                <w:rFonts w:ascii="Arial Black" w:hAnsi="Arial Black"/>
                <w:caps/>
                <w:sz w:val="15"/>
                <w:lang w:val="es-ES"/>
              </w:rPr>
            </w:pPr>
            <w:r w:rsidRPr="006463B8">
              <w:rPr>
                <w:rFonts w:ascii="Arial Black" w:hAnsi="Arial Black"/>
                <w:caps/>
                <w:sz w:val="15"/>
                <w:lang w:val="es-ES"/>
              </w:rPr>
              <w:t>ORIGINAL:</w:t>
            </w:r>
            <w:r w:rsidR="001647D5" w:rsidRPr="006463B8">
              <w:rPr>
                <w:rFonts w:ascii="Arial Black" w:hAnsi="Arial Black"/>
                <w:caps/>
                <w:sz w:val="15"/>
                <w:lang w:val="es-ES"/>
              </w:rPr>
              <w:t xml:space="preserve"> </w:t>
            </w:r>
            <w:bookmarkStart w:id="1" w:name="Original"/>
            <w:bookmarkEnd w:id="1"/>
            <w:r w:rsidR="000A04AD" w:rsidRPr="006463B8">
              <w:rPr>
                <w:rFonts w:ascii="Arial Black" w:hAnsi="Arial Black"/>
                <w:caps/>
                <w:sz w:val="15"/>
                <w:lang w:val="es-ES"/>
              </w:rPr>
              <w:t>INGLÉS</w:t>
            </w:r>
            <w:r w:rsidRPr="006463B8">
              <w:rPr>
                <w:rFonts w:ascii="Arial Black" w:hAnsi="Arial Black"/>
                <w:caps/>
                <w:sz w:val="15"/>
                <w:lang w:val="es-ES"/>
              </w:rPr>
              <w:t xml:space="preserve"> </w:t>
            </w:r>
          </w:p>
        </w:tc>
      </w:tr>
      <w:tr w:rsidR="008B2CC1" w:rsidRPr="006463B8" w:rsidTr="00916EE2">
        <w:trPr>
          <w:trHeight w:hRule="exact" w:val="198"/>
        </w:trPr>
        <w:tc>
          <w:tcPr>
            <w:tcW w:w="9356" w:type="dxa"/>
            <w:gridSpan w:val="3"/>
            <w:tcMar>
              <w:left w:w="0" w:type="dxa"/>
              <w:right w:w="0" w:type="dxa"/>
            </w:tcMar>
            <w:vAlign w:val="bottom"/>
          </w:tcPr>
          <w:p w:rsidR="008B2CC1" w:rsidRPr="006463B8" w:rsidRDefault="000A04AD" w:rsidP="000A04AD">
            <w:pPr>
              <w:jc w:val="right"/>
              <w:rPr>
                <w:rFonts w:ascii="Arial Black" w:hAnsi="Arial Black"/>
                <w:caps/>
                <w:sz w:val="15"/>
                <w:lang w:val="es-ES"/>
              </w:rPr>
            </w:pPr>
            <w:r w:rsidRPr="006463B8">
              <w:rPr>
                <w:rFonts w:ascii="Arial Black" w:hAnsi="Arial Black"/>
                <w:caps/>
                <w:sz w:val="15"/>
                <w:lang w:val="es-ES"/>
              </w:rPr>
              <w:t>FECHA</w:t>
            </w:r>
            <w:r w:rsidR="008B2CC1" w:rsidRPr="006463B8">
              <w:rPr>
                <w:rFonts w:ascii="Arial Black" w:hAnsi="Arial Black"/>
                <w:caps/>
                <w:sz w:val="15"/>
                <w:lang w:val="es-ES"/>
              </w:rPr>
              <w:t>:</w:t>
            </w:r>
            <w:r w:rsidR="001647D5" w:rsidRPr="006463B8">
              <w:rPr>
                <w:rFonts w:ascii="Arial Black" w:hAnsi="Arial Black"/>
                <w:caps/>
                <w:sz w:val="15"/>
                <w:lang w:val="es-ES"/>
              </w:rPr>
              <w:t xml:space="preserve"> </w:t>
            </w:r>
            <w:bookmarkStart w:id="2" w:name="Date"/>
            <w:bookmarkEnd w:id="2"/>
            <w:r w:rsidRPr="006463B8">
              <w:rPr>
                <w:rFonts w:ascii="Arial Black" w:hAnsi="Arial Black"/>
                <w:caps/>
                <w:sz w:val="15"/>
                <w:lang w:val="es-ES"/>
              </w:rPr>
              <w:t>14 DE MAYO DE 2019</w:t>
            </w:r>
            <w:r w:rsidR="008B2CC1" w:rsidRPr="006463B8">
              <w:rPr>
                <w:rFonts w:ascii="Arial Black" w:hAnsi="Arial Black"/>
                <w:caps/>
                <w:sz w:val="15"/>
                <w:lang w:val="es-ES"/>
              </w:rPr>
              <w:t xml:space="preserve"> </w:t>
            </w:r>
          </w:p>
        </w:tc>
      </w:tr>
    </w:tbl>
    <w:p w:rsidR="008B2CC1" w:rsidRPr="006463B8" w:rsidRDefault="008B2CC1" w:rsidP="008B2CC1">
      <w:pPr>
        <w:rPr>
          <w:lang w:val="es-ES"/>
        </w:rPr>
      </w:pPr>
    </w:p>
    <w:p w:rsidR="008B2CC1" w:rsidRPr="006463B8" w:rsidRDefault="008B2CC1" w:rsidP="008B2CC1">
      <w:pPr>
        <w:rPr>
          <w:lang w:val="es-ES"/>
        </w:rPr>
      </w:pPr>
    </w:p>
    <w:p w:rsidR="008B2CC1" w:rsidRPr="006463B8" w:rsidRDefault="008B2CC1" w:rsidP="008B2CC1">
      <w:pPr>
        <w:rPr>
          <w:lang w:val="es-ES"/>
        </w:rPr>
      </w:pPr>
    </w:p>
    <w:p w:rsidR="008B2CC1" w:rsidRPr="006463B8" w:rsidRDefault="008B2CC1" w:rsidP="008B2CC1">
      <w:pPr>
        <w:rPr>
          <w:lang w:val="es-ES"/>
        </w:rPr>
      </w:pPr>
    </w:p>
    <w:p w:rsidR="008B2CC1" w:rsidRPr="006463B8" w:rsidRDefault="008B2CC1" w:rsidP="008B2CC1">
      <w:pPr>
        <w:rPr>
          <w:lang w:val="es-ES"/>
        </w:rPr>
      </w:pPr>
    </w:p>
    <w:p w:rsidR="000A04AD" w:rsidRPr="006463B8" w:rsidRDefault="000A04AD" w:rsidP="000A04AD">
      <w:pPr>
        <w:rPr>
          <w:b/>
          <w:sz w:val="28"/>
          <w:szCs w:val="28"/>
          <w:lang w:val="es-ES"/>
        </w:rPr>
      </w:pPr>
      <w:r w:rsidRPr="006463B8">
        <w:rPr>
          <w:b/>
          <w:sz w:val="28"/>
          <w:szCs w:val="28"/>
          <w:lang w:val="es-ES"/>
        </w:rPr>
        <w:t>Grupo de Trabajo del Tratado de Cooperación en materia de Patentes (PCT)</w:t>
      </w:r>
    </w:p>
    <w:p w:rsidR="003845C1" w:rsidRPr="006463B8" w:rsidRDefault="003845C1" w:rsidP="003845C1">
      <w:pPr>
        <w:rPr>
          <w:lang w:val="es-ES"/>
        </w:rPr>
      </w:pPr>
    </w:p>
    <w:p w:rsidR="00F960DD" w:rsidRPr="006463B8" w:rsidRDefault="000A04AD" w:rsidP="00F960DD">
      <w:pPr>
        <w:rPr>
          <w:b/>
          <w:sz w:val="24"/>
          <w:szCs w:val="24"/>
          <w:lang w:val="es-ES"/>
        </w:rPr>
      </w:pPr>
      <w:r w:rsidRPr="006463B8">
        <w:rPr>
          <w:b/>
          <w:sz w:val="24"/>
          <w:szCs w:val="24"/>
          <w:lang w:val="es-ES"/>
        </w:rPr>
        <w:t>Duodécima reunión</w:t>
      </w:r>
    </w:p>
    <w:p w:rsidR="000A04AD" w:rsidRPr="006463B8" w:rsidRDefault="000A04AD" w:rsidP="000A04AD">
      <w:pPr>
        <w:rPr>
          <w:b/>
          <w:sz w:val="24"/>
          <w:szCs w:val="24"/>
          <w:lang w:val="es-ES"/>
        </w:rPr>
      </w:pPr>
      <w:r w:rsidRPr="006463B8">
        <w:rPr>
          <w:b/>
          <w:sz w:val="24"/>
          <w:szCs w:val="24"/>
          <w:lang w:val="es-ES"/>
        </w:rPr>
        <w:t>Ginebra, 11 a 14 de junio de 2019</w:t>
      </w:r>
    </w:p>
    <w:p w:rsidR="008B2CC1" w:rsidRPr="006463B8" w:rsidRDefault="008B2CC1" w:rsidP="008B2CC1">
      <w:pPr>
        <w:rPr>
          <w:lang w:val="es-ES"/>
        </w:rPr>
      </w:pPr>
    </w:p>
    <w:p w:rsidR="008B2CC1" w:rsidRPr="006463B8" w:rsidRDefault="008B2CC1" w:rsidP="008B2CC1">
      <w:pPr>
        <w:rPr>
          <w:lang w:val="es-ES"/>
        </w:rPr>
      </w:pPr>
    </w:p>
    <w:p w:rsidR="008B2CC1" w:rsidRPr="006463B8" w:rsidRDefault="008B2CC1" w:rsidP="008B2CC1">
      <w:pPr>
        <w:rPr>
          <w:lang w:val="es-ES"/>
        </w:rPr>
      </w:pPr>
    </w:p>
    <w:p w:rsidR="00461CD1" w:rsidRPr="006463B8" w:rsidRDefault="00461CD1" w:rsidP="00461CD1">
      <w:pPr>
        <w:rPr>
          <w:caps/>
          <w:sz w:val="24"/>
          <w:lang w:val="es-ES"/>
        </w:rPr>
      </w:pPr>
      <w:bookmarkStart w:id="3" w:name="TitleOfDoc"/>
      <w:bookmarkEnd w:id="3"/>
      <w:r w:rsidRPr="006463B8">
        <w:rPr>
          <w:caps/>
          <w:sz w:val="24"/>
          <w:lang w:val="es-ES"/>
        </w:rPr>
        <w:t>SALVAGUARDIAS en caso de INTERRUPCIONES QUE AFECTEN A LAS OFICINAS</w:t>
      </w:r>
    </w:p>
    <w:p w:rsidR="008B2CC1" w:rsidRPr="006463B8" w:rsidRDefault="008B2CC1" w:rsidP="008B2CC1">
      <w:pPr>
        <w:rPr>
          <w:lang w:val="es-ES"/>
        </w:rPr>
      </w:pPr>
    </w:p>
    <w:p w:rsidR="00AC205C" w:rsidRPr="006463B8" w:rsidRDefault="00461CD1">
      <w:pPr>
        <w:rPr>
          <w:i/>
          <w:lang w:val="es-ES"/>
        </w:rPr>
      </w:pPr>
      <w:bookmarkStart w:id="4" w:name="Prepared"/>
      <w:bookmarkEnd w:id="4"/>
      <w:r w:rsidRPr="006463B8">
        <w:rPr>
          <w:i/>
          <w:lang w:val="es-ES"/>
        </w:rPr>
        <w:t>Documento preparado por la Oficina Europea de Patentes</w:t>
      </w:r>
    </w:p>
    <w:p w:rsidR="000F5E56" w:rsidRPr="006463B8" w:rsidRDefault="000F5E56">
      <w:pPr>
        <w:rPr>
          <w:lang w:val="es-ES"/>
        </w:rPr>
      </w:pPr>
    </w:p>
    <w:p w:rsidR="002928D3" w:rsidRPr="006463B8" w:rsidRDefault="002928D3">
      <w:pPr>
        <w:rPr>
          <w:lang w:val="es-ES"/>
        </w:rPr>
      </w:pPr>
    </w:p>
    <w:p w:rsidR="002928D3" w:rsidRPr="006463B8" w:rsidRDefault="002928D3" w:rsidP="0053057A">
      <w:pPr>
        <w:rPr>
          <w:lang w:val="es-ES"/>
        </w:rPr>
      </w:pPr>
    </w:p>
    <w:p w:rsidR="002928D3" w:rsidRPr="006463B8" w:rsidRDefault="00461CD1" w:rsidP="003F1EFB">
      <w:pPr>
        <w:pStyle w:val="Heading1"/>
        <w:rPr>
          <w:lang w:val="es-ES"/>
        </w:rPr>
      </w:pPr>
      <w:r w:rsidRPr="006463B8">
        <w:rPr>
          <w:lang w:val="es-ES"/>
        </w:rPr>
        <w:t>Resumen</w:t>
      </w:r>
    </w:p>
    <w:p w:rsidR="003F1EFB" w:rsidRPr="006463B8" w:rsidRDefault="00461CD1" w:rsidP="003F1EFB">
      <w:pPr>
        <w:pStyle w:val="ONUME"/>
        <w:rPr>
          <w:lang w:val="es-ES"/>
        </w:rPr>
      </w:pPr>
      <w:r w:rsidRPr="006463B8">
        <w:rPr>
          <w:lang w:val="es-ES"/>
        </w:rPr>
        <w:t xml:space="preserve">En el presente documento se propone modificar el Reglamento del PCT mediante la </w:t>
      </w:r>
      <w:r w:rsidR="003F1EFB" w:rsidRPr="006463B8">
        <w:rPr>
          <w:lang w:val="es-ES"/>
        </w:rPr>
        <w:t>introduc</w:t>
      </w:r>
      <w:r w:rsidR="003B5EC9" w:rsidRPr="006463B8">
        <w:rPr>
          <w:lang w:val="es-ES"/>
        </w:rPr>
        <w:t>ción de una nueva Regla</w:t>
      </w:r>
      <w:r w:rsidR="00A115E5">
        <w:rPr>
          <w:lang w:val="es-ES"/>
        </w:rPr>
        <w:t xml:space="preserve"> </w:t>
      </w:r>
      <w:r w:rsidR="003F1EFB" w:rsidRPr="006463B8">
        <w:rPr>
          <w:lang w:val="es-ES"/>
        </w:rPr>
        <w:t>82</w:t>
      </w:r>
      <w:r w:rsidR="003F1EFB" w:rsidRPr="006463B8">
        <w:rPr>
          <w:i/>
          <w:lang w:val="es-ES"/>
        </w:rPr>
        <w:t>quater</w:t>
      </w:r>
      <w:r w:rsidR="003F1EFB" w:rsidRPr="006463B8">
        <w:rPr>
          <w:lang w:val="es-ES"/>
        </w:rPr>
        <w:t xml:space="preserve">.2 </w:t>
      </w:r>
      <w:r w:rsidR="00512AFD">
        <w:rPr>
          <w:lang w:val="es-ES"/>
        </w:rPr>
        <w:t>con objeto</w:t>
      </w:r>
      <w:r w:rsidR="004C5B2D" w:rsidRPr="006463B8">
        <w:rPr>
          <w:lang w:val="es-ES"/>
        </w:rPr>
        <w:t xml:space="preserve"> de establecer una base jurídica explícita en el marco del PCT para que una Oficina pueda excusar los retrasos en el cumplimiento de un plazo</w:t>
      </w:r>
      <w:r w:rsidR="0088014D" w:rsidRPr="006463B8">
        <w:rPr>
          <w:lang w:val="es-ES"/>
        </w:rPr>
        <w:t xml:space="preserve"> que se deban a la indisponibilidad de cualquiera de los medios de comunicación electrónica admitidos por la Oficina para la presentación de documentos o para el pago de tasas. Pudiendo deberse la indisponibilidad de los sistemas tanto a tareas de mantenimiento programadas, a interrupciones imprevistas del servicio, o a otras causas equivalentes</w:t>
      </w:r>
      <w:r w:rsidR="003F1EFB" w:rsidRPr="006463B8">
        <w:rPr>
          <w:lang w:val="es-ES"/>
        </w:rPr>
        <w:t>.</w:t>
      </w:r>
    </w:p>
    <w:p w:rsidR="003F1EFB" w:rsidRPr="006463B8" w:rsidRDefault="00B9458E" w:rsidP="003F1EFB">
      <w:pPr>
        <w:pStyle w:val="Heading1"/>
        <w:rPr>
          <w:lang w:val="es-ES"/>
        </w:rPr>
      </w:pPr>
      <w:r w:rsidRPr="006463B8">
        <w:rPr>
          <w:lang w:val="es-ES"/>
        </w:rPr>
        <w:t>Antecedentes</w:t>
      </w:r>
      <w:r w:rsidR="003F1EFB" w:rsidRPr="006463B8">
        <w:rPr>
          <w:lang w:val="es-ES"/>
        </w:rPr>
        <w:t xml:space="preserve"> </w:t>
      </w:r>
    </w:p>
    <w:p w:rsidR="003F1EFB" w:rsidRPr="006463B8" w:rsidRDefault="009E1482" w:rsidP="003F1EFB">
      <w:pPr>
        <w:pStyle w:val="ONUME"/>
        <w:rPr>
          <w:lang w:val="es-ES"/>
        </w:rPr>
      </w:pPr>
      <w:r w:rsidRPr="006463B8">
        <w:rPr>
          <w:lang w:val="es-ES"/>
        </w:rPr>
        <w:t xml:space="preserve">En la vigesimosexta sesión de la Reunión de las Administraciones Internacionales del Tratado de Cooperación en materia de Patentes celebrada en febrero de </w:t>
      </w:r>
      <w:r w:rsidR="003F1EFB" w:rsidRPr="006463B8">
        <w:rPr>
          <w:lang w:val="es-ES"/>
        </w:rPr>
        <w:t xml:space="preserve">2019, </w:t>
      </w:r>
      <w:r w:rsidRPr="006463B8">
        <w:rPr>
          <w:lang w:val="es-ES"/>
        </w:rPr>
        <w:t xml:space="preserve">la Oficina Europea de Patentes </w:t>
      </w:r>
      <w:r w:rsidR="003F1EFB" w:rsidRPr="006463B8">
        <w:rPr>
          <w:lang w:val="es-ES"/>
        </w:rPr>
        <w:t>(</w:t>
      </w:r>
      <w:r w:rsidRPr="006463B8">
        <w:rPr>
          <w:lang w:val="es-ES"/>
        </w:rPr>
        <w:t>OEP</w:t>
      </w:r>
      <w:r w:rsidR="003F1EFB" w:rsidRPr="006463B8">
        <w:rPr>
          <w:lang w:val="es-ES"/>
        </w:rPr>
        <w:t xml:space="preserve">) </w:t>
      </w:r>
      <w:r w:rsidRPr="006463B8">
        <w:rPr>
          <w:lang w:val="es-ES"/>
        </w:rPr>
        <w:t xml:space="preserve">presentó una propuesta para </w:t>
      </w:r>
      <w:r w:rsidR="001B796B" w:rsidRPr="006463B8">
        <w:rPr>
          <w:lang w:val="es-ES"/>
        </w:rPr>
        <w:t>prorrogar un</w:t>
      </w:r>
      <w:r w:rsidR="008A4889" w:rsidRPr="006463B8">
        <w:rPr>
          <w:lang w:val="es-ES"/>
        </w:rPr>
        <w:t xml:space="preserve"> plazo </w:t>
      </w:r>
      <w:r w:rsidR="001B796B" w:rsidRPr="006463B8">
        <w:rPr>
          <w:lang w:val="es-ES"/>
        </w:rPr>
        <w:t>establecido en</w:t>
      </w:r>
      <w:r w:rsidR="008A4889" w:rsidRPr="006463B8">
        <w:rPr>
          <w:lang w:val="es-ES"/>
        </w:rPr>
        <w:t xml:space="preserve"> una Oficina en los casos de interrupción de los servicios de comunicación electrónica que afecten a la presentación de documentos </w:t>
      </w:r>
      <w:r w:rsidR="003F1EFB" w:rsidRPr="006463B8">
        <w:rPr>
          <w:lang w:val="es-ES"/>
        </w:rPr>
        <w:t>(</w:t>
      </w:r>
      <w:r w:rsidR="008A4889" w:rsidRPr="006463B8">
        <w:rPr>
          <w:lang w:val="es-ES"/>
        </w:rPr>
        <w:t xml:space="preserve">véanse el </w:t>
      </w:r>
      <w:r w:rsidR="003F1EFB" w:rsidRPr="006463B8">
        <w:rPr>
          <w:lang w:val="es-ES"/>
        </w:rPr>
        <w:t>document</w:t>
      </w:r>
      <w:r w:rsidR="008A4889" w:rsidRPr="006463B8">
        <w:rPr>
          <w:lang w:val="es-ES"/>
        </w:rPr>
        <w:t>o</w:t>
      </w:r>
      <w:r w:rsidR="003F1EFB" w:rsidRPr="006463B8">
        <w:rPr>
          <w:lang w:val="es-ES"/>
        </w:rPr>
        <w:t xml:space="preserve"> PCT/MIA/26/5</w:t>
      </w:r>
      <w:r w:rsidR="001B796B" w:rsidRPr="006463B8">
        <w:rPr>
          <w:lang w:val="es-ES"/>
        </w:rPr>
        <w:t xml:space="preserve"> y</w:t>
      </w:r>
      <w:r w:rsidR="003F1EFB" w:rsidRPr="006463B8">
        <w:rPr>
          <w:lang w:val="es-ES"/>
        </w:rPr>
        <w:t xml:space="preserve"> </w:t>
      </w:r>
      <w:r w:rsidR="008A4889" w:rsidRPr="006463B8">
        <w:rPr>
          <w:lang w:val="es-ES"/>
        </w:rPr>
        <w:t>los párrafos</w:t>
      </w:r>
      <w:r w:rsidR="00A115E5">
        <w:rPr>
          <w:lang w:val="es-ES"/>
        </w:rPr>
        <w:t xml:space="preserve"> </w:t>
      </w:r>
      <w:r w:rsidR="003F1EFB" w:rsidRPr="006463B8">
        <w:rPr>
          <w:lang w:val="es-ES"/>
        </w:rPr>
        <w:t xml:space="preserve">24 </w:t>
      </w:r>
      <w:r w:rsidR="008A4889" w:rsidRPr="006463B8">
        <w:rPr>
          <w:lang w:val="es-ES"/>
        </w:rPr>
        <w:t>a</w:t>
      </w:r>
      <w:r w:rsidR="00A115E5">
        <w:rPr>
          <w:lang w:val="es-ES"/>
        </w:rPr>
        <w:t xml:space="preserve"> </w:t>
      </w:r>
      <w:r w:rsidR="003F1EFB" w:rsidRPr="006463B8">
        <w:rPr>
          <w:lang w:val="es-ES"/>
        </w:rPr>
        <w:t xml:space="preserve">32 </w:t>
      </w:r>
      <w:r w:rsidR="008A4889" w:rsidRPr="006463B8">
        <w:rPr>
          <w:lang w:val="es-ES"/>
        </w:rPr>
        <w:t>del resumen de la presidencia de la reunión</w:t>
      </w:r>
      <w:r w:rsidR="003F1EFB" w:rsidRPr="006463B8">
        <w:rPr>
          <w:lang w:val="es-ES"/>
        </w:rPr>
        <w:t>, document</w:t>
      </w:r>
      <w:r w:rsidR="008A4889" w:rsidRPr="006463B8">
        <w:rPr>
          <w:lang w:val="es-ES"/>
        </w:rPr>
        <w:t>o</w:t>
      </w:r>
      <w:r w:rsidR="003F1EFB" w:rsidRPr="006463B8">
        <w:rPr>
          <w:lang w:val="es-ES"/>
        </w:rPr>
        <w:t xml:space="preserve"> PCT/MIA/26/13</w:t>
      </w:r>
      <w:r w:rsidR="00255751" w:rsidRPr="006463B8">
        <w:rPr>
          <w:lang w:val="es-ES"/>
        </w:rPr>
        <w:t>, reproduc</w:t>
      </w:r>
      <w:r w:rsidR="008A4889" w:rsidRPr="006463B8">
        <w:rPr>
          <w:lang w:val="es-ES"/>
        </w:rPr>
        <w:t xml:space="preserve">ido en el Anexo del </w:t>
      </w:r>
      <w:r w:rsidR="00255751" w:rsidRPr="006463B8">
        <w:rPr>
          <w:lang w:val="es-ES"/>
        </w:rPr>
        <w:t>document</w:t>
      </w:r>
      <w:r w:rsidR="008A4889" w:rsidRPr="006463B8">
        <w:rPr>
          <w:lang w:val="es-ES"/>
        </w:rPr>
        <w:t>o</w:t>
      </w:r>
      <w:r w:rsidR="00255751" w:rsidRPr="006463B8">
        <w:rPr>
          <w:lang w:val="es-ES"/>
        </w:rPr>
        <w:t xml:space="preserve"> PCT/WG/12/2</w:t>
      </w:r>
      <w:r w:rsidR="003F1EFB" w:rsidRPr="006463B8">
        <w:rPr>
          <w:lang w:val="es-ES"/>
        </w:rPr>
        <w:t>).</w:t>
      </w:r>
      <w:r w:rsidR="0022129A">
        <w:rPr>
          <w:lang w:val="es-ES"/>
        </w:rPr>
        <w:t xml:space="preserve"> </w:t>
      </w:r>
      <w:r w:rsidR="003F1EFB" w:rsidRPr="006463B8">
        <w:rPr>
          <w:lang w:val="es-ES"/>
        </w:rPr>
        <w:t>Previ</w:t>
      </w:r>
      <w:r w:rsidR="009B6EDB" w:rsidRPr="006463B8">
        <w:rPr>
          <w:lang w:val="es-ES"/>
        </w:rPr>
        <w:t xml:space="preserve">amente, la OEP había iniciado el debate sobre este tema en una reunión de la las Oficinas de la </w:t>
      </w:r>
      <w:r w:rsidR="005413A7" w:rsidRPr="006463B8">
        <w:rPr>
          <w:lang w:val="es-ES"/>
        </w:rPr>
        <w:t xml:space="preserve">Cooperación Pentalateral (IP5) </w:t>
      </w:r>
      <w:r w:rsidR="009B6EDB" w:rsidRPr="006463B8">
        <w:rPr>
          <w:lang w:val="es-ES"/>
        </w:rPr>
        <w:t xml:space="preserve">celebrada en Tokio en noviembre de </w:t>
      </w:r>
      <w:r w:rsidR="003F1EFB" w:rsidRPr="006463B8">
        <w:rPr>
          <w:lang w:val="es-ES"/>
        </w:rPr>
        <w:t xml:space="preserve">2017, </w:t>
      </w:r>
      <w:r w:rsidR="009B6EDB" w:rsidRPr="006463B8">
        <w:rPr>
          <w:lang w:val="es-ES"/>
        </w:rPr>
        <w:t xml:space="preserve">a la que siguieron ulteriores debates en la vigesimoquinta sesión de la Reunión de las Administraciones Internacionales </w:t>
      </w:r>
      <w:r w:rsidR="003F1EFB" w:rsidRPr="006463B8">
        <w:rPr>
          <w:lang w:val="es-ES"/>
        </w:rPr>
        <w:t>(</w:t>
      </w:r>
      <w:r w:rsidR="009B6EDB" w:rsidRPr="006463B8">
        <w:rPr>
          <w:lang w:val="es-ES"/>
        </w:rPr>
        <w:t xml:space="preserve">véanse los párrafos </w:t>
      </w:r>
      <w:r w:rsidR="003F1EFB" w:rsidRPr="006463B8">
        <w:rPr>
          <w:lang w:val="es-ES"/>
        </w:rPr>
        <w:t xml:space="preserve">29 </w:t>
      </w:r>
      <w:r w:rsidR="009B6EDB" w:rsidRPr="006463B8">
        <w:rPr>
          <w:lang w:val="es-ES"/>
        </w:rPr>
        <w:t>a</w:t>
      </w:r>
      <w:r w:rsidR="00A115E5">
        <w:rPr>
          <w:lang w:val="es-ES"/>
        </w:rPr>
        <w:t xml:space="preserve"> </w:t>
      </w:r>
      <w:r w:rsidR="003F1EFB" w:rsidRPr="006463B8">
        <w:rPr>
          <w:lang w:val="es-ES"/>
        </w:rPr>
        <w:t xml:space="preserve">34 </w:t>
      </w:r>
      <w:r w:rsidR="009B6EDB" w:rsidRPr="006463B8">
        <w:rPr>
          <w:lang w:val="es-ES"/>
        </w:rPr>
        <w:t xml:space="preserve">del resumen de la presidencia de la sesión, </w:t>
      </w:r>
      <w:r w:rsidR="003F1EFB" w:rsidRPr="006463B8">
        <w:rPr>
          <w:lang w:val="es-ES"/>
        </w:rPr>
        <w:t>document</w:t>
      </w:r>
      <w:r w:rsidR="009B6EDB" w:rsidRPr="006463B8">
        <w:rPr>
          <w:lang w:val="es-ES"/>
        </w:rPr>
        <w:t>o</w:t>
      </w:r>
      <w:r w:rsidR="001B796B" w:rsidRPr="006463B8">
        <w:rPr>
          <w:lang w:val="es-ES"/>
        </w:rPr>
        <w:t xml:space="preserve"> PCT/MIA/25/12)</w:t>
      </w:r>
      <w:r w:rsidR="003F1EFB" w:rsidRPr="006463B8">
        <w:rPr>
          <w:lang w:val="es-ES"/>
        </w:rPr>
        <w:t xml:space="preserve"> </w:t>
      </w:r>
      <w:r w:rsidR="009B6EDB" w:rsidRPr="006463B8">
        <w:rPr>
          <w:lang w:val="es-ES"/>
        </w:rPr>
        <w:t xml:space="preserve">y en la undécima reunión del Grupo de Trabajo del </w:t>
      </w:r>
      <w:r w:rsidR="003F1EFB" w:rsidRPr="006463B8">
        <w:rPr>
          <w:lang w:val="es-ES"/>
        </w:rPr>
        <w:t>PCT (</w:t>
      </w:r>
      <w:r w:rsidR="009B6EDB" w:rsidRPr="006463B8">
        <w:rPr>
          <w:lang w:val="es-ES"/>
        </w:rPr>
        <w:t xml:space="preserve">véanse el </w:t>
      </w:r>
      <w:r w:rsidR="003F1EFB" w:rsidRPr="006463B8">
        <w:rPr>
          <w:lang w:val="es-ES"/>
        </w:rPr>
        <w:t>document</w:t>
      </w:r>
      <w:r w:rsidR="009B6EDB" w:rsidRPr="006463B8">
        <w:rPr>
          <w:lang w:val="es-ES"/>
        </w:rPr>
        <w:t>o</w:t>
      </w:r>
      <w:r w:rsidR="003F1EFB" w:rsidRPr="006463B8">
        <w:rPr>
          <w:lang w:val="es-ES"/>
        </w:rPr>
        <w:t xml:space="preserve"> PCT/WG/11/19 </w:t>
      </w:r>
      <w:r w:rsidR="009B6EDB" w:rsidRPr="006463B8">
        <w:rPr>
          <w:lang w:val="es-ES"/>
        </w:rPr>
        <w:t>y los párrafos</w:t>
      </w:r>
      <w:r w:rsidR="003F1EFB" w:rsidRPr="006463B8">
        <w:rPr>
          <w:lang w:val="es-ES"/>
        </w:rPr>
        <w:t xml:space="preserve"> 264 </w:t>
      </w:r>
      <w:r w:rsidR="009B6EDB" w:rsidRPr="006463B8">
        <w:rPr>
          <w:lang w:val="es-ES"/>
        </w:rPr>
        <w:t>a</w:t>
      </w:r>
      <w:r w:rsidR="003F1EFB" w:rsidRPr="006463B8">
        <w:rPr>
          <w:lang w:val="es-ES"/>
        </w:rPr>
        <w:t xml:space="preserve"> 281 </w:t>
      </w:r>
      <w:r w:rsidR="00C117D7">
        <w:rPr>
          <w:lang w:val="es-ES"/>
        </w:rPr>
        <w:t>del i</w:t>
      </w:r>
      <w:r w:rsidR="009B6EDB" w:rsidRPr="006463B8">
        <w:rPr>
          <w:lang w:val="es-ES"/>
        </w:rPr>
        <w:t xml:space="preserve">nforme, </w:t>
      </w:r>
      <w:r w:rsidR="003F1EFB" w:rsidRPr="006463B8">
        <w:rPr>
          <w:lang w:val="es-ES"/>
        </w:rPr>
        <w:t>document</w:t>
      </w:r>
      <w:r w:rsidR="009B6EDB" w:rsidRPr="006463B8">
        <w:rPr>
          <w:lang w:val="es-ES"/>
        </w:rPr>
        <w:t>o</w:t>
      </w:r>
      <w:r w:rsidR="003F1EFB" w:rsidRPr="006463B8">
        <w:rPr>
          <w:lang w:val="es-ES"/>
        </w:rPr>
        <w:t xml:space="preserve"> </w:t>
      </w:r>
      <w:r w:rsidR="003F1EFB" w:rsidRPr="006463B8">
        <w:rPr>
          <w:szCs w:val="22"/>
          <w:lang w:val="es-ES"/>
        </w:rPr>
        <w:t>PCT/WG/11/27)</w:t>
      </w:r>
      <w:r w:rsidR="003F1EFB" w:rsidRPr="006463B8">
        <w:rPr>
          <w:lang w:val="es-ES"/>
        </w:rPr>
        <w:t>.</w:t>
      </w:r>
    </w:p>
    <w:p w:rsidR="003F1EFB" w:rsidRPr="006463B8" w:rsidRDefault="008D6097" w:rsidP="003F1EFB">
      <w:pPr>
        <w:pStyle w:val="ONUME"/>
        <w:rPr>
          <w:lang w:val="es-ES"/>
        </w:rPr>
      </w:pPr>
      <w:r w:rsidRPr="006463B8">
        <w:rPr>
          <w:lang w:val="es-ES"/>
        </w:rPr>
        <w:lastRenderedPageBreak/>
        <w:t xml:space="preserve">Los </w:t>
      </w:r>
      <w:r w:rsidR="00C117D7">
        <w:rPr>
          <w:lang w:val="es-ES"/>
        </w:rPr>
        <w:t>sistemas</w:t>
      </w:r>
      <w:r w:rsidRPr="006463B8">
        <w:rPr>
          <w:lang w:val="es-ES"/>
        </w:rPr>
        <w:t xml:space="preserve"> de comunicación electrónica son fundamentales en la interacción de las Oficinas con los usuarios. Pero puede ocurrir que dichos medios de comunicación dejen de estar disponibles en las Oficinas debido a tareas de mantenimiento o </w:t>
      </w:r>
      <w:r w:rsidR="000C54E4" w:rsidRPr="006463B8">
        <w:rPr>
          <w:lang w:val="es-ES"/>
        </w:rPr>
        <w:t xml:space="preserve">por </w:t>
      </w:r>
      <w:r w:rsidRPr="006463B8">
        <w:rPr>
          <w:lang w:val="es-ES"/>
        </w:rPr>
        <w:t xml:space="preserve">interrupciones del servicio </w:t>
      </w:r>
      <w:r w:rsidR="003F1EFB" w:rsidRPr="006463B8">
        <w:rPr>
          <w:lang w:val="es-ES"/>
        </w:rPr>
        <w:t>(</w:t>
      </w:r>
      <w:r w:rsidR="000C54E4" w:rsidRPr="006463B8">
        <w:rPr>
          <w:lang w:val="es-ES"/>
        </w:rPr>
        <w:t>por ejemplo, por ciberataques o problemas técnicos).</w:t>
      </w:r>
      <w:r w:rsidR="003F1EFB" w:rsidRPr="006463B8">
        <w:rPr>
          <w:lang w:val="es-ES"/>
        </w:rPr>
        <w:t xml:space="preserve"> </w:t>
      </w:r>
      <w:r w:rsidR="000C54E4" w:rsidRPr="006463B8">
        <w:rPr>
          <w:lang w:val="es-ES"/>
        </w:rPr>
        <w:t>Un ejemplo reciente ha sido la “significa</w:t>
      </w:r>
      <w:r w:rsidR="005D43D5" w:rsidRPr="006463B8">
        <w:rPr>
          <w:lang w:val="es-ES"/>
        </w:rPr>
        <w:t>tiva</w:t>
      </w:r>
      <w:r w:rsidR="000C54E4" w:rsidRPr="006463B8">
        <w:rPr>
          <w:lang w:val="es-ES"/>
        </w:rPr>
        <w:t xml:space="preserve"> interrupción imprevista del sistema operativo electrónico” que afectó a la Oficina de Patentes y Marcas de los Estados Unidos de América en su capacidad de aceptar las solicitudes internacionales presentadas electrónicamente desde el 15 hasta el 23 de agosto de </w:t>
      </w:r>
      <w:r w:rsidR="003F1EFB" w:rsidRPr="006463B8">
        <w:rPr>
          <w:lang w:val="es-ES"/>
        </w:rPr>
        <w:t>2018</w:t>
      </w:r>
      <w:r w:rsidR="003F1EFB" w:rsidRPr="006463B8">
        <w:rPr>
          <w:rStyle w:val="FootnoteReference"/>
          <w:lang w:val="es-ES"/>
        </w:rPr>
        <w:footnoteReference w:id="2"/>
      </w:r>
      <w:r w:rsidR="003F1EFB" w:rsidRPr="006463B8">
        <w:rPr>
          <w:lang w:val="es-ES"/>
        </w:rPr>
        <w:t>.</w:t>
      </w:r>
    </w:p>
    <w:p w:rsidR="003F1EFB" w:rsidRPr="006463B8" w:rsidRDefault="0033043D" w:rsidP="003F1EFB">
      <w:pPr>
        <w:pStyle w:val="ONUME"/>
        <w:rPr>
          <w:lang w:val="es-ES"/>
        </w:rPr>
      </w:pPr>
      <w:r w:rsidRPr="006463B8">
        <w:rPr>
          <w:lang w:val="es-ES"/>
        </w:rPr>
        <w:t>A menudo es necesario llevar a cabo el mantenimiento periódico de los sistemas electrónicos para mejorar la calidad de los servicios en línea que se ofrecen a los usuarios. En ocasiones esto puede afectar a la capacidad de los usuarios para utilizar plenamente las herramientas de presentación electrónica. Las tareas de mantenimiento se suelen llevar a cabo durante el fin de semana para evitar inconveniencias a los usuarios. Por regla general, la OEP publica avisos con antelación, en una página de su sitio web destinada a tal efect</w:t>
      </w:r>
      <w:r w:rsidR="00C117D7">
        <w:rPr>
          <w:lang w:val="es-ES"/>
        </w:rPr>
        <w:t>o, varios días antes de los per</w:t>
      </w:r>
      <w:r w:rsidR="00AE68B7">
        <w:rPr>
          <w:lang w:val="es-ES"/>
        </w:rPr>
        <w:t>í</w:t>
      </w:r>
      <w:r w:rsidRPr="006463B8">
        <w:rPr>
          <w:lang w:val="es-ES"/>
        </w:rPr>
        <w:t>odos en que el servicio estará indisponible debido a tareas de mantenimiento</w:t>
      </w:r>
      <w:r w:rsidR="003F1EFB" w:rsidRPr="006463B8">
        <w:rPr>
          <w:lang w:val="es-ES"/>
        </w:rPr>
        <w:t xml:space="preserve">. </w:t>
      </w:r>
      <w:r w:rsidRPr="006463B8">
        <w:rPr>
          <w:lang w:val="es-ES"/>
        </w:rPr>
        <w:t>La OEP recomienda que las partes consulten regularmente el sitio web para evitar</w:t>
      </w:r>
      <w:r w:rsidR="00C117D7">
        <w:rPr>
          <w:lang w:val="es-ES"/>
        </w:rPr>
        <w:t xml:space="preserve"> verse sorprendidas ante </w:t>
      </w:r>
      <w:r w:rsidR="00AE68B7">
        <w:rPr>
          <w:lang w:val="es-ES"/>
        </w:rPr>
        <w:t>período</w:t>
      </w:r>
      <w:r w:rsidRPr="006463B8">
        <w:rPr>
          <w:lang w:val="es-ES"/>
        </w:rPr>
        <w:t>s de inactividad del servicio debido a tareas de mantenimiento que hayan sido anunciadas con antelación.</w:t>
      </w:r>
      <w:r w:rsidR="00BC33FB" w:rsidRPr="006463B8">
        <w:rPr>
          <w:lang w:val="es-ES"/>
        </w:rPr>
        <w:t xml:space="preserve"> Sin embargo, esta </w:t>
      </w:r>
      <w:r w:rsidR="00733C9B" w:rsidRPr="006463B8">
        <w:rPr>
          <w:lang w:val="es-ES"/>
        </w:rPr>
        <w:t xml:space="preserve">medida </w:t>
      </w:r>
      <w:r w:rsidR="00BC33FB" w:rsidRPr="006463B8">
        <w:rPr>
          <w:lang w:val="es-ES"/>
        </w:rPr>
        <w:t>precau</w:t>
      </w:r>
      <w:r w:rsidR="00733C9B" w:rsidRPr="006463B8">
        <w:rPr>
          <w:lang w:val="es-ES"/>
        </w:rPr>
        <w:t>toria</w:t>
      </w:r>
      <w:r w:rsidR="00BC33FB" w:rsidRPr="006463B8">
        <w:rPr>
          <w:lang w:val="es-ES"/>
        </w:rPr>
        <w:t xml:space="preserve"> puede no ser suficiente en todas las circunstancias</w:t>
      </w:r>
      <w:r w:rsidR="003F1EFB" w:rsidRPr="006463B8">
        <w:rPr>
          <w:lang w:val="es-ES"/>
        </w:rPr>
        <w:t>.</w:t>
      </w:r>
    </w:p>
    <w:p w:rsidR="003F1EFB" w:rsidRPr="006463B8" w:rsidRDefault="00CD0850" w:rsidP="003F1EFB">
      <w:pPr>
        <w:pStyle w:val="ONUME"/>
        <w:rPr>
          <w:lang w:val="es-ES"/>
        </w:rPr>
      </w:pPr>
      <w:r w:rsidRPr="006463B8">
        <w:rPr>
          <w:lang w:val="es-ES"/>
        </w:rPr>
        <w:t>Según lo dispuesto en la Regla 82</w:t>
      </w:r>
      <w:r w:rsidRPr="006463B8">
        <w:rPr>
          <w:i/>
          <w:lang w:val="es-ES"/>
        </w:rPr>
        <w:t>quater</w:t>
      </w:r>
      <w:r w:rsidRPr="006463B8">
        <w:rPr>
          <w:lang w:val="es-ES"/>
        </w:rPr>
        <w:t>.1, en circunstancias específicas, l</w:t>
      </w:r>
      <w:r w:rsidR="0056323D" w:rsidRPr="006463B8">
        <w:rPr>
          <w:lang w:val="es-ES"/>
        </w:rPr>
        <w:t xml:space="preserve">os solicitantes podrán ser excusados </w:t>
      </w:r>
      <w:r w:rsidR="00904E0B" w:rsidRPr="006463B8">
        <w:rPr>
          <w:lang w:val="es-ES"/>
        </w:rPr>
        <w:t>en caso de indisponibilidad de los medios de comunicación electrónica en la ubicación del solicitante</w:t>
      </w:r>
      <w:r w:rsidR="00E1778C" w:rsidRPr="006463B8">
        <w:rPr>
          <w:lang w:val="es-ES"/>
        </w:rPr>
        <w:t xml:space="preserve">, </w:t>
      </w:r>
      <w:r w:rsidR="00F37331" w:rsidRPr="006463B8">
        <w:rPr>
          <w:lang w:val="es-ES"/>
        </w:rPr>
        <w:t>debiendo presentar a la Oficina la prueba correspondiente en cada caso particular.</w:t>
      </w:r>
      <w:r w:rsidRPr="006463B8">
        <w:rPr>
          <w:lang w:val="es-ES"/>
        </w:rPr>
        <w:t xml:space="preserve"> Esto representa una carga para las Oficinas que tienen que evaluar dichos supuestos.</w:t>
      </w:r>
      <w:r w:rsidR="003F1EFB" w:rsidRPr="006463B8">
        <w:rPr>
          <w:lang w:val="es-ES"/>
        </w:rPr>
        <w:t xml:space="preserve"> </w:t>
      </w:r>
      <w:r w:rsidR="00FC3013" w:rsidRPr="006463B8">
        <w:rPr>
          <w:lang w:val="es-ES"/>
        </w:rPr>
        <w:t>No obstante, en el PCT no se contempla ninguna disposición de salvaguardia en los casos de interrupción de los servicios de comunicación electrónica por motivos atribuibles a las Oficinas de patentes.</w:t>
      </w:r>
    </w:p>
    <w:p w:rsidR="00C17E6A" w:rsidRPr="006463B8" w:rsidRDefault="00F108F1" w:rsidP="003F1EFB">
      <w:pPr>
        <w:pStyle w:val="ONUME"/>
        <w:rPr>
          <w:lang w:val="es-ES"/>
        </w:rPr>
      </w:pPr>
      <w:r w:rsidRPr="006463B8">
        <w:rPr>
          <w:lang w:val="es-ES"/>
        </w:rPr>
        <w:t xml:space="preserve">La Regla 134.1) del Convenio sobre la Patente Europea (CPE) protege a los usuarios de la OEP en caso de que cualquiera de los </w:t>
      </w:r>
      <w:r w:rsidR="00C117D7">
        <w:rPr>
          <w:lang w:val="es-ES"/>
        </w:rPr>
        <w:t>sistemas</w:t>
      </w:r>
      <w:r w:rsidRPr="006463B8">
        <w:rPr>
          <w:lang w:val="es-ES"/>
        </w:rPr>
        <w:t xml:space="preserve"> de comunicación electrónica esté indisponible el último día de un plazo establecido para efectuar trámites de procedimiento. La protección consiste en prorrogar el plazo hasta el primer día laborable en que estén disponibles todos los </w:t>
      </w:r>
      <w:r w:rsidR="00C117D7">
        <w:rPr>
          <w:lang w:val="es-ES"/>
        </w:rPr>
        <w:t>sistemas</w:t>
      </w:r>
      <w:r w:rsidRPr="006463B8">
        <w:rPr>
          <w:lang w:val="es-ES"/>
        </w:rPr>
        <w:t xml:space="preserve"> de comunicación electrónica. Dicha prórroga se concede únicamente cuando la indisponibilidad sea atribuible a la OEP. Al no existir ninguna disposición equiparable en el PCT, actualmente la OEP aplica la Regla 134.1) del CPE de forma complementaria, según lo dispuesto en el Artículo 150.2) del CPE. </w:t>
      </w:r>
      <w:r w:rsidR="00CD0850" w:rsidRPr="006463B8">
        <w:rPr>
          <w:lang w:val="es-ES"/>
        </w:rPr>
        <w:t>Algunas otras Oficinas</w:t>
      </w:r>
      <w:r w:rsidR="0022129A">
        <w:rPr>
          <w:lang w:val="es-ES"/>
        </w:rPr>
        <w:t xml:space="preserve"> </w:t>
      </w:r>
      <w:r w:rsidR="00CD0850" w:rsidRPr="006463B8">
        <w:rPr>
          <w:lang w:val="es-ES"/>
        </w:rPr>
        <w:t>aplican enfoques similares, pero no todas. De ello resulta que a las Oficinas designadas no les resulte fácil entender en base a qué fundamentos un determinado plazo ha podido ser prorrogado durante la fase internacional.</w:t>
      </w:r>
    </w:p>
    <w:p w:rsidR="003F1EFB" w:rsidRPr="006463B8" w:rsidRDefault="003F1EFB" w:rsidP="003F1EFB">
      <w:pPr>
        <w:pStyle w:val="Heading1"/>
        <w:rPr>
          <w:lang w:val="es-ES"/>
        </w:rPr>
      </w:pPr>
      <w:r w:rsidRPr="006463B8">
        <w:rPr>
          <w:lang w:val="es-ES"/>
        </w:rPr>
        <w:t>Prop</w:t>
      </w:r>
      <w:r w:rsidR="00F37331" w:rsidRPr="006463B8">
        <w:rPr>
          <w:lang w:val="es-ES"/>
        </w:rPr>
        <w:t>uesta</w:t>
      </w:r>
    </w:p>
    <w:p w:rsidR="003F1EFB" w:rsidRPr="006463B8" w:rsidRDefault="00D14115" w:rsidP="003F1EFB">
      <w:pPr>
        <w:pStyle w:val="ONUME"/>
        <w:rPr>
          <w:lang w:val="es-ES"/>
        </w:rPr>
      </w:pPr>
      <w:r w:rsidRPr="006463B8">
        <w:rPr>
          <w:lang w:val="es-ES"/>
        </w:rPr>
        <w:t>En aras de</w:t>
      </w:r>
      <w:r w:rsidR="00386D1A" w:rsidRPr="006463B8">
        <w:rPr>
          <w:lang w:val="es-ES"/>
        </w:rPr>
        <w:t xml:space="preserve"> una mayor </w:t>
      </w:r>
      <w:r w:rsidR="003B5EC9" w:rsidRPr="006463B8">
        <w:rPr>
          <w:lang w:val="es-ES"/>
        </w:rPr>
        <w:t xml:space="preserve">transparencia y fiabilidad, </w:t>
      </w:r>
      <w:r w:rsidR="00FF2174" w:rsidRPr="006463B8">
        <w:rPr>
          <w:lang w:val="es-ES"/>
        </w:rPr>
        <w:t xml:space="preserve">y con objeto de </w:t>
      </w:r>
      <w:r w:rsidR="00386D1A" w:rsidRPr="006463B8">
        <w:rPr>
          <w:lang w:val="es-ES"/>
        </w:rPr>
        <w:t xml:space="preserve">reforzar la coherencia entre las prácticas aplicadas por las Oficinas receptoras, </w:t>
      </w:r>
      <w:r w:rsidR="004C5B2D" w:rsidRPr="006463B8">
        <w:rPr>
          <w:lang w:val="es-ES"/>
        </w:rPr>
        <w:t>resultaría aconsejable establecer una base jurídica adecuada en el marco del PCT</w:t>
      </w:r>
      <w:r w:rsidR="003F1EFB" w:rsidRPr="006463B8">
        <w:rPr>
          <w:lang w:val="es-ES"/>
        </w:rPr>
        <w:t xml:space="preserve">. </w:t>
      </w:r>
      <w:r w:rsidRPr="006463B8">
        <w:rPr>
          <w:lang w:val="es-ES"/>
        </w:rPr>
        <w:t>Con ello también se beneficiarían las Oficinas de mayor tamaño que reciben solicitudes internacionales procedentes de muchas Oficinas receptoras diferentes, donde cada una aplica sus “propias” prácticas nacionales en los supuestos de indisponibilidad de sus servicios de presentación electrónica.</w:t>
      </w:r>
    </w:p>
    <w:p w:rsidR="003F1EFB" w:rsidRPr="006463B8" w:rsidRDefault="004C5B2D" w:rsidP="003F1EFB">
      <w:pPr>
        <w:pStyle w:val="ONUME"/>
        <w:rPr>
          <w:lang w:val="es-ES"/>
        </w:rPr>
      </w:pPr>
      <w:r w:rsidRPr="006463B8">
        <w:rPr>
          <w:lang w:val="es-ES"/>
        </w:rPr>
        <w:t>En consecuencia, l</w:t>
      </w:r>
      <w:r w:rsidR="003B5EC9" w:rsidRPr="006463B8">
        <w:rPr>
          <w:lang w:val="es-ES"/>
        </w:rPr>
        <w:t xml:space="preserve">a OEP </w:t>
      </w:r>
      <w:r w:rsidRPr="006463B8">
        <w:rPr>
          <w:lang w:val="es-ES"/>
        </w:rPr>
        <w:t xml:space="preserve">propone introducir una nueva Regla </w:t>
      </w:r>
      <w:r w:rsidR="003F1EFB" w:rsidRPr="006463B8">
        <w:rPr>
          <w:lang w:val="es-ES"/>
        </w:rPr>
        <w:t>82</w:t>
      </w:r>
      <w:r w:rsidR="003F1EFB" w:rsidRPr="006463B8">
        <w:rPr>
          <w:i/>
          <w:lang w:val="es-ES"/>
        </w:rPr>
        <w:t>quater</w:t>
      </w:r>
      <w:r w:rsidR="003F1EFB" w:rsidRPr="006463B8">
        <w:rPr>
          <w:lang w:val="es-ES"/>
        </w:rPr>
        <w:t>.2 (</w:t>
      </w:r>
      <w:r w:rsidRPr="006463B8">
        <w:rPr>
          <w:lang w:val="es-ES"/>
        </w:rPr>
        <w:t>en la forma que se expone en el An</w:t>
      </w:r>
      <w:r w:rsidR="003F1EFB" w:rsidRPr="006463B8">
        <w:rPr>
          <w:lang w:val="es-ES"/>
        </w:rPr>
        <w:t>ex</w:t>
      </w:r>
      <w:r w:rsidRPr="006463B8">
        <w:rPr>
          <w:lang w:val="es-ES"/>
        </w:rPr>
        <w:t>o</w:t>
      </w:r>
      <w:r w:rsidR="003F1EFB" w:rsidRPr="006463B8">
        <w:rPr>
          <w:lang w:val="es-ES"/>
        </w:rPr>
        <w:t xml:space="preserve">) </w:t>
      </w:r>
      <w:r w:rsidR="00386D1A" w:rsidRPr="006463B8">
        <w:rPr>
          <w:lang w:val="es-ES"/>
        </w:rPr>
        <w:t xml:space="preserve">a fin de que se excusen los retrasos en el cumplimiento de los plazos cuando se </w:t>
      </w:r>
      <w:r w:rsidR="009B41BB" w:rsidRPr="006463B8">
        <w:rPr>
          <w:lang w:val="es-ES"/>
        </w:rPr>
        <w:t>deban a</w:t>
      </w:r>
      <w:r w:rsidR="00386D1A" w:rsidRPr="006463B8">
        <w:rPr>
          <w:lang w:val="es-ES"/>
        </w:rPr>
        <w:t xml:space="preserve"> problemas técnicos que afecten a los servicios de comunicación </w:t>
      </w:r>
      <w:r w:rsidR="00386D1A" w:rsidRPr="006463B8">
        <w:rPr>
          <w:lang w:val="es-ES"/>
        </w:rPr>
        <w:lastRenderedPageBreak/>
        <w:t>electrónica</w:t>
      </w:r>
      <w:r w:rsidR="00482C97" w:rsidRPr="006463B8">
        <w:rPr>
          <w:lang w:val="es-ES"/>
        </w:rPr>
        <w:t xml:space="preserve"> oficiales</w:t>
      </w:r>
      <w:r w:rsidR="003F1EFB" w:rsidRPr="006463B8">
        <w:rPr>
          <w:lang w:val="es-ES"/>
        </w:rPr>
        <w:t>,</w:t>
      </w:r>
      <w:r w:rsidR="00386D1A" w:rsidRPr="006463B8">
        <w:rPr>
          <w:lang w:val="es-ES"/>
        </w:rPr>
        <w:t xml:space="preserve"> con independencia de si la indisponibilidad es programada </w:t>
      </w:r>
      <w:r w:rsidR="009B41BB" w:rsidRPr="006463B8">
        <w:rPr>
          <w:lang w:val="es-ES"/>
        </w:rPr>
        <w:t xml:space="preserve">por la Oficina afectada </w:t>
      </w:r>
      <w:r w:rsidR="00386D1A" w:rsidRPr="006463B8">
        <w:rPr>
          <w:lang w:val="es-ES"/>
        </w:rPr>
        <w:t>(</w:t>
      </w:r>
      <w:r w:rsidR="009B41BB" w:rsidRPr="006463B8">
        <w:rPr>
          <w:lang w:val="es-ES"/>
        </w:rPr>
        <w:t>para</w:t>
      </w:r>
      <w:r w:rsidR="00482C97" w:rsidRPr="006463B8">
        <w:rPr>
          <w:lang w:val="es-ES"/>
        </w:rPr>
        <w:t xml:space="preserve"> labores de </w:t>
      </w:r>
      <w:r w:rsidR="00386D1A" w:rsidRPr="006463B8">
        <w:rPr>
          <w:lang w:val="es-ES"/>
        </w:rPr>
        <w:t xml:space="preserve">mantenimiento) o </w:t>
      </w:r>
      <w:r w:rsidR="00482C97" w:rsidRPr="006463B8">
        <w:rPr>
          <w:lang w:val="es-ES"/>
        </w:rPr>
        <w:t>imprevista (por</w:t>
      </w:r>
      <w:r w:rsidR="009B41BB" w:rsidRPr="006463B8">
        <w:rPr>
          <w:lang w:val="es-ES"/>
        </w:rPr>
        <w:t xml:space="preserve"> una</w:t>
      </w:r>
      <w:r w:rsidR="00482C97" w:rsidRPr="006463B8">
        <w:rPr>
          <w:lang w:val="es-ES"/>
        </w:rPr>
        <w:t xml:space="preserve"> interrupci</w:t>
      </w:r>
      <w:r w:rsidR="009B41BB" w:rsidRPr="006463B8">
        <w:rPr>
          <w:lang w:val="es-ES"/>
        </w:rPr>
        <w:t>ón del servicio)</w:t>
      </w:r>
      <w:r w:rsidR="003F1EFB" w:rsidRPr="006463B8">
        <w:rPr>
          <w:lang w:val="es-ES"/>
        </w:rPr>
        <w:t xml:space="preserve">. </w:t>
      </w:r>
      <w:r w:rsidR="004A51CD" w:rsidRPr="006463B8">
        <w:rPr>
          <w:lang w:val="es-ES"/>
        </w:rPr>
        <w:t>Los plazos podría</w:t>
      </w:r>
      <w:r w:rsidR="009B41BB" w:rsidRPr="006463B8">
        <w:rPr>
          <w:lang w:val="es-ES"/>
        </w:rPr>
        <w:t xml:space="preserve">n ser prorrogados hasta el primer día laborable en que estén disponibles de nuevo todos los </w:t>
      </w:r>
      <w:r w:rsidR="00C117D7">
        <w:rPr>
          <w:lang w:val="es-ES"/>
        </w:rPr>
        <w:t>sistemas</w:t>
      </w:r>
      <w:r w:rsidR="009B41BB" w:rsidRPr="006463B8">
        <w:rPr>
          <w:lang w:val="es-ES"/>
        </w:rPr>
        <w:t xml:space="preserve"> de comunicación electrónica admitidos</w:t>
      </w:r>
      <w:r w:rsidR="003F1EFB" w:rsidRPr="006463B8">
        <w:rPr>
          <w:lang w:val="es-ES"/>
        </w:rPr>
        <w:t>.</w:t>
      </w:r>
      <w:r w:rsidR="0022129A">
        <w:rPr>
          <w:lang w:val="es-ES"/>
        </w:rPr>
        <w:t xml:space="preserve"> </w:t>
      </w:r>
    </w:p>
    <w:p w:rsidR="003F1EFB" w:rsidRPr="006463B8" w:rsidRDefault="004C5B2D" w:rsidP="003F1EFB">
      <w:pPr>
        <w:pStyle w:val="ONUME"/>
        <w:rPr>
          <w:lang w:val="es-ES"/>
        </w:rPr>
      </w:pPr>
      <w:r w:rsidRPr="006463B8">
        <w:rPr>
          <w:lang w:val="es-ES"/>
        </w:rPr>
        <w:t>A diferencia de lo establecido en la Regla</w:t>
      </w:r>
      <w:r w:rsidR="003F1EFB" w:rsidRPr="006463B8">
        <w:rPr>
          <w:lang w:val="es-ES"/>
        </w:rPr>
        <w:t xml:space="preserve"> 82</w:t>
      </w:r>
      <w:r w:rsidR="003F1EFB" w:rsidRPr="006463B8">
        <w:rPr>
          <w:i/>
          <w:lang w:val="es-ES"/>
        </w:rPr>
        <w:t>quater</w:t>
      </w:r>
      <w:r w:rsidR="003F1EFB" w:rsidRPr="006463B8">
        <w:rPr>
          <w:lang w:val="es-ES"/>
        </w:rPr>
        <w:t xml:space="preserve">.1, </w:t>
      </w:r>
      <w:r w:rsidR="00011FD9" w:rsidRPr="006463B8">
        <w:rPr>
          <w:lang w:val="es-ES"/>
        </w:rPr>
        <w:t>conforme a la nueva Regla 82</w:t>
      </w:r>
      <w:r w:rsidR="00011FD9" w:rsidRPr="006463B8">
        <w:rPr>
          <w:i/>
          <w:lang w:val="es-ES"/>
        </w:rPr>
        <w:t>quater</w:t>
      </w:r>
      <w:r w:rsidR="00011FD9" w:rsidRPr="006463B8">
        <w:rPr>
          <w:lang w:val="es-ES"/>
        </w:rPr>
        <w:t xml:space="preserve">.2 que se propone </w:t>
      </w:r>
      <w:r w:rsidR="004A51CD" w:rsidRPr="006463B8">
        <w:rPr>
          <w:lang w:val="es-ES"/>
        </w:rPr>
        <w:t>los solicitantes no tendrían que presentar pruebas</w:t>
      </w:r>
      <w:r w:rsidR="003F1EFB" w:rsidRPr="006463B8">
        <w:rPr>
          <w:lang w:val="es-ES"/>
        </w:rPr>
        <w:t xml:space="preserve">. </w:t>
      </w:r>
      <w:r w:rsidR="004A51CD" w:rsidRPr="006463B8">
        <w:rPr>
          <w:lang w:val="es-ES"/>
        </w:rPr>
        <w:t>Bastaría hacer mención a la indisponibilidad de los sistemas de comunicación electrónica</w:t>
      </w:r>
      <w:r w:rsidR="001063DA" w:rsidRPr="006463B8">
        <w:rPr>
          <w:lang w:val="es-ES"/>
        </w:rPr>
        <w:t>,</w:t>
      </w:r>
      <w:r w:rsidR="004A51CD" w:rsidRPr="006463B8">
        <w:rPr>
          <w:lang w:val="es-ES"/>
        </w:rPr>
        <w:t xml:space="preserve"> y el incumplimiento de un plazo en un caso concreto sería excusado sin necesidad de valoración por parte de la Oficina, lo </w:t>
      </w:r>
      <w:r w:rsidR="001063DA" w:rsidRPr="006463B8">
        <w:rPr>
          <w:lang w:val="es-ES"/>
        </w:rPr>
        <w:t>cual</w:t>
      </w:r>
      <w:r w:rsidR="004A51CD" w:rsidRPr="006463B8">
        <w:rPr>
          <w:lang w:val="es-ES"/>
        </w:rPr>
        <w:t xml:space="preserve"> agilizaría los procedimientos y relevaría a las Oficinas de la carga de evaluar cada caso. La redacción propuesta de la nueva </w:t>
      </w:r>
      <w:r w:rsidR="003F1EFB" w:rsidRPr="006463B8">
        <w:rPr>
          <w:lang w:val="es-ES"/>
        </w:rPr>
        <w:t>R</w:t>
      </w:r>
      <w:r w:rsidR="004A51CD" w:rsidRPr="006463B8">
        <w:rPr>
          <w:lang w:val="es-ES"/>
        </w:rPr>
        <w:t>egla</w:t>
      </w:r>
      <w:r w:rsidR="00A115E5">
        <w:rPr>
          <w:lang w:val="es-ES"/>
        </w:rPr>
        <w:t xml:space="preserve"> </w:t>
      </w:r>
      <w:r w:rsidR="003F1EFB" w:rsidRPr="006463B8">
        <w:rPr>
          <w:lang w:val="es-ES"/>
        </w:rPr>
        <w:t>82</w:t>
      </w:r>
      <w:r w:rsidR="003F1EFB" w:rsidRPr="006463B8">
        <w:rPr>
          <w:i/>
          <w:lang w:val="es-ES"/>
        </w:rPr>
        <w:t>quater</w:t>
      </w:r>
      <w:r w:rsidR="004A51CD" w:rsidRPr="006463B8">
        <w:rPr>
          <w:lang w:val="es-ES"/>
        </w:rPr>
        <w:t>.2.</w:t>
      </w:r>
      <w:r w:rsidR="003F1EFB" w:rsidRPr="006463B8">
        <w:rPr>
          <w:lang w:val="es-ES"/>
        </w:rPr>
        <w:t xml:space="preserve">b) </w:t>
      </w:r>
      <w:r w:rsidR="00991F7B" w:rsidRPr="006463B8">
        <w:rPr>
          <w:lang w:val="es-ES"/>
        </w:rPr>
        <w:t>se basa en</w:t>
      </w:r>
      <w:r w:rsidR="004A51CD" w:rsidRPr="006463B8">
        <w:rPr>
          <w:lang w:val="es-ES"/>
        </w:rPr>
        <w:t xml:space="preserve"> el mismo propósito que </w:t>
      </w:r>
      <w:r w:rsidR="00991F7B" w:rsidRPr="006463B8">
        <w:rPr>
          <w:lang w:val="es-ES"/>
        </w:rPr>
        <w:t xml:space="preserve">el de </w:t>
      </w:r>
      <w:r w:rsidR="004A51CD" w:rsidRPr="006463B8">
        <w:rPr>
          <w:lang w:val="es-ES"/>
        </w:rPr>
        <w:t>la Regla</w:t>
      </w:r>
      <w:r w:rsidR="00A115E5">
        <w:rPr>
          <w:lang w:val="es-ES"/>
        </w:rPr>
        <w:t xml:space="preserve"> </w:t>
      </w:r>
      <w:r w:rsidR="003F1EFB" w:rsidRPr="006463B8">
        <w:rPr>
          <w:lang w:val="es-ES"/>
        </w:rPr>
        <w:t>82</w:t>
      </w:r>
      <w:r w:rsidR="003F1EFB" w:rsidRPr="006463B8">
        <w:rPr>
          <w:i/>
          <w:lang w:val="es-ES"/>
        </w:rPr>
        <w:t>quater</w:t>
      </w:r>
      <w:r w:rsidR="004A51CD" w:rsidRPr="006463B8">
        <w:rPr>
          <w:lang w:val="es-ES"/>
        </w:rPr>
        <w:t>.1.</w:t>
      </w:r>
      <w:r w:rsidR="003F1EFB" w:rsidRPr="006463B8">
        <w:rPr>
          <w:lang w:val="es-ES"/>
        </w:rPr>
        <w:t>c)</w:t>
      </w:r>
      <w:r w:rsidR="004A51CD" w:rsidRPr="006463B8">
        <w:rPr>
          <w:lang w:val="es-ES"/>
        </w:rPr>
        <w:t xml:space="preserve">, </w:t>
      </w:r>
      <w:r w:rsidR="00991F7B" w:rsidRPr="006463B8">
        <w:rPr>
          <w:lang w:val="es-ES"/>
        </w:rPr>
        <w:t>con la cual guarda coherencia</w:t>
      </w:r>
      <w:r w:rsidR="003F1EFB" w:rsidRPr="006463B8">
        <w:rPr>
          <w:lang w:val="es-ES"/>
        </w:rPr>
        <w:t xml:space="preserve">. </w:t>
      </w:r>
      <w:r w:rsidR="00991F7B" w:rsidRPr="006463B8">
        <w:rPr>
          <w:lang w:val="es-ES"/>
        </w:rPr>
        <w:t xml:space="preserve">Su finalidad es garantizar que las Oficinas designadas no queden vinculadas por las decisiones que adopten otras Administraciones después de la entrada en </w:t>
      </w:r>
      <w:r w:rsidR="00AE68B7">
        <w:rPr>
          <w:lang w:val="es-ES"/>
        </w:rPr>
        <w:t>la</w:t>
      </w:r>
      <w:r w:rsidR="00991F7B" w:rsidRPr="006463B8">
        <w:rPr>
          <w:lang w:val="es-ES"/>
        </w:rPr>
        <w:t xml:space="preserve"> respectiva fase nacional.</w:t>
      </w:r>
    </w:p>
    <w:p w:rsidR="003F1EFB" w:rsidRPr="006463B8" w:rsidRDefault="00A64F50" w:rsidP="00D9022D">
      <w:pPr>
        <w:pStyle w:val="ONUME"/>
        <w:keepLines/>
        <w:rPr>
          <w:lang w:val="es-ES"/>
        </w:rPr>
      </w:pPr>
      <w:r w:rsidRPr="006463B8">
        <w:rPr>
          <w:lang w:val="es-ES"/>
        </w:rPr>
        <w:t xml:space="preserve">Por otra parte, </w:t>
      </w:r>
      <w:r w:rsidR="0007666F" w:rsidRPr="006463B8">
        <w:rPr>
          <w:lang w:val="es-ES"/>
        </w:rPr>
        <w:t xml:space="preserve">a partir de </w:t>
      </w:r>
      <w:r w:rsidRPr="006463B8">
        <w:rPr>
          <w:lang w:val="es-ES"/>
        </w:rPr>
        <w:t xml:space="preserve">la experiencia de la OEP con respecto a la Regla </w:t>
      </w:r>
      <w:r w:rsidR="003F1EFB" w:rsidRPr="006463B8">
        <w:rPr>
          <w:lang w:val="es-ES"/>
        </w:rPr>
        <w:t>134</w:t>
      </w:r>
      <w:r w:rsidRPr="006463B8">
        <w:rPr>
          <w:lang w:val="es-ES"/>
        </w:rPr>
        <w:t>.</w:t>
      </w:r>
      <w:r w:rsidR="003F1EFB" w:rsidRPr="006463B8">
        <w:rPr>
          <w:lang w:val="es-ES"/>
        </w:rPr>
        <w:t>1)</w:t>
      </w:r>
      <w:r w:rsidR="00BB647B" w:rsidRPr="006463B8">
        <w:rPr>
          <w:lang w:val="es-ES"/>
        </w:rPr>
        <w:t xml:space="preserve"> del CPE</w:t>
      </w:r>
      <w:r w:rsidR="00922FA9" w:rsidRPr="006463B8">
        <w:rPr>
          <w:lang w:val="es-ES"/>
        </w:rPr>
        <w:t>,</w:t>
      </w:r>
      <w:r w:rsidR="00BB647B" w:rsidRPr="006463B8">
        <w:rPr>
          <w:lang w:val="es-ES"/>
        </w:rPr>
        <w:t xml:space="preserve"> </w:t>
      </w:r>
      <w:r w:rsidR="0007666F" w:rsidRPr="006463B8">
        <w:rPr>
          <w:lang w:val="es-ES"/>
        </w:rPr>
        <w:t xml:space="preserve">se puede afirmar que la probabilidad de que se cometan eventuales abusos </w:t>
      </w:r>
      <w:r w:rsidR="00BB647B" w:rsidRPr="006463B8">
        <w:rPr>
          <w:lang w:val="es-ES"/>
        </w:rPr>
        <w:t xml:space="preserve">del sistema </w:t>
      </w:r>
      <w:r w:rsidR="0007666F" w:rsidRPr="006463B8">
        <w:rPr>
          <w:lang w:val="es-ES"/>
        </w:rPr>
        <w:t>es</w:t>
      </w:r>
      <w:r w:rsidR="00BB647B" w:rsidRPr="006463B8">
        <w:rPr>
          <w:lang w:val="es-ES"/>
        </w:rPr>
        <w:t xml:space="preserve"> muy </w:t>
      </w:r>
      <w:r w:rsidR="0007666F" w:rsidRPr="006463B8">
        <w:rPr>
          <w:lang w:val="es-ES"/>
        </w:rPr>
        <w:t>escasa</w:t>
      </w:r>
      <w:r w:rsidR="00BB647B" w:rsidRPr="006463B8">
        <w:rPr>
          <w:lang w:val="es-ES"/>
        </w:rPr>
        <w:t xml:space="preserve">. Los solicitantes no pueden prever </w:t>
      </w:r>
      <w:r w:rsidR="00922FA9" w:rsidRPr="006463B8">
        <w:rPr>
          <w:lang w:val="es-ES"/>
        </w:rPr>
        <w:t>cuándo se va a producir una</w:t>
      </w:r>
      <w:r w:rsidR="00BB647B" w:rsidRPr="006463B8">
        <w:rPr>
          <w:lang w:val="es-ES"/>
        </w:rPr>
        <w:t xml:space="preserve"> indisponibilidad de los sistemas de presentación en las Oficinas, ya sea por mantenimientos o por interrupciones del servicio, y hacer así uso de una prórroga indebida de los plazos. </w:t>
      </w:r>
      <w:r w:rsidR="00302A02" w:rsidRPr="006463B8">
        <w:rPr>
          <w:lang w:val="es-ES"/>
        </w:rPr>
        <w:t>Asimismo</w:t>
      </w:r>
      <w:r w:rsidR="00BB647B" w:rsidRPr="006463B8">
        <w:rPr>
          <w:lang w:val="es-ES"/>
        </w:rPr>
        <w:t xml:space="preserve">, </w:t>
      </w:r>
      <w:r w:rsidR="00922FA9" w:rsidRPr="006463B8">
        <w:rPr>
          <w:lang w:val="es-ES"/>
        </w:rPr>
        <w:t>el</w:t>
      </w:r>
      <w:r w:rsidR="00BB647B" w:rsidRPr="006463B8">
        <w:rPr>
          <w:lang w:val="es-ES"/>
        </w:rPr>
        <w:t xml:space="preserve"> mantenimiento también quedaría incluido en el ámbito de</w:t>
      </w:r>
      <w:r w:rsidR="00922FA9" w:rsidRPr="006463B8">
        <w:rPr>
          <w:lang w:val="es-ES"/>
        </w:rPr>
        <w:t xml:space="preserve"> aplicación de la nueva disposición del PCT, ya que, de lo contrario, se estaría imponiendo a los solicitantes la necesidad de cumplir sus obligaciones antes del vencimiento de los plazos establecidos en el Reglamento del PCT. No resultaría admisible que sobre los solicitantes recayera esta carga adicional</w:t>
      </w:r>
      <w:r w:rsidR="003F1EFB" w:rsidRPr="006463B8">
        <w:rPr>
          <w:lang w:val="es-ES"/>
        </w:rPr>
        <w:t>.</w:t>
      </w:r>
    </w:p>
    <w:p w:rsidR="003F1EFB" w:rsidRPr="006463B8" w:rsidRDefault="00CA5075" w:rsidP="003F1EFB">
      <w:pPr>
        <w:pStyle w:val="ONUME"/>
        <w:rPr>
          <w:lang w:val="es-ES"/>
        </w:rPr>
      </w:pPr>
      <w:r w:rsidRPr="006463B8">
        <w:rPr>
          <w:lang w:val="es-ES"/>
        </w:rPr>
        <w:t xml:space="preserve">La propuesta cubriría todos los plazos fijados en el Reglamento del PCT para la realización de </w:t>
      </w:r>
      <w:r w:rsidR="00534BC9" w:rsidRPr="006463B8">
        <w:rPr>
          <w:lang w:val="es-ES"/>
        </w:rPr>
        <w:t>un acto</w:t>
      </w:r>
      <w:r w:rsidRPr="006463B8">
        <w:rPr>
          <w:lang w:val="es-ES"/>
        </w:rPr>
        <w:t xml:space="preserve"> ante las Oficinas, incluido el pago de tasas, ya que la falta de pago de las tasas dentro de los plazos establecidos también puede resultar en una pérdida de derechos. Al igual que se prevé ya en la Regla </w:t>
      </w:r>
      <w:r w:rsidR="003F1EFB" w:rsidRPr="006463B8">
        <w:rPr>
          <w:lang w:val="es-ES"/>
        </w:rPr>
        <w:t>82</w:t>
      </w:r>
      <w:r w:rsidR="003F1EFB" w:rsidRPr="006463B8">
        <w:rPr>
          <w:i/>
          <w:lang w:val="es-ES"/>
        </w:rPr>
        <w:t>quater</w:t>
      </w:r>
      <w:r w:rsidR="003F1EFB" w:rsidRPr="006463B8">
        <w:rPr>
          <w:lang w:val="es-ES"/>
        </w:rPr>
        <w:t xml:space="preserve">.1, </w:t>
      </w:r>
      <w:r w:rsidRPr="006463B8">
        <w:rPr>
          <w:lang w:val="es-ES"/>
        </w:rPr>
        <w:t xml:space="preserve">la nueva salvaguardia propuesta de la Regla </w:t>
      </w:r>
      <w:r w:rsidR="003F1EFB" w:rsidRPr="006463B8">
        <w:rPr>
          <w:lang w:val="es-ES"/>
        </w:rPr>
        <w:t>82</w:t>
      </w:r>
      <w:r w:rsidR="003F1EFB" w:rsidRPr="006463B8">
        <w:rPr>
          <w:i/>
          <w:lang w:val="es-ES"/>
        </w:rPr>
        <w:t>quater</w:t>
      </w:r>
      <w:r w:rsidR="003F1EFB" w:rsidRPr="006463B8">
        <w:rPr>
          <w:lang w:val="es-ES"/>
        </w:rPr>
        <w:t xml:space="preserve">.2 </w:t>
      </w:r>
      <w:r w:rsidR="00534BC9" w:rsidRPr="006463B8">
        <w:rPr>
          <w:lang w:val="es-ES"/>
        </w:rPr>
        <w:t xml:space="preserve">no se aplicaría al </w:t>
      </w:r>
      <w:r w:rsidR="00AE68B7">
        <w:rPr>
          <w:lang w:val="es-ES"/>
        </w:rPr>
        <w:t>período</w:t>
      </w:r>
      <w:r w:rsidR="00534BC9" w:rsidRPr="006463B8">
        <w:rPr>
          <w:lang w:val="es-ES"/>
        </w:rPr>
        <w:t xml:space="preserve"> de prioridad, pues no se trata de un plazo fijado en el Reglamento. No obstante, los solicitantes podrían solicitar la restauración del derecho de prioridad conforme a la Regla </w:t>
      </w:r>
      <w:r w:rsidR="003F1EFB" w:rsidRPr="006463B8">
        <w:rPr>
          <w:lang w:val="es-ES"/>
        </w:rPr>
        <w:t>26</w:t>
      </w:r>
      <w:r w:rsidR="003F1EFB" w:rsidRPr="006463B8">
        <w:rPr>
          <w:i/>
          <w:lang w:val="es-ES"/>
        </w:rPr>
        <w:t>bis</w:t>
      </w:r>
      <w:r w:rsidR="003F1EFB" w:rsidRPr="006463B8">
        <w:rPr>
          <w:lang w:val="es-ES"/>
        </w:rPr>
        <w:t xml:space="preserve">.3. </w:t>
      </w:r>
      <w:r w:rsidR="00534BC9" w:rsidRPr="006463B8">
        <w:rPr>
          <w:lang w:val="es-ES"/>
        </w:rPr>
        <w:t>En aplicación de la Regla propuesta, la Oficina afectada debería comunicar la información relevante a la Oficina Internacional a fin de garantizar que tanto el público como las demás Oficinas est</w:t>
      </w:r>
      <w:r w:rsidR="00B5540F" w:rsidRPr="006463B8">
        <w:rPr>
          <w:lang w:val="es-ES"/>
        </w:rPr>
        <w:t>é</w:t>
      </w:r>
      <w:r w:rsidR="00534BC9" w:rsidRPr="006463B8">
        <w:rPr>
          <w:lang w:val="es-ES"/>
        </w:rPr>
        <w:t xml:space="preserve">n debidamente informadas, por ejemplo, a través del Boletín del </w:t>
      </w:r>
      <w:r w:rsidR="003F1EFB" w:rsidRPr="006463B8">
        <w:rPr>
          <w:lang w:val="es-ES"/>
        </w:rPr>
        <w:t>PCT</w:t>
      </w:r>
      <w:r w:rsidR="00B5540F" w:rsidRPr="006463B8">
        <w:rPr>
          <w:lang w:val="es-ES"/>
        </w:rPr>
        <w:t>. Los detalles más pormenorizados sobre la aplicación de la nueva Regla podrían ser formulados en las Directrices</w:t>
      </w:r>
      <w:r w:rsidR="008732FB" w:rsidRPr="006463B8">
        <w:rPr>
          <w:lang w:val="es-ES"/>
        </w:rPr>
        <w:t xml:space="preserve"> para las Oficinas receptoras del PCT</w:t>
      </w:r>
      <w:r w:rsidR="003F1EFB" w:rsidRPr="006463B8">
        <w:rPr>
          <w:lang w:val="es-ES"/>
        </w:rPr>
        <w:t xml:space="preserve">, </w:t>
      </w:r>
      <w:r w:rsidR="00B5540F" w:rsidRPr="006463B8">
        <w:rPr>
          <w:lang w:val="es-ES"/>
        </w:rPr>
        <w:t>donde, en particular, cabría señalar los efectos jurídicos del incumplimiento de los plazos, para garantizar que los solicitantes</w:t>
      </w:r>
      <w:r w:rsidR="008732FB" w:rsidRPr="006463B8">
        <w:rPr>
          <w:lang w:val="es-ES"/>
        </w:rPr>
        <w:t xml:space="preserve"> no se confundan </w:t>
      </w:r>
      <w:r w:rsidR="00B5540F" w:rsidRPr="006463B8">
        <w:rPr>
          <w:lang w:val="es-ES"/>
        </w:rPr>
        <w:t>con respecto a las consecuencias de dicho incumplimiento</w:t>
      </w:r>
      <w:r w:rsidR="003F1EFB" w:rsidRPr="006463B8">
        <w:rPr>
          <w:lang w:val="es-ES"/>
        </w:rPr>
        <w:t xml:space="preserve">. </w:t>
      </w:r>
    </w:p>
    <w:p w:rsidR="003F1EFB" w:rsidRPr="006463B8" w:rsidRDefault="0094409E" w:rsidP="003F1EFB">
      <w:pPr>
        <w:pStyle w:val="ONUME"/>
        <w:rPr>
          <w:lang w:val="es-ES"/>
        </w:rPr>
      </w:pPr>
      <w:r w:rsidRPr="006463B8">
        <w:rPr>
          <w:lang w:val="es-ES"/>
        </w:rPr>
        <w:t xml:space="preserve">La presente propuesta contribuiría a dotar al sistema de excusa de los retrasos en el cumplimiento de los plazos </w:t>
      </w:r>
      <w:r w:rsidR="00AE68B7">
        <w:rPr>
          <w:lang w:val="es-ES"/>
        </w:rPr>
        <w:t xml:space="preserve">en el marco del PCT </w:t>
      </w:r>
      <w:r w:rsidRPr="006463B8">
        <w:rPr>
          <w:lang w:val="es-ES"/>
        </w:rPr>
        <w:t xml:space="preserve">de mayor fiabilidad, trazabilidad y transparencia de cara a los usuarios, a las Oficinas receptoras y frente a terceros. </w:t>
      </w:r>
      <w:r w:rsidR="008732FB" w:rsidRPr="006463B8">
        <w:rPr>
          <w:lang w:val="es-ES"/>
        </w:rPr>
        <w:t>Se entiende que</w:t>
      </w:r>
      <w:r w:rsidR="00C666B4" w:rsidRPr="006463B8">
        <w:rPr>
          <w:lang w:val="es-ES"/>
        </w:rPr>
        <w:t xml:space="preserve"> </w:t>
      </w:r>
      <w:r w:rsidR="003F1EFB" w:rsidRPr="006463B8">
        <w:rPr>
          <w:lang w:val="es-ES"/>
        </w:rPr>
        <w:t>no</w:t>
      </w:r>
      <w:r w:rsidR="00C666B4" w:rsidRPr="006463B8">
        <w:rPr>
          <w:lang w:val="es-ES"/>
        </w:rPr>
        <w:t xml:space="preserve"> todas las Oficinas podrán hacer uso de la nueva disposición, a la vista de las diferentes prácticas derivadas de sus respectivas legislaciones nacionales, y, por lo tanto, la Oficinas continuarán teniendo la facultad de decidir libremente si excusar o no los retrasos en el cumplimiento de los plazos en un </w:t>
      </w:r>
      <w:r w:rsidR="00AE68B7">
        <w:rPr>
          <w:lang w:val="es-ES"/>
        </w:rPr>
        <w:t>período</w:t>
      </w:r>
      <w:r w:rsidR="00C666B4" w:rsidRPr="006463B8">
        <w:rPr>
          <w:lang w:val="es-ES"/>
        </w:rPr>
        <w:t xml:space="preserve"> determinado, la forma de hacerlo, y de comunicar</w:t>
      </w:r>
      <w:r w:rsidR="00287657" w:rsidRPr="006463B8">
        <w:rPr>
          <w:lang w:val="es-ES"/>
        </w:rPr>
        <w:t xml:space="preserve"> esta decisión a los usuarios conforme a sus propias prácticas.</w:t>
      </w:r>
      <w:r w:rsidR="003F1EFB" w:rsidRPr="006463B8">
        <w:rPr>
          <w:lang w:val="es-ES"/>
        </w:rPr>
        <w:t xml:space="preserve"> </w:t>
      </w:r>
      <w:r w:rsidR="002843A9" w:rsidRPr="006463B8">
        <w:rPr>
          <w:lang w:val="es-ES"/>
        </w:rPr>
        <w:t xml:space="preserve">La introducción de esta disposición en el </w:t>
      </w:r>
      <w:r w:rsidR="003F1EFB" w:rsidRPr="006463B8">
        <w:rPr>
          <w:lang w:val="es-ES"/>
        </w:rPr>
        <w:t xml:space="preserve">PCT </w:t>
      </w:r>
      <w:r w:rsidR="002843A9" w:rsidRPr="006463B8">
        <w:rPr>
          <w:lang w:val="es-ES"/>
        </w:rPr>
        <w:t xml:space="preserve">representaría sin embargo un paso importante hacia la </w:t>
      </w:r>
      <w:r w:rsidR="008732FB" w:rsidRPr="006463B8">
        <w:rPr>
          <w:lang w:val="es-ES"/>
        </w:rPr>
        <w:t>armonización</w:t>
      </w:r>
      <w:r w:rsidR="002843A9" w:rsidRPr="006463B8">
        <w:rPr>
          <w:lang w:val="es-ES"/>
        </w:rPr>
        <w:t xml:space="preserve"> de las prácticas aplica</w:t>
      </w:r>
      <w:r w:rsidRPr="006463B8">
        <w:rPr>
          <w:lang w:val="es-ES"/>
        </w:rPr>
        <w:t>das</w:t>
      </w:r>
      <w:r w:rsidR="002843A9" w:rsidRPr="006463B8">
        <w:rPr>
          <w:lang w:val="es-ES"/>
        </w:rPr>
        <w:t xml:space="preserve"> por aquellas Oficinas que sí excusan los retrasos en estas circunstancias conforme a sus legislaciones nacionales.</w:t>
      </w:r>
      <w:r w:rsidR="003F1EFB" w:rsidRPr="006463B8">
        <w:rPr>
          <w:lang w:val="es-ES"/>
        </w:rPr>
        <w:t xml:space="preserve"> </w:t>
      </w:r>
      <w:bookmarkStart w:id="5" w:name="LASTCURSORPOSITION"/>
      <w:bookmarkEnd w:id="5"/>
    </w:p>
    <w:p w:rsidR="003F1EFB" w:rsidRPr="006463B8" w:rsidRDefault="00096721" w:rsidP="00A115E5">
      <w:pPr>
        <w:pStyle w:val="ONUME"/>
        <w:keepLines/>
        <w:ind w:left="5533"/>
        <w:rPr>
          <w:i/>
          <w:lang w:val="es-ES"/>
        </w:rPr>
      </w:pPr>
      <w:r w:rsidRPr="006463B8">
        <w:rPr>
          <w:i/>
          <w:lang w:val="es-ES"/>
        </w:rPr>
        <w:lastRenderedPageBreak/>
        <w:t>Se invita al Grupo de Trabajo a formular observaciones acerca de la propuesta de modificación del Reglamento que se expone en el Anexo del presente documento</w:t>
      </w:r>
      <w:r w:rsidR="003F1EFB" w:rsidRPr="006463B8">
        <w:rPr>
          <w:i/>
          <w:lang w:val="es-ES"/>
        </w:rPr>
        <w:t>.</w:t>
      </w:r>
    </w:p>
    <w:p w:rsidR="003F1EFB" w:rsidRPr="006463B8" w:rsidRDefault="003F1EFB" w:rsidP="003F1EFB">
      <w:pPr>
        <w:pStyle w:val="ONUME"/>
        <w:numPr>
          <w:ilvl w:val="0"/>
          <w:numId w:val="0"/>
        </w:numPr>
        <w:rPr>
          <w:lang w:val="es-ES"/>
        </w:rPr>
      </w:pPr>
    </w:p>
    <w:p w:rsidR="003F1EFB" w:rsidRPr="006463B8" w:rsidRDefault="003F1EFB" w:rsidP="003F1EFB">
      <w:pPr>
        <w:pStyle w:val="Endofdocument-Annex"/>
        <w:rPr>
          <w:lang w:val="es-ES"/>
        </w:rPr>
        <w:sectPr w:rsidR="003F1EFB" w:rsidRPr="006463B8" w:rsidSect="00C17E6A">
          <w:headerReference w:type="default" r:id="rId9"/>
          <w:endnotePr>
            <w:numFmt w:val="decimal"/>
          </w:endnotePr>
          <w:pgSz w:w="11907" w:h="16840" w:code="9"/>
          <w:pgMar w:top="567" w:right="1134" w:bottom="1418" w:left="1418" w:header="510" w:footer="1021" w:gutter="0"/>
          <w:cols w:space="720"/>
          <w:titlePg/>
          <w:docGrid w:linePitch="299"/>
        </w:sectPr>
      </w:pPr>
      <w:r w:rsidRPr="006463B8">
        <w:rPr>
          <w:lang w:val="es-ES"/>
        </w:rPr>
        <w:t>[</w:t>
      </w:r>
      <w:r w:rsidR="00096721" w:rsidRPr="006463B8">
        <w:rPr>
          <w:lang w:val="es-ES"/>
        </w:rPr>
        <w:t>Sigue el Anexo</w:t>
      </w:r>
      <w:r w:rsidRPr="006463B8">
        <w:rPr>
          <w:lang w:val="es-ES"/>
        </w:rPr>
        <w:t>]</w:t>
      </w:r>
    </w:p>
    <w:p w:rsidR="003F1EFB" w:rsidRPr="006463B8" w:rsidRDefault="003F1EFB" w:rsidP="003F1EFB">
      <w:pPr>
        <w:jc w:val="center"/>
        <w:rPr>
          <w:caps/>
          <w:lang w:val="es-ES"/>
        </w:rPr>
      </w:pPr>
    </w:p>
    <w:p w:rsidR="003F1EFB" w:rsidRPr="006463B8" w:rsidRDefault="00284FB1" w:rsidP="003F1EFB">
      <w:pPr>
        <w:jc w:val="center"/>
        <w:rPr>
          <w:caps/>
          <w:lang w:val="es-ES"/>
        </w:rPr>
      </w:pPr>
      <w:r w:rsidRPr="006463B8">
        <w:rPr>
          <w:caps/>
          <w:lang w:val="es-ES"/>
        </w:rPr>
        <w:t>PROPUESTAS DE MODIFICACIÓN DEL REGLAMENTO DEL PCT</w:t>
      </w:r>
      <w:r w:rsidR="003F1EFB" w:rsidRPr="006463B8">
        <w:rPr>
          <w:rStyle w:val="FootnoteReference"/>
          <w:caps/>
          <w:lang w:val="es-ES"/>
        </w:rPr>
        <w:footnoteReference w:id="3"/>
      </w:r>
    </w:p>
    <w:p w:rsidR="003F1EFB" w:rsidRPr="006463B8" w:rsidRDefault="003F1EFB" w:rsidP="003F1EFB">
      <w:pPr>
        <w:pStyle w:val="ONUME"/>
        <w:numPr>
          <w:ilvl w:val="0"/>
          <w:numId w:val="0"/>
        </w:numPr>
        <w:tabs>
          <w:tab w:val="left" w:pos="720"/>
        </w:tabs>
        <w:spacing w:after="0"/>
        <w:jc w:val="center"/>
        <w:rPr>
          <w:caps/>
          <w:lang w:val="es-ES"/>
        </w:rPr>
      </w:pPr>
    </w:p>
    <w:p w:rsidR="003F1EFB" w:rsidRPr="006463B8" w:rsidRDefault="003F1EFB" w:rsidP="003F1EFB">
      <w:pPr>
        <w:pStyle w:val="ONUME"/>
        <w:numPr>
          <w:ilvl w:val="0"/>
          <w:numId w:val="0"/>
        </w:numPr>
        <w:tabs>
          <w:tab w:val="left" w:pos="720"/>
        </w:tabs>
        <w:spacing w:after="0"/>
        <w:jc w:val="center"/>
        <w:rPr>
          <w:caps/>
          <w:lang w:val="es-ES"/>
        </w:rPr>
      </w:pPr>
    </w:p>
    <w:p w:rsidR="003F1EFB" w:rsidRPr="006463B8" w:rsidRDefault="003F1EFB" w:rsidP="003F1EFB">
      <w:pPr>
        <w:rPr>
          <w:lang w:val="es-ES"/>
        </w:rPr>
      </w:pPr>
    </w:p>
    <w:p w:rsidR="003F1EFB" w:rsidRPr="006463B8" w:rsidRDefault="00284FB1" w:rsidP="00AE611B">
      <w:pPr>
        <w:pStyle w:val="ONUME"/>
        <w:numPr>
          <w:ilvl w:val="0"/>
          <w:numId w:val="0"/>
        </w:numPr>
        <w:spacing w:after="0"/>
        <w:jc w:val="center"/>
        <w:rPr>
          <w:caps/>
          <w:lang w:val="es-ES"/>
        </w:rPr>
      </w:pPr>
      <w:r w:rsidRPr="006463B8">
        <w:rPr>
          <w:caps/>
          <w:lang w:val="es-ES"/>
        </w:rPr>
        <w:t>ÍNDICE</w:t>
      </w:r>
    </w:p>
    <w:p w:rsidR="003F1EFB" w:rsidRDefault="003F1EFB" w:rsidP="003F1EFB">
      <w:pPr>
        <w:jc w:val="center"/>
        <w:rPr>
          <w:caps/>
          <w:lang w:val="es-ES"/>
        </w:rPr>
      </w:pPr>
    </w:p>
    <w:p w:rsidR="00AE611B" w:rsidRPr="006463B8" w:rsidRDefault="00AE611B" w:rsidP="00AE611B">
      <w:pPr>
        <w:spacing w:after="240"/>
        <w:jc w:val="center"/>
        <w:rPr>
          <w:caps/>
          <w:lang w:val="es-ES"/>
        </w:rPr>
      </w:pPr>
    </w:p>
    <w:p w:rsidR="00AE611B" w:rsidRDefault="003F1EFB">
      <w:pPr>
        <w:pStyle w:val="TOC1"/>
        <w:rPr>
          <w:rFonts w:asciiTheme="minorHAnsi" w:eastAsiaTheme="minorEastAsia" w:hAnsiTheme="minorHAnsi" w:cstheme="minorBidi"/>
          <w:noProof/>
          <w:szCs w:val="22"/>
          <w:lang w:val="es-ES" w:eastAsia="es-ES"/>
        </w:rPr>
      </w:pPr>
      <w:r w:rsidRPr="006463B8">
        <w:rPr>
          <w:caps/>
          <w:lang w:val="es-ES"/>
        </w:rPr>
        <w:fldChar w:fldCharType="begin"/>
      </w:r>
      <w:r w:rsidRPr="006463B8">
        <w:rPr>
          <w:caps/>
          <w:lang w:val="es-ES"/>
        </w:rPr>
        <w:instrText xml:space="preserve"> TOC \h \z \t "Leg # Title,1,Leg SubRule #,2" </w:instrText>
      </w:r>
      <w:r w:rsidRPr="006463B8">
        <w:rPr>
          <w:caps/>
          <w:lang w:val="es-ES"/>
        </w:rPr>
        <w:fldChar w:fldCharType="separate"/>
      </w:r>
      <w:hyperlink w:anchor="_Toc9928936" w:history="1">
        <w:r w:rsidR="00AE611B" w:rsidRPr="00C045DC">
          <w:rPr>
            <w:rStyle w:val="Hyperlink"/>
            <w:noProof/>
            <w:lang w:val="es-ES"/>
          </w:rPr>
          <w:t>Regla 82</w:t>
        </w:r>
        <w:r w:rsidR="00AE611B" w:rsidRPr="00C045DC">
          <w:rPr>
            <w:rStyle w:val="Hyperlink"/>
            <w:i/>
            <w:noProof/>
            <w:lang w:val="es-ES"/>
          </w:rPr>
          <w:t>quater</w:t>
        </w:r>
        <w:r w:rsidR="00AE611B" w:rsidRPr="00C045DC">
          <w:rPr>
            <w:rStyle w:val="Hyperlink"/>
            <w:noProof/>
            <w:lang w:val="es-ES"/>
          </w:rPr>
          <w:t xml:space="preserve"> Excusa de los retrasos en el cumplimiento de los plazos</w:t>
        </w:r>
        <w:r w:rsidR="00AE611B">
          <w:rPr>
            <w:noProof/>
            <w:webHidden/>
          </w:rPr>
          <w:tab/>
        </w:r>
        <w:r w:rsidR="00AE611B">
          <w:rPr>
            <w:noProof/>
            <w:webHidden/>
          </w:rPr>
          <w:fldChar w:fldCharType="begin"/>
        </w:r>
        <w:r w:rsidR="00AE611B">
          <w:rPr>
            <w:noProof/>
            <w:webHidden/>
          </w:rPr>
          <w:instrText xml:space="preserve"> PAGEREF _Toc9928936 \h </w:instrText>
        </w:r>
        <w:r w:rsidR="00AE611B">
          <w:rPr>
            <w:noProof/>
            <w:webHidden/>
          </w:rPr>
        </w:r>
        <w:r w:rsidR="00AE611B">
          <w:rPr>
            <w:noProof/>
            <w:webHidden/>
          </w:rPr>
          <w:fldChar w:fldCharType="separate"/>
        </w:r>
        <w:r w:rsidR="00AE611B">
          <w:rPr>
            <w:noProof/>
            <w:webHidden/>
          </w:rPr>
          <w:t>2</w:t>
        </w:r>
        <w:r w:rsidR="00AE611B">
          <w:rPr>
            <w:noProof/>
            <w:webHidden/>
          </w:rPr>
          <w:fldChar w:fldCharType="end"/>
        </w:r>
      </w:hyperlink>
    </w:p>
    <w:p w:rsidR="00AE611B" w:rsidRDefault="00903799">
      <w:pPr>
        <w:pStyle w:val="TOC2"/>
        <w:rPr>
          <w:rFonts w:asciiTheme="minorHAnsi" w:eastAsiaTheme="minorEastAsia" w:hAnsiTheme="minorHAnsi" w:cstheme="minorBidi"/>
          <w:i w:val="0"/>
          <w:szCs w:val="22"/>
          <w:lang w:val="es-ES" w:eastAsia="es-ES"/>
        </w:rPr>
      </w:pPr>
      <w:hyperlink w:anchor="_Toc9928937" w:history="1">
        <w:r w:rsidR="00AE611B" w:rsidRPr="00C045DC">
          <w:rPr>
            <w:rStyle w:val="Hyperlink"/>
            <w:lang w:val="es-ES"/>
          </w:rPr>
          <w:t>82quater.1 Excusa de los retrasos en el cumplimiento de los plazos</w:t>
        </w:r>
        <w:r w:rsidR="00AE611B">
          <w:rPr>
            <w:webHidden/>
          </w:rPr>
          <w:tab/>
        </w:r>
        <w:r w:rsidR="00AE611B">
          <w:rPr>
            <w:webHidden/>
          </w:rPr>
          <w:fldChar w:fldCharType="begin"/>
        </w:r>
        <w:r w:rsidR="00AE611B">
          <w:rPr>
            <w:webHidden/>
          </w:rPr>
          <w:instrText xml:space="preserve"> PAGEREF _Toc9928937 \h </w:instrText>
        </w:r>
        <w:r w:rsidR="00AE611B">
          <w:rPr>
            <w:webHidden/>
          </w:rPr>
        </w:r>
        <w:r w:rsidR="00AE611B">
          <w:rPr>
            <w:webHidden/>
          </w:rPr>
          <w:fldChar w:fldCharType="separate"/>
        </w:r>
        <w:r w:rsidR="00AE611B">
          <w:rPr>
            <w:webHidden/>
          </w:rPr>
          <w:t>2</w:t>
        </w:r>
        <w:r w:rsidR="00AE611B">
          <w:rPr>
            <w:webHidden/>
          </w:rPr>
          <w:fldChar w:fldCharType="end"/>
        </w:r>
      </w:hyperlink>
    </w:p>
    <w:p w:rsidR="00AE611B" w:rsidRDefault="00903799">
      <w:pPr>
        <w:pStyle w:val="TOC2"/>
        <w:rPr>
          <w:rFonts w:asciiTheme="minorHAnsi" w:eastAsiaTheme="minorEastAsia" w:hAnsiTheme="minorHAnsi" w:cstheme="minorBidi"/>
          <w:i w:val="0"/>
          <w:szCs w:val="22"/>
          <w:lang w:val="es-ES" w:eastAsia="es-ES"/>
        </w:rPr>
      </w:pPr>
      <w:hyperlink w:anchor="_Toc9928938" w:history="1">
        <w:r w:rsidR="00AE611B" w:rsidRPr="00C045DC">
          <w:rPr>
            <w:rStyle w:val="Hyperlink"/>
            <w:lang w:val="es-ES"/>
          </w:rPr>
          <w:t>82quater.2 Indisponibilidad de los servicios de comunicación electrónica en la Oficina</w:t>
        </w:r>
        <w:r w:rsidR="00AE611B">
          <w:rPr>
            <w:webHidden/>
          </w:rPr>
          <w:tab/>
        </w:r>
        <w:r w:rsidR="00AE611B">
          <w:rPr>
            <w:webHidden/>
          </w:rPr>
          <w:fldChar w:fldCharType="begin"/>
        </w:r>
        <w:r w:rsidR="00AE611B">
          <w:rPr>
            <w:webHidden/>
          </w:rPr>
          <w:instrText xml:space="preserve"> PAGEREF _Toc9928938 \h </w:instrText>
        </w:r>
        <w:r w:rsidR="00AE611B">
          <w:rPr>
            <w:webHidden/>
          </w:rPr>
        </w:r>
        <w:r w:rsidR="00AE611B">
          <w:rPr>
            <w:webHidden/>
          </w:rPr>
          <w:fldChar w:fldCharType="separate"/>
        </w:r>
        <w:r w:rsidR="00AE611B">
          <w:rPr>
            <w:webHidden/>
          </w:rPr>
          <w:t>2</w:t>
        </w:r>
        <w:r w:rsidR="00AE611B">
          <w:rPr>
            <w:webHidden/>
          </w:rPr>
          <w:fldChar w:fldCharType="end"/>
        </w:r>
      </w:hyperlink>
    </w:p>
    <w:p w:rsidR="003F1EFB" w:rsidRPr="006463B8" w:rsidRDefault="003F1EFB" w:rsidP="003F1EFB">
      <w:pPr>
        <w:jc w:val="center"/>
        <w:rPr>
          <w:caps/>
          <w:lang w:val="es-ES"/>
        </w:rPr>
      </w:pPr>
      <w:r w:rsidRPr="006463B8">
        <w:rPr>
          <w:caps/>
          <w:lang w:val="es-ES"/>
        </w:rPr>
        <w:fldChar w:fldCharType="end"/>
      </w:r>
    </w:p>
    <w:p w:rsidR="003F1EFB" w:rsidRPr="006463B8" w:rsidRDefault="003F1EFB" w:rsidP="003F1EFB">
      <w:pPr>
        <w:jc w:val="center"/>
        <w:rPr>
          <w:caps/>
          <w:lang w:val="es-ES"/>
        </w:rPr>
      </w:pPr>
    </w:p>
    <w:p w:rsidR="003F1EFB" w:rsidRPr="006463B8" w:rsidRDefault="003F1EFB" w:rsidP="003F1EFB">
      <w:pPr>
        <w:pStyle w:val="LegTitle"/>
        <w:rPr>
          <w:lang w:val="es-ES"/>
        </w:rPr>
      </w:pPr>
      <w:bookmarkStart w:id="7" w:name="_Toc9928936"/>
      <w:r w:rsidRPr="006463B8">
        <w:rPr>
          <w:lang w:val="es-ES"/>
        </w:rPr>
        <w:lastRenderedPageBreak/>
        <w:t>R</w:t>
      </w:r>
      <w:r w:rsidR="0017230E" w:rsidRPr="006463B8">
        <w:rPr>
          <w:lang w:val="es-ES"/>
        </w:rPr>
        <w:t>egla</w:t>
      </w:r>
      <w:r w:rsidRPr="006463B8">
        <w:rPr>
          <w:lang w:val="es-ES"/>
        </w:rPr>
        <w:t xml:space="preserve"> 82</w:t>
      </w:r>
      <w:r w:rsidRPr="006463B8">
        <w:rPr>
          <w:i/>
          <w:lang w:val="es-ES"/>
        </w:rPr>
        <w:t>quater</w:t>
      </w:r>
      <w:r w:rsidRPr="006463B8">
        <w:rPr>
          <w:lang w:val="es-ES"/>
        </w:rPr>
        <w:br/>
        <w:t>Excus</w:t>
      </w:r>
      <w:r w:rsidR="00A9217E" w:rsidRPr="006463B8">
        <w:rPr>
          <w:lang w:val="es-ES"/>
        </w:rPr>
        <w:t>a de los retrasos en el cumplimiento de los plazo</w:t>
      </w:r>
      <w:r w:rsidRPr="006463B8">
        <w:rPr>
          <w:lang w:val="es-ES"/>
        </w:rPr>
        <w:t>s</w:t>
      </w:r>
      <w:bookmarkEnd w:id="7"/>
    </w:p>
    <w:p w:rsidR="003F1EFB" w:rsidRPr="006463B8" w:rsidRDefault="003F1EFB" w:rsidP="003F1EFB">
      <w:pPr>
        <w:pStyle w:val="LegSubRule"/>
        <w:rPr>
          <w:i/>
          <w:lang w:val="es-ES"/>
        </w:rPr>
      </w:pPr>
      <w:bookmarkStart w:id="8" w:name="_Toc9928937"/>
      <w:r w:rsidRPr="006463B8">
        <w:rPr>
          <w:lang w:val="es-ES"/>
        </w:rPr>
        <w:t>82</w:t>
      </w:r>
      <w:r w:rsidRPr="006463B8">
        <w:rPr>
          <w:i/>
          <w:lang w:val="es-ES"/>
        </w:rPr>
        <w:t>quater</w:t>
      </w:r>
      <w:r w:rsidRPr="006463B8">
        <w:rPr>
          <w:lang w:val="es-ES"/>
        </w:rPr>
        <w:t>.1</w:t>
      </w:r>
      <w:r w:rsidR="0022129A">
        <w:rPr>
          <w:lang w:val="es-ES"/>
        </w:rPr>
        <w:t xml:space="preserve"> </w:t>
      </w:r>
      <w:r w:rsidRPr="006463B8">
        <w:rPr>
          <w:i/>
          <w:lang w:val="es-ES"/>
        </w:rPr>
        <w:t>Excus</w:t>
      </w:r>
      <w:r w:rsidR="00A9217E" w:rsidRPr="006463B8">
        <w:rPr>
          <w:i/>
          <w:lang w:val="es-ES"/>
        </w:rPr>
        <w:t>a de los retrasos en el cumplimiento de los plazo</w:t>
      </w:r>
      <w:r w:rsidRPr="006463B8">
        <w:rPr>
          <w:i/>
          <w:lang w:val="es-ES"/>
        </w:rPr>
        <w:t>s</w:t>
      </w:r>
      <w:bookmarkEnd w:id="8"/>
    </w:p>
    <w:p w:rsidR="003F1EFB" w:rsidRPr="006463B8" w:rsidRDefault="003F1EFB" w:rsidP="003F1EFB">
      <w:pPr>
        <w:pStyle w:val="Lega"/>
        <w:rPr>
          <w:i/>
          <w:lang w:val="es-ES"/>
        </w:rPr>
      </w:pPr>
      <w:r w:rsidRPr="006463B8">
        <w:rPr>
          <w:lang w:val="es-ES"/>
        </w:rPr>
        <w:t>a)</w:t>
      </w:r>
      <w:r w:rsidR="00A115E5">
        <w:rPr>
          <w:lang w:val="es-ES"/>
        </w:rPr>
        <w:t xml:space="preserve"> </w:t>
      </w:r>
      <w:r w:rsidR="0017230E" w:rsidRPr="006463B8">
        <w:rPr>
          <w:lang w:val="es-ES"/>
        </w:rPr>
        <w:t>a</w:t>
      </w:r>
      <w:r w:rsidR="00A115E5">
        <w:rPr>
          <w:lang w:val="es-ES"/>
        </w:rPr>
        <w:t xml:space="preserve"> </w:t>
      </w:r>
      <w:r w:rsidRPr="006463B8">
        <w:rPr>
          <w:lang w:val="es-ES"/>
        </w:rPr>
        <w:t>c)</w:t>
      </w:r>
      <w:r w:rsidR="0022129A">
        <w:rPr>
          <w:lang w:val="es-ES"/>
        </w:rPr>
        <w:t xml:space="preserve"> </w:t>
      </w:r>
      <w:r w:rsidRPr="006463B8">
        <w:rPr>
          <w:i/>
          <w:lang w:val="es-ES"/>
        </w:rPr>
        <w:t>[</w:t>
      </w:r>
      <w:r w:rsidR="0017230E" w:rsidRPr="006463B8">
        <w:rPr>
          <w:i/>
          <w:lang w:val="es-ES"/>
        </w:rPr>
        <w:t>sin cambios</w:t>
      </w:r>
      <w:r w:rsidRPr="006463B8">
        <w:rPr>
          <w:i/>
          <w:lang w:val="es-ES"/>
        </w:rPr>
        <w:t>]</w:t>
      </w:r>
    </w:p>
    <w:p w:rsidR="003F1EFB" w:rsidRPr="006463B8" w:rsidRDefault="003F1EFB" w:rsidP="003F1EFB">
      <w:pPr>
        <w:pStyle w:val="LegSubRule"/>
        <w:rPr>
          <w:i/>
          <w:color w:val="180DF7"/>
          <w:u w:val="single"/>
          <w:lang w:val="es-ES"/>
        </w:rPr>
      </w:pPr>
      <w:bookmarkStart w:id="9" w:name="_Toc9928938"/>
      <w:r w:rsidRPr="006463B8">
        <w:rPr>
          <w:color w:val="180DF7"/>
          <w:u w:val="single"/>
          <w:lang w:val="es-ES"/>
        </w:rPr>
        <w:t>82</w:t>
      </w:r>
      <w:r w:rsidRPr="006463B8">
        <w:rPr>
          <w:i/>
          <w:color w:val="180DF7"/>
          <w:u w:val="single"/>
          <w:lang w:val="es-ES"/>
        </w:rPr>
        <w:t>quater</w:t>
      </w:r>
      <w:r w:rsidRPr="006463B8">
        <w:rPr>
          <w:color w:val="180DF7"/>
          <w:u w:val="single"/>
          <w:lang w:val="es-ES"/>
        </w:rPr>
        <w:t>.</w:t>
      </w:r>
      <w:r w:rsidRPr="006463B8">
        <w:rPr>
          <w:i/>
          <w:color w:val="180DF7"/>
          <w:u w:val="single"/>
          <w:lang w:val="es-ES"/>
        </w:rPr>
        <w:t>2</w:t>
      </w:r>
      <w:r w:rsidR="0022129A">
        <w:rPr>
          <w:i/>
          <w:color w:val="180DF7"/>
          <w:u w:val="single"/>
          <w:lang w:val="es-ES"/>
        </w:rPr>
        <w:t xml:space="preserve"> </w:t>
      </w:r>
      <w:r w:rsidR="00855CBC" w:rsidRPr="006463B8">
        <w:rPr>
          <w:i/>
          <w:color w:val="180DF7"/>
          <w:u w:val="single"/>
          <w:lang w:val="es-ES"/>
        </w:rPr>
        <w:t xml:space="preserve">Indisponibilidad de los servicios de </w:t>
      </w:r>
      <w:r w:rsidR="00983F1F" w:rsidRPr="006463B8">
        <w:rPr>
          <w:i/>
          <w:color w:val="180DF7"/>
          <w:u w:val="single"/>
          <w:lang w:val="es-ES"/>
        </w:rPr>
        <w:t>comunicación electrónica en la Oficina</w:t>
      </w:r>
      <w:bookmarkEnd w:id="9"/>
      <w:r w:rsidR="00983F1F" w:rsidRPr="006463B8">
        <w:rPr>
          <w:color w:val="180DF7"/>
          <w:u w:val="single"/>
          <w:lang w:val="es-ES"/>
        </w:rPr>
        <w:t xml:space="preserve"> </w:t>
      </w:r>
    </w:p>
    <w:p w:rsidR="003F1EFB" w:rsidRPr="006463B8" w:rsidRDefault="003F1EFB" w:rsidP="003F1EFB">
      <w:pPr>
        <w:pStyle w:val="Lega"/>
        <w:tabs>
          <w:tab w:val="left" w:pos="284"/>
        </w:tabs>
        <w:ind w:left="0"/>
        <w:rPr>
          <w:lang w:val="es-ES"/>
        </w:rPr>
      </w:pPr>
      <w:r w:rsidRPr="006463B8">
        <w:rPr>
          <w:rStyle w:val="LegInsertedText"/>
          <w:u w:val="none"/>
          <w:lang w:val="es-ES"/>
        </w:rPr>
        <w:tab/>
      </w:r>
      <w:r w:rsidRPr="006463B8">
        <w:rPr>
          <w:rStyle w:val="LegInsertedText"/>
          <w:lang w:val="es-ES"/>
        </w:rPr>
        <w:t>a)</w:t>
      </w:r>
      <w:r w:rsidR="0022129A">
        <w:rPr>
          <w:rStyle w:val="LegInsertedText"/>
          <w:lang w:val="es-ES"/>
        </w:rPr>
        <w:t xml:space="preserve"> </w:t>
      </w:r>
      <w:r w:rsidR="00983F1F" w:rsidRPr="006463B8">
        <w:rPr>
          <w:rStyle w:val="LegInsertedText"/>
          <w:lang w:val="es-ES"/>
        </w:rPr>
        <w:t>Cualquier Oficina nacional u organización intergubernamental podrá establecer que, cuando un plazo fijado en el presente Reglamento para realizar un acto ante una Oficina u organización no</w:t>
      </w:r>
      <w:r w:rsidR="005379E1" w:rsidRPr="006463B8">
        <w:rPr>
          <w:rStyle w:val="LegInsertedText"/>
          <w:lang w:val="es-ES"/>
        </w:rPr>
        <w:t xml:space="preserve"> haya sido cumplido debido a la indisponibilidad de cualquiera de los servicios de comunicación electrónica admitidos por esa Oficina u organización, se excusará el retraso en el cumplimiento del plazo, siempre y cuando el acto en cuestión haya sido realizado el primer día laborable siguiente en que estén disponibles todos los medios de comunicación electrónica. La indisponibilidad podrá deberse a un mantenimiento programado, una interrupción imprevista del servicio, u otros motivos semejantes. La Oficina u organización afectada </w:t>
      </w:r>
      <w:r w:rsidR="00A452BF" w:rsidRPr="006463B8">
        <w:rPr>
          <w:rStyle w:val="LegInsertedText"/>
          <w:lang w:val="es-ES"/>
        </w:rPr>
        <w:t xml:space="preserve">publicará información sobre la indisponibilidad, con indicación de su </w:t>
      </w:r>
      <w:r w:rsidR="00AE68B7">
        <w:rPr>
          <w:rStyle w:val="LegInsertedText"/>
          <w:lang w:val="es-ES"/>
        </w:rPr>
        <w:t>período</w:t>
      </w:r>
      <w:r w:rsidR="00A452BF" w:rsidRPr="006463B8">
        <w:rPr>
          <w:rStyle w:val="LegInsertedText"/>
          <w:lang w:val="es-ES"/>
        </w:rPr>
        <w:t xml:space="preserve"> de duración, y comunicará </w:t>
      </w:r>
      <w:r w:rsidR="005355B7" w:rsidRPr="006463B8">
        <w:rPr>
          <w:rStyle w:val="LegInsertedText"/>
          <w:lang w:val="es-ES"/>
        </w:rPr>
        <w:t xml:space="preserve">dicha información </w:t>
      </w:r>
      <w:r w:rsidR="00A452BF" w:rsidRPr="006463B8">
        <w:rPr>
          <w:rStyle w:val="LegInsertedText"/>
          <w:lang w:val="es-ES"/>
        </w:rPr>
        <w:t>a la Oficina Internacional</w:t>
      </w:r>
      <w:r w:rsidRPr="006463B8">
        <w:rPr>
          <w:rStyle w:val="LegInsertedText"/>
          <w:lang w:val="es-ES"/>
        </w:rPr>
        <w:t>.</w:t>
      </w:r>
    </w:p>
    <w:p w:rsidR="003F1EFB" w:rsidRPr="006463B8" w:rsidRDefault="003F1EFB" w:rsidP="003F1EFB">
      <w:pPr>
        <w:pStyle w:val="Lega"/>
        <w:tabs>
          <w:tab w:val="left" w:pos="284"/>
        </w:tabs>
        <w:ind w:left="0"/>
        <w:rPr>
          <w:lang w:val="es-ES"/>
        </w:rPr>
      </w:pPr>
      <w:r w:rsidRPr="006463B8">
        <w:rPr>
          <w:rStyle w:val="LegInsertedText"/>
          <w:u w:val="none"/>
          <w:lang w:val="es-ES"/>
        </w:rPr>
        <w:tab/>
      </w:r>
      <w:r w:rsidRPr="006463B8">
        <w:rPr>
          <w:rStyle w:val="LegInsertedText"/>
          <w:lang w:val="es-ES"/>
        </w:rPr>
        <w:t>b)</w:t>
      </w:r>
      <w:r w:rsidR="0022129A">
        <w:rPr>
          <w:rStyle w:val="LegInsertedText"/>
          <w:lang w:val="es-ES"/>
        </w:rPr>
        <w:t xml:space="preserve"> </w:t>
      </w:r>
      <w:r w:rsidR="000544A6" w:rsidRPr="006463B8">
        <w:rPr>
          <w:rStyle w:val="LegInsertedText"/>
          <w:lang w:val="es-ES"/>
        </w:rPr>
        <w:t xml:space="preserve">La excusa de un retraso en el cumplimiento de un plazo de acuerdo con lo dispuesto en el párrafo </w:t>
      </w:r>
      <w:r w:rsidRPr="006463B8">
        <w:rPr>
          <w:rStyle w:val="LegInsertedText"/>
          <w:lang w:val="es-ES"/>
        </w:rPr>
        <w:t xml:space="preserve">a) </w:t>
      </w:r>
      <w:r w:rsidR="00FA4BFD" w:rsidRPr="006463B8">
        <w:rPr>
          <w:rStyle w:val="LegInsertedText"/>
          <w:lang w:val="es-ES"/>
        </w:rPr>
        <w:t xml:space="preserve">no se tomará en consideración por cualquier Oficina designada o elegida ante la cual el solicitante, en el momento en que </w:t>
      </w:r>
      <w:r w:rsidR="00B71FBB" w:rsidRPr="006463B8">
        <w:rPr>
          <w:rStyle w:val="LegInsertedText"/>
          <w:lang w:val="es-ES"/>
        </w:rPr>
        <w:t xml:space="preserve">se publique </w:t>
      </w:r>
      <w:r w:rsidR="00FA4BFD" w:rsidRPr="006463B8">
        <w:rPr>
          <w:rStyle w:val="LegInsertedText"/>
          <w:lang w:val="es-ES"/>
        </w:rPr>
        <w:t xml:space="preserve">la información mencionada en el párrafo </w:t>
      </w:r>
      <w:r w:rsidRPr="006463B8">
        <w:rPr>
          <w:rStyle w:val="LegInsertedText"/>
          <w:lang w:val="es-ES"/>
        </w:rPr>
        <w:t xml:space="preserve">a), </w:t>
      </w:r>
      <w:r w:rsidR="00FA4BFD" w:rsidRPr="006463B8">
        <w:rPr>
          <w:rStyle w:val="LegInsertedText"/>
          <w:lang w:val="es-ES"/>
        </w:rPr>
        <w:t>ya haya realizado los actos mencionados en el Art</w:t>
      </w:r>
      <w:r w:rsidR="00B71FBB" w:rsidRPr="006463B8">
        <w:rPr>
          <w:rStyle w:val="LegInsertedText"/>
          <w:lang w:val="es-ES"/>
        </w:rPr>
        <w:t>ículo</w:t>
      </w:r>
      <w:r w:rsidR="00FA4BFD" w:rsidRPr="006463B8">
        <w:rPr>
          <w:rStyle w:val="LegInsertedText"/>
          <w:lang w:val="es-ES"/>
        </w:rPr>
        <w:t xml:space="preserve"> </w:t>
      </w:r>
      <w:r w:rsidRPr="006463B8">
        <w:rPr>
          <w:rStyle w:val="LegInsertedText"/>
          <w:lang w:val="es-ES"/>
        </w:rPr>
        <w:t>22 o</w:t>
      </w:r>
      <w:r w:rsidR="00B71FBB" w:rsidRPr="006463B8">
        <w:rPr>
          <w:rStyle w:val="LegInsertedText"/>
          <w:lang w:val="es-ES"/>
        </w:rPr>
        <w:t xml:space="preserve"> en el </w:t>
      </w:r>
      <w:r w:rsidRPr="006463B8">
        <w:rPr>
          <w:rStyle w:val="LegInsertedText"/>
          <w:lang w:val="es-ES"/>
        </w:rPr>
        <w:t>Art</w:t>
      </w:r>
      <w:r w:rsidR="00B71FBB" w:rsidRPr="006463B8">
        <w:rPr>
          <w:rStyle w:val="LegInsertedText"/>
          <w:lang w:val="es-ES"/>
        </w:rPr>
        <w:t xml:space="preserve">ículo </w:t>
      </w:r>
      <w:r w:rsidRPr="006463B8">
        <w:rPr>
          <w:rStyle w:val="LegInsertedText"/>
          <w:lang w:val="es-ES"/>
        </w:rPr>
        <w:t>39.</w:t>
      </w:r>
    </w:p>
    <w:p w:rsidR="003F1EFB" w:rsidRPr="006463B8" w:rsidRDefault="003F1EFB" w:rsidP="003F1EFB">
      <w:pPr>
        <w:pStyle w:val="Lega"/>
        <w:rPr>
          <w:lang w:val="es-ES"/>
        </w:rPr>
      </w:pPr>
    </w:p>
    <w:p w:rsidR="003F1EFB" w:rsidRPr="006463B8" w:rsidRDefault="003F1EFB" w:rsidP="003F1EFB">
      <w:pPr>
        <w:pStyle w:val="Endofdocument-Annex"/>
        <w:rPr>
          <w:lang w:val="es-ES"/>
        </w:rPr>
      </w:pPr>
      <w:r w:rsidRPr="006463B8">
        <w:rPr>
          <w:lang w:val="es-ES"/>
        </w:rPr>
        <w:t>[</w:t>
      </w:r>
      <w:r w:rsidR="00551903" w:rsidRPr="006463B8">
        <w:rPr>
          <w:lang w:val="es-ES"/>
        </w:rPr>
        <w:t xml:space="preserve">Fin del Anexo y del </w:t>
      </w:r>
      <w:r w:rsidR="00DC5C60">
        <w:rPr>
          <w:lang w:val="es-ES"/>
        </w:rPr>
        <w:t>d</w:t>
      </w:r>
      <w:r w:rsidR="00551903" w:rsidRPr="006463B8">
        <w:rPr>
          <w:lang w:val="es-ES"/>
        </w:rPr>
        <w:t>ocumento</w:t>
      </w:r>
      <w:r w:rsidRPr="006463B8">
        <w:rPr>
          <w:lang w:val="es-ES"/>
        </w:rPr>
        <w:t>]</w:t>
      </w:r>
    </w:p>
    <w:p w:rsidR="003F1EFB" w:rsidRPr="00A115E5" w:rsidRDefault="003F1EFB" w:rsidP="003F1EFB">
      <w:pPr>
        <w:pStyle w:val="Endofdocument-Annex"/>
        <w:rPr>
          <w:lang w:val="es-ES"/>
        </w:rPr>
      </w:pPr>
      <w:bookmarkStart w:id="10" w:name="_GoBack"/>
      <w:bookmarkEnd w:id="10"/>
    </w:p>
    <w:sectPr w:rsidR="003F1EFB" w:rsidRPr="00A115E5" w:rsidSect="003F1EFB">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E61" w:rsidRDefault="00232E61">
      <w:r>
        <w:separator/>
      </w:r>
    </w:p>
  </w:endnote>
  <w:endnote w:type="continuationSeparator" w:id="0">
    <w:p w:rsidR="00232E61" w:rsidRDefault="00232E61" w:rsidP="003B38C1">
      <w:r>
        <w:separator/>
      </w:r>
    </w:p>
    <w:p w:rsidR="00232E61" w:rsidRPr="003B38C1" w:rsidRDefault="00232E61" w:rsidP="003B38C1">
      <w:pPr>
        <w:spacing w:after="60"/>
        <w:rPr>
          <w:sz w:val="17"/>
        </w:rPr>
      </w:pPr>
      <w:r>
        <w:rPr>
          <w:sz w:val="17"/>
        </w:rPr>
        <w:t>[Endnote continued from previous page]</w:t>
      </w:r>
    </w:p>
  </w:endnote>
  <w:endnote w:type="continuationNotice" w:id="1">
    <w:p w:rsidR="00232E61" w:rsidRPr="003B38C1" w:rsidRDefault="00232E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E61" w:rsidRDefault="00232E61">
      <w:r>
        <w:separator/>
      </w:r>
    </w:p>
  </w:footnote>
  <w:footnote w:type="continuationSeparator" w:id="0">
    <w:p w:rsidR="00232E61" w:rsidRDefault="00232E61" w:rsidP="008B60B2">
      <w:r>
        <w:separator/>
      </w:r>
    </w:p>
    <w:p w:rsidR="00232E61" w:rsidRPr="00ED77FB" w:rsidRDefault="00232E61" w:rsidP="008B60B2">
      <w:pPr>
        <w:spacing w:after="60"/>
        <w:rPr>
          <w:sz w:val="17"/>
          <w:szCs w:val="17"/>
        </w:rPr>
      </w:pPr>
      <w:r w:rsidRPr="00ED77FB">
        <w:rPr>
          <w:sz w:val="17"/>
          <w:szCs w:val="17"/>
        </w:rPr>
        <w:t>[Footnote continued from previous page]</w:t>
      </w:r>
    </w:p>
  </w:footnote>
  <w:footnote w:type="continuationNotice" w:id="1">
    <w:p w:rsidR="00232E61" w:rsidRPr="00ED77FB" w:rsidRDefault="00232E61" w:rsidP="008B60B2">
      <w:pPr>
        <w:spacing w:before="60"/>
        <w:jc w:val="right"/>
        <w:rPr>
          <w:sz w:val="17"/>
          <w:szCs w:val="17"/>
        </w:rPr>
      </w:pPr>
      <w:r w:rsidRPr="00ED77FB">
        <w:rPr>
          <w:sz w:val="17"/>
          <w:szCs w:val="17"/>
        </w:rPr>
        <w:t>[Footnote continued on next page]</w:t>
      </w:r>
    </w:p>
  </w:footnote>
  <w:footnote w:id="2">
    <w:p w:rsidR="003F1EFB" w:rsidRPr="009D41F9" w:rsidRDefault="003F1EFB" w:rsidP="003F1EFB">
      <w:pPr>
        <w:pStyle w:val="FootnoteText"/>
        <w:rPr>
          <w:lang w:val="es-ES"/>
        </w:rPr>
      </w:pPr>
      <w:r>
        <w:rPr>
          <w:rStyle w:val="FootnoteReference"/>
        </w:rPr>
        <w:footnoteRef/>
      </w:r>
      <w:r w:rsidRPr="00A115E5">
        <w:rPr>
          <w:lang w:val="es-ES"/>
        </w:rPr>
        <w:t xml:space="preserve"> </w:t>
      </w:r>
      <w:r w:rsidRPr="00A115E5">
        <w:rPr>
          <w:lang w:val="es-ES"/>
        </w:rPr>
        <w:tab/>
      </w:r>
      <w:r w:rsidR="009D41F9" w:rsidRPr="009D41F9">
        <w:rPr>
          <w:lang w:val="es-ES"/>
        </w:rPr>
        <w:t xml:space="preserve">Véase el Boletín del </w:t>
      </w:r>
      <w:r w:rsidRPr="009D41F9">
        <w:rPr>
          <w:lang w:val="es-ES"/>
        </w:rPr>
        <w:t xml:space="preserve">PCT </w:t>
      </w:r>
      <w:r w:rsidR="009D41F9">
        <w:rPr>
          <w:lang w:val="es-ES"/>
        </w:rPr>
        <w:t xml:space="preserve">núm. </w:t>
      </w:r>
      <w:r w:rsidRPr="009D41F9">
        <w:rPr>
          <w:lang w:val="es-ES"/>
        </w:rPr>
        <w:t xml:space="preserve">09/2018, </w:t>
      </w:r>
      <w:r w:rsidR="009D41F9">
        <w:rPr>
          <w:lang w:val="es-ES"/>
        </w:rPr>
        <w:t>disponible en el sitio web de la OMPI:</w:t>
      </w:r>
      <w:r w:rsidRPr="009D41F9">
        <w:rPr>
          <w:lang w:val="es-ES"/>
        </w:rPr>
        <w:t xml:space="preserve"> </w:t>
      </w:r>
      <w:hyperlink r:id="rId1" w:history="1">
        <w:r w:rsidRPr="009D41F9">
          <w:rPr>
            <w:rStyle w:val="Hyperlink"/>
            <w:color w:val="auto"/>
            <w:u w:val="none"/>
            <w:lang w:val="es-ES"/>
          </w:rPr>
          <w:t>https://www.wipo.int/edocs/pctndocs/en/2018/pct_news_2018_9.pdf</w:t>
        </w:r>
      </w:hyperlink>
      <w:r w:rsidRPr="009D41F9">
        <w:rPr>
          <w:lang w:val="es-ES"/>
        </w:rPr>
        <w:t xml:space="preserve">. </w:t>
      </w:r>
    </w:p>
  </w:footnote>
  <w:footnote w:id="3">
    <w:p w:rsidR="003F1EFB" w:rsidRPr="00A115E5" w:rsidRDefault="003F1EFB" w:rsidP="003F1EFB">
      <w:pPr>
        <w:pStyle w:val="FootnoteText"/>
        <w:rPr>
          <w:lang w:val="es-ES"/>
        </w:rPr>
      </w:pPr>
      <w:r>
        <w:rPr>
          <w:rStyle w:val="FootnoteReference"/>
        </w:rPr>
        <w:footnoteRef/>
      </w:r>
      <w:r w:rsidRPr="00A115E5">
        <w:rPr>
          <w:lang w:val="es-ES"/>
        </w:rPr>
        <w:t xml:space="preserve"> </w:t>
      </w:r>
      <w:r w:rsidRPr="00A115E5">
        <w:rPr>
          <w:lang w:val="es-ES"/>
        </w:rPr>
        <w:tab/>
      </w:r>
      <w:r w:rsidR="0017230E" w:rsidRPr="0017230E">
        <w:rPr>
          <w:lang w:val="es-ES"/>
        </w:rPr>
        <w:t>El texto que se propone añadir aparece subrayado, mientras que el que se propone suprimir aparece tachado</w:t>
      </w:r>
      <w:r w:rsidRPr="0017230E">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17E6A" w:rsidP="00477D6B">
    <w:pPr>
      <w:jc w:val="right"/>
    </w:pPr>
    <w:bookmarkStart w:id="6" w:name="Code2"/>
    <w:bookmarkEnd w:id="6"/>
    <w:r>
      <w:t>PCT/WG/12/17</w:t>
    </w:r>
  </w:p>
  <w:p w:rsidR="00EC4E49" w:rsidRPr="006463B8" w:rsidRDefault="006463B8" w:rsidP="00477D6B">
    <w:pPr>
      <w:jc w:val="right"/>
      <w:rPr>
        <w:lang w:val="es-ES"/>
      </w:rPr>
    </w:pPr>
    <w:r w:rsidRPr="006463B8">
      <w:rPr>
        <w:lang w:val="es-ES"/>
      </w:rPr>
      <w:t>página</w:t>
    </w:r>
    <w:r w:rsidR="00EC4E49" w:rsidRPr="006463B8">
      <w:rPr>
        <w:lang w:val="es-ES"/>
      </w:rPr>
      <w:t xml:space="preserve"> </w:t>
    </w:r>
    <w:r w:rsidR="00EC4E49" w:rsidRPr="006463B8">
      <w:rPr>
        <w:lang w:val="es-ES"/>
      </w:rPr>
      <w:fldChar w:fldCharType="begin"/>
    </w:r>
    <w:r w:rsidR="00EC4E49" w:rsidRPr="006463B8">
      <w:rPr>
        <w:lang w:val="es-ES"/>
      </w:rPr>
      <w:instrText xml:space="preserve"> PAGE  \* MERGEFORMAT </w:instrText>
    </w:r>
    <w:r w:rsidR="00EC4E49" w:rsidRPr="006463B8">
      <w:rPr>
        <w:lang w:val="es-ES"/>
      </w:rPr>
      <w:fldChar w:fldCharType="separate"/>
    </w:r>
    <w:r w:rsidR="00903799">
      <w:rPr>
        <w:noProof/>
        <w:lang w:val="es-ES"/>
      </w:rPr>
      <w:t>4</w:t>
    </w:r>
    <w:r w:rsidR="00EC4E49" w:rsidRPr="006463B8">
      <w:rPr>
        <w:lang w:val="es-ES"/>
      </w:rP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FB" w:rsidRDefault="003F1EFB" w:rsidP="00477D6B">
    <w:pPr>
      <w:jc w:val="right"/>
    </w:pPr>
    <w:r>
      <w:t>PCT/WG/12/17</w:t>
    </w:r>
  </w:p>
  <w:p w:rsidR="003F1EFB" w:rsidRPr="0017230E" w:rsidRDefault="003F1EFB" w:rsidP="00477D6B">
    <w:pPr>
      <w:jc w:val="right"/>
      <w:rPr>
        <w:lang w:val="es-ES"/>
      </w:rPr>
    </w:pPr>
    <w:r w:rsidRPr="0017230E">
      <w:rPr>
        <w:lang w:val="es-ES"/>
      </w:rPr>
      <w:t>Anex</w:t>
    </w:r>
    <w:r w:rsidR="0017230E" w:rsidRPr="0017230E">
      <w:rPr>
        <w:lang w:val="es-ES"/>
      </w:rPr>
      <w:t>o</w:t>
    </w:r>
    <w:r w:rsidRPr="0017230E">
      <w:rPr>
        <w:lang w:val="es-ES"/>
      </w:rPr>
      <w:t>, p</w:t>
    </w:r>
    <w:r w:rsidR="0017230E" w:rsidRPr="0017230E">
      <w:rPr>
        <w:lang w:val="es-ES"/>
      </w:rPr>
      <w:t>ágina</w:t>
    </w:r>
    <w:r w:rsidRPr="0017230E">
      <w:rPr>
        <w:lang w:val="es-ES"/>
      </w:rPr>
      <w:t xml:space="preserve"> </w:t>
    </w:r>
    <w:r w:rsidRPr="0017230E">
      <w:rPr>
        <w:lang w:val="es-ES"/>
      </w:rPr>
      <w:fldChar w:fldCharType="begin"/>
    </w:r>
    <w:r w:rsidRPr="0017230E">
      <w:rPr>
        <w:lang w:val="es-ES"/>
      </w:rPr>
      <w:instrText xml:space="preserve"> PAGE  \* MERGEFORMAT </w:instrText>
    </w:r>
    <w:r w:rsidRPr="0017230E">
      <w:rPr>
        <w:lang w:val="es-ES"/>
      </w:rPr>
      <w:fldChar w:fldCharType="separate"/>
    </w:r>
    <w:r w:rsidR="00903799">
      <w:rPr>
        <w:noProof/>
        <w:lang w:val="es-ES"/>
      </w:rPr>
      <w:t>2</w:t>
    </w:r>
    <w:r w:rsidRPr="0017230E">
      <w:rPr>
        <w:lang w:val="es-ES"/>
      </w:rPr>
      <w:fldChar w:fldCharType="end"/>
    </w:r>
  </w:p>
  <w:p w:rsidR="003F1EFB" w:rsidRDefault="003F1EFB" w:rsidP="00477D6B">
    <w:pPr>
      <w:jc w:val="right"/>
    </w:pPr>
  </w:p>
  <w:p w:rsidR="003F1EFB" w:rsidRDefault="003F1EF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FB" w:rsidRDefault="003F1EFB" w:rsidP="003F1EFB">
    <w:pPr>
      <w:pStyle w:val="Header"/>
      <w:jc w:val="right"/>
    </w:pPr>
    <w:r>
      <w:t>PCT/WG/12/17</w:t>
    </w:r>
  </w:p>
  <w:p w:rsidR="003F1EFB" w:rsidRDefault="00284FB1" w:rsidP="003F1EFB">
    <w:pPr>
      <w:pStyle w:val="Header"/>
      <w:jc w:val="right"/>
    </w:pPr>
    <w:r>
      <w:t>A</w:t>
    </w:r>
    <w:r w:rsidR="003F1EFB">
      <w:t>NEX</w:t>
    </w:r>
    <w:r>
      <w:t>O</w:t>
    </w:r>
  </w:p>
  <w:p w:rsidR="003F1EFB" w:rsidRDefault="003F1EFB">
    <w:pPr>
      <w:pStyle w:val="Header"/>
    </w:pPr>
  </w:p>
  <w:p w:rsidR="003F1EFB" w:rsidRDefault="003F1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6A"/>
    <w:rsid w:val="00011FD9"/>
    <w:rsid w:val="00014D92"/>
    <w:rsid w:val="00043CAA"/>
    <w:rsid w:val="000544A6"/>
    <w:rsid w:val="00075432"/>
    <w:rsid w:val="0007666F"/>
    <w:rsid w:val="00096721"/>
    <w:rsid w:val="000968ED"/>
    <w:rsid w:val="000A04AD"/>
    <w:rsid w:val="000C54E4"/>
    <w:rsid w:val="000C6CD0"/>
    <w:rsid w:val="000F5E56"/>
    <w:rsid w:val="001063DA"/>
    <w:rsid w:val="001362EE"/>
    <w:rsid w:val="001647D5"/>
    <w:rsid w:val="0017230E"/>
    <w:rsid w:val="001832A6"/>
    <w:rsid w:val="001B796B"/>
    <w:rsid w:val="0021217E"/>
    <w:rsid w:val="0022129A"/>
    <w:rsid w:val="00232E61"/>
    <w:rsid w:val="00255751"/>
    <w:rsid w:val="002634C4"/>
    <w:rsid w:val="002843A9"/>
    <w:rsid w:val="00284FB1"/>
    <w:rsid w:val="00287657"/>
    <w:rsid w:val="002928D3"/>
    <w:rsid w:val="002F1FE6"/>
    <w:rsid w:val="002F4E68"/>
    <w:rsid w:val="00302A02"/>
    <w:rsid w:val="00312F7F"/>
    <w:rsid w:val="0033043D"/>
    <w:rsid w:val="00351033"/>
    <w:rsid w:val="00361450"/>
    <w:rsid w:val="003673CF"/>
    <w:rsid w:val="00372DC9"/>
    <w:rsid w:val="003845C1"/>
    <w:rsid w:val="00386D1A"/>
    <w:rsid w:val="003A6F89"/>
    <w:rsid w:val="003B38C1"/>
    <w:rsid w:val="003B5EC9"/>
    <w:rsid w:val="003D5922"/>
    <w:rsid w:val="003F1EFB"/>
    <w:rsid w:val="00423E3E"/>
    <w:rsid w:val="00427AF4"/>
    <w:rsid w:val="00461CD1"/>
    <w:rsid w:val="004647DA"/>
    <w:rsid w:val="00474062"/>
    <w:rsid w:val="00477D6B"/>
    <w:rsid w:val="00482C97"/>
    <w:rsid w:val="004A51CD"/>
    <w:rsid w:val="004C5B2D"/>
    <w:rsid w:val="005019FF"/>
    <w:rsid w:val="00512AFD"/>
    <w:rsid w:val="0053057A"/>
    <w:rsid w:val="00534BC9"/>
    <w:rsid w:val="005355B7"/>
    <w:rsid w:val="005379E1"/>
    <w:rsid w:val="005413A7"/>
    <w:rsid w:val="00551903"/>
    <w:rsid w:val="00560A29"/>
    <w:rsid w:val="0056323D"/>
    <w:rsid w:val="005A2D98"/>
    <w:rsid w:val="005C6649"/>
    <w:rsid w:val="005D43D5"/>
    <w:rsid w:val="005F65D7"/>
    <w:rsid w:val="00605827"/>
    <w:rsid w:val="00646050"/>
    <w:rsid w:val="006463B8"/>
    <w:rsid w:val="006713CA"/>
    <w:rsid w:val="00676C5C"/>
    <w:rsid w:val="00690BD6"/>
    <w:rsid w:val="006A296A"/>
    <w:rsid w:val="00733C9B"/>
    <w:rsid w:val="00791FFB"/>
    <w:rsid w:val="007D1613"/>
    <w:rsid w:val="007D40A7"/>
    <w:rsid w:val="007E4C0E"/>
    <w:rsid w:val="008379D8"/>
    <w:rsid w:val="00855CBC"/>
    <w:rsid w:val="008732FB"/>
    <w:rsid w:val="0088014D"/>
    <w:rsid w:val="008A134B"/>
    <w:rsid w:val="008A4889"/>
    <w:rsid w:val="008B2CC1"/>
    <w:rsid w:val="008B60B2"/>
    <w:rsid w:val="008D6097"/>
    <w:rsid w:val="00903799"/>
    <w:rsid w:val="00904E0B"/>
    <w:rsid w:val="0090731E"/>
    <w:rsid w:val="00916EE2"/>
    <w:rsid w:val="00922FA9"/>
    <w:rsid w:val="0094409E"/>
    <w:rsid w:val="00966A22"/>
    <w:rsid w:val="0096722F"/>
    <w:rsid w:val="00980843"/>
    <w:rsid w:val="00983F1F"/>
    <w:rsid w:val="00991F7B"/>
    <w:rsid w:val="009B41BB"/>
    <w:rsid w:val="009B6EDB"/>
    <w:rsid w:val="009C5938"/>
    <w:rsid w:val="009D31A4"/>
    <w:rsid w:val="009D41F9"/>
    <w:rsid w:val="009E1482"/>
    <w:rsid w:val="009E2791"/>
    <w:rsid w:val="009E3F6F"/>
    <w:rsid w:val="009F499F"/>
    <w:rsid w:val="00A115E5"/>
    <w:rsid w:val="00A37342"/>
    <w:rsid w:val="00A42DAF"/>
    <w:rsid w:val="00A452BF"/>
    <w:rsid w:val="00A45BD8"/>
    <w:rsid w:val="00A64F50"/>
    <w:rsid w:val="00A869B7"/>
    <w:rsid w:val="00A9217E"/>
    <w:rsid w:val="00AC205C"/>
    <w:rsid w:val="00AE611B"/>
    <w:rsid w:val="00AE68B7"/>
    <w:rsid w:val="00AF0A6B"/>
    <w:rsid w:val="00B05A69"/>
    <w:rsid w:val="00B5540F"/>
    <w:rsid w:val="00B71FBB"/>
    <w:rsid w:val="00B9458E"/>
    <w:rsid w:val="00B9734B"/>
    <w:rsid w:val="00BA30E2"/>
    <w:rsid w:val="00BB647B"/>
    <w:rsid w:val="00BC33FB"/>
    <w:rsid w:val="00BD2142"/>
    <w:rsid w:val="00C117D7"/>
    <w:rsid w:val="00C11BFE"/>
    <w:rsid w:val="00C17E6A"/>
    <w:rsid w:val="00C5068F"/>
    <w:rsid w:val="00C52FCB"/>
    <w:rsid w:val="00C666B4"/>
    <w:rsid w:val="00C86D74"/>
    <w:rsid w:val="00CA5075"/>
    <w:rsid w:val="00CD04F1"/>
    <w:rsid w:val="00CD0850"/>
    <w:rsid w:val="00D14115"/>
    <w:rsid w:val="00D45252"/>
    <w:rsid w:val="00D71B4D"/>
    <w:rsid w:val="00D9022D"/>
    <w:rsid w:val="00D93D55"/>
    <w:rsid w:val="00DC5C60"/>
    <w:rsid w:val="00E15015"/>
    <w:rsid w:val="00E1778C"/>
    <w:rsid w:val="00E335FE"/>
    <w:rsid w:val="00EA7D6E"/>
    <w:rsid w:val="00EC4E49"/>
    <w:rsid w:val="00ED77FB"/>
    <w:rsid w:val="00EE45FA"/>
    <w:rsid w:val="00F108F1"/>
    <w:rsid w:val="00F37331"/>
    <w:rsid w:val="00F42B78"/>
    <w:rsid w:val="00F66152"/>
    <w:rsid w:val="00F67ECE"/>
    <w:rsid w:val="00F960DD"/>
    <w:rsid w:val="00FA4BFD"/>
    <w:rsid w:val="00FC3013"/>
    <w:rsid w:val="00FD3477"/>
    <w:rsid w:val="00FF21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1E59AB"/>
  <w15:docId w15:val="{1E1D06FD-A706-46F9-93AF-EE6A775B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FootnoteReference">
    <w:name w:val="footnote reference"/>
    <w:basedOn w:val="DefaultParagraphFont"/>
    <w:semiHidden/>
    <w:unhideWhenUsed/>
    <w:rsid w:val="003F1EFB"/>
    <w:rPr>
      <w:vertAlign w:val="superscript"/>
    </w:rPr>
  </w:style>
  <w:style w:type="character" w:styleId="Hyperlink">
    <w:name w:val="Hyperlink"/>
    <w:basedOn w:val="DefaultParagraphFont"/>
    <w:uiPriority w:val="99"/>
    <w:unhideWhenUsed/>
    <w:rsid w:val="003F1EFB"/>
    <w:rPr>
      <w:color w:val="0000FF" w:themeColor="hyperlink"/>
      <w:u w:val="single"/>
    </w:rPr>
  </w:style>
  <w:style w:type="character" w:customStyle="1" w:styleId="FootnoteTextChar">
    <w:name w:val="Footnote Text Char"/>
    <w:basedOn w:val="DefaultParagraphFont"/>
    <w:link w:val="FootnoteText"/>
    <w:semiHidden/>
    <w:rsid w:val="003F1EFB"/>
    <w:rPr>
      <w:rFonts w:ascii="Arial" w:eastAsia="SimSun" w:hAnsi="Arial" w:cs="Arial"/>
      <w:sz w:val="18"/>
      <w:lang w:val="en-US" w:eastAsia="zh-CN"/>
    </w:rPr>
  </w:style>
  <w:style w:type="paragraph" w:customStyle="1" w:styleId="LegTitle">
    <w:name w:val="Leg # Title"/>
    <w:basedOn w:val="Normal"/>
    <w:next w:val="Normal"/>
    <w:rsid w:val="003F1EFB"/>
    <w:pPr>
      <w:keepNext/>
      <w:keepLines/>
      <w:pageBreakBefore/>
      <w:snapToGrid w:val="0"/>
      <w:spacing w:before="240" w:line="480" w:lineRule="auto"/>
      <w:jc w:val="center"/>
    </w:pPr>
    <w:rPr>
      <w:rFonts w:eastAsia="Arial Unicode MS" w:cs="Times New Roman"/>
      <w:b/>
      <w:lang w:eastAsia="en-US"/>
    </w:rPr>
  </w:style>
  <w:style w:type="paragraph" w:customStyle="1" w:styleId="LegSubRule">
    <w:name w:val="Leg SubRule #"/>
    <w:basedOn w:val="Normal"/>
    <w:rsid w:val="003F1EFB"/>
    <w:pPr>
      <w:keepNext/>
      <w:keepLines/>
      <w:tabs>
        <w:tab w:val="left" w:pos="510"/>
      </w:tabs>
      <w:snapToGrid w:val="0"/>
      <w:spacing w:before="480" w:line="480" w:lineRule="auto"/>
      <w:ind w:left="533" w:hanging="533"/>
    </w:pPr>
    <w:rPr>
      <w:rFonts w:eastAsia="Arial Unicode MS" w:cs="Times New Roman"/>
      <w:lang w:eastAsia="en-US"/>
    </w:rPr>
  </w:style>
  <w:style w:type="character" w:customStyle="1" w:styleId="LegaChar">
    <w:name w:val="Leg (a) Char"/>
    <w:basedOn w:val="DefaultParagraphFont"/>
    <w:link w:val="Lega"/>
    <w:locked/>
    <w:rsid w:val="003F1EFB"/>
    <w:rPr>
      <w:rFonts w:ascii="Arial" w:hAnsi="Arial" w:cs="Arial"/>
      <w:sz w:val="22"/>
      <w:lang w:val="en-US" w:eastAsia="en-US"/>
    </w:rPr>
  </w:style>
  <w:style w:type="paragraph" w:customStyle="1" w:styleId="Lega">
    <w:name w:val="Leg (a)"/>
    <w:basedOn w:val="Normal"/>
    <w:link w:val="LegaChar"/>
    <w:rsid w:val="003F1EFB"/>
    <w:pPr>
      <w:tabs>
        <w:tab w:val="left" w:pos="454"/>
      </w:tabs>
      <w:snapToGrid w:val="0"/>
      <w:spacing w:before="240" w:after="240" w:line="480" w:lineRule="auto"/>
      <w:ind w:left="284"/>
    </w:pPr>
    <w:rPr>
      <w:rFonts w:eastAsia="Times New Roman"/>
      <w:lang w:eastAsia="en-US"/>
    </w:rPr>
  </w:style>
  <w:style w:type="character" w:customStyle="1" w:styleId="LegInsertedText">
    <w:name w:val="LegInsertedText"/>
    <w:basedOn w:val="DefaultParagraphFont"/>
    <w:rsid w:val="003F1EFB"/>
    <w:rPr>
      <w:color w:val="0000FF"/>
      <w:u w:val="single"/>
    </w:rPr>
  </w:style>
  <w:style w:type="paragraph" w:styleId="TOC1">
    <w:name w:val="toc 1"/>
    <w:basedOn w:val="Normal"/>
    <w:next w:val="Normal"/>
    <w:autoRedefine/>
    <w:uiPriority w:val="39"/>
    <w:unhideWhenUsed/>
    <w:qFormat/>
    <w:rsid w:val="003F1EFB"/>
    <w:pPr>
      <w:tabs>
        <w:tab w:val="right" w:leader="dot" w:pos="9345"/>
      </w:tabs>
      <w:spacing w:before="240" w:after="100"/>
    </w:pPr>
  </w:style>
  <w:style w:type="paragraph" w:styleId="TOC2">
    <w:name w:val="toc 2"/>
    <w:basedOn w:val="Normal"/>
    <w:next w:val="Normal"/>
    <w:autoRedefine/>
    <w:uiPriority w:val="39"/>
    <w:unhideWhenUsed/>
    <w:qFormat/>
    <w:rsid w:val="003F1EFB"/>
    <w:pPr>
      <w:tabs>
        <w:tab w:val="right" w:leader="dot" w:pos="9345"/>
      </w:tabs>
      <w:spacing w:after="100"/>
      <w:ind w:left="284" w:firstLine="227"/>
      <w:mirrorIndents/>
    </w:pPr>
    <w:rPr>
      <w:i/>
      <w:noProof/>
    </w:rPr>
  </w:style>
  <w:style w:type="character" w:styleId="FollowedHyperlink">
    <w:name w:val="FollowedHyperlink"/>
    <w:basedOn w:val="DefaultParagraphFont"/>
    <w:semiHidden/>
    <w:unhideWhenUsed/>
    <w:rsid w:val="009B4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pctndocs/en/2018/pct_news_2018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140B2-2049-4D5E-8ACD-FD20C6164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1900</Words>
  <Characters>10430</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PCT/WG/12/17</vt:lpstr>
      <vt:lpstr>PCT/WG/12/17</vt:lpstr>
    </vt:vector>
  </TitlesOfParts>
  <Company>WIPO</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PCT/WG/12/17</dc:title>
  <dc:creator>WIPO</dc:creator>
  <cp:keywords>PCT Regulations;Excuse of Delay;Electronic Communications</cp:keywords>
  <cp:lastModifiedBy>KONTA DE PALMA Livia</cp:lastModifiedBy>
  <cp:revision>3</cp:revision>
  <cp:lastPrinted>2019-05-27T19:56:00Z</cp:lastPrinted>
  <dcterms:created xsi:type="dcterms:W3CDTF">2019-05-28T13:12:00Z</dcterms:created>
  <dcterms:modified xsi:type="dcterms:W3CDTF">2019-05-28T13:12:00Z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