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504E5" w:rsidRPr="005F0ABE" w:rsidTr="0088395E">
        <w:tc>
          <w:tcPr>
            <w:tcW w:w="4513" w:type="dxa"/>
            <w:tcBorders>
              <w:bottom w:val="single" w:sz="4" w:space="0" w:color="auto"/>
            </w:tcBorders>
            <w:tcMar>
              <w:bottom w:w="170" w:type="dxa"/>
            </w:tcMar>
          </w:tcPr>
          <w:p w:rsidR="00E504E5" w:rsidRPr="005F0ABE" w:rsidRDefault="00E504E5" w:rsidP="00AB613D">
            <w:pPr>
              <w:rPr>
                <w:lang w:val="es-419"/>
              </w:rPr>
            </w:pPr>
            <w:bookmarkStart w:id="0" w:name="_GoBack"/>
            <w:bookmarkEnd w:id="0"/>
          </w:p>
        </w:tc>
        <w:tc>
          <w:tcPr>
            <w:tcW w:w="4337" w:type="dxa"/>
            <w:tcBorders>
              <w:bottom w:val="single" w:sz="4" w:space="0" w:color="auto"/>
            </w:tcBorders>
            <w:tcMar>
              <w:left w:w="0" w:type="dxa"/>
              <w:right w:w="0" w:type="dxa"/>
            </w:tcMar>
          </w:tcPr>
          <w:p w:rsidR="00E504E5" w:rsidRPr="005F0ABE" w:rsidRDefault="002C2E2F" w:rsidP="00AB613D">
            <w:pPr>
              <w:rPr>
                <w:lang w:val="es-419"/>
              </w:rPr>
            </w:pPr>
            <w:r w:rsidRPr="005F0ABE">
              <w:rPr>
                <w:noProof/>
                <w:lang w:val="en-GB" w:eastAsia="en-GB"/>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5F0ABE" w:rsidRDefault="00E504E5" w:rsidP="00AB613D">
            <w:pPr>
              <w:jc w:val="right"/>
              <w:rPr>
                <w:lang w:val="es-419"/>
              </w:rPr>
            </w:pPr>
            <w:r w:rsidRPr="005F0ABE">
              <w:rPr>
                <w:b/>
                <w:sz w:val="40"/>
                <w:szCs w:val="40"/>
                <w:lang w:val="es-419"/>
              </w:rPr>
              <w:t>S</w:t>
            </w:r>
          </w:p>
        </w:tc>
      </w:tr>
      <w:tr w:rsidR="008B2CC1" w:rsidRPr="005F0ABE"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5F0ABE" w:rsidRDefault="00F94081" w:rsidP="00DB575C">
            <w:pPr>
              <w:jc w:val="right"/>
              <w:rPr>
                <w:rFonts w:ascii="Arial Black" w:hAnsi="Arial Black"/>
                <w:caps/>
                <w:sz w:val="15"/>
                <w:lang w:val="es-419"/>
              </w:rPr>
            </w:pPr>
            <w:r w:rsidRPr="005F0ABE">
              <w:rPr>
                <w:rFonts w:ascii="Arial Black" w:hAnsi="Arial Black"/>
                <w:caps/>
                <w:sz w:val="15"/>
                <w:lang w:val="es-419"/>
              </w:rPr>
              <w:t>PCT/WG/1</w:t>
            </w:r>
            <w:r w:rsidR="00DB575C" w:rsidRPr="005F0ABE">
              <w:rPr>
                <w:rFonts w:ascii="Arial Black" w:hAnsi="Arial Black"/>
                <w:caps/>
                <w:sz w:val="15"/>
                <w:lang w:val="es-419"/>
              </w:rPr>
              <w:t>2</w:t>
            </w:r>
            <w:r w:rsidRPr="005F0ABE">
              <w:rPr>
                <w:rFonts w:ascii="Arial Black" w:hAnsi="Arial Black"/>
                <w:caps/>
                <w:sz w:val="15"/>
                <w:lang w:val="es-419"/>
              </w:rPr>
              <w:t>/</w:t>
            </w:r>
            <w:bookmarkStart w:id="1" w:name="Code"/>
            <w:bookmarkEnd w:id="1"/>
            <w:r w:rsidR="00C850D3" w:rsidRPr="005F0ABE">
              <w:rPr>
                <w:rFonts w:ascii="Arial Black" w:hAnsi="Arial Black"/>
                <w:caps/>
                <w:sz w:val="15"/>
                <w:lang w:val="es-419"/>
              </w:rPr>
              <w:t>19</w:t>
            </w:r>
          </w:p>
        </w:tc>
      </w:tr>
      <w:tr w:rsidR="008B2CC1" w:rsidRPr="005F0ABE" w:rsidTr="00AB613D">
        <w:trPr>
          <w:trHeight w:hRule="exact" w:val="170"/>
        </w:trPr>
        <w:tc>
          <w:tcPr>
            <w:tcW w:w="9356" w:type="dxa"/>
            <w:gridSpan w:val="3"/>
            <w:noWrap/>
            <w:tcMar>
              <w:left w:w="0" w:type="dxa"/>
              <w:right w:w="0" w:type="dxa"/>
            </w:tcMar>
            <w:vAlign w:val="bottom"/>
          </w:tcPr>
          <w:p w:rsidR="008B2CC1" w:rsidRPr="005F0ABE" w:rsidRDefault="008B2CC1" w:rsidP="0046793F">
            <w:pPr>
              <w:jc w:val="right"/>
              <w:rPr>
                <w:rFonts w:ascii="Arial Black" w:hAnsi="Arial Black"/>
                <w:caps/>
                <w:sz w:val="15"/>
                <w:lang w:val="es-419"/>
              </w:rPr>
            </w:pPr>
            <w:r w:rsidRPr="005F0ABE">
              <w:rPr>
                <w:rFonts w:ascii="Arial Black" w:hAnsi="Arial Black"/>
                <w:caps/>
                <w:sz w:val="15"/>
                <w:lang w:val="es-419"/>
              </w:rPr>
              <w:t>ORIGINAL:</w:t>
            </w:r>
            <w:r w:rsidR="009A20CD" w:rsidRPr="005F0ABE">
              <w:rPr>
                <w:rFonts w:ascii="Arial Black" w:hAnsi="Arial Black"/>
                <w:caps/>
                <w:sz w:val="15"/>
                <w:lang w:val="es-419"/>
              </w:rPr>
              <w:t xml:space="preserve"> </w:t>
            </w:r>
            <w:bookmarkStart w:id="2" w:name="Original"/>
            <w:bookmarkEnd w:id="2"/>
            <w:r w:rsidR="00C850D3" w:rsidRPr="005F0ABE">
              <w:rPr>
                <w:rFonts w:ascii="Arial Black" w:hAnsi="Arial Black"/>
                <w:caps/>
                <w:sz w:val="15"/>
                <w:lang w:val="es-419"/>
              </w:rPr>
              <w:t>Inglés</w:t>
            </w:r>
            <w:r w:rsidRPr="005F0ABE">
              <w:rPr>
                <w:rFonts w:ascii="Arial Black" w:hAnsi="Arial Black"/>
                <w:caps/>
                <w:sz w:val="15"/>
                <w:lang w:val="es-419"/>
              </w:rPr>
              <w:t xml:space="preserve"> </w:t>
            </w:r>
          </w:p>
        </w:tc>
      </w:tr>
      <w:tr w:rsidR="008B2CC1" w:rsidRPr="005F0ABE" w:rsidTr="00AB613D">
        <w:trPr>
          <w:trHeight w:hRule="exact" w:val="198"/>
        </w:trPr>
        <w:tc>
          <w:tcPr>
            <w:tcW w:w="9356" w:type="dxa"/>
            <w:gridSpan w:val="3"/>
            <w:tcMar>
              <w:left w:w="0" w:type="dxa"/>
              <w:right w:w="0" w:type="dxa"/>
            </w:tcMar>
            <w:vAlign w:val="bottom"/>
          </w:tcPr>
          <w:p w:rsidR="008B2CC1" w:rsidRPr="005F0ABE" w:rsidRDefault="00675021" w:rsidP="0046793F">
            <w:pPr>
              <w:jc w:val="right"/>
              <w:rPr>
                <w:rFonts w:ascii="Arial Black" w:hAnsi="Arial Black"/>
                <w:caps/>
                <w:sz w:val="15"/>
                <w:lang w:val="es-419"/>
              </w:rPr>
            </w:pPr>
            <w:r w:rsidRPr="005F0ABE">
              <w:rPr>
                <w:rFonts w:ascii="Arial Black" w:hAnsi="Arial Black"/>
                <w:caps/>
                <w:sz w:val="15"/>
                <w:lang w:val="es-419"/>
              </w:rPr>
              <w:t>fecha</w:t>
            </w:r>
            <w:r w:rsidR="008B2CC1" w:rsidRPr="005F0ABE">
              <w:rPr>
                <w:rFonts w:ascii="Arial Black" w:hAnsi="Arial Black"/>
                <w:caps/>
                <w:sz w:val="15"/>
                <w:lang w:val="es-419"/>
              </w:rPr>
              <w:t>:</w:t>
            </w:r>
            <w:r w:rsidR="009A20CD" w:rsidRPr="005F0ABE">
              <w:rPr>
                <w:rFonts w:ascii="Arial Black" w:hAnsi="Arial Black"/>
                <w:caps/>
                <w:sz w:val="15"/>
                <w:lang w:val="es-419"/>
              </w:rPr>
              <w:t xml:space="preserve"> </w:t>
            </w:r>
            <w:bookmarkStart w:id="3" w:name="Date"/>
            <w:bookmarkEnd w:id="3"/>
            <w:r w:rsidR="00C850D3" w:rsidRPr="005F0ABE">
              <w:rPr>
                <w:rFonts w:ascii="Arial Black" w:hAnsi="Arial Black"/>
                <w:caps/>
                <w:sz w:val="15"/>
                <w:lang w:val="es-419"/>
              </w:rPr>
              <w:t>4 de junio de 2019</w:t>
            </w:r>
            <w:r w:rsidR="008B2CC1" w:rsidRPr="005F0ABE">
              <w:rPr>
                <w:rFonts w:ascii="Arial Black" w:hAnsi="Arial Black"/>
                <w:caps/>
                <w:sz w:val="15"/>
                <w:lang w:val="es-419"/>
              </w:rPr>
              <w:t xml:space="preserve"> </w:t>
            </w:r>
          </w:p>
        </w:tc>
      </w:tr>
    </w:tbl>
    <w:p w:rsidR="0002239A" w:rsidRPr="005F0ABE" w:rsidRDefault="0002239A" w:rsidP="008B2CC1">
      <w:pPr>
        <w:rPr>
          <w:lang w:val="es-419"/>
        </w:rPr>
      </w:pPr>
    </w:p>
    <w:p w:rsidR="0002239A" w:rsidRPr="005F0ABE" w:rsidRDefault="0002239A" w:rsidP="008B2CC1">
      <w:pPr>
        <w:rPr>
          <w:lang w:val="es-419"/>
        </w:rPr>
      </w:pPr>
    </w:p>
    <w:p w:rsidR="0002239A" w:rsidRPr="005F0ABE" w:rsidRDefault="0002239A" w:rsidP="008B2CC1">
      <w:pPr>
        <w:rPr>
          <w:lang w:val="es-419"/>
        </w:rPr>
      </w:pPr>
    </w:p>
    <w:p w:rsidR="0002239A" w:rsidRPr="005F0ABE" w:rsidRDefault="0002239A" w:rsidP="008B2CC1">
      <w:pPr>
        <w:rPr>
          <w:lang w:val="es-419"/>
        </w:rPr>
      </w:pPr>
    </w:p>
    <w:p w:rsidR="0002239A" w:rsidRPr="005F0ABE" w:rsidRDefault="0002239A" w:rsidP="008B2CC1">
      <w:pPr>
        <w:rPr>
          <w:lang w:val="es-419"/>
        </w:rPr>
      </w:pPr>
    </w:p>
    <w:p w:rsidR="0002239A" w:rsidRPr="005F0ABE" w:rsidRDefault="00F94081" w:rsidP="00B67CDC">
      <w:pPr>
        <w:rPr>
          <w:b/>
          <w:sz w:val="28"/>
          <w:szCs w:val="28"/>
          <w:lang w:val="es-419"/>
        </w:rPr>
      </w:pPr>
      <w:r w:rsidRPr="005F0ABE">
        <w:rPr>
          <w:b/>
          <w:sz w:val="28"/>
          <w:szCs w:val="28"/>
          <w:lang w:val="es-419"/>
        </w:rPr>
        <w:t>Grupo de Trabajo del Tratado de Cooperación en materia de Patentes (PCT)</w:t>
      </w:r>
    </w:p>
    <w:p w:rsidR="0002239A" w:rsidRPr="005F0ABE" w:rsidRDefault="0002239A" w:rsidP="003845C1">
      <w:pPr>
        <w:rPr>
          <w:lang w:val="es-419"/>
        </w:rPr>
      </w:pPr>
    </w:p>
    <w:p w:rsidR="0002239A" w:rsidRPr="005F0ABE" w:rsidRDefault="0002239A" w:rsidP="003845C1">
      <w:pPr>
        <w:rPr>
          <w:lang w:val="es-419"/>
        </w:rPr>
      </w:pPr>
    </w:p>
    <w:p w:rsidR="0002239A" w:rsidRPr="005F0ABE" w:rsidRDefault="00295E98" w:rsidP="00F94081">
      <w:pPr>
        <w:rPr>
          <w:b/>
          <w:sz w:val="24"/>
          <w:szCs w:val="24"/>
          <w:lang w:val="es-419"/>
        </w:rPr>
      </w:pPr>
      <w:r w:rsidRPr="005F0ABE">
        <w:rPr>
          <w:b/>
          <w:sz w:val="24"/>
          <w:szCs w:val="24"/>
          <w:lang w:val="es-419"/>
        </w:rPr>
        <w:t>Duodécima</w:t>
      </w:r>
      <w:r w:rsidR="00F94081" w:rsidRPr="005F0ABE">
        <w:rPr>
          <w:b/>
          <w:sz w:val="24"/>
          <w:szCs w:val="24"/>
          <w:lang w:val="es-419"/>
        </w:rPr>
        <w:t xml:space="preserve"> reunión</w:t>
      </w:r>
    </w:p>
    <w:p w:rsidR="0002239A" w:rsidRPr="005F0ABE" w:rsidRDefault="00F94081" w:rsidP="00F94081">
      <w:pPr>
        <w:rPr>
          <w:b/>
          <w:sz w:val="24"/>
          <w:szCs w:val="24"/>
          <w:lang w:val="es-419"/>
        </w:rPr>
      </w:pPr>
      <w:r w:rsidRPr="005F0ABE">
        <w:rPr>
          <w:b/>
          <w:sz w:val="24"/>
          <w:szCs w:val="24"/>
          <w:lang w:val="es-419"/>
        </w:rPr>
        <w:t xml:space="preserve">Ginebra, </w:t>
      </w:r>
      <w:r w:rsidR="00DB575C" w:rsidRPr="005F0ABE">
        <w:rPr>
          <w:b/>
          <w:sz w:val="24"/>
          <w:szCs w:val="24"/>
          <w:lang w:val="es-419"/>
        </w:rPr>
        <w:t>11</w:t>
      </w:r>
      <w:r w:rsidRPr="005F0ABE">
        <w:rPr>
          <w:b/>
          <w:sz w:val="24"/>
          <w:szCs w:val="24"/>
          <w:lang w:val="es-419"/>
        </w:rPr>
        <w:t xml:space="preserve"> a </w:t>
      </w:r>
      <w:r w:rsidR="00DB575C" w:rsidRPr="005F0ABE">
        <w:rPr>
          <w:b/>
          <w:sz w:val="24"/>
          <w:szCs w:val="24"/>
          <w:lang w:val="es-419"/>
        </w:rPr>
        <w:t>14</w:t>
      </w:r>
      <w:r w:rsidRPr="005F0ABE">
        <w:rPr>
          <w:b/>
          <w:sz w:val="24"/>
          <w:szCs w:val="24"/>
          <w:lang w:val="es-419"/>
        </w:rPr>
        <w:t xml:space="preserve"> de junio de 201</w:t>
      </w:r>
      <w:r w:rsidR="00DB575C" w:rsidRPr="005F0ABE">
        <w:rPr>
          <w:b/>
          <w:sz w:val="24"/>
          <w:szCs w:val="24"/>
          <w:lang w:val="es-419"/>
        </w:rPr>
        <w:t>9</w:t>
      </w:r>
    </w:p>
    <w:p w:rsidR="0002239A" w:rsidRPr="005F0ABE" w:rsidRDefault="0002239A" w:rsidP="008B2CC1">
      <w:pPr>
        <w:rPr>
          <w:lang w:val="es-419"/>
        </w:rPr>
      </w:pPr>
    </w:p>
    <w:p w:rsidR="0002239A" w:rsidRPr="005F0ABE" w:rsidRDefault="0002239A" w:rsidP="008B2CC1">
      <w:pPr>
        <w:rPr>
          <w:lang w:val="es-419"/>
        </w:rPr>
      </w:pPr>
    </w:p>
    <w:p w:rsidR="0002239A" w:rsidRPr="005F0ABE" w:rsidRDefault="0002239A" w:rsidP="008B2CC1">
      <w:pPr>
        <w:rPr>
          <w:lang w:val="es-419"/>
        </w:rPr>
      </w:pPr>
    </w:p>
    <w:p w:rsidR="0002239A" w:rsidRPr="005F0ABE" w:rsidRDefault="00C850D3" w:rsidP="008B2CC1">
      <w:pPr>
        <w:rPr>
          <w:caps/>
          <w:sz w:val="24"/>
          <w:lang w:val="es-419"/>
        </w:rPr>
      </w:pPr>
      <w:bookmarkStart w:id="4" w:name="TitleOfDoc"/>
      <w:bookmarkEnd w:id="4"/>
      <w:r w:rsidRPr="005F0ABE">
        <w:rPr>
          <w:caps/>
          <w:sz w:val="24"/>
          <w:lang w:val="es-419"/>
        </w:rPr>
        <w:t>Informe sobre los avances: proyecto piloto de compensación por saldos netos de las tasas del PCT</w:t>
      </w:r>
    </w:p>
    <w:p w:rsidR="0002239A" w:rsidRPr="005F0ABE" w:rsidRDefault="0002239A" w:rsidP="008B2CC1">
      <w:pPr>
        <w:rPr>
          <w:lang w:val="es-419"/>
        </w:rPr>
      </w:pPr>
    </w:p>
    <w:p w:rsidR="0002239A" w:rsidRPr="005F0ABE" w:rsidRDefault="00C850D3" w:rsidP="008B2CC1">
      <w:pPr>
        <w:rPr>
          <w:i/>
          <w:lang w:val="es-419"/>
        </w:rPr>
      </w:pPr>
      <w:bookmarkStart w:id="5" w:name="Prepared"/>
      <w:bookmarkEnd w:id="5"/>
      <w:r w:rsidRPr="005F0ABE">
        <w:rPr>
          <w:i/>
          <w:lang w:val="es-419"/>
        </w:rPr>
        <w:t>Documento preparado por la Oficina Internacional</w:t>
      </w:r>
    </w:p>
    <w:p w:rsidR="0002239A" w:rsidRPr="005F0ABE" w:rsidRDefault="0002239A" w:rsidP="003845C1">
      <w:pPr>
        <w:rPr>
          <w:lang w:val="es-419"/>
        </w:rPr>
      </w:pPr>
    </w:p>
    <w:p w:rsidR="0002239A" w:rsidRPr="005F0ABE" w:rsidRDefault="0002239A">
      <w:pPr>
        <w:rPr>
          <w:lang w:val="es-419"/>
        </w:rPr>
      </w:pPr>
    </w:p>
    <w:p w:rsidR="0002239A" w:rsidRPr="005F0ABE" w:rsidRDefault="0002239A">
      <w:pPr>
        <w:rPr>
          <w:lang w:val="es-419"/>
        </w:rPr>
      </w:pPr>
    </w:p>
    <w:p w:rsidR="0002239A" w:rsidRPr="005F0ABE" w:rsidRDefault="0002239A">
      <w:pPr>
        <w:rPr>
          <w:lang w:val="es-419"/>
        </w:rPr>
      </w:pPr>
    </w:p>
    <w:p w:rsidR="0002239A" w:rsidRPr="005F0ABE" w:rsidRDefault="00737BD5" w:rsidP="00737BD5">
      <w:pPr>
        <w:keepNext/>
        <w:spacing w:before="240" w:after="60"/>
        <w:outlineLvl w:val="0"/>
        <w:rPr>
          <w:b/>
          <w:bCs/>
          <w:caps/>
          <w:kern w:val="32"/>
          <w:szCs w:val="32"/>
          <w:lang w:val="es-419"/>
        </w:rPr>
      </w:pPr>
      <w:r w:rsidRPr="005F0ABE">
        <w:rPr>
          <w:b/>
          <w:bCs/>
          <w:caps/>
          <w:kern w:val="32"/>
          <w:szCs w:val="32"/>
          <w:lang w:val="es-419"/>
        </w:rPr>
        <w:t>RESUMEN</w:t>
      </w:r>
    </w:p>
    <w:p w:rsidR="00C01B3C" w:rsidRPr="005F0ABE" w:rsidRDefault="00216DEA" w:rsidP="00216DEA">
      <w:pPr>
        <w:pStyle w:val="ONUME"/>
        <w:numPr>
          <w:ilvl w:val="0"/>
          <w:numId w:val="7"/>
        </w:numPr>
        <w:rPr>
          <w:lang w:val="es-419"/>
        </w:rPr>
      </w:pPr>
      <w:r w:rsidRPr="005F0ABE">
        <w:rPr>
          <w:lang w:val="es-419"/>
        </w:rPr>
        <w:t xml:space="preserve">El presente documento contiene un informe acerca de la marcha del proyecto piloto sobre compensación por saldos netos de determinadas tasas del Tratado de Cooperación en materia de Patentes (PCT), proyecto destinado a analizar la posibilidad de introducir una "estructura de compensación por saldos netos" para todas las transacciones de tasas del PCT. </w:t>
      </w:r>
      <w:r w:rsidR="00C01B3C" w:rsidRPr="005F0ABE">
        <w:rPr>
          <w:lang w:val="es-419"/>
        </w:rPr>
        <w:t>El objetivo principal</w:t>
      </w:r>
      <w:r w:rsidRPr="005F0ABE">
        <w:rPr>
          <w:lang w:val="es-419"/>
        </w:rPr>
        <w:t xml:space="preserve"> de la estructura de compensación por saldos netos </w:t>
      </w:r>
      <w:r w:rsidR="00C01B3C" w:rsidRPr="005F0ABE">
        <w:rPr>
          <w:lang w:val="es-419"/>
        </w:rPr>
        <w:t>es</w:t>
      </w:r>
      <w:r w:rsidRPr="005F0ABE">
        <w:rPr>
          <w:lang w:val="es-419"/>
        </w:rPr>
        <w:t xml:space="preserve"> reducir la exposición a las fluctuaciones de los tipos de cambio de los ingresos por tasas de la Oficina Internacional</w:t>
      </w:r>
      <w:r w:rsidR="00C01B3C" w:rsidRPr="005F0ABE">
        <w:rPr>
          <w:lang w:val="es-419"/>
        </w:rPr>
        <w:t>. Entre los objetivos adicionales figura</w:t>
      </w:r>
      <w:r w:rsidRPr="005F0ABE">
        <w:rPr>
          <w:lang w:val="es-419"/>
        </w:rPr>
        <w:t xml:space="preserve"> </w:t>
      </w:r>
      <w:r w:rsidR="00C01B3C" w:rsidRPr="005F0ABE">
        <w:rPr>
          <w:lang w:val="es-419"/>
        </w:rPr>
        <w:t xml:space="preserve">mejorar la gestión del efectivo, </w:t>
      </w:r>
      <w:r w:rsidRPr="005F0ABE">
        <w:rPr>
          <w:lang w:val="es-419"/>
        </w:rPr>
        <w:t xml:space="preserve">reducir los costos y los esfuerzos </w:t>
      </w:r>
      <w:r w:rsidR="00C01B3C" w:rsidRPr="005F0ABE">
        <w:rPr>
          <w:lang w:val="es-419"/>
        </w:rPr>
        <w:t xml:space="preserve">y simplificar los procedimientos </w:t>
      </w:r>
      <w:r w:rsidRPr="005F0ABE">
        <w:rPr>
          <w:lang w:val="es-419"/>
        </w:rPr>
        <w:t xml:space="preserve">para las </w:t>
      </w:r>
      <w:r w:rsidR="00787BD4" w:rsidRPr="005F0ABE">
        <w:rPr>
          <w:lang w:val="es-419"/>
        </w:rPr>
        <w:t>Oficina</w:t>
      </w:r>
      <w:r w:rsidR="00C01B3C" w:rsidRPr="005F0ABE">
        <w:rPr>
          <w:lang w:val="es-419"/>
        </w:rPr>
        <w:t xml:space="preserve">s </w:t>
      </w:r>
      <w:r w:rsidRPr="005F0ABE">
        <w:rPr>
          <w:lang w:val="es-419"/>
        </w:rPr>
        <w:t xml:space="preserve">receptoras y las Administraciones encargadas de la búsqueda internacional (ISA) en la tramitación de las tasas del PCT. El proyecto piloto de compensación por saldos netos de las tasas del PCT comenzó en 2018 con varias </w:t>
      </w:r>
      <w:r w:rsidR="00787BD4" w:rsidRPr="005F0ABE">
        <w:rPr>
          <w:lang w:val="es-419"/>
        </w:rPr>
        <w:t>Oficina</w:t>
      </w:r>
      <w:r w:rsidR="00C01B3C" w:rsidRPr="005F0ABE">
        <w:rPr>
          <w:lang w:val="es-419"/>
        </w:rPr>
        <w:t xml:space="preserve">s </w:t>
      </w:r>
      <w:r w:rsidRPr="005F0ABE">
        <w:rPr>
          <w:lang w:val="es-419"/>
        </w:rPr>
        <w:t>receptoras e ISA, principalmente en relación con las tasas de búsqueda y las tasas de presentación internacional.</w:t>
      </w:r>
    </w:p>
    <w:p w:rsidR="0002239A" w:rsidRPr="005F0ABE" w:rsidRDefault="00C01B3C" w:rsidP="00C01B3C">
      <w:pPr>
        <w:pStyle w:val="ONUME"/>
        <w:numPr>
          <w:ilvl w:val="0"/>
          <w:numId w:val="7"/>
        </w:numPr>
        <w:rPr>
          <w:lang w:val="es-419"/>
        </w:rPr>
      </w:pPr>
      <w:r w:rsidRPr="005F0ABE">
        <w:rPr>
          <w:lang w:val="es-419"/>
        </w:rPr>
        <w:t xml:space="preserve">Un examen preliminar de los resultados hasta la fecha indica que el proyecto piloto ha arrojado resultados positivos </w:t>
      </w:r>
      <w:r w:rsidR="00737BD5" w:rsidRPr="005F0ABE">
        <w:rPr>
          <w:lang w:val="es-419"/>
        </w:rPr>
        <w:t>(</w:t>
      </w:r>
      <w:r w:rsidRPr="005F0ABE">
        <w:rPr>
          <w:lang w:val="es-419"/>
        </w:rPr>
        <w:t xml:space="preserve">véanse los </w:t>
      </w:r>
      <w:r w:rsidR="005F0ABE" w:rsidRPr="005F0ABE">
        <w:rPr>
          <w:lang w:val="es-419"/>
        </w:rPr>
        <w:t>Anexos</w:t>
      </w:r>
      <w:r w:rsidR="00737BD5" w:rsidRPr="005F0ABE">
        <w:rPr>
          <w:lang w:val="es-419"/>
        </w:rPr>
        <w:t xml:space="preserve"> I </w:t>
      </w:r>
      <w:r w:rsidRPr="005F0ABE">
        <w:rPr>
          <w:lang w:val="es-419"/>
        </w:rPr>
        <w:t xml:space="preserve">y </w:t>
      </w:r>
      <w:r w:rsidR="00737BD5" w:rsidRPr="005F0ABE">
        <w:rPr>
          <w:lang w:val="es-419"/>
        </w:rPr>
        <w:t xml:space="preserve">II). </w:t>
      </w:r>
      <w:r w:rsidRPr="005F0ABE">
        <w:rPr>
          <w:lang w:val="es-419"/>
        </w:rPr>
        <w:t>Por lo tanto, la</w:t>
      </w:r>
      <w:r w:rsidR="00737BD5" w:rsidRPr="005F0ABE">
        <w:rPr>
          <w:lang w:val="es-419"/>
        </w:rPr>
        <w:t xml:space="preserve"> </w:t>
      </w:r>
      <w:r w:rsidR="0002239A" w:rsidRPr="005F0ABE">
        <w:rPr>
          <w:lang w:val="es-419"/>
        </w:rPr>
        <w:t>Oficina Internacional</w:t>
      </w:r>
      <w:r w:rsidR="00737BD5" w:rsidRPr="005F0ABE">
        <w:rPr>
          <w:lang w:val="es-419"/>
        </w:rPr>
        <w:t xml:space="preserve"> </w:t>
      </w:r>
      <w:r w:rsidRPr="005F0ABE">
        <w:rPr>
          <w:lang w:val="es-419"/>
        </w:rPr>
        <w:t>tiene la intención de ampliar la estructura de compensación por saldos netos a otras Oficinas receptoras e ISA interesadas</w:t>
      </w:r>
      <w:r w:rsidR="00737BD5" w:rsidRPr="005F0ABE">
        <w:rPr>
          <w:lang w:val="es-419"/>
        </w:rPr>
        <w:t xml:space="preserve">. </w:t>
      </w:r>
      <w:r w:rsidRPr="005F0ABE">
        <w:rPr>
          <w:lang w:val="es-419"/>
        </w:rPr>
        <w:t>Asimismo, la</w:t>
      </w:r>
      <w:r w:rsidR="00737BD5" w:rsidRPr="005F0ABE">
        <w:rPr>
          <w:lang w:val="es-419"/>
        </w:rPr>
        <w:t xml:space="preserve"> </w:t>
      </w:r>
      <w:r w:rsidR="0002239A" w:rsidRPr="005F0ABE">
        <w:rPr>
          <w:lang w:val="es-419"/>
        </w:rPr>
        <w:t>Oficina Internacional</w:t>
      </w:r>
      <w:r w:rsidR="00737BD5" w:rsidRPr="005F0ABE">
        <w:rPr>
          <w:lang w:val="es-419"/>
        </w:rPr>
        <w:t xml:space="preserve"> ha </w:t>
      </w:r>
      <w:r w:rsidRPr="005F0ABE">
        <w:rPr>
          <w:lang w:val="es-419"/>
        </w:rPr>
        <w:t>presentado propuestas al</w:t>
      </w:r>
      <w:r w:rsidR="00737BD5" w:rsidRPr="005F0ABE">
        <w:rPr>
          <w:lang w:val="es-419"/>
        </w:rPr>
        <w:t xml:space="preserve"> </w:t>
      </w:r>
      <w:r w:rsidR="0002239A" w:rsidRPr="005F0ABE">
        <w:rPr>
          <w:lang w:val="es-419"/>
        </w:rPr>
        <w:t>Grupo de Trabajo del PCT</w:t>
      </w:r>
      <w:r w:rsidR="00737BD5" w:rsidRPr="005F0ABE">
        <w:rPr>
          <w:lang w:val="es-419"/>
        </w:rPr>
        <w:t xml:space="preserve"> (</w:t>
      </w:r>
      <w:r w:rsidRPr="005F0ABE">
        <w:rPr>
          <w:lang w:val="es-419"/>
        </w:rPr>
        <w:t>véase el</w:t>
      </w:r>
      <w:r w:rsidR="00737BD5" w:rsidRPr="005F0ABE">
        <w:rPr>
          <w:lang w:val="es-419"/>
        </w:rPr>
        <w:t xml:space="preserve"> </w:t>
      </w:r>
      <w:r w:rsidR="005F0ABE" w:rsidRPr="005F0ABE">
        <w:rPr>
          <w:lang w:val="es-419"/>
        </w:rPr>
        <w:t>documento</w:t>
      </w:r>
      <w:r w:rsidR="00737BD5" w:rsidRPr="005F0ABE">
        <w:rPr>
          <w:lang w:val="es-419"/>
        </w:rPr>
        <w:t xml:space="preserve"> </w:t>
      </w:r>
      <w:r w:rsidRPr="005F0ABE">
        <w:rPr>
          <w:lang w:val="es-419"/>
        </w:rPr>
        <w:t>PCT</w:t>
      </w:r>
      <w:r w:rsidR="00737BD5" w:rsidRPr="005F0ABE">
        <w:rPr>
          <w:lang w:val="es-419"/>
        </w:rPr>
        <w:t xml:space="preserve">/WG/12/20) </w:t>
      </w:r>
      <w:r w:rsidRPr="005F0ABE">
        <w:rPr>
          <w:lang w:val="es-419"/>
        </w:rPr>
        <w:t xml:space="preserve">destinadas a formalizar </w:t>
      </w:r>
      <w:r w:rsidR="003E64AF" w:rsidRPr="005F0ABE">
        <w:rPr>
          <w:lang w:val="es-419"/>
        </w:rPr>
        <w:t xml:space="preserve">las </w:t>
      </w:r>
      <w:r w:rsidR="005F0ABE" w:rsidRPr="005F0ABE">
        <w:rPr>
          <w:lang w:val="es-419"/>
        </w:rPr>
        <w:t>disposiciones</w:t>
      </w:r>
      <w:r w:rsidR="003E64AF" w:rsidRPr="005F0ABE">
        <w:rPr>
          <w:lang w:val="es-419"/>
        </w:rPr>
        <w:t xml:space="preserve"> correspondientes, mediante la introducción de modificaciones en el Reglamento del </w:t>
      </w:r>
      <w:r w:rsidR="0002239A" w:rsidRPr="005F0ABE">
        <w:rPr>
          <w:lang w:val="es-419"/>
        </w:rPr>
        <w:t>PCT</w:t>
      </w:r>
      <w:r w:rsidR="003E64AF" w:rsidRPr="005F0ABE">
        <w:rPr>
          <w:lang w:val="es-419"/>
        </w:rPr>
        <w:t xml:space="preserve"> y en las</w:t>
      </w:r>
      <w:r w:rsidR="00737BD5" w:rsidRPr="005F0ABE">
        <w:rPr>
          <w:lang w:val="es-419"/>
        </w:rPr>
        <w:t xml:space="preserve"> </w:t>
      </w:r>
      <w:r w:rsidR="0002239A" w:rsidRPr="005F0ABE">
        <w:rPr>
          <w:lang w:val="es-419"/>
        </w:rPr>
        <w:t>Instrucciones Administrativas</w:t>
      </w:r>
      <w:r w:rsidR="00737BD5" w:rsidRPr="005F0ABE">
        <w:rPr>
          <w:lang w:val="es-419"/>
        </w:rPr>
        <w:t>.</w:t>
      </w:r>
    </w:p>
    <w:p w:rsidR="0002239A" w:rsidRPr="005F0ABE" w:rsidRDefault="0038755D" w:rsidP="00685836">
      <w:pPr>
        <w:pStyle w:val="ONUME"/>
        <w:numPr>
          <w:ilvl w:val="0"/>
          <w:numId w:val="7"/>
        </w:numPr>
        <w:rPr>
          <w:lang w:val="es-419"/>
        </w:rPr>
      </w:pPr>
      <w:r w:rsidRPr="005F0ABE">
        <w:rPr>
          <w:lang w:val="es-419"/>
        </w:rPr>
        <w:lastRenderedPageBreak/>
        <w:t>Además</w:t>
      </w:r>
      <w:r w:rsidR="00737BD5" w:rsidRPr="005F0ABE">
        <w:rPr>
          <w:lang w:val="es-419"/>
        </w:rPr>
        <w:t xml:space="preserve">, </w:t>
      </w:r>
      <w:r w:rsidRPr="005F0ABE">
        <w:rPr>
          <w:lang w:val="es-419"/>
        </w:rPr>
        <w:t>la</w:t>
      </w:r>
      <w:r w:rsidR="00737BD5" w:rsidRPr="005F0ABE">
        <w:rPr>
          <w:lang w:val="es-419"/>
        </w:rPr>
        <w:t xml:space="preserve"> </w:t>
      </w:r>
      <w:r w:rsidR="0002239A" w:rsidRPr="005F0ABE">
        <w:rPr>
          <w:lang w:val="es-419"/>
        </w:rPr>
        <w:t xml:space="preserve">Oficina Internacional </w:t>
      </w:r>
      <w:r w:rsidRPr="005F0ABE">
        <w:rPr>
          <w:lang w:val="es-419"/>
        </w:rPr>
        <w:t>tiene la intención de invit</w:t>
      </w:r>
      <w:r w:rsidR="00F137A6" w:rsidRPr="005F0ABE">
        <w:rPr>
          <w:lang w:val="es-419"/>
        </w:rPr>
        <w:t>a</w:t>
      </w:r>
      <w:r w:rsidRPr="005F0ABE">
        <w:rPr>
          <w:lang w:val="es-419"/>
        </w:rPr>
        <w:t xml:space="preserve">r a varias </w:t>
      </w:r>
      <w:r w:rsidR="00787BD4" w:rsidRPr="005F0ABE">
        <w:rPr>
          <w:lang w:val="es-419"/>
        </w:rPr>
        <w:t>Oficina</w:t>
      </w:r>
      <w:r w:rsidRPr="005F0ABE">
        <w:rPr>
          <w:lang w:val="es-419"/>
        </w:rPr>
        <w:t xml:space="preserve">s que actúan en calidad de </w:t>
      </w:r>
      <w:r w:rsidR="00787BD4" w:rsidRPr="005F0ABE">
        <w:rPr>
          <w:lang w:val="es-419"/>
        </w:rPr>
        <w:t>Oficina</w:t>
      </w:r>
      <w:r w:rsidRPr="005F0ABE">
        <w:rPr>
          <w:lang w:val="es-419"/>
        </w:rPr>
        <w:t>s receptoras del</w:t>
      </w:r>
      <w:r w:rsidR="00737BD5" w:rsidRPr="005F0ABE">
        <w:rPr>
          <w:lang w:val="es-419"/>
        </w:rPr>
        <w:t xml:space="preserve"> </w:t>
      </w:r>
      <w:r w:rsidR="0002239A" w:rsidRPr="005F0ABE">
        <w:rPr>
          <w:lang w:val="es-419"/>
        </w:rPr>
        <w:t>PCT</w:t>
      </w:r>
      <w:r w:rsidR="00737BD5" w:rsidRPr="005F0ABE">
        <w:rPr>
          <w:lang w:val="es-419"/>
        </w:rPr>
        <w:t xml:space="preserve"> </w:t>
      </w:r>
      <w:r w:rsidRPr="005F0ABE">
        <w:rPr>
          <w:lang w:val="es-419"/>
        </w:rPr>
        <w:t>y</w:t>
      </w:r>
      <w:r w:rsidR="00737BD5" w:rsidRPr="005F0ABE">
        <w:rPr>
          <w:lang w:val="es-419"/>
        </w:rPr>
        <w:t xml:space="preserve">/o </w:t>
      </w:r>
      <w:r w:rsidRPr="005F0ABE">
        <w:rPr>
          <w:lang w:val="es-419"/>
        </w:rPr>
        <w:t>A</w:t>
      </w:r>
      <w:r w:rsidR="00BD2041">
        <w:rPr>
          <w:lang w:val="es-419"/>
        </w:rPr>
        <w:t>dministraciones internacionales y que sean</w:t>
      </w:r>
      <w:r w:rsidRPr="005F0ABE">
        <w:rPr>
          <w:lang w:val="es-419"/>
        </w:rPr>
        <w:t xml:space="preserve"> </w:t>
      </w:r>
      <w:r w:rsidR="00787BD4" w:rsidRPr="005F0ABE">
        <w:rPr>
          <w:lang w:val="es-419"/>
        </w:rPr>
        <w:t>Oficina</w:t>
      </w:r>
      <w:r w:rsidR="00BD2041">
        <w:rPr>
          <w:lang w:val="es-419"/>
        </w:rPr>
        <w:t>s</w:t>
      </w:r>
      <w:r w:rsidRPr="005F0ABE">
        <w:rPr>
          <w:lang w:val="es-419"/>
        </w:rPr>
        <w:t xml:space="preserve"> de un</w:t>
      </w:r>
      <w:r w:rsidR="00685836" w:rsidRPr="005F0ABE">
        <w:rPr>
          <w:lang w:val="es-419"/>
        </w:rPr>
        <w:t xml:space="preserve">a Parte Contratante de los Sistemas de </w:t>
      </w:r>
      <w:r w:rsidR="00737BD5" w:rsidRPr="005F0ABE">
        <w:rPr>
          <w:lang w:val="es-419"/>
        </w:rPr>
        <w:t xml:space="preserve">Madrid </w:t>
      </w:r>
      <w:r w:rsidR="00685836" w:rsidRPr="005F0ABE">
        <w:rPr>
          <w:lang w:val="es-419"/>
        </w:rPr>
        <w:t>y</w:t>
      </w:r>
      <w:r w:rsidR="00737BD5" w:rsidRPr="005F0ABE">
        <w:rPr>
          <w:lang w:val="es-419"/>
        </w:rPr>
        <w:t xml:space="preserve">/o </w:t>
      </w:r>
      <w:r w:rsidR="00685836" w:rsidRPr="005F0ABE">
        <w:rPr>
          <w:lang w:val="es-419"/>
        </w:rPr>
        <w:t>de La Haya a que se sumen a un proceso ampliado de compensación por saldos netos, que incluiría todas las transferencias de fondos hacia y desde la OMPI</w:t>
      </w:r>
      <w:r w:rsidR="00737BD5" w:rsidRPr="005F0ABE">
        <w:rPr>
          <w:lang w:val="es-419"/>
        </w:rPr>
        <w:t xml:space="preserve">. </w:t>
      </w:r>
      <w:r w:rsidR="00685836" w:rsidRPr="005F0ABE">
        <w:rPr>
          <w:lang w:val="es-419"/>
        </w:rPr>
        <w:t xml:space="preserve">Esta disposición </w:t>
      </w:r>
      <w:r w:rsidR="00BD2041">
        <w:rPr>
          <w:lang w:val="es-419"/>
        </w:rPr>
        <w:t xml:space="preserve">comprendería </w:t>
      </w:r>
      <w:r w:rsidR="00685836" w:rsidRPr="005F0ABE">
        <w:rPr>
          <w:lang w:val="es-419"/>
        </w:rPr>
        <w:t xml:space="preserve">únicamente </w:t>
      </w:r>
      <w:r w:rsidR="00BD2041">
        <w:rPr>
          <w:lang w:val="es-419"/>
        </w:rPr>
        <w:t xml:space="preserve">a </w:t>
      </w:r>
      <w:r w:rsidR="00685836" w:rsidRPr="005F0ABE">
        <w:rPr>
          <w:lang w:val="es-419"/>
        </w:rPr>
        <w:t xml:space="preserve">las </w:t>
      </w:r>
      <w:r w:rsidR="00787BD4" w:rsidRPr="005F0ABE">
        <w:rPr>
          <w:lang w:val="es-419"/>
        </w:rPr>
        <w:t>Oficina</w:t>
      </w:r>
      <w:r w:rsidR="00685836" w:rsidRPr="005F0ABE">
        <w:rPr>
          <w:lang w:val="es-419"/>
        </w:rPr>
        <w:t>s cuyos reglamentos financieros y normas de contabilidad lo permitan</w:t>
      </w:r>
      <w:r w:rsidR="00737BD5" w:rsidRPr="005F0ABE">
        <w:rPr>
          <w:lang w:val="es-419"/>
        </w:rPr>
        <w:t>.</w:t>
      </w:r>
    </w:p>
    <w:p w:rsidR="0002239A" w:rsidRPr="005F0ABE" w:rsidRDefault="0002239A" w:rsidP="0002239A">
      <w:pPr>
        <w:keepNext/>
        <w:keepLines/>
        <w:spacing w:before="240" w:after="60"/>
        <w:outlineLvl w:val="0"/>
        <w:rPr>
          <w:b/>
          <w:bCs/>
          <w:caps/>
          <w:kern w:val="32"/>
          <w:szCs w:val="32"/>
          <w:lang w:val="es-419"/>
        </w:rPr>
      </w:pPr>
      <w:r w:rsidRPr="005F0ABE">
        <w:rPr>
          <w:b/>
          <w:bCs/>
          <w:caps/>
          <w:kern w:val="32"/>
          <w:szCs w:val="32"/>
          <w:lang w:val="es-419"/>
        </w:rPr>
        <w:t>Antecedentes</w:t>
      </w:r>
    </w:p>
    <w:p w:rsidR="0002239A" w:rsidRPr="005F0ABE" w:rsidRDefault="0002239A" w:rsidP="0002239A">
      <w:pPr>
        <w:keepNext/>
        <w:keepLines/>
        <w:numPr>
          <w:ilvl w:val="0"/>
          <w:numId w:val="7"/>
        </w:numPr>
        <w:spacing w:after="220"/>
        <w:rPr>
          <w:lang w:val="es-419"/>
        </w:rPr>
      </w:pPr>
      <w:r w:rsidRPr="005F0ABE">
        <w:rPr>
          <w:lang w:val="es-419"/>
        </w:rPr>
        <w:t xml:space="preserve">En su novena reunión, celebrada en mayo de 2016, el Grupo de Trabajo del PCT examinó un documento preparado por la Oficina Internacional en el que constaban varias medidas </w:t>
      </w:r>
      <w:r w:rsidR="00685836" w:rsidRPr="005F0ABE">
        <w:rPr>
          <w:lang w:val="es-419"/>
        </w:rPr>
        <w:t>que podrían tomarse</w:t>
      </w:r>
      <w:r w:rsidRPr="005F0ABE">
        <w:rPr>
          <w:lang w:val="es-419"/>
        </w:rPr>
        <w:t xml:space="preserve"> para reducir el riesgo de exposició</w:t>
      </w:r>
      <w:r w:rsidR="00BD2041">
        <w:rPr>
          <w:lang w:val="es-419"/>
        </w:rPr>
        <w:t>n de los ingresos por tasas del </w:t>
      </w:r>
      <w:r w:rsidRPr="005F0ABE">
        <w:rPr>
          <w:lang w:val="es-419"/>
        </w:rPr>
        <w:t>PCT a las fluctuaciones de los tipos de cambio (</w:t>
      </w:r>
      <w:r w:rsidR="00685836" w:rsidRPr="005F0ABE">
        <w:rPr>
          <w:lang w:val="es-419"/>
        </w:rPr>
        <w:t xml:space="preserve">véanse el </w:t>
      </w:r>
      <w:r w:rsidRPr="005F0ABE">
        <w:rPr>
          <w:lang w:val="es-419"/>
        </w:rPr>
        <w:t>documento PCT/WG/9/9</w:t>
      </w:r>
      <w:r w:rsidR="00685836" w:rsidRPr="005F0ABE">
        <w:rPr>
          <w:lang w:val="es-419"/>
        </w:rPr>
        <w:t xml:space="preserve"> y los párrafos 21 a 36 del documento PCT/WG/9/27</w:t>
      </w:r>
      <w:r w:rsidRPr="005F0ABE">
        <w:rPr>
          <w:lang w:val="es-419"/>
        </w:rPr>
        <w:t>).</w:t>
      </w:r>
    </w:p>
    <w:p w:rsidR="0002239A" w:rsidRPr="005F0ABE" w:rsidRDefault="00D90FC6" w:rsidP="00FE3D4D">
      <w:pPr>
        <w:pStyle w:val="ONUME"/>
        <w:numPr>
          <w:ilvl w:val="0"/>
          <w:numId w:val="7"/>
        </w:numPr>
        <w:rPr>
          <w:lang w:val="es-419"/>
        </w:rPr>
      </w:pPr>
      <w:r w:rsidRPr="005F0ABE">
        <w:rPr>
          <w:lang w:val="es-419"/>
        </w:rPr>
        <w:t>Posteriormente</w:t>
      </w:r>
      <w:r w:rsidR="00016BC0" w:rsidRPr="005F0ABE">
        <w:rPr>
          <w:lang w:val="es-419"/>
        </w:rPr>
        <w:t>, la</w:t>
      </w:r>
      <w:r w:rsidR="00737BD5" w:rsidRPr="005F0ABE">
        <w:rPr>
          <w:lang w:val="es-419"/>
        </w:rPr>
        <w:t xml:space="preserve"> </w:t>
      </w:r>
      <w:r w:rsidR="0002239A" w:rsidRPr="005F0ABE">
        <w:rPr>
          <w:lang w:val="es-419"/>
        </w:rPr>
        <w:t>Oficina Internacional</w:t>
      </w:r>
      <w:r w:rsidR="00737BD5" w:rsidRPr="005F0ABE">
        <w:rPr>
          <w:lang w:val="es-419"/>
        </w:rPr>
        <w:t xml:space="preserve"> </w:t>
      </w:r>
      <w:r w:rsidR="00016BC0" w:rsidRPr="005F0ABE">
        <w:rPr>
          <w:lang w:val="es-419"/>
        </w:rPr>
        <w:t xml:space="preserve">elaboró un proyecto </w:t>
      </w:r>
      <w:r w:rsidR="005F0ABE" w:rsidRPr="005F0ABE">
        <w:rPr>
          <w:lang w:val="es-419"/>
        </w:rPr>
        <w:t>piloto</w:t>
      </w:r>
      <w:r w:rsidR="00737BD5" w:rsidRPr="005F0ABE">
        <w:rPr>
          <w:lang w:val="es-419"/>
        </w:rPr>
        <w:t xml:space="preserve"> </w:t>
      </w:r>
      <w:r w:rsidR="00016BC0" w:rsidRPr="005F0ABE">
        <w:rPr>
          <w:lang w:val="es-419"/>
        </w:rPr>
        <w:t xml:space="preserve">de </w:t>
      </w:r>
      <w:r w:rsidR="00737BD5" w:rsidRPr="005F0ABE">
        <w:rPr>
          <w:lang w:val="es-419"/>
        </w:rPr>
        <w:t>“</w:t>
      </w:r>
      <w:r w:rsidRPr="005F0ABE">
        <w:rPr>
          <w:lang w:val="es-419"/>
        </w:rPr>
        <w:t xml:space="preserve">estructura de </w:t>
      </w:r>
      <w:r w:rsidR="0002239A" w:rsidRPr="005F0ABE">
        <w:rPr>
          <w:lang w:val="es-419"/>
        </w:rPr>
        <w:t>compensación por saldos</w:t>
      </w:r>
      <w:r w:rsidRPr="005F0ABE">
        <w:rPr>
          <w:lang w:val="es-419"/>
        </w:rPr>
        <w:t xml:space="preserve"> netos</w:t>
      </w:r>
      <w:r w:rsidR="00737BD5" w:rsidRPr="005F0ABE">
        <w:rPr>
          <w:lang w:val="es-419"/>
        </w:rPr>
        <w:t xml:space="preserve">” </w:t>
      </w:r>
      <w:r w:rsidRPr="005F0ABE">
        <w:rPr>
          <w:lang w:val="es-419"/>
        </w:rPr>
        <w:t xml:space="preserve">para la transferencia de las tasas del </w:t>
      </w:r>
      <w:r w:rsidR="0002239A" w:rsidRPr="005F0ABE">
        <w:rPr>
          <w:lang w:val="es-419"/>
        </w:rPr>
        <w:t>PCT</w:t>
      </w:r>
      <w:r w:rsidR="00737BD5" w:rsidRPr="005F0ABE">
        <w:rPr>
          <w:lang w:val="es-419"/>
        </w:rPr>
        <w:t xml:space="preserve">, </w:t>
      </w:r>
      <w:r w:rsidRPr="005F0ABE">
        <w:rPr>
          <w:lang w:val="es-419"/>
        </w:rPr>
        <w:t>descrito en la décima reunión del</w:t>
      </w:r>
      <w:r w:rsidR="00737BD5" w:rsidRPr="005F0ABE">
        <w:rPr>
          <w:lang w:val="es-419"/>
        </w:rPr>
        <w:t xml:space="preserve"> </w:t>
      </w:r>
      <w:r w:rsidR="0002239A" w:rsidRPr="005F0ABE">
        <w:rPr>
          <w:lang w:val="es-419"/>
        </w:rPr>
        <w:t>Grupo de Trabajo del PCT</w:t>
      </w:r>
      <w:r w:rsidR="00737BD5" w:rsidRPr="005F0ABE">
        <w:rPr>
          <w:lang w:val="es-419"/>
        </w:rPr>
        <w:t xml:space="preserve"> (</w:t>
      </w:r>
      <w:r w:rsidRPr="005F0ABE">
        <w:rPr>
          <w:lang w:val="es-419"/>
        </w:rPr>
        <w:t>véanse el</w:t>
      </w:r>
      <w:r w:rsidR="00737BD5" w:rsidRPr="005F0ABE">
        <w:rPr>
          <w:lang w:val="es-419"/>
        </w:rPr>
        <w:t xml:space="preserve"> </w:t>
      </w:r>
      <w:r w:rsidRPr="005F0ABE">
        <w:rPr>
          <w:lang w:val="es-419"/>
        </w:rPr>
        <w:t xml:space="preserve">documento </w:t>
      </w:r>
      <w:r w:rsidR="0002239A" w:rsidRPr="005F0ABE">
        <w:rPr>
          <w:lang w:val="es-419"/>
        </w:rPr>
        <w:t>PCT</w:t>
      </w:r>
      <w:r w:rsidR="00737BD5" w:rsidRPr="005F0ABE">
        <w:rPr>
          <w:lang w:val="es-419"/>
        </w:rPr>
        <w:t xml:space="preserve">/WG/10/6 </w:t>
      </w:r>
      <w:r w:rsidRPr="005F0ABE">
        <w:rPr>
          <w:lang w:val="es-419"/>
        </w:rPr>
        <w:t>y los párrafos</w:t>
      </w:r>
      <w:r w:rsidR="00737BD5" w:rsidRPr="005F0ABE">
        <w:rPr>
          <w:lang w:val="es-419"/>
        </w:rPr>
        <w:t xml:space="preserve"> 19 </w:t>
      </w:r>
      <w:r w:rsidRPr="005F0ABE">
        <w:rPr>
          <w:lang w:val="es-419"/>
        </w:rPr>
        <w:t>a</w:t>
      </w:r>
      <w:r w:rsidR="00737BD5" w:rsidRPr="005F0ABE">
        <w:rPr>
          <w:lang w:val="es-419"/>
        </w:rPr>
        <w:t xml:space="preserve"> 21 </w:t>
      </w:r>
      <w:r w:rsidRPr="005F0ABE">
        <w:rPr>
          <w:lang w:val="es-419"/>
        </w:rPr>
        <w:t xml:space="preserve">del </w:t>
      </w:r>
      <w:r w:rsidR="005F0ABE" w:rsidRPr="005F0ABE">
        <w:rPr>
          <w:lang w:val="es-419"/>
        </w:rPr>
        <w:t>documento</w:t>
      </w:r>
      <w:r w:rsidR="00737BD5" w:rsidRPr="005F0ABE">
        <w:rPr>
          <w:lang w:val="es-419"/>
        </w:rPr>
        <w:t xml:space="preserve"> </w:t>
      </w:r>
      <w:r w:rsidRPr="005F0ABE">
        <w:rPr>
          <w:lang w:val="es-419"/>
        </w:rPr>
        <w:t>PCT</w:t>
      </w:r>
      <w:r w:rsidR="00737BD5" w:rsidRPr="005F0ABE">
        <w:rPr>
          <w:lang w:val="es-419"/>
        </w:rPr>
        <w:t xml:space="preserve">/WG/10/24). </w:t>
      </w:r>
      <w:r w:rsidR="00FE3D4D" w:rsidRPr="005F0ABE">
        <w:rPr>
          <w:lang w:val="es-419"/>
        </w:rPr>
        <w:t xml:space="preserve">En la undécima </w:t>
      </w:r>
      <w:r w:rsidR="005F0ABE" w:rsidRPr="005F0ABE">
        <w:rPr>
          <w:lang w:val="es-419"/>
        </w:rPr>
        <w:t>reunión</w:t>
      </w:r>
      <w:r w:rsidR="00FE3D4D" w:rsidRPr="005F0ABE">
        <w:rPr>
          <w:lang w:val="es-419"/>
        </w:rPr>
        <w:t xml:space="preserve"> del Grupo de Trabajo del PCT, se presentaron informes sobre los avances </w:t>
      </w:r>
      <w:r w:rsidR="005F0ABE" w:rsidRPr="005F0ABE">
        <w:rPr>
          <w:lang w:val="es-419"/>
        </w:rPr>
        <w:t>realizados</w:t>
      </w:r>
      <w:r w:rsidR="00737BD5" w:rsidRPr="005F0ABE">
        <w:rPr>
          <w:lang w:val="es-419"/>
        </w:rPr>
        <w:t xml:space="preserve"> (</w:t>
      </w:r>
      <w:r w:rsidR="00FE3D4D" w:rsidRPr="005F0ABE">
        <w:rPr>
          <w:lang w:val="es-419"/>
        </w:rPr>
        <w:t>véanse el</w:t>
      </w:r>
      <w:r w:rsidR="00737BD5" w:rsidRPr="005F0ABE">
        <w:rPr>
          <w:lang w:val="es-419"/>
        </w:rPr>
        <w:t xml:space="preserve"> </w:t>
      </w:r>
      <w:r w:rsidR="005F0ABE" w:rsidRPr="005F0ABE">
        <w:rPr>
          <w:lang w:val="es-419"/>
        </w:rPr>
        <w:t>documento</w:t>
      </w:r>
      <w:r w:rsidR="00737BD5" w:rsidRPr="005F0ABE">
        <w:rPr>
          <w:lang w:val="es-419"/>
        </w:rPr>
        <w:t xml:space="preserve"> </w:t>
      </w:r>
      <w:r w:rsidR="0002239A" w:rsidRPr="005F0ABE">
        <w:rPr>
          <w:lang w:val="es-419"/>
        </w:rPr>
        <w:t>PCT</w:t>
      </w:r>
      <w:r w:rsidR="00737BD5" w:rsidRPr="005F0ABE">
        <w:rPr>
          <w:lang w:val="es-419"/>
        </w:rPr>
        <w:t xml:space="preserve">/WG/11/4 </w:t>
      </w:r>
      <w:r w:rsidR="00FE3D4D" w:rsidRPr="005F0ABE">
        <w:rPr>
          <w:lang w:val="es-419"/>
        </w:rPr>
        <w:t xml:space="preserve">y los párrafos  </w:t>
      </w:r>
      <w:r w:rsidR="00737BD5" w:rsidRPr="005F0ABE">
        <w:rPr>
          <w:lang w:val="es-419"/>
        </w:rPr>
        <w:t xml:space="preserve">46 </w:t>
      </w:r>
      <w:r w:rsidR="00FE3D4D" w:rsidRPr="005F0ABE">
        <w:rPr>
          <w:lang w:val="es-419"/>
        </w:rPr>
        <w:t>a</w:t>
      </w:r>
      <w:r w:rsidR="00737BD5" w:rsidRPr="005F0ABE">
        <w:rPr>
          <w:lang w:val="es-419"/>
        </w:rPr>
        <w:t xml:space="preserve"> 51 </w:t>
      </w:r>
      <w:r w:rsidR="00FE3D4D" w:rsidRPr="005F0ABE">
        <w:rPr>
          <w:lang w:val="es-419"/>
        </w:rPr>
        <w:t>del</w:t>
      </w:r>
      <w:r w:rsidR="00737BD5" w:rsidRPr="005F0ABE">
        <w:rPr>
          <w:lang w:val="es-419"/>
        </w:rPr>
        <w:t xml:space="preserve"> </w:t>
      </w:r>
      <w:r w:rsidR="005F0ABE" w:rsidRPr="005F0ABE">
        <w:rPr>
          <w:lang w:val="es-419"/>
        </w:rPr>
        <w:t>documento</w:t>
      </w:r>
      <w:r w:rsidR="00737BD5" w:rsidRPr="005F0ABE">
        <w:rPr>
          <w:lang w:val="es-419"/>
        </w:rPr>
        <w:t xml:space="preserve"> </w:t>
      </w:r>
      <w:r w:rsidR="0002239A" w:rsidRPr="005F0ABE">
        <w:rPr>
          <w:lang w:val="es-419"/>
        </w:rPr>
        <w:t>PCT</w:t>
      </w:r>
      <w:r w:rsidR="00737BD5" w:rsidRPr="005F0ABE">
        <w:rPr>
          <w:lang w:val="es-419"/>
        </w:rPr>
        <w:t xml:space="preserve">/WG/11/26), </w:t>
      </w:r>
      <w:r w:rsidR="00FE3D4D" w:rsidRPr="005F0ABE">
        <w:rPr>
          <w:lang w:val="es-419"/>
        </w:rPr>
        <w:t>y el presidente dijo a modo de resumen que las delegaciones apoyan firmemente el proyecto piloto de compensación y respaldan que se sumen más Oficinas al proyecto piloto, pero expresaron algunas reservas sobre la ampliación del proceso de compensación para abarcar las tasas de otros sistemas mundiales de PI de la OMPI, como los Sistemas de Madrid y de La Haya.</w:t>
      </w:r>
    </w:p>
    <w:p w:rsidR="0002239A" w:rsidRPr="005F0ABE" w:rsidRDefault="00417875" w:rsidP="0002239A">
      <w:pPr>
        <w:numPr>
          <w:ilvl w:val="0"/>
          <w:numId w:val="7"/>
        </w:numPr>
        <w:spacing w:after="220"/>
        <w:rPr>
          <w:lang w:val="es-419"/>
        </w:rPr>
      </w:pPr>
      <w:r w:rsidRPr="005F0ABE">
        <w:rPr>
          <w:lang w:val="es-419"/>
        </w:rPr>
        <w:t xml:space="preserve">En marzo y abril de 2019, se llevó a cabo una </w:t>
      </w:r>
      <w:r w:rsidR="005F0ABE" w:rsidRPr="005F0ABE">
        <w:rPr>
          <w:lang w:val="es-419"/>
        </w:rPr>
        <w:t>evaluación</w:t>
      </w:r>
      <w:r w:rsidR="00737BD5" w:rsidRPr="005F0ABE">
        <w:rPr>
          <w:lang w:val="es-419"/>
        </w:rPr>
        <w:t xml:space="preserve"> </w:t>
      </w:r>
      <w:r w:rsidRPr="005F0ABE">
        <w:rPr>
          <w:lang w:val="es-419"/>
        </w:rPr>
        <w:t xml:space="preserve">de los </w:t>
      </w:r>
      <w:r w:rsidR="00737BD5" w:rsidRPr="005F0ABE">
        <w:rPr>
          <w:lang w:val="es-419"/>
        </w:rPr>
        <w:t>result</w:t>
      </w:r>
      <w:r w:rsidRPr="005F0ABE">
        <w:rPr>
          <w:lang w:val="es-419"/>
        </w:rPr>
        <w:t>ado</w:t>
      </w:r>
      <w:r w:rsidR="00737BD5" w:rsidRPr="005F0ABE">
        <w:rPr>
          <w:lang w:val="es-419"/>
        </w:rPr>
        <w:t xml:space="preserve">s </w:t>
      </w:r>
      <w:r w:rsidR="00BD2041">
        <w:rPr>
          <w:lang w:val="es-419"/>
        </w:rPr>
        <w:t>arrojados en </w:t>
      </w:r>
      <w:r w:rsidRPr="005F0ABE">
        <w:rPr>
          <w:lang w:val="es-419"/>
        </w:rPr>
        <w:t xml:space="preserve">2018 en el marco del proyecto piloto de </w:t>
      </w:r>
      <w:r w:rsidR="0002239A" w:rsidRPr="005F0ABE">
        <w:rPr>
          <w:lang w:val="es-419"/>
        </w:rPr>
        <w:t>compensación por saldos netos</w:t>
      </w:r>
      <w:r w:rsidRPr="005F0ABE">
        <w:rPr>
          <w:lang w:val="es-419"/>
        </w:rPr>
        <w:t xml:space="preserve"> que consistió en una encuesta entre las </w:t>
      </w:r>
      <w:r w:rsidR="00787BD4" w:rsidRPr="005F0ABE">
        <w:rPr>
          <w:lang w:val="es-419"/>
        </w:rPr>
        <w:t>Oficina</w:t>
      </w:r>
      <w:r w:rsidRPr="005F0ABE">
        <w:rPr>
          <w:lang w:val="es-419"/>
        </w:rPr>
        <w:t xml:space="preserve">s receptoras y las </w:t>
      </w:r>
      <w:r w:rsidR="00737BD5" w:rsidRPr="005F0ABE">
        <w:rPr>
          <w:lang w:val="es-419"/>
        </w:rPr>
        <w:t xml:space="preserve">ISA </w:t>
      </w:r>
      <w:r w:rsidRPr="005F0ABE">
        <w:rPr>
          <w:lang w:val="es-419"/>
        </w:rPr>
        <w:t>participantes en dicho proyecto piloto</w:t>
      </w:r>
      <w:r w:rsidR="00737BD5" w:rsidRPr="005F0ABE">
        <w:rPr>
          <w:lang w:val="es-419"/>
        </w:rPr>
        <w:t xml:space="preserve"> (</w:t>
      </w:r>
      <w:r w:rsidRPr="005F0ABE">
        <w:rPr>
          <w:lang w:val="es-419"/>
        </w:rPr>
        <w:t xml:space="preserve">véanse los </w:t>
      </w:r>
      <w:r w:rsidR="00737BD5" w:rsidRPr="005F0ABE">
        <w:rPr>
          <w:lang w:val="es-419"/>
        </w:rPr>
        <w:t>result</w:t>
      </w:r>
      <w:r w:rsidRPr="005F0ABE">
        <w:rPr>
          <w:lang w:val="es-419"/>
        </w:rPr>
        <w:t>ado</w:t>
      </w:r>
      <w:r w:rsidR="00737BD5" w:rsidRPr="005F0ABE">
        <w:rPr>
          <w:lang w:val="es-419"/>
        </w:rPr>
        <w:t xml:space="preserve">s </w:t>
      </w:r>
      <w:r w:rsidRPr="005F0ABE">
        <w:rPr>
          <w:lang w:val="es-419"/>
        </w:rPr>
        <w:t>e</w:t>
      </w:r>
      <w:r w:rsidR="00737BD5" w:rsidRPr="005F0ABE">
        <w:rPr>
          <w:lang w:val="es-419"/>
        </w:rPr>
        <w:t xml:space="preserve">n </w:t>
      </w:r>
      <w:r w:rsidRPr="005F0ABE">
        <w:rPr>
          <w:lang w:val="es-419"/>
        </w:rPr>
        <w:t xml:space="preserve">el </w:t>
      </w:r>
      <w:r w:rsidR="005F0ABE" w:rsidRPr="005F0ABE">
        <w:rPr>
          <w:lang w:val="es-419"/>
        </w:rPr>
        <w:t>Anexo</w:t>
      </w:r>
      <w:r w:rsidR="00737BD5" w:rsidRPr="005F0ABE">
        <w:rPr>
          <w:lang w:val="es-419"/>
        </w:rPr>
        <w:t xml:space="preserve"> I) </w:t>
      </w:r>
      <w:r w:rsidRPr="005F0ABE">
        <w:rPr>
          <w:lang w:val="es-419"/>
        </w:rPr>
        <w:t>y un</w:t>
      </w:r>
      <w:r w:rsidR="00737BD5" w:rsidRPr="005F0ABE">
        <w:rPr>
          <w:lang w:val="es-419"/>
        </w:rPr>
        <w:t xml:space="preserve"> </w:t>
      </w:r>
      <w:r w:rsidR="005F0ABE" w:rsidRPr="005F0ABE">
        <w:rPr>
          <w:lang w:val="es-419"/>
        </w:rPr>
        <w:t>análisis</w:t>
      </w:r>
      <w:r w:rsidR="00737BD5" w:rsidRPr="005F0ABE">
        <w:rPr>
          <w:lang w:val="es-419"/>
        </w:rPr>
        <w:t xml:space="preserve"> </w:t>
      </w:r>
      <w:r w:rsidRPr="005F0ABE">
        <w:rPr>
          <w:lang w:val="es-419"/>
        </w:rPr>
        <w:t xml:space="preserve">de la incidencia financiera </w:t>
      </w:r>
      <w:r w:rsidR="00AD2F75" w:rsidRPr="005F0ABE">
        <w:rPr>
          <w:lang w:val="es-419"/>
        </w:rPr>
        <w:t xml:space="preserve">preparado por la </w:t>
      </w:r>
      <w:r w:rsidR="0002239A" w:rsidRPr="005F0ABE">
        <w:rPr>
          <w:lang w:val="es-419"/>
        </w:rPr>
        <w:t>División de Supervisión Interna</w:t>
      </w:r>
      <w:r w:rsidR="00AD2F75" w:rsidRPr="005F0ABE">
        <w:rPr>
          <w:lang w:val="es-419"/>
        </w:rPr>
        <w:t xml:space="preserve"> de la OMPI</w:t>
      </w:r>
      <w:r w:rsidR="00737BD5" w:rsidRPr="005F0ABE">
        <w:rPr>
          <w:lang w:val="es-419"/>
        </w:rPr>
        <w:t xml:space="preserve">, </w:t>
      </w:r>
      <w:r w:rsidR="0002239A" w:rsidRPr="005F0ABE">
        <w:rPr>
          <w:lang w:val="es-419"/>
        </w:rPr>
        <w:t>Sección de Auditoría Interna</w:t>
      </w:r>
      <w:r w:rsidR="00737BD5" w:rsidRPr="005F0ABE">
        <w:rPr>
          <w:lang w:val="es-419"/>
        </w:rPr>
        <w:t xml:space="preserve"> (</w:t>
      </w:r>
      <w:r w:rsidR="00AD2F75" w:rsidRPr="005F0ABE">
        <w:rPr>
          <w:lang w:val="es-419"/>
        </w:rPr>
        <w:t xml:space="preserve">véase el Resumen que figura en el </w:t>
      </w:r>
      <w:r w:rsidR="005F0ABE" w:rsidRPr="005F0ABE">
        <w:rPr>
          <w:lang w:val="es-419"/>
        </w:rPr>
        <w:t>Anexo</w:t>
      </w:r>
      <w:r w:rsidR="00737BD5" w:rsidRPr="005F0ABE">
        <w:rPr>
          <w:lang w:val="es-419"/>
        </w:rPr>
        <w:t> II</w:t>
      </w:r>
      <w:r w:rsidR="00AD2F75" w:rsidRPr="005F0ABE">
        <w:rPr>
          <w:lang w:val="es-419"/>
        </w:rPr>
        <w:t>). El informe completo ha sido puesto a disposición por la Sección de Auditoría Interna</w:t>
      </w:r>
      <w:r w:rsidR="00737BD5" w:rsidRPr="005F0ABE">
        <w:rPr>
          <w:lang w:val="es-419"/>
        </w:rPr>
        <w:t xml:space="preserve"> </w:t>
      </w:r>
      <w:r w:rsidR="00AD2F75" w:rsidRPr="005F0ABE">
        <w:rPr>
          <w:lang w:val="es-419"/>
        </w:rPr>
        <w:t>en sus páginas web, en la dirección</w:t>
      </w:r>
      <w:r w:rsidR="00737BD5" w:rsidRPr="005F0ABE">
        <w:rPr>
          <w:lang w:val="es-419"/>
        </w:rPr>
        <w:t xml:space="preserve"> </w:t>
      </w:r>
      <w:hyperlink r:id="rId9" w:history="1">
        <w:r w:rsidR="00737BD5" w:rsidRPr="005F0ABE">
          <w:rPr>
            <w:u w:val="single"/>
            <w:lang w:val="es-419"/>
          </w:rPr>
          <w:t>https://www.wipo.int/about-wipo/en/oversight/iaod/audit/</w:t>
        </w:r>
      </w:hyperlink>
      <w:r w:rsidR="00737BD5" w:rsidRPr="005F0ABE">
        <w:rPr>
          <w:lang w:val="es-419"/>
        </w:rPr>
        <w:t>.</w:t>
      </w:r>
    </w:p>
    <w:p w:rsidR="0002239A" w:rsidRPr="005F0ABE" w:rsidRDefault="00932BA9" w:rsidP="0002239A">
      <w:pPr>
        <w:numPr>
          <w:ilvl w:val="0"/>
          <w:numId w:val="7"/>
        </w:numPr>
        <w:spacing w:after="220"/>
        <w:rPr>
          <w:lang w:val="es-419"/>
        </w:rPr>
      </w:pPr>
      <w:r w:rsidRPr="005F0ABE">
        <w:rPr>
          <w:lang w:val="es-419"/>
        </w:rPr>
        <w:t>A la luz del origen del</w:t>
      </w:r>
      <w:r w:rsidR="005F0ABE">
        <w:rPr>
          <w:lang w:val="es-419"/>
        </w:rPr>
        <w:t xml:space="preserve"> proyecto</w:t>
      </w:r>
      <w:r w:rsidR="00737BD5" w:rsidRPr="005F0ABE">
        <w:rPr>
          <w:lang w:val="es-419"/>
        </w:rPr>
        <w:t xml:space="preserve">, </w:t>
      </w:r>
      <w:r w:rsidRPr="005F0ABE">
        <w:rPr>
          <w:lang w:val="es-419"/>
        </w:rPr>
        <w:t>se entiende que, hasta el momento, al hacer referencia en el proyecto a la</w:t>
      </w:r>
      <w:r w:rsidR="00737BD5" w:rsidRPr="005F0ABE">
        <w:rPr>
          <w:lang w:val="es-419"/>
        </w:rPr>
        <w:t xml:space="preserve"> “</w:t>
      </w:r>
      <w:r w:rsidR="0002239A" w:rsidRPr="005F0ABE">
        <w:rPr>
          <w:lang w:val="es-419"/>
        </w:rPr>
        <w:t>compensación por saldos netos</w:t>
      </w:r>
      <w:r w:rsidR="00737BD5" w:rsidRPr="005F0ABE">
        <w:rPr>
          <w:lang w:val="es-419"/>
        </w:rPr>
        <w:t xml:space="preserve">” </w:t>
      </w:r>
      <w:r w:rsidRPr="005F0ABE">
        <w:rPr>
          <w:lang w:val="es-419"/>
        </w:rPr>
        <w:t xml:space="preserve">se engloban las transferencias de tasas por conducto de la </w:t>
      </w:r>
      <w:r w:rsidR="0002239A" w:rsidRPr="005F0ABE">
        <w:rPr>
          <w:lang w:val="es-419"/>
        </w:rPr>
        <w:t>Oficina Internacional</w:t>
      </w:r>
      <w:r w:rsidR="00737BD5" w:rsidRPr="005F0ABE">
        <w:rPr>
          <w:lang w:val="es-419"/>
        </w:rPr>
        <w:t xml:space="preserve">, </w:t>
      </w:r>
      <w:r w:rsidRPr="005F0ABE">
        <w:rPr>
          <w:lang w:val="es-419"/>
        </w:rPr>
        <w:t>con independencia de que una determinada transferencia sea consecuencia de una compensación entre importes</w:t>
      </w:r>
      <w:r w:rsidR="00737BD5" w:rsidRPr="005F0ABE">
        <w:rPr>
          <w:lang w:val="es-419"/>
        </w:rPr>
        <w:t xml:space="preserve">. </w:t>
      </w:r>
      <w:r w:rsidRPr="005F0ABE">
        <w:rPr>
          <w:lang w:val="es-419"/>
        </w:rPr>
        <w:t xml:space="preserve">En el presente </w:t>
      </w:r>
      <w:r w:rsidR="005F0ABE" w:rsidRPr="005F0ABE">
        <w:rPr>
          <w:lang w:val="es-419"/>
        </w:rPr>
        <w:t>documento</w:t>
      </w:r>
      <w:r w:rsidR="00737BD5" w:rsidRPr="005F0ABE">
        <w:rPr>
          <w:lang w:val="es-419"/>
        </w:rPr>
        <w:t xml:space="preserve"> </w:t>
      </w:r>
      <w:r w:rsidRPr="005F0ABE">
        <w:rPr>
          <w:lang w:val="es-419"/>
        </w:rPr>
        <w:t>sigue utilizándose esa terminología</w:t>
      </w:r>
      <w:r w:rsidR="00737BD5" w:rsidRPr="005F0ABE">
        <w:rPr>
          <w:lang w:val="es-419"/>
        </w:rPr>
        <w:t xml:space="preserve">, </w:t>
      </w:r>
      <w:r w:rsidR="00985BE4" w:rsidRPr="005F0ABE">
        <w:rPr>
          <w:lang w:val="es-419"/>
        </w:rPr>
        <w:t>pero se está elaborando terminología más específica para el</w:t>
      </w:r>
      <w:r w:rsidR="00737BD5" w:rsidRPr="005F0ABE">
        <w:rPr>
          <w:lang w:val="es-419"/>
        </w:rPr>
        <w:t xml:space="preserve"> </w:t>
      </w:r>
      <w:r w:rsidR="005F0ABE" w:rsidRPr="005F0ABE">
        <w:rPr>
          <w:lang w:val="es-419"/>
        </w:rPr>
        <w:t>futuro</w:t>
      </w:r>
      <w:r w:rsidR="00737BD5" w:rsidRPr="005F0ABE">
        <w:rPr>
          <w:lang w:val="es-419"/>
        </w:rPr>
        <w:t xml:space="preserve"> (</w:t>
      </w:r>
      <w:r w:rsidR="00985BE4" w:rsidRPr="005F0ABE">
        <w:rPr>
          <w:lang w:val="es-419"/>
        </w:rPr>
        <w:t xml:space="preserve">véase el </w:t>
      </w:r>
      <w:r w:rsidR="005F0ABE" w:rsidRPr="005F0ABE">
        <w:rPr>
          <w:lang w:val="es-419"/>
        </w:rPr>
        <w:t>documento</w:t>
      </w:r>
      <w:r w:rsidR="00737BD5" w:rsidRPr="005F0ABE">
        <w:rPr>
          <w:lang w:val="es-419"/>
        </w:rPr>
        <w:t xml:space="preserve"> </w:t>
      </w:r>
      <w:r w:rsidR="00985BE4" w:rsidRPr="005F0ABE">
        <w:rPr>
          <w:lang w:val="es-419"/>
        </w:rPr>
        <w:t>PCT</w:t>
      </w:r>
      <w:r w:rsidR="00737BD5" w:rsidRPr="005F0ABE">
        <w:rPr>
          <w:lang w:val="es-419"/>
        </w:rPr>
        <w:t>/WG</w:t>
      </w:r>
      <w:r w:rsidR="00985BE4" w:rsidRPr="005F0ABE">
        <w:rPr>
          <w:lang w:val="es-419"/>
        </w:rPr>
        <w:t>/12/20), con miras a evitar la</w:t>
      </w:r>
      <w:r w:rsidR="00737BD5" w:rsidRPr="005F0ABE">
        <w:rPr>
          <w:lang w:val="es-419"/>
        </w:rPr>
        <w:t xml:space="preserve"> </w:t>
      </w:r>
      <w:r w:rsidR="005F0ABE" w:rsidRPr="005F0ABE">
        <w:rPr>
          <w:lang w:val="es-419"/>
        </w:rPr>
        <w:t>impresión</w:t>
      </w:r>
      <w:r w:rsidR="00737BD5" w:rsidRPr="005F0ABE">
        <w:rPr>
          <w:lang w:val="es-419"/>
        </w:rPr>
        <w:t xml:space="preserve"> </w:t>
      </w:r>
      <w:r w:rsidR="00985BE4" w:rsidRPr="005F0ABE">
        <w:rPr>
          <w:lang w:val="es-419"/>
        </w:rPr>
        <w:t xml:space="preserve">de que, para tomar parte en las nuevas disposiciones, se </w:t>
      </w:r>
      <w:r w:rsidR="005F0ABE" w:rsidRPr="005F0ABE">
        <w:rPr>
          <w:lang w:val="es-419"/>
        </w:rPr>
        <w:t>exige</w:t>
      </w:r>
      <w:r w:rsidR="00985BE4" w:rsidRPr="005F0ABE">
        <w:rPr>
          <w:lang w:val="es-419"/>
        </w:rPr>
        <w:t xml:space="preserve"> a las </w:t>
      </w:r>
      <w:r w:rsidR="00787BD4" w:rsidRPr="005F0ABE">
        <w:rPr>
          <w:lang w:val="es-419"/>
        </w:rPr>
        <w:t>Oficina</w:t>
      </w:r>
      <w:r w:rsidR="00985BE4" w:rsidRPr="005F0ABE">
        <w:rPr>
          <w:lang w:val="es-419"/>
        </w:rPr>
        <w:t xml:space="preserve">s que acepten la </w:t>
      </w:r>
      <w:r w:rsidR="0002239A" w:rsidRPr="005F0ABE">
        <w:rPr>
          <w:lang w:val="es-419"/>
        </w:rPr>
        <w:t>compensación por saldos netos</w:t>
      </w:r>
      <w:r w:rsidR="00737BD5" w:rsidRPr="005F0ABE">
        <w:rPr>
          <w:lang w:val="es-419"/>
        </w:rPr>
        <w:t xml:space="preserve"> </w:t>
      </w:r>
      <w:r w:rsidR="00BD2041">
        <w:rPr>
          <w:lang w:val="es-419"/>
        </w:rPr>
        <w:t>entre</w:t>
      </w:r>
      <w:r w:rsidR="00985BE4" w:rsidRPr="005F0ABE">
        <w:rPr>
          <w:lang w:val="es-419"/>
        </w:rPr>
        <w:t xml:space="preserve"> las tasas </w:t>
      </w:r>
      <w:r w:rsidR="00B61BE4" w:rsidRPr="005F0ABE">
        <w:rPr>
          <w:lang w:val="es-419"/>
        </w:rPr>
        <w:t>percibidas</w:t>
      </w:r>
      <w:r w:rsidR="00985BE4" w:rsidRPr="005F0ABE">
        <w:rPr>
          <w:lang w:val="es-419"/>
        </w:rPr>
        <w:t xml:space="preserve"> </w:t>
      </w:r>
      <w:r w:rsidR="00BD2041">
        <w:rPr>
          <w:lang w:val="es-419"/>
        </w:rPr>
        <w:t xml:space="preserve">y las </w:t>
      </w:r>
      <w:r w:rsidR="004449B0" w:rsidRPr="005F0ABE">
        <w:rPr>
          <w:lang w:val="es-419"/>
        </w:rPr>
        <w:t>tasas pagaderas</w:t>
      </w:r>
      <w:r w:rsidR="00737BD5" w:rsidRPr="005F0ABE">
        <w:rPr>
          <w:lang w:val="es-419"/>
        </w:rPr>
        <w:t>.</w:t>
      </w:r>
    </w:p>
    <w:p w:rsidR="0002239A" w:rsidRPr="005F0ABE" w:rsidRDefault="00DB675E" w:rsidP="0002239A">
      <w:pPr>
        <w:keepNext/>
        <w:spacing w:before="240" w:after="60"/>
        <w:outlineLvl w:val="0"/>
        <w:rPr>
          <w:b/>
          <w:bCs/>
          <w:caps/>
          <w:kern w:val="32"/>
          <w:szCs w:val="32"/>
          <w:lang w:val="es-419"/>
        </w:rPr>
      </w:pPr>
      <w:r w:rsidRPr="005F0ABE">
        <w:rPr>
          <w:b/>
          <w:bCs/>
          <w:caps/>
          <w:kern w:val="32"/>
          <w:szCs w:val="32"/>
          <w:lang w:val="es-419"/>
        </w:rPr>
        <w:t>INTRODUCCIÓN DE UN PROCESO PAR</w:t>
      </w:r>
      <w:r w:rsidR="0002239A" w:rsidRPr="005F0ABE">
        <w:rPr>
          <w:b/>
          <w:bCs/>
          <w:caps/>
          <w:kern w:val="32"/>
          <w:szCs w:val="32"/>
          <w:lang w:val="es-419"/>
        </w:rPr>
        <w:t>a la transferencia de tasas</w:t>
      </w:r>
    </w:p>
    <w:p w:rsidR="0002239A" w:rsidRPr="005F0ABE" w:rsidRDefault="00DB675E" w:rsidP="00737BD5">
      <w:pPr>
        <w:keepNext/>
        <w:spacing w:before="240" w:after="60"/>
        <w:outlineLvl w:val="1"/>
        <w:rPr>
          <w:bCs/>
          <w:iCs/>
          <w:caps/>
          <w:szCs w:val="28"/>
          <w:lang w:val="es-419"/>
        </w:rPr>
      </w:pPr>
      <w:r w:rsidRPr="005F0ABE">
        <w:rPr>
          <w:bCs/>
          <w:iCs/>
          <w:caps/>
          <w:szCs w:val="28"/>
          <w:lang w:val="es-419"/>
        </w:rPr>
        <w:t>ALCANCE DEL PROCESO</w:t>
      </w:r>
    </w:p>
    <w:p w:rsidR="0002239A" w:rsidRPr="005F0ABE" w:rsidRDefault="00733AF9" w:rsidP="00733AF9">
      <w:pPr>
        <w:pStyle w:val="ONUME"/>
        <w:numPr>
          <w:ilvl w:val="0"/>
          <w:numId w:val="7"/>
        </w:numPr>
        <w:rPr>
          <w:lang w:val="es-419"/>
        </w:rPr>
      </w:pPr>
      <w:bookmarkStart w:id="6" w:name="_Ref503272562"/>
      <w:r w:rsidRPr="005F0ABE">
        <w:rPr>
          <w:lang w:val="es-419"/>
        </w:rPr>
        <w:t>A comienzos de 2018, la Oficina Internacional introdujo un proyecto piloto para la compensación por saldos netos de las tasas del PCT, sobre la base de acuerdos aplicados satisfactoriamente entre la Oficina de Patentes y Marcas de los Estados Unidos de América (USPTO), en calidad de Oficina receptora, y la Oficina Europea de Patentes (OEP), en calidad de ISA, para la transferencia de las tasas de búsqueda, por conducto de la Oficina Internacional, de la Oficina receptora a la ISA. Este proyecto piloto amplió considerablemente el número de Oficinas participantes, los tipos de tasas a los que se aplicó y las disposiciones para equilibrar los pagos en ambas direcciones.</w:t>
      </w:r>
      <w:bookmarkEnd w:id="6"/>
    </w:p>
    <w:p w:rsidR="0002239A" w:rsidRPr="005F0ABE" w:rsidRDefault="00B24508" w:rsidP="0002239A">
      <w:pPr>
        <w:numPr>
          <w:ilvl w:val="0"/>
          <w:numId w:val="7"/>
        </w:numPr>
        <w:spacing w:after="220"/>
        <w:rPr>
          <w:lang w:val="es-419"/>
        </w:rPr>
      </w:pPr>
      <w:r w:rsidRPr="005F0ABE">
        <w:rPr>
          <w:lang w:val="es-419"/>
        </w:rPr>
        <w:lastRenderedPageBreak/>
        <w:t>Actualmente, e</w:t>
      </w:r>
      <w:r w:rsidR="0002239A" w:rsidRPr="005F0ABE">
        <w:rPr>
          <w:lang w:val="es-419"/>
        </w:rPr>
        <w:t>l proyecto piloto prevé la compensación por saldos netos de las siguientes tasas e importes:</w:t>
      </w:r>
    </w:p>
    <w:p w:rsidR="0002239A" w:rsidRPr="005F0ABE" w:rsidRDefault="00BD2041" w:rsidP="0002239A">
      <w:pPr>
        <w:numPr>
          <w:ilvl w:val="1"/>
          <w:numId w:val="7"/>
        </w:numPr>
        <w:spacing w:after="220"/>
        <w:rPr>
          <w:lang w:val="es-419"/>
        </w:rPr>
      </w:pPr>
      <w:r w:rsidRPr="005F0ABE">
        <w:rPr>
          <w:lang w:val="es-419"/>
        </w:rPr>
        <w:t xml:space="preserve">las </w:t>
      </w:r>
      <w:r w:rsidR="00B24508" w:rsidRPr="005F0ABE">
        <w:rPr>
          <w:lang w:val="es-419"/>
        </w:rPr>
        <w:t>tasas del PCT per</w:t>
      </w:r>
      <w:r w:rsidR="0002239A" w:rsidRPr="005F0ABE">
        <w:rPr>
          <w:lang w:val="es-419"/>
        </w:rPr>
        <w:t xml:space="preserve">cibidas por las Oficinas en calidad de Oficina receptora o Administración encargada del examen preliminar internacional (IPEA) </w:t>
      </w:r>
      <w:r w:rsidR="00B61BE4" w:rsidRPr="005F0ABE">
        <w:rPr>
          <w:lang w:val="es-419"/>
        </w:rPr>
        <w:t>en favor de</w:t>
      </w:r>
      <w:r w:rsidR="0002239A" w:rsidRPr="005F0ABE">
        <w:rPr>
          <w:lang w:val="es-419"/>
        </w:rPr>
        <w:t xml:space="preserve"> la Oficina Internacional o </w:t>
      </w:r>
      <w:r w:rsidR="00B61BE4" w:rsidRPr="005F0ABE">
        <w:rPr>
          <w:lang w:val="es-419"/>
        </w:rPr>
        <w:t xml:space="preserve">de </w:t>
      </w:r>
      <w:r w:rsidR="0002239A" w:rsidRPr="005F0ABE">
        <w:rPr>
          <w:lang w:val="es-419"/>
        </w:rPr>
        <w:t>otras Oficinas:</w:t>
      </w:r>
    </w:p>
    <w:p w:rsidR="0002239A" w:rsidRPr="005F0ABE" w:rsidRDefault="0002239A" w:rsidP="0002239A">
      <w:pPr>
        <w:numPr>
          <w:ilvl w:val="2"/>
          <w:numId w:val="7"/>
        </w:numPr>
        <w:spacing w:after="220"/>
        <w:rPr>
          <w:lang w:val="es-419"/>
        </w:rPr>
      </w:pPr>
      <w:r w:rsidRPr="005F0ABE">
        <w:rPr>
          <w:lang w:val="es-419"/>
        </w:rPr>
        <w:t>tasas de presentación internacional percibidas por la Oficina en calidad de Oficina receptora;</w:t>
      </w:r>
    </w:p>
    <w:p w:rsidR="0002239A" w:rsidRPr="005F0ABE" w:rsidRDefault="0002239A" w:rsidP="0002239A">
      <w:pPr>
        <w:numPr>
          <w:ilvl w:val="2"/>
          <w:numId w:val="7"/>
        </w:numPr>
        <w:spacing w:after="220"/>
        <w:rPr>
          <w:lang w:val="es-419"/>
        </w:rPr>
      </w:pPr>
      <w:r w:rsidRPr="005F0ABE">
        <w:rPr>
          <w:lang w:val="es-419"/>
        </w:rPr>
        <w:t>tasas de búsqueda percibidas por la Oficina en calidad de Oficina receptora para su transferencia a otras Oficinas que actúan en calidad de ISA;</w:t>
      </w:r>
    </w:p>
    <w:p w:rsidR="0002239A" w:rsidRPr="005F0ABE" w:rsidRDefault="0002239A" w:rsidP="0002239A">
      <w:pPr>
        <w:numPr>
          <w:ilvl w:val="2"/>
          <w:numId w:val="7"/>
        </w:numPr>
        <w:spacing w:after="220"/>
        <w:rPr>
          <w:lang w:val="es-419"/>
        </w:rPr>
      </w:pPr>
      <w:r w:rsidRPr="005F0ABE">
        <w:rPr>
          <w:lang w:val="es-419"/>
        </w:rPr>
        <w:t>tasas de tramitación percibidas por la Oficina en calidad de IPEA;</w:t>
      </w:r>
    </w:p>
    <w:p w:rsidR="0002239A" w:rsidRPr="005F0ABE" w:rsidRDefault="00BD2041" w:rsidP="0002239A">
      <w:pPr>
        <w:keepNext/>
        <w:keepLines/>
        <w:numPr>
          <w:ilvl w:val="1"/>
          <w:numId w:val="7"/>
        </w:numPr>
        <w:spacing w:after="220"/>
        <w:rPr>
          <w:lang w:val="es-419"/>
        </w:rPr>
      </w:pPr>
      <w:r w:rsidRPr="005F0ABE">
        <w:rPr>
          <w:lang w:val="es-419"/>
        </w:rPr>
        <w:t xml:space="preserve">las </w:t>
      </w:r>
      <w:r w:rsidR="00762346" w:rsidRPr="005F0ABE">
        <w:rPr>
          <w:lang w:val="es-419"/>
        </w:rPr>
        <w:t>tasas del PCT per</w:t>
      </w:r>
      <w:r w:rsidR="0002239A" w:rsidRPr="005F0ABE">
        <w:rPr>
          <w:lang w:val="es-419"/>
        </w:rPr>
        <w:t xml:space="preserve">cibidas por la Oficina Internacional </w:t>
      </w:r>
      <w:r w:rsidR="00762346" w:rsidRPr="005F0ABE">
        <w:rPr>
          <w:lang w:val="es-419"/>
        </w:rPr>
        <w:t>en favor de las ISA</w:t>
      </w:r>
      <w:r w:rsidR="0002239A" w:rsidRPr="005F0ABE">
        <w:rPr>
          <w:lang w:val="es-419"/>
        </w:rPr>
        <w:t>:</w:t>
      </w:r>
    </w:p>
    <w:p w:rsidR="0002239A" w:rsidRPr="005F0ABE" w:rsidRDefault="0002239A" w:rsidP="0002239A">
      <w:pPr>
        <w:numPr>
          <w:ilvl w:val="2"/>
          <w:numId w:val="7"/>
        </w:numPr>
        <w:spacing w:after="220"/>
        <w:rPr>
          <w:lang w:val="es-419"/>
        </w:rPr>
      </w:pPr>
      <w:r w:rsidRPr="005F0ABE">
        <w:rPr>
          <w:lang w:val="es-419"/>
        </w:rPr>
        <w:t>tasas de búsqueda percibidas por la Oficina Internacional en calidad de Oficina receptora en nombre de las ISA que participen en el proyecto piloto;</w:t>
      </w:r>
    </w:p>
    <w:p w:rsidR="0002239A" w:rsidRPr="005F0ABE" w:rsidRDefault="0002239A" w:rsidP="0002239A">
      <w:pPr>
        <w:numPr>
          <w:ilvl w:val="2"/>
          <w:numId w:val="7"/>
        </w:numPr>
        <w:spacing w:after="220"/>
        <w:rPr>
          <w:lang w:val="es-419"/>
        </w:rPr>
      </w:pPr>
      <w:r w:rsidRPr="005F0ABE">
        <w:rPr>
          <w:lang w:val="es-419"/>
        </w:rPr>
        <w:t xml:space="preserve">tasas de búsqueda </w:t>
      </w:r>
      <w:r w:rsidR="00BD2041">
        <w:rPr>
          <w:lang w:val="es-419"/>
        </w:rPr>
        <w:t>su</w:t>
      </w:r>
      <w:r w:rsidRPr="005F0ABE">
        <w:rPr>
          <w:lang w:val="es-419"/>
        </w:rPr>
        <w:t xml:space="preserve">plementaria percibidas por la Oficina Internacional para su transferencia a una Administración designada para la búsqueda suplementaria (SISA) que </w:t>
      </w:r>
      <w:r w:rsidR="00762346" w:rsidRPr="005F0ABE">
        <w:rPr>
          <w:lang w:val="es-419"/>
        </w:rPr>
        <w:t>participe en el proyecto piloto; y</w:t>
      </w:r>
    </w:p>
    <w:p w:rsidR="0002239A" w:rsidRPr="005F0ABE" w:rsidRDefault="00BD2041" w:rsidP="0002239A">
      <w:pPr>
        <w:numPr>
          <w:ilvl w:val="1"/>
          <w:numId w:val="7"/>
        </w:numPr>
        <w:spacing w:after="220"/>
        <w:rPr>
          <w:lang w:val="es-419"/>
        </w:rPr>
      </w:pPr>
      <w:r w:rsidRPr="005F0ABE">
        <w:rPr>
          <w:lang w:val="es-419"/>
        </w:rPr>
        <w:t xml:space="preserve">los </w:t>
      </w:r>
      <w:r w:rsidR="0002239A" w:rsidRPr="005F0ABE">
        <w:rPr>
          <w:lang w:val="es-419"/>
        </w:rPr>
        <w:t xml:space="preserve">importes adeudados por la Oficina Internacional a la ISA o por la ISA a la Oficina Internacional en virtud de la Regla 16.1.e) que se deriven de ganancias o pérdidas cambiarias en las que incurra la Oficina en calidad de ISA debido a la transferencia de las tasas de búsqueda a la ISA por las </w:t>
      </w:r>
      <w:r w:rsidR="00787BD4" w:rsidRPr="005F0ABE">
        <w:rPr>
          <w:lang w:val="es-419"/>
        </w:rPr>
        <w:t>Oficina</w:t>
      </w:r>
      <w:r w:rsidR="008D5DD1" w:rsidRPr="005F0ABE">
        <w:rPr>
          <w:lang w:val="es-419"/>
        </w:rPr>
        <w:t>s receptoras</w:t>
      </w:r>
      <w:r w:rsidR="0002239A" w:rsidRPr="005F0ABE">
        <w:rPr>
          <w:lang w:val="es-419"/>
        </w:rPr>
        <w:t xml:space="preserve"> que no participen en el proyecto piloto</w:t>
      </w:r>
      <w:r w:rsidR="008D5DD1" w:rsidRPr="005F0ABE">
        <w:rPr>
          <w:lang w:val="es-419"/>
        </w:rPr>
        <w:t>,</w:t>
      </w:r>
      <w:r w:rsidR="0002239A" w:rsidRPr="005F0ABE">
        <w:rPr>
          <w:lang w:val="es-419"/>
        </w:rPr>
        <w:t xml:space="preserve"> en </w:t>
      </w:r>
      <w:r w:rsidR="00E81D8F">
        <w:rPr>
          <w:lang w:val="es-419"/>
        </w:rPr>
        <w:t>monedas</w:t>
      </w:r>
      <w:r w:rsidR="0002239A" w:rsidRPr="005F0ABE">
        <w:rPr>
          <w:lang w:val="es-419"/>
        </w:rPr>
        <w:t xml:space="preserve"> </w:t>
      </w:r>
      <w:r w:rsidR="008D5DD1" w:rsidRPr="005F0ABE">
        <w:rPr>
          <w:lang w:val="es-419"/>
        </w:rPr>
        <w:t xml:space="preserve">(que no sean la </w:t>
      </w:r>
      <w:r w:rsidR="00E81D8F">
        <w:rPr>
          <w:lang w:val="es-419"/>
        </w:rPr>
        <w:t xml:space="preserve">moneda </w:t>
      </w:r>
      <w:r w:rsidR="008D5DD1" w:rsidRPr="005F0ABE">
        <w:rPr>
          <w:lang w:val="es-419"/>
        </w:rPr>
        <w:t xml:space="preserve">en la </w:t>
      </w:r>
      <w:r w:rsidR="00E81D8F">
        <w:rPr>
          <w:lang w:val="es-419"/>
        </w:rPr>
        <w:t xml:space="preserve">que </w:t>
      </w:r>
      <w:r w:rsidR="0002239A" w:rsidRPr="005F0ABE">
        <w:rPr>
          <w:lang w:val="es-419"/>
        </w:rPr>
        <w:t xml:space="preserve">la ISA haya </w:t>
      </w:r>
      <w:r w:rsidR="00E81D8F">
        <w:rPr>
          <w:lang w:val="es-419"/>
        </w:rPr>
        <w:t>fijado</w:t>
      </w:r>
      <w:r w:rsidR="0002239A" w:rsidRPr="005F0ABE">
        <w:rPr>
          <w:lang w:val="es-419"/>
        </w:rPr>
        <w:t xml:space="preserve"> su tasa de búsqueda</w:t>
      </w:r>
      <w:r w:rsidR="008D5DD1" w:rsidRPr="005F0ABE">
        <w:rPr>
          <w:lang w:val="es-419"/>
        </w:rPr>
        <w:t>)</w:t>
      </w:r>
      <w:r w:rsidR="0002239A" w:rsidRPr="005F0ABE">
        <w:rPr>
          <w:lang w:val="es-419"/>
        </w:rPr>
        <w:t xml:space="preserve"> que puedan convertirse libremente a la</w:t>
      </w:r>
      <w:r w:rsidR="00E81D8F">
        <w:rPr>
          <w:lang w:val="es-419"/>
        </w:rPr>
        <w:t xml:space="preserve"> moneda fijada</w:t>
      </w:r>
      <w:r w:rsidR="0002239A" w:rsidRPr="005F0ABE">
        <w:rPr>
          <w:lang w:val="es-419"/>
        </w:rPr>
        <w:t>.</w:t>
      </w:r>
    </w:p>
    <w:p w:rsidR="0002239A" w:rsidRPr="005F0ABE" w:rsidRDefault="003046E5" w:rsidP="0002239A">
      <w:pPr>
        <w:numPr>
          <w:ilvl w:val="0"/>
          <w:numId w:val="7"/>
        </w:numPr>
        <w:spacing w:after="220"/>
        <w:rPr>
          <w:lang w:val="es-419"/>
        </w:rPr>
      </w:pPr>
      <w:r w:rsidRPr="005F0ABE">
        <w:rPr>
          <w:lang w:val="es-419"/>
        </w:rPr>
        <w:t>El</w:t>
      </w:r>
      <w:r w:rsidR="00737BD5" w:rsidRPr="005F0ABE">
        <w:rPr>
          <w:lang w:val="es-419"/>
        </w:rPr>
        <w:t xml:space="preserve"> </w:t>
      </w:r>
      <w:r w:rsidR="005F0ABE" w:rsidRPr="005F0ABE">
        <w:rPr>
          <w:lang w:val="es-419"/>
        </w:rPr>
        <w:t>proceso</w:t>
      </w:r>
      <w:r w:rsidR="00737BD5" w:rsidRPr="005F0ABE">
        <w:rPr>
          <w:lang w:val="es-419"/>
        </w:rPr>
        <w:t xml:space="preserve"> </w:t>
      </w:r>
      <w:r w:rsidR="005F0ABE" w:rsidRPr="005F0ABE">
        <w:rPr>
          <w:lang w:val="es-419"/>
        </w:rPr>
        <w:t>no</w:t>
      </w:r>
      <w:r w:rsidR="00737BD5" w:rsidRPr="005F0ABE">
        <w:rPr>
          <w:lang w:val="es-419"/>
        </w:rPr>
        <w:t xml:space="preserve"> </w:t>
      </w:r>
      <w:r w:rsidRPr="005F0ABE">
        <w:rPr>
          <w:lang w:val="es-419"/>
        </w:rPr>
        <w:t xml:space="preserve">se </w:t>
      </w:r>
      <w:r w:rsidR="005F0ABE" w:rsidRPr="005F0ABE">
        <w:rPr>
          <w:lang w:val="es-419"/>
        </w:rPr>
        <w:t>aplica</w:t>
      </w:r>
      <w:r w:rsidRPr="005F0ABE">
        <w:rPr>
          <w:lang w:val="es-419"/>
        </w:rPr>
        <w:t xml:space="preserve"> a las tasas percibidas por las </w:t>
      </w:r>
      <w:r w:rsidR="005F0ABE" w:rsidRPr="005F0ABE">
        <w:rPr>
          <w:lang w:val="es-419"/>
        </w:rPr>
        <w:t>Oficinas</w:t>
      </w:r>
      <w:r w:rsidRPr="005F0ABE">
        <w:rPr>
          <w:lang w:val="es-419"/>
        </w:rPr>
        <w:t xml:space="preserve"> receptoras en favor de la misma </w:t>
      </w:r>
      <w:r w:rsidR="00787BD4" w:rsidRPr="005F0ABE">
        <w:rPr>
          <w:lang w:val="es-419"/>
        </w:rPr>
        <w:t>Oficina</w:t>
      </w:r>
      <w:r w:rsidRPr="005F0ABE">
        <w:rPr>
          <w:lang w:val="es-419"/>
        </w:rPr>
        <w:t xml:space="preserve"> en su función de ISA</w:t>
      </w:r>
      <w:r w:rsidR="00737BD5" w:rsidRPr="005F0ABE">
        <w:rPr>
          <w:lang w:val="es-419"/>
        </w:rPr>
        <w:t>.</w:t>
      </w:r>
    </w:p>
    <w:p w:rsidR="0002239A" w:rsidRPr="005F0ABE" w:rsidRDefault="00737BD5" w:rsidP="0002239A">
      <w:pPr>
        <w:numPr>
          <w:ilvl w:val="0"/>
          <w:numId w:val="7"/>
        </w:numPr>
        <w:spacing w:after="220"/>
        <w:rPr>
          <w:lang w:val="es-419"/>
        </w:rPr>
      </w:pPr>
      <w:r w:rsidRPr="005F0ABE">
        <w:rPr>
          <w:lang w:val="es-419"/>
        </w:rPr>
        <w:t>T</w:t>
      </w:r>
      <w:r w:rsidR="00EB277C" w:rsidRPr="005F0ABE">
        <w:rPr>
          <w:lang w:val="es-419"/>
        </w:rPr>
        <w:t>ambién se prevé empezar a extender, en un futuro próximo, el proyecto</w:t>
      </w:r>
      <w:r w:rsidRPr="005F0ABE">
        <w:rPr>
          <w:lang w:val="es-419"/>
        </w:rPr>
        <w:t xml:space="preserve"> </w:t>
      </w:r>
      <w:r w:rsidR="005F0ABE" w:rsidRPr="005F0ABE">
        <w:rPr>
          <w:lang w:val="es-419"/>
        </w:rPr>
        <w:t>piloto</w:t>
      </w:r>
      <w:r w:rsidRPr="005F0ABE">
        <w:rPr>
          <w:lang w:val="es-419"/>
        </w:rPr>
        <w:t xml:space="preserve"> </w:t>
      </w:r>
      <w:r w:rsidR="00EB277C" w:rsidRPr="005F0ABE">
        <w:rPr>
          <w:lang w:val="es-419"/>
        </w:rPr>
        <w:t xml:space="preserve">a los pagos relativos a otros servicios que presta la </w:t>
      </w:r>
      <w:r w:rsidR="0002239A" w:rsidRPr="005F0ABE">
        <w:rPr>
          <w:lang w:val="es-419"/>
        </w:rPr>
        <w:t>OMPI</w:t>
      </w:r>
      <w:r w:rsidRPr="005F0ABE">
        <w:rPr>
          <w:lang w:val="es-419"/>
        </w:rPr>
        <w:t>,</w:t>
      </w:r>
      <w:r w:rsidR="00EB277C" w:rsidRPr="005F0ABE">
        <w:rPr>
          <w:lang w:val="es-419"/>
        </w:rPr>
        <w:t xml:space="preserve"> por ejemplo, los Sistemas de Madrid y de La Haya</w:t>
      </w:r>
      <w:r w:rsidRPr="005F0ABE">
        <w:rPr>
          <w:lang w:val="es-419"/>
        </w:rPr>
        <w:t xml:space="preserve">, </w:t>
      </w:r>
      <w:r w:rsidR="00EB277C" w:rsidRPr="005F0ABE">
        <w:rPr>
          <w:lang w:val="es-419"/>
        </w:rPr>
        <w:t>para las Oficinas para las cuales ello sería pertinente y conveniente</w:t>
      </w:r>
      <w:r w:rsidRPr="005F0ABE">
        <w:rPr>
          <w:lang w:val="es-419"/>
        </w:rPr>
        <w:t>.</w:t>
      </w:r>
    </w:p>
    <w:p w:rsidR="0002239A" w:rsidRPr="005F0ABE" w:rsidRDefault="00EB277C" w:rsidP="00EB277C">
      <w:pPr>
        <w:pStyle w:val="ONUME"/>
        <w:rPr>
          <w:lang w:val="es-419"/>
        </w:rPr>
      </w:pPr>
      <w:r w:rsidRPr="005F0ABE">
        <w:rPr>
          <w:lang w:val="es-419"/>
        </w:rPr>
        <w:t>El programa informático destinado a gestionar el proceso de compensación por saldos netos</w:t>
      </w:r>
      <w:r w:rsidR="00737BD5" w:rsidRPr="005F0ABE">
        <w:rPr>
          <w:lang w:val="es-419"/>
        </w:rPr>
        <w:t xml:space="preserve">, </w:t>
      </w:r>
      <w:r w:rsidRPr="005F0ABE">
        <w:rPr>
          <w:lang w:val="es-419"/>
        </w:rPr>
        <w:t xml:space="preserve">que supone un costo </w:t>
      </w:r>
      <w:r w:rsidR="005F0ABE" w:rsidRPr="005F0ABE">
        <w:rPr>
          <w:lang w:val="es-419"/>
        </w:rPr>
        <w:t>anual</w:t>
      </w:r>
      <w:r w:rsidR="00737BD5" w:rsidRPr="005F0ABE">
        <w:rPr>
          <w:lang w:val="es-419"/>
        </w:rPr>
        <w:t xml:space="preserve"> </w:t>
      </w:r>
      <w:r w:rsidRPr="005F0ABE">
        <w:rPr>
          <w:lang w:val="es-419"/>
        </w:rPr>
        <w:t xml:space="preserve">de </w:t>
      </w:r>
      <w:r w:rsidR="00737BD5" w:rsidRPr="005F0ABE">
        <w:rPr>
          <w:lang w:val="es-419"/>
        </w:rPr>
        <w:t>69</w:t>
      </w:r>
      <w:r w:rsidRPr="005F0ABE">
        <w:rPr>
          <w:lang w:val="es-419"/>
        </w:rPr>
        <w:t>.</w:t>
      </w:r>
      <w:r w:rsidR="00737BD5" w:rsidRPr="005F0ABE">
        <w:rPr>
          <w:lang w:val="es-419"/>
        </w:rPr>
        <w:t xml:space="preserve">000 </w:t>
      </w:r>
      <w:r w:rsidRPr="005F0ABE">
        <w:rPr>
          <w:lang w:val="es-419"/>
        </w:rPr>
        <w:t>francos suizos y una tasa única de implementación de</w:t>
      </w:r>
      <w:r w:rsidR="00737BD5" w:rsidRPr="005F0ABE">
        <w:rPr>
          <w:lang w:val="es-419"/>
        </w:rPr>
        <w:t xml:space="preserve"> 5</w:t>
      </w:r>
      <w:r w:rsidRPr="005F0ABE">
        <w:rPr>
          <w:lang w:val="es-419"/>
        </w:rPr>
        <w:t>.</w:t>
      </w:r>
      <w:r w:rsidR="00737BD5" w:rsidRPr="005F0ABE">
        <w:rPr>
          <w:lang w:val="es-419"/>
        </w:rPr>
        <w:t xml:space="preserve">000 </w:t>
      </w:r>
      <w:r w:rsidRPr="005F0ABE">
        <w:rPr>
          <w:lang w:val="es-419"/>
        </w:rPr>
        <w:t>francos suizos</w:t>
      </w:r>
      <w:r w:rsidR="00737BD5" w:rsidRPr="005F0ABE">
        <w:rPr>
          <w:lang w:val="es-419"/>
        </w:rPr>
        <w:t>, ha</w:t>
      </w:r>
      <w:r w:rsidRPr="005F0ABE">
        <w:rPr>
          <w:lang w:val="es-419"/>
        </w:rPr>
        <w:t xml:space="preserve"> entrado plenamente en funcionamiento a comienzos de</w:t>
      </w:r>
      <w:r w:rsidR="00737BD5" w:rsidRPr="005F0ABE">
        <w:rPr>
          <w:lang w:val="es-419"/>
        </w:rPr>
        <w:t xml:space="preserve"> 2018.</w:t>
      </w:r>
    </w:p>
    <w:p w:rsidR="0002239A" w:rsidRPr="005F0ABE" w:rsidRDefault="005F0ABE" w:rsidP="00737BD5">
      <w:pPr>
        <w:keepNext/>
        <w:spacing w:before="240" w:after="60"/>
        <w:outlineLvl w:val="1"/>
        <w:rPr>
          <w:bCs/>
          <w:iCs/>
          <w:caps/>
          <w:szCs w:val="28"/>
          <w:lang w:val="es-419"/>
        </w:rPr>
      </w:pPr>
      <w:r w:rsidRPr="005F0ABE">
        <w:rPr>
          <w:bCs/>
          <w:iCs/>
          <w:caps/>
          <w:szCs w:val="28"/>
          <w:lang w:val="es-419"/>
        </w:rPr>
        <w:t>DEFINICIÓN</w:t>
      </w:r>
      <w:r w:rsidR="00737BD5" w:rsidRPr="005F0ABE">
        <w:rPr>
          <w:bCs/>
          <w:iCs/>
          <w:caps/>
          <w:szCs w:val="28"/>
          <w:lang w:val="es-419"/>
        </w:rPr>
        <w:t xml:space="preserve"> </w:t>
      </w:r>
      <w:r w:rsidR="00EB277C" w:rsidRPr="005F0ABE">
        <w:rPr>
          <w:bCs/>
          <w:iCs/>
          <w:caps/>
          <w:szCs w:val="28"/>
          <w:lang w:val="es-419"/>
        </w:rPr>
        <w:t>DEL</w:t>
      </w:r>
      <w:r w:rsidR="00737BD5" w:rsidRPr="005F0ABE">
        <w:rPr>
          <w:bCs/>
          <w:iCs/>
          <w:caps/>
          <w:szCs w:val="28"/>
          <w:lang w:val="es-419"/>
        </w:rPr>
        <w:t xml:space="preserve"> </w:t>
      </w:r>
      <w:r w:rsidRPr="005F0ABE">
        <w:rPr>
          <w:bCs/>
          <w:iCs/>
          <w:caps/>
          <w:szCs w:val="28"/>
          <w:lang w:val="es-419"/>
        </w:rPr>
        <w:t>PROCESO</w:t>
      </w:r>
    </w:p>
    <w:p w:rsidR="0002239A" w:rsidRPr="005F0ABE" w:rsidRDefault="00EB277C" w:rsidP="0002239A">
      <w:pPr>
        <w:numPr>
          <w:ilvl w:val="0"/>
          <w:numId w:val="7"/>
        </w:numPr>
        <w:spacing w:after="220"/>
        <w:rPr>
          <w:lang w:val="es-419"/>
        </w:rPr>
      </w:pPr>
      <w:r w:rsidRPr="005F0ABE">
        <w:rPr>
          <w:lang w:val="es-419"/>
        </w:rPr>
        <w:t xml:space="preserve">La </w:t>
      </w:r>
      <w:r w:rsidR="005F0ABE" w:rsidRPr="005F0ABE">
        <w:rPr>
          <w:lang w:val="es-419"/>
        </w:rPr>
        <w:t>participación</w:t>
      </w:r>
      <w:r w:rsidR="00737BD5" w:rsidRPr="005F0ABE">
        <w:rPr>
          <w:lang w:val="es-419"/>
        </w:rPr>
        <w:t xml:space="preserve"> </w:t>
      </w:r>
      <w:r w:rsidRPr="005F0ABE">
        <w:rPr>
          <w:lang w:val="es-419"/>
        </w:rPr>
        <w:t>de las ISA e</w:t>
      </w:r>
      <w:r w:rsidR="00737BD5" w:rsidRPr="005F0ABE">
        <w:rPr>
          <w:lang w:val="es-419"/>
        </w:rPr>
        <w:t xml:space="preserve">n </w:t>
      </w:r>
      <w:r w:rsidRPr="005F0ABE">
        <w:rPr>
          <w:lang w:val="es-419"/>
        </w:rPr>
        <w:t xml:space="preserve">el proyecto </w:t>
      </w:r>
      <w:r w:rsidR="005F0ABE" w:rsidRPr="005F0ABE">
        <w:rPr>
          <w:lang w:val="es-419"/>
        </w:rPr>
        <w:t>piloto</w:t>
      </w:r>
      <w:r w:rsidR="00737BD5" w:rsidRPr="005F0ABE">
        <w:rPr>
          <w:lang w:val="es-419"/>
        </w:rPr>
        <w:t xml:space="preserve"> </w:t>
      </w:r>
      <w:r w:rsidRPr="005F0ABE">
        <w:rPr>
          <w:lang w:val="es-419"/>
        </w:rPr>
        <w:t xml:space="preserve">se rige por un memorando </w:t>
      </w:r>
      <w:r w:rsidR="0002239A" w:rsidRPr="005F0ABE">
        <w:rPr>
          <w:lang w:val="es-419"/>
        </w:rPr>
        <w:t xml:space="preserve">de </w:t>
      </w:r>
      <w:r w:rsidRPr="005F0ABE">
        <w:rPr>
          <w:lang w:val="es-419"/>
        </w:rPr>
        <w:t xml:space="preserve">entendimiento </w:t>
      </w:r>
      <w:r w:rsidR="00737BD5" w:rsidRPr="005F0ABE">
        <w:rPr>
          <w:lang w:val="es-419"/>
        </w:rPr>
        <w:t>o</w:t>
      </w:r>
      <w:r w:rsidRPr="005F0ABE">
        <w:rPr>
          <w:lang w:val="es-419"/>
        </w:rPr>
        <w:t xml:space="preserve"> por un intercambio de correspondencia en los que se define el procedimiento de</w:t>
      </w:r>
      <w:r w:rsidR="00737BD5" w:rsidRPr="005F0ABE">
        <w:rPr>
          <w:lang w:val="es-419"/>
        </w:rPr>
        <w:t xml:space="preserve"> </w:t>
      </w:r>
      <w:r w:rsidR="0002239A" w:rsidRPr="005F0ABE">
        <w:rPr>
          <w:lang w:val="es-419"/>
        </w:rPr>
        <w:t>compensación por saldos netos</w:t>
      </w:r>
      <w:r w:rsidR="00737BD5" w:rsidRPr="005F0ABE">
        <w:rPr>
          <w:lang w:val="es-419"/>
        </w:rPr>
        <w:t xml:space="preserve"> </w:t>
      </w:r>
      <w:r w:rsidRPr="005F0ABE">
        <w:rPr>
          <w:lang w:val="es-419"/>
        </w:rPr>
        <w:t>y el proceso de transferencia de la tasa de búsqueda</w:t>
      </w:r>
      <w:r w:rsidR="00737BD5" w:rsidRPr="005F0ABE">
        <w:rPr>
          <w:lang w:val="es-419"/>
        </w:rPr>
        <w:t>, as</w:t>
      </w:r>
      <w:r w:rsidRPr="005F0ABE">
        <w:rPr>
          <w:lang w:val="es-419"/>
        </w:rPr>
        <w:t>í como los requisitos pertinentes en materia de documentación para la ISA de que se trate.</w:t>
      </w:r>
    </w:p>
    <w:p w:rsidR="0002239A" w:rsidRPr="005F0ABE" w:rsidRDefault="00DA28EA" w:rsidP="00DA28EA">
      <w:pPr>
        <w:pStyle w:val="ONUME"/>
        <w:rPr>
          <w:lang w:val="es-419"/>
        </w:rPr>
      </w:pPr>
      <w:r w:rsidRPr="005F0ABE">
        <w:rPr>
          <w:lang w:val="es-419"/>
        </w:rPr>
        <w:t>De conformidad con los términos del m</w:t>
      </w:r>
      <w:r w:rsidR="0002239A" w:rsidRPr="005F0ABE">
        <w:rPr>
          <w:lang w:val="es-419"/>
        </w:rPr>
        <w:t xml:space="preserve">emorando de </w:t>
      </w:r>
      <w:r w:rsidRPr="005F0ABE">
        <w:rPr>
          <w:lang w:val="es-419"/>
        </w:rPr>
        <w:t>entendimiento o el intercambio de correspondencia</w:t>
      </w:r>
      <w:r w:rsidR="00737BD5" w:rsidRPr="005F0ABE">
        <w:rPr>
          <w:lang w:val="es-419"/>
        </w:rPr>
        <w:t xml:space="preserve">, </w:t>
      </w:r>
      <w:r w:rsidRPr="005F0ABE">
        <w:rPr>
          <w:lang w:val="es-419"/>
        </w:rPr>
        <w:t xml:space="preserve">la </w:t>
      </w:r>
      <w:r w:rsidR="0002239A" w:rsidRPr="005F0ABE">
        <w:rPr>
          <w:lang w:val="es-419"/>
        </w:rPr>
        <w:t>Oficina Internacional</w:t>
      </w:r>
      <w:r w:rsidRPr="005F0ABE">
        <w:rPr>
          <w:lang w:val="es-419"/>
        </w:rPr>
        <w:t xml:space="preserve"> invita a participar en el proyecto piloto a cada una de las Oficinas receptoras que han especificado que la ISA participante es competente para la búsqueda internacional de solicitudes presentadas ante la Oficina receptora</w:t>
      </w:r>
      <w:r w:rsidR="00737BD5" w:rsidRPr="005F0ABE">
        <w:rPr>
          <w:lang w:val="es-419"/>
        </w:rPr>
        <w:t xml:space="preserve">. </w:t>
      </w:r>
      <w:r w:rsidR="0002239A" w:rsidRPr="005F0ABE">
        <w:rPr>
          <w:lang w:val="es-419"/>
        </w:rPr>
        <w:t>En cada caso:</w:t>
      </w:r>
    </w:p>
    <w:p w:rsidR="0002239A" w:rsidRPr="005F0ABE" w:rsidRDefault="0002239A" w:rsidP="0002239A">
      <w:pPr>
        <w:numPr>
          <w:ilvl w:val="1"/>
          <w:numId w:val="7"/>
        </w:numPr>
        <w:spacing w:after="220"/>
        <w:rPr>
          <w:lang w:val="es-419"/>
        </w:rPr>
      </w:pPr>
      <w:r w:rsidRPr="005F0ABE">
        <w:rPr>
          <w:lang w:val="es-419"/>
        </w:rPr>
        <w:lastRenderedPageBreak/>
        <w:t>la Oficina Internacional act</w:t>
      </w:r>
      <w:r w:rsidR="00FA76B8">
        <w:rPr>
          <w:lang w:val="es-419"/>
        </w:rPr>
        <w:t>úa</w:t>
      </w:r>
      <w:r w:rsidRPr="005F0ABE">
        <w:rPr>
          <w:lang w:val="es-419"/>
        </w:rPr>
        <w:t xml:space="preserve"> como “agente” de la ISA participante al recaudar las tasas de búsqueda en nombre de la ISA y revisar la documentación presentada por la Oficina receptora participante;</w:t>
      </w:r>
    </w:p>
    <w:p w:rsidR="0002239A" w:rsidRPr="005F0ABE" w:rsidRDefault="0002239A" w:rsidP="0002239A">
      <w:pPr>
        <w:numPr>
          <w:ilvl w:val="1"/>
          <w:numId w:val="7"/>
        </w:numPr>
        <w:spacing w:after="220"/>
        <w:rPr>
          <w:lang w:val="es-419"/>
        </w:rPr>
      </w:pPr>
      <w:r w:rsidRPr="005F0ABE">
        <w:rPr>
          <w:lang w:val="es-419"/>
        </w:rPr>
        <w:t xml:space="preserve">la Oficina Internacional acuerda con cada Oficina receptora participante un calendario para fijar la fecha de cada mes en que la Oficina receptora debe transferir las tasas de búsqueda a la Oficina Internacional </w:t>
      </w:r>
      <w:r w:rsidR="00DA28EA" w:rsidRPr="005F0ABE">
        <w:rPr>
          <w:lang w:val="es-419"/>
        </w:rPr>
        <w:t xml:space="preserve">con el </w:t>
      </w:r>
      <w:r w:rsidRPr="005F0ABE">
        <w:rPr>
          <w:lang w:val="es-419"/>
        </w:rPr>
        <w:t xml:space="preserve">fin de que esas tasas se transfieran a la ISA participante que corresponda, y </w:t>
      </w:r>
      <w:r w:rsidR="00DA28EA" w:rsidRPr="005F0ABE">
        <w:rPr>
          <w:lang w:val="es-419"/>
        </w:rPr>
        <w:t>acuerda también</w:t>
      </w:r>
      <w:r w:rsidRPr="005F0ABE">
        <w:rPr>
          <w:lang w:val="es-419"/>
        </w:rPr>
        <w:t xml:space="preserve"> la moneda para la transferencia de las tasas de búsqueda;</w:t>
      </w:r>
    </w:p>
    <w:p w:rsidR="0002239A" w:rsidRPr="005F0ABE" w:rsidRDefault="0002239A" w:rsidP="0002239A">
      <w:pPr>
        <w:numPr>
          <w:ilvl w:val="1"/>
          <w:numId w:val="7"/>
        </w:numPr>
        <w:spacing w:after="220"/>
        <w:rPr>
          <w:lang w:val="es-419"/>
        </w:rPr>
      </w:pPr>
      <w:r w:rsidRPr="005F0ABE">
        <w:rPr>
          <w:lang w:val="es-419"/>
        </w:rPr>
        <w:t xml:space="preserve">las transacciones no recibidas en la fecha acordada serán retenidas por la Oficina internacional y se transferirán </w:t>
      </w:r>
      <w:r w:rsidR="00DA28EA" w:rsidRPr="005F0ABE">
        <w:rPr>
          <w:lang w:val="es-419"/>
        </w:rPr>
        <w:t xml:space="preserve">el mes siguiente </w:t>
      </w:r>
      <w:r w:rsidRPr="005F0ABE">
        <w:rPr>
          <w:lang w:val="es-419"/>
        </w:rPr>
        <w:t>a la ISA participante.</w:t>
      </w:r>
    </w:p>
    <w:p w:rsidR="0002239A" w:rsidRPr="005F0ABE" w:rsidRDefault="00DA28EA" w:rsidP="00DA28EA">
      <w:pPr>
        <w:pStyle w:val="ONUME"/>
        <w:rPr>
          <w:lang w:val="es-419"/>
        </w:rPr>
      </w:pPr>
      <w:r w:rsidRPr="005F0ABE">
        <w:rPr>
          <w:lang w:val="es-419"/>
        </w:rPr>
        <w:t>Cada una de las</w:t>
      </w:r>
      <w:r w:rsidR="00737BD5" w:rsidRPr="005F0ABE">
        <w:rPr>
          <w:lang w:val="es-419"/>
        </w:rPr>
        <w:t xml:space="preserve"> </w:t>
      </w:r>
      <w:r w:rsidR="0002239A" w:rsidRPr="005F0ABE">
        <w:rPr>
          <w:lang w:val="es-419"/>
        </w:rPr>
        <w:t>Oficina</w:t>
      </w:r>
      <w:r w:rsidRPr="005F0ABE">
        <w:rPr>
          <w:lang w:val="es-419"/>
        </w:rPr>
        <w:t>s</w:t>
      </w:r>
      <w:r w:rsidR="0002239A" w:rsidRPr="005F0ABE">
        <w:rPr>
          <w:lang w:val="es-419"/>
        </w:rPr>
        <w:t xml:space="preserve"> receptora</w:t>
      </w:r>
      <w:r w:rsidRPr="005F0ABE">
        <w:rPr>
          <w:lang w:val="es-419"/>
        </w:rPr>
        <w:t>s</w:t>
      </w:r>
      <w:r w:rsidR="00737BD5" w:rsidRPr="005F0ABE">
        <w:rPr>
          <w:lang w:val="es-419"/>
        </w:rPr>
        <w:t xml:space="preserve"> </w:t>
      </w:r>
      <w:r w:rsidR="005F0ABE" w:rsidRPr="005F0ABE">
        <w:rPr>
          <w:lang w:val="es-419"/>
        </w:rPr>
        <w:t>invitadas</w:t>
      </w:r>
      <w:r w:rsidRPr="005F0ABE">
        <w:rPr>
          <w:lang w:val="es-419"/>
        </w:rPr>
        <w:t xml:space="preserve"> a participar tiene actualmente la opción de hacerlo o podrá indicar que prefiere seguir tratando directamente con la ISA.</w:t>
      </w:r>
      <w:r w:rsidR="00737BD5" w:rsidRPr="005F0ABE">
        <w:rPr>
          <w:lang w:val="es-419"/>
        </w:rPr>
        <w:t xml:space="preserve"> </w:t>
      </w:r>
      <w:r w:rsidRPr="005F0ABE">
        <w:rPr>
          <w:lang w:val="es-419"/>
        </w:rPr>
        <w:t>Sin embargo</w:t>
      </w:r>
      <w:r w:rsidR="00737BD5" w:rsidRPr="005F0ABE">
        <w:rPr>
          <w:lang w:val="es-419"/>
        </w:rPr>
        <w:t>,</w:t>
      </w:r>
      <w:r w:rsidR="00FA76B8">
        <w:rPr>
          <w:lang w:val="es-419"/>
        </w:rPr>
        <w:t xml:space="preserve"> el hecho de</w:t>
      </w:r>
      <w:r w:rsidRPr="005F0ABE">
        <w:rPr>
          <w:lang w:val="es-419"/>
        </w:rPr>
        <w:t xml:space="preserve"> dar a una Oficina receptora la</w:t>
      </w:r>
      <w:r w:rsidR="00737BD5" w:rsidRPr="005F0ABE">
        <w:rPr>
          <w:lang w:val="es-419"/>
        </w:rPr>
        <w:t xml:space="preserve"> </w:t>
      </w:r>
      <w:r w:rsidR="005F0ABE" w:rsidRPr="005F0ABE">
        <w:rPr>
          <w:lang w:val="es-419"/>
        </w:rPr>
        <w:t>opción</w:t>
      </w:r>
      <w:r w:rsidR="00737BD5" w:rsidRPr="005F0ABE">
        <w:rPr>
          <w:lang w:val="es-419"/>
        </w:rPr>
        <w:t xml:space="preserve"> </w:t>
      </w:r>
      <w:r w:rsidRPr="005F0ABE">
        <w:rPr>
          <w:lang w:val="es-419"/>
        </w:rPr>
        <w:t>de no participar</w:t>
      </w:r>
      <w:r w:rsidR="00737BD5" w:rsidRPr="005F0ABE">
        <w:rPr>
          <w:lang w:val="es-419"/>
        </w:rPr>
        <w:t xml:space="preserve">, </w:t>
      </w:r>
      <w:r w:rsidR="00FA76B8">
        <w:rPr>
          <w:lang w:val="es-419"/>
        </w:rPr>
        <w:t xml:space="preserve">obliga a </w:t>
      </w:r>
      <w:r w:rsidRPr="005F0ABE">
        <w:rPr>
          <w:lang w:val="es-419"/>
        </w:rPr>
        <w:t xml:space="preserve">las </w:t>
      </w:r>
      <w:r w:rsidR="00737BD5" w:rsidRPr="005F0ABE">
        <w:rPr>
          <w:lang w:val="es-419"/>
        </w:rPr>
        <w:t>I</w:t>
      </w:r>
      <w:r w:rsidRPr="005F0ABE">
        <w:rPr>
          <w:lang w:val="es-419"/>
        </w:rPr>
        <w:t xml:space="preserve">SA participantes en el proyecto piloto a aplicar dos procedimientos distintos para la recepción de las tasas de búsqueda </w:t>
      </w:r>
      <w:r w:rsidR="005F0ABE" w:rsidRPr="005F0ABE">
        <w:rPr>
          <w:lang w:val="es-419"/>
        </w:rPr>
        <w:t>internacional</w:t>
      </w:r>
      <w:r w:rsidR="00737BD5" w:rsidRPr="005F0ABE">
        <w:rPr>
          <w:lang w:val="es-419"/>
        </w:rPr>
        <w:t xml:space="preserve">, </w:t>
      </w:r>
      <w:r w:rsidRPr="005F0ABE">
        <w:rPr>
          <w:lang w:val="es-419"/>
        </w:rPr>
        <w:t xml:space="preserve">reduciendo las ventajas obtenidas hasta la fecha en </w:t>
      </w:r>
      <w:r w:rsidR="00FA76B8">
        <w:rPr>
          <w:lang w:val="es-419"/>
        </w:rPr>
        <w:t>lo que hace a</w:t>
      </w:r>
      <w:r w:rsidRPr="005F0ABE">
        <w:rPr>
          <w:lang w:val="es-419"/>
        </w:rPr>
        <w:t xml:space="preserve"> una mejor gestión del efectivo, </w:t>
      </w:r>
      <w:r w:rsidR="00B57701" w:rsidRPr="005F0ABE">
        <w:rPr>
          <w:lang w:val="es-419"/>
        </w:rPr>
        <w:t>la disminución de la</w:t>
      </w:r>
      <w:r w:rsidRPr="005F0ABE">
        <w:rPr>
          <w:lang w:val="es-419"/>
        </w:rPr>
        <w:t xml:space="preserve">s </w:t>
      </w:r>
      <w:r w:rsidR="00B57701" w:rsidRPr="005F0ABE">
        <w:rPr>
          <w:lang w:val="es-419"/>
        </w:rPr>
        <w:t>comisiones bancaria</w:t>
      </w:r>
      <w:r w:rsidRPr="005F0ABE">
        <w:rPr>
          <w:lang w:val="es-419"/>
        </w:rPr>
        <w:t>s y la</w:t>
      </w:r>
      <w:r w:rsidR="00737BD5" w:rsidRPr="005F0ABE">
        <w:rPr>
          <w:lang w:val="es-419"/>
        </w:rPr>
        <w:t xml:space="preserve"> </w:t>
      </w:r>
      <w:r w:rsidR="005F0ABE" w:rsidRPr="005F0ABE">
        <w:rPr>
          <w:lang w:val="es-419"/>
        </w:rPr>
        <w:t>simplificación</w:t>
      </w:r>
      <w:r w:rsidR="00737BD5" w:rsidRPr="005F0ABE">
        <w:rPr>
          <w:lang w:val="es-419"/>
        </w:rPr>
        <w:t xml:space="preserve"> </w:t>
      </w:r>
      <w:r w:rsidRPr="005F0ABE">
        <w:rPr>
          <w:lang w:val="es-419"/>
        </w:rPr>
        <w:t xml:space="preserve">de los procedimientos. Ello parece </w:t>
      </w:r>
      <w:r w:rsidR="00FA76B8">
        <w:rPr>
          <w:lang w:val="es-419"/>
        </w:rPr>
        <w:t xml:space="preserve">ser </w:t>
      </w:r>
      <w:r w:rsidRPr="005F0ABE">
        <w:rPr>
          <w:lang w:val="es-419"/>
        </w:rPr>
        <w:t>necesario a corto plazo</w:t>
      </w:r>
      <w:r w:rsidR="00737BD5" w:rsidRPr="005F0ABE">
        <w:rPr>
          <w:lang w:val="es-419"/>
        </w:rPr>
        <w:t xml:space="preserve">, </w:t>
      </w:r>
      <w:r w:rsidRPr="005F0ABE">
        <w:rPr>
          <w:lang w:val="es-419"/>
        </w:rPr>
        <w:t xml:space="preserve">pero en el </w:t>
      </w:r>
      <w:r w:rsidR="005F0ABE" w:rsidRPr="005F0ABE">
        <w:rPr>
          <w:lang w:val="es-419"/>
        </w:rPr>
        <w:t>documento</w:t>
      </w:r>
      <w:r w:rsidR="00737BD5" w:rsidRPr="005F0ABE">
        <w:rPr>
          <w:lang w:val="es-419"/>
        </w:rPr>
        <w:t xml:space="preserve"> </w:t>
      </w:r>
      <w:r w:rsidR="0002239A" w:rsidRPr="005F0ABE">
        <w:rPr>
          <w:lang w:val="es-419"/>
        </w:rPr>
        <w:t>P</w:t>
      </w:r>
      <w:r w:rsidRPr="005F0ABE">
        <w:rPr>
          <w:lang w:val="es-419"/>
        </w:rPr>
        <w:t>CT</w:t>
      </w:r>
      <w:r w:rsidR="00737BD5" w:rsidRPr="005F0ABE">
        <w:rPr>
          <w:lang w:val="es-419"/>
        </w:rPr>
        <w:t xml:space="preserve">/WG/12/20 </w:t>
      </w:r>
      <w:r w:rsidRPr="005F0ABE">
        <w:rPr>
          <w:lang w:val="es-419"/>
        </w:rPr>
        <w:t>se presentan propuestas de</w:t>
      </w:r>
      <w:r w:rsidR="00737BD5" w:rsidRPr="005F0ABE">
        <w:rPr>
          <w:lang w:val="es-419"/>
        </w:rPr>
        <w:t xml:space="preserve"> </w:t>
      </w:r>
      <w:r w:rsidR="0002239A" w:rsidRPr="005F0ABE">
        <w:rPr>
          <w:lang w:val="es-419"/>
        </w:rPr>
        <w:t>modificación</w:t>
      </w:r>
      <w:r w:rsidR="00737BD5" w:rsidRPr="005F0ABE">
        <w:rPr>
          <w:lang w:val="es-419"/>
        </w:rPr>
        <w:t xml:space="preserve"> </w:t>
      </w:r>
      <w:r w:rsidR="00127FA5" w:rsidRPr="005F0ABE">
        <w:rPr>
          <w:lang w:val="es-419"/>
        </w:rPr>
        <w:t>del Reglamento del PCT</w:t>
      </w:r>
      <w:r w:rsidR="005F0ABE">
        <w:rPr>
          <w:lang w:val="es-419"/>
        </w:rPr>
        <w:t xml:space="preserve"> </w:t>
      </w:r>
      <w:r w:rsidR="00127FA5" w:rsidRPr="005F0ABE">
        <w:rPr>
          <w:lang w:val="es-419"/>
        </w:rPr>
        <w:t>destinadas a eliminar las barreras y alentar a la participación, con miras a poder ofrecer, en última instancia, una única vía para todas las transferencias de tasas</w:t>
      </w:r>
      <w:r w:rsidR="00737BD5" w:rsidRPr="005F0ABE">
        <w:rPr>
          <w:lang w:val="es-419"/>
        </w:rPr>
        <w:t>.</w:t>
      </w:r>
    </w:p>
    <w:p w:rsidR="0002239A" w:rsidRPr="005F0ABE" w:rsidRDefault="00127FA5" w:rsidP="0002239A">
      <w:pPr>
        <w:numPr>
          <w:ilvl w:val="0"/>
          <w:numId w:val="7"/>
        </w:numPr>
        <w:spacing w:after="220"/>
        <w:rPr>
          <w:lang w:val="es-419"/>
        </w:rPr>
      </w:pPr>
      <w:bookmarkStart w:id="7" w:name="_Ref9260820"/>
      <w:r w:rsidRPr="005F0ABE">
        <w:rPr>
          <w:lang w:val="es-419"/>
        </w:rPr>
        <w:t>Además,</w:t>
      </w:r>
      <w:r w:rsidR="00737BD5" w:rsidRPr="005F0ABE">
        <w:rPr>
          <w:lang w:val="es-419"/>
        </w:rPr>
        <w:t xml:space="preserve"> </w:t>
      </w:r>
      <w:r w:rsidRPr="005F0ABE">
        <w:rPr>
          <w:lang w:val="es-419"/>
        </w:rPr>
        <w:t>para dar cabida a las Oficinas receptoras e ISA cuyos sistemas contables o normas financieras</w:t>
      </w:r>
      <w:r w:rsidR="00737BD5" w:rsidRPr="005F0ABE">
        <w:rPr>
          <w:lang w:val="es-419"/>
        </w:rPr>
        <w:t xml:space="preserve"> </w:t>
      </w:r>
      <w:r w:rsidRPr="005F0ABE">
        <w:rPr>
          <w:lang w:val="es-419"/>
        </w:rPr>
        <w:t>imponen limitaciones al uso de la</w:t>
      </w:r>
      <w:r w:rsidR="00737BD5" w:rsidRPr="005F0ABE">
        <w:rPr>
          <w:lang w:val="es-419"/>
        </w:rPr>
        <w:t xml:space="preserve"> </w:t>
      </w:r>
      <w:r w:rsidR="0002239A" w:rsidRPr="005F0ABE">
        <w:rPr>
          <w:lang w:val="es-419"/>
        </w:rPr>
        <w:t>compensación por saldos netos</w:t>
      </w:r>
      <w:r w:rsidR="00737BD5" w:rsidRPr="005F0ABE">
        <w:rPr>
          <w:lang w:val="es-419"/>
        </w:rPr>
        <w:t xml:space="preserve"> (</w:t>
      </w:r>
      <w:r w:rsidR="00580E14" w:rsidRPr="005F0ABE">
        <w:rPr>
          <w:lang w:val="es-419"/>
        </w:rPr>
        <w:t>compensar un tipo de tasa con otro tipo de tasa</w:t>
      </w:r>
      <w:r w:rsidR="00737BD5" w:rsidRPr="005F0ABE">
        <w:rPr>
          <w:lang w:val="es-419"/>
        </w:rPr>
        <w:t xml:space="preserve">), </w:t>
      </w:r>
      <w:r w:rsidR="00580E14" w:rsidRPr="005F0ABE">
        <w:rPr>
          <w:lang w:val="es-419"/>
        </w:rPr>
        <w:t xml:space="preserve">se ha introducido mayor flexibilidad en el proyecto piloto, </w:t>
      </w:r>
      <w:r w:rsidR="00C42BD5" w:rsidRPr="005F0ABE">
        <w:rPr>
          <w:lang w:val="es-419"/>
        </w:rPr>
        <w:t xml:space="preserve">y ello supone, </w:t>
      </w:r>
      <w:r w:rsidR="00580E14" w:rsidRPr="005F0ABE">
        <w:rPr>
          <w:lang w:val="es-419"/>
        </w:rPr>
        <w:t>entre otras cosas</w:t>
      </w:r>
      <w:r w:rsidR="00737BD5" w:rsidRPr="005F0ABE">
        <w:rPr>
          <w:lang w:val="es-419"/>
        </w:rPr>
        <w:t>:</w:t>
      </w:r>
      <w:bookmarkEnd w:id="7"/>
    </w:p>
    <w:p w:rsidR="0002239A" w:rsidRPr="005F0ABE" w:rsidRDefault="00580E14" w:rsidP="0002239A">
      <w:pPr>
        <w:numPr>
          <w:ilvl w:val="1"/>
          <w:numId w:val="7"/>
        </w:numPr>
        <w:spacing w:after="220"/>
        <w:rPr>
          <w:lang w:val="es-419"/>
        </w:rPr>
      </w:pPr>
      <w:r w:rsidRPr="005F0ABE">
        <w:rPr>
          <w:lang w:val="es-419"/>
        </w:rPr>
        <w:t>permiti</w:t>
      </w:r>
      <w:r w:rsidR="00C42BD5" w:rsidRPr="005F0ABE">
        <w:rPr>
          <w:lang w:val="es-419"/>
        </w:rPr>
        <w:t>r</w:t>
      </w:r>
      <w:r w:rsidRPr="005F0ABE">
        <w:rPr>
          <w:lang w:val="es-419"/>
        </w:rPr>
        <w:t xml:space="preserve"> la transferencia de las tasas de </w:t>
      </w:r>
      <w:r w:rsidR="005F0ABE" w:rsidRPr="005F0ABE">
        <w:rPr>
          <w:lang w:val="es-419"/>
        </w:rPr>
        <w:t>búsqueda</w:t>
      </w:r>
      <w:r w:rsidRPr="005F0ABE">
        <w:rPr>
          <w:lang w:val="es-419"/>
        </w:rPr>
        <w:t xml:space="preserve"> de la </w:t>
      </w:r>
      <w:r w:rsidR="0002239A" w:rsidRPr="005F0ABE">
        <w:rPr>
          <w:lang w:val="es-419"/>
        </w:rPr>
        <w:t xml:space="preserve">Oficina Internacional </w:t>
      </w:r>
      <w:r w:rsidRPr="005F0ABE">
        <w:rPr>
          <w:lang w:val="es-419"/>
        </w:rPr>
        <w:t>a una</w:t>
      </w:r>
      <w:r w:rsidR="00FA76B8">
        <w:rPr>
          <w:lang w:val="es-419"/>
        </w:rPr>
        <w:t> </w:t>
      </w:r>
      <w:r w:rsidR="0002239A" w:rsidRPr="005F0ABE">
        <w:rPr>
          <w:lang w:val="es-419"/>
        </w:rPr>
        <w:t>ISA</w:t>
      </w:r>
      <w:r w:rsidR="00737BD5" w:rsidRPr="005F0ABE">
        <w:rPr>
          <w:lang w:val="es-419"/>
        </w:rPr>
        <w:t xml:space="preserve"> </w:t>
      </w:r>
      <w:r w:rsidRPr="005F0ABE">
        <w:rPr>
          <w:lang w:val="es-419"/>
        </w:rPr>
        <w:t>sin</w:t>
      </w:r>
      <w:r w:rsidR="00FA76B8">
        <w:rPr>
          <w:lang w:val="es-419"/>
        </w:rPr>
        <w:t xml:space="preserve"> aplicar</w:t>
      </w:r>
      <w:r w:rsidRPr="005F0ABE">
        <w:rPr>
          <w:lang w:val="es-419"/>
        </w:rPr>
        <w:t xml:space="preserve"> la </w:t>
      </w:r>
      <w:r w:rsidR="0002239A" w:rsidRPr="005F0ABE">
        <w:rPr>
          <w:lang w:val="es-419"/>
        </w:rPr>
        <w:t>compensación por saldos netos</w:t>
      </w:r>
      <w:r w:rsidR="00737BD5" w:rsidRPr="005F0ABE">
        <w:rPr>
          <w:lang w:val="es-419"/>
        </w:rPr>
        <w:t xml:space="preserve"> </w:t>
      </w:r>
      <w:r w:rsidRPr="005F0ABE">
        <w:rPr>
          <w:lang w:val="es-419"/>
        </w:rPr>
        <w:t xml:space="preserve">de las tasas de búsqueda en relación con otras tasas del </w:t>
      </w:r>
      <w:r w:rsidR="0002239A" w:rsidRPr="005F0ABE">
        <w:rPr>
          <w:lang w:val="es-419"/>
        </w:rPr>
        <w:t>PCT</w:t>
      </w:r>
      <w:r w:rsidR="00737BD5" w:rsidRPr="005F0ABE">
        <w:rPr>
          <w:lang w:val="es-419"/>
        </w:rPr>
        <w:t xml:space="preserve">, </w:t>
      </w:r>
      <w:r w:rsidRPr="005F0ABE">
        <w:rPr>
          <w:lang w:val="es-419"/>
        </w:rPr>
        <w:t>en el caso de que las normas de contabilidad o los reglamentos financieros de la ISA no permitieran esa</w:t>
      </w:r>
      <w:r w:rsidR="00737BD5" w:rsidRPr="005F0ABE">
        <w:rPr>
          <w:lang w:val="es-419"/>
        </w:rPr>
        <w:t xml:space="preserve"> </w:t>
      </w:r>
      <w:r w:rsidR="0002239A" w:rsidRPr="005F0ABE">
        <w:rPr>
          <w:lang w:val="es-419"/>
        </w:rPr>
        <w:t>compensación por saldos netos</w:t>
      </w:r>
      <w:r w:rsidR="00737BD5" w:rsidRPr="005F0ABE">
        <w:rPr>
          <w:lang w:val="es-419"/>
        </w:rPr>
        <w:t>;</w:t>
      </w:r>
    </w:p>
    <w:p w:rsidR="0002239A" w:rsidRPr="005F0ABE" w:rsidRDefault="00580E14" w:rsidP="0002239A">
      <w:pPr>
        <w:numPr>
          <w:ilvl w:val="1"/>
          <w:numId w:val="7"/>
        </w:numPr>
        <w:spacing w:after="220"/>
        <w:rPr>
          <w:lang w:val="es-419"/>
        </w:rPr>
      </w:pPr>
      <w:r w:rsidRPr="005F0ABE">
        <w:rPr>
          <w:lang w:val="es-419"/>
        </w:rPr>
        <w:t>da</w:t>
      </w:r>
      <w:r w:rsidR="00C42BD5" w:rsidRPr="005F0ABE">
        <w:rPr>
          <w:lang w:val="es-419"/>
        </w:rPr>
        <w:t>r</w:t>
      </w:r>
      <w:r w:rsidRPr="005F0ABE">
        <w:rPr>
          <w:lang w:val="es-419"/>
        </w:rPr>
        <w:t xml:space="preserve"> a las Oficinas la posibilidad de seguir suministrando </w:t>
      </w:r>
      <w:r w:rsidR="00C42BD5" w:rsidRPr="005F0ABE">
        <w:rPr>
          <w:lang w:val="es-419"/>
        </w:rPr>
        <w:t xml:space="preserve">a la Oficina Internacional </w:t>
      </w:r>
      <w:r w:rsidRPr="005F0ABE">
        <w:rPr>
          <w:lang w:val="es-419"/>
        </w:rPr>
        <w:t xml:space="preserve">listas de tasas de presentación de solicitudes </w:t>
      </w:r>
      <w:r w:rsidR="0002239A" w:rsidRPr="005F0ABE">
        <w:rPr>
          <w:lang w:val="es-419"/>
        </w:rPr>
        <w:t>PCT</w:t>
      </w:r>
      <w:r w:rsidR="00737BD5" w:rsidRPr="005F0ABE">
        <w:rPr>
          <w:lang w:val="es-419"/>
        </w:rPr>
        <w:t xml:space="preserve">, </w:t>
      </w:r>
      <w:r w:rsidR="00A10CA2" w:rsidRPr="005F0ABE">
        <w:rPr>
          <w:lang w:val="es-419"/>
        </w:rPr>
        <w:t>tasas de tramitación de la IPEA</w:t>
      </w:r>
      <w:r w:rsidR="00737BD5" w:rsidRPr="005F0ABE">
        <w:rPr>
          <w:lang w:val="es-419"/>
        </w:rPr>
        <w:t xml:space="preserve"> </w:t>
      </w:r>
      <w:r w:rsidR="00A10CA2" w:rsidRPr="005F0ABE">
        <w:rPr>
          <w:lang w:val="es-419"/>
        </w:rPr>
        <w:t xml:space="preserve">y tasas de </w:t>
      </w:r>
      <w:r w:rsidR="0002239A" w:rsidRPr="005F0ABE">
        <w:rPr>
          <w:lang w:val="es-419"/>
        </w:rPr>
        <w:t>búsqueda internacional</w:t>
      </w:r>
      <w:r w:rsidR="00737BD5" w:rsidRPr="005F0ABE">
        <w:rPr>
          <w:lang w:val="es-419"/>
        </w:rPr>
        <w:t xml:space="preserve"> </w:t>
      </w:r>
      <w:r w:rsidR="00A10CA2" w:rsidRPr="005F0ABE">
        <w:rPr>
          <w:lang w:val="es-419"/>
        </w:rPr>
        <w:t>e</w:t>
      </w:r>
      <w:r w:rsidR="00737BD5" w:rsidRPr="005F0ABE">
        <w:rPr>
          <w:lang w:val="es-419"/>
        </w:rPr>
        <w:t xml:space="preserve">n </w:t>
      </w:r>
      <w:r w:rsidR="00A10CA2" w:rsidRPr="005F0ABE">
        <w:rPr>
          <w:lang w:val="es-419"/>
        </w:rPr>
        <w:t xml:space="preserve">el mismo </w:t>
      </w:r>
      <w:r w:rsidR="005F0ABE" w:rsidRPr="005F0ABE">
        <w:rPr>
          <w:lang w:val="es-419"/>
        </w:rPr>
        <w:t>formato</w:t>
      </w:r>
      <w:r w:rsidR="00737BD5" w:rsidRPr="005F0ABE">
        <w:rPr>
          <w:lang w:val="es-419"/>
        </w:rPr>
        <w:t xml:space="preserve"> </w:t>
      </w:r>
      <w:r w:rsidR="00C42BD5" w:rsidRPr="005F0ABE">
        <w:rPr>
          <w:lang w:val="es-419"/>
        </w:rPr>
        <w:t>que la Oficina receptora utilizaba antes de participar en el proyecto piloto</w:t>
      </w:r>
      <w:r w:rsidR="00737BD5" w:rsidRPr="005F0ABE">
        <w:rPr>
          <w:lang w:val="es-419"/>
        </w:rPr>
        <w:t>;</w:t>
      </w:r>
    </w:p>
    <w:p w:rsidR="0002239A" w:rsidRPr="005F0ABE" w:rsidRDefault="00C42BD5" w:rsidP="0002239A">
      <w:pPr>
        <w:numPr>
          <w:ilvl w:val="1"/>
          <w:numId w:val="7"/>
        </w:numPr>
        <w:spacing w:after="220"/>
        <w:rPr>
          <w:lang w:val="es-419"/>
        </w:rPr>
      </w:pPr>
      <w:r w:rsidRPr="005F0ABE">
        <w:rPr>
          <w:lang w:val="es-419"/>
        </w:rPr>
        <w:t xml:space="preserve">algún grado de flexibilidad con </w:t>
      </w:r>
      <w:r w:rsidR="005F0ABE" w:rsidRPr="005F0ABE">
        <w:rPr>
          <w:lang w:val="es-419"/>
        </w:rPr>
        <w:t>respecto</w:t>
      </w:r>
      <w:r w:rsidRPr="005F0ABE">
        <w:rPr>
          <w:lang w:val="es-419"/>
        </w:rPr>
        <w:t xml:space="preserve"> al </w:t>
      </w:r>
      <w:r w:rsidR="005F0ABE" w:rsidRPr="005F0ABE">
        <w:rPr>
          <w:lang w:val="es-419"/>
        </w:rPr>
        <w:t>formato</w:t>
      </w:r>
      <w:r w:rsidR="00737BD5" w:rsidRPr="005F0ABE">
        <w:rPr>
          <w:lang w:val="es-419"/>
        </w:rPr>
        <w:t xml:space="preserve"> </w:t>
      </w:r>
      <w:r w:rsidRPr="005F0ABE">
        <w:rPr>
          <w:lang w:val="es-419"/>
        </w:rPr>
        <w:t>e</w:t>
      </w:r>
      <w:r w:rsidR="00737BD5" w:rsidRPr="005F0ABE">
        <w:rPr>
          <w:lang w:val="es-419"/>
        </w:rPr>
        <w:t>n</w:t>
      </w:r>
      <w:r w:rsidRPr="005F0ABE">
        <w:rPr>
          <w:lang w:val="es-419"/>
        </w:rPr>
        <w:t xml:space="preserve"> el cual las</w:t>
      </w:r>
      <w:r w:rsidR="00737BD5" w:rsidRPr="005F0ABE">
        <w:rPr>
          <w:lang w:val="es-419"/>
        </w:rPr>
        <w:t xml:space="preserve"> </w:t>
      </w:r>
      <w:r w:rsidR="005F0ABE" w:rsidRPr="005F0ABE">
        <w:rPr>
          <w:lang w:val="es-419"/>
        </w:rPr>
        <w:t>listas</w:t>
      </w:r>
      <w:r w:rsidR="00737BD5" w:rsidRPr="005F0ABE">
        <w:rPr>
          <w:lang w:val="es-419"/>
        </w:rPr>
        <w:t xml:space="preserve"> </w:t>
      </w:r>
      <w:r w:rsidRPr="005F0ABE">
        <w:rPr>
          <w:lang w:val="es-419"/>
        </w:rPr>
        <w:t xml:space="preserve">de tasas de </w:t>
      </w:r>
      <w:r w:rsidR="005F0ABE" w:rsidRPr="005F0ABE">
        <w:rPr>
          <w:lang w:val="es-419"/>
        </w:rPr>
        <w:t>búsqueda</w:t>
      </w:r>
      <w:r w:rsidRPr="005F0ABE">
        <w:rPr>
          <w:lang w:val="es-419"/>
        </w:rPr>
        <w:t xml:space="preserve"> se entregan a las ISA</w:t>
      </w:r>
      <w:r w:rsidR="00737BD5" w:rsidRPr="005F0ABE">
        <w:rPr>
          <w:lang w:val="es-419"/>
        </w:rPr>
        <w:t xml:space="preserve">, </w:t>
      </w:r>
      <w:r w:rsidR="005F0ABE" w:rsidRPr="005F0ABE">
        <w:rPr>
          <w:lang w:val="es-419"/>
        </w:rPr>
        <w:t>reduciendo</w:t>
      </w:r>
      <w:r w:rsidRPr="005F0ABE">
        <w:rPr>
          <w:lang w:val="es-419"/>
        </w:rPr>
        <w:t xml:space="preserve"> la necesidad de cambios inmediatos en las</w:t>
      </w:r>
      <w:r w:rsidR="00FA76B8">
        <w:rPr>
          <w:lang w:val="es-419"/>
        </w:rPr>
        <w:t> </w:t>
      </w:r>
      <w:r w:rsidR="0002239A" w:rsidRPr="005F0ABE">
        <w:rPr>
          <w:lang w:val="es-419"/>
        </w:rPr>
        <w:t>TI</w:t>
      </w:r>
      <w:r w:rsidR="00737BD5" w:rsidRPr="005F0ABE">
        <w:rPr>
          <w:lang w:val="es-419"/>
        </w:rPr>
        <w:t xml:space="preserve"> </w:t>
      </w:r>
      <w:r w:rsidRPr="005F0ABE">
        <w:rPr>
          <w:lang w:val="es-419"/>
        </w:rPr>
        <w:t>y de impartir formación</w:t>
      </w:r>
      <w:r w:rsidR="00737BD5" w:rsidRPr="005F0ABE">
        <w:rPr>
          <w:lang w:val="es-419"/>
        </w:rPr>
        <w:t>;</w:t>
      </w:r>
    </w:p>
    <w:p w:rsidR="0002239A" w:rsidRPr="005F0ABE" w:rsidRDefault="00C42BD5" w:rsidP="0002239A">
      <w:pPr>
        <w:numPr>
          <w:ilvl w:val="1"/>
          <w:numId w:val="7"/>
        </w:numPr>
        <w:spacing w:after="220"/>
        <w:rPr>
          <w:lang w:val="es-419"/>
        </w:rPr>
      </w:pPr>
      <w:r w:rsidRPr="005F0ABE">
        <w:rPr>
          <w:lang w:val="es-419"/>
        </w:rPr>
        <w:t xml:space="preserve">dar a las Oficinas la posibilidad de </w:t>
      </w:r>
      <w:r w:rsidR="005F0ABE" w:rsidRPr="005F0ABE">
        <w:rPr>
          <w:lang w:val="es-419"/>
        </w:rPr>
        <w:t>presentar</w:t>
      </w:r>
      <w:r w:rsidRPr="005F0ABE">
        <w:rPr>
          <w:lang w:val="es-419"/>
        </w:rPr>
        <w:t xml:space="preserve"> a la</w:t>
      </w:r>
      <w:r w:rsidR="00737BD5" w:rsidRPr="005F0ABE">
        <w:rPr>
          <w:lang w:val="es-419"/>
        </w:rPr>
        <w:t xml:space="preserve"> </w:t>
      </w:r>
      <w:r w:rsidR="0002239A" w:rsidRPr="005F0ABE">
        <w:rPr>
          <w:lang w:val="es-419"/>
        </w:rPr>
        <w:t>Oficina Internacional</w:t>
      </w:r>
      <w:r w:rsidRPr="005F0ABE">
        <w:rPr>
          <w:lang w:val="es-419"/>
        </w:rPr>
        <w:t xml:space="preserve"> o recibir de ella</w:t>
      </w:r>
      <w:r w:rsidR="00737BD5" w:rsidRPr="005F0ABE">
        <w:rPr>
          <w:lang w:val="es-419"/>
        </w:rPr>
        <w:t xml:space="preserve"> </w:t>
      </w:r>
      <w:r w:rsidRPr="005F0ABE">
        <w:rPr>
          <w:lang w:val="es-419"/>
        </w:rPr>
        <w:t>por separado los pagos correspondientes a distintos tipos de tasas</w:t>
      </w:r>
      <w:r w:rsidR="00737BD5" w:rsidRPr="005F0ABE">
        <w:rPr>
          <w:lang w:val="es-419"/>
        </w:rPr>
        <w:t>, o</w:t>
      </w:r>
      <w:r w:rsidRPr="005F0ABE">
        <w:rPr>
          <w:lang w:val="es-419"/>
        </w:rPr>
        <w:t xml:space="preserve"> las tasas recaudadas por o para distintas Oficinas</w:t>
      </w:r>
      <w:r w:rsidR="00737BD5" w:rsidRPr="005F0ABE">
        <w:rPr>
          <w:lang w:val="es-419"/>
        </w:rPr>
        <w:t xml:space="preserve"> (</w:t>
      </w:r>
      <w:r w:rsidRPr="005F0ABE">
        <w:rPr>
          <w:lang w:val="es-419"/>
        </w:rPr>
        <w:t>por ejemplo</w:t>
      </w:r>
      <w:r w:rsidR="00737BD5" w:rsidRPr="005F0ABE">
        <w:rPr>
          <w:lang w:val="es-419"/>
        </w:rPr>
        <w:t xml:space="preserve">, </w:t>
      </w:r>
      <w:r w:rsidR="005F0ABE" w:rsidRPr="005F0ABE">
        <w:rPr>
          <w:lang w:val="es-419"/>
        </w:rPr>
        <w:t>si</w:t>
      </w:r>
      <w:r w:rsidR="00737BD5" w:rsidRPr="005F0ABE">
        <w:rPr>
          <w:lang w:val="es-419"/>
        </w:rPr>
        <w:t xml:space="preserve"> </w:t>
      </w:r>
      <w:r w:rsidRPr="005F0ABE">
        <w:rPr>
          <w:lang w:val="es-419"/>
        </w:rPr>
        <w:t>la</w:t>
      </w:r>
      <w:r w:rsidR="00737BD5" w:rsidRPr="005F0ABE">
        <w:rPr>
          <w:lang w:val="es-419"/>
        </w:rPr>
        <w:t xml:space="preserve"> </w:t>
      </w:r>
      <w:r w:rsidR="0002239A" w:rsidRPr="005F0ABE">
        <w:rPr>
          <w:lang w:val="es-419"/>
        </w:rPr>
        <w:t xml:space="preserve">Oficina Internacional </w:t>
      </w:r>
      <w:r w:rsidRPr="005F0ABE">
        <w:rPr>
          <w:lang w:val="es-419"/>
        </w:rPr>
        <w:t>recauda las tasas de búsqueda en su nombre de varias Oficinas receptoras</w:t>
      </w:r>
      <w:r w:rsidR="00737BD5" w:rsidRPr="005F0ABE">
        <w:rPr>
          <w:lang w:val="es-419"/>
        </w:rPr>
        <w:t xml:space="preserve">, </w:t>
      </w:r>
      <w:r w:rsidRPr="005F0ABE">
        <w:rPr>
          <w:lang w:val="es-419"/>
        </w:rPr>
        <w:t>p</w:t>
      </w:r>
      <w:r w:rsidR="00D15D3C" w:rsidRPr="005F0ABE">
        <w:rPr>
          <w:lang w:val="es-419"/>
        </w:rPr>
        <w:t>odrían enviarse por separado a la</w:t>
      </w:r>
      <w:r w:rsidR="00737BD5" w:rsidRPr="005F0ABE">
        <w:rPr>
          <w:lang w:val="es-419"/>
        </w:rPr>
        <w:t xml:space="preserve"> </w:t>
      </w:r>
      <w:r w:rsidR="00D15D3C" w:rsidRPr="005F0ABE">
        <w:rPr>
          <w:lang w:val="es-419"/>
        </w:rPr>
        <w:t>ISA</w:t>
      </w:r>
      <w:r w:rsidR="00737BD5" w:rsidRPr="005F0ABE">
        <w:rPr>
          <w:lang w:val="es-419"/>
        </w:rPr>
        <w:t xml:space="preserve"> </w:t>
      </w:r>
      <w:r w:rsidR="00D15D3C" w:rsidRPr="005F0ABE">
        <w:rPr>
          <w:lang w:val="es-419"/>
        </w:rPr>
        <w:t>los pagos para cada</w:t>
      </w:r>
      <w:r w:rsidR="00737BD5" w:rsidRPr="005F0ABE">
        <w:rPr>
          <w:lang w:val="es-419"/>
        </w:rPr>
        <w:t xml:space="preserve"> </w:t>
      </w:r>
      <w:r w:rsidR="0002239A" w:rsidRPr="005F0ABE">
        <w:rPr>
          <w:lang w:val="es-419"/>
        </w:rPr>
        <w:t>Oficina receptora</w:t>
      </w:r>
      <w:r w:rsidR="00737BD5" w:rsidRPr="005F0ABE">
        <w:rPr>
          <w:lang w:val="es-419"/>
        </w:rPr>
        <w:t xml:space="preserve">, </w:t>
      </w:r>
      <w:r w:rsidR="00D15D3C" w:rsidRPr="005F0ABE">
        <w:rPr>
          <w:lang w:val="es-419"/>
        </w:rPr>
        <w:t xml:space="preserve">en el caso de que las normas de contabilidad o los reglamentos financieros de la ISA así lo exigiera); si bien ello </w:t>
      </w:r>
      <w:r w:rsidR="00FA76B8">
        <w:rPr>
          <w:lang w:val="es-419"/>
        </w:rPr>
        <w:t>reduce</w:t>
      </w:r>
      <w:r w:rsidR="00D15D3C" w:rsidRPr="005F0ABE">
        <w:rPr>
          <w:lang w:val="es-419"/>
        </w:rPr>
        <w:t xml:space="preserve"> algunas de las ventajas que conlleva unir las transferencias en pagos únicos</w:t>
      </w:r>
      <w:r w:rsidR="00737BD5" w:rsidRPr="005F0ABE">
        <w:rPr>
          <w:lang w:val="es-419"/>
        </w:rPr>
        <w:t xml:space="preserve">, </w:t>
      </w:r>
      <w:r w:rsidR="00D15D3C" w:rsidRPr="005F0ABE">
        <w:rPr>
          <w:lang w:val="es-419"/>
        </w:rPr>
        <w:t xml:space="preserve">dará a </w:t>
      </w:r>
      <w:r w:rsidR="00FA76B8">
        <w:rPr>
          <w:lang w:val="es-419"/>
        </w:rPr>
        <w:t>l</w:t>
      </w:r>
      <w:r w:rsidR="00D15D3C" w:rsidRPr="005F0ABE">
        <w:rPr>
          <w:lang w:val="es-419"/>
        </w:rPr>
        <w:t>as Oficinas que desearían unirse al proyecto la posibilidad de participar; y</w:t>
      </w:r>
    </w:p>
    <w:p w:rsidR="0002239A" w:rsidRPr="005F0ABE" w:rsidRDefault="00D15D3C" w:rsidP="0002239A">
      <w:pPr>
        <w:numPr>
          <w:ilvl w:val="1"/>
          <w:numId w:val="7"/>
        </w:numPr>
        <w:spacing w:after="220"/>
        <w:rPr>
          <w:lang w:val="es-419"/>
        </w:rPr>
      </w:pPr>
      <w:r w:rsidRPr="005F0ABE">
        <w:rPr>
          <w:lang w:val="es-419"/>
        </w:rPr>
        <w:t xml:space="preserve">para las Oficinas que utilizan </w:t>
      </w:r>
      <w:r w:rsidR="0002239A" w:rsidRPr="005F0ABE">
        <w:rPr>
          <w:lang w:val="es-419"/>
        </w:rPr>
        <w:t>ePCT</w:t>
      </w:r>
      <w:r w:rsidR="00737BD5" w:rsidRPr="005F0ABE">
        <w:rPr>
          <w:lang w:val="es-419"/>
        </w:rPr>
        <w:t xml:space="preserve">, </w:t>
      </w:r>
      <w:r w:rsidRPr="005F0ABE">
        <w:rPr>
          <w:lang w:val="es-419"/>
        </w:rPr>
        <w:t xml:space="preserve">introducir nuevos procedimientos que eliminen la necesidad de que la </w:t>
      </w:r>
      <w:r w:rsidR="005F0ABE" w:rsidRPr="005F0ABE">
        <w:rPr>
          <w:lang w:val="es-419"/>
        </w:rPr>
        <w:t>Oficina</w:t>
      </w:r>
      <w:r w:rsidRPr="005F0ABE">
        <w:rPr>
          <w:lang w:val="es-419"/>
        </w:rPr>
        <w:t xml:space="preserve"> receptora presente listas de tasas de presentación </w:t>
      </w:r>
      <w:r w:rsidR="00031466" w:rsidRPr="005F0ABE">
        <w:rPr>
          <w:lang w:val="es-419"/>
        </w:rPr>
        <w:t xml:space="preserve">de solicitudes internacionales en virtud del </w:t>
      </w:r>
      <w:r w:rsidR="0002239A" w:rsidRPr="005F0ABE">
        <w:rPr>
          <w:lang w:val="es-419"/>
        </w:rPr>
        <w:t>PCT</w:t>
      </w:r>
      <w:r w:rsidR="00031466" w:rsidRPr="005F0ABE">
        <w:rPr>
          <w:lang w:val="es-419"/>
        </w:rPr>
        <w:t xml:space="preserve"> y tasas de búsqueda</w:t>
      </w:r>
      <w:r w:rsidR="00737BD5" w:rsidRPr="005F0ABE">
        <w:rPr>
          <w:lang w:val="es-419"/>
        </w:rPr>
        <w:t>, as</w:t>
      </w:r>
      <w:r w:rsidR="00031466" w:rsidRPr="005F0ABE">
        <w:rPr>
          <w:lang w:val="es-419"/>
        </w:rPr>
        <w:t xml:space="preserve">í como </w:t>
      </w:r>
      <w:r w:rsidR="003B3B68" w:rsidRPr="005F0ABE">
        <w:rPr>
          <w:lang w:val="es-419"/>
        </w:rPr>
        <w:t>de</w:t>
      </w:r>
      <w:r w:rsidR="00FA76B8">
        <w:rPr>
          <w:lang w:val="es-419"/>
        </w:rPr>
        <w:t xml:space="preserve"> que las </w:t>
      </w:r>
      <w:r w:rsidR="00031466" w:rsidRPr="005F0ABE">
        <w:rPr>
          <w:lang w:val="es-419"/>
        </w:rPr>
        <w:t xml:space="preserve">IPEA presenten listas de tasas de tramitación; está avanzando la introducción de </w:t>
      </w:r>
      <w:r w:rsidR="00031466" w:rsidRPr="005F0ABE">
        <w:rPr>
          <w:lang w:val="es-419"/>
        </w:rPr>
        <w:lastRenderedPageBreak/>
        <w:t xml:space="preserve">cambios en </w:t>
      </w:r>
      <w:r w:rsidR="0002239A" w:rsidRPr="005F0ABE">
        <w:rPr>
          <w:lang w:val="es-419"/>
        </w:rPr>
        <w:t>ePCT</w:t>
      </w:r>
      <w:r w:rsidR="00737BD5" w:rsidRPr="005F0ABE">
        <w:rPr>
          <w:lang w:val="es-419"/>
        </w:rPr>
        <w:t xml:space="preserve"> </w:t>
      </w:r>
      <w:r w:rsidR="00031466" w:rsidRPr="005F0ABE">
        <w:rPr>
          <w:lang w:val="es-419"/>
        </w:rPr>
        <w:t xml:space="preserve">para dar la posibilidad a las Oficinas receptoras de generar la información necesaria sobre transferencia de tasas directamente desde </w:t>
      </w:r>
      <w:r w:rsidR="0002239A" w:rsidRPr="005F0ABE">
        <w:rPr>
          <w:lang w:val="es-419"/>
        </w:rPr>
        <w:t>ePCT</w:t>
      </w:r>
      <w:r w:rsidR="00031466" w:rsidRPr="005F0ABE">
        <w:rPr>
          <w:lang w:val="es-419"/>
        </w:rPr>
        <w:t>.</w:t>
      </w:r>
    </w:p>
    <w:p w:rsidR="0002239A" w:rsidRPr="005F0ABE" w:rsidRDefault="009C7DA9" w:rsidP="0002239A">
      <w:pPr>
        <w:numPr>
          <w:ilvl w:val="0"/>
          <w:numId w:val="7"/>
        </w:numPr>
        <w:spacing w:after="220"/>
        <w:rPr>
          <w:lang w:val="es-419"/>
        </w:rPr>
      </w:pPr>
      <w:r w:rsidRPr="005F0ABE">
        <w:rPr>
          <w:lang w:val="es-419"/>
        </w:rPr>
        <w:t>La</w:t>
      </w:r>
      <w:r w:rsidR="00737BD5" w:rsidRPr="005F0ABE">
        <w:rPr>
          <w:lang w:val="es-419"/>
        </w:rPr>
        <w:t xml:space="preserve"> </w:t>
      </w:r>
      <w:r w:rsidR="003B3B68" w:rsidRPr="005F0ABE">
        <w:rPr>
          <w:lang w:val="es-419"/>
        </w:rPr>
        <w:t>introducción</w:t>
      </w:r>
      <w:r w:rsidR="00737BD5" w:rsidRPr="005F0ABE">
        <w:rPr>
          <w:lang w:val="es-419"/>
        </w:rPr>
        <w:t xml:space="preserve"> </w:t>
      </w:r>
      <w:r w:rsidRPr="005F0ABE">
        <w:rPr>
          <w:lang w:val="es-419"/>
        </w:rPr>
        <w:t>de las flexibilidades enumeradas en los puntos</w:t>
      </w:r>
      <w:r w:rsidR="00737BD5" w:rsidRPr="005F0ABE">
        <w:rPr>
          <w:lang w:val="es-419"/>
        </w:rPr>
        <w:t xml:space="preserve"> a) </w:t>
      </w:r>
      <w:r w:rsidRPr="005F0ABE">
        <w:rPr>
          <w:lang w:val="es-419"/>
        </w:rPr>
        <w:t xml:space="preserve">a </w:t>
      </w:r>
      <w:r w:rsidR="00737BD5" w:rsidRPr="005F0ABE">
        <w:rPr>
          <w:lang w:val="es-419"/>
        </w:rPr>
        <w:t xml:space="preserve">d) </w:t>
      </w:r>
      <w:r w:rsidRPr="005F0ABE">
        <w:rPr>
          <w:lang w:val="es-419"/>
        </w:rPr>
        <w:t>del párrafo</w:t>
      </w:r>
      <w:r w:rsidR="00737BD5" w:rsidRPr="005F0ABE">
        <w:rPr>
          <w:lang w:val="es-419"/>
        </w:rPr>
        <w:t> </w:t>
      </w:r>
      <w:r w:rsidR="00737BD5" w:rsidRPr="005F0ABE">
        <w:rPr>
          <w:lang w:val="es-419"/>
        </w:rPr>
        <w:fldChar w:fldCharType="begin"/>
      </w:r>
      <w:r w:rsidR="00737BD5" w:rsidRPr="005F0ABE">
        <w:rPr>
          <w:lang w:val="es-419"/>
        </w:rPr>
        <w:instrText xml:space="preserve"> REF _Ref9260820 \r \h </w:instrText>
      </w:r>
      <w:r w:rsidR="005F0ABE">
        <w:rPr>
          <w:lang w:val="es-419"/>
        </w:rPr>
        <w:instrText xml:space="preserve"> \* MERGEFORMAT </w:instrText>
      </w:r>
      <w:r w:rsidR="00737BD5" w:rsidRPr="005F0ABE">
        <w:rPr>
          <w:lang w:val="es-419"/>
        </w:rPr>
      </w:r>
      <w:r w:rsidR="00737BD5" w:rsidRPr="005F0ABE">
        <w:rPr>
          <w:lang w:val="es-419"/>
        </w:rPr>
        <w:fldChar w:fldCharType="separate"/>
      </w:r>
      <w:r w:rsidR="00663DB8">
        <w:rPr>
          <w:lang w:val="es-419"/>
        </w:rPr>
        <w:t>16</w:t>
      </w:r>
      <w:r w:rsidR="00737BD5" w:rsidRPr="005F0ABE">
        <w:rPr>
          <w:lang w:val="es-419"/>
        </w:rPr>
        <w:fldChar w:fldCharType="end"/>
      </w:r>
      <w:r w:rsidR="00737BD5" w:rsidRPr="005F0ABE">
        <w:rPr>
          <w:lang w:val="es-419"/>
        </w:rPr>
        <w:t xml:space="preserve">, </w:t>
      </w:r>
      <w:r w:rsidRPr="005F0ABE">
        <w:rPr>
          <w:lang w:val="es-419"/>
        </w:rPr>
        <w:t>más arriba</w:t>
      </w:r>
      <w:r w:rsidR="00737BD5" w:rsidRPr="005F0ABE">
        <w:rPr>
          <w:lang w:val="es-419"/>
        </w:rPr>
        <w:t xml:space="preserve">, </w:t>
      </w:r>
      <w:r w:rsidRPr="005F0ABE">
        <w:rPr>
          <w:lang w:val="es-419"/>
        </w:rPr>
        <w:t>disminuye</w:t>
      </w:r>
      <w:r w:rsidR="00934E2E" w:rsidRPr="005F0ABE">
        <w:rPr>
          <w:lang w:val="es-419"/>
        </w:rPr>
        <w:t xml:space="preserve"> en cierta medida</w:t>
      </w:r>
      <w:r w:rsidRPr="005F0ABE">
        <w:rPr>
          <w:lang w:val="es-419"/>
        </w:rPr>
        <w:t xml:space="preserve"> las ventajas que, según se </w:t>
      </w:r>
      <w:r w:rsidR="003B3B68" w:rsidRPr="005F0ABE">
        <w:rPr>
          <w:lang w:val="es-419"/>
        </w:rPr>
        <w:t>anticipaba</w:t>
      </w:r>
      <w:r w:rsidRPr="005F0ABE">
        <w:rPr>
          <w:lang w:val="es-419"/>
        </w:rPr>
        <w:t>, el proyecto piloto presentaría</w:t>
      </w:r>
      <w:r w:rsidR="00737BD5" w:rsidRPr="005F0ABE">
        <w:rPr>
          <w:lang w:val="es-419"/>
        </w:rPr>
        <w:t xml:space="preserve">. </w:t>
      </w:r>
      <w:r w:rsidRPr="005F0ABE">
        <w:rPr>
          <w:lang w:val="es-419"/>
        </w:rPr>
        <w:t>Sin embargo</w:t>
      </w:r>
      <w:r w:rsidR="00737BD5" w:rsidRPr="005F0ABE">
        <w:rPr>
          <w:lang w:val="es-419"/>
        </w:rPr>
        <w:t xml:space="preserve">, </w:t>
      </w:r>
      <w:r w:rsidR="00934E2E" w:rsidRPr="005F0ABE">
        <w:rPr>
          <w:lang w:val="es-419"/>
        </w:rPr>
        <w:t>el enfoque</w:t>
      </w:r>
      <w:r w:rsidR="00737BD5" w:rsidRPr="005F0ABE">
        <w:rPr>
          <w:lang w:val="es-419"/>
        </w:rPr>
        <w:t xml:space="preserve"> flexible ha</w:t>
      </w:r>
      <w:r w:rsidR="00934E2E" w:rsidRPr="005F0ABE">
        <w:rPr>
          <w:lang w:val="es-419"/>
        </w:rPr>
        <w:t xml:space="preserve"> dado a algunas Oficinas receptoras e ISA la posibilidad de unirse al proyecto </w:t>
      </w:r>
      <w:r w:rsidR="005F0ABE" w:rsidRPr="005F0ABE">
        <w:rPr>
          <w:lang w:val="es-419"/>
        </w:rPr>
        <w:t>piloto</w:t>
      </w:r>
      <w:r w:rsidR="00737BD5" w:rsidRPr="005F0ABE">
        <w:rPr>
          <w:lang w:val="es-419"/>
        </w:rPr>
        <w:t xml:space="preserve"> </w:t>
      </w:r>
      <w:r w:rsidR="00934E2E" w:rsidRPr="005F0ABE">
        <w:rPr>
          <w:lang w:val="es-419"/>
        </w:rPr>
        <w:t xml:space="preserve">sin la necesidad de introducir </w:t>
      </w:r>
      <w:r w:rsidR="003B3B68">
        <w:rPr>
          <w:lang w:val="es-419"/>
        </w:rPr>
        <w:t xml:space="preserve">modificaciones </w:t>
      </w:r>
      <w:r w:rsidR="00934E2E" w:rsidRPr="005F0ABE">
        <w:rPr>
          <w:lang w:val="es-419"/>
        </w:rPr>
        <w:t>en sus sistemas de </w:t>
      </w:r>
      <w:r w:rsidR="0002239A" w:rsidRPr="005F0ABE">
        <w:rPr>
          <w:lang w:val="es-419"/>
        </w:rPr>
        <w:t>TI</w:t>
      </w:r>
      <w:r w:rsidR="00737BD5" w:rsidRPr="005F0ABE">
        <w:rPr>
          <w:lang w:val="es-419"/>
        </w:rPr>
        <w:t xml:space="preserve"> </w:t>
      </w:r>
      <w:r w:rsidR="00934E2E" w:rsidRPr="005F0ABE">
        <w:rPr>
          <w:lang w:val="es-419"/>
        </w:rPr>
        <w:t>y limitando los cambios en sus procedimientos internos que habrían impuesto la necesidad de impartir formación</w:t>
      </w:r>
      <w:r w:rsidR="00737BD5" w:rsidRPr="005F0ABE">
        <w:rPr>
          <w:lang w:val="es-419"/>
        </w:rPr>
        <w:t xml:space="preserve">, </w:t>
      </w:r>
      <w:r w:rsidR="00934E2E" w:rsidRPr="005F0ABE">
        <w:rPr>
          <w:lang w:val="es-419"/>
        </w:rPr>
        <w:t>lo que permite evaluar con eficacia las posibles ventajas en un número suficiente de Oficinas</w:t>
      </w:r>
      <w:r w:rsidR="00737BD5" w:rsidRPr="005F0ABE">
        <w:rPr>
          <w:lang w:val="es-419"/>
        </w:rPr>
        <w:t>.</w:t>
      </w:r>
    </w:p>
    <w:p w:rsidR="0002239A" w:rsidRPr="005F0ABE" w:rsidRDefault="001F6E76" w:rsidP="00737BD5">
      <w:pPr>
        <w:keepNext/>
        <w:spacing w:before="240" w:after="60"/>
        <w:outlineLvl w:val="0"/>
        <w:rPr>
          <w:b/>
          <w:bCs/>
          <w:caps/>
          <w:kern w:val="32"/>
          <w:szCs w:val="32"/>
          <w:lang w:val="es-419"/>
        </w:rPr>
      </w:pPr>
      <w:r w:rsidRPr="005F0ABE">
        <w:rPr>
          <w:b/>
          <w:bCs/>
          <w:caps/>
          <w:kern w:val="32"/>
          <w:szCs w:val="32"/>
          <w:lang w:val="es-419"/>
        </w:rPr>
        <w:t>INFORMACIÓN ACTUALIZADA SOBRE LA</w:t>
      </w:r>
      <w:r w:rsidR="00737BD5" w:rsidRPr="005F0ABE">
        <w:rPr>
          <w:b/>
          <w:bCs/>
          <w:caps/>
          <w:kern w:val="32"/>
          <w:szCs w:val="32"/>
          <w:lang w:val="es-419"/>
        </w:rPr>
        <w:t xml:space="preserve"> </w:t>
      </w:r>
      <w:r w:rsidR="003B3B68" w:rsidRPr="005F0ABE">
        <w:rPr>
          <w:b/>
          <w:bCs/>
          <w:caps/>
          <w:kern w:val="32"/>
          <w:szCs w:val="32"/>
          <w:lang w:val="es-419"/>
        </w:rPr>
        <w:t>PARTICIPACIÓN</w:t>
      </w:r>
      <w:r w:rsidR="00737BD5" w:rsidRPr="005F0ABE">
        <w:rPr>
          <w:b/>
          <w:bCs/>
          <w:caps/>
          <w:kern w:val="32"/>
          <w:szCs w:val="32"/>
          <w:lang w:val="es-419"/>
        </w:rPr>
        <w:t xml:space="preserve"> </w:t>
      </w:r>
      <w:r w:rsidRPr="005F0ABE">
        <w:rPr>
          <w:b/>
          <w:bCs/>
          <w:caps/>
          <w:kern w:val="32"/>
          <w:szCs w:val="32"/>
          <w:lang w:val="es-419"/>
        </w:rPr>
        <w:t xml:space="preserve">DE LAS ADMINISTRACIONES ENCARGADAS DE LA BÚSQUEDA </w:t>
      </w:r>
      <w:r w:rsidR="00737BD5" w:rsidRPr="005F0ABE">
        <w:rPr>
          <w:b/>
          <w:bCs/>
          <w:caps/>
          <w:kern w:val="32"/>
          <w:szCs w:val="32"/>
          <w:lang w:val="es-419"/>
        </w:rPr>
        <w:t xml:space="preserve">INternational </w:t>
      </w:r>
      <w:r w:rsidRPr="005F0ABE">
        <w:rPr>
          <w:b/>
          <w:bCs/>
          <w:caps/>
          <w:kern w:val="32"/>
          <w:szCs w:val="32"/>
          <w:lang w:val="es-419"/>
        </w:rPr>
        <w:t>Y LAS OFICINAS RECEPTORAS</w:t>
      </w:r>
    </w:p>
    <w:p w:rsidR="0002239A" w:rsidRPr="005F0ABE" w:rsidRDefault="001F6E76" w:rsidP="0002239A">
      <w:pPr>
        <w:keepNext/>
        <w:spacing w:before="240" w:after="60"/>
        <w:outlineLvl w:val="1"/>
        <w:rPr>
          <w:bCs/>
          <w:iCs/>
          <w:caps/>
          <w:szCs w:val="28"/>
          <w:lang w:val="es-419"/>
        </w:rPr>
      </w:pPr>
      <w:r w:rsidRPr="005F0ABE">
        <w:rPr>
          <w:bCs/>
          <w:iCs/>
          <w:caps/>
          <w:szCs w:val="28"/>
          <w:lang w:val="es-419"/>
        </w:rPr>
        <w:t>ISA QUE PARTICIPAN EN EL PROYECTO PILOTO</w:t>
      </w:r>
    </w:p>
    <w:p w:rsidR="0002239A" w:rsidRPr="005F0ABE" w:rsidRDefault="0002239A" w:rsidP="0002239A">
      <w:pPr>
        <w:numPr>
          <w:ilvl w:val="0"/>
          <w:numId w:val="7"/>
        </w:numPr>
        <w:spacing w:after="220"/>
        <w:rPr>
          <w:lang w:val="es-419"/>
        </w:rPr>
      </w:pPr>
      <w:r w:rsidRPr="005F0ABE">
        <w:rPr>
          <w:lang w:val="es-419"/>
        </w:rPr>
        <w:t>En 2018, la OEP, la Oficina Japonesa de Patentes (JPO) y la Oficina Austríaca de Patentes se adhirieron al proyecto piloto de compensación por saldos net</w:t>
      </w:r>
      <w:r w:rsidR="00FA76B8">
        <w:rPr>
          <w:lang w:val="es-419"/>
        </w:rPr>
        <w:t>os tanto en calidad de </w:t>
      </w:r>
      <w:r w:rsidRPr="005F0ABE">
        <w:rPr>
          <w:lang w:val="es-419"/>
        </w:rPr>
        <w:t>ISA como de Oficinas receptoras.</w:t>
      </w:r>
    </w:p>
    <w:p w:rsidR="0002239A" w:rsidRPr="005F0ABE" w:rsidRDefault="001F6E76" w:rsidP="001F6E76">
      <w:pPr>
        <w:pStyle w:val="ONUME"/>
        <w:rPr>
          <w:lang w:val="es-419"/>
        </w:rPr>
      </w:pPr>
      <w:r w:rsidRPr="005F0ABE">
        <w:rPr>
          <w:lang w:val="es-419"/>
        </w:rPr>
        <w:t>El proyecto piloto de</w:t>
      </w:r>
      <w:r w:rsidR="00737BD5" w:rsidRPr="005F0ABE">
        <w:rPr>
          <w:lang w:val="es-419"/>
        </w:rPr>
        <w:t xml:space="preserve"> </w:t>
      </w:r>
      <w:r w:rsidR="0002239A" w:rsidRPr="005F0ABE">
        <w:rPr>
          <w:lang w:val="es-419"/>
        </w:rPr>
        <w:t>compensación por saldos netos</w:t>
      </w:r>
      <w:r w:rsidR="00737BD5" w:rsidRPr="005F0ABE">
        <w:rPr>
          <w:lang w:val="es-419"/>
        </w:rPr>
        <w:t xml:space="preserve"> </w:t>
      </w:r>
      <w:r w:rsidRPr="005F0ABE">
        <w:rPr>
          <w:lang w:val="es-419"/>
        </w:rPr>
        <w:t xml:space="preserve">con la OEP entró en funcionamiento para las </w:t>
      </w:r>
      <w:r w:rsidR="003B3B68" w:rsidRPr="005F0ABE">
        <w:rPr>
          <w:lang w:val="es-419"/>
        </w:rPr>
        <w:t>transacciones</w:t>
      </w:r>
      <w:r w:rsidR="00737BD5" w:rsidRPr="005F0ABE">
        <w:rPr>
          <w:lang w:val="es-419"/>
        </w:rPr>
        <w:t xml:space="preserve"> </w:t>
      </w:r>
      <w:r w:rsidRPr="005F0ABE">
        <w:rPr>
          <w:lang w:val="es-419"/>
        </w:rPr>
        <w:t>efectuadas a partir del</w:t>
      </w:r>
      <w:r w:rsidR="0002239A" w:rsidRPr="005F0ABE">
        <w:rPr>
          <w:lang w:val="es-419"/>
        </w:rPr>
        <w:t xml:space="preserve"> 1 de enero de</w:t>
      </w:r>
      <w:r w:rsidR="00737BD5" w:rsidRPr="005F0ABE">
        <w:rPr>
          <w:lang w:val="es-419"/>
        </w:rPr>
        <w:t xml:space="preserve"> 2018 (</w:t>
      </w:r>
      <w:r w:rsidR="00FA76B8" w:rsidRPr="005F0ABE">
        <w:rPr>
          <w:lang w:val="es-419"/>
        </w:rPr>
        <w:t xml:space="preserve">el mes de </w:t>
      </w:r>
      <w:r w:rsidR="0002239A" w:rsidRPr="005F0ABE">
        <w:rPr>
          <w:lang w:val="es-419"/>
        </w:rPr>
        <w:t>compensación por saldos netos</w:t>
      </w:r>
      <w:r w:rsidR="00737BD5" w:rsidRPr="005F0ABE">
        <w:rPr>
          <w:lang w:val="es-419"/>
        </w:rPr>
        <w:t xml:space="preserve"> </w:t>
      </w:r>
      <w:r w:rsidR="00FA76B8">
        <w:rPr>
          <w:lang w:val="es-419"/>
        </w:rPr>
        <w:t>es</w:t>
      </w:r>
      <w:r w:rsidRPr="005F0ABE">
        <w:rPr>
          <w:lang w:val="es-419"/>
        </w:rPr>
        <w:t xml:space="preserve"> febrero de 2018). Debido al gran número de Oficinas receptoras que han especificado que la OEP es la ISA compet</w:t>
      </w:r>
      <w:r w:rsidR="00787BD4" w:rsidRPr="005F0ABE">
        <w:rPr>
          <w:lang w:val="es-419"/>
        </w:rPr>
        <w:t>ente, el proyecto piloto con la </w:t>
      </w:r>
      <w:r w:rsidRPr="005F0ABE">
        <w:rPr>
          <w:lang w:val="es-419"/>
        </w:rPr>
        <w:t>OEP se ha aplicado conforme a un enfoque gradual</w:t>
      </w:r>
      <w:r w:rsidR="00737BD5" w:rsidRPr="005F0ABE">
        <w:rPr>
          <w:lang w:val="es-419"/>
        </w:rPr>
        <w:t xml:space="preserve">, </w:t>
      </w:r>
      <w:r w:rsidRPr="005F0ABE">
        <w:rPr>
          <w:lang w:val="es-419"/>
        </w:rPr>
        <w:t xml:space="preserve">que se prevé </w:t>
      </w:r>
      <w:r w:rsidR="00737BD5" w:rsidRPr="005F0ABE">
        <w:rPr>
          <w:lang w:val="es-419"/>
        </w:rPr>
        <w:t>extend</w:t>
      </w:r>
      <w:r w:rsidRPr="005F0ABE">
        <w:rPr>
          <w:lang w:val="es-419"/>
        </w:rPr>
        <w:t>er</w:t>
      </w:r>
      <w:r w:rsidR="00737BD5" w:rsidRPr="005F0ABE">
        <w:rPr>
          <w:lang w:val="es-419"/>
        </w:rPr>
        <w:t xml:space="preserve"> </w:t>
      </w:r>
      <w:r w:rsidRPr="005F0ABE">
        <w:rPr>
          <w:lang w:val="es-419"/>
        </w:rPr>
        <w:t>a lo largo de</w:t>
      </w:r>
      <w:r w:rsidR="00787BD4" w:rsidRPr="005F0ABE">
        <w:rPr>
          <w:lang w:val="es-419"/>
        </w:rPr>
        <w:t> </w:t>
      </w:r>
      <w:r w:rsidRPr="005F0ABE">
        <w:rPr>
          <w:lang w:val="es-419"/>
        </w:rPr>
        <w:t>2020. El proyecto</w:t>
      </w:r>
      <w:r w:rsidR="00737BD5" w:rsidRPr="005F0ABE">
        <w:rPr>
          <w:lang w:val="es-419"/>
        </w:rPr>
        <w:t xml:space="preserve"> </w:t>
      </w:r>
      <w:r w:rsidR="005F0ABE" w:rsidRPr="005F0ABE">
        <w:rPr>
          <w:lang w:val="es-419"/>
        </w:rPr>
        <w:t>piloto</w:t>
      </w:r>
      <w:r w:rsidR="00737BD5" w:rsidRPr="005F0ABE">
        <w:rPr>
          <w:lang w:val="es-419"/>
        </w:rPr>
        <w:t xml:space="preserve"> </w:t>
      </w:r>
      <w:r w:rsidRPr="005F0ABE">
        <w:rPr>
          <w:lang w:val="es-419"/>
        </w:rPr>
        <w:t>incluye actualmente</w:t>
      </w:r>
      <w:r w:rsidR="00737BD5" w:rsidRPr="005F0ABE">
        <w:rPr>
          <w:lang w:val="es-419"/>
        </w:rPr>
        <w:t xml:space="preserve"> 33 </w:t>
      </w:r>
      <w:r w:rsidRPr="005F0ABE">
        <w:rPr>
          <w:lang w:val="es-419"/>
        </w:rPr>
        <w:t>Oficinas receptoras que han especificado que la OEP es</w:t>
      </w:r>
      <w:r w:rsidR="00737BD5" w:rsidRPr="005F0ABE">
        <w:rPr>
          <w:lang w:val="es-419"/>
        </w:rPr>
        <w:t xml:space="preserve"> </w:t>
      </w:r>
      <w:r w:rsidR="00787BD4" w:rsidRPr="005F0ABE">
        <w:rPr>
          <w:lang w:val="es-419"/>
        </w:rPr>
        <w:t xml:space="preserve">la ISA </w:t>
      </w:r>
      <w:r w:rsidR="003B3B68" w:rsidRPr="005F0ABE">
        <w:rPr>
          <w:lang w:val="es-419"/>
        </w:rPr>
        <w:t>competente</w:t>
      </w:r>
      <w:r w:rsidR="00737BD5" w:rsidRPr="005F0ABE">
        <w:rPr>
          <w:lang w:val="es-419"/>
        </w:rPr>
        <w:t xml:space="preserve">, </w:t>
      </w:r>
      <w:r w:rsidRPr="005F0ABE">
        <w:rPr>
          <w:lang w:val="es-419"/>
        </w:rPr>
        <w:t xml:space="preserve">y ello incluye las Oficinas receptoras que </w:t>
      </w:r>
      <w:r w:rsidR="00787BD4" w:rsidRPr="005F0ABE">
        <w:rPr>
          <w:lang w:val="es-419"/>
        </w:rPr>
        <w:t xml:space="preserve">recaudan las tasas de búsquedas en </w:t>
      </w:r>
      <w:r w:rsidR="00737BD5" w:rsidRPr="005F0ABE">
        <w:rPr>
          <w:lang w:val="es-419"/>
        </w:rPr>
        <w:t xml:space="preserve">euros </w:t>
      </w:r>
      <w:r w:rsidR="00787BD4" w:rsidRPr="005F0ABE">
        <w:rPr>
          <w:lang w:val="es-419"/>
        </w:rPr>
        <w:t>y las que las recaudan en otras divisas. Ha incorporado el</w:t>
      </w:r>
      <w:r w:rsidR="00737BD5" w:rsidRPr="005F0ABE">
        <w:rPr>
          <w:lang w:val="es-419"/>
        </w:rPr>
        <w:t xml:space="preserve"> </w:t>
      </w:r>
      <w:r w:rsidR="0002239A" w:rsidRPr="005F0ABE">
        <w:rPr>
          <w:lang w:val="es-419"/>
        </w:rPr>
        <w:t>arreglo</w:t>
      </w:r>
      <w:r w:rsidR="00737BD5" w:rsidRPr="005F0ABE">
        <w:rPr>
          <w:lang w:val="es-419"/>
        </w:rPr>
        <w:t xml:space="preserve"> </w:t>
      </w:r>
      <w:r w:rsidR="00787BD4" w:rsidRPr="005F0ABE">
        <w:rPr>
          <w:lang w:val="es-419"/>
        </w:rPr>
        <w:t>vigente entre la</w:t>
      </w:r>
      <w:r w:rsidR="00570C77">
        <w:rPr>
          <w:lang w:val="es-419"/>
        </w:rPr>
        <w:t> </w:t>
      </w:r>
      <w:r w:rsidR="0002239A" w:rsidRPr="005F0ABE">
        <w:rPr>
          <w:lang w:val="es-419"/>
        </w:rPr>
        <w:t>USPTO</w:t>
      </w:r>
      <w:r w:rsidR="00737BD5" w:rsidRPr="005F0ABE">
        <w:rPr>
          <w:lang w:val="es-419"/>
        </w:rPr>
        <w:t xml:space="preserve"> </w:t>
      </w:r>
      <w:r w:rsidR="00787BD4" w:rsidRPr="005F0ABE">
        <w:rPr>
          <w:lang w:val="es-419"/>
        </w:rPr>
        <w:t>en calidad de Oficina receptora</w:t>
      </w:r>
      <w:r w:rsidR="00737BD5" w:rsidRPr="005F0ABE">
        <w:rPr>
          <w:lang w:val="es-419"/>
        </w:rPr>
        <w:t xml:space="preserve">, </w:t>
      </w:r>
      <w:r w:rsidR="00787BD4" w:rsidRPr="005F0ABE">
        <w:rPr>
          <w:lang w:val="es-419"/>
        </w:rPr>
        <w:t xml:space="preserve">la </w:t>
      </w:r>
      <w:r w:rsidR="0002239A" w:rsidRPr="005F0ABE">
        <w:rPr>
          <w:lang w:val="es-419"/>
        </w:rPr>
        <w:t>OEP</w:t>
      </w:r>
      <w:r w:rsidR="00737BD5" w:rsidRPr="005F0ABE">
        <w:rPr>
          <w:lang w:val="es-419"/>
        </w:rPr>
        <w:t xml:space="preserve"> </w:t>
      </w:r>
      <w:r w:rsidR="00787BD4" w:rsidRPr="005F0ABE">
        <w:rPr>
          <w:lang w:val="es-419"/>
        </w:rPr>
        <w:t xml:space="preserve">en calidad de </w:t>
      </w:r>
      <w:r w:rsidR="0002239A" w:rsidRPr="005F0ABE">
        <w:rPr>
          <w:lang w:val="es-419"/>
        </w:rPr>
        <w:t>ISA</w:t>
      </w:r>
      <w:r w:rsidR="00737BD5" w:rsidRPr="005F0ABE">
        <w:rPr>
          <w:lang w:val="es-419"/>
        </w:rPr>
        <w:t xml:space="preserve"> </w:t>
      </w:r>
      <w:r w:rsidR="00787BD4" w:rsidRPr="005F0ABE">
        <w:rPr>
          <w:lang w:val="es-419"/>
        </w:rPr>
        <w:t xml:space="preserve">y </w:t>
      </w:r>
      <w:r w:rsidR="00570C77">
        <w:rPr>
          <w:lang w:val="es-419"/>
        </w:rPr>
        <w:t>l</w:t>
      </w:r>
      <w:r w:rsidR="00787BD4" w:rsidRPr="005F0ABE">
        <w:rPr>
          <w:lang w:val="es-419"/>
        </w:rPr>
        <w:t>a</w:t>
      </w:r>
      <w:r w:rsidR="00737BD5" w:rsidRPr="005F0ABE">
        <w:rPr>
          <w:lang w:val="es-419"/>
        </w:rPr>
        <w:t xml:space="preserve"> </w:t>
      </w:r>
      <w:r w:rsidR="0002239A" w:rsidRPr="005F0ABE">
        <w:rPr>
          <w:lang w:val="es-419"/>
        </w:rPr>
        <w:t>Oficina Internacional</w:t>
      </w:r>
      <w:r w:rsidR="00737BD5" w:rsidRPr="005F0ABE">
        <w:rPr>
          <w:lang w:val="es-419"/>
        </w:rPr>
        <w:t xml:space="preserve">, </w:t>
      </w:r>
      <w:r w:rsidR="00787BD4" w:rsidRPr="005F0ABE">
        <w:rPr>
          <w:lang w:val="es-419"/>
        </w:rPr>
        <w:t>mencionado en el párrafo</w:t>
      </w:r>
      <w:r w:rsidR="00737BD5" w:rsidRPr="005F0ABE">
        <w:rPr>
          <w:lang w:val="es-419"/>
        </w:rPr>
        <w:t> </w:t>
      </w:r>
      <w:r w:rsidR="00737BD5" w:rsidRPr="005F0ABE">
        <w:rPr>
          <w:lang w:val="es-419"/>
        </w:rPr>
        <w:fldChar w:fldCharType="begin"/>
      </w:r>
      <w:r w:rsidR="00737BD5" w:rsidRPr="005F0ABE">
        <w:rPr>
          <w:lang w:val="es-419"/>
        </w:rPr>
        <w:instrText xml:space="preserve"> REF _Ref503272562 \r \h </w:instrText>
      </w:r>
      <w:r w:rsidR="005F0ABE">
        <w:rPr>
          <w:lang w:val="es-419"/>
        </w:rPr>
        <w:instrText xml:space="preserve"> \* MERGEFORMAT </w:instrText>
      </w:r>
      <w:r w:rsidR="00737BD5" w:rsidRPr="005F0ABE">
        <w:rPr>
          <w:lang w:val="es-419"/>
        </w:rPr>
      </w:r>
      <w:r w:rsidR="00737BD5" w:rsidRPr="005F0ABE">
        <w:rPr>
          <w:lang w:val="es-419"/>
        </w:rPr>
        <w:fldChar w:fldCharType="separate"/>
      </w:r>
      <w:r w:rsidR="00663DB8">
        <w:rPr>
          <w:lang w:val="es-419"/>
        </w:rPr>
        <w:t>8</w:t>
      </w:r>
      <w:r w:rsidR="00737BD5" w:rsidRPr="005F0ABE">
        <w:rPr>
          <w:lang w:val="es-419"/>
        </w:rPr>
        <w:fldChar w:fldCharType="end"/>
      </w:r>
      <w:r w:rsidR="00737BD5" w:rsidRPr="005F0ABE">
        <w:rPr>
          <w:lang w:val="es-419"/>
        </w:rPr>
        <w:t>,</w:t>
      </w:r>
      <w:r w:rsidR="00787BD4" w:rsidRPr="005F0ABE">
        <w:rPr>
          <w:lang w:val="es-419"/>
        </w:rPr>
        <w:t xml:space="preserve"> más arriba</w:t>
      </w:r>
      <w:r w:rsidR="00737BD5" w:rsidRPr="005F0ABE">
        <w:rPr>
          <w:lang w:val="es-419"/>
        </w:rPr>
        <w:t xml:space="preserve">, </w:t>
      </w:r>
      <w:r w:rsidR="00787BD4" w:rsidRPr="005F0ABE">
        <w:rPr>
          <w:lang w:val="es-419"/>
        </w:rPr>
        <w:t>que se ha extendido hasta </w:t>
      </w:r>
      <w:r w:rsidR="00737BD5" w:rsidRPr="005F0ABE">
        <w:rPr>
          <w:lang w:val="es-419"/>
        </w:rPr>
        <w:t>2021.</w:t>
      </w:r>
    </w:p>
    <w:p w:rsidR="0002239A" w:rsidRPr="005F0ABE" w:rsidRDefault="00787BD4" w:rsidP="0002239A">
      <w:pPr>
        <w:keepLines/>
        <w:numPr>
          <w:ilvl w:val="0"/>
          <w:numId w:val="7"/>
        </w:numPr>
        <w:spacing w:after="220"/>
        <w:rPr>
          <w:lang w:val="es-419"/>
        </w:rPr>
      </w:pPr>
      <w:r w:rsidRPr="005F0ABE">
        <w:rPr>
          <w:lang w:val="es-419"/>
        </w:rPr>
        <w:t>Un proyecto</w:t>
      </w:r>
      <w:r w:rsidR="00737BD5" w:rsidRPr="005F0ABE">
        <w:rPr>
          <w:lang w:val="es-419"/>
        </w:rPr>
        <w:t xml:space="preserve"> </w:t>
      </w:r>
      <w:r w:rsidR="005F0ABE" w:rsidRPr="005F0ABE">
        <w:rPr>
          <w:lang w:val="es-419"/>
        </w:rPr>
        <w:t>piloto</w:t>
      </w:r>
      <w:r w:rsidR="00737BD5" w:rsidRPr="005F0ABE">
        <w:rPr>
          <w:lang w:val="es-419"/>
        </w:rPr>
        <w:t xml:space="preserve"> </w:t>
      </w:r>
      <w:r w:rsidRPr="005F0ABE">
        <w:rPr>
          <w:lang w:val="es-419"/>
        </w:rPr>
        <w:t>con la JPO</w:t>
      </w:r>
      <w:r w:rsidR="00737BD5" w:rsidRPr="005F0ABE">
        <w:rPr>
          <w:lang w:val="es-419"/>
        </w:rPr>
        <w:t xml:space="preserve"> </w:t>
      </w:r>
      <w:r w:rsidRPr="005F0ABE">
        <w:rPr>
          <w:lang w:val="es-419"/>
        </w:rPr>
        <w:t>en calidad de ISA</w:t>
      </w:r>
      <w:r w:rsidR="00737BD5" w:rsidRPr="005F0ABE">
        <w:rPr>
          <w:lang w:val="es-419"/>
        </w:rPr>
        <w:t xml:space="preserve"> </w:t>
      </w:r>
      <w:r w:rsidRPr="005F0ABE">
        <w:rPr>
          <w:lang w:val="es-419"/>
        </w:rPr>
        <w:t>se ha puesto en marcha el </w:t>
      </w:r>
      <w:r w:rsidR="0002239A" w:rsidRPr="005F0ABE">
        <w:rPr>
          <w:lang w:val="es-419"/>
        </w:rPr>
        <w:t>1 de abril de</w:t>
      </w:r>
      <w:r w:rsidRPr="005F0ABE">
        <w:rPr>
          <w:lang w:val="es-419"/>
        </w:rPr>
        <w:t> </w:t>
      </w:r>
      <w:r w:rsidR="00737BD5" w:rsidRPr="005F0ABE">
        <w:rPr>
          <w:lang w:val="es-419"/>
        </w:rPr>
        <w:t>2018 (</w:t>
      </w:r>
      <w:r w:rsidR="00FA76B8" w:rsidRPr="005F0ABE">
        <w:rPr>
          <w:lang w:val="es-419"/>
        </w:rPr>
        <w:t xml:space="preserve">el mes de </w:t>
      </w:r>
      <w:r w:rsidRPr="005F0ABE">
        <w:rPr>
          <w:lang w:val="es-419"/>
        </w:rPr>
        <w:t xml:space="preserve">compensación por saldos netos </w:t>
      </w:r>
      <w:r w:rsidR="00FA76B8">
        <w:rPr>
          <w:lang w:val="es-419"/>
        </w:rPr>
        <w:t xml:space="preserve">es </w:t>
      </w:r>
      <w:r w:rsidRPr="005F0ABE">
        <w:rPr>
          <w:lang w:val="es-419"/>
        </w:rPr>
        <w:t>mayo de</w:t>
      </w:r>
      <w:r w:rsidR="00737BD5" w:rsidRPr="005F0ABE">
        <w:rPr>
          <w:lang w:val="es-419"/>
        </w:rPr>
        <w:t> 2018)</w:t>
      </w:r>
      <w:r w:rsidRPr="005F0ABE">
        <w:rPr>
          <w:lang w:val="es-419"/>
        </w:rPr>
        <w:t xml:space="preserve"> e</w:t>
      </w:r>
      <w:r w:rsidR="0002239A" w:rsidRPr="005F0ABE">
        <w:rPr>
          <w:lang w:val="es-419"/>
        </w:rPr>
        <w:t xml:space="preserve"> incluye ahora cuatro Oficinas receptoras que han especificado que la JPO es la ISA competente.</w:t>
      </w:r>
      <w:r w:rsidR="00737BD5" w:rsidRPr="005F0ABE">
        <w:rPr>
          <w:lang w:val="es-419"/>
        </w:rPr>
        <w:t xml:space="preserve"> </w:t>
      </w:r>
      <w:r w:rsidRPr="005F0ABE">
        <w:rPr>
          <w:lang w:val="es-419"/>
        </w:rPr>
        <w:t xml:space="preserve">Se están preparando </w:t>
      </w:r>
      <w:r w:rsidR="003B3B68" w:rsidRPr="005F0ABE">
        <w:rPr>
          <w:lang w:val="es-419"/>
        </w:rPr>
        <w:t>invitaciones</w:t>
      </w:r>
      <w:r w:rsidR="00737BD5" w:rsidRPr="005F0ABE">
        <w:rPr>
          <w:lang w:val="es-419"/>
        </w:rPr>
        <w:t xml:space="preserve"> </w:t>
      </w:r>
      <w:r w:rsidRPr="005F0ABE">
        <w:rPr>
          <w:lang w:val="es-419"/>
        </w:rPr>
        <w:t>para otras Oficinas receptoras que han especificado que la JPO</w:t>
      </w:r>
      <w:r w:rsidR="00737BD5" w:rsidRPr="005F0ABE">
        <w:rPr>
          <w:lang w:val="es-419"/>
        </w:rPr>
        <w:t xml:space="preserve"> </w:t>
      </w:r>
      <w:r w:rsidRPr="005F0ABE">
        <w:rPr>
          <w:lang w:val="es-419"/>
        </w:rPr>
        <w:t>e</w:t>
      </w:r>
      <w:r w:rsidR="00737BD5" w:rsidRPr="005F0ABE">
        <w:rPr>
          <w:lang w:val="es-419"/>
        </w:rPr>
        <w:t xml:space="preserve">s </w:t>
      </w:r>
      <w:r w:rsidR="00570C77">
        <w:rPr>
          <w:lang w:val="es-419"/>
        </w:rPr>
        <w:t>la </w:t>
      </w:r>
      <w:r w:rsidRPr="005F0ABE">
        <w:rPr>
          <w:lang w:val="es-419"/>
        </w:rPr>
        <w:t xml:space="preserve">ISA </w:t>
      </w:r>
      <w:r w:rsidR="003B3B68" w:rsidRPr="005F0ABE">
        <w:rPr>
          <w:lang w:val="es-419"/>
        </w:rPr>
        <w:t>competente</w:t>
      </w:r>
      <w:r w:rsidR="00737BD5" w:rsidRPr="005F0ABE">
        <w:rPr>
          <w:lang w:val="es-419"/>
        </w:rPr>
        <w:t xml:space="preserve"> </w:t>
      </w:r>
      <w:r w:rsidRPr="005F0ABE">
        <w:rPr>
          <w:lang w:val="es-419"/>
        </w:rPr>
        <w:t>y en 2019 se invitará a todas las Oficinas receptoras restantes</w:t>
      </w:r>
      <w:r w:rsidR="00737BD5" w:rsidRPr="005F0ABE">
        <w:rPr>
          <w:lang w:val="es-419"/>
        </w:rPr>
        <w:t>.</w:t>
      </w:r>
    </w:p>
    <w:p w:rsidR="0002239A" w:rsidRPr="005F0ABE" w:rsidRDefault="0002239A" w:rsidP="0002239A">
      <w:pPr>
        <w:keepLines/>
        <w:numPr>
          <w:ilvl w:val="0"/>
          <w:numId w:val="7"/>
        </w:numPr>
        <w:spacing w:after="220"/>
        <w:rPr>
          <w:lang w:val="es-419"/>
        </w:rPr>
      </w:pPr>
      <w:r w:rsidRPr="005F0ABE">
        <w:rPr>
          <w:lang w:val="es-419"/>
        </w:rPr>
        <w:t xml:space="preserve">El 1 de agosto de 2018 se inició un proyecto piloto con la Oficina Austríaca de Patentes en calidad de ISA </w:t>
      </w:r>
      <w:r w:rsidR="00787BD4" w:rsidRPr="005F0ABE">
        <w:rPr>
          <w:lang w:val="es-419"/>
        </w:rPr>
        <w:t>(</w:t>
      </w:r>
      <w:r w:rsidR="00FA76B8" w:rsidRPr="005F0ABE">
        <w:rPr>
          <w:lang w:val="es-419"/>
        </w:rPr>
        <w:t xml:space="preserve">el mes de </w:t>
      </w:r>
      <w:r w:rsidR="00787BD4" w:rsidRPr="005F0ABE">
        <w:rPr>
          <w:lang w:val="es-419"/>
        </w:rPr>
        <w:t>compensación por saldos netos es septiembre de 2018) qu</w:t>
      </w:r>
      <w:r w:rsidRPr="005F0ABE">
        <w:rPr>
          <w:lang w:val="es-419"/>
        </w:rPr>
        <w:t xml:space="preserve">e incluye ahora </w:t>
      </w:r>
      <w:r w:rsidR="00787BD4" w:rsidRPr="005F0ABE">
        <w:rPr>
          <w:lang w:val="es-419"/>
        </w:rPr>
        <w:t xml:space="preserve">dos </w:t>
      </w:r>
      <w:r w:rsidRPr="005F0ABE">
        <w:rPr>
          <w:lang w:val="es-419"/>
        </w:rPr>
        <w:t xml:space="preserve">Oficinas receptoras que han especificado que la Oficina Austríaca de Patentes es la </w:t>
      </w:r>
      <w:r w:rsidR="00787BD4" w:rsidRPr="005F0ABE">
        <w:rPr>
          <w:lang w:val="es-419"/>
        </w:rPr>
        <w:t xml:space="preserve">ISA </w:t>
      </w:r>
      <w:r w:rsidRPr="005F0ABE">
        <w:rPr>
          <w:lang w:val="es-419"/>
        </w:rPr>
        <w:t>competente.</w:t>
      </w:r>
      <w:r w:rsidR="00787BD4" w:rsidRPr="005F0ABE">
        <w:rPr>
          <w:lang w:val="es-419"/>
        </w:rPr>
        <w:t xml:space="preserve"> Se están preparando </w:t>
      </w:r>
      <w:r w:rsidR="003B3B68" w:rsidRPr="005F0ABE">
        <w:rPr>
          <w:lang w:val="es-419"/>
        </w:rPr>
        <w:t>invitaciones</w:t>
      </w:r>
      <w:r w:rsidR="00787BD4" w:rsidRPr="005F0ABE">
        <w:rPr>
          <w:lang w:val="es-419"/>
        </w:rPr>
        <w:t xml:space="preserve"> para otras Oficinas receptoras y en 2019 se invitará a todas las Oficinas receptoras restantes</w:t>
      </w:r>
      <w:r w:rsidR="00737BD5" w:rsidRPr="005F0ABE">
        <w:rPr>
          <w:lang w:val="es-419"/>
        </w:rPr>
        <w:t>.</w:t>
      </w:r>
    </w:p>
    <w:p w:rsidR="0002239A" w:rsidRPr="005F0ABE" w:rsidRDefault="0002239A" w:rsidP="0002239A">
      <w:pPr>
        <w:keepNext/>
        <w:spacing w:before="240" w:after="60"/>
        <w:outlineLvl w:val="1"/>
        <w:rPr>
          <w:bCs/>
          <w:iCs/>
          <w:caps/>
          <w:szCs w:val="28"/>
          <w:lang w:val="es-419"/>
        </w:rPr>
      </w:pPr>
      <w:r w:rsidRPr="005F0ABE">
        <w:rPr>
          <w:bCs/>
          <w:iCs/>
          <w:caps/>
          <w:szCs w:val="28"/>
          <w:lang w:val="es-419"/>
        </w:rPr>
        <w:t xml:space="preserve">ESTADO DE </w:t>
      </w:r>
      <w:r w:rsidR="007C76AC" w:rsidRPr="005F0ABE">
        <w:rPr>
          <w:bCs/>
          <w:iCs/>
          <w:caps/>
          <w:szCs w:val="28"/>
          <w:lang w:val="es-419"/>
        </w:rPr>
        <w:t>LAS CONVERSACIONES</w:t>
      </w:r>
      <w:r w:rsidRPr="005F0ABE">
        <w:rPr>
          <w:bCs/>
          <w:iCs/>
          <w:caps/>
          <w:szCs w:val="28"/>
          <w:lang w:val="es-419"/>
        </w:rPr>
        <w:t xml:space="preserve"> SOBRE LA PARTICIPACIÓN DE OTRAS ISA</w:t>
      </w:r>
    </w:p>
    <w:p w:rsidR="0002239A" w:rsidRPr="005F0ABE" w:rsidRDefault="00053407" w:rsidP="00053407">
      <w:pPr>
        <w:pStyle w:val="ONUME"/>
        <w:rPr>
          <w:lang w:val="es-419"/>
        </w:rPr>
      </w:pPr>
      <w:r w:rsidRPr="005F0ABE">
        <w:rPr>
          <w:lang w:val="es-419"/>
        </w:rPr>
        <w:t>La</w:t>
      </w:r>
      <w:r w:rsidR="00737BD5" w:rsidRPr="005F0ABE">
        <w:rPr>
          <w:lang w:val="es-419"/>
        </w:rPr>
        <w:t xml:space="preserve"> </w:t>
      </w:r>
      <w:r w:rsidR="0002239A" w:rsidRPr="005F0ABE">
        <w:rPr>
          <w:lang w:val="es-419"/>
        </w:rPr>
        <w:t>Oficina Internacional</w:t>
      </w:r>
      <w:r w:rsidR="00737BD5" w:rsidRPr="005F0ABE">
        <w:rPr>
          <w:lang w:val="es-419"/>
        </w:rPr>
        <w:t xml:space="preserve"> </w:t>
      </w:r>
      <w:r w:rsidRPr="005F0ABE">
        <w:rPr>
          <w:lang w:val="es-419"/>
        </w:rPr>
        <w:t xml:space="preserve">está manteniendo conversaciones con la Oficina Surcoreana de Propiedad Intelectual (KIPO) sobre su posible participación en el proyecto piloto en calidad de ISA. Dado que el won </w:t>
      </w:r>
      <w:r w:rsidR="00570C77">
        <w:rPr>
          <w:lang w:val="es-419"/>
        </w:rPr>
        <w:t>sur</w:t>
      </w:r>
      <w:r w:rsidRPr="005F0ABE">
        <w:rPr>
          <w:lang w:val="es-419"/>
        </w:rPr>
        <w:t>coreano (KRW) no se considera una moneda convertible, la Oficina Internacional ha concertado acuerdos con sus bancos para adquirir suficientes KRW a un tipo de cambio favorable en cuanto se ponga en marcha un proyecto</w:t>
      </w:r>
      <w:r w:rsidR="00737BD5" w:rsidRPr="005F0ABE">
        <w:rPr>
          <w:lang w:val="es-419"/>
        </w:rPr>
        <w:t xml:space="preserve"> </w:t>
      </w:r>
      <w:r w:rsidR="005F0ABE" w:rsidRPr="005F0ABE">
        <w:rPr>
          <w:lang w:val="es-419"/>
        </w:rPr>
        <w:t>piloto</w:t>
      </w:r>
      <w:r w:rsidRPr="005F0ABE">
        <w:rPr>
          <w:lang w:val="es-419"/>
        </w:rPr>
        <w:t>. Este enfoque</w:t>
      </w:r>
      <w:r w:rsidR="0002239A" w:rsidRPr="005F0ABE">
        <w:rPr>
          <w:lang w:val="es-419"/>
        </w:rPr>
        <w:t xml:space="preserve"> reduciría considerablemente el riesgo cambiario para la Oficina Inte</w:t>
      </w:r>
      <w:r w:rsidRPr="005F0ABE">
        <w:rPr>
          <w:lang w:val="es-419"/>
        </w:rPr>
        <w:t>rnacional en el marco de la Regla </w:t>
      </w:r>
      <w:r w:rsidR="0002239A" w:rsidRPr="005F0ABE">
        <w:rPr>
          <w:lang w:val="es-419"/>
        </w:rPr>
        <w:t>16.1.e).</w:t>
      </w:r>
      <w:r w:rsidR="00737BD5" w:rsidRPr="005F0ABE">
        <w:rPr>
          <w:lang w:val="es-419"/>
        </w:rPr>
        <w:t xml:space="preserve"> </w:t>
      </w:r>
      <w:r w:rsidRPr="005F0ABE">
        <w:rPr>
          <w:lang w:val="es-419"/>
        </w:rPr>
        <w:t>También reduciría el trabajo que debería realizar la KIPO para presentar peticiones por pérdidas o ganancias debidas a los tipos de cambio, así como el trabajo que la</w:t>
      </w:r>
      <w:r w:rsidR="00737BD5" w:rsidRPr="005F0ABE">
        <w:rPr>
          <w:lang w:val="es-419"/>
        </w:rPr>
        <w:t xml:space="preserve"> </w:t>
      </w:r>
      <w:r w:rsidR="0002239A" w:rsidRPr="005F0ABE">
        <w:rPr>
          <w:lang w:val="es-419"/>
        </w:rPr>
        <w:t xml:space="preserve">Oficina Internacional </w:t>
      </w:r>
      <w:r w:rsidRPr="005F0ABE">
        <w:rPr>
          <w:lang w:val="es-419"/>
        </w:rPr>
        <w:t>debería realizar para examinar y tramitar esas peticiones.</w:t>
      </w:r>
    </w:p>
    <w:p w:rsidR="0002239A" w:rsidRPr="005F0ABE" w:rsidRDefault="0002239A" w:rsidP="00AA6BCC">
      <w:pPr>
        <w:pStyle w:val="ONUME"/>
        <w:rPr>
          <w:lang w:val="es-419"/>
        </w:rPr>
      </w:pPr>
      <w:r w:rsidRPr="005F0ABE">
        <w:rPr>
          <w:lang w:val="es-419"/>
        </w:rPr>
        <w:lastRenderedPageBreak/>
        <w:t xml:space="preserve">Además, la Oficina Internacional está realizando los preparativos necesarios para ampliar el proyecto piloto </w:t>
      </w:r>
      <w:r w:rsidR="00AA6BCC" w:rsidRPr="005F0ABE">
        <w:rPr>
          <w:lang w:val="es-419"/>
        </w:rPr>
        <w:t>con el fin de</w:t>
      </w:r>
      <w:r w:rsidRPr="005F0ABE">
        <w:rPr>
          <w:lang w:val="es-419"/>
        </w:rPr>
        <w:t xml:space="preserve"> incluir, en calidad de ISA, a la USPTO, la Administración Nacional de Propiedad Intelectual de China (CNIPA) y el Servicio Federal de Propiedad Intelectual de la Federación de Rusia (Rospatent).</w:t>
      </w:r>
      <w:r w:rsidR="00737BD5" w:rsidRPr="005F0ABE">
        <w:rPr>
          <w:lang w:val="es-419"/>
        </w:rPr>
        <w:t xml:space="preserve"> </w:t>
      </w:r>
      <w:r w:rsidR="00AA6BCC" w:rsidRPr="005F0ABE">
        <w:rPr>
          <w:lang w:val="es-419"/>
        </w:rPr>
        <w:t>En ese contexto se tienen en cuenta las necesidades particulares de esas Oficinas, tanto en calidad de ISA como en calidad de Oficinas receptoras, junto con las restricciones monetarias y el tipo de tasas internacionales administradas por cada Oficina</w:t>
      </w:r>
      <w:r w:rsidR="00737BD5" w:rsidRPr="005F0ABE">
        <w:rPr>
          <w:lang w:val="es-419"/>
        </w:rPr>
        <w:t>.</w:t>
      </w:r>
    </w:p>
    <w:p w:rsidR="0002239A" w:rsidRPr="005F0ABE" w:rsidRDefault="00AA6BCC" w:rsidP="0002239A">
      <w:pPr>
        <w:numPr>
          <w:ilvl w:val="0"/>
          <w:numId w:val="7"/>
        </w:numPr>
        <w:spacing w:after="220"/>
        <w:rPr>
          <w:lang w:val="es-419"/>
        </w:rPr>
      </w:pPr>
      <w:r w:rsidRPr="005F0ABE">
        <w:rPr>
          <w:lang w:val="es-419"/>
        </w:rPr>
        <w:t xml:space="preserve">Se han presentado propuestas a la Oficina Sueca de Patentes y Registro </w:t>
      </w:r>
      <w:r w:rsidR="00396C56" w:rsidRPr="005F0ABE">
        <w:rPr>
          <w:lang w:val="es-419"/>
        </w:rPr>
        <w:t xml:space="preserve">y </w:t>
      </w:r>
      <w:r w:rsidR="00737BD5" w:rsidRPr="005F0ABE">
        <w:rPr>
          <w:lang w:val="es-419"/>
        </w:rPr>
        <w:t>a</w:t>
      </w:r>
      <w:r w:rsidR="00396C56" w:rsidRPr="005F0ABE">
        <w:rPr>
          <w:lang w:val="es-419"/>
        </w:rPr>
        <w:t xml:space="preserve"> la Oficina de Propiedad Intelectual de</w:t>
      </w:r>
      <w:r w:rsidR="0002239A" w:rsidRPr="005F0ABE">
        <w:rPr>
          <w:lang w:val="es-419"/>
        </w:rPr>
        <w:t xml:space="preserve"> Filipinas</w:t>
      </w:r>
      <w:r w:rsidR="00737BD5" w:rsidRPr="005F0ABE">
        <w:rPr>
          <w:lang w:val="es-419"/>
        </w:rPr>
        <w:t xml:space="preserve">, </w:t>
      </w:r>
      <w:r w:rsidR="00396C56" w:rsidRPr="005F0ABE">
        <w:rPr>
          <w:lang w:val="es-419"/>
        </w:rPr>
        <w:t>que esas Oficinas están examinando, y se cursarán</w:t>
      </w:r>
      <w:r w:rsidR="00737BD5" w:rsidRPr="005F0ABE">
        <w:rPr>
          <w:lang w:val="es-419"/>
        </w:rPr>
        <w:t xml:space="preserve"> </w:t>
      </w:r>
      <w:r w:rsidR="003B3B68" w:rsidRPr="005F0ABE">
        <w:rPr>
          <w:lang w:val="es-419"/>
        </w:rPr>
        <w:t>invitaciones</w:t>
      </w:r>
      <w:r w:rsidR="00737BD5" w:rsidRPr="005F0ABE">
        <w:rPr>
          <w:lang w:val="es-419"/>
        </w:rPr>
        <w:t xml:space="preserve"> </w:t>
      </w:r>
      <w:r w:rsidR="00396C56" w:rsidRPr="005F0ABE">
        <w:rPr>
          <w:lang w:val="es-419"/>
        </w:rPr>
        <w:t>a otras</w:t>
      </w:r>
      <w:r w:rsidR="00737BD5" w:rsidRPr="005F0ABE">
        <w:rPr>
          <w:lang w:val="es-419"/>
        </w:rPr>
        <w:t xml:space="preserve"> </w:t>
      </w:r>
      <w:r w:rsidR="00396C56" w:rsidRPr="005F0ABE">
        <w:rPr>
          <w:lang w:val="es-419"/>
        </w:rPr>
        <w:t>ISA que han expresado</w:t>
      </w:r>
      <w:r w:rsidR="00737BD5" w:rsidRPr="005F0ABE">
        <w:rPr>
          <w:lang w:val="es-419"/>
        </w:rPr>
        <w:t xml:space="preserve"> </w:t>
      </w:r>
      <w:r w:rsidR="003B3B68" w:rsidRPr="005F0ABE">
        <w:rPr>
          <w:lang w:val="es-419"/>
        </w:rPr>
        <w:t>interés</w:t>
      </w:r>
      <w:r w:rsidR="00737BD5" w:rsidRPr="005F0ABE">
        <w:rPr>
          <w:lang w:val="es-419"/>
        </w:rPr>
        <w:t xml:space="preserve"> </w:t>
      </w:r>
      <w:r w:rsidR="00396C56" w:rsidRPr="005F0ABE">
        <w:rPr>
          <w:lang w:val="es-419"/>
        </w:rPr>
        <w:t>e</w:t>
      </w:r>
      <w:r w:rsidR="00737BD5" w:rsidRPr="005F0ABE">
        <w:rPr>
          <w:lang w:val="es-419"/>
        </w:rPr>
        <w:t xml:space="preserve">n </w:t>
      </w:r>
      <w:r w:rsidR="00396C56" w:rsidRPr="005F0ABE">
        <w:rPr>
          <w:lang w:val="es-419"/>
        </w:rPr>
        <w:t>el proyecto</w:t>
      </w:r>
      <w:r w:rsidR="00737BD5" w:rsidRPr="005F0ABE">
        <w:rPr>
          <w:lang w:val="es-419"/>
        </w:rPr>
        <w:t xml:space="preserve"> </w:t>
      </w:r>
      <w:r w:rsidR="005F0ABE" w:rsidRPr="005F0ABE">
        <w:rPr>
          <w:lang w:val="es-419"/>
        </w:rPr>
        <w:t>piloto</w:t>
      </w:r>
      <w:r w:rsidR="00737BD5" w:rsidRPr="005F0ABE">
        <w:rPr>
          <w:lang w:val="es-419"/>
        </w:rPr>
        <w:t xml:space="preserve"> </w:t>
      </w:r>
      <w:r w:rsidR="00396C56" w:rsidRPr="005F0ABE">
        <w:rPr>
          <w:lang w:val="es-419"/>
        </w:rPr>
        <w:t>en 2019.</w:t>
      </w:r>
    </w:p>
    <w:p w:rsidR="0002239A" w:rsidRPr="005F0ABE" w:rsidRDefault="0002239A" w:rsidP="0002239A">
      <w:pPr>
        <w:keepNext/>
        <w:spacing w:before="240" w:after="60"/>
        <w:outlineLvl w:val="1"/>
        <w:rPr>
          <w:bCs/>
          <w:iCs/>
          <w:caps/>
          <w:szCs w:val="28"/>
          <w:lang w:val="es-419"/>
        </w:rPr>
      </w:pPr>
      <w:r w:rsidRPr="005F0ABE">
        <w:rPr>
          <w:bCs/>
          <w:iCs/>
          <w:caps/>
          <w:szCs w:val="28"/>
          <w:lang w:val="es-419"/>
        </w:rPr>
        <w:t>Pa</w:t>
      </w:r>
      <w:r w:rsidR="00396C56" w:rsidRPr="005F0ABE">
        <w:rPr>
          <w:bCs/>
          <w:iCs/>
          <w:caps/>
          <w:szCs w:val="28"/>
          <w:lang w:val="es-419"/>
        </w:rPr>
        <w:t>RTICIPACIÓN</w:t>
      </w:r>
      <w:r w:rsidRPr="005F0ABE">
        <w:rPr>
          <w:bCs/>
          <w:iCs/>
          <w:caps/>
          <w:szCs w:val="28"/>
          <w:lang w:val="es-419"/>
        </w:rPr>
        <w:t xml:space="preserve"> de Oficina</w:t>
      </w:r>
      <w:r w:rsidR="00396C56" w:rsidRPr="005F0ABE">
        <w:rPr>
          <w:bCs/>
          <w:iCs/>
          <w:caps/>
          <w:szCs w:val="28"/>
          <w:lang w:val="es-419"/>
        </w:rPr>
        <w:t>S</w:t>
      </w:r>
      <w:r w:rsidRPr="005F0ABE">
        <w:rPr>
          <w:bCs/>
          <w:iCs/>
          <w:caps/>
          <w:szCs w:val="28"/>
          <w:lang w:val="es-419"/>
        </w:rPr>
        <w:t xml:space="preserve"> receptora</w:t>
      </w:r>
      <w:r w:rsidR="00396C56" w:rsidRPr="005F0ABE">
        <w:rPr>
          <w:bCs/>
          <w:iCs/>
          <w:caps/>
          <w:szCs w:val="28"/>
          <w:lang w:val="es-419"/>
        </w:rPr>
        <w:t>S</w:t>
      </w:r>
    </w:p>
    <w:p w:rsidR="0002239A" w:rsidRPr="005F0ABE" w:rsidRDefault="0002239A" w:rsidP="007C76AC">
      <w:pPr>
        <w:pStyle w:val="ONUME"/>
        <w:rPr>
          <w:lang w:val="es-419"/>
        </w:rPr>
      </w:pPr>
      <w:r w:rsidRPr="005F0ABE">
        <w:rPr>
          <w:lang w:val="es-419"/>
        </w:rPr>
        <w:t>A finales de</w:t>
      </w:r>
      <w:r w:rsidR="007C76AC" w:rsidRPr="005F0ABE">
        <w:rPr>
          <w:lang w:val="es-419"/>
        </w:rPr>
        <w:t xml:space="preserve"> abril de</w:t>
      </w:r>
      <w:r w:rsidRPr="005F0ABE">
        <w:rPr>
          <w:lang w:val="es-419"/>
        </w:rPr>
        <w:t xml:space="preserve"> 2019, 34 Oficinas receptoras que habían especificado que una o más de las tres ISA participantes eran Administraciones competentes se habían incorporado al proyecto piloto de compensación por saldos netos.</w:t>
      </w:r>
      <w:r w:rsidR="00737BD5" w:rsidRPr="005F0ABE">
        <w:rPr>
          <w:lang w:val="es-419"/>
        </w:rPr>
        <w:t xml:space="preserve"> </w:t>
      </w:r>
      <w:r w:rsidR="007C76AC" w:rsidRPr="005F0ABE">
        <w:rPr>
          <w:lang w:val="es-419"/>
        </w:rPr>
        <w:t>Varias Oficinas receptoras que en 2018 y en lo que va de 2019 habían sido invitadas a participar en dicho proyecto piloto</w:t>
      </w:r>
      <w:r w:rsidR="00737BD5" w:rsidRPr="005F0ABE">
        <w:rPr>
          <w:lang w:val="es-419"/>
        </w:rPr>
        <w:t xml:space="preserve"> </w:t>
      </w:r>
      <w:r w:rsidR="007C76AC" w:rsidRPr="005F0ABE">
        <w:rPr>
          <w:lang w:val="es-419"/>
        </w:rPr>
        <w:t xml:space="preserve">han indicado que no pueden participar debido a su reglamentación interna que exige que el pago se efectúe directamente a la ISA competente. Cabe esperar que ese problema pueda resolverse introduciendo </w:t>
      </w:r>
      <w:r w:rsidR="00570C77">
        <w:rPr>
          <w:lang w:val="es-419"/>
        </w:rPr>
        <w:t xml:space="preserve">en </w:t>
      </w:r>
      <w:r w:rsidR="00570C77" w:rsidRPr="005F0ABE">
        <w:rPr>
          <w:lang w:val="es-419"/>
        </w:rPr>
        <w:t xml:space="preserve">el Reglamento y las Instrucciones Administrativas del PCT </w:t>
      </w:r>
      <w:r w:rsidR="007C76AC" w:rsidRPr="005F0ABE">
        <w:rPr>
          <w:lang w:val="es-419"/>
        </w:rPr>
        <w:t>las modificaciones que se proponen en el</w:t>
      </w:r>
      <w:r w:rsidR="00737BD5" w:rsidRPr="005F0ABE">
        <w:rPr>
          <w:lang w:val="es-419"/>
        </w:rPr>
        <w:t xml:space="preserve"> </w:t>
      </w:r>
      <w:r w:rsidR="005F0ABE" w:rsidRPr="005F0ABE">
        <w:rPr>
          <w:lang w:val="es-419"/>
        </w:rPr>
        <w:t>documento</w:t>
      </w:r>
      <w:r w:rsidR="00737BD5" w:rsidRPr="005F0ABE">
        <w:rPr>
          <w:lang w:val="es-419"/>
        </w:rPr>
        <w:t xml:space="preserve"> </w:t>
      </w:r>
      <w:r w:rsidR="007C76AC" w:rsidRPr="005F0ABE">
        <w:rPr>
          <w:lang w:val="es-419"/>
        </w:rPr>
        <w:t>PCT</w:t>
      </w:r>
      <w:r w:rsidR="00737BD5" w:rsidRPr="005F0ABE">
        <w:rPr>
          <w:lang w:val="es-419"/>
        </w:rPr>
        <w:t>/WG/12/20.</w:t>
      </w:r>
    </w:p>
    <w:p w:rsidR="0002239A" w:rsidRPr="005F0ABE" w:rsidRDefault="0002239A" w:rsidP="0002239A">
      <w:pPr>
        <w:keepNext/>
        <w:spacing w:before="240" w:after="60"/>
        <w:outlineLvl w:val="0"/>
        <w:rPr>
          <w:b/>
          <w:bCs/>
          <w:caps/>
          <w:kern w:val="32"/>
          <w:szCs w:val="32"/>
          <w:lang w:val="es-419"/>
        </w:rPr>
      </w:pPr>
      <w:r w:rsidRPr="005F0ABE">
        <w:rPr>
          <w:b/>
          <w:bCs/>
          <w:caps/>
          <w:kern w:val="32"/>
          <w:szCs w:val="32"/>
          <w:lang w:val="es-419"/>
        </w:rPr>
        <w:t>Beneficios obtenidos hasta la fecha</w:t>
      </w:r>
    </w:p>
    <w:p w:rsidR="0002239A" w:rsidRPr="005F0ABE" w:rsidRDefault="00A55D57" w:rsidP="00A55D57">
      <w:pPr>
        <w:pStyle w:val="ONUME"/>
        <w:rPr>
          <w:lang w:val="es-419"/>
        </w:rPr>
      </w:pPr>
      <w:r w:rsidRPr="005F0ABE">
        <w:rPr>
          <w:lang w:val="es-419"/>
        </w:rPr>
        <w:t xml:space="preserve">En marzo y abril de 2019 se llevó a cabo una </w:t>
      </w:r>
      <w:r w:rsidR="005F0ABE" w:rsidRPr="005F0ABE">
        <w:rPr>
          <w:lang w:val="es-419"/>
        </w:rPr>
        <w:t>evaluación</w:t>
      </w:r>
      <w:r w:rsidR="00737BD5" w:rsidRPr="005F0ABE">
        <w:rPr>
          <w:lang w:val="es-419"/>
        </w:rPr>
        <w:t xml:space="preserve"> </w:t>
      </w:r>
      <w:r w:rsidRPr="005F0ABE">
        <w:rPr>
          <w:lang w:val="es-419"/>
        </w:rPr>
        <w:t xml:space="preserve">formal de la incidencia del proyecto piloto de </w:t>
      </w:r>
      <w:r w:rsidR="0002239A" w:rsidRPr="005F0ABE">
        <w:rPr>
          <w:lang w:val="es-419"/>
        </w:rPr>
        <w:t>compensación por saldos netos</w:t>
      </w:r>
      <w:r w:rsidR="00737BD5" w:rsidRPr="005F0ABE">
        <w:rPr>
          <w:lang w:val="es-419"/>
        </w:rPr>
        <w:t xml:space="preserve">. </w:t>
      </w:r>
      <w:r w:rsidRPr="005F0ABE">
        <w:rPr>
          <w:lang w:val="es-419"/>
        </w:rPr>
        <w:t>La evaluación</w:t>
      </w:r>
      <w:r w:rsidR="00737BD5" w:rsidRPr="005F0ABE">
        <w:rPr>
          <w:lang w:val="es-419"/>
        </w:rPr>
        <w:t xml:space="preserve"> </w:t>
      </w:r>
      <w:r w:rsidRPr="005F0ABE">
        <w:rPr>
          <w:lang w:val="es-419"/>
        </w:rPr>
        <w:t xml:space="preserve">consistió en una encuesta entre las ISA participantes y las Oficinas receptoras, cuyos resultados figuran en el </w:t>
      </w:r>
      <w:r w:rsidR="005F0ABE" w:rsidRPr="005F0ABE">
        <w:rPr>
          <w:lang w:val="es-419"/>
        </w:rPr>
        <w:t>Anexo</w:t>
      </w:r>
      <w:r w:rsidRPr="005F0ABE">
        <w:rPr>
          <w:lang w:val="es-419"/>
        </w:rPr>
        <w:t xml:space="preserve"> I, y un examen de los resultados financieros realizado por la DSI (véase el Resumen que figura en el </w:t>
      </w:r>
      <w:r w:rsidR="005F0ABE" w:rsidRPr="005F0ABE">
        <w:rPr>
          <w:lang w:val="es-419"/>
        </w:rPr>
        <w:t>Anexo</w:t>
      </w:r>
      <w:r w:rsidRPr="005F0ABE">
        <w:rPr>
          <w:lang w:val="es-419"/>
        </w:rPr>
        <w:t> II)</w:t>
      </w:r>
      <w:r w:rsidR="00737BD5" w:rsidRPr="005F0ABE">
        <w:rPr>
          <w:lang w:val="es-419"/>
        </w:rPr>
        <w:t xml:space="preserve">. </w:t>
      </w:r>
      <w:r w:rsidRPr="005F0ABE">
        <w:rPr>
          <w:lang w:val="es-419"/>
        </w:rPr>
        <w:t xml:space="preserve">La </w:t>
      </w:r>
      <w:r w:rsidR="005F0ABE" w:rsidRPr="005F0ABE">
        <w:rPr>
          <w:lang w:val="es-419"/>
        </w:rPr>
        <w:t>evaluación</w:t>
      </w:r>
      <w:r w:rsidR="00737BD5" w:rsidRPr="005F0ABE">
        <w:rPr>
          <w:lang w:val="es-419"/>
        </w:rPr>
        <w:t xml:space="preserve"> </w:t>
      </w:r>
      <w:r w:rsidRPr="005F0ABE">
        <w:rPr>
          <w:lang w:val="es-419"/>
        </w:rPr>
        <w:t xml:space="preserve">permitió </w:t>
      </w:r>
      <w:r w:rsidR="003B3B68" w:rsidRPr="005F0ABE">
        <w:rPr>
          <w:lang w:val="es-419"/>
        </w:rPr>
        <w:t>confirmar</w:t>
      </w:r>
      <w:r w:rsidRPr="005F0ABE">
        <w:rPr>
          <w:lang w:val="es-419"/>
        </w:rPr>
        <w:t xml:space="preserve"> la existencia de cuatro ámbitos que </w:t>
      </w:r>
      <w:r w:rsidR="00570C77">
        <w:rPr>
          <w:lang w:val="es-419"/>
        </w:rPr>
        <w:t>redundan</w:t>
      </w:r>
      <w:r w:rsidRPr="005F0ABE">
        <w:rPr>
          <w:lang w:val="es-419"/>
        </w:rPr>
        <w:t xml:space="preserve"> en beneficio tanto de las ISA participantes como de la Oficina Internacional</w:t>
      </w:r>
      <w:r w:rsidR="00737BD5" w:rsidRPr="005F0ABE">
        <w:rPr>
          <w:lang w:val="es-419"/>
        </w:rPr>
        <w:t xml:space="preserve">, </w:t>
      </w:r>
      <w:r w:rsidRPr="005F0ABE">
        <w:rPr>
          <w:lang w:val="es-419"/>
        </w:rPr>
        <w:t>según se indica a continuación</w:t>
      </w:r>
      <w:r w:rsidR="00737BD5" w:rsidRPr="005F0ABE">
        <w:rPr>
          <w:lang w:val="es-419"/>
        </w:rPr>
        <w:t>:</w:t>
      </w:r>
    </w:p>
    <w:p w:rsidR="0002239A" w:rsidRPr="005F0ABE" w:rsidRDefault="0002239A" w:rsidP="0002239A">
      <w:pPr>
        <w:numPr>
          <w:ilvl w:val="1"/>
          <w:numId w:val="7"/>
        </w:numPr>
        <w:spacing w:after="220"/>
        <w:rPr>
          <w:lang w:val="es-419"/>
        </w:rPr>
      </w:pPr>
      <w:r w:rsidRPr="005F0ABE">
        <w:rPr>
          <w:lang w:val="es-419"/>
        </w:rPr>
        <w:t>Las peticiones de reembolso por ganancias y pérdidas cambiarias en virtud de la Regla 16.1.e) de las ISA participantes se han reducido a cantidades insignificantes.</w:t>
      </w:r>
      <w:r w:rsidR="00737BD5" w:rsidRPr="005F0ABE">
        <w:rPr>
          <w:lang w:val="es-419"/>
        </w:rPr>
        <w:t xml:space="preserve"> </w:t>
      </w:r>
      <w:r w:rsidRPr="005F0ABE">
        <w:rPr>
          <w:lang w:val="es-419"/>
        </w:rPr>
        <w:t>Mediante una gestión monetaria centralizada, la Oficina Internacional también ha podido aprovechar los tipos de cambio más ventajosos que ofrecen los bancos para convertir mayores cantidades de moneda.</w:t>
      </w:r>
      <w:r w:rsidR="00A55D57" w:rsidRPr="005F0ABE">
        <w:rPr>
          <w:lang w:val="es-419"/>
        </w:rPr>
        <w:t xml:space="preserve"> La</w:t>
      </w:r>
      <w:r w:rsidR="00737BD5" w:rsidRPr="005F0ABE">
        <w:rPr>
          <w:lang w:val="es-419"/>
        </w:rPr>
        <w:t xml:space="preserve"> </w:t>
      </w:r>
      <w:r w:rsidR="003B3B68" w:rsidRPr="005F0ABE">
        <w:rPr>
          <w:lang w:val="es-419"/>
        </w:rPr>
        <w:t>reducción</w:t>
      </w:r>
      <w:r w:rsidR="00737BD5" w:rsidRPr="005F0ABE">
        <w:rPr>
          <w:lang w:val="es-419"/>
        </w:rPr>
        <w:t xml:space="preserve"> </w:t>
      </w:r>
      <w:r w:rsidR="00A55D57" w:rsidRPr="005F0ABE">
        <w:rPr>
          <w:lang w:val="es-419"/>
        </w:rPr>
        <w:t>del</w:t>
      </w:r>
      <w:r w:rsidR="003B3B68">
        <w:rPr>
          <w:lang w:val="es-419"/>
        </w:rPr>
        <w:t xml:space="preserve"> número de</w:t>
      </w:r>
      <w:r w:rsidR="00A55D57" w:rsidRPr="005F0ABE">
        <w:rPr>
          <w:lang w:val="es-419"/>
        </w:rPr>
        <w:t xml:space="preserve"> </w:t>
      </w:r>
      <w:r w:rsidR="003B3B68" w:rsidRPr="005F0ABE">
        <w:rPr>
          <w:lang w:val="es-419"/>
        </w:rPr>
        <w:t>peticiones</w:t>
      </w:r>
      <w:r w:rsidR="00A55D57" w:rsidRPr="005F0ABE">
        <w:rPr>
          <w:lang w:val="es-419"/>
        </w:rPr>
        <w:t xml:space="preserve"> de reembolso ha tenido una incidencia positiva en la carga de trabajo de las ISA participantes, así como de la</w:t>
      </w:r>
      <w:r w:rsidR="00737BD5" w:rsidRPr="005F0ABE">
        <w:rPr>
          <w:lang w:val="es-419"/>
        </w:rPr>
        <w:t xml:space="preserve"> </w:t>
      </w:r>
      <w:r w:rsidRPr="005F0ABE">
        <w:rPr>
          <w:lang w:val="es-419"/>
        </w:rPr>
        <w:t>Oficina Internacional</w:t>
      </w:r>
      <w:r w:rsidR="00A55D57" w:rsidRPr="005F0ABE">
        <w:rPr>
          <w:lang w:val="es-419"/>
        </w:rPr>
        <w:t xml:space="preserve">. </w:t>
      </w:r>
      <w:r w:rsidR="00F67165" w:rsidRPr="005F0ABE">
        <w:rPr>
          <w:lang w:val="es-419"/>
        </w:rPr>
        <w:t xml:space="preserve">Tan solo después de que todas las Oficinas receptoras que han especificado que una ISA participante es competente se hayan incorporado al proyecto piloto, se eliminará por completo para la ISA y la Oficina Internacional la carga de trabajo relativa a la preparación de las </w:t>
      </w:r>
      <w:r w:rsidR="003B3B68" w:rsidRPr="005F0ABE">
        <w:rPr>
          <w:lang w:val="es-419"/>
        </w:rPr>
        <w:t>peticiones</w:t>
      </w:r>
      <w:r w:rsidR="00F67165" w:rsidRPr="005F0ABE">
        <w:rPr>
          <w:lang w:val="es-419"/>
        </w:rPr>
        <w:t xml:space="preserve"> conforme a la Regla</w:t>
      </w:r>
      <w:r w:rsidR="00737BD5" w:rsidRPr="005F0ABE">
        <w:rPr>
          <w:lang w:val="es-419"/>
        </w:rPr>
        <w:t> 16.1</w:t>
      </w:r>
      <w:r w:rsidR="00F67165" w:rsidRPr="005F0ABE">
        <w:rPr>
          <w:lang w:val="es-419"/>
        </w:rPr>
        <w:t>.</w:t>
      </w:r>
      <w:r w:rsidR="00737BD5" w:rsidRPr="005F0ABE">
        <w:rPr>
          <w:lang w:val="es-419"/>
        </w:rPr>
        <w:t xml:space="preserve">e) </w:t>
      </w:r>
      <w:r w:rsidR="00F67165" w:rsidRPr="005F0ABE">
        <w:rPr>
          <w:lang w:val="es-419"/>
        </w:rPr>
        <w:t>y la parte pertinente del riesgo por cambio de divisa extranjera.</w:t>
      </w:r>
    </w:p>
    <w:p w:rsidR="0002239A" w:rsidRPr="005F0ABE" w:rsidRDefault="00F67165" w:rsidP="00F67165">
      <w:pPr>
        <w:keepLines/>
        <w:numPr>
          <w:ilvl w:val="1"/>
          <w:numId w:val="7"/>
        </w:numPr>
        <w:spacing w:after="220"/>
        <w:rPr>
          <w:lang w:val="es-419"/>
        </w:rPr>
      </w:pPr>
      <w:r w:rsidRPr="005F0ABE">
        <w:rPr>
          <w:lang w:val="es-419"/>
        </w:rPr>
        <w:t>La verificación por la Oficina Internacional del importe de las tasas pagadas y la situación de la solicitud ha simplificado la labor de las ISA participantes, sin tener, hasta la fecha</w:t>
      </w:r>
      <w:r w:rsidR="00737BD5" w:rsidRPr="005F0ABE">
        <w:rPr>
          <w:lang w:val="es-419"/>
        </w:rPr>
        <w:t>,</w:t>
      </w:r>
      <w:r w:rsidRPr="005F0ABE">
        <w:rPr>
          <w:lang w:val="es-419"/>
        </w:rPr>
        <w:t xml:space="preserve"> una incidencia importante en la carga de trabajo de la</w:t>
      </w:r>
      <w:r w:rsidR="00737BD5" w:rsidRPr="005F0ABE">
        <w:rPr>
          <w:lang w:val="es-419"/>
        </w:rPr>
        <w:t xml:space="preserve"> </w:t>
      </w:r>
      <w:r w:rsidR="0002239A" w:rsidRPr="005F0ABE">
        <w:rPr>
          <w:lang w:val="es-419"/>
        </w:rPr>
        <w:t>Oficina Internacional</w:t>
      </w:r>
      <w:r w:rsidR="00737BD5" w:rsidRPr="005F0ABE">
        <w:rPr>
          <w:lang w:val="es-419"/>
        </w:rPr>
        <w:t xml:space="preserve">. </w:t>
      </w:r>
      <w:r w:rsidRPr="005F0ABE">
        <w:rPr>
          <w:lang w:val="es-419"/>
        </w:rPr>
        <w:t>Sin embargo</w:t>
      </w:r>
      <w:r w:rsidR="00737BD5" w:rsidRPr="005F0ABE">
        <w:rPr>
          <w:lang w:val="es-419"/>
        </w:rPr>
        <w:t xml:space="preserve">, </w:t>
      </w:r>
      <w:r w:rsidRPr="005F0ABE">
        <w:rPr>
          <w:lang w:val="es-419"/>
        </w:rPr>
        <w:t>el hecho de que</w:t>
      </w:r>
      <w:r w:rsidR="00570C77" w:rsidRPr="005F0ABE">
        <w:rPr>
          <w:lang w:val="es-419"/>
        </w:rPr>
        <w:t>, de momento,</w:t>
      </w:r>
      <w:r w:rsidRPr="005F0ABE">
        <w:rPr>
          <w:lang w:val="es-419"/>
        </w:rPr>
        <w:t xml:space="preserve"> no todas las Oficinas receptor</w:t>
      </w:r>
      <w:r w:rsidR="00570C77">
        <w:rPr>
          <w:lang w:val="es-419"/>
        </w:rPr>
        <w:t>as que han especificado que las </w:t>
      </w:r>
      <w:r w:rsidRPr="005F0ABE">
        <w:rPr>
          <w:lang w:val="es-419"/>
        </w:rPr>
        <w:t xml:space="preserve">ISA participantes son competentes se hayan incorporado al proyecto piloto de </w:t>
      </w:r>
      <w:r w:rsidR="0002239A" w:rsidRPr="005F0ABE">
        <w:rPr>
          <w:lang w:val="es-419"/>
        </w:rPr>
        <w:t>compensación por saldos netos</w:t>
      </w:r>
      <w:r w:rsidR="00737BD5" w:rsidRPr="005F0ABE">
        <w:rPr>
          <w:lang w:val="es-419"/>
        </w:rPr>
        <w:t xml:space="preserve"> </w:t>
      </w:r>
      <w:r w:rsidRPr="005F0ABE">
        <w:rPr>
          <w:lang w:val="es-419"/>
        </w:rPr>
        <w:t>exige que cada una de las ISA mantenga dos procedimientos para tramitar las remesas entrantes de las tasas de</w:t>
      </w:r>
      <w:r w:rsidR="00737BD5" w:rsidRPr="005F0ABE">
        <w:rPr>
          <w:lang w:val="es-419"/>
        </w:rPr>
        <w:t xml:space="preserve"> </w:t>
      </w:r>
      <w:r w:rsidR="0002239A" w:rsidRPr="005F0ABE">
        <w:rPr>
          <w:lang w:val="es-419"/>
        </w:rPr>
        <w:t>búsqueda internacional</w:t>
      </w:r>
      <w:r w:rsidR="00737BD5" w:rsidRPr="005F0ABE">
        <w:rPr>
          <w:lang w:val="es-419"/>
        </w:rPr>
        <w:t xml:space="preserve">, </w:t>
      </w:r>
      <w:r w:rsidRPr="005F0ABE">
        <w:rPr>
          <w:lang w:val="es-419"/>
        </w:rPr>
        <w:t>lo que reduce la ganancia global</w:t>
      </w:r>
      <w:r w:rsidR="00737BD5" w:rsidRPr="005F0ABE">
        <w:rPr>
          <w:lang w:val="es-419"/>
        </w:rPr>
        <w:t>.</w:t>
      </w:r>
    </w:p>
    <w:p w:rsidR="0002239A" w:rsidRPr="005F0ABE" w:rsidRDefault="0002239A" w:rsidP="0002239A">
      <w:pPr>
        <w:numPr>
          <w:ilvl w:val="1"/>
          <w:numId w:val="7"/>
        </w:numPr>
        <w:spacing w:after="220"/>
        <w:rPr>
          <w:lang w:val="es-419"/>
        </w:rPr>
      </w:pPr>
      <w:r w:rsidRPr="005F0ABE">
        <w:rPr>
          <w:lang w:val="es-419"/>
        </w:rPr>
        <w:t xml:space="preserve">La compensación por saldos netos de las tasas de búsqueda pagaderas a cada ISA con respecto a las tasas de presentación internacional y las tasas de tramitación ha tenido una incidencia positiva en la gestión del efectivo, aspecto especialmente </w:t>
      </w:r>
      <w:r w:rsidRPr="005F0ABE">
        <w:rPr>
          <w:lang w:val="es-419"/>
        </w:rPr>
        <w:lastRenderedPageBreak/>
        <w:t>importante en este período de tipos de interés negativos para el franco suizo</w:t>
      </w:r>
      <w:r w:rsidR="00F67165" w:rsidRPr="005F0ABE">
        <w:rPr>
          <w:lang w:val="es-419"/>
        </w:rPr>
        <w:t xml:space="preserve"> y el euro</w:t>
      </w:r>
      <w:r w:rsidRPr="005F0ABE">
        <w:rPr>
          <w:lang w:val="es-419"/>
        </w:rPr>
        <w:t>.</w:t>
      </w:r>
      <w:r w:rsidR="00737BD5" w:rsidRPr="005F0ABE">
        <w:rPr>
          <w:lang w:val="es-419"/>
        </w:rPr>
        <w:t xml:space="preserve"> </w:t>
      </w:r>
      <w:r w:rsidRPr="005F0ABE">
        <w:rPr>
          <w:lang w:val="es-419"/>
        </w:rPr>
        <w:t>Al agrupar esas tasas en un único pago consolidado, las ISA participantes contabilizan únicamente un recibo o pago mensual respecto de la Oficina Internacional, cuyos pormenores se detallan en una declaración de compensación por saldos netos disponible para su confirmación por la ISA antes de la fecha de liquidación.</w:t>
      </w:r>
    </w:p>
    <w:p w:rsidR="0002239A" w:rsidRPr="005F0ABE" w:rsidRDefault="0002239A" w:rsidP="0002239A">
      <w:pPr>
        <w:numPr>
          <w:ilvl w:val="1"/>
          <w:numId w:val="7"/>
        </w:numPr>
        <w:spacing w:after="220"/>
        <w:rPr>
          <w:lang w:val="es-419"/>
        </w:rPr>
      </w:pPr>
      <w:r w:rsidRPr="005F0ABE">
        <w:rPr>
          <w:lang w:val="es-419"/>
        </w:rPr>
        <w:t>Se han eliminado las comisiones bancarias en que se habría incurrido al proceder a múltiples transferencias.</w:t>
      </w:r>
      <w:r w:rsidR="00B57701" w:rsidRPr="005F0ABE">
        <w:rPr>
          <w:lang w:val="es-419"/>
        </w:rPr>
        <w:t xml:space="preserve"> Sin embargo</w:t>
      </w:r>
      <w:r w:rsidR="00737BD5" w:rsidRPr="005F0ABE">
        <w:rPr>
          <w:lang w:val="es-419"/>
        </w:rPr>
        <w:t xml:space="preserve">, </w:t>
      </w:r>
      <w:r w:rsidR="00B57701" w:rsidRPr="005F0ABE">
        <w:rPr>
          <w:lang w:val="es-419"/>
        </w:rPr>
        <w:t>e</w:t>
      </w:r>
      <w:r w:rsidR="00737BD5" w:rsidRPr="005F0ABE">
        <w:rPr>
          <w:lang w:val="es-419"/>
        </w:rPr>
        <w:t xml:space="preserve">n </w:t>
      </w:r>
      <w:r w:rsidR="00B57701" w:rsidRPr="005F0ABE">
        <w:rPr>
          <w:lang w:val="es-419"/>
        </w:rPr>
        <w:t>términos absolutos</w:t>
      </w:r>
      <w:r w:rsidR="00737BD5" w:rsidRPr="005F0ABE">
        <w:rPr>
          <w:lang w:val="es-419"/>
        </w:rPr>
        <w:t xml:space="preserve">, </w:t>
      </w:r>
      <w:r w:rsidR="00B57701" w:rsidRPr="005F0ABE">
        <w:rPr>
          <w:lang w:val="es-419"/>
        </w:rPr>
        <w:t>el ahorro neto no ha sido significativo</w:t>
      </w:r>
      <w:r w:rsidR="00737BD5" w:rsidRPr="005F0ABE">
        <w:rPr>
          <w:lang w:val="es-419"/>
        </w:rPr>
        <w:t>.</w:t>
      </w:r>
    </w:p>
    <w:p w:rsidR="0002239A" w:rsidRPr="005F0ABE" w:rsidRDefault="0002239A" w:rsidP="0002239A">
      <w:pPr>
        <w:numPr>
          <w:ilvl w:val="1"/>
          <w:numId w:val="7"/>
        </w:numPr>
        <w:spacing w:after="220"/>
        <w:rPr>
          <w:lang w:val="es-419"/>
        </w:rPr>
      </w:pPr>
      <w:r w:rsidRPr="005F0ABE">
        <w:rPr>
          <w:lang w:val="es-419"/>
        </w:rPr>
        <w:t>Actualmente, las Oficinas receptoras tienen la opción de realizar un pago que abarque tanto las tasas de búsqueda pagaderas a las ISA participantes como las tasas de presentación internacional debidas a la Oficina Internacional, con lo que se reducen el número de pagos y las comisiones por transferencias bancarias.</w:t>
      </w:r>
    </w:p>
    <w:p w:rsidR="0002239A" w:rsidRPr="005F0ABE" w:rsidRDefault="0002239A" w:rsidP="0002239A">
      <w:pPr>
        <w:keepNext/>
        <w:spacing w:before="240" w:after="60"/>
        <w:outlineLvl w:val="0"/>
        <w:rPr>
          <w:b/>
          <w:bCs/>
          <w:caps/>
          <w:kern w:val="32"/>
          <w:szCs w:val="32"/>
          <w:lang w:val="es-419"/>
        </w:rPr>
      </w:pPr>
      <w:r w:rsidRPr="005F0ABE">
        <w:rPr>
          <w:b/>
          <w:bCs/>
          <w:caps/>
          <w:kern w:val="32"/>
          <w:szCs w:val="32"/>
          <w:lang w:val="es-419"/>
        </w:rPr>
        <w:t>CUESTIONES COMPLEMENTARIAS que DEBEN TENERSE EN CUENTA</w:t>
      </w:r>
    </w:p>
    <w:p w:rsidR="0002239A" w:rsidRPr="005F0ABE" w:rsidRDefault="0002239A" w:rsidP="0002239A">
      <w:pPr>
        <w:numPr>
          <w:ilvl w:val="0"/>
          <w:numId w:val="7"/>
        </w:numPr>
        <w:spacing w:after="220"/>
        <w:rPr>
          <w:lang w:val="es-419"/>
        </w:rPr>
      </w:pPr>
      <w:r w:rsidRPr="005F0ABE">
        <w:rPr>
          <w:lang w:val="es-419"/>
        </w:rPr>
        <w:t>La ejecución del proyecto piloto ha requerido más tiempo para que el personal de la Oficina Internacional compruebe y resuelva los problemas planteados en el ejercicio mensual de compensación por saldos netos.</w:t>
      </w:r>
      <w:r w:rsidR="00737BD5" w:rsidRPr="005F0ABE">
        <w:rPr>
          <w:lang w:val="es-419"/>
        </w:rPr>
        <w:t xml:space="preserve"> </w:t>
      </w:r>
      <w:r w:rsidRPr="005F0ABE">
        <w:rPr>
          <w:lang w:val="es-419"/>
        </w:rPr>
        <w:t xml:space="preserve">Ha sido necesario formar al personal y velar por que </w:t>
      </w:r>
      <w:r w:rsidR="00171246" w:rsidRPr="005F0ABE">
        <w:rPr>
          <w:lang w:val="es-419"/>
        </w:rPr>
        <w:t xml:space="preserve">la forma de ejecutar </w:t>
      </w:r>
      <w:r w:rsidRPr="005F0ABE">
        <w:rPr>
          <w:lang w:val="es-419"/>
        </w:rPr>
        <w:t xml:space="preserve">el proyecto piloto permita determinar si es correcta la estimación de que los beneficios </w:t>
      </w:r>
      <w:r w:rsidR="00171246" w:rsidRPr="005F0ABE">
        <w:rPr>
          <w:lang w:val="es-419"/>
        </w:rPr>
        <w:t xml:space="preserve">superarán los costos. </w:t>
      </w:r>
      <w:r w:rsidRPr="005F0ABE">
        <w:rPr>
          <w:lang w:val="es-419"/>
        </w:rPr>
        <w:t>Se está prestando especial atención al número y el tipo de errores que se producen y determinar de qué forma pueden reducirse o eliminarse.</w:t>
      </w:r>
    </w:p>
    <w:p w:rsidR="0002239A" w:rsidRPr="005F0ABE" w:rsidRDefault="0002239A" w:rsidP="00E279ED">
      <w:pPr>
        <w:pStyle w:val="ONUME"/>
        <w:rPr>
          <w:lang w:val="es-419"/>
        </w:rPr>
      </w:pPr>
      <w:r w:rsidRPr="005F0ABE">
        <w:rPr>
          <w:lang w:val="es-419"/>
        </w:rPr>
        <w:t>En aras de</w:t>
      </w:r>
      <w:r w:rsidR="00E279ED" w:rsidRPr="005F0ABE">
        <w:rPr>
          <w:lang w:val="es-419"/>
        </w:rPr>
        <w:t xml:space="preserve"> </w:t>
      </w:r>
      <w:r w:rsidRPr="005F0ABE">
        <w:rPr>
          <w:lang w:val="es-419"/>
        </w:rPr>
        <w:t>l</w:t>
      </w:r>
      <w:r w:rsidR="00E279ED" w:rsidRPr="005F0ABE">
        <w:rPr>
          <w:lang w:val="es-419"/>
        </w:rPr>
        <w:t>a eficiencia en el</w:t>
      </w:r>
      <w:r w:rsidRPr="005F0ABE">
        <w:rPr>
          <w:lang w:val="es-419"/>
        </w:rPr>
        <w:t xml:space="preserve"> funcionamiento del proyecto piloto se parte de la premisa de que todas las Oficinas receptoras participantes están en condiciones de remitir </w:t>
      </w:r>
      <w:r w:rsidR="00171246" w:rsidRPr="005F0ABE">
        <w:rPr>
          <w:lang w:val="es-419"/>
        </w:rPr>
        <w:t xml:space="preserve">puntual y correctamente </w:t>
      </w:r>
      <w:r w:rsidRPr="005F0ABE">
        <w:rPr>
          <w:lang w:val="es-419"/>
        </w:rPr>
        <w:t>la información relativa a la</w:t>
      </w:r>
      <w:r w:rsidR="00E279ED" w:rsidRPr="005F0ABE">
        <w:rPr>
          <w:lang w:val="es-419"/>
        </w:rPr>
        <w:t>s</w:t>
      </w:r>
      <w:r w:rsidRPr="005F0ABE">
        <w:rPr>
          <w:lang w:val="es-419"/>
        </w:rPr>
        <w:t xml:space="preserve"> solicitud</w:t>
      </w:r>
      <w:r w:rsidR="00E279ED" w:rsidRPr="005F0ABE">
        <w:rPr>
          <w:lang w:val="es-419"/>
        </w:rPr>
        <w:t>es</w:t>
      </w:r>
      <w:r w:rsidRPr="005F0ABE">
        <w:rPr>
          <w:lang w:val="es-419"/>
        </w:rPr>
        <w:t xml:space="preserve"> y el pago de las tasas a la Oficina Internacional, en los plazos establecidos y en un formato compatible, incluida toda la información requerida por el programa informático para la gestión de la compensación por saldos netos y los procesos conexos.</w:t>
      </w:r>
      <w:r w:rsidR="00E279ED" w:rsidRPr="005F0ABE">
        <w:rPr>
          <w:lang w:val="es-419"/>
        </w:rPr>
        <w:t xml:space="preserve"> </w:t>
      </w:r>
      <w:r w:rsidRPr="005F0ABE">
        <w:rPr>
          <w:lang w:val="es-419"/>
        </w:rPr>
        <w:t>A tal fin, es necesario que las Oficinas receptoras participantes colaboren mediante la incorporación de los cambios necesarios en ma</w:t>
      </w:r>
      <w:r w:rsidR="00171246" w:rsidRPr="005F0ABE">
        <w:rPr>
          <w:lang w:val="es-419"/>
        </w:rPr>
        <w:t>teria de </w:t>
      </w:r>
      <w:r w:rsidRPr="005F0ABE">
        <w:rPr>
          <w:lang w:val="es-419"/>
        </w:rPr>
        <w:t xml:space="preserve">TI (que son, por lo general, poco importantes </w:t>
      </w:r>
      <w:r w:rsidR="00E279ED" w:rsidRPr="005F0ABE">
        <w:rPr>
          <w:lang w:val="es-419"/>
        </w:rPr>
        <w:t>en términos relativos</w:t>
      </w:r>
      <w:r w:rsidRPr="005F0ABE">
        <w:rPr>
          <w:lang w:val="es-419"/>
        </w:rPr>
        <w:t>)</w:t>
      </w:r>
      <w:r w:rsidR="00E279ED" w:rsidRPr="005F0ABE">
        <w:rPr>
          <w:lang w:val="es-419"/>
        </w:rPr>
        <w:t xml:space="preserve"> y la formación del personal. </w:t>
      </w:r>
      <w:r w:rsidR="00737BD5" w:rsidRPr="005F0ABE">
        <w:rPr>
          <w:lang w:val="es-419"/>
        </w:rPr>
        <w:t>A</w:t>
      </w:r>
      <w:r w:rsidR="00E279ED" w:rsidRPr="005F0ABE">
        <w:rPr>
          <w:lang w:val="es-419"/>
        </w:rPr>
        <w:t>c</w:t>
      </w:r>
      <w:r w:rsidR="00737BD5" w:rsidRPr="005F0ABE">
        <w:rPr>
          <w:lang w:val="es-419"/>
        </w:rPr>
        <w:t>t</w:t>
      </w:r>
      <w:r w:rsidR="00E279ED" w:rsidRPr="005F0ABE">
        <w:rPr>
          <w:lang w:val="es-419"/>
        </w:rPr>
        <w:t>ualmente</w:t>
      </w:r>
      <w:r w:rsidR="00737BD5" w:rsidRPr="005F0ABE">
        <w:rPr>
          <w:lang w:val="es-419"/>
        </w:rPr>
        <w:t xml:space="preserve">, </w:t>
      </w:r>
      <w:r w:rsidR="00E279ED" w:rsidRPr="005F0ABE">
        <w:rPr>
          <w:lang w:val="es-419"/>
        </w:rPr>
        <w:t>las Oficinas receptoras pueden seguir remitiendo a la Oficina Internacional sus pagos y la información relativa a la solicitud en el mismo formato en que se haya remitido a cada una de las ISA participantes. Sin embargo, el objetivo es que la información se presente en un formato XML coherente.</w:t>
      </w:r>
      <w:r w:rsidR="00737BD5" w:rsidRPr="005F0ABE">
        <w:rPr>
          <w:lang w:val="es-419"/>
        </w:rPr>
        <w:t xml:space="preserve"> </w:t>
      </w:r>
      <w:r w:rsidRPr="005F0ABE">
        <w:rPr>
          <w:lang w:val="es-419"/>
        </w:rPr>
        <w:t>Se están tomando medidas con ese fin mediante la introducción de nuevas herramientas de TI y la utilización del sistema ePCT.</w:t>
      </w:r>
    </w:p>
    <w:p w:rsidR="0002239A" w:rsidRPr="005F0ABE" w:rsidRDefault="0002239A" w:rsidP="0002239A">
      <w:pPr>
        <w:numPr>
          <w:ilvl w:val="0"/>
          <w:numId w:val="7"/>
        </w:numPr>
        <w:spacing w:after="220"/>
        <w:rPr>
          <w:lang w:val="es-419"/>
        </w:rPr>
      </w:pPr>
      <w:r w:rsidRPr="005F0ABE">
        <w:rPr>
          <w:lang w:val="es-419"/>
        </w:rPr>
        <w:t xml:space="preserve">Las Oficinas que cuentan con </w:t>
      </w:r>
      <w:r w:rsidR="001D29C3" w:rsidRPr="005F0ABE">
        <w:rPr>
          <w:lang w:val="es-419"/>
        </w:rPr>
        <w:t xml:space="preserve">diferentes </w:t>
      </w:r>
      <w:r w:rsidRPr="005F0ABE">
        <w:rPr>
          <w:lang w:val="es-419"/>
        </w:rPr>
        <w:t xml:space="preserve">sistemas de contabilidad y cuentas bancarias </w:t>
      </w:r>
      <w:r w:rsidR="00DF5602" w:rsidRPr="005F0ABE">
        <w:rPr>
          <w:lang w:val="es-419"/>
        </w:rPr>
        <w:t xml:space="preserve">para </w:t>
      </w:r>
      <w:r w:rsidRPr="005F0ABE">
        <w:rPr>
          <w:lang w:val="es-419"/>
        </w:rPr>
        <w:t>diferentes propósitos (por ejemplo, una para patentes y otra para marcas) deberán considerar si se pueden revisar los procedimientos para permitir que los pagos netos que se efectúen en los distintos sistemas puedan abonarse en solo una de esas cuentas o desde una de ellas.</w:t>
      </w:r>
      <w:r w:rsidR="00737BD5" w:rsidRPr="005F0ABE">
        <w:rPr>
          <w:lang w:val="es-419"/>
        </w:rPr>
        <w:t xml:space="preserve"> </w:t>
      </w:r>
      <w:r w:rsidR="00DF5602" w:rsidRPr="005F0ABE">
        <w:rPr>
          <w:lang w:val="es-419"/>
        </w:rPr>
        <w:t>Hasta la fecha</w:t>
      </w:r>
      <w:r w:rsidR="00737BD5" w:rsidRPr="005F0ABE">
        <w:rPr>
          <w:lang w:val="es-419"/>
        </w:rPr>
        <w:t xml:space="preserve">, </w:t>
      </w:r>
      <w:r w:rsidR="00DF5602" w:rsidRPr="005F0ABE">
        <w:rPr>
          <w:lang w:val="es-419"/>
        </w:rPr>
        <w:t>varias ISA</w:t>
      </w:r>
      <w:r w:rsidR="00737BD5" w:rsidRPr="005F0ABE">
        <w:rPr>
          <w:lang w:val="es-419"/>
        </w:rPr>
        <w:t xml:space="preserve"> </w:t>
      </w:r>
      <w:r w:rsidR="005F0ABE" w:rsidRPr="005F0ABE">
        <w:rPr>
          <w:lang w:val="es-419"/>
        </w:rPr>
        <w:t>invitadas</w:t>
      </w:r>
      <w:r w:rsidR="00DF5602" w:rsidRPr="005F0ABE">
        <w:rPr>
          <w:lang w:val="es-419"/>
        </w:rPr>
        <w:t xml:space="preserve"> a participar no han aceptado</w:t>
      </w:r>
      <w:r w:rsidR="00737BD5" w:rsidRPr="005F0ABE">
        <w:rPr>
          <w:lang w:val="es-419"/>
        </w:rPr>
        <w:t>, de</w:t>
      </w:r>
      <w:r w:rsidR="00DF5602" w:rsidRPr="005F0ABE">
        <w:rPr>
          <w:lang w:val="es-419"/>
        </w:rPr>
        <w:t>bido a</w:t>
      </w:r>
      <w:r w:rsidR="00737BD5" w:rsidRPr="005F0ABE">
        <w:rPr>
          <w:lang w:val="es-419"/>
        </w:rPr>
        <w:t xml:space="preserve"> </w:t>
      </w:r>
      <w:r w:rsidRPr="005F0ABE">
        <w:rPr>
          <w:lang w:val="es-419"/>
        </w:rPr>
        <w:t>limitaciones</w:t>
      </w:r>
      <w:r w:rsidR="00737BD5" w:rsidRPr="005F0ABE">
        <w:rPr>
          <w:lang w:val="es-419"/>
        </w:rPr>
        <w:t xml:space="preserve"> relat</w:t>
      </w:r>
      <w:r w:rsidR="00DF5602" w:rsidRPr="005F0ABE">
        <w:rPr>
          <w:lang w:val="es-419"/>
        </w:rPr>
        <w:t>ivas a sus</w:t>
      </w:r>
      <w:r w:rsidR="00737BD5" w:rsidRPr="005F0ABE">
        <w:rPr>
          <w:lang w:val="es-419"/>
        </w:rPr>
        <w:t xml:space="preserve"> </w:t>
      </w:r>
      <w:r w:rsidR="003B3B68" w:rsidRPr="005F0ABE">
        <w:rPr>
          <w:lang w:val="es-419"/>
        </w:rPr>
        <w:t>sistemas</w:t>
      </w:r>
      <w:r w:rsidR="00737BD5" w:rsidRPr="005F0ABE">
        <w:rPr>
          <w:lang w:val="es-419"/>
        </w:rPr>
        <w:t xml:space="preserve"> </w:t>
      </w:r>
      <w:r w:rsidR="00DF5602" w:rsidRPr="005F0ABE">
        <w:rPr>
          <w:lang w:val="es-419"/>
        </w:rPr>
        <w:t xml:space="preserve">de tecnologías de la información </w:t>
      </w:r>
      <w:r w:rsidR="00737BD5" w:rsidRPr="005F0ABE">
        <w:rPr>
          <w:lang w:val="es-419"/>
        </w:rPr>
        <w:t>o</w:t>
      </w:r>
      <w:r w:rsidR="00DF5602" w:rsidRPr="005F0ABE">
        <w:rPr>
          <w:lang w:val="es-419"/>
        </w:rPr>
        <w:t xml:space="preserve"> a restricciones presupuestarias o contables relacionadas con la</w:t>
      </w:r>
      <w:r w:rsidR="00737BD5" w:rsidRPr="005F0ABE">
        <w:rPr>
          <w:lang w:val="es-419"/>
        </w:rPr>
        <w:t xml:space="preserve"> </w:t>
      </w:r>
      <w:r w:rsidRPr="005F0ABE">
        <w:rPr>
          <w:lang w:val="es-419"/>
        </w:rPr>
        <w:t>compensación por saldos netos</w:t>
      </w:r>
      <w:r w:rsidR="00737BD5" w:rsidRPr="005F0ABE">
        <w:rPr>
          <w:lang w:val="es-419"/>
        </w:rPr>
        <w:t xml:space="preserve"> </w:t>
      </w:r>
      <w:r w:rsidR="00DF5602" w:rsidRPr="005F0ABE">
        <w:rPr>
          <w:lang w:val="es-419"/>
        </w:rPr>
        <w:t xml:space="preserve">de </w:t>
      </w:r>
      <w:r w:rsidR="003B3B68" w:rsidRPr="005F0ABE">
        <w:rPr>
          <w:lang w:val="es-419"/>
        </w:rPr>
        <w:t>transacciones</w:t>
      </w:r>
      <w:r w:rsidR="00DF5602" w:rsidRPr="005F0ABE">
        <w:rPr>
          <w:lang w:val="es-419"/>
        </w:rPr>
        <w:t xml:space="preserve"> relativas a distintas corrientes de ingresos.</w:t>
      </w:r>
    </w:p>
    <w:p w:rsidR="0002239A" w:rsidRPr="005F0ABE" w:rsidRDefault="0002239A" w:rsidP="0002239A">
      <w:pPr>
        <w:numPr>
          <w:ilvl w:val="0"/>
          <w:numId w:val="7"/>
        </w:numPr>
        <w:spacing w:after="220"/>
        <w:rPr>
          <w:lang w:val="es-419"/>
        </w:rPr>
      </w:pPr>
      <w:r w:rsidRPr="005F0ABE">
        <w:rPr>
          <w:lang w:val="es-419"/>
        </w:rPr>
        <w:t xml:space="preserve">Los nuevos procedimientos tendrán consecuencias en los procedimientos contables aplicables a los Sistemas del PCT, </w:t>
      </w:r>
      <w:r w:rsidR="001949BE" w:rsidRPr="005F0ABE">
        <w:rPr>
          <w:lang w:val="es-419"/>
        </w:rPr>
        <w:t xml:space="preserve">de </w:t>
      </w:r>
      <w:r w:rsidRPr="005F0ABE">
        <w:rPr>
          <w:lang w:val="es-419"/>
        </w:rPr>
        <w:t xml:space="preserve">Madrid y </w:t>
      </w:r>
      <w:r w:rsidR="001949BE" w:rsidRPr="005F0ABE">
        <w:rPr>
          <w:lang w:val="es-419"/>
        </w:rPr>
        <w:t xml:space="preserve">de </w:t>
      </w:r>
      <w:r w:rsidRPr="005F0ABE">
        <w:rPr>
          <w:lang w:val="es-419"/>
        </w:rPr>
        <w:t>La Haya</w:t>
      </w:r>
      <w:r w:rsidR="001949BE" w:rsidRPr="005F0ABE">
        <w:rPr>
          <w:lang w:val="es-419"/>
        </w:rPr>
        <w:t>, que se están analizando</w:t>
      </w:r>
      <w:r w:rsidRPr="005F0ABE">
        <w:rPr>
          <w:lang w:val="es-419"/>
        </w:rPr>
        <w:t>.</w:t>
      </w:r>
    </w:p>
    <w:p w:rsidR="0002239A" w:rsidRPr="005F0ABE" w:rsidRDefault="0002239A" w:rsidP="0002239A">
      <w:pPr>
        <w:numPr>
          <w:ilvl w:val="0"/>
          <w:numId w:val="7"/>
        </w:numPr>
        <w:spacing w:after="220"/>
        <w:rPr>
          <w:lang w:val="es-419"/>
        </w:rPr>
      </w:pPr>
      <w:r w:rsidRPr="005F0ABE">
        <w:rPr>
          <w:lang w:val="es-419"/>
        </w:rPr>
        <w:t xml:space="preserve">En 2018 se examinaron diversas cuestiones, entre ellas la optimización del sistema </w:t>
      </w:r>
      <w:r w:rsidR="001949BE" w:rsidRPr="005F0ABE">
        <w:rPr>
          <w:lang w:val="es-419"/>
        </w:rPr>
        <w:t>en pos</w:t>
      </w:r>
      <w:r w:rsidRPr="005F0ABE">
        <w:rPr>
          <w:lang w:val="es-419"/>
        </w:rPr>
        <w:t xml:space="preserve"> </w:t>
      </w:r>
      <w:r w:rsidR="001949BE" w:rsidRPr="005F0ABE">
        <w:rPr>
          <w:lang w:val="es-419"/>
        </w:rPr>
        <w:t>d</w:t>
      </w:r>
      <w:r w:rsidRPr="005F0ABE">
        <w:rPr>
          <w:lang w:val="es-419"/>
        </w:rPr>
        <w:t xml:space="preserve">el </w:t>
      </w:r>
      <w:r w:rsidR="001949BE" w:rsidRPr="005F0ABE">
        <w:rPr>
          <w:lang w:val="es-419"/>
        </w:rPr>
        <w:t>aporte concreto clave</w:t>
      </w:r>
      <w:r w:rsidRPr="005F0ABE">
        <w:rPr>
          <w:lang w:val="es-419"/>
        </w:rPr>
        <w:t xml:space="preserve"> de reducir al mínimo los riesgos de las fluctuaciones de los tipos de cambio. Esto ha entrañado abrir nuevas cuentas bancarias para la recepción de </w:t>
      </w:r>
      <w:r w:rsidR="001C2DE7">
        <w:rPr>
          <w:lang w:val="es-419"/>
        </w:rPr>
        <w:t>divisas</w:t>
      </w:r>
      <w:r w:rsidRPr="005F0ABE">
        <w:rPr>
          <w:lang w:val="es-419"/>
        </w:rPr>
        <w:t xml:space="preserve"> </w:t>
      </w:r>
      <w:r w:rsidR="001C2DE7">
        <w:rPr>
          <w:lang w:val="es-419"/>
        </w:rPr>
        <w:t>en</w:t>
      </w:r>
      <w:r w:rsidRPr="005F0ABE">
        <w:rPr>
          <w:lang w:val="es-419"/>
        </w:rPr>
        <w:t xml:space="preserve"> las cuales la OMPI tiene actualmente gastos limitados y disponer la venta de esas </w:t>
      </w:r>
      <w:r w:rsidR="001C2DE7">
        <w:rPr>
          <w:lang w:val="es-419"/>
        </w:rPr>
        <w:t xml:space="preserve">divisas con el de </w:t>
      </w:r>
      <w:r w:rsidRPr="005F0ABE">
        <w:rPr>
          <w:lang w:val="es-419"/>
        </w:rPr>
        <w:t xml:space="preserve">fin de adquirir </w:t>
      </w:r>
      <w:r w:rsidR="001C2DE7">
        <w:rPr>
          <w:lang w:val="es-419"/>
        </w:rPr>
        <w:t>divisas</w:t>
      </w:r>
      <w:r w:rsidRPr="005F0ABE">
        <w:rPr>
          <w:lang w:val="es-419"/>
        </w:rPr>
        <w:t xml:space="preserve"> que permitan compensar las transacciones.</w:t>
      </w:r>
      <w:r w:rsidR="00737BD5" w:rsidRPr="005F0ABE">
        <w:rPr>
          <w:lang w:val="es-419"/>
        </w:rPr>
        <w:t xml:space="preserve"> </w:t>
      </w:r>
      <w:r w:rsidRPr="005F0ABE">
        <w:rPr>
          <w:lang w:val="es-419"/>
        </w:rPr>
        <w:t xml:space="preserve">Anteriormente, la Oficina Internacional recibía </w:t>
      </w:r>
      <w:r w:rsidR="00E1639D" w:rsidRPr="005F0ABE">
        <w:rPr>
          <w:lang w:val="es-419"/>
        </w:rPr>
        <w:t xml:space="preserve">de las Oficinas receptoras </w:t>
      </w:r>
      <w:r w:rsidRPr="005F0ABE">
        <w:rPr>
          <w:lang w:val="es-419"/>
        </w:rPr>
        <w:t xml:space="preserve">las tasas de presentación de solicitudes </w:t>
      </w:r>
      <w:r w:rsidRPr="005F0ABE">
        <w:rPr>
          <w:lang w:val="es-419"/>
        </w:rPr>
        <w:lastRenderedPageBreak/>
        <w:t xml:space="preserve">internacionales PCT en esas </w:t>
      </w:r>
      <w:r w:rsidR="001C2DE7">
        <w:rPr>
          <w:lang w:val="es-419"/>
        </w:rPr>
        <w:t>divisas</w:t>
      </w:r>
      <w:r w:rsidRPr="005F0ABE">
        <w:rPr>
          <w:lang w:val="es-419"/>
        </w:rPr>
        <w:t xml:space="preserve"> en una cuenta en francos suizos, por lo que no se convertían a tipos de cambio preferenciales.</w:t>
      </w:r>
      <w:r w:rsidR="00E1639D" w:rsidRPr="005F0ABE">
        <w:rPr>
          <w:lang w:val="es-419"/>
        </w:rPr>
        <w:t xml:space="preserve"> </w:t>
      </w:r>
      <w:r w:rsidRPr="005F0ABE">
        <w:rPr>
          <w:lang w:val="es-419"/>
        </w:rPr>
        <w:t xml:space="preserve">Al recibir las tasas de presentación internacional y las tasas de búsqueda en cuentas </w:t>
      </w:r>
      <w:r w:rsidR="00E1639D" w:rsidRPr="005F0ABE">
        <w:rPr>
          <w:lang w:val="es-419"/>
        </w:rPr>
        <w:t>abiertas</w:t>
      </w:r>
      <w:r w:rsidRPr="005F0ABE">
        <w:rPr>
          <w:lang w:val="es-419"/>
        </w:rPr>
        <w:t xml:space="preserve"> en cada </w:t>
      </w:r>
      <w:r w:rsidR="001C2DE7">
        <w:rPr>
          <w:lang w:val="es-419"/>
        </w:rPr>
        <w:t xml:space="preserve">divisa </w:t>
      </w:r>
      <w:r w:rsidRPr="005F0ABE">
        <w:rPr>
          <w:lang w:val="es-419"/>
        </w:rPr>
        <w:t xml:space="preserve">y a continuación convertir el saldo no utilizado </w:t>
      </w:r>
      <w:r w:rsidR="00573C06" w:rsidRPr="005F0ABE">
        <w:rPr>
          <w:lang w:val="es-419"/>
        </w:rPr>
        <w:t>a</w:t>
      </w:r>
      <w:r w:rsidRPr="005F0ABE">
        <w:rPr>
          <w:lang w:val="es-419"/>
        </w:rPr>
        <w:t xml:space="preserve"> una </w:t>
      </w:r>
      <w:r w:rsidR="001C2DE7">
        <w:rPr>
          <w:lang w:val="es-419"/>
        </w:rPr>
        <w:t xml:space="preserve">divisa </w:t>
      </w:r>
      <w:r w:rsidRPr="005F0ABE">
        <w:rPr>
          <w:lang w:val="es-419"/>
        </w:rPr>
        <w:t>necesaria para satisfacer pagos que se deban efectuar, se ha mejorado la gestión del efectivo y se han obtenido mejores tipos de cambio.</w:t>
      </w:r>
    </w:p>
    <w:p w:rsidR="0002239A" w:rsidRPr="005F0ABE" w:rsidRDefault="00573C06" w:rsidP="00573C06">
      <w:pPr>
        <w:pStyle w:val="ONUME"/>
        <w:rPr>
          <w:lang w:val="es-419"/>
        </w:rPr>
      </w:pPr>
      <w:r w:rsidRPr="005F0ABE">
        <w:rPr>
          <w:lang w:val="es-419"/>
        </w:rPr>
        <w:t xml:space="preserve">Cabe señalar que el proceso previsto en el proyecto piloto no está ideado para eliminar completamente el riesgo cambiario relacionado con el PCT. La compensación aborda las diferencias cambiarias relacionadas con el requisito de la Regla 16.1.e) de que la Oficina Internacional reembolse a las ISA las diferencias relativas a la recepción de las tasas transferidas por las Oficinas receptoras en una moneda determinada y el importe de la tasa fija de la </w:t>
      </w:r>
      <w:r w:rsidR="0058610D" w:rsidRPr="005F0ABE">
        <w:rPr>
          <w:lang w:val="es-419"/>
        </w:rPr>
        <w:t>ISA</w:t>
      </w:r>
      <w:r w:rsidR="00737BD5" w:rsidRPr="005F0ABE">
        <w:rPr>
          <w:lang w:val="es-419"/>
        </w:rPr>
        <w:t xml:space="preserve">. </w:t>
      </w:r>
      <w:r w:rsidR="0058610D" w:rsidRPr="005F0ABE">
        <w:rPr>
          <w:lang w:val="es-419"/>
        </w:rPr>
        <w:t>La compensación por saldos netos</w:t>
      </w:r>
      <w:r w:rsidR="00737BD5" w:rsidRPr="005F0ABE">
        <w:rPr>
          <w:lang w:val="es-419"/>
        </w:rPr>
        <w:t xml:space="preserve"> </w:t>
      </w:r>
      <w:r w:rsidR="0058610D" w:rsidRPr="005F0ABE">
        <w:rPr>
          <w:lang w:val="es-419"/>
        </w:rPr>
        <w:t xml:space="preserve">también hace frente a cuestiones de gestión de efectivo relativas a la entrada de tasas por presentación de solicitudes en monedas que no sean la moneda funcional de la Oficina Internacional </w:t>
      </w:r>
      <w:r w:rsidR="00737BD5" w:rsidRPr="005F0ABE">
        <w:rPr>
          <w:lang w:val="es-419"/>
        </w:rPr>
        <w:t>(</w:t>
      </w:r>
      <w:r w:rsidR="0058610D" w:rsidRPr="005F0ABE">
        <w:rPr>
          <w:lang w:val="es-419"/>
        </w:rPr>
        <w:t>franco suizo</w:t>
      </w:r>
      <w:r w:rsidR="00737BD5" w:rsidRPr="005F0ABE">
        <w:rPr>
          <w:lang w:val="es-419"/>
        </w:rPr>
        <w:t xml:space="preserve">/CHF). </w:t>
      </w:r>
      <w:r w:rsidR="0058610D" w:rsidRPr="005F0ABE">
        <w:rPr>
          <w:lang w:val="es-419"/>
        </w:rPr>
        <w:t>En el pasado</w:t>
      </w:r>
      <w:r w:rsidR="00737BD5" w:rsidRPr="005F0ABE">
        <w:rPr>
          <w:lang w:val="es-419"/>
        </w:rPr>
        <w:t xml:space="preserve">, </w:t>
      </w:r>
      <w:r w:rsidR="006723A0" w:rsidRPr="005F0ABE">
        <w:rPr>
          <w:lang w:val="es-419"/>
        </w:rPr>
        <w:t xml:space="preserve">ha sido significativo </w:t>
      </w:r>
      <w:r w:rsidR="0058610D" w:rsidRPr="005F0ABE">
        <w:rPr>
          <w:lang w:val="es-419"/>
        </w:rPr>
        <w:t>el valor de las peticiones de reembolso conforme a la Regla</w:t>
      </w:r>
      <w:r w:rsidR="00737BD5" w:rsidRPr="005F0ABE">
        <w:rPr>
          <w:lang w:val="es-419"/>
        </w:rPr>
        <w:t> 16.1</w:t>
      </w:r>
      <w:r w:rsidR="0058610D" w:rsidRPr="005F0ABE">
        <w:rPr>
          <w:lang w:val="es-419"/>
        </w:rPr>
        <w:t>.</w:t>
      </w:r>
      <w:r w:rsidR="00737BD5" w:rsidRPr="005F0ABE">
        <w:rPr>
          <w:lang w:val="es-419"/>
        </w:rPr>
        <w:t xml:space="preserve">e). </w:t>
      </w:r>
      <w:r w:rsidR="0058610D" w:rsidRPr="005F0ABE">
        <w:rPr>
          <w:lang w:val="es-419"/>
        </w:rPr>
        <w:t xml:space="preserve">Esas peticiones se han reducido a </w:t>
      </w:r>
      <w:r w:rsidR="006723A0" w:rsidRPr="005F0ABE">
        <w:rPr>
          <w:lang w:val="es-419"/>
        </w:rPr>
        <w:t>cuantías nominales para las ISA y las Oficinas receptoras participantes en el proyecto</w:t>
      </w:r>
      <w:r w:rsidR="00737BD5" w:rsidRPr="005F0ABE">
        <w:rPr>
          <w:lang w:val="es-419"/>
        </w:rPr>
        <w:t xml:space="preserve"> </w:t>
      </w:r>
      <w:r w:rsidR="005F0ABE" w:rsidRPr="005F0ABE">
        <w:rPr>
          <w:lang w:val="es-419"/>
        </w:rPr>
        <w:t>piloto</w:t>
      </w:r>
      <w:r w:rsidR="00737BD5" w:rsidRPr="005F0ABE">
        <w:rPr>
          <w:lang w:val="es-419"/>
        </w:rPr>
        <w:t>.</w:t>
      </w:r>
    </w:p>
    <w:p w:rsidR="0002239A" w:rsidRPr="005F0ABE" w:rsidRDefault="001111A7" w:rsidP="001111A7">
      <w:pPr>
        <w:pStyle w:val="ONUME"/>
        <w:rPr>
          <w:lang w:val="es-419"/>
        </w:rPr>
      </w:pPr>
      <w:r w:rsidRPr="005F0ABE">
        <w:rPr>
          <w:lang w:val="es-419"/>
        </w:rPr>
        <w:t xml:space="preserve">La cuestión más amplia del riesgo cambiario creada por la utilización de los importes equivalentes de ciertas tasas, aprobada por la Asamblea del PCT (véase el documento PCT/A/40/2) no se aborda en el proyecto piloto. El mecanismo, adoptado por la Asamblea de la Unión del PCT en 2009 y que entró en vigor el 1 de julio de 2010, ha funcionado según lo previsto y ha permitido a los solicitantes efectuar el pago de determinadas tasas del PCT establecidas en francos suizos por la Asamblea del PCT en las monedas determinadas por las Oficinas receptoras del PCT, utilizando importes equivalentes en </w:t>
      </w:r>
      <w:r w:rsidR="001C2DE7" w:rsidRPr="005F0ABE">
        <w:rPr>
          <w:lang w:val="es-419"/>
        </w:rPr>
        <w:t xml:space="preserve">francos suizos </w:t>
      </w:r>
      <w:r w:rsidRPr="005F0ABE">
        <w:rPr>
          <w:lang w:val="es-419"/>
        </w:rPr>
        <w:t xml:space="preserve">fijados por la Oficina Internacional. El proyecto piloto no aborda el riesgo cambiario que se produce cuando las principales monedas cambian de valor al alza o a la baja frente al franco suizo, lo que crea diferencias significativas entre el importe equivalente fijado por la Oficina Internacional y el valor en francos suizos de las tasas del PCT utilizadas para la previsión de ingresos. </w:t>
      </w:r>
      <w:r w:rsidR="00143AFA" w:rsidRPr="005F0ABE">
        <w:rPr>
          <w:lang w:val="es-419"/>
        </w:rPr>
        <w:t xml:space="preserve">Actualmente, se hace frente a esas diferencias </w:t>
      </w:r>
      <w:r w:rsidRPr="005F0ABE">
        <w:rPr>
          <w:lang w:val="es-419"/>
        </w:rPr>
        <w:t>mediante los procedimientos de estimación de ingresos utilizados en la preparación del presupuesto de la OMPI.</w:t>
      </w:r>
    </w:p>
    <w:p w:rsidR="0002239A" w:rsidRPr="005F0ABE" w:rsidRDefault="0002239A" w:rsidP="0002239A">
      <w:pPr>
        <w:numPr>
          <w:ilvl w:val="0"/>
          <w:numId w:val="7"/>
        </w:numPr>
        <w:spacing w:after="220"/>
        <w:ind w:left="5533"/>
        <w:rPr>
          <w:i/>
          <w:lang w:val="es-419"/>
        </w:rPr>
      </w:pPr>
      <w:r w:rsidRPr="005F0ABE">
        <w:rPr>
          <w:i/>
          <w:lang w:val="es-419"/>
        </w:rPr>
        <w:t>Se invita al Grupo de Trabajo a tomar nota del contenido del presente documento.</w:t>
      </w:r>
    </w:p>
    <w:p w:rsidR="0002239A" w:rsidRPr="005F0ABE" w:rsidRDefault="0002239A" w:rsidP="00737BD5">
      <w:pPr>
        <w:tabs>
          <w:tab w:val="left" w:pos="720"/>
        </w:tabs>
        <w:spacing w:after="220"/>
        <w:rPr>
          <w:lang w:val="es-419"/>
        </w:rPr>
      </w:pPr>
    </w:p>
    <w:p w:rsidR="0002239A" w:rsidRPr="005F0ABE" w:rsidRDefault="0002239A" w:rsidP="0002239A">
      <w:pPr>
        <w:ind w:left="5534"/>
        <w:rPr>
          <w:lang w:val="es-419"/>
        </w:rPr>
      </w:pPr>
      <w:r w:rsidRPr="005F0ABE">
        <w:rPr>
          <w:lang w:val="es-419"/>
        </w:rPr>
        <w:t>[Siguen los Anexos]</w:t>
      </w:r>
    </w:p>
    <w:p w:rsidR="00737BD5" w:rsidRPr="005F0ABE" w:rsidRDefault="00737BD5" w:rsidP="00737BD5">
      <w:pPr>
        <w:tabs>
          <w:tab w:val="left" w:pos="720"/>
        </w:tabs>
        <w:spacing w:after="220"/>
        <w:rPr>
          <w:lang w:val="es-419"/>
        </w:rPr>
        <w:sectPr w:rsidR="00737BD5" w:rsidRPr="005F0ABE" w:rsidSect="0002239A">
          <w:headerReference w:type="default" r:id="rId10"/>
          <w:endnotePr>
            <w:numFmt w:val="decimal"/>
          </w:endnotePr>
          <w:pgSz w:w="11907" w:h="16840" w:code="9"/>
          <w:pgMar w:top="567" w:right="1134" w:bottom="1418" w:left="1418" w:header="510" w:footer="1021" w:gutter="0"/>
          <w:cols w:space="720"/>
          <w:titlePg/>
          <w:docGrid w:linePitch="299"/>
        </w:sectPr>
      </w:pPr>
    </w:p>
    <w:p w:rsidR="0002239A" w:rsidRPr="005F0ABE" w:rsidRDefault="00143AFA" w:rsidP="00737BD5">
      <w:pPr>
        <w:jc w:val="center"/>
        <w:rPr>
          <w:lang w:val="es-419"/>
        </w:rPr>
      </w:pPr>
      <w:r w:rsidRPr="005F0ABE">
        <w:rPr>
          <w:lang w:val="es-419"/>
        </w:rPr>
        <w:lastRenderedPageBreak/>
        <w:t>RESUMEN DE LA ENCUESTA</w:t>
      </w:r>
    </w:p>
    <w:p w:rsidR="0002239A" w:rsidRPr="005F0ABE" w:rsidRDefault="0002239A" w:rsidP="00737BD5">
      <w:pPr>
        <w:rPr>
          <w:lang w:val="es-419"/>
        </w:rPr>
      </w:pPr>
    </w:p>
    <w:p w:rsidR="0002239A" w:rsidRPr="005F0ABE" w:rsidRDefault="00383CC9" w:rsidP="004F72C1">
      <w:pPr>
        <w:numPr>
          <w:ilvl w:val="0"/>
          <w:numId w:val="8"/>
        </w:numPr>
        <w:spacing w:after="180"/>
        <w:rPr>
          <w:lang w:val="es-419"/>
        </w:rPr>
      </w:pPr>
      <w:r w:rsidRPr="005F0ABE">
        <w:rPr>
          <w:lang w:val="es-419"/>
        </w:rPr>
        <w:t>Se envió un cuestionario las Oficinas</w:t>
      </w:r>
      <w:r w:rsidR="00737BD5" w:rsidRPr="005F0ABE">
        <w:rPr>
          <w:lang w:val="es-419"/>
        </w:rPr>
        <w:t xml:space="preserve"> </w:t>
      </w:r>
      <w:r w:rsidRPr="005F0ABE">
        <w:rPr>
          <w:lang w:val="es-419"/>
        </w:rPr>
        <w:t xml:space="preserve">solicitando información </w:t>
      </w:r>
      <w:r w:rsidR="0030451E" w:rsidRPr="005F0ABE">
        <w:rPr>
          <w:lang w:val="es-419"/>
        </w:rPr>
        <w:t>sobre su participación</w:t>
      </w:r>
      <w:r w:rsidR="00364B5D" w:rsidRPr="005F0ABE">
        <w:rPr>
          <w:lang w:val="es-419"/>
        </w:rPr>
        <w:t>, o los motivos por los cuales no participan</w:t>
      </w:r>
      <w:r w:rsidR="0030451E" w:rsidRPr="005F0ABE">
        <w:rPr>
          <w:lang w:val="es-419"/>
        </w:rPr>
        <w:t xml:space="preserve"> </w:t>
      </w:r>
      <w:r w:rsidR="00364B5D" w:rsidRPr="005F0ABE">
        <w:rPr>
          <w:lang w:val="es-419"/>
        </w:rPr>
        <w:t>en el proyecto piloto</w:t>
      </w:r>
      <w:r w:rsidR="00737BD5" w:rsidRPr="005F0ABE">
        <w:rPr>
          <w:lang w:val="es-419"/>
        </w:rPr>
        <w:t xml:space="preserve">. </w:t>
      </w:r>
      <w:r w:rsidR="00364B5D" w:rsidRPr="005F0ABE">
        <w:rPr>
          <w:lang w:val="es-419"/>
        </w:rPr>
        <w:t xml:space="preserve">Fueron 21 las </w:t>
      </w:r>
      <w:r w:rsidRPr="005F0ABE">
        <w:rPr>
          <w:lang w:val="es-419"/>
        </w:rPr>
        <w:t>Oficinas</w:t>
      </w:r>
      <w:r w:rsidR="00737BD5" w:rsidRPr="005F0ABE">
        <w:rPr>
          <w:lang w:val="es-419"/>
        </w:rPr>
        <w:t xml:space="preserve"> </w:t>
      </w:r>
      <w:r w:rsidR="00364B5D" w:rsidRPr="005F0ABE">
        <w:rPr>
          <w:lang w:val="es-419"/>
        </w:rPr>
        <w:t>que respondieron al cuestionario, de las cuales </w:t>
      </w:r>
      <w:r w:rsidR="00737BD5" w:rsidRPr="005F0ABE">
        <w:rPr>
          <w:lang w:val="es-419"/>
        </w:rPr>
        <w:t xml:space="preserve">18 </w:t>
      </w:r>
      <w:r w:rsidRPr="005F0ABE">
        <w:rPr>
          <w:lang w:val="es-419"/>
        </w:rPr>
        <w:t>Oficinas</w:t>
      </w:r>
      <w:r w:rsidR="00737BD5" w:rsidRPr="005F0ABE">
        <w:rPr>
          <w:lang w:val="es-419"/>
        </w:rPr>
        <w:t xml:space="preserve"> </w:t>
      </w:r>
      <w:r w:rsidR="00364B5D" w:rsidRPr="005F0ABE">
        <w:rPr>
          <w:lang w:val="es-419"/>
        </w:rPr>
        <w:t xml:space="preserve">participantes en calidad de </w:t>
      </w:r>
      <w:r w:rsidRPr="005F0ABE">
        <w:rPr>
          <w:lang w:val="es-419"/>
        </w:rPr>
        <w:t>Oficinas</w:t>
      </w:r>
      <w:r w:rsidR="00737BD5" w:rsidRPr="005F0ABE">
        <w:rPr>
          <w:lang w:val="es-419"/>
        </w:rPr>
        <w:t xml:space="preserve"> </w:t>
      </w:r>
      <w:r w:rsidR="00364B5D" w:rsidRPr="005F0ABE">
        <w:rPr>
          <w:lang w:val="es-419"/>
        </w:rPr>
        <w:t>receptoras</w:t>
      </w:r>
      <w:r w:rsidR="00737BD5" w:rsidRPr="005F0ABE">
        <w:rPr>
          <w:lang w:val="es-419"/>
        </w:rPr>
        <w:t>, t</w:t>
      </w:r>
      <w:r w:rsidR="00364B5D" w:rsidRPr="005F0ABE">
        <w:rPr>
          <w:lang w:val="es-419"/>
        </w:rPr>
        <w:t>res</w:t>
      </w:r>
      <w:r w:rsidR="00737BD5" w:rsidRPr="005F0ABE">
        <w:rPr>
          <w:lang w:val="es-419"/>
        </w:rPr>
        <w:t xml:space="preserve"> </w:t>
      </w:r>
      <w:r w:rsidRPr="005F0ABE">
        <w:rPr>
          <w:lang w:val="es-419"/>
        </w:rPr>
        <w:t>Oficinas</w:t>
      </w:r>
      <w:r w:rsidR="00737BD5" w:rsidRPr="005F0ABE">
        <w:rPr>
          <w:lang w:val="es-419"/>
        </w:rPr>
        <w:t xml:space="preserve"> participa</w:t>
      </w:r>
      <w:r w:rsidR="00364B5D" w:rsidRPr="005F0ABE">
        <w:rPr>
          <w:lang w:val="es-419"/>
        </w:rPr>
        <w:t xml:space="preserve">ntes en calidad de Administraciones encargadas de la búsqueda </w:t>
      </w:r>
      <w:r w:rsidR="003B3B68" w:rsidRPr="005F0ABE">
        <w:rPr>
          <w:lang w:val="es-419"/>
        </w:rPr>
        <w:t>internacional</w:t>
      </w:r>
      <w:r w:rsidR="00737BD5" w:rsidRPr="005F0ABE">
        <w:rPr>
          <w:lang w:val="es-419"/>
        </w:rPr>
        <w:t xml:space="preserve"> (</w:t>
      </w:r>
      <w:r w:rsidR="0002239A" w:rsidRPr="005F0ABE">
        <w:rPr>
          <w:lang w:val="es-419"/>
        </w:rPr>
        <w:t>ISA</w:t>
      </w:r>
      <w:r w:rsidR="00737BD5" w:rsidRPr="005F0ABE">
        <w:rPr>
          <w:lang w:val="es-419"/>
        </w:rPr>
        <w:t xml:space="preserve">) </w:t>
      </w:r>
      <w:r w:rsidR="00364B5D" w:rsidRPr="005F0ABE">
        <w:rPr>
          <w:lang w:val="es-419"/>
        </w:rPr>
        <w:t>y tres</w:t>
      </w:r>
      <w:r w:rsidR="00737BD5" w:rsidRPr="005F0ABE">
        <w:rPr>
          <w:lang w:val="es-419"/>
        </w:rPr>
        <w:t xml:space="preserve"> </w:t>
      </w:r>
      <w:r w:rsidRPr="005F0ABE">
        <w:rPr>
          <w:lang w:val="es-419"/>
        </w:rPr>
        <w:t>Oficinas</w:t>
      </w:r>
      <w:r w:rsidR="00737BD5" w:rsidRPr="005F0ABE">
        <w:rPr>
          <w:lang w:val="es-419"/>
        </w:rPr>
        <w:t xml:space="preserve"> </w:t>
      </w:r>
      <w:r w:rsidR="00364B5D" w:rsidRPr="005F0ABE">
        <w:rPr>
          <w:lang w:val="es-419"/>
        </w:rPr>
        <w:t>que actualmente no participan</w:t>
      </w:r>
      <w:r w:rsidR="00737BD5" w:rsidRPr="005F0ABE">
        <w:rPr>
          <w:lang w:val="es-419"/>
        </w:rPr>
        <w:t xml:space="preserve">. </w:t>
      </w:r>
      <w:r w:rsidR="00364B5D" w:rsidRPr="005F0ABE">
        <w:rPr>
          <w:lang w:val="es-419"/>
        </w:rPr>
        <w:t>En el presente</w:t>
      </w:r>
      <w:r w:rsidR="00737BD5" w:rsidRPr="005F0ABE">
        <w:rPr>
          <w:lang w:val="es-419"/>
        </w:rPr>
        <w:t xml:space="preserve"> </w:t>
      </w:r>
      <w:r w:rsidR="005F0ABE" w:rsidRPr="005F0ABE">
        <w:rPr>
          <w:lang w:val="es-419"/>
        </w:rPr>
        <w:t>Anexo</w:t>
      </w:r>
      <w:r w:rsidR="00737BD5" w:rsidRPr="005F0ABE">
        <w:rPr>
          <w:lang w:val="es-419"/>
        </w:rPr>
        <w:t xml:space="preserve"> s</w:t>
      </w:r>
      <w:r w:rsidR="00364B5D" w:rsidRPr="005F0ABE">
        <w:rPr>
          <w:lang w:val="es-419"/>
        </w:rPr>
        <w:t>e res</w:t>
      </w:r>
      <w:r w:rsidR="00737BD5" w:rsidRPr="005F0ABE">
        <w:rPr>
          <w:lang w:val="es-419"/>
        </w:rPr>
        <w:t>um</w:t>
      </w:r>
      <w:r w:rsidR="00364B5D" w:rsidRPr="005F0ABE">
        <w:rPr>
          <w:lang w:val="es-419"/>
        </w:rPr>
        <w:t xml:space="preserve">en las respuestas y se incluye la información proporcionada por la </w:t>
      </w:r>
      <w:r w:rsidR="0002239A" w:rsidRPr="005F0ABE">
        <w:rPr>
          <w:lang w:val="es-419"/>
        </w:rPr>
        <w:t xml:space="preserve">Oficina Internacional </w:t>
      </w:r>
      <w:r w:rsidR="008F0CB0" w:rsidRPr="005F0ABE">
        <w:rPr>
          <w:lang w:val="es-419"/>
        </w:rPr>
        <w:t>sobre el trabajo que se está realizando para hacer frente a algunos de los problemas planteados</w:t>
      </w:r>
      <w:r w:rsidR="00737BD5" w:rsidRPr="005F0ABE">
        <w:rPr>
          <w:lang w:val="es-419"/>
        </w:rPr>
        <w:t>.</w:t>
      </w:r>
    </w:p>
    <w:p w:rsidR="0002239A" w:rsidRPr="005F0ABE" w:rsidRDefault="008F0CB0" w:rsidP="004F72C1">
      <w:pPr>
        <w:numPr>
          <w:ilvl w:val="0"/>
          <w:numId w:val="5"/>
        </w:numPr>
        <w:tabs>
          <w:tab w:val="clear" w:pos="567"/>
          <w:tab w:val="num" w:pos="360"/>
        </w:tabs>
        <w:spacing w:after="180"/>
        <w:rPr>
          <w:lang w:val="es-419"/>
        </w:rPr>
      </w:pPr>
      <w:r w:rsidRPr="005F0ABE">
        <w:rPr>
          <w:lang w:val="es-419"/>
        </w:rPr>
        <w:t>En todas las respuestas de las Oficinas participantes</w:t>
      </w:r>
      <w:r w:rsidR="00737BD5" w:rsidRPr="005F0ABE">
        <w:rPr>
          <w:lang w:val="es-419"/>
        </w:rPr>
        <w:t xml:space="preserve"> </w:t>
      </w:r>
      <w:r w:rsidRPr="005F0ABE">
        <w:rPr>
          <w:lang w:val="es-419"/>
        </w:rPr>
        <w:t>e</w:t>
      </w:r>
      <w:r w:rsidR="00737BD5" w:rsidRPr="005F0ABE">
        <w:rPr>
          <w:lang w:val="es-419"/>
        </w:rPr>
        <w:t xml:space="preserve">n </w:t>
      </w:r>
      <w:r w:rsidRPr="005F0ABE">
        <w:rPr>
          <w:lang w:val="es-419"/>
        </w:rPr>
        <w:t>ambas funciones</w:t>
      </w:r>
      <w:r w:rsidR="00737BD5" w:rsidRPr="005F0ABE">
        <w:rPr>
          <w:lang w:val="es-419"/>
        </w:rPr>
        <w:t xml:space="preserve"> (</w:t>
      </w:r>
      <w:r w:rsidRPr="005F0ABE">
        <w:rPr>
          <w:lang w:val="es-419"/>
        </w:rPr>
        <w:t xml:space="preserve">en </w:t>
      </w:r>
      <w:r w:rsidR="003B3B68" w:rsidRPr="005F0ABE">
        <w:rPr>
          <w:lang w:val="es-419"/>
        </w:rPr>
        <w:t>calidad</w:t>
      </w:r>
      <w:r w:rsidRPr="005F0ABE">
        <w:rPr>
          <w:lang w:val="es-419"/>
        </w:rPr>
        <w:t xml:space="preserve"> de </w:t>
      </w:r>
      <w:r w:rsidR="0002239A" w:rsidRPr="005F0ABE">
        <w:rPr>
          <w:lang w:val="es-419"/>
        </w:rPr>
        <w:t>Oficina receptora</w:t>
      </w:r>
      <w:r w:rsidR="00737BD5" w:rsidRPr="005F0ABE">
        <w:rPr>
          <w:lang w:val="es-419"/>
        </w:rPr>
        <w:t xml:space="preserve"> </w:t>
      </w:r>
      <w:r w:rsidRPr="005F0ABE">
        <w:rPr>
          <w:lang w:val="es-419"/>
        </w:rPr>
        <w:t>y de ISA</w:t>
      </w:r>
      <w:r w:rsidR="00737BD5" w:rsidRPr="005F0ABE">
        <w:rPr>
          <w:lang w:val="es-419"/>
        </w:rPr>
        <w:t xml:space="preserve">) </w:t>
      </w:r>
      <w:r w:rsidRPr="005F0ABE">
        <w:rPr>
          <w:lang w:val="es-419"/>
        </w:rPr>
        <w:t>se indica que las</w:t>
      </w:r>
      <w:r w:rsidR="00737BD5" w:rsidRPr="005F0ABE">
        <w:rPr>
          <w:lang w:val="es-419"/>
        </w:rPr>
        <w:t xml:space="preserve"> </w:t>
      </w:r>
      <w:r w:rsidR="00383CC9" w:rsidRPr="005F0ABE">
        <w:rPr>
          <w:lang w:val="es-419"/>
        </w:rPr>
        <w:t>Oficinas</w:t>
      </w:r>
      <w:r w:rsidR="00737BD5" w:rsidRPr="005F0ABE">
        <w:rPr>
          <w:lang w:val="es-419"/>
        </w:rPr>
        <w:t xml:space="preserve"> </w:t>
      </w:r>
      <w:r w:rsidRPr="005F0ABE">
        <w:rPr>
          <w:lang w:val="es-419"/>
        </w:rPr>
        <w:t>están satisfechas o muy satisfechas con su</w:t>
      </w:r>
      <w:r w:rsidR="00737BD5" w:rsidRPr="005F0ABE">
        <w:rPr>
          <w:lang w:val="es-419"/>
        </w:rPr>
        <w:t xml:space="preserve"> </w:t>
      </w:r>
      <w:r w:rsidR="005F0ABE" w:rsidRPr="005F0ABE">
        <w:rPr>
          <w:lang w:val="es-419"/>
        </w:rPr>
        <w:t>participación</w:t>
      </w:r>
      <w:r w:rsidR="00737BD5" w:rsidRPr="005F0ABE">
        <w:rPr>
          <w:lang w:val="es-419"/>
        </w:rPr>
        <w:t xml:space="preserve"> </w:t>
      </w:r>
      <w:r w:rsidRPr="005F0ABE">
        <w:rPr>
          <w:lang w:val="es-419"/>
        </w:rPr>
        <w:t xml:space="preserve">en el proyecto </w:t>
      </w:r>
      <w:r w:rsidR="005F0ABE" w:rsidRPr="005F0ABE">
        <w:rPr>
          <w:lang w:val="es-419"/>
        </w:rPr>
        <w:t>piloto</w:t>
      </w:r>
      <w:r w:rsidR="00737BD5" w:rsidRPr="005F0ABE">
        <w:rPr>
          <w:lang w:val="es-419"/>
        </w:rPr>
        <w:t xml:space="preserve">. </w:t>
      </w:r>
      <w:r w:rsidRPr="005F0ABE">
        <w:rPr>
          <w:lang w:val="es-419"/>
        </w:rPr>
        <w:t>Varias</w:t>
      </w:r>
      <w:r w:rsidR="00737BD5" w:rsidRPr="005F0ABE">
        <w:rPr>
          <w:lang w:val="es-419"/>
        </w:rPr>
        <w:t xml:space="preserve"> </w:t>
      </w:r>
      <w:r w:rsidR="00383CC9" w:rsidRPr="005F0ABE">
        <w:rPr>
          <w:lang w:val="es-419"/>
        </w:rPr>
        <w:t>Oficinas</w:t>
      </w:r>
      <w:r w:rsidRPr="005F0ABE">
        <w:rPr>
          <w:lang w:val="es-419"/>
        </w:rPr>
        <w:t xml:space="preserve"> expresaron la esperanza de que el proyecto</w:t>
      </w:r>
      <w:r w:rsidR="00737BD5" w:rsidRPr="005F0ABE">
        <w:rPr>
          <w:lang w:val="es-419"/>
        </w:rPr>
        <w:t xml:space="preserve"> </w:t>
      </w:r>
      <w:r w:rsidR="005F0ABE" w:rsidRPr="005F0ABE">
        <w:rPr>
          <w:lang w:val="es-419"/>
        </w:rPr>
        <w:t>piloto</w:t>
      </w:r>
      <w:r w:rsidR="00737BD5" w:rsidRPr="005F0ABE">
        <w:rPr>
          <w:lang w:val="es-419"/>
        </w:rPr>
        <w:t xml:space="preserve"> </w:t>
      </w:r>
      <w:r w:rsidRPr="005F0ABE">
        <w:rPr>
          <w:lang w:val="es-419"/>
        </w:rPr>
        <w:t>pueda extenderse a un espectro más amplio de</w:t>
      </w:r>
      <w:r w:rsidR="00737BD5" w:rsidRPr="005F0ABE">
        <w:rPr>
          <w:lang w:val="es-419"/>
        </w:rPr>
        <w:t xml:space="preserve"> </w:t>
      </w:r>
      <w:r w:rsidR="00383CC9" w:rsidRPr="005F0ABE">
        <w:rPr>
          <w:lang w:val="es-419"/>
        </w:rPr>
        <w:t>Oficinas</w:t>
      </w:r>
      <w:r w:rsidR="00737BD5" w:rsidRPr="005F0ABE">
        <w:rPr>
          <w:lang w:val="es-419"/>
        </w:rPr>
        <w:t xml:space="preserve"> </w:t>
      </w:r>
      <w:r w:rsidRPr="005F0ABE">
        <w:rPr>
          <w:lang w:val="es-419"/>
        </w:rPr>
        <w:t>e</w:t>
      </w:r>
      <w:r w:rsidR="00737BD5" w:rsidRPr="005F0ABE">
        <w:rPr>
          <w:lang w:val="es-419"/>
        </w:rPr>
        <w:t xml:space="preserve">n </w:t>
      </w:r>
      <w:r w:rsidRPr="005F0ABE">
        <w:rPr>
          <w:lang w:val="es-419"/>
        </w:rPr>
        <w:t>un futuro próximo</w:t>
      </w:r>
      <w:r w:rsidR="00737BD5" w:rsidRPr="005F0ABE">
        <w:rPr>
          <w:lang w:val="es-419"/>
        </w:rPr>
        <w:t>.</w:t>
      </w:r>
    </w:p>
    <w:p w:rsidR="0002239A" w:rsidRPr="005F0ABE" w:rsidRDefault="008F0CB0" w:rsidP="004F72C1">
      <w:pPr>
        <w:numPr>
          <w:ilvl w:val="0"/>
          <w:numId w:val="5"/>
        </w:numPr>
        <w:tabs>
          <w:tab w:val="clear" w:pos="567"/>
          <w:tab w:val="num" w:pos="360"/>
        </w:tabs>
        <w:spacing w:after="180"/>
        <w:rPr>
          <w:lang w:val="es-419"/>
        </w:rPr>
      </w:pPr>
      <w:r w:rsidRPr="005F0ABE">
        <w:rPr>
          <w:lang w:val="es-419"/>
        </w:rPr>
        <w:t>La mayoría de las</w:t>
      </w:r>
      <w:r w:rsidR="00737BD5" w:rsidRPr="005F0ABE">
        <w:rPr>
          <w:lang w:val="es-419"/>
        </w:rPr>
        <w:t xml:space="preserve"> </w:t>
      </w:r>
      <w:r w:rsidR="00383CC9" w:rsidRPr="005F0ABE">
        <w:rPr>
          <w:lang w:val="es-419"/>
        </w:rPr>
        <w:t>Oficinas</w:t>
      </w:r>
      <w:r w:rsidR="00737BD5" w:rsidRPr="005F0ABE">
        <w:rPr>
          <w:lang w:val="es-419"/>
        </w:rPr>
        <w:t xml:space="preserve"> indic</w:t>
      </w:r>
      <w:r w:rsidRPr="005F0ABE">
        <w:rPr>
          <w:lang w:val="es-419"/>
        </w:rPr>
        <w:t xml:space="preserve">ó que el trabajo en curso y los costos correspondientes son iguales o levemente inferiores </w:t>
      </w:r>
      <w:r w:rsidR="00737BD5" w:rsidRPr="005F0ABE">
        <w:rPr>
          <w:lang w:val="es-419"/>
        </w:rPr>
        <w:t>a</w:t>
      </w:r>
      <w:r w:rsidRPr="005F0ABE">
        <w:rPr>
          <w:lang w:val="es-419"/>
        </w:rPr>
        <w:t xml:space="preserve"> los que suponía</w:t>
      </w:r>
      <w:r w:rsidR="003A6FBE" w:rsidRPr="005F0ABE">
        <w:rPr>
          <w:lang w:val="es-419"/>
        </w:rPr>
        <w:t>n las disposiciones</w:t>
      </w:r>
      <w:r w:rsidRPr="005F0ABE">
        <w:rPr>
          <w:lang w:val="es-419"/>
        </w:rPr>
        <w:t xml:space="preserve"> anterior</w:t>
      </w:r>
      <w:r w:rsidR="003A6FBE" w:rsidRPr="005F0ABE">
        <w:rPr>
          <w:lang w:val="es-419"/>
        </w:rPr>
        <w:t>es</w:t>
      </w:r>
      <w:r w:rsidR="00737BD5" w:rsidRPr="005F0ABE">
        <w:rPr>
          <w:lang w:val="es-419"/>
        </w:rPr>
        <w:t xml:space="preserve">. </w:t>
      </w:r>
      <w:r w:rsidRPr="005F0ABE">
        <w:rPr>
          <w:lang w:val="es-419"/>
        </w:rPr>
        <w:t>Para las</w:t>
      </w:r>
      <w:r w:rsidR="00737BD5" w:rsidRPr="005F0ABE">
        <w:rPr>
          <w:lang w:val="es-419"/>
        </w:rPr>
        <w:t xml:space="preserve"> </w:t>
      </w:r>
      <w:r w:rsidR="00383CC9" w:rsidRPr="005F0ABE">
        <w:rPr>
          <w:lang w:val="es-419"/>
        </w:rPr>
        <w:t>Oficinas</w:t>
      </w:r>
      <w:r w:rsidR="00737BD5" w:rsidRPr="005F0ABE">
        <w:rPr>
          <w:lang w:val="es-419"/>
        </w:rPr>
        <w:t xml:space="preserve"> </w:t>
      </w:r>
      <w:r w:rsidRPr="005F0ABE">
        <w:rPr>
          <w:lang w:val="es-419"/>
        </w:rPr>
        <w:t xml:space="preserve">que interactúan con varias </w:t>
      </w:r>
      <w:r w:rsidR="00383CC9" w:rsidRPr="005F0ABE">
        <w:rPr>
          <w:lang w:val="es-419"/>
        </w:rPr>
        <w:t>Oficinas</w:t>
      </w:r>
      <w:r w:rsidRPr="005F0ABE">
        <w:rPr>
          <w:lang w:val="es-419"/>
        </w:rPr>
        <w:t xml:space="preserve"> –y especialmente la</w:t>
      </w:r>
      <w:r w:rsidR="00737BD5" w:rsidRPr="005F0ABE">
        <w:rPr>
          <w:lang w:val="es-419"/>
        </w:rPr>
        <w:t xml:space="preserve"> </w:t>
      </w:r>
      <w:r w:rsidR="0002239A" w:rsidRPr="005F0ABE">
        <w:rPr>
          <w:lang w:val="es-419"/>
        </w:rPr>
        <w:t>Oficina Europea de Patentes</w:t>
      </w:r>
      <w:r w:rsidR="00737BD5" w:rsidRPr="005F0ABE">
        <w:rPr>
          <w:lang w:val="es-419"/>
        </w:rPr>
        <w:t xml:space="preserve">, </w:t>
      </w:r>
      <w:r w:rsidRPr="005F0ABE">
        <w:rPr>
          <w:lang w:val="es-419"/>
        </w:rPr>
        <w:t>que actúa en calidad de ISA para más de 100 Oficinas receptoras</w:t>
      </w:r>
      <w:r w:rsidR="00737BD5" w:rsidRPr="005F0ABE">
        <w:rPr>
          <w:lang w:val="es-419"/>
        </w:rPr>
        <w:t xml:space="preserve">– </w:t>
      </w:r>
      <w:r w:rsidRPr="005F0ABE">
        <w:rPr>
          <w:lang w:val="es-419"/>
        </w:rPr>
        <w:t>el trabajo se ha reducido considerablemente</w:t>
      </w:r>
      <w:r w:rsidR="00737BD5" w:rsidRPr="005F0ABE">
        <w:rPr>
          <w:lang w:val="es-419"/>
        </w:rPr>
        <w:t xml:space="preserve">. </w:t>
      </w:r>
      <w:r w:rsidR="003A6FBE" w:rsidRPr="005F0ABE">
        <w:rPr>
          <w:lang w:val="es-419"/>
        </w:rPr>
        <w:t>Una</w:t>
      </w:r>
      <w:r w:rsidRPr="005F0ABE">
        <w:rPr>
          <w:lang w:val="es-419"/>
        </w:rPr>
        <w:t xml:space="preserve"> Oficina informó que </w:t>
      </w:r>
      <w:r w:rsidR="003D1916" w:rsidRPr="005F0ABE">
        <w:rPr>
          <w:lang w:val="es-419"/>
        </w:rPr>
        <w:t xml:space="preserve">el costo de las </w:t>
      </w:r>
      <w:r w:rsidRPr="005F0ABE">
        <w:rPr>
          <w:lang w:val="es-419"/>
        </w:rPr>
        <w:t>transferencia</w:t>
      </w:r>
      <w:r w:rsidR="003D1916" w:rsidRPr="005F0ABE">
        <w:rPr>
          <w:lang w:val="es-419"/>
        </w:rPr>
        <w:t>s es más</w:t>
      </w:r>
      <w:r w:rsidR="00737BD5" w:rsidRPr="005F0ABE">
        <w:rPr>
          <w:lang w:val="es-419"/>
        </w:rPr>
        <w:t xml:space="preserve"> </w:t>
      </w:r>
      <w:r w:rsidR="003D1916" w:rsidRPr="005F0ABE">
        <w:rPr>
          <w:lang w:val="es-419"/>
        </w:rPr>
        <w:t>elevado que antes</w:t>
      </w:r>
      <w:r w:rsidR="00737BD5" w:rsidRPr="005F0ABE">
        <w:rPr>
          <w:lang w:val="es-419"/>
        </w:rPr>
        <w:t xml:space="preserve">, </w:t>
      </w:r>
      <w:r w:rsidR="003D1916" w:rsidRPr="005F0ABE">
        <w:rPr>
          <w:lang w:val="es-419"/>
        </w:rPr>
        <w:t xml:space="preserve">pero ese aumento es tan leve que no </w:t>
      </w:r>
      <w:r w:rsidR="00651F84">
        <w:rPr>
          <w:lang w:val="es-419"/>
        </w:rPr>
        <w:t>es fuente de preocupación</w:t>
      </w:r>
      <w:r w:rsidR="00737BD5" w:rsidRPr="005F0ABE">
        <w:rPr>
          <w:lang w:val="es-419"/>
        </w:rPr>
        <w:t>.</w:t>
      </w:r>
    </w:p>
    <w:p w:rsidR="0002239A" w:rsidRPr="005F0ABE" w:rsidRDefault="003D1916" w:rsidP="004F72C1">
      <w:pPr>
        <w:numPr>
          <w:ilvl w:val="0"/>
          <w:numId w:val="5"/>
        </w:numPr>
        <w:tabs>
          <w:tab w:val="clear" w:pos="567"/>
          <w:tab w:val="num" w:pos="360"/>
        </w:tabs>
        <w:spacing w:after="180"/>
        <w:rPr>
          <w:lang w:val="es-419"/>
        </w:rPr>
      </w:pPr>
      <w:r w:rsidRPr="005F0ABE">
        <w:rPr>
          <w:lang w:val="es-419"/>
        </w:rPr>
        <w:t>Una Oficina señaló que ha sido necesario un esfuerzo inicial para</w:t>
      </w:r>
      <w:r w:rsidR="00737BD5" w:rsidRPr="005F0ABE">
        <w:rPr>
          <w:lang w:val="es-419"/>
        </w:rPr>
        <w:t xml:space="preserve"> </w:t>
      </w:r>
      <w:r w:rsidRPr="005F0ABE">
        <w:rPr>
          <w:lang w:val="es-419"/>
        </w:rPr>
        <w:t>adecuarse a la</w:t>
      </w:r>
      <w:r w:rsidR="003A6FBE" w:rsidRPr="005F0ABE">
        <w:rPr>
          <w:lang w:val="es-419"/>
        </w:rPr>
        <w:t>s</w:t>
      </w:r>
      <w:r w:rsidRPr="005F0ABE">
        <w:rPr>
          <w:lang w:val="es-419"/>
        </w:rPr>
        <w:t xml:space="preserve"> nueva</w:t>
      </w:r>
      <w:r w:rsidR="003A6FBE" w:rsidRPr="005F0ABE">
        <w:rPr>
          <w:lang w:val="es-419"/>
        </w:rPr>
        <w:t>s disposiciones</w:t>
      </w:r>
      <w:r w:rsidR="00737BD5" w:rsidRPr="005F0ABE">
        <w:rPr>
          <w:lang w:val="es-419"/>
        </w:rPr>
        <w:t xml:space="preserve">, </w:t>
      </w:r>
      <w:r w:rsidRPr="005F0ABE">
        <w:rPr>
          <w:lang w:val="es-419"/>
        </w:rPr>
        <w:t>pero que se ha aprovechado la oportunidad para mejorar los procesos internos</w:t>
      </w:r>
      <w:r w:rsidR="00737BD5" w:rsidRPr="005F0ABE">
        <w:rPr>
          <w:lang w:val="es-419"/>
        </w:rPr>
        <w:t xml:space="preserve"> </w:t>
      </w:r>
      <w:r w:rsidRPr="005F0ABE">
        <w:rPr>
          <w:lang w:val="es-419"/>
        </w:rPr>
        <w:t>y, como consecuencia de ello, se simplificaron significativamente los procedimientos</w:t>
      </w:r>
      <w:r w:rsidR="00737BD5" w:rsidRPr="005F0ABE">
        <w:rPr>
          <w:lang w:val="es-419"/>
        </w:rPr>
        <w:t>.</w:t>
      </w:r>
    </w:p>
    <w:p w:rsidR="0002239A" w:rsidRPr="005F0ABE" w:rsidRDefault="003D1916" w:rsidP="004F72C1">
      <w:pPr>
        <w:numPr>
          <w:ilvl w:val="0"/>
          <w:numId w:val="5"/>
        </w:numPr>
        <w:tabs>
          <w:tab w:val="clear" w:pos="567"/>
          <w:tab w:val="num" w:pos="360"/>
        </w:tabs>
        <w:spacing w:after="180"/>
        <w:rPr>
          <w:lang w:val="es-419"/>
        </w:rPr>
      </w:pPr>
      <w:r w:rsidRPr="005F0ABE">
        <w:rPr>
          <w:lang w:val="es-419"/>
        </w:rPr>
        <w:t>Dos</w:t>
      </w:r>
      <w:r w:rsidR="00737BD5" w:rsidRPr="005F0ABE">
        <w:rPr>
          <w:lang w:val="es-419"/>
        </w:rPr>
        <w:t xml:space="preserve"> </w:t>
      </w:r>
      <w:r w:rsidR="00383CC9" w:rsidRPr="005F0ABE">
        <w:rPr>
          <w:lang w:val="es-419"/>
        </w:rPr>
        <w:t>Oficinas</w:t>
      </w:r>
      <w:r w:rsidRPr="005F0ABE">
        <w:rPr>
          <w:lang w:val="es-419"/>
        </w:rPr>
        <w:t xml:space="preserve"> observaron que, en algunos casos, los plazos límite para los pagos son breves</w:t>
      </w:r>
      <w:r w:rsidR="00737BD5" w:rsidRPr="005F0ABE">
        <w:rPr>
          <w:lang w:val="es-419"/>
        </w:rPr>
        <w:t xml:space="preserve">, </w:t>
      </w:r>
      <w:r w:rsidRPr="005F0ABE">
        <w:rPr>
          <w:lang w:val="es-419"/>
        </w:rPr>
        <w:t>pero que la</w:t>
      </w:r>
      <w:r w:rsidR="00737BD5" w:rsidRPr="005F0ABE">
        <w:rPr>
          <w:lang w:val="es-419"/>
        </w:rPr>
        <w:t xml:space="preserve"> </w:t>
      </w:r>
      <w:r w:rsidR="0002239A" w:rsidRPr="005F0ABE">
        <w:rPr>
          <w:lang w:val="es-419"/>
        </w:rPr>
        <w:t>Oficina Internacional</w:t>
      </w:r>
      <w:r w:rsidR="00737BD5" w:rsidRPr="005F0ABE">
        <w:rPr>
          <w:lang w:val="es-419"/>
        </w:rPr>
        <w:t xml:space="preserve"> ha</w:t>
      </w:r>
      <w:r w:rsidRPr="005F0ABE">
        <w:rPr>
          <w:lang w:val="es-419"/>
        </w:rPr>
        <w:t xml:space="preserve"> podido hacer gala de mayor flexibilidad cuando ello ocasionaba un problema. En el proceso de establecimiento del </w:t>
      </w:r>
      <w:r w:rsidR="00737BD5" w:rsidRPr="005F0ABE">
        <w:rPr>
          <w:lang w:val="es-419"/>
        </w:rPr>
        <w:t>calendar</w:t>
      </w:r>
      <w:r w:rsidRPr="005F0ABE">
        <w:rPr>
          <w:lang w:val="es-419"/>
        </w:rPr>
        <w:t>io</w:t>
      </w:r>
      <w:r w:rsidR="00737BD5" w:rsidRPr="005F0ABE">
        <w:rPr>
          <w:lang w:val="es-419"/>
        </w:rPr>
        <w:t xml:space="preserve"> </w:t>
      </w:r>
      <w:r w:rsidRPr="005F0ABE">
        <w:rPr>
          <w:lang w:val="es-419"/>
        </w:rPr>
        <w:t>se procurará maximizar el tiempo a disposición de las</w:t>
      </w:r>
      <w:r w:rsidR="00737BD5" w:rsidRPr="005F0ABE">
        <w:rPr>
          <w:lang w:val="es-419"/>
        </w:rPr>
        <w:t xml:space="preserve"> </w:t>
      </w:r>
      <w:r w:rsidR="00383CC9" w:rsidRPr="005F0ABE">
        <w:rPr>
          <w:lang w:val="es-419"/>
        </w:rPr>
        <w:t>Oficinas</w:t>
      </w:r>
      <w:r w:rsidR="00737BD5" w:rsidRPr="005F0ABE">
        <w:rPr>
          <w:lang w:val="es-419"/>
        </w:rPr>
        <w:t xml:space="preserve"> </w:t>
      </w:r>
      <w:r w:rsidRPr="005F0ABE">
        <w:rPr>
          <w:lang w:val="es-419"/>
        </w:rPr>
        <w:t>para los controles y las disposiciones necesarios para efectuar los pagos</w:t>
      </w:r>
      <w:r w:rsidR="00737BD5" w:rsidRPr="005F0ABE">
        <w:rPr>
          <w:lang w:val="es-419"/>
        </w:rPr>
        <w:t>.</w:t>
      </w:r>
    </w:p>
    <w:p w:rsidR="0002239A" w:rsidRPr="005F0ABE" w:rsidRDefault="003D1916" w:rsidP="004F72C1">
      <w:pPr>
        <w:numPr>
          <w:ilvl w:val="0"/>
          <w:numId w:val="5"/>
        </w:numPr>
        <w:tabs>
          <w:tab w:val="clear" w:pos="567"/>
          <w:tab w:val="num" w:pos="360"/>
        </w:tabs>
        <w:spacing w:after="180"/>
        <w:rPr>
          <w:lang w:val="es-419"/>
        </w:rPr>
      </w:pPr>
      <w:r w:rsidRPr="005F0ABE">
        <w:rPr>
          <w:lang w:val="es-419"/>
        </w:rPr>
        <w:t xml:space="preserve">Las </w:t>
      </w:r>
      <w:r w:rsidR="003B3B68" w:rsidRPr="005F0ABE">
        <w:rPr>
          <w:lang w:val="es-419"/>
        </w:rPr>
        <w:t>principales</w:t>
      </w:r>
      <w:r w:rsidRPr="005F0ABE">
        <w:rPr>
          <w:lang w:val="es-419"/>
        </w:rPr>
        <w:t xml:space="preserve"> aspiraciones </w:t>
      </w:r>
      <w:r w:rsidR="003A6FBE" w:rsidRPr="005F0ABE">
        <w:rPr>
          <w:lang w:val="es-419"/>
        </w:rPr>
        <w:t xml:space="preserve">de mejora expresadas por las </w:t>
      </w:r>
      <w:r w:rsidR="00383CC9" w:rsidRPr="005F0ABE">
        <w:rPr>
          <w:lang w:val="es-419"/>
        </w:rPr>
        <w:t>Oficinas</w:t>
      </w:r>
      <w:r w:rsidR="003A6FBE" w:rsidRPr="005F0ABE">
        <w:rPr>
          <w:lang w:val="es-419"/>
        </w:rPr>
        <w:t xml:space="preserve"> son las siguientes</w:t>
      </w:r>
      <w:r w:rsidR="00737BD5" w:rsidRPr="005F0ABE">
        <w:rPr>
          <w:lang w:val="es-419"/>
        </w:rPr>
        <w:t>:</w:t>
      </w:r>
    </w:p>
    <w:p w:rsidR="0002239A" w:rsidRPr="005F0ABE" w:rsidRDefault="003A6FBE" w:rsidP="004F72C1">
      <w:pPr>
        <w:numPr>
          <w:ilvl w:val="1"/>
          <w:numId w:val="5"/>
        </w:numPr>
        <w:spacing w:after="180"/>
        <w:rPr>
          <w:lang w:val="es-419"/>
        </w:rPr>
      </w:pPr>
      <w:r w:rsidRPr="005F0ABE">
        <w:rPr>
          <w:lang w:val="es-419"/>
        </w:rPr>
        <w:t>que se imparta más formación sobre las nuevas disposiciones</w:t>
      </w:r>
      <w:r w:rsidR="00737BD5" w:rsidRPr="005F0ABE">
        <w:rPr>
          <w:lang w:val="es-419"/>
        </w:rPr>
        <w:t xml:space="preserve">, </w:t>
      </w:r>
      <w:r w:rsidRPr="005F0ABE">
        <w:rPr>
          <w:lang w:val="es-419"/>
        </w:rPr>
        <w:t xml:space="preserve">incluyendo los servicios de </w:t>
      </w:r>
      <w:r w:rsidR="0002239A" w:rsidRPr="005F0ABE">
        <w:rPr>
          <w:lang w:val="es-419"/>
        </w:rPr>
        <w:t>ePCT</w:t>
      </w:r>
      <w:r w:rsidR="00737BD5" w:rsidRPr="005F0ABE">
        <w:rPr>
          <w:lang w:val="es-419"/>
        </w:rPr>
        <w:t xml:space="preserve">, </w:t>
      </w:r>
      <w:r w:rsidRPr="005F0ABE">
        <w:rPr>
          <w:lang w:val="es-419"/>
        </w:rPr>
        <w:t xml:space="preserve">el </w:t>
      </w:r>
      <w:r w:rsidR="0002239A" w:rsidRPr="005F0ABE">
        <w:rPr>
          <w:lang w:val="es-419"/>
        </w:rPr>
        <w:t>programa informático</w:t>
      </w:r>
      <w:r w:rsidR="00737BD5" w:rsidRPr="005F0ABE">
        <w:rPr>
          <w:lang w:val="es-419"/>
        </w:rPr>
        <w:t xml:space="preserve"> </w:t>
      </w:r>
      <w:r w:rsidRPr="005F0ABE">
        <w:rPr>
          <w:lang w:val="es-419"/>
        </w:rPr>
        <w:t>Coprocess y los</w:t>
      </w:r>
      <w:r w:rsidR="00737BD5" w:rsidRPr="005F0ABE">
        <w:rPr>
          <w:lang w:val="es-419"/>
        </w:rPr>
        <w:t xml:space="preserve"> </w:t>
      </w:r>
      <w:r w:rsidRPr="005F0ABE">
        <w:rPr>
          <w:lang w:val="es-419"/>
        </w:rPr>
        <w:t xml:space="preserve">distintos </w:t>
      </w:r>
      <w:r w:rsidR="003B3B68" w:rsidRPr="005F0ABE">
        <w:rPr>
          <w:lang w:val="es-419"/>
        </w:rPr>
        <w:t>aspectos</w:t>
      </w:r>
      <w:r w:rsidRPr="005F0ABE">
        <w:rPr>
          <w:lang w:val="es-419"/>
        </w:rPr>
        <w:t>, así como la comprensión del calendario</w:t>
      </w:r>
      <w:r w:rsidR="00737BD5" w:rsidRPr="005F0ABE">
        <w:rPr>
          <w:lang w:val="es-419"/>
        </w:rPr>
        <w:t xml:space="preserve"> (</w:t>
      </w:r>
      <w:r w:rsidRPr="005F0ABE">
        <w:rPr>
          <w:lang w:val="es-419"/>
        </w:rPr>
        <w:t xml:space="preserve">la </w:t>
      </w:r>
      <w:r w:rsidR="0002239A" w:rsidRPr="005F0ABE">
        <w:rPr>
          <w:lang w:val="es-419"/>
        </w:rPr>
        <w:t>Oficina Internacional</w:t>
      </w:r>
      <w:r w:rsidR="00737BD5" w:rsidRPr="005F0ABE">
        <w:rPr>
          <w:lang w:val="es-419"/>
        </w:rPr>
        <w:t xml:space="preserve"> </w:t>
      </w:r>
      <w:r w:rsidRPr="005F0ABE">
        <w:rPr>
          <w:lang w:val="es-419"/>
        </w:rPr>
        <w:t>examinará la documentación y las opciones para impartir la formación necesaria a los usuarios de las Oficinas</w:t>
      </w:r>
      <w:r w:rsidR="00737BD5" w:rsidRPr="005F0ABE">
        <w:rPr>
          <w:lang w:val="es-419"/>
        </w:rPr>
        <w:t>);</w:t>
      </w:r>
    </w:p>
    <w:p w:rsidR="0002239A" w:rsidRPr="005F0ABE" w:rsidRDefault="003A6FBE" w:rsidP="004F72C1">
      <w:pPr>
        <w:numPr>
          <w:ilvl w:val="1"/>
          <w:numId w:val="5"/>
        </w:numPr>
        <w:spacing w:after="180"/>
        <w:rPr>
          <w:lang w:val="es-419"/>
        </w:rPr>
      </w:pPr>
      <w:r w:rsidRPr="005F0ABE">
        <w:rPr>
          <w:lang w:val="es-419"/>
        </w:rPr>
        <w:t xml:space="preserve">que se permita presentar en formato Excel la información exigida </w:t>
      </w:r>
      <w:r w:rsidR="00737BD5" w:rsidRPr="005F0ABE">
        <w:rPr>
          <w:lang w:val="es-419"/>
        </w:rPr>
        <w:t>(</w:t>
      </w:r>
      <w:r w:rsidRPr="005F0ABE">
        <w:rPr>
          <w:lang w:val="es-419"/>
        </w:rPr>
        <w:t>como se indica en el cuerpo principal del presente</w:t>
      </w:r>
      <w:r w:rsidR="00737BD5" w:rsidRPr="005F0ABE">
        <w:rPr>
          <w:lang w:val="es-419"/>
        </w:rPr>
        <w:t xml:space="preserve"> </w:t>
      </w:r>
      <w:r w:rsidR="005F0ABE" w:rsidRPr="005F0ABE">
        <w:rPr>
          <w:lang w:val="es-419"/>
        </w:rPr>
        <w:t>documento</w:t>
      </w:r>
      <w:r w:rsidR="00737BD5" w:rsidRPr="005F0ABE">
        <w:rPr>
          <w:lang w:val="es-419"/>
        </w:rPr>
        <w:t xml:space="preserve">, </w:t>
      </w:r>
      <w:r w:rsidRPr="005F0ABE">
        <w:rPr>
          <w:lang w:val="es-419"/>
        </w:rPr>
        <w:t>los procedimientos han sido modificados para permitir la presentación en formato</w:t>
      </w:r>
      <w:r w:rsidR="00737BD5" w:rsidRPr="005F0ABE">
        <w:rPr>
          <w:lang w:val="es-419"/>
        </w:rPr>
        <w:t xml:space="preserve"> Excel);</w:t>
      </w:r>
    </w:p>
    <w:p w:rsidR="0002239A" w:rsidRPr="005F0ABE" w:rsidRDefault="003A6FBE" w:rsidP="004F72C1">
      <w:pPr>
        <w:numPr>
          <w:ilvl w:val="1"/>
          <w:numId w:val="5"/>
        </w:numPr>
        <w:spacing w:after="180"/>
        <w:rPr>
          <w:lang w:val="es-419"/>
        </w:rPr>
      </w:pPr>
      <w:r w:rsidRPr="005F0ABE">
        <w:rPr>
          <w:lang w:val="es-419"/>
        </w:rPr>
        <w:t>que se establezca una base jurídica clara y común para las disposiciones relativas a las transferencias</w:t>
      </w:r>
      <w:r w:rsidR="00737BD5" w:rsidRPr="005F0ABE">
        <w:rPr>
          <w:lang w:val="es-419"/>
        </w:rPr>
        <w:t xml:space="preserve"> (</w:t>
      </w:r>
      <w:r w:rsidRPr="005F0ABE">
        <w:rPr>
          <w:lang w:val="es-419"/>
        </w:rPr>
        <w:t>ese tema se aborda en el</w:t>
      </w:r>
      <w:r w:rsidR="00737BD5" w:rsidRPr="005F0ABE">
        <w:rPr>
          <w:lang w:val="es-419"/>
        </w:rPr>
        <w:t xml:space="preserve"> </w:t>
      </w:r>
      <w:r w:rsidR="005F0ABE" w:rsidRPr="005F0ABE">
        <w:rPr>
          <w:lang w:val="es-419"/>
        </w:rPr>
        <w:t>documento</w:t>
      </w:r>
      <w:r w:rsidR="00737BD5" w:rsidRPr="005F0ABE">
        <w:rPr>
          <w:lang w:val="es-419"/>
        </w:rPr>
        <w:t xml:space="preserve"> </w:t>
      </w:r>
      <w:r w:rsidR="0002239A" w:rsidRPr="005F0ABE">
        <w:rPr>
          <w:lang w:val="es-419"/>
        </w:rPr>
        <w:t>PCT</w:t>
      </w:r>
      <w:r w:rsidR="00737BD5" w:rsidRPr="005F0ABE">
        <w:rPr>
          <w:lang w:val="es-419"/>
        </w:rPr>
        <w:t>/WG/12/20);</w:t>
      </w:r>
    </w:p>
    <w:p w:rsidR="0002239A" w:rsidRPr="005F0ABE" w:rsidRDefault="003A6FBE" w:rsidP="004F72C1">
      <w:pPr>
        <w:numPr>
          <w:ilvl w:val="1"/>
          <w:numId w:val="5"/>
        </w:numPr>
        <w:spacing w:after="180"/>
        <w:rPr>
          <w:lang w:val="es-419"/>
        </w:rPr>
      </w:pPr>
      <w:r w:rsidRPr="005F0ABE">
        <w:rPr>
          <w:lang w:val="es-419"/>
        </w:rPr>
        <w:t>que se reciban las</w:t>
      </w:r>
      <w:r w:rsidR="00737BD5" w:rsidRPr="005F0ABE">
        <w:rPr>
          <w:lang w:val="es-419"/>
        </w:rPr>
        <w:t xml:space="preserve"> </w:t>
      </w:r>
      <w:r w:rsidR="005F0ABE" w:rsidRPr="005F0ABE">
        <w:rPr>
          <w:lang w:val="es-419"/>
        </w:rPr>
        <w:t>listas</w:t>
      </w:r>
      <w:r w:rsidR="00737BD5" w:rsidRPr="005F0ABE">
        <w:rPr>
          <w:lang w:val="es-419"/>
        </w:rPr>
        <w:t xml:space="preserve"> </w:t>
      </w:r>
      <w:r w:rsidRPr="005F0ABE">
        <w:rPr>
          <w:lang w:val="es-419"/>
        </w:rPr>
        <w:t>con más antelación</w:t>
      </w:r>
      <w:r w:rsidR="00737BD5" w:rsidRPr="005F0ABE">
        <w:rPr>
          <w:lang w:val="es-419"/>
        </w:rPr>
        <w:t xml:space="preserve">, </w:t>
      </w:r>
      <w:r w:rsidRPr="005F0ABE">
        <w:rPr>
          <w:lang w:val="es-419"/>
        </w:rPr>
        <w:t>dejando más tiempo para organizar las transferencias</w:t>
      </w:r>
      <w:r w:rsidR="00737BD5" w:rsidRPr="005F0ABE">
        <w:rPr>
          <w:lang w:val="es-419"/>
        </w:rPr>
        <w:t xml:space="preserve">, </w:t>
      </w:r>
      <w:r w:rsidRPr="005F0ABE">
        <w:rPr>
          <w:lang w:val="es-419"/>
        </w:rPr>
        <w:t xml:space="preserve">y que </w:t>
      </w:r>
      <w:r w:rsidR="004F72C1" w:rsidRPr="005F0ABE">
        <w:rPr>
          <w:lang w:val="es-419"/>
        </w:rPr>
        <w:t xml:space="preserve">el momento de entrega de las declaraciones se determine teniendo en cuenta que las </w:t>
      </w:r>
      <w:r w:rsidR="00383CC9" w:rsidRPr="005F0ABE">
        <w:rPr>
          <w:lang w:val="es-419"/>
        </w:rPr>
        <w:t>Oficinas</w:t>
      </w:r>
      <w:r w:rsidR="00737BD5" w:rsidRPr="005F0ABE">
        <w:rPr>
          <w:lang w:val="es-419"/>
        </w:rPr>
        <w:t xml:space="preserve"> </w:t>
      </w:r>
      <w:r w:rsidR="004F72C1" w:rsidRPr="005F0ABE">
        <w:rPr>
          <w:lang w:val="es-419"/>
        </w:rPr>
        <w:t>trabajan en distintos husos horarios</w:t>
      </w:r>
      <w:r w:rsidR="00737BD5" w:rsidRPr="005F0ABE">
        <w:rPr>
          <w:lang w:val="es-419"/>
        </w:rPr>
        <w:t xml:space="preserve"> (</w:t>
      </w:r>
      <w:r w:rsidR="004F72C1" w:rsidRPr="005F0ABE">
        <w:rPr>
          <w:lang w:val="es-419"/>
        </w:rPr>
        <w:t>se ajustará el calendario de </w:t>
      </w:r>
      <w:r w:rsidR="00737BD5" w:rsidRPr="005F0ABE">
        <w:rPr>
          <w:lang w:val="es-419"/>
        </w:rPr>
        <w:t xml:space="preserve">2020 </w:t>
      </w:r>
      <w:r w:rsidR="004F72C1" w:rsidRPr="005F0ABE">
        <w:rPr>
          <w:lang w:val="es-419"/>
        </w:rPr>
        <w:t>para dar cabida a esas necesidades</w:t>
      </w:r>
      <w:r w:rsidR="00737BD5" w:rsidRPr="005F0ABE">
        <w:rPr>
          <w:lang w:val="es-419"/>
        </w:rPr>
        <w:t>);</w:t>
      </w:r>
    </w:p>
    <w:p w:rsidR="0002239A" w:rsidRPr="005F0ABE" w:rsidRDefault="003A6FBE" w:rsidP="004F72C1">
      <w:pPr>
        <w:numPr>
          <w:ilvl w:val="1"/>
          <w:numId w:val="5"/>
        </w:numPr>
        <w:spacing w:after="180"/>
        <w:rPr>
          <w:lang w:val="es-419"/>
        </w:rPr>
      </w:pPr>
      <w:r w:rsidRPr="005F0ABE">
        <w:rPr>
          <w:lang w:val="es-419"/>
        </w:rPr>
        <w:t>que se permita efectuar los pagos</w:t>
      </w:r>
      <w:r w:rsidR="00737BD5" w:rsidRPr="005F0ABE">
        <w:rPr>
          <w:lang w:val="es-419"/>
        </w:rPr>
        <w:t xml:space="preserve"> </w:t>
      </w:r>
      <w:r w:rsidR="004F72C1" w:rsidRPr="005F0ABE">
        <w:rPr>
          <w:lang w:val="es-419"/>
        </w:rPr>
        <w:t>mediante una cuenta corriente en l</w:t>
      </w:r>
      <w:r w:rsidR="00737BD5" w:rsidRPr="005F0ABE">
        <w:rPr>
          <w:lang w:val="es-419"/>
        </w:rPr>
        <w:t xml:space="preserve">a </w:t>
      </w:r>
      <w:r w:rsidR="0002239A" w:rsidRPr="005F0ABE">
        <w:rPr>
          <w:lang w:val="es-419"/>
        </w:rPr>
        <w:t>OMPI</w:t>
      </w:r>
      <w:r w:rsidR="00737BD5" w:rsidRPr="005F0ABE">
        <w:rPr>
          <w:lang w:val="es-419"/>
        </w:rPr>
        <w:t xml:space="preserve"> (</w:t>
      </w:r>
      <w:r w:rsidR="004F72C1" w:rsidRPr="005F0ABE">
        <w:rPr>
          <w:lang w:val="es-419"/>
        </w:rPr>
        <w:t>los participantes ya disponen de esta opción y la Oficina Internacional alienta a que se utilice cuando resulte práctica</w:t>
      </w:r>
      <w:r w:rsidR="00737BD5" w:rsidRPr="005F0ABE">
        <w:rPr>
          <w:lang w:val="es-419"/>
        </w:rPr>
        <w:t xml:space="preserve">; </w:t>
      </w:r>
      <w:r w:rsidR="004F72C1" w:rsidRPr="005F0ABE">
        <w:rPr>
          <w:lang w:val="es-419"/>
        </w:rPr>
        <w:t>la opción será examinada caso por caso</w:t>
      </w:r>
      <w:r w:rsidR="00737BD5" w:rsidRPr="005F0ABE">
        <w:rPr>
          <w:lang w:val="es-419"/>
        </w:rPr>
        <w:t xml:space="preserve">, </w:t>
      </w:r>
      <w:r w:rsidR="004F72C1" w:rsidRPr="005F0ABE">
        <w:rPr>
          <w:lang w:val="es-419"/>
        </w:rPr>
        <w:t>pues se refiere a los acuerdos entre las</w:t>
      </w:r>
      <w:r w:rsidR="00737BD5" w:rsidRPr="005F0ABE">
        <w:rPr>
          <w:lang w:val="es-419"/>
        </w:rPr>
        <w:t xml:space="preserve"> </w:t>
      </w:r>
      <w:r w:rsidR="00383CC9" w:rsidRPr="005F0ABE">
        <w:rPr>
          <w:lang w:val="es-419"/>
        </w:rPr>
        <w:t>Oficinas</w:t>
      </w:r>
      <w:r w:rsidR="00737BD5" w:rsidRPr="005F0ABE">
        <w:rPr>
          <w:lang w:val="es-419"/>
        </w:rPr>
        <w:t xml:space="preserve"> </w:t>
      </w:r>
      <w:r w:rsidR="004F72C1" w:rsidRPr="005F0ABE">
        <w:rPr>
          <w:lang w:val="es-419"/>
        </w:rPr>
        <w:t>y la</w:t>
      </w:r>
      <w:r w:rsidR="00737BD5" w:rsidRPr="005F0ABE">
        <w:rPr>
          <w:lang w:val="es-419"/>
        </w:rPr>
        <w:t xml:space="preserve"> </w:t>
      </w:r>
      <w:r w:rsidR="0002239A" w:rsidRPr="005F0ABE">
        <w:rPr>
          <w:lang w:val="es-419"/>
        </w:rPr>
        <w:t>Oficina Internacional</w:t>
      </w:r>
      <w:r w:rsidR="00737BD5" w:rsidRPr="005F0ABE">
        <w:rPr>
          <w:lang w:val="es-419"/>
        </w:rPr>
        <w:t xml:space="preserve"> </w:t>
      </w:r>
      <w:r w:rsidR="004F72C1" w:rsidRPr="005F0ABE">
        <w:rPr>
          <w:lang w:val="es-419"/>
        </w:rPr>
        <w:t>sobre</w:t>
      </w:r>
      <w:r w:rsidR="00737BD5" w:rsidRPr="005F0ABE">
        <w:rPr>
          <w:lang w:val="es-419"/>
        </w:rPr>
        <w:t xml:space="preserve"> </w:t>
      </w:r>
      <w:r w:rsidR="0002239A" w:rsidRPr="005F0ABE">
        <w:rPr>
          <w:lang w:val="es-419"/>
        </w:rPr>
        <w:t>tipos de cambio</w:t>
      </w:r>
      <w:r w:rsidR="00737BD5" w:rsidRPr="005F0ABE">
        <w:rPr>
          <w:lang w:val="es-419"/>
        </w:rPr>
        <w:t>).</w:t>
      </w:r>
    </w:p>
    <w:p w:rsidR="0002239A" w:rsidRPr="005F0ABE" w:rsidRDefault="0002239A" w:rsidP="00737BD5">
      <w:pPr>
        <w:rPr>
          <w:lang w:val="es-419"/>
        </w:rPr>
      </w:pPr>
    </w:p>
    <w:p w:rsidR="00737BD5" w:rsidRPr="005F0ABE" w:rsidRDefault="0002239A" w:rsidP="0002239A">
      <w:pPr>
        <w:ind w:left="5534"/>
        <w:rPr>
          <w:lang w:val="es-419"/>
        </w:rPr>
        <w:sectPr w:rsidR="00737BD5" w:rsidRPr="005F0ABE" w:rsidSect="0002239A">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r w:rsidRPr="005F0ABE">
        <w:rPr>
          <w:lang w:val="es-419"/>
        </w:rPr>
        <w:t>[Sigue el Anexo II]</w:t>
      </w:r>
    </w:p>
    <w:p w:rsidR="0002239A" w:rsidRPr="005F0ABE" w:rsidRDefault="00AC4C5F" w:rsidP="0002239A">
      <w:pPr>
        <w:jc w:val="center"/>
        <w:rPr>
          <w:lang w:val="es-419"/>
        </w:rPr>
      </w:pPr>
      <w:r w:rsidRPr="005F0ABE">
        <w:rPr>
          <w:lang w:val="es-419"/>
        </w:rPr>
        <w:lastRenderedPageBreak/>
        <w:t>RESUMEN DEL ANÁLISIS</w:t>
      </w:r>
      <w:r w:rsidR="00737BD5" w:rsidRPr="005F0ABE">
        <w:rPr>
          <w:lang w:val="es-419"/>
        </w:rPr>
        <w:br/>
      </w:r>
      <w:r w:rsidRPr="005F0ABE">
        <w:rPr>
          <w:lang w:val="es-419"/>
        </w:rPr>
        <w:t>DE LA INCIDENCIA FINANCIERA</w:t>
      </w:r>
    </w:p>
    <w:p w:rsidR="0002239A" w:rsidRPr="005F0ABE" w:rsidRDefault="0002239A" w:rsidP="00737BD5">
      <w:pPr>
        <w:rPr>
          <w:lang w:val="es-419"/>
        </w:rPr>
      </w:pPr>
    </w:p>
    <w:p w:rsidR="0002239A" w:rsidRPr="005F0ABE" w:rsidRDefault="00B86380" w:rsidP="0002239A">
      <w:pPr>
        <w:rPr>
          <w:i/>
          <w:lang w:val="es-419"/>
        </w:rPr>
      </w:pPr>
      <w:r w:rsidRPr="005F0ABE">
        <w:rPr>
          <w:i/>
          <w:lang w:val="es-419"/>
        </w:rPr>
        <w:t xml:space="preserve">A </w:t>
      </w:r>
      <w:r w:rsidR="003B3B68" w:rsidRPr="005F0ABE">
        <w:rPr>
          <w:i/>
          <w:lang w:val="es-419"/>
        </w:rPr>
        <w:t>continuación,</w:t>
      </w:r>
      <w:r w:rsidRPr="005F0ABE">
        <w:rPr>
          <w:i/>
          <w:lang w:val="es-419"/>
        </w:rPr>
        <w:t xml:space="preserve"> figura el </w:t>
      </w:r>
      <w:r w:rsidR="00E03CCD" w:rsidRPr="005F0ABE">
        <w:rPr>
          <w:i/>
          <w:lang w:val="es-419"/>
        </w:rPr>
        <w:t xml:space="preserve">resumen </w:t>
      </w:r>
      <w:r w:rsidRPr="005F0ABE">
        <w:rPr>
          <w:i/>
          <w:lang w:val="es-419"/>
        </w:rPr>
        <w:t xml:space="preserve">de un </w:t>
      </w:r>
      <w:r w:rsidR="005F0ABE" w:rsidRPr="005F0ABE">
        <w:rPr>
          <w:i/>
          <w:lang w:val="es-419"/>
        </w:rPr>
        <w:t>análisis</w:t>
      </w:r>
      <w:r w:rsidR="00737BD5" w:rsidRPr="005F0ABE">
        <w:rPr>
          <w:i/>
          <w:lang w:val="es-419"/>
        </w:rPr>
        <w:t xml:space="preserve"> </w:t>
      </w:r>
      <w:r w:rsidRPr="005F0ABE">
        <w:rPr>
          <w:i/>
          <w:lang w:val="es-419"/>
        </w:rPr>
        <w:t>de la incidencia financiera del proyecto piloto</w:t>
      </w:r>
      <w:r w:rsidR="00737BD5" w:rsidRPr="005F0ABE">
        <w:rPr>
          <w:i/>
          <w:lang w:val="es-419"/>
        </w:rPr>
        <w:t>,</w:t>
      </w:r>
      <w:r w:rsidR="00B60414" w:rsidRPr="005F0ABE">
        <w:rPr>
          <w:i/>
          <w:lang w:val="es-419"/>
        </w:rPr>
        <w:t xml:space="preserve"> realizado por la </w:t>
      </w:r>
      <w:r w:rsidR="00D16B76" w:rsidRPr="005F0ABE">
        <w:rPr>
          <w:i/>
          <w:lang w:val="es-419"/>
        </w:rPr>
        <w:t xml:space="preserve">División de Supervisión Interna de la </w:t>
      </w:r>
      <w:r w:rsidR="00B60414" w:rsidRPr="005F0ABE">
        <w:rPr>
          <w:i/>
          <w:lang w:val="es-419"/>
        </w:rPr>
        <w:t>Organización Mundial de la Propiedad Intelectual</w:t>
      </w:r>
      <w:r w:rsidR="00737BD5" w:rsidRPr="005F0ABE">
        <w:rPr>
          <w:i/>
          <w:lang w:val="es-419"/>
        </w:rPr>
        <w:t xml:space="preserve">. </w:t>
      </w:r>
      <w:r w:rsidR="00D16B76" w:rsidRPr="005F0ABE">
        <w:rPr>
          <w:i/>
          <w:lang w:val="es-419"/>
        </w:rPr>
        <w:t xml:space="preserve">El </w:t>
      </w:r>
      <w:r w:rsidR="004B3EC7" w:rsidRPr="005F0ABE">
        <w:rPr>
          <w:i/>
          <w:lang w:val="es-419"/>
        </w:rPr>
        <w:t>informe completo</w:t>
      </w:r>
      <w:r w:rsidR="00737BD5" w:rsidRPr="005F0ABE">
        <w:rPr>
          <w:i/>
          <w:lang w:val="es-419"/>
        </w:rPr>
        <w:t xml:space="preserve"> </w:t>
      </w:r>
      <w:r w:rsidR="0002239A" w:rsidRPr="005F0ABE">
        <w:rPr>
          <w:i/>
          <w:lang w:val="es-419"/>
        </w:rPr>
        <w:t>puede consultarse en</w:t>
      </w:r>
      <w:r w:rsidR="00737BD5" w:rsidRPr="005F0ABE">
        <w:rPr>
          <w:i/>
          <w:lang w:val="es-419"/>
        </w:rPr>
        <w:t xml:space="preserve"> https://www.wipo.int/about-wipo/en/oversight/iaod/audit/.</w:t>
      </w:r>
    </w:p>
    <w:p w:rsidR="0002239A" w:rsidRPr="005F0ABE" w:rsidRDefault="0002239A" w:rsidP="00737BD5">
      <w:pPr>
        <w:rPr>
          <w:lang w:val="es-419"/>
        </w:rPr>
      </w:pPr>
    </w:p>
    <w:p w:rsidR="0002239A" w:rsidRPr="005F0ABE" w:rsidRDefault="0002239A" w:rsidP="00737BD5">
      <w:pPr>
        <w:rPr>
          <w:lang w:val="es-419"/>
        </w:rPr>
      </w:pPr>
    </w:p>
    <w:p w:rsidR="0002239A" w:rsidRPr="005F0ABE" w:rsidRDefault="0002239A" w:rsidP="00737BD5">
      <w:pPr>
        <w:rPr>
          <w:lang w:val="es-419"/>
        </w:rPr>
      </w:pPr>
    </w:p>
    <w:p w:rsidR="0002239A" w:rsidRPr="005F0ABE" w:rsidRDefault="0002239A" w:rsidP="0002239A">
      <w:pPr>
        <w:keepNext/>
        <w:spacing w:before="240" w:after="60"/>
        <w:outlineLvl w:val="0"/>
        <w:rPr>
          <w:b/>
          <w:bCs/>
          <w:caps/>
          <w:kern w:val="32"/>
          <w:szCs w:val="32"/>
          <w:lang w:val="es-419"/>
        </w:rPr>
      </w:pPr>
      <w:r w:rsidRPr="005F0ABE">
        <w:rPr>
          <w:b/>
          <w:bCs/>
          <w:caps/>
          <w:kern w:val="32"/>
          <w:szCs w:val="32"/>
          <w:lang w:val="es-419"/>
        </w:rPr>
        <w:t>Resumen</w:t>
      </w:r>
    </w:p>
    <w:p w:rsidR="0002239A" w:rsidRPr="005F0ABE" w:rsidRDefault="0002239A" w:rsidP="0002239A">
      <w:pPr>
        <w:spacing w:after="220"/>
        <w:rPr>
          <w:lang w:val="es-419"/>
        </w:rPr>
      </w:pPr>
      <w:r w:rsidRPr="005F0ABE">
        <w:rPr>
          <w:lang w:val="es-419"/>
        </w:rPr>
        <w:t>La “compensación por saldos netos” es un mecanismo de liquidación utilizado para compensar un valor positivo (pago) con un valor negativo (importe a cobrar) y cancelarlos entre sí total o parcialmente.</w:t>
      </w:r>
      <w:r w:rsidR="00737BD5" w:rsidRPr="005F0ABE">
        <w:rPr>
          <w:lang w:val="es-419"/>
        </w:rPr>
        <w:t xml:space="preserve"> </w:t>
      </w:r>
      <w:r w:rsidRPr="005F0ABE">
        <w:rPr>
          <w:lang w:val="es-419"/>
        </w:rPr>
        <w:t xml:space="preserve">Mediante el proceso de compensación por saldos netos todas las transacciones entre los participantes se consolidan, calculándose sobre una base </w:t>
      </w:r>
      <w:r w:rsidR="00137269" w:rsidRPr="005F0ABE">
        <w:rPr>
          <w:lang w:val="es-419"/>
        </w:rPr>
        <w:t>“</w:t>
      </w:r>
      <w:r w:rsidRPr="005F0ABE">
        <w:rPr>
          <w:lang w:val="es-419"/>
        </w:rPr>
        <w:t>neta</w:t>
      </w:r>
      <w:r w:rsidR="00137269" w:rsidRPr="005F0ABE">
        <w:rPr>
          <w:lang w:val="es-419"/>
        </w:rPr>
        <w:t>”</w:t>
      </w:r>
      <w:r w:rsidRPr="005F0ABE">
        <w:rPr>
          <w:lang w:val="es-419"/>
        </w:rPr>
        <w:t xml:space="preserve"> el importe a liquidar entre ellos, normalmente a través de un pago o ingreso único.</w:t>
      </w:r>
    </w:p>
    <w:p w:rsidR="0002239A" w:rsidRPr="005F0ABE" w:rsidRDefault="00737BD5" w:rsidP="0002239A">
      <w:pPr>
        <w:spacing w:after="220"/>
        <w:rPr>
          <w:lang w:val="es-419"/>
        </w:rPr>
      </w:pPr>
      <w:r w:rsidRPr="005F0ABE">
        <w:rPr>
          <w:lang w:val="es-419"/>
        </w:rPr>
        <w:t>2.</w:t>
      </w:r>
      <w:r w:rsidRPr="005F0ABE">
        <w:rPr>
          <w:lang w:val="es-419"/>
        </w:rPr>
        <w:tab/>
        <w:t xml:space="preserve">In 2018, </w:t>
      </w:r>
      <w:r w:rsidR="003B3B68">
        <w:rPr>
          <w:lang w:val="es-419"/>
        </w:rPr>
        <w:t>la</w:t>
      </w:r>
      <w:r w:rsidRPr="005F0ABE">
        <w:rPr>
          <w:lang w:val="es-419"/>
        </w:rPr>
        <w:t xml:space="preserve"> </w:t>
      </w:r>
      <w:r w:rsidR="0002239A" w:rsidRPr="005F0ABE">
        <w:rPr>
          <w:lang w:val="es-419"/>
        </w:rPr>
        <w:t>Oficina Internacional</w:t>
      </w:r>
      <w:r w:rsidRPr="005F0ABE">
        <w:rPr>
          <w:lang w:val="es-419"/>
        </w:rPr>
        <w:t xml:space="preserve"> </w:t>
      </w:r>
      <w:r w:rsidR="00137269" w:rsidRPr="005F0ABE">
        <w:rPr>
          <w:lang w:val="es-419"/>
        </w:rPr>
        <w:t>puso en marcha el proyecto piloto de compensación por saldos netos del Tratado de Cooperación en materia de Patentes</w:t>
      </w:r>
      <w:r w:rsidRPr="005F0ABE">
        <w:rPr>
          <w:lang w:val="es-419"/>
        </w:rPr>
        <w:t xml:space="preserve"> (</w:t>
      </w:r>
      <w:r w:rsidR="0002239A" w:rsidRPr="005F0ABE">
        <w:rPr>
          <w:lang w:val="es-419"/>
        </w:rPr>
        <w:t>PCT</w:t>
      </w:r>
      <w:r w:rsidRPr="005F0ABE">
        <w:rPr>
          <w:lang w:val="es-419"/>
        </w:rPr>
        <w:t xml:space="preserve">) </w:t>
      </w:r>
      <w:r w:rsidR="00137269" w:rsidRPr="005F0ABE">
        <w:rPr>
          <w:lang w:val="es-419"/>
        </w:rPr>
        <w:t>tras recibir una respuesta positiva a las</w:t>
      </w:r>
      <w:r w:rsidRPr="005F0ABE">
        <w:rPr>
          <w:lang w:val="es-419"/>
        </w:rPr>
        <w:t xml:space="preserve"> </w:t>
      </w:r>
      <w:r w:rsidR="003B3B68" w:rsidRPr="005F0ABE">
        <w:rPr>
          <w:lang w:val="es-419"/>
        </w:rPr>
        <w:t>invitaciones</w:t>
      </w:r>
      <w:r w:rsidRPr="005F0ABE">
        <w:rPr>
          <w:lang w:val="es-419"/>
        </w:rPr>
        <w:t xml:space="preserve"> </w:t>
      </w:r>
      <w:r w:rsidR="003E7C44" w:rsidRPr="005F0ABE">
        <w:rPr>
          <w:lang w:val="es-419"/>
        </w:rPr>
        <w:t xml:space="preserve">a participar en el proyecto piloto </w:t>
      </w:r>
      <w:r w:rsidR="00137269" w:rsidRPr="005F0ABE">
        <w:rPr>
          <w:lang w:val="es-419"/>
        </w:rPr>
        <w:t xml:space="preserve">enviadas a las </w:t>
      </w:r>
      <w:r w:rsidR="00383CC9" w:rsidRPr="005F0ABE">
        <w:rPr>
          <w:lang w:val="es-419"/>
        </w:rPr>
        <w:t>Oficinas</w:t>
      </w:r>
      <w:r w:rsidR="003E7C44" w:rsidRPr="005F0ABE">
        <w:rPr>
          <w:lang w:val="es-419"/>
        </w:rPr>
        <w:t xml:space="preserve"> receptoras y las Administraciones encargadas de la búsqueda internacional (ISA</w:t>
      </w:r>
      <w:r w:rsidRPr="005F0ABE">
        <w:rPr>
          <w:lang w:val="es-419"/>
        </w:rPr>
        <w:t xml:space="preserve">). </w:t>
      </w:r>
      <w:r w:rsidR="003E7C44" w:rsidRPr="005F0ABE">
        <w:rPr>
          <w:lang w:val="es-419"/>
        </w:rPr>
        <w:t xml:space="preserve">La </w:t>
      </w:r>
      <w:r w:rsidR="0002239A" w:rsidRPr="005F0ABE">
        <w:rPr>
          <w:lang w:val="es-419"/>
        </w:rPr>
        <w:t>Oficina Europea de Patentes</w:t>
      </w:r>
      <w:r w:rsidRPr="005F0ABE">
        <w:rPr>
          <w:lang w:val="es-419"/>
        </w:rPr>
        <w:t xml:space="preserve"> (</w:t>
      </w:r>
      <w:r w:rsidR="0002239A" w:rsidRPr="005F0ABE">
        <w:rPr>
          <w:lang w:val="es-419"/>
        </w:rPr>
        <w:t>OEP</w:t>
      </w:r>
      <w:r w:rsidRPr="005F0ABE">
        <w:rPr>
          <w:lang w:val="es-419"/>
        </w:rPr>
        <w:t xml:space="preserve">), </w:t>
      </w:r>
      <w:r w:rsidR="003E7C44" w:rsidRPr="005F0ABE">
        <w:rPr>
          <w:lang w:val="es-419"/>
        </w:rPr>
        <w:t xml:space="preserve">la </w:t>
      </w:r>
      <w:r w:rsidR="0002239A" w:rsidRPr="005F0ABE">
        <w:rPr>
          <w:lang w:val="es-419"/>
        </w:rPr>
        <w:t>Oficina Japonesa de Patentes</w:t>
      </w:r>
      <w:r w:rsidRPr="005F0ABE">
        <w:rPr>
          <w:lang w:val="es-419"/>
        </w:rPr>
        <w:t xml:space="preserve"> (</w:t>
      </w:r>
      <w:r w:rsidR="003B3B68">
        <w:rPr>
          <w:lang w:val="es-419"/>
        </w:rPr>
        <w:t>JPO</w:t>
      </w:r>
      <w:r w:rsidRPr="005F0ABE">
        <w:rPr>
          <w:lang w:val="es-419"/>
        </w:rPr>
        <w:t xml:space="preserve">) </w:t>
      </w:r>
      <w:r w:rsidR="003E7C44" w:rsidRPr="005F0ABE">
        <w:rPr>
          <w:lang w:val="es-419"/>
        </w:rPr>
        <w:t>y la Oficina Austríaca de Patentes</w:t>
      </w:r>
      <w:r w:rsidRPr="005F0ABE">
        <w:rPr>
          <w:lang w:val="es-419"/>
        </w:rPr>
        <w:t xml:space="preserve"> (ATPO) </w:t>
      </w:r>
      <w:r w:rsidR="003E7C44" w:rsidRPr="005F0ABE">
        <w:rPr>
          <w:lang w:val="es-419"/>
        </w:rPr>
        <w:t>dieron una respuesta positiva a la</w:t>
      </w:r>
      <w:r w:rsidRPr="005F0ABE">
        <w:rPr>
          <w:lang w:val="es-419"/>
        </w:rPr>
        <w:t xml:space="preserve"> </w:t>
      </w:r>
      <w:r w:rsidR="003B3B68" w:rsidRPr="005F0ABE">
        <w:rPr>
          <w:lang w:val="es-419"/>
        </w:rPr>
        <w:t>invitación</w:t>
      </w:r>
      <w:r w:rsidRPr="005F0ABE">
        <w:rPr>
          <w:lang w:val="es-419"/>
        </w:rPr>
        <w:t>.</w:t>
      </w:r>
    </w:p>
    <w:p w:rsidR="00737BD5" w:rsidRPr="005F0ABE" w:rsidRDefault="00737BD5" w:rsidP="0002239A">
      <w:pPr>
        <w:spacing w:after="220"/>
        <w:rPr>
          <w:lang w:val="es-419"/>
        </w:rPr>
      </w:pPr>
      <w:r w:rsidRPr="005F0ABE">
        <w:rPr>
          <w:lang w:val="es-419"/>
        </w:rPr>
        <w:t>3.</w:t>
      </w:r>
      <w:r w:rsidRPr="005F0ABE">
        <w:rPr>
          <w:lang w:val="es-419"/>
        </w:rPr>
        <w:tab/>
      </w:r>
      <w:r w:rsidR="00FE0DD0" w:rsidRPr="005F0ABE">
        <w:rPr>
          <w:lang w:val="es-419"/>
        </w:rPr>
        <w:t xml:space="preserve">En el cuadro que figura a continuación se indica la situación de las Oficinas receptoras/ISA </w:t>
      </w:r>
      <w:r w:rsidR="005F0ABE" w:rsidRPr="005F0ABE">
        <w:rPr>
          <w:lang w:val="es-419"/>
        </w:rPr>
        <w:t>invitadas</w:t>
      </w:r>
      <w:r w:rsidR="00FE0DD0" w:rsidRPr="005F0ABE">
        <w:rPr>
          <w:lang w:val="es-419"/>
        </w:rPr>
        <w:t xml:space="preserve"> a participar en el proyecto piloto de compensación por saldos netos del</w:t>
      </w:r>
      <w:r w:rsidRPr="005F0ABE">
        <w:rPr>
          <w:lang w:val="es-419"/>
        </w:rPr>
        <w:t xml:space="preserve"> </w:t>
      </w:r>
      <w:r w:rsidR="0002239A" w:rsidRPr="005F0ABE">
        <w:rPr>
          <w:lang w:val="es-419"/>
        </w:rPr>
        <w:t>PCT</w:t>
      </w:r>
      <w:r w:rsidR="00FE0DD0" w:rsidRPr="005F0ABE">
        <w:rPr>
          <w:lang w:val="es-419"/>
        </w:rPr>
        <w:t>, al mes de febrero de 2019</w:t>
      </w:r>
      <w:r w:rsidRPr="005F0ABE">
        <w:rPr>
          <w:lang w:val="es-419"/>
        </w:rPr>
        <w:t>.</w:t>
      </w:r>
    </w:p>
    <w:tbl>
      <w:tblPr>
        <w:tblStyle w:val="TableGrid"/>
        <w:tblW w:w="0" w:type="auto"/>
        <w:tblLook w:val="04A0" w:firstRow="1" w:lastRow="0" w:firstColumn="1" w:lastColumn="0" w:noHBand="0" w:noVBand="1"/>
      </w:tblPr>
      <w:tblGrid>
        <w:gridCol w:w="1586"/>
        <w:gridCol w:w="1519"/>
        <w:gridCol w:w="1622"/>
        <w:gridCol w:w="1516"/>
        <w:gridCol w:w="1516"/>
        <w:gridCol w:w="1586"/>
      </w:tblGrid>
      <w:tr w:rsidR="003B3B68" w:rsidRPr="005F0ABE" w:rsidTr="0002239A">
        <w:tc>
          <w:tcPr>
            <w:tcW w:w="1557" w:type="dxa"/>
          </w:tcPr>
          <w:p w:rsidR="00737BD5" w:rsidRPr="005F0ABE" w:rsidRDefault="00383CC9" w:rsidP="005531B4">
            <w:pPr>
              <w:jc w:val="center"/>
              <w:rPr>
                <w:b/>
                <w:lang w:val="es-419"/>
              </w:rPr>
            </w:pPr>
            <w:r w:rsidRPr="005F0ABE">
              <w:rPr>
                <w:b/>
                <w:lang w:val="es-419"/>
              </w:rPr>
              <w:t>Oficinas</w:t>
            </w:r>
            <w:r w:rsidR="00737BD5" w:rsidRPr="005F0ABE">
              <w:rPr>
                <w:b/>
                <w:lang w:val="es-419"/>
              </w:rPr>
              <w:t xml:space="preserve"> </w:t>
            </w:r>
            <w:r w:rsidR="005531B4" w:rsidRPr="005F0ABE">
              <w:rPr>
                <w:b/>
                <w:lang w:val="es-419"/>
              </w:rPr>
              <w:t>receptoras</w:t>
            </w:r>
            <w:r w:rsidR="00737BD5" w:rsidRPr="005F0ABE">
              <w:rPr>
                <w:b/>
                <w:lang w:val="es-419"/>
              </w:rPr>
              <w:t xml:space="preserve"> </w:t>
            </w:r>
            <w:r w:rsidR="005531B4" w:rsidRPr="005F0ABE">
              <w:rPr>
                <w:b/>
                <w:lang w:val="es-419"/>
              </w:rPr>
              <w:t>participantes en el proyecto piloto</w:t>
            </w:r>
          </w:p>
        </w:tc>
        <w:tc>
          <w:tcPr>
            <w:tcW w:w="1557" w:type="dxa"/>
          </w:tcPr>
          <w:p w:rsidR="00737BD5" w:rsidRPr="005F0ABE" w:rsidRDefault="005531B4" w:rsidP="0002239A">
            <w:pPr>
              <w:jc w:val="center"/>
              <w:rPr>
                <w:b/>
                <w:lang w:val="es-419"/>
              </w:rPr>
            </w:pPr>
            <w:r w:rsidRPr="005F0ABE">
              <w:rPr>
                <w:b/>
                <w:lang w:val="es-419"/>
              </w:rPr>
              <w:t>No aceptaron la invitación</w:t>
            </w:r>
          </w:p>
        </w:tc>
        <w:tc>
          <w:tcPr>
            <w:tcW w:w="1557" w:type="dxa"/>
          </w:tcPr>
          <w:p w:rsidR="00737BD5" w:rsidRPr="005F0ABE" w:rsidRDefault="00737BD5" w:rsidP="005531B4">
            <w:pPr>
              <w:jc w:val="center"/>
              <w:rPr>
                <w:b/>
                <w:lang w:val="es-419"/>
              </w:rPr>
            </w:pPr>
            <w:r w:rsidRPr="005F0ABE">
              <w:rPr>
                <w:b/>
                <w:lang w:val="es-419"/>
              </w:rPr>
              <w:t xml:space="preserve">No </w:t>
            </w:r>
            <w:r w:rsidR="005531B4" w:rsidRPr="005F0ABE">
              <w:rPr>
                <w:b/>
                <w:lang w:val="es-419"/>
              </w:rPr>
              <w:t>respondieron a la</w:t>
            </w:r>
            <w:r w:rsidRPr="005F0ABE">
              <w:rPr>
                <w:b/>
                <w:lang w:val="es-419"/>
              </w:rPr>
              <w:t xml:space="preserve"> </w:t>
            </w:r>
            <w:r w:rsidR="003B3B68" w:rsidRPr="005F0ABE">
              <w:rPr>
                <w:b/>
                <w:lang w:val="es-419"/>
              </w:rPr>
              <w:t>invitación</w:t>
            </w:r>
          </w:p>
        </w:tc>
        <w:tc>
          <w:tcPr>
            <w:tcW w:w="1558" w:type="dxa"/>
          </w:tcPr>
          <w:p w:rsidR="00737BD5" w:rsidRPr="005F0ABE" w:rsidRDefault="00737BD5" w:rsidP="005531B4">
            <w:pPr>
              <w:jc w:val="center"/>
              <w:rPr>
                <w:b/>
                <w:lang w:val="es-419"/>
              </w:rPr>
            </w:pPr>
            <w:r w:rsidRPr="005F0ABE">
              <w:rPr>
                <w:b/>
                <w:lang w:val="es-419"/>
              </w:rPr>
              <w:t>Inactiv</w:t>
            </w:r>
            <w:r w:rsidR="005531B4" w:rsidRPr="005F0ABE">
              <w:rPr>
                <w:b/>
                <w:lang w:val="es-419"/>
              </w:rPr>
              <w:t>as</w:t>
            </w:r>
            <w:r w:rsidRPr="005F0ABE">
              <w:rPr>
                <w:b/>
                <w:vertAlign w:val="superscript"/>
                <w:lang w:val="es-419"/>
              </w:rPr>
              <w:footnoteReference w:id="2"/>
            </w:r>
          </w:p>
        </w:tc>
        <w:tc>
          <w:tcPr>
            <w:tcW w:w="1558" w:type="dxa"/>
          </w:tcPr>
          <w:p w:rsidR="00737BD5" w:rsidRPr="005F0ABE" w:rsidRDefault="003B3B68" w:rsidP="005531B4">
            <w:pPr>
              <w:jc w:val="center"/>
              <w:rPr>
                <w:b/>
                <w:lang w:val="es-419"/>
              </w:rPr>
            </w:pPr>
            <w:r w:rsidRPr="005F0ABE">
              <w:rPr>
                <w:b/>
                <w:lang w:val="es-419"/>
              </w:rPr>
              <w:t>Invitación</w:t>
            </w:r>
            <w:r w:rsidR="005531B4" w:rsidRPr="005F0ABE">
              <w:rPr>
                <w:b/>
                <w:lang w:val="es-419"/>
              </w:rPr>
              <w:t xml:space="preserve"> e</w:t>
            </w:r>
            <w:r w:rsidR="00737BD5" w:rsidRPr="005F0ABE">
              <w:rPr>
                <w:b/>
                <w:lang w:val="es-419"/>
              </w:rPr>
              <w:t xml:space="preserve">n </w:t>
            </w:r>
            <w:r w:rsidR="005531B4" w:rsidRPr="005F0ABE">
              <w:rPr>
                <w:b/>
                <w:lang w:val="es-419"/>
              </w:rPr>
              <w:t>curso</w:t>
            </w:r>
          </w:p>
        </w:tc>
        <w:tc>
          <w:tcPr>
            <w:tcW w:w="1558" w:type="dxa"/>
          </w:tcPr>
          <w:p w:rsidR="00737BD5" w:rsidRPr="005F0ABE" w:rsidRDefault="00737BD5" w:rsidP="005531B4">
            <w:pPr>
              <w:jc w:val="center"/>
              <w:rPr>
                <w:b/>
                <w:lang w:val="es-419"/>
              </w:rPr>
            </w:pPr>
            <w:r w:rsidRPr="005F0ABE">
              <w:rPr>
                <w:b/>
                <w:lang w:val="es-419"/>
              </w:rPr>
              <w:t xml:space="preserve">Total </w:t>
            </w:r>
            <w:r w:rsidR="005531B4" w:rsidRPr="005F0ABE">
              <w:rPr>
                <w:b/>
                <w:lang w:val="es-419"/>
              </w:rPr>
              <w:t>de Oficinas receptoras que especifican ISAS</w:t>
            </w:r>
            <w:r w:rsidRPr="005F0ABE">
              <w:rPr>
                <w:b/>
                <w:lang w:val="es-419"/>
              </w:rPr>
              <w:t xml:space="preserve"> participa</w:t>
            </w:r>
            <w:r w:rsidR="005531B4" w:rsidRPr="005F0ABE">
              <w:rPr>
                <w:b/>
                <w:lang w:val="es-419"/>
              </w:rPr>
              <w:t>ntes</w:t>
            </w:r>
          </w:p>
        </w:tc>
      </w:tr>
      <w:tr w:rsidR="003B3B68" w:rsidRPr="005F0ABE" w:rsidTr="0002239A">
        <w:tc>
          <w:tcPr>
            <w:tcW w:w="1557" w:type="dxa"/>
          </w:tcPr>
          <w:p w:rsidR="00737BD5" w:rsidRPr="005F0ABE" w:rsidRDefault="00737BD5" w:rsidP="00737BD5">
            <w:pPr>
              <w:jc w:val="center"/>
              <w:rPr>
                <w:b/>
                <w:lang w:val="es-419"/>
              </w:rPr>
            </w:pPr>
            <w:r w:rsidRPr="005F0ABE">
              <w:rPr>
                <w:b/>
                <w:lang w:val="es-419"/>
              </w:rPr>
              <w:t>43</w:t>
            </w:r>
          </w:p>
        </w:tc>
        <w:tc>
          <w:tcPr>
            <w:tcW w:w="1557" w:type="dxa"/>
          </w:tcPr>
          <w:p w:rsidR="00737BD5" w:rsidRPr="005F0ABE" w:rsidRDefault="00737BD5" w:rsidP="00737BD5">
            <w:pPr>
              <w:jc w:val="center"/>
              <w:rPr>
                <w:b/>
                <w:lang w:val="es-419"/>
              </w:rPr>
            </w:pPr>
            <w:r w:rsidRPr="005F0ABE">
              <w:rPr>
                <w:b/>
                <w:lang w:val="es-419"/>
              </w:rPr>
              <w:t>14</w:t>
            </w:r>
          </w:p>
        </w:tc>
        <w:tc>
          <w:tcPr>
            <w:tcW w:w="1557" w:type="dxa"/>
          </w:tcPr>
          <w:p w:rsidR="00737BD5" w:rsidRPr="005F0ABE" w:rsidRDefault="00737BD5" w:rsidP="00737BD5">
            <w:pPr>
              <w:jc w:val="center"/>
              <w:rPr>
                <w:b/>
                <w:lang w:val="es-419"/>
              </w:rPr>
            </w:pPr>
            <w:r w:rsidRPr="005F0ABE">
              <w:rPr>
                <w:b/>
                <w:lang w:val="es-419"/>
              </w:rPr>
              <w:t>26</w:t>
            </w:r>
          </w:p>
        </w:tc>
        <w:tc>
          <w:tcPr>
            <w:tcW w:w="1558" w:type="dxa"/>
          </w:tcPr>
          <w:p w:rsidR="00737BD5" w:rsidRPr="005F0ABE" w:rsidRDefault="00737BD5" w:rsidP="00737BD5">
            <w:pPr>
              <w:jc w:val="center"/>
              <w:rPr>
                <w:b/>
                <w:lang w:val="es-419"/>
              </w:rPr>
            </w:pPr>
            <w:r w:rsidRPr="005F0ABE">
              <w:rPr>
                <w:b/>
                <w:lang w:val="es-419"/>
              </w:rPr>
              <w:t>43</w:t>
            </w:r>
          </w:p>
        </w:tc>
        <w:tc>
          <w:tcPr>
            <w:tcW w:w="1558" w:type="dxa"/>
          </w:tcPr>
          <w:p w:rsidR="00737BD5" w:rsidRPr="005F0ABE" w:rsidRDefault="00737BD5" w:rsidP="00737BD5">
            <w:pPr>
              <w:jc w:val="center"/>
              <w:rPr>
                <w:b/>
                <w:lang w:val="es-419"/>
              </w:rPr>
            </w:pPr>
            <w:r w:rsidRPr="005F0ABE">
              <w:rPr>
                <w:b/>
                <w:lang w:val="es-419"/>
              </w:rPr>
              <w:t>22</w:t>
            </w:r>
          </w:p>
        </w:tc>
        <w:tc>
          <w:tcPr>
            <w:tcW w:w="1558" w:type="dxa"/>
          </w:tcPr>
          <w:p w:rsidR="00737BD5" w:rsidRPr="005F0ABE" w:rsidRDefault="00737BD5" w:rsidP="00737BD5">
            <w:pPr>
              <w:jc w:val="center"/>
              <w:rPr>
                <w:b/>
                <w:lang w:val="es-419"/>
              </w:rPr>
            </w:pPr>
            <w:r w:rsidRPr="005F0ABE">
              <w:rPr>
                <w:b/>
                <w:lang w:val="es-419"/>
              </w:rPr>
              <w:t>148</w:t>
            </w:r>
          </w:p>
        </w:tc>
      </w:tr>
    </w:tbl>
    <w:p w:rsidR="0002239A" w:rsidRPr="005F0ABE" w:rsidRDefault="005531B4" w:rsidP="003C3EEB">
      <w:pPr>
        <w:rPr>
          <w:lang w:val="es-419"/>
        </w:rPr>
      </w:pPr>
      <w:r w:rsidRPr="005F0ABE">
        <w:rPr>
          <w:lang w:val="es-419"/>
        </w:rPr>
        <w:t>Fuente</w:t>
      </w:r>
      <w:r w:rsidR="00737BD5" w:rsidRPr="005F0ABE">
        <w:rPr>
          <w:lang w:val="es-419"/>
        </w:rPr>
        <w:t xml:space="preserve">: </w:t>
      </w:r>
      <w:r w:rsidR="003C3EEB" w:rsidRPr="005F0ABE">
        <w:rPr>
          <w:lang w:val="es-419"/>
        </w:rPr>
        <w:t>División de Finanzas</w:t>
      </w:r>
    </w:p>
    <w:p w:rsidR="0002239A" w:rsidRPr="005F0ABE" w:rsidRDefault="0002239A" w:rsidP="00737BD5">
      <w:pPr>
        <w:rPr>
          <w:lang w:val="es-419"/>
        </w:rPr>
      </w:pPr>
    </w:p>
    <w:p w:rsidR="00737BD5" w:rsidRPr="005F0ABE" w:rsidRDefault="00737BD5" w:rsidP="003C3EEB">
      <w:pPr>
        <w:spacing w:after="220"/>
        <w:rPr>
          <w:lang w:val="es-419"/>
        </w:rPr>
      </w:pPr>
      <w:r w:rsidRPr="005F0ABE">
        <w:rPr>
          <w:lang w:val="es-419"/>
        </w:rPr>
        <w:t>4.</w:t>
      </w:r>
      <w:r w:rsidRPr="005F0ABE">
        <w:rPr>
          <w:lang w:val="es-419"/>
        </w:rPr>
        <w:tab/>
      </w:r>
      <w:r w:rsidR="005F298B" w:rsidRPr="005F0ABE">
        <w:rPr>
          <w:lang w:val="es-419"/>
        </w:rPr>
        <w:t>En</w:t>
      </w:r>
      <w:r w:rsidR="00CB0480" w:rsidRPr="005F0ABE">
        <w:rPr>
          <w:lang w:val="es-419"/>
        </w:rPr>
        <w:t xml:space="preserve"> el cuadro que figura a continuación se indica el total de los importes comprendidos en el proceso d</w:t>
      </w:r>
      <w:r w:rsidRPr="005F0ABE">
        <w:rPr>
          <w:lang w:val="es-419"/>
        </w:rPr>
        <w:t xml:space="preserve">e </w:t>
      </w:r>
      <w:r w:rsidR="003C3EEB" w:rsidRPr="005F0ABE">
        <w:rPr>
          <w:lang w:val="es-419"/>
        </w:rPr>
        <w:t>compensación por saldos netos</w:t>
      </w:r>
      <w:r w:rsidRPr="005F0ABE">
        <w:rPr>
          <w:lang w:val="es-419"/>
        </w:rPr>
        <w:t xml:space="preserve"> </w:t>
      </w:r>
      <w:r w:rsidR="00CB0480" w:rsidRPr="005F0ABE">
        <w:rPr>
          <w:lang w:val="es-419"/>
        </w:rPr>
        <w:t xml:space="preserve">entre febrero de </w:t>
      </w:r>
      <w:r w:rsidRPr="005F0ABE">
        <w:rPr>
          <w:lang w:val="es-419"/>
        </w:rPr>
        <w:t xml:space="preserve">2018 </w:t>
      </w:r>
      <w:r w:rsidR="00CB0480" w:rsidRPr="005F0ABE">
        <w:rPr>
          <w:lang w:val="es-419"/>
        </w:rPr>
        <w:t>y enero de </w:t>
      </w:r>
      <w:r w:rsidRPr="005F0ABE">
        <w:rPr>
          <w:lang w:val="es-419"/>
        </w:rPr>
        <w:t xml:space="preserve">2019, </w:t>
      </w:r>
      <w:r w:rsidR="00CB0480" w:rsidRPr="005F0ABE">
        <w:rPr>
          <w:lang w:val="es-419"/>
        </w:rPr>
        <w:t>para cada una de las ISA y en las monedas respectivas</w:t>
      </w:r>
      <w:r w:rsidRPr="005F0ABE">
        <w:rPr>
          <w:lang w:val="es-419"/>
        </w:rPr>
        <w:t>.</w:t>
      </w:r>
    </w:p>
    <w:tbl>
      <w:tblPr>
        <w:tblStyle w:val="TableGrid"/>
        <w:tblW w:w="0" w:type="auto"/>
        <w:tblLook w:val="04A0" w:firstRow="1" w:lastRow="0" w:firstColumn="1" w:lastColumn="0" w:noHBand="0" w:noVBand="1"/>
      </w:tblPr>
      <w:tblGrid>
        <w:gridCol w:w="2336"/>
        <w:gridCol w:w="2336"/>
        <w:gridCol w:w="2336"/>
        <w:gridCol w:w="2337"/>
      </w:tblGrid>
      <w:tr w:rsidR="00737BD5" w:rsidRPr="005F0ABE" w:rsidTr="0002239A">
        <w:tc>
          <w:tcPr>
            <w:tcW w:w="2336" w:type="dxa"/>
          </w:tcPr>
          <w:p w:rsidR="00737BD5" w:rsidRPr="005F0ABE" w:rsidRDefault="003C3EEB" w:rsidP="003C3EEB">
            <w:pPr>
              <w:jc w:val="center"/>
              <w:rPr>
                <w:b/>
                <w:lang w:val="es-419"/>
              </w:rPr>
            </w:pPr>
            <w:r w:rsidRPr="005F0ABE">
              <w:rPr>
                <w:b/>
                <w:lang w:val="es-419"/>
              </w:rPr>
              <w:t>Administraciones encargadas de la búsqueda internacional</w:t>
            </w:r>
            <w:r w:rsidR="00CB0480" w:rsidRPr="005F0ABE">
              <w:rPr>
                <w:b/>
                <w:lang w:val="es-419"/>
              </w:rPr>
              <w:t xml:space="preserve"> (ISA)</w:t>
            </w:r>
          </w:p>
        </w:tc>
        <w:tc>
          <w:tcPr>
            <w:tcW w:w="2336" w:type="dxa"/>
          </w:tcPr>
          <w:p w:rsidR="00737BD5" w:rsidRPr="005F0ABE" w:rsidRDefault="00CB0480" w:rsidP="00CB0480">
            <w:pPr>
              <w:jc w:val="center"/>
              <w:rPr>
                <w:b/>
                <w:lang w:val="es-419"/>
              </w:rPr>
            </w:pPr>
            <w:r w:rsidRPr="005F0ABE">
              <w:rPr>
                <w:b/>
                <w:lang w:val="es-419"/>
              </w:rPr>
              <w:t>Importes pagaderos por las ISA a la</w:t>
            </w:r>
            <w:r w:rsidR="00737BD5" w:rsidRPr="005F0ABE">
              <w:rPr>
                <w:b/>
                <w:lang w:val="es-419"/>
              </w:rPr>
              <w:t xml:space="preserve"> </w:t>
            </w:r>
            <w:r w:rsidR="003C3EEB" w:rsidRPr="005F0ABE">
              <w:rPr>
                <w:b/>
                <w:lang w:val="es-419"/>
              </w:rPr>
              <w:t>Oficina Internacional</w:t>
            </w:r>
          </w:p>
        </w:tc>
        <w:tc>
          <w:tcPr>
            <w:tcW w:w="2336" w:type="dxa"/>
          </w:tcPr>
          <w:p w:rsidR="00737BD5" w:rsidRPr="005F0ABE" w:rsidRDefault="00CB0480" w:rsidP="00CB0480">
            <w:pPr>
              <w:jc w:val="center"/>
              <w:rPr>
                <w:b/>
                <w:lang w:val="es-419"/>
              </w:rPr>
            </w:pPr>
            <w:r w:rsidRPr="005F0ABE">
              <w:rPr>
                <w:b/>
                <w:lang w:val="es-419"/>
              </w:rPr>
              <w:t>Importes pagaderos por la</w:t>
            </w:r>
            <w:r w:rsidR="00737BD5" w:rsidRPr="005F0ABE">
              <w:rPr>
                <w:b/>
                <w:lang w:val="es-419"/>
              </w:rPr>
              <w:t xml:space="preserve"> </w:t>
            </w:r>
            <w:r w:rsidR="003C3EEB" w:rsidRPr="005F0ABE">
              <w:rPr>
                <w:b/>
                <w:lang w:val="es-419"/>
              </w:rPr>
              <w:t>Oficina Internacional</w:t>
            </w:r>
            <w:r w:rsidR="00737BD5" w:rsidRPr="005F0ABE">
              <w:rPr>
                <w:b/>
                <w:lang w:val="es-419"/>
              </w:rPr>
              <w:t xml:space="preserve"> </w:t>
            </w:r>
            <w:r w:rsidRPr="005F0ABE">
              <w:rPr>
                <w:b/>
                <w:lang w:val="es-419"/>
              </w:rPr>
              <w:t>a la ISA</w:t>
            </w:r>
          </w:p>
        </w:tc>
        <w:tc>
          <w:tcPr>
            <w:tcW w:w="2337" w:type="dxa"/>
          </w:tcPr>
          <w:p w:rsidR="00737BD5" w:rsidRPr="005F0ABE" w:rsidRDefault="003C3EEB" w:rsidP="003C3EEB">
            <w:pPr>
              <w:jc w:val="center"/>
              <w:rPr>
                <w:b/>
                <w:lang w:val="es-419"/>
              </w:rPr>
            </w:pPr>
            <w:r w:rsidRPr="005F0ABE">
              <w:rPr>
                <w:b/>
                <w:lang w:val="es-419"/>
              </w:rPr>
              <w:t>Posición neta</w:t>
            </w:r>
          </w:p>
        </w:tc>
      </w:tr>
      <w:tr w:rsidR="00737BD5" w:rsidRPr="005F0ABE" w:rsidTr="0002239A">
        <w:tc>
          <w:tcPr>
            <w:tcW w:w="2336" w:type="dxa"/>
          </w:tcPr>
          <w:p w:rsidR="00737BD5" w:rsidRPr="005F0ABE" w:rsidRDefault="003C3EEB" w:rsidP="005F298B">
            <w:pPr>
              <w:rPr>
                <w:b/>
                <w:lang w:val="es-419"/>
              </w:rPr>
            </w:pPr>
            <w:r w:rsidRPr="005F0ABE">
              <w:rPr>
                <w:b/>
                <w:lang w:val="es-419"/>
              </w:rPr>
              <w:t>O</w:t>
            </w:r>
            <w:r w:rsidR="00CB0480" w:rsidRPr="005F0ABE">
              <w:rPr>
                <w:b/>
                <w:lang w:val="es-419"/>
              </w:rPr>
              <w:t>EP</w:t>
            </w:r>
            <w:r w:rsidR="00737BD5" w:rsidRPr="005F0ABE">
              <w:rPr>
                <w:b/>
                <w:lang w:val="es-419"/>
              </w:rPr>
              <w:t xml:space="preserve"> (</w:t>
            </w:r>
            <w:r w:rsidR="005F298B" w:rsidRPr="005F0ABE">
              <w:rPr>
                <w:b/>
                <w:lang w:val="es-419"/>
              </w:rPr>
              <w:t>EUR</w:t>
            </w:r>
            <w:r w:rsidR="00737BD5" w:rsidRPr="005F0ABE">
              <w:rPr>
                <w:b/>
                <w:lang w:val="es-419"/>
              </w:rPr>
              <w:t>)</w:t>
            </w:r>
          </w:p>
        </w:tc>
        <w:tc>
          <w:tcPr>
            <w:tcW w:w="2336" w:type="dxa"/>
          </w:tcPr>
          <w:p w:rsidR="00737BD5" w:rsidRPr="005F0ABE" w:rsidRDefault="00737BD5" w:rsidP="00737BD5">
            <w:pPr>
              <w:jc w:val="right"/>
              <w:rPr>
                <w:lang w:val="es-419"/>
              </w:rPr>
            </w:pPr>
            <w:r w:rsidRPr="005F0ABE">
              <w:rPr>
                <w:lang w:val="es-419"/>
              </w:rPr>
              <w:t>44</w:t>
            </w:r>
            <w:r w:rsidR="00CB0480" w:rsidRPr="005F0ABE">
              <w:rPr>
                <w:lang w:val="es-419"/>
              </w:rPr>
              <w:t>.</w:t>
            </w:r>
            <w:r w:rsidRPr="005F0ABE">
              <w:rPr>
                <w:lang w:val="es-419"/>
              </w:rPr>
              <w:t>848</w:t>
            </w:r>
            <w:r w:rsidR="00CB0480" w:rsidRPr="005F0ABE">
              <w:rPr>
                <w:lang w:val="es-419"/>
              </w:rPr>
              <w:t>.</w:t>
            </w:r>
            <w:r w:rsidRPr="005F0ABE">
              <w:rPr>
                <w:lang w:val="es-419"/>
              </w:rPr>
              <w:t>447</w:t>
            </w:r>
          </w:p>
        </w:tc>
        <w:tc>
          <w:tcPr>
            <w:tcW w:w="2336" w:type="dxa"/>
          </w:tcPr>
          <w:p w:rsidR="00737BD5" w:rsidRPr="005F0ABE" w:rsidRDefault="00737BD5" w:rsidP="00737BD5">
            <w:pPr>
              <w:jc w:val="right"/>
              <w:rPr>
                <w:lang w:val="es-419"/>
              </w:rPr>
            </w:pPr>
            <w:r w:rsidRPr="005F0ABE">
              <w:rPr>
                <w:lang w:val="es-419"/>
              </w:rPr>
              <w:t>-62</w:t>
            </w:r>
            <w:r w:rsidR="00CB0480" w:rsidRPr="005F0ABE">
              <w:rPr>
                <w:lang w:val="es-419"/>
              </w:rPr>
              <w:t>.</w:t>
            </w:r>
            <w:r w:rsidRPr="005F0ABE">
              <w:rPr>
                <w:lang w:val="es-419"/>
              </w:rPr>
              <w:t>142</w:t>
            </w:r>
            <w:r w:rsidR="00CB0480" w:rsidRPr="005F0ABE">
              <w:rPr>
                <w:lang w:val="es-419"/>
              </w:rPr>
              <w:t>.</w:t>
            </w:r>
            <w:r w:rsidRPr="005F0ABE">
              <w:rPr>
                <w:lang w:val="es-419"/>
              </w:rPr>
              <w:t>042</w:t>
            </w:r>
          </w:p>
        </w:tc>
        <w:tc>
          <w:tcPr>
            <w:tcW w:w="2337" w:type="dxa"/>
          </w:tcPr>
          <w:p w:rsidR="00737BD5" w:rsidRPr="005F0ABE" w:rsidRDefault="00737BD5" w:rsidP="00737BD5">
            <w:pPr>
              <w:jc w:val="right"/>
              <w:rPr>
                <w:lang w:val="es-419"/>
              </w:rPr>
            </w:pPr>
            <w:r w:rsidRPr="005F0ABE">
              <w:rPr>
                <w:lang w:val="es-419"/>
              </w:rPr>
              <w:t>-17</w:t>
            </w:r>
            <w:r w:rsidR="00CB0480" w:rsidRPr="005F0ABE">
              <w:rPr>
                <w:lang w:val="es-419"/>
              </w:rPr>
              <w:t>.</w:t>
            </w:r>
            <w:r w:rsidRPr="005F0ABE">
              <w:rPr>
                <w:lang w:val="es-419"/>
              </w:rPr>
              <w:t>293</w:t>
            </w:r>
            <w:r w:rsidR="00CB0480" w:rsidRPr="005F0ABE">
              <w:rPr>
                <w:lang w:val="es-419"/>
              </w:rPr>
              <w:t>.</w:t>
            </w:r>
            <w:r w:rsidRPr="005F0ABE">
              <w:rPr>
                <w:lang w:val="es-419"/>
              </w:rPr>
              <w:t>595</w:t>
            </w:r>
          </w:p>
        </w:tc>
      </w:tr>
      <w:tr w:rsidR="00737BD5" w:rsidRPr="005F0ABE" w:rsidTr="0002239A">
        <w:tc>
          <w:tcPr>
            <w:tcW w:w="2336" w:type="dxa"/>
          </w:tcPr>
          <w:p w:rsidR="00737BD5" w:rsidRPr="005F0ABE" w:rsidRDefault="00706238" w:rsidP="005F298B">
            <w:pPr>
              <w:rPr>
                <w:b/>
                <w:lang w:val="es-419"/>
              </w:rPr>
            </w:pPr>
            <w:r w:rsidRPr="005F0ABE">
              <w:rPr>
                <w:b/>
                <w:lang w:val="es-419"/>
              </w:rPr>
              <w:t xml:space="preserve">Oficina Austríaca de Patentes </w:t>
            </w:r>
            <w:r w:rsidR="00CB0480" w:rsidRPr="005F0ABE">
              <w:rPr>
                <w:b/>
                <w:lang w:val="es-419"/>
              </w:rPr>
              <w:t>(</w:t>
            </w:r>
            <w:r w:rsidR="005F298B" w:rsidRPr="005F0ABE">
              <w:rPr>
                <w:b/>
                <w:lang w:val="es-419"/>
              </w:rPr>
              <w:t>EUR</w:t>
            </w:r>
            <w:r w:rsidR="003C3EEB" w:rsidRPr="005F0ABE">
              <w:rPr>
                <w:b/>
                <w:lang w:val="es-419"/>
              </w:rPr>
              <w:t>)</w:t>
            </w:r>
          </w:p>
        </w:tc>
        <w:tc>
          <w:tcPr>
            <w:tcW w:w="2336" w:type="dxa"/>
          </w:tcPr>
          <w:p w:rsidR="00737BD5" w:rsidRPr="005F0ABE" w:rsidRDefault="00737BD5" w:rsidP="00737BD5">
            <w:pPr>
              <w:jc w:val="right"/>
              <w:rPr>
                <w:lang w:val="es-419"/>
              </w:rPr>
            </w:pPr>
            <w:r w:rsidRPr="005F0ABE">
              <w:rPr>
                <w:lang w:val="es-419"/>
              </w:rPr>
              <w:t>496</w:t>
            </w:r>
            <w:r w:rsidR="00CB0480" w:rsidRPr="005F0ABE">
              <w:rPr>
                <w:lang w:val="es-419"/>
              </w:rPr>
              <w:t>.</w:t>
            </w:r>
            <w:r w:rsidRPr="005F0ABE">
              <w:rPr>
                <w:lang w:val="es-419"/>
              </w:rPr>
              <w:t>636</w:t>
            </w:r>
          </w:p>
        </w:tc>
        <w:tc>
          <w:tcPr>
            <w:tcW w:w="2336" w:type="dxa"/>
          </w:tcPr>
          <w:p w:rsidR="00737BD5" w:rsidRPr="005F0ABE" w:rsidRDefault="00737BD5" w:rsidP="00737BD5">
            <w:pPr>
              <w:jc w:val="right"/>
              <w:rPr>
                <w:lang w:val="es-419"/>
              </w:rPr>
            </w:pPr>
            <w:r w:rsidRPr="005F0ABE">
              <w:rPr>
                <w:lang w:val="es-419"/>
              </w:rPr>
              <w:t>-48</w:t>
            </w:r>
            <w:r w:rsidR="00CB0480" w:rsidRPr="005F0ABE">
              <w:rPr>
                <w:lang w:val="es-419"/>
              </w:rPr>
              <w:t>.</w:t>
            </w:r>
            <w:r w:rsidRPr="005F0ABE">
              <w:rPr>
                <w:lang w:val="es-419"/>
              </w:rPr>
              <w:t>744</w:t>
            </w:r>
          </w:p>
        </w:tc>
        <w:tc>
          <w:tcPr>
            <w:tcW w:w="2337" w:type="dxa"/>
          </w:tcPr>
          <w:p w:rsidR="00737BD5" w:rsidRPr="005F0ABE" w:rsidRDefault="00737BD5" w:rsidP="00737BD5">
            <w:pPr>
              <w:jc w:val="right"/>
              <w:rPr>
                <w:lang w:val="es-419"/>
              </w:rPr>
            </w:pPr>
            <w:r w:rsidRPr="005F0ABE">
              <w:rPr>
                <w:lang w:val="es-419"/>
              </w:rPr>
              <w:t>447</w:t>
            </w:r>
            <w:r w:rsidR="00CB0480" w:rsidRPr="005F0ABE">
              <w:rPr>
                <w:lang w:val="es-419"/>
              </w:rPr>
              <w:t>.</w:t>
            </w:r>
            <w:r w:rsidRPr="005F0ABE">
              <w:rPr>
                <w:lang w:val="es-419"/>
              </w:rPr>
              <w:t>892</w:t>
            </w:r>
          </w:p>
        </w:tc>
      </w:tr>
      <w:tr w:rsidR="00737BD5" w:rsidRPr="005F0ABE" w:rsidTr="0002239A">
        <w:tc>
          <w:tcPr>
            <w:tcW w:w="2336" w:type="dxa"/>
          </w:tcPr>
          <w:p w:rsidR="00737BD5" w:rsidRPr="005F0ABE" w:rsidRDefault="00CB0480" w:rsidP="003C3EEB">
            <w:pPr>
              <w:rPr>
                <w:b/>
                <w:lang w:val="es-419"/>
              </w:rPr>
            </w:pPr>
            <w:r w:rsidRPr="005F0ABE">
              <w:rPr>
                <w:b/>
                <w:lang w:val="es-419"/>
              </w:rPr>
              <w:t xml:space="preserve">JPO </w:t>
            </w:r>
            <w:r w:rsidR="00737BD5" w:rsidRPr="005F0ABE">
              <w:rPr>
                <w:b/>
                <w:lang w:val="es-419"/>
              </w:rPr>
              <w:t>(JPY)</w:t>
            </w:r>
          </w:p>
        </w:tc>
        <w:tc>
          <w:tcPr>
            <w:tcW w:w="2336" w:type="dxa"/>
          </w:tcPr>
          <w:p w:rsidR="00737BD5" w:rsidRPr="005F0ABE" w:rsidRDefault="00737BD5" w:rsidP="00737BD5">
            <w:pPr>
              <w:jc w:val="right"/>
              <w:rPr>
                <w:lang w:val="es-419"/>
              </w:rPr>
            </w:pPr>
            <w:r w:rsidRPr="005F0ABE">
              <w:rPr>
                <w:lang w:val="es-419"/>
              </w:rPr>
              <w:t>5</w:t>
            </w:r>
            <w:r w:rsidR="00CB0480" w:rsidRPr="005F0ABE">
              <w:rPr>
                <w:lang w:val="es-419"/>
              </w:rPr>
              <w:t>.</w:t>
            </w:r>
            <w:r w:rsidRPr="005F0ABE">
              <w:rPr>
                <w:lang w:val="es-419"/>
              </w:rPr>
              <w:t>355</w:t>
            </w:r>
            <w:r w:rsidR="00CB0480" w:rsidRPr="005F0ABE">
              <w:rPr>
                <w:lang w:val="es-419"/>
              </w:rPr>
              <w:t>.</w:t>
            </w:r>
            <w:r w:rsidRPr="005F0ABE">
              <w:rPr>
                <w:lang w:val="es-419"/>
              </w:rPr>
              <w:t>199</w:t>
            </w:r>
            <w:r w:rsidR="00CB0480" w:rsidRPr="005F0ABE">
              <w:rPr>
                <w:lang w:val="es-419"/>
              </w:rPr>
              <w:t>.</w:t>
            </w:r>
            <w:r w:rsidRPr="005F0ABE">
              <w:rPr>
                <w:lang w:val="es-419"/>
              </w:rPr>
              <w:t>449</w:t>
            </w:r>
          </w:p>
        </w:tc>
        <w:tc>
          <w:tcPr>
            <w:tcW w:w="2336" w:type="dxa"/>
          </w:tcPr>
          <w:p w:rsidR="00737BD5" w:rsidRPr="005F0ABE" w:rsidRDefault="00737BD5" w:rsidP="00737BD5">
            <w:pPr>
              <w:jc w:val="right"/>
              <w:rPr>
                <w:lang w:val="es-419"/>
              </w:rPr>
            </w:pPr>
            <w:r w:rsidRPr="005F0ABE">
              <w:rPr>
                <w:lang w:val="es-419"/>
              </w:rPr>
              <w:t>-23</w:t>
            </w:r>
            <w:r w:rsidR="00CB0480" w:rsidRPr="005F0ABE">
              <w:rPr>
                <w:lang w:val="es-419"/>
              </w:rPr>
              <w:t>.</w:t>
            </w:r>
            <w:r w:rsidRPr="005F0ABE">
              <w:rPr>
                <w:lang w:val="es-419"/>
              </w:rPr>
              <w:t>845</w:t>
            </w:r>
            <w:r w:rsidR="00CB0480" w:rsidRPr="005F0ABE">
              <w:rPr>
                <w:lang w:val="es-419"/>
              </w:rPr>
              <w:t>.</w:t>
            </w:r>
            <w:r w:rsidRPr="005F0ABE">
              <w:rPr>
                <w:lang w:val="es-419"/>
              </w:rPr>
              <w:t>752</w:t>
            </w:r>
          </w:p>
        </w:tc>
        <w:tc>
          <w:tcPr>
            <w:tcW w:w="2337" w:type="dxa"/>
          </w:tcPr>
          <w:p w:rsidR="00737BD5" w:rsidRPr="005F0ABE" w:rsidRDefault="00737BD5" w:rsidP="00737BD5">
            <w:pPr>
              <w:jc w:val="right"/>
              <w:rPr>
                <w:lang w:val="es-419"/>
              </w:rPr>
            </w:pPr>
            <w:r w:rsidRPr="005F0ABE">
              <w:rPr>
                <w:lang w:val="es-419"/>
              </w:rPr>
              <w:t>5</w:t>
            </w:r>
            <w:r w:rsidR="00CB0480" w:rsidRPr="005F0ABE">
              <w:rPr>
                <w:lang w:val="es-419"/>
              </w:rPr>
              <w:t>.</w:t>
            </w:r>
            <w:r w:rsidRPr="005F0ABE">
              <w:rPr>
                <w:lang w:val="es-419"/>
              </w:rPr>
              <w:t>331</w:t>
            </w:r>
            <w:r w:rsidR="00CB0480" w:rsidRPr="005F0ABE">
              <w:rPr>
                <w:lang w:val="es-419"/>
              </w:rPr>
              <w:t>.</w:t>
            </w:r>
            <w:r w:rsidRPr="005F0ABE">
              <w:rPr>
                <w:lang w:val="es-419"/>
              </w:rPr>
              <w:t>353</w:t>
            </w:r>
            <w:r w:rsidR="00CB0480" w:rsidRPr="005F0ABE">
              <w:rPr>
                <w:lang w:val="es-419"/>
              </w:rPr>
              <w:t>.</w:t>
            </w:r>
            <w:r w:rsidRPr="005F0ABE">
              <w:rPr>
                <w:lang w:val="es-419"/>
              </w:rPr>
              <w:t>697</w:t>
            </w:r>
          </w:p>
        </w:tc>
      </w:tr>
    </w:tbl>
    <w:p w:rsidR="0002239A" w:rsidRPr="005F0ABE" w:rsidRDefault="003B3B68" w:rsidP="003C3EEB">
      <w:pPr>
        <w:rPr>
          <w:lang w:val="es-419"/>
        </w:rPr>
      </w:pPr>
      <w:r>
        <w:rPr>
          <w:lang w:val="es-419"/>
        </w:rPr>
        <w:t>Fuente</w:t>
      </w:r>
      <w:r w:rsidR="00737BD5" w:rsidRPr="005F0ABE">
        <w:rPr>
          <w:lang w:val="es-419"/>
        </w:rPr>
        <w:t xml:space="preserve">: </w:t>
      </w:r>
      <w:r w:rsidR="003C3EEB" w:rsidRPr="005F0ABE">
        <w:rPr>
          <w:lang w:val="es-419"/>
        </w:rPr>
        <w:t>División de Finanzas</w:t>
      </w:r>
    </w:p>
    <w:p w:rsidR="0002239A" w:rsidRPr="005F0ABE" w:rsidRDefault="0002239A" w:rsidP="00737BD5">
      <w:pPr>
        <w:rPr>
          <w:lang w:val="es-419"/>
        </w:rPr>
      </w:pPr>
    </w:p>
    <w:p w:rsidR="0002239A" w:rsidRPr="005F0ABE" w:rsidRDefault="00737BD5" w:rsidP="003C3EEB">
      <w:pPr>
        <w:spacing w:after="220"/>
        <w:rPr>
          <w:lang w:val="es-419"/>
        </w:rPr>
      </w:pPr>
      <w:r w:rsidRPr="005F0ABE">
        <w:rPr>
          <w:lang w:val="es-419"/>
        </w:rPr>
        <w:lastRenderedPageBreak/>
        <w:t>5.</w:t>
      </w:r>
      <w:r w:rsidRPr="005F0ABE">
        <w:rPr>
          <w:lang w:val="es-419"/>
        </w:rPr>
        <w:tab/>
      </w:r>
      <w:r w:rsidR="005F298B" w:rsidRPr="005F0ABE">
        <w:rPr>
          <w:lang w:val="es-419"/>
        </w:rPr>
        <w:t xml:space="preserve">Para ese </w:t>
      </w:r>
      <w:r w:rsidR="003B3B68" w:rsidRPr="005F0ABE">
        <w:rPr>
          <w:lang w:val="es-419"/>
        </w:rPr>
        <w:t>período</w:t>
      </w:r>
      <w:r w:rsidRPr="005F0ABE">
        <w:rPr>
          <w:lang w:val="es-419"/>
        </w:rPr>
        <w:t xml:space="preserve">, </w:t>
      </w:r>
      <w:r w:rsidR="005F298B" w:rsidRPr="005F0ABE">
        <w:rPr>
          <w:lang w:val="es-419"/>
        </w:rPr>
        <w:t>la</w:t>
      </w:r>
      <w:r w:rsidRPr="005F0ABE">
        <w:rPr>
          <w:lang w:val="es-419"/>
        </w:rPr>
        <w:t xml:space="preserve"> </w:t>
      </w:r>
      <w:r w:rsidR="003C3EEB" w:rsidRPr="005F0ABE">
        <w:rPr>
          <w:lang w:val="es-419"/>
        </w:rPr>
        <w:t>Oficina Internacional</w:t>
      </w:r>
      <w:r w:rsidRPr="005F0ABE">
        <w:rPr>
          <w:lang w:val="es-419"/>
        </w:rPr>
        <w:t xml:space="preserve"> </w:t>
      </w:r>
      <w:r w:rsidR="005F298B" w:rsidRPr="005F0ABE">
        <w:rPr>
          <w:lang w:val="es-419"/>
        </w:rPr>
        <w:t>pagó a la OEP un importe neto de 17,</w:t>
      </w:r>
      <w:r w:rsidRPr="005F0ABE">
        <w:rPr>
          <w:lang w:val="es-419"/>
        </w:rPr>
        <w:t xml:space="preserve">3 </w:t>
      </w:r>
      <w:r w:rsidR="003B3B68" w:rsidRPr="005F0ABE">
        <w:rPr>
          <w:lang w:val="es-419"/>
        </w:rPr>
        <w:t>millones</w:t>
      </w:r>
      <w:r w:rsidR="005F298B" w:rsidRPr="005F0ABE">
        <w:rPr>
          <w:lang w:val="es-419"/>
        </w:rPr>
        <w:t xml:space="preserve"> de</w:t>
      </w:r>
      <w:r w:rsidRPr="005F0ABE">
        <w:rPr>
          <w:lang w:val="es-419"/>
        </w:rPr>
        <w:t xml:space="preserve"> </w:t>
      </w:r>
      <w:r w:rsidR="005F298B" w:rsidRPr="005F0ABE">
        <w:rPr>
          <w:lang w:val="es-419"/>
        </w:rPr>
        <w:t>e</w:t>
      </w:r>
      <w:r w:rsidRPr="005F0ABE">
        <w:rPr>
          <w:lang w:val="es-419"/>
        </w:rPr>
        <w:t>uros (</w:t>
      </w:r>
      <w:r w:rsidR="003B3B68" w:rsidRPr="005F0ABE">
        <w:rPr>
          <w:lang w:val="es-419"/>
        </w:rPr>
        <w:t>aproximadamente</w:t>
      </w:r>
      <w:r w:rsidRPr="005F0ABE">
        <w:rPr>
          <w:lang w:val="es-419"/>
        </w:rPr>
        <w:t xml:space="preserve"> 19</w:t>
      </w:r>
      <w:r w:rsidR="005F298B" w:rsidRPr="005F0ABE">
        <w:rPr>
          <w:lang w:val="es-419"/>
        </w:rPr>
        <w:t>,</w:t>
      </w:r>
      <w:r w:rsidRPr="005F0ABE">
        <w:rPr>
          <w:lang w:val="es-419"/>
        </w:rPr>
        <w:t xml:space="preserve">5 </w:t>
      </w:r>
      <w:r w:rsidR="003B3B68" w:rsidRPr="005F0ABE">
        <w:rPr>
          <w:lang w:val="es-419"/>
        </w:rPr>
        <w:t>millones</w:t>
      </w:r>
      <w:r w:rsidR="005F298B" w:rsidRPr="005F0ABE">
        <w:rPr>
          <w:lang w:val="es-419"/>
        </w:rPr>
        <w:t xml:space="preserve"> de francos suizos</w:t>
      </w:r>
      <w:r w:rsidRPr="005F0ABE">
        <w:rPr>
          <w:lang w:val="es-419"/>
        </w:rPr>
        <w:t xml:space="preserve">), </w:t>
      </w:r>
      <w:r w:rsidR="005F298B" w:rsidRPr="005F0ABE">
        <w:rPr>
          <w:lang w:val="es-419"/>
        </w:rPr>
        <w:t xml:space="preserve">y recibió de la JPO un importe neto de </w:t>
      </w:r>
      <w:r w:rsidRPr="005F0ABE">
        <w:rPr>
          <w:lang w:val="es-419"/>
        </w:rPr>
        <w:t>5.3</w:t>
      </w:r>
      <w:r w:rsidR="005F298B" w:rsidRPr="005F0ABE">
        <w:rPr>
          <w:lang w:val="es-419"/>
        </w:rPr>
        <w:t>00 millones de yenes</w:t>
      </w:r>
      <w:r w:rsidRPr="005F0ABE">
        <w:rPr>
          <w:lang w:val="es-419"/>
        </w:rPr>
        <w:t xml:space="preserve"> (</w:t>
      </w:r>
      <w:r w:rsidR="003B3B68" w:rsidRPr="005F0ABE">
        <w:rPr>
          <w:lang w:val="es-419"/>
        </w:rPr>
        <w:t>aproximadamente</w:t>
      </w:r>
      <w:r w:rsidRPr="005F0ABE">
        <w:rPr>
          <w:lang w:val="es-419"/>
        </w:rPr>
        <w:t xml:space="preserve"> 47 </w:t>
      </w:r>
      <w:r w:rsidR="003B3B68" w:rsidRPr="005F0ABE">
        <w:rPr>
          <w:lang w:val="es-419"/>
        </w:rPr>
        <w:t>millones</w:t>
      </w:r>
      <w:r w:rsidR="005F298B" w:rsidRPr="005F0ABE">
        <w:rPr>
          <w:lang w:val="es-419"/>
        </w:rPr>
        <w:t xml:space="preserve"> de francos suizos</w:t>
      </w:r>
      <w:r w:rsidRPr="005F0ABE">
        <w:rPr>
          <w:lang w:val="es-419"/>
        </w:rPr>
        <w:t>).</w:t>
      </w:r>
    </w:p>
    <w:p w:rsidR="0002239A" w:rsidRPr="005F0ABE" w:rsidRDefault="00737BD5" w:rsidP="003C3EEB">
      <w:pPr>
        <w:keepLines/>
        <w:spacing w:after="220"/>
        <w:rPr>
          <w:lang w:val="es-419"/>
        </w:rPr>
      </w:pPr>
      <w:r w:rsidRPr="005F0ABE">
        <w:rPr>
          <w:lang w:val="es-419"/>
        </w:rPr>
        <w:t>6.</w:t>
      </w:r>
      <w:r w:rsidRPr="005F0ABE">
        <w:rPr>
          <w:lang w:val="es-419"/>
        </w:rPr>
        <w:tab/>
      </w:r>
      <w:r w:rsidR="005F298B" w:rsidRPr="005F0ABE">
        <w:rPr>
          <w:lang w:val="es-419"/>
        </w:rPr>
        <w:t>Las estadísticas de</w:t>
      </w:r>
      <w:r w:rsidRPr="005F0ABE">
        <w:rPr>
          <w:lang w:val="es-419"/>
        </w:rPr>
        <w:t xml:space="preserve"> </w:t>
      </w:r>
      <w:r w:rsidR="003C3EEB" w:rsidRPr="005F0ABE">
        <w:rPr>
          <w:lang w:val="es-419"/>
        </w:rPr>
        <w:t>compensación por saldos netos</w:t>
      </w:r>
      <w:r w:rsidRPr="005F0ABE">
        <w:rPr>
          <w:lang w:val="es-419"/>
        </w:rPr>
        <w:t xml:space="preserve"> </w:t>
      </w:r>
      <w:r w:rsidR="003B3B68" w:rsidRPr="005F0ABE">
        <w:rPr>
          <w:lang w:val="es-419"/>
        </w:rPr>
        <w:t>indican</w:t>
      </w:r>
      <w:r w:rsidR="005F298B" w:rsidRPr="005F0ABE">
        <w:rPr>
          <w:lang w:val="es-419"/>
        </w:rPr>
        <w:t xml:space="preserve"> que</w:t>
      </w:r>
      <w:r w:rsidRPr="005F0ABE">
        <w:rPr>
          <w:lang w:val="es-419"/>
        </w:rPr>
        <w:t xml:space="preserve">, </w:t>
      </w:r>
      <w:r w:rsidR="005F298B" w:rsidRPr="005F0ABE">
        <w:rPr>
          <w:lang w:val="es-419"/>
        </w:rPr>
        <w:t>en</w:t>
      </w:r>
      <w:r w:rsidRPr="005F0ABE">
        <w:rPr>
          <w:lang w:val="es-419"/>
        </w:rPr>
        <w:t xml:space="preserve"> 2018, </w:t>
      </w:r>
      <w:r w:rsidR="005F298B" w:rsidRPr="005F0ABE">
        <w:rPr>
          <w:lang w:val="es-419"/>
        </w:rPr>
        <w:t xml:space="preserve">las Oficinas receptoras sometieron a las </w:t>
      </w:r>
      <w:r w:rsidRPr="005F0ABE">
        <w:rPr>
          <w:lang w:val="es-419"/>
        </w:rPr>
        <w:t xml:space="preserve">ISA </w:t>
      </w:r>
      <w:r w:rsidR="005F298B" w:rsidRPr="005F0ABE">
        <w:rPr>
          <w:lang w:val="es-419"/>
        </w:rPr>
        <w:t>para la búsqueda 62.917</w:t>
      </w:r>
      <w:r w:rsidR="005F298B" w:rsidRPr="005F0ABE">
        <w:rPr>
          <w:vertAlign w:val="superscript"/>
          <w:lang w:val="es-419"/>
        </w:rPr>
        <w:footnoteReference w:id="3"/>
      </w:r>
      <w:r w:rsidR="005F298B" w:rsidRPr="005F0ABE">
        <w:rPr>
          <w:lang w:val="es-419"/>
        </w:rPr>
        <w:t xml:space="preserve"> solicitudes internacionales</w:t>
      </w:r>
      <w:r w:rsidRPr="005F0ABE">
        <w:rPr>
          <w:lang w:val="es-419"/>
        </w:rPr>
        <w:t xml:space="preserve">. </w:t>
      </w:r>
      <w:r w:rsidR="005F298B" w:rsidRPr="005F0ABE">
        <w:rPr>
          <w:lang w:val="es-419"/>
        </w:rPr>
        <w:t>Las tres ISA</w:t>
      </w:r>
      <w:r w:rsidRPr="005F0ABE">
        <w:rPr>
          <w:lang w:val="es-419"/>
        </w:rPr>
        <w:t xml:space="preserve"> (</w:t>
      </w:r>
      <w:r w:rsidR="003C3EEB" w:rsidRPr="005F0ABE">
        <w:rPr>
          <w:lang w:val="es-419"/>
        </w:rPr>
        <w:t>O</w:t>
      </w:r>
      <w:r w:rsidR="005F298B" w:rsidRPr="005F0ABE">
        <w:rPr>
          <w:lang w:val="es-419"/>
        </w:rPr>
        <w:t>EP</w:t>
      </w:r>
      <w:r w:rsidRPr="005F0ABE">
        <w:rPr>
          <w:lang w:val="es-419"/>
        </w:rPr>
        <w:t xml:space="preserve">, </w:t>
      </w:r>
      <w:r w:rsidR="005F298B" w:rsidRPr="005F0ABE">
        <w:rPr>
          <w:lang w:val="es-419"/>
        </w:rPr>
        <w:t>JPO y</w:t>
      </w:r>
      <w:r w:rsidRPr="005F0ABE">
        <w:rPr>
          <w:lang w:val="es-419"/>
        </w:rPr>
        <w:t xml:space="preserve"> </w:t>
      </w:r>
      <w:r w:rsidR="00706238" w:rsidRPr="005F0ABE">
        <w:rPr>
          <w:lang w:val="es-419"/>
        </w:rPr>
        <w:t>Oficina Austríaca de Patentes</w:t>
      </w:r>
      <w:r w:rsidRPr="005F0ABE">
        <w:rPr>
          <w:lang w:val="es-419"/>
        </w:rPr>
        <w:t xml:space="preserve">) </w:t>
      </w:r>
      <w:r w:rsidR="00706238" w:rsidRPr="005F0ABE">
        <w:rPr>
          <w:lang w:val="es-419"/>
        </w:rPr>
        <w:t xml:space="preserve">que </w:t>
      </w:r>
      <w:r w:rsidR="003B3B68" w:rsidRPr="005F0ABE">
        <w:rPr>
          <w:lang w:val="es-419"/>
        </w:rPr>
        <w:t>participan</w:t>
      </w:r>
      <w:r w:rsidR="00706238" w:rsidRPr="005F0ABE">
        <w:rPr>
          <w:lang w:val="es-419"/>
        </w:rPr>
        <w:t xml:space="preserve"> actualmente en el proyecto piloto de compensación por saldos netos del PCT</w:t>
      </w:r>
      <w:r w:rsidRPr="005F0ABE">
        <w:rPr>
          <w:lang w:val="es-419"/>
        </w:rPr>
        <w:t xml:space="preserve"> </w:t>
      </w:r>
      <w:r w:rsidR="00706238" w:rsidRPr="005F0ABE">
        <w:rPr>
          <w:lang w:val="es-419"/>
        </w:rPr>
        <w:t>tramitaron</w:t>
      </w:r>
      <w:r w:rsidRPr="005F0ABE">
        <w:rPr>
          <w:lang w:val="es-419"/>
        </w:rPr>
        <w:t xml:space="preserve"> 44</w:t>
      </w:r>
      <w:r w:rsidR="00706238" w:rsidRPr="005F0ABE">
        <w:rPr>
          <w:lang w:val="es-419"/>
        </w:rPr>
        <w:t>.</w:t>
      </w:r>
      <w:r w:rsidRPr="005F0ABE">
        <w:rPr>
          <w:lang w:val="es-419"/>
        </w:rPr>
        <w:t>882 (</w:t>
      </w:r>
      <w:r w:rsidR="00706238" w:rsidRPr="005F0ABE">
        <w:rPr>
          <w:lang w:val="es-419"/>
        </w:rPr>
        <w:t xml:space="preserve">el </w:t>
      </w:r>
      <w:r w:rsidRPr="005F0ABE">
        <w:rPr>
          <w:lang w:val="es-419"/>
        </w:rPr>
        <w:t>71</w:t>
      </w:r>
      <w:r w:rsidR="00706238" w:rsidRPr="005F0ABE">
        <w:rPr>
          <w:lang w:val="es-419"/>
        </w:rPr>
        <w:t>,</w:t>
      </w:r>
      <w:r w:rsidRPr="005F0ABE">
        <w:rPr>
          <w:lang w:val="es-419"/>
        </w:rPr>
        <w:t>34</w:t>
      </w:r>
      <w:r w:rsidR="00706238" w:rsidRPr="005F0ABE">
        <w:rPr>
          <w:lang w:val="es-419"/>
        </w:rPr>
        <w:t>%</w:t>
      </w:r>
      <w:r w:rsidRPr="005F0ABE">
        <w:rPr>
          <w:lang w:val="es-419"/>
        </w:rPr>
        <w:t xml:space="preserve">) </w:t>
      </w:r>
      <w:r w:rsidR="00706238" w:rsidRPr="005F0ABE">
        <w:rPr>
          <w:lang w:val="es-419"/>
        </w:rPr>
        <w:t>de esas solicitudes</w:t>
      </w:r>
      <w:r w:rsidRPr="005F0ABE">
        <w:rPr>
          <w:lang w:val="es-419"/>
        </w:rPr>
        <w:t xml:space="preserve">, </w:t>
      </w:r>
      <w:r w:rsidR="00706238" w:rsidRPr="005F0ABE">
        <w:rPr>
          <w:lang w:val="es-419"/>
        </w:rPr>
        <w:t xml:space="preserve">mientras que las </w:t>
      </w:r>
      <w:r w:rsidRPr="005F0ABE">
        <w:rPr>
          <w:lang w:val="es-419"/>
        </w:rPr>
        <w:t>18</w:t>
      </w:r>
      <w:r w:rsidR="00706238" w:rsidRPr="005F0ABE">
        <w:rPr>
          <w:lang w:val="es-419"/>
        </w:rPr>
        <w:t>.</w:t>
      </w:r>
      <w:r w:rsidRPr="005F0ABE">
        <w:rPr>
          <w:lang w:val="es-419"/>
        </w:rPr>
        <w:t xml:space="preserve">035 </w:t>
      </w:r>
      <w:r w:rsidR="00706238" w:rsidRPr="005F0ABE">
        <w:rPr>
          <w:lang w:val="es-419"/>
        </w:rPr>
        <w:t>solicitudes restantes</w:t>
      </w:r>
      <w:r w:rsidRPr="005F0ABE">
        <w:rPr>
          <w:lang w:val="es-419"/>
        </w:rPr>
        <w:t xml:space="preserve"> (</w:t>
      </w:r>
      <w:r w:rsidR="00706238" w:rsidRPr="005F0ABE">
        <w:rPr>
          <w:lang w:val="es-419"/>
        </w:rPr>
        <w:t>el 28,</w:t>
      </w:r>
      <w:r w:rsidRPr="005F0ABE">
        <w:rPr>
          <w:lang w:val="es-419"/>
        </w:rPr>
        <w:t>66</w:t>
      </w:r>
      <w:r w:rsidR="00706238" w:rsidRPr="005F0ABE">
        <w:rPr>
          <w:lang w:val="es-419"/>
        </w:rPr>
        <w:t>%</w:t>
      </w:r>
      <w:r w:rsidRPr="005F0ABE">
        <w:rPr>
          <w:lang w:val="es-419"/>
        </w:rPr>
        <w:t xml:space="preserve">) </w:t>
      </w:r>
      <w:r w:rsidR="00706238" w:rsidRPr="005F0ABE">
        <w:rPr>
          <w:lang w:val="es-419"/>
        </w:rPr>
        <w:t>fueron tramitadas por</w:t>
      </w:r>
      <w:r w:rsidR="00E03CCD">
        <w:rPr>
          <w:lang w:val="es-419"/>
        </w:rPr>
        <w:t> </w:t>
      </w:r>
      <w:r w:rsidRPr="005F0ABE">
        <w:rPr>
          <w:lang w:val="es-419"/>
        </w:rPr>
        <w:t>I</w:t>
      </w:r>
      <w:r w:rsidR="00706238" w:rsidRPr="005F0ABE">
        <w:rPr>
          <w:lang w:val="es-419"/>
        </w:rPr>
        <w:t>SA</w:t>
      </w:r>
      <w:r w:rsidRPr="005F0ABE">
        <w:rPr>
          <w:lang w:val="es-419"/>
        </w:rPr>
        <w:t>/</w:t>
      </w:r>
      <w:r w:rsidR="00706238" w:rsidRPr="005F0ABE">
        <w:rPr>
          <w:lang w:val="es-419"/>
        </w:rPr>
        <w:t>Oficinas receptoras que no participan en el proyecto piloto</w:t>
      </w:r>
      <w:r w:rsidRPr="005F0ABE">
        <w:rPr>
          <w:lang w:val="es-419"/>
        </w:rPr>
        <w:t>.</w:t>
      </w:r>
    </w:p>
    <w:p w:rsidR="0002239A" w:rsidRPr="005F0ABE" w:rsidRDefault="00737BD5" w:rsidP="003C3EEB">
      <w:pPr>
        <w:spacing w:after="220"/>
        <w:rPr>
          <w:lang w:val="es-419"/>
        </w:rPr>
      </w:pPr>
      <w:r w:rsidRPr="005F0ABE">
        <w:rPr>
          <w:lang w:val="es-419"/>
        </w:rPr>
        <w:t>7.</w:t>
      </w:r>
      <w:r w:rsidRPr="005F0ABE">
        <w:rPr>
          <w:lang w:val="es-419"/>
        </w:rPr>
        <w:tab/>
      </w:r>
      <w:r w:rsidR="00706238" w:rsidRPr="005F0ABE">
        <w:rPr>
          <w:lang w:val="es-419"/>
        </w:rPr>
        <w:t>En lo que concierne a las</w:t>
      </w:r>
      <w:r w:rsidRPr="005F0ABE">
        <w:rPr>
          <w:lang w:val="es-419"/>
        </w:rPr>
        <w:t xml:space="preserve"> 44</w:t>
      </w:r>
      <w:r w:rsidR="00706238" w:rsidRPr="005F0ABE">
        <w:rPr>
          <w:lang w:val="es-419"/>
        </w:rPr>
        <w:t>.</w:t>
      </w:r>
      <w:r w:rsidRPr="005F0ABE">
        <w:rPr>
          <w:lang w:val="es-419"/>
        </w:rPr>
        <w:t xml:space="preserve">882 </w:t>
      </w:r>
      <w:r w:rsidR="00706238" w:rsidRPr="005F0ABE">
        <w:rPr>
          <w:lang w:val="es-419"/>
        </w:rPr>
        <w:t>solicitudes</w:t>
      </w:r>
      <w:r w:rsidRPr="005F0ABE">
        <w:rPr>
          <w:lang w:val="es-419"/>
        </w:rPr>
        <w:t xml:space="preserve">, </w:t>
      </w:r>
      <w:r w:rsidR="00706238" w:rsidRPr="005F0ABE">
        <w:rPr>
          <w:lang w:val="es-419"/>
        </w:rPr>
        <w:t>las tres</w:t>
      </w:r>
      <w:r w:rsidRPr="005F0ABE">
        <w:rPr>
          <w:lang w:val="es-419"/>
        </w:rPr>
        <w:t xml:space="preserve"> ISA</w:t>
      </w:r>
      <w:r w:rsidR="00706238" w:rsidRPr="005F0ABE">
        <w:rPr>
          <w:lang w:val="es-419"/>
        </w:rPr>
        <w:t>, en su conjunto, tramitaron tasas relacionadas con la búsqueda para</w:t>
      </w:r>
      <w:r w:rsidRPr="005F0ABE">
        <w:rPr>
          <w:lang w:val="es-419"/>
        </w:rPr>
        <w:t xml:space="preserve"> 43</w:t>
      </w:r>
      <w:r w:rsidR="00706238" w:rsidRPr="005F0ABE">
        <w:rPr>
          <w:lang w:val="es-419"/>
        </w:rPr>
        <w:t>.</w:t>
      </w:r>
      <w:r w:rsidRPr="005F0ABE">
        <w:rPr>
          <w:lang w:val="es-419"/>
        </w:rPr>
        <w:t xml:space="preserve">398 </w:t>
      </w:r>
      <w:r w:rsidR="00706238" w:rsidRPr="005F0ABE">
        <w:rPr>
          <w:lang w:val="es-419"/>
        </w:rPr>
        <w:t>solicitudes</w:t>
      </w:r>
      <w:r w:rsidRPr="005F0ABE">
        <w:rPr>
          <w:lang w:val="es-419"/>
        </w:rPr>
        <w:t xml:space="preserve"> (</w:t>
      </w:r>
      <w:r w:rsidR="00706238" w:rsidRPr="005F0ABE">
        <w:rPr>
          <w:lang w:val="es-419"/>
        </w:rPr>
        <w:t xml:space="preserve">el </w:t>
      </w:r>
      <w:r w:rsidRPr="005F0ABE">
        <w:rPr>
          <w:lang w:val="es-419"/>
        </w:rPr>
        <w:t>68</w:t>
      </w:r>
      <w:r w:rsidR="00706238" w:rsidRPr="005F0ABE">
        <w:rPr>
          <w:lang w:val="es-419"/>
        </w:rPr>
        <w:t>,</w:t>
      </w:r>
      <w:r w:rsidRPr="005F0ABE">
        <w:rPr>
          <w:lang w:val="es-419"/>
        </w:rPr>
        <w:t>98</w:t>
      </w:r>
      <w:r w:rsidR="00706238" w:rsidRPr="005F0ABE">
        <w:rPr>
          <w:lang w:val="es-419"/>
        </w:rPr>
        <w:t>%</w:t>
      </w:r>
      <w:r w:rsidRPr="005F0ABE">
        <w:rPr>
          <w:lang w:val="es-419"/>
        </w:rPr>
        <w:t xml:space="preserve"> </w:t>
      </w:r>
      <w:r w:rsidR="00706238" w:rsidRPr="005F0ABE">
        <w:rPr>
          <w:lang w:val="es-419"/>
        </w:rPr>
        <w:t>de las</w:t>
      </w:r>
      <w:r w:rsidRPr="005F0ABE">
        <w:rPr>
          <w:lang w:val="es-419"/>
        </w:rPr>
        <w:t xml:space="preserve"> 62</w:t>
      </w:r>
      <w:r w:rsidR="00706238" w:rsidRPr="005F0ABE">
        <w:rPr>
          <w:lang w:val="es-419"/>
        </w:rPr>
        <w:t>.</w:t>
      </w:r>
      <w:r w:rsidRPr="005F0ABE">
        <w:rPr>
          <w:lang w:val="es-419"/>
        </w:rPr>
        <w:t>917</w:t>
      </w:r>
      <w:r w:rsidR="00706238" w:rsidRPr="005F0ABE">
        <w:rPr>
          <w:lang w:val="es-419"/>
        </w:rPr>
        <w:t xml:space="preserve"> solicitudes</w:t>
      </w:r>
      <w:r w:rsidRPr="005F0ABE">
        <w:rPr>
          <w:lang w:val="es-419"/>
        </w:rPr>
        <w:t xml:space="preserve">) </w:t>
      </w:r>
      <w:r w:rsidR="00706238" w:rsidRPr="005F0ABE">
        <w:rPr>
          <w:lang w:val="es-419"/>
        </w:rPr>
        <w:t>de las Oficinas receptoras participantes en el proyecto piloto de compensación por saldos netos del PCT</w:t>
      </w:r>
      <w:r w:rsidRPr="005F0ABE">
        <w:rPr>
          <w:lang w:val="es-419"/>
        </w:rPr>
        <w:t xml:space="preserve">. </w:t>
      </w:r>
      <w:r w:rsidR="00706238" w:rsidRPr="005F0ABE">
        <w:rPr>
          <w:lang w:val="es-419"/>
        </w:rPr>
        <w:t>Las tasas de búsqueda respecto de las restantes 1.</w:t>
      </w:r>
      <w:r w:rsidRPr="005F0ABE">
        <w:rPr>
          <w:lang w:val="es-419"/>
        </w:rPr>
        <w:t xml:space="preserve">484 </w:t>
      </w:r>
      <w:r w:rsidR="00706238" w:rsidRPr="005F0ABE">
        <w:rPr>
          <w:lang w:val="es-419"/>
        </w:rPr>
        <w:t xml:space="preserve">solicitudes </w:t>
      </w:r>
      <w:r w:rsidRPr="005F0ABE">
        <w:rPr>
          <w:lang w:val="es-419"/>
        </w:rPr>
        <w:t>(</w:t>
      </w:r>
      <w:r w:rsidR="00706238" w:rsidRPr="005F0ABE">
        <w:rPr>
          <w:lang w:val="es-419"/>
        </w:rPr>
        <w:t>el </w:t>
      </w:r>
      <w:r w:rsidRPr="005F0ABE">
        <w:rPr>
          <w:lang w:val="es-419"/>
        </w:rPr>
        <w:t>2</w:t>
      </w:r>
      <w:r w:rsidR="00706238" w:rsidRPr="005F0ABE">
        <w:rPr>
          <w:lang w:val="es-419"/>
        </w:rPr>
        <w:t>,</w:t>
      </w:r>
      <w:r w:rsidRPr="005F0ABE">
        <w:rPr>
          <w:lang w:val="es-419"/>
        </w:rPr>
        <w:t>36</w:t>
      </w:r>
      <w:r w:rsidR="00706238" w:rsidRPr="005F0ABE">
        <w:rPr>
          <w:lang w:val="es-419"/>
        </w:rPr>
        <w:t>%</w:t>
      </w:r>
      <w:r w:rsidRPr="005F0ABE">
        <w:rPr>
          <w:lang w:val="es-419"/>
        </w:rPr>
        <w:t xml:space="preserve">) </w:t>
      </w:r>
      <w:r w:rsidR="00706238" w:rsidRPr="005F0ABE">
        <w:rPr>
          <w:lang w:val="es-419"/>
        </w:rPr>
        <w:t>fueron remitidas directamente a las ISA por Oficinas receptoras que no participaban en el proyecto piloto</w:t>
      </w:r>
      <w:r w:rsidRPr="005F0ABE">
        <w:rPr>
          <w:lang w:val="es-419"/>
        </w:rPr>
        <w:t>.</w:t>
      </w:r>
    </w:p>
    <w:p w:rsidR="0002239A" w:rsidRPr="005F0ABE" w:rsidRDefault="00737BD5" w:rsidP="003C3EEB">
      <w:pPr>
        <w:spacing w:after="220"/>
        <w:rPr>
          <w:lang w:val="es-419"/>
        </w:rPr>
      </w:pPr>
      <w:r w:rsidRPr="005F0ABE">
        <w:rPr>
          <w:lang w:val="es-419"/>
        </w:rPr>
        <w:t>8.</w:t>
      </w:r>
      <w:r w:rsidRPr="005F0ABE">
        <w:rPr>
          <w:lang w:val="es-419"/>
        </w:rPr>
        <w:tab/>
      </w:r>
      <w:r w:rsidR="00706238" w:rsidRPr="005F0ABE">
        <w:rPr>
          <w:lang w:val="es-419"/>
        </w:rPr>
        <w:t>El propósito del proyecto piloto de compensación por saldos netos del PCT</w:t>
      </w:r>
      <w:r w:rsidRPr="005F0ABE">
        <w:rPr>
          <w:lang w:val="es-419"/>
        </w:rPr>
        <w:t xml:space="preserve"> </w:t>
      </w:r>
      <w:r w:rsidR="00706238" w:rsidRPr="005F0ABE">
        <w:rPr>
          <w:lang w:val="es-419"/>
        </w:rPr>
        <w:t>es reducir el riesgo de exposición de los ingresos por tasas del PCT a las fluctuaciones de</w:t>
      </w:r>
      <w:r w:rsidR="00FF7373" w:rsidRPr="005F0ABE">
        <w:rPr>
          <w:lang w:val="es-419"/>
        </w:rPr>
        <w:t xml:space="preserve">l </w:t>
      </w:r>
      <w:r w:rsidR="009F55D2" w:rsidRPr="005F0ABE">
        <w:rPr>
          <w:lang w:val="es-419"/>
        </w:rPr>
        <w:t>tipo de cambio</w:t>
      </w:r>
      <w:r w:rsidR="00FF7373" w:rsidRPr="005F0ABE">
        <w:rPr>
          <w:lang w:val="es-419"/>
        </w:rPr>
        <w:t xml:space="preserve"> </w:t>
      </w:r>
      <w:r w:rsidR="00706238" w:rsidRPr="005F0ABE">
        <w:rPr>
          <w:lang w:val="es-419"/>
        </w:rPr>
        <w:t xml:space="preserve">como consecuencia del flujo de </w:t>
      </w:r>
      <w:r w:rsidR="003C3EEB" w:rsidRPr="005F0ABE">
        <w:rPr>
          <w:lang w:val="es-419"/>
        </w:rPr>
        <w:t>tasa</w:t>
      </w:r>
      <w:r w:rsidR="00706238" w:rsidRPr="005F0ABE">
        <w:rPr>
          <w:lang w:val="es-419"/>
        </w:rPr>
        <w:t>s</w:t>
      </w:r>
      <w:r w:rsidR="003C3EEB" w:rsidRPr="005F0ABE">
        <w:rPr>
          <w:lang w:val="es-419"/>
        </w:rPr>
        <w:t xml:space="preserve"> de búsqueda</w:t>
      </w:r>
      <w:r w:rsidRPr="005F0ABE">
        <w:rPr>
          <w:lang w:val="es-419"/>
        </w:rPr>
        <w:t xml:space="preserve">, </w:t>
      </w:r>
      <w:r w:rsidR="00706238" w:rsidRPr="005F0ABE">
        <w:rPr>
          <w:lang w:val="es-419"/>
        </w:rPr>
        <w:t>que dan lugar a peticiones en virtud de</w:t>
      </w:r>
      <w:r w:rsidR="00D137C9" w:rsidRPr="005F0ABE">
        <w:rPr>
          <w:lang w:val="es-419"/>
        </w:rPr>
        <w:t xml:space="preserve"> </w:t>
      </w:r>
      <w:r w:rsidR="00706238" w:rsidRPr="005F0ABE">
        <w:rPr>
          <w:lang w:val="es-419"/>
        </w:rPr>
        <w:t>l</w:t>
      </w:r>
      <w:r w:rsidR="00D137C9" w:rsidRPr="005F0ABE">
        <w:rPr>
          <w:lang w:val="es-419"/>
        </w:rPr>
        <w:t>a Regla</w:t>
      </w:r>
      <w:r w:rsidRPr="005F0ABE">
        <w:rPr>
          <w:lang w:val="es-419"/>
        </w:rPr>
        <w:t xml:space="preserve"> 16.1</w:t>
      </w:r>
      <w:r w:rsidR="00706238" w:rsidRPr="005F0ABE">
        <w:rPr>
          <w:lang w:val="es-419"/>
        </w:rPr>
        <w:t>.</w:t>
      </w:r>
      <w:r w:rsidRPr="005F0ABE">
        <w:rPr>
          <w:lang w:val="es-419"/>
        </w:rPr>
        <w:t xml:space="preserve">e), </w:t>
      </w:r>
      <w:r w:rsidR="00706238" w:rsidRPr="005F0ABE">
        <w:rPr>
          <w:lang w:val="es-419"/>
        </w:rPr>
        <w:t>mejorar la gestión de efectivo para la</w:t>
      </w:r>
      <w:r w:rsidRPr="005F0ABE">
        <w:rPr>
          <w:lang w:val="es-419"/>
        </w:rPr>
        <w:t xml:space="preserve"> </w:t>
      </w:r>
      <w:r w:rsidR="003C3EEB" w:rsidRPr="005F0ABE">
        <w:rPr>
          <w:lang w:val="es-419"/>
        </w:rPr>
        <w:t>Oficina Internacional</w:t>
      </w:r>
      <w:r w:rsidRPr="005F0ABE">
        <w:rPr>
          <w:lang w:val="es-419"/>
        </w:rPr>
        <w:t xml:space="preserve">, </w:t>
      </w:r>
      <w:r w:rsidR="00706238" w:rsidRPr="005F0ABE">
        <w:rPr>
          <w:lang w:val="es-419"/>
        </w:rPr>
        <w:t>las Oficinas receptoras y las ISA</w:t>
      </w:r>
      <w:r w:rsidRPr="005F0ABE">
        <w:rPr>
          <w:lang w:val="es-419"/>
        </w:rPr>
        <w:t>, reduc</w:t>
      </w:r>
      <w:r w:rsidR="00706238" w:rsidRPr="005F0ABE">
        <w:rPr>
          <w:lang w:val="es-419"/>
        </w:rPr>
        <w:t>ir las comisiones bancarias y mejorar la eficiencia y la eficacia de los proc</w:t>
      </w:r>
      <w:r w:rsidRPr="005F0ABE">
        <w:rPr>
          <w:lang w:val="es-419"/>
        </w:rPr>
        <w:t>e</w:t>
      </w:r>
      <w:r w:rsidR="00706238" w:rsidRPr="005F0ABE">
        <w:rPr>
          <w:lang w:val="es-419"/>
        </w:rPr>
        <w:t xml:space="preserve">sos del </w:t>
      </w:r>
      <w:r w:rsidR="003C3EEB" w:rsidRPr="005F0ABE">
        <w:rPr>
          <w:lang w:val="es-419"/>
        </w:rPr>
        <w:t>PCT</w:t>
      </w:r>
      <w:r w:rsidRPr="005F0ABE">
        <w:rPr>
          <w:lang w:val="es-419"/>
        </w:rPr>
        <w:t xml:space="preserve"> </w:t>
      </w:r>
      <w:r w:rsidR="00706238" w:rsidRPr="005F0ABE">
        <w:rPr>
          <w:lang w:val="es-419"/>
        </w:rPr>
        <w:t>mediante la simplificación de los procedimientos</w:t>
      </w:r>
      <w:r w:rsidRPr="005F0ABE">
        <w:rPr>
          <w:lang w:val="es-419"/>
        </w:rPr>
        <w:t>.</w:t>
      </w:r>
    </w:p>
    <w:p w:rsidR="0002239A" w:rsidRPr="005F0ABE" w:rsidRDefault="00737BD5" w:rsidP="003C3EEB">
      <w:pPr>
        <w:spacing w:after="220"/>
        <w:rPr>
          <w:lang w:val="es-419"/>
        </w:rPr>
      </w:pPr>
      <w:r w:rsidRPr="005F0ABE">
        <w:rPr>
          <w:lang w:val="es-419"/>
        </w:rPr>
        <w:t>9.</w:t>
      </w:r>
      <w:r w:rsidRPr="005F0ABE">
        <w:rPr>
          <w:lang w:val="es-419"/>
        </w:rPr>
        <w:tab/>
      </w:r>
      <w:r w:rsidR="00FF7373" w:rsidRPr="005F0ABE">
        <w:rPr>
          <w:lang w:val="es-419"/>
        </w:rPr>
        <w:t>Sin embargo</w:t>
      </w:r>
      <w:r w:rsidRPr="005F0ABE">
        <w:rPr>
          <w:lang w:val="es-419"/>
        </w:rPr>
        <w:t xml:space="preserve">, </w:t>
      </w:r>
      <w:r w:rsidR="00FF7373" w:rsidRPr="005F0ABE">
        <w:rPr>
          <w:lang w:val="es-419"/>
        </w:rPr>
        <w:t xml:space="preserve">la incidencia del proyecto piloto de </w:t>
      </w:r>
      <w:r w:rsidR="00B55131" w:rsidRPr="005F0ABE">
        <w:rPr>
          <w:lang w:val="es-419"/>
        </w:rPr>
        <w:t>compensación</w:t>
      </w:r>
      <w:r w:rsidR="00FF7373" w:rsidRPr="005F0ABE">
        <w:rPr>
          <w:lang w:val="es-419"/>
        </w:rPr>
        <w:t xml:space="preserve"> por saldos netos del PCT en lo que se refiere a reducir la exposición de los ingresos por tasas del PCT a las fluctuaciones de los </w:t>
      </w:r>
      <w:r w:rsidR="003C3EEB" w:rsidRPr="005F0ABE">
        <w:rPr>
          <w:lang w:val="es-419"/>
        </w:rPr>
        <w:t>tipos de cambio</w:t>
      </w:r>
      <w:r w:rsidRPr="005F0ABE">
        <w:rPr>
          <w:lang w:val="es-419"/>
        </w:rPr>
        <w:t xml:space="preserve"> </w:t>
      </w:r>
      <w:r w:rsidR="00FF7373" w:rsidRPr="005F0ABE">
        <w:rPr>
          <w:lang w:val="es-419"/>
        </w:rPr>
        <w:t xml:space="preserve">aborda únicamente las </w:t>
      </w:r>
      <w:r w:rsidR="003B3B68" w:rsidRPr="005F0ABE">
        <w:rPr>
          <w:lang w:val="es-419"/>
        </w:rPr>
        <w:t>diferencias</w:t>
      </w:r>
      <w:r w:rsidRPr="005F0ABE">
        <w:rPr>
          <w:lang w:val="es-419"/>
        </w:rPr>
        <w:t xml:space="preserve"> </w:t>
      </w:r>
      <w:r w:rsidR="00FF7373" w:rsidRPr="005F0ABE">
        <w:rPr>
          <w:lang w:val="es-419"/>
        </w:rPr>
        <w:t>entre el tipo de cambio de las</w:t>
      </w:r>
      <w:r w:rsidRPr="005F0ABE">
        <w:rPr>
          <w:lang w:val="es-419"/>
        </w:rPr>
        <w:t xml:space="preserve"> </w:t>
      </w:r>
      <w:r w:rsidR="003C3EEB" w:rsidRPr="005F0ABE">
        <w:rPr>
          <w:lang w:val="es-419"/>
        </w:rPr>
        <w:t>Naciones Unidas</w:t>
      </w:r>
      <w:r w:rsidRPr="005F0ABE">
        <w:rPr>
          <w:lang w:val="es-419"/>
        </w:rPr>
        <w:t xml:space="preserve"> </w:t>
      </w:r>
      <w:r w:rsidR="00FF7373" w:rsidRPr="005F0ABE">
        <w:rPr>
          <w:lang w:val="es-419"/>
        </w:rPr>
        <w:t xml:space="preserve">utilizado por la </w:t>
      </w:r>
      <w:r w:rsidR="003C3EEB" w:rsidRPr="005F0ABE">
        <w:rPr>
          <w:lang w:val="es-419"/>
        </w:rPr>
        <w:t>Oficina Internacional</w:t>
      </w:r>
      <w:r w:rsidRPr="005F0ABE">
        <w:rPr>
          <w:lang w:val="es-419"/>
        </w:rPr>
        <w:t xml:space="preserve"> </w:t>
      </w:r>
      <w:r w:rsidR="00FF7373" w:rsidRPr="005F0ABE">
        <w:rPr>
          <w:lang w:val="es-419"/>
        </w:rPr>
        <w:t xml:space="preserve">para reconocer los ingresos en sus cuentas y el </w:t>
      </w:r>
      <w:r w:rsidR="003C3EEB" w:rsidRPr="005F0ABE">
        <w:rPr>
          <w:lang w:val="es-419"/>
        </w:rPr>
        <w:t>tipo al contado</w:t>
      </w:r>
      <w:r w:rsidRPr="005F0ABE">
        <w:rPr>
          <w:lang w:val="es-419"/>
        </w:rPr>
        <w:t xml:space="preserve"> </w:t>
      </w:r>
      <w:r w:rsidR="00FF7373" w:rsidRPr="005F0ABE">
        <w:rPr>
          <w:lang w:val="es-419"/>
        </w:rPr>
        <w:t>en la fecha de recepción y/o desembolso de fondos</w:t>
      </w:r>
      <w:r w:rsidRPr="005F0ABE">
        <w:rPr>
          <w:lang w:val="es-419"/>
        </w:rPr>
        <w:t xml:space="preserve">. </w:t>
      </w:r>
      <w:r w:rsidR="00B55131" w:rsidRPr="005F0ABE">
        <w:rPr>
          <w:lang w:val="es-419"/>
        </w:rPr>
        <w:t xml:space="preserve">No aborda la incidencia </w:t>
      </w:r>
      <w:r w:rsidR="0061016C" w:rsidRPr="005F0ABE">
        <w:rPr>
          <w:lang w:val="es-419"/>
        </w:rPr>
        <w:t xml:space="preserve">de las fluctuaciones </w:t>
      </w:r>
      <w:r w:rsidR="009F55D2" w:rsidRPr="005F0ABE">
        <w:rPr>
          <w:lang w:val="es-419"/>
        </w:rPr>
        <w:t xml:space="preserve">en </w:t>
      </w:r>
      <w:r w:rsidR="00B55131" w:rsidRPr="005F0ABE">
        <w:rPr>
          <w:lang w:val="es-419"/>
        </w:rPr>
        <w:t xml:space="preserve">el </w:t>
      </w:r>
      <w:r w:rsidR="0061016C" w:rsidRPr="005F0ABE">
        <w:rPr>
          <w:lang w:val="es-419"/>
        </w:rPr>
        <w:t xml:space="preserve">tipo de cambio </w:t>
      </w:r>
      <w:r w:rsidR="003B3B68" w:rsidRPr="005F0ABE">
        <w:rPr>
          <w:lang w:val="es-419"/>
        </w:rPr>
        <w:t>respecto</w:t>
      </w:r>
      <w:r w:rsidR="0061016C" w:rsidRPr="005F0ABE">
        <w:rPr>
          <w:lang w:val="es-419"/>
        </w:rPr>
        <w:t xml:space="preserve"> los ingresos por tasas </w:t>
      </w:r>
      <w:r w:rsidR="00D137C9" w:rsidRPr="005F0ABE">
        <w:rPr>
          <w:lang w:val="es-419"/>
        </w:rPr>
        <w:t xml:space="preserve">a los que se haya aplicado </w:t>
      </w:r>
      <w:r w:rsidR="0061016C" w:rsidRPr="005F0ABE">
        <w:rPr>
          <w:lang w:val="es-419"/>
        </w:rPr>
        <w:t>el mecanismo del importe equivalente</w:t>
      </w:r>
      <w:r w:rsidRPr="005F0ABE">
        <w:rPr>
          <w:vertAlign w:val="superscript"/>
          <w:lang w:val="es-419"/>
        </w:rPr>
        <w:footnoteReference w:id="4"/>
      </w:r>
      <w:r w:rsidR="00D137C9" w:rsidRPr="005F0ABE">
        <w:rPr>
          <w:lang w:val="es-419"/>
        </w:rPr>
        <w:t xml:space="preserve"> establecido por la </w:t>
      </w:r>
      <w:r w:rsidR="003C3EEB" w:rsidRPr="005F0ABE">
        <w:rPr>
          <w:lang w:val="es-419"/>
        </w:rPr>
        <w:t>Asamblea de la Unión del PCT</w:t>
      </w:r>
      <w:r w:rsidRPr="005F0ABE">
        <w:rPr>
          <w:lang w:val="es-419"/>
        </w:rPr>
        <w:t>.</w:t>
      </w:r>
    </w:p>
    <w:p w:rsidR="0002239A" w:rsidRPr="005F0ABE" w:rsidRDefault="00737BD5" w:rsidP="003C3EEB">
      <w:pPr>
        <w:spacing w:after="220"/>
        <w:rPr>
          <w:lang w:val="es-419"/>
        </w:rPr>
      </w:pPr>
      <w:r w:rsidRPr="005F0ABE">
        <w:rPr>
          <w:lang w:val="es-419"/>
        </w:rPr>
        <w:t>10.</w:t>
      </w:r>
      <w:r w:rsidRPr="005F0ABE">
        <w:rPr>
          <w:lang w:val="es-419"/>
        </w:rPr>
        <w:tab/>
      </w:r>
      <w:r w:rsidR="00D137C9" w:rsidRPr="005F0ABE">
        <w:rPr>
          <w:lang w:val="es-419"/>
        </w:rPr>
        <w:t>La</w:t>
      </w:r>
      <w:r w:rsidRPr="005F0ABE">
        <w:rPr>
          <w:lang w:val="es-419"/>
        </w:rPr>
        <w:t xml:space="preserve"> </w:t>
      </w:r>
      <w:r w:rsidR="003C3EEB" w:rsidRPr="005F0ABE">
        <w:rPr>
          <w:lang w:val="es-419"/>
        </w:rPr>
        <w:t>División de Supervisión Interna</w:t>
      </w:r>
      <w:r w:rsidRPr="005F0ABE">
        <w:rPr>
          <w:lang w:val="es-419"/>
        </w:rPr>
        <w:t xml:space="preserve"> (</w:t>
      </w:r>
      <w:r w:rsidR="003C3EEB" w:rsidRPr="005F0ABE">
        <w:rPr>
          <w:lang w:val="es-419"/>
        </w:rPr>
        <w:t>D</w:t>
      </w:r>
      <w:r w:rsidR="00706238" w:rsidRPr="005F0ABE">
        <w:rPr>
          <w:lang w:val="es-419"/>
        </w:rPr>
        <w:t>SI</w:t>
      </w:r>
      <w:r w:rsidRPr="005F0ABE">
        <w:rPr>
          <w:lang w:val="es-419"/>
        </w:rPr>
        <w:t xml:space="preserve">) </w:t>
      </w:r>
      <w:r w:rsidR="00D137C9" w:rsidRPr="005F0ABE">
        <w:rPr>
          <w:lang w:val="es-419"/>
        </w:rPr>
        <w:t>considera que el proceso de</w:t>
      </w:r>
      <w:r w:rsidRPr="005F0ABE">
        <w:rPr>
          <w:lang w:val="es-419"/>
        </w:rPr>
        <w:t xml:space="preserve"> </w:t>
      </w:r>
      <w:r w:rsidR="003C3EEB" w:rsidRPr="005F0ABE">
        <w:rPr>
          <w:lang w:val="es-419"/>
        </w:rPr>
        <w:t>compensación por saldos netos</w:t>
      </w:r>
      <w:r w:rsidRPr="005F0ABE">
        <w:rPr>
          <w:lang w:val="es-419"/>
        </w:rPr>
        <w:t xml:space="preserve"> </w:t>
      </w:r>
      <w:r w:rsidR="00D137C9" w:rsidRPr="005F0ABE">
        <w:rPr>
          <w:lang w:val="es-419"/>
        </w:rPr>
        <w:t>ha modificado de manera fundamental el flujo de trabajo de la</w:t>
      </w:r>
      <w:r w:rsidRPr="005F0ABE">
        <w:rPr>
          <w:lang w:val="es-419"/>
        </w:rPr>
        <w:t xml:space="preserve"> </w:t>
      </w:r>
      <w:r w:rsidR="003C3EEB" w:rsidRPr="005F0ABE">
        <w:rPr>
          <w:lang w:val="es-419"/>
        </w:rPr>
        <w:t xml:space="preserve">Oficina Internacional </w:t>
      </w:r>
      <w:r w:rsidR="00D137C9" w:rsidRPr="005F0ABE">
        <w:rPr>
          <w:lang w:val="es-419"/>
        </w:rPr>
        <w:t>y las Oficinas receptoras/ISA participantes</w:t>
      </w:r>
      <w:r w:rsidRPr="005F0ABE">
        <w:rPr>
          <w:lang w:val="es-419"/>
        </w:rPr>
        <w:t xml:space="preserve"> in </w:t>
      </w:r>
      <w:r w:rsidR="00D137C9" w:rsidRPr="005F0ABE">
        <w:rPr>
          <w:lang w:val="es-419"/>
        </w:rPr>
        <w:t xml:space="preserve">relación </w:t>
      </w:r>
      <w:r w:rsidR="009176DF" w:rsidRPr="005F0ABE">
        <w:rPr>
          <w:lang w:val="es-419"/>
        </w:rPr>
        <w:t>con</w:t>
      </w:r>
      <w:r w:rsidR="00D137C9" w:rsidRPr="005F0ABE">
        <w:rPr>
          <w:lang w:val="es-419"/>
        </w:rPr>
        <w:t xml:space="preserve"> las tasas de búsqueda del PCT. Se ha agilizado el flujo de trabajo correspondiente a la tramitación de las tasas de búsqueda del </w:t>
      </w:r>
      <w:r w:rsidR="003C3EEB" w:rsidRPr="005F0ABE">
        <w:rPr>
          <w:lang w:val="es-419"/>
        </w:rPr>
        <w:t>PCT</w:t>
      </w:r>
      <w:r w:rsidRPr="005F0ABE">
        <w:rPr>
          <w:lang w:val="es-419"/>
        </w:rPr>
        <w:t xml:space="preserve"> </w:t>
      </w:r>
      <w:r w:rsidR="00D137C9" w:rsidRPr="005F0ABE">
        <w:rPr>
          <w:lang w:val="es-419"/>
        </w:rPr>
        <w:t>y la</w:t>
      </w:r>
      <w:r w:rsidRPr="005F0ABE">
        <w:rPr>
          <w:lang w:val="es-419"/>
        </w:rPr>
        <w:t xml:space="preserve"> </w:t>
      </w:r>
      <w:r w:rsidR="003C3EEB" w:rsidRPr="005F0ABE">
        <w:rPr>
          <w:lang w:val="es-419"/>
        </w:rPr>
        <w:t xml:space="preserve">Oficina Internacional </w:t>
      </w:r>
      <w:r w:rsidR="00D137C9" w:rsidRPr="005F0ABE">
        <w:rPr>
          <w:lang w:val="es-419"/>
        </w:rPr>
        <w:t xml:space="preserve">observa una clara reducción de la carga de trabajo relativa a las peticiones por </w:t>
      </w:r>
      <w:r w:rsidR="003C3EEB" w:rsidRPr="005F0ABE">
        <w:rPr>
          <w:lang w:val="es-419"/>
        </w:rPr>
        <w:t xml:space="preserve">pérdidas </w:t>
      </w:r>
      <w:r w:rsidR="00D137C9" w:rsidRPr="005F0ABE">
        <w:rPr>
          <w:lang w:val="es-419"/>
        </w:rPr>
        <w:t xml:space="preserve">y ganancias </w:t>
      </w:r>
      <w:r w:rsidR="003C3EEB" w:rsidRPr="005F0ABE">
        <w:rPr>
          <w:lang w:val="es-419"/>
        </w:rPr>
        <w:t>cambiarias</w:t>
      </w:r>
      <w:r w:rsidRPr="005F0ABE">
        <w:rPr>
          <w:lang w:val="es-419"/>
        </w:rPr>
        <w:t xml:space="preserve"> </w:t>
      </w:r>
      <w:r w:rsidR="00D137C9" w:rsidRPr="005F0ABE">
        <w:rPr>
          <w:lang w:val="es-419"/>
        </w:rPr>
        <w:t>formuladas en virtud de la Regla</w:t>
      </w:r>
      <w:r w:rsidR="004E0611">
        <w:rPr>
          <w:lang w:val="es-419"/>
        </w:rPr>
        <w:t> </w:t>
      </w:r>
      <w:r w:rsidRPr="005F0ABE">
        <w:rPr>
          <w:lang w:val="es-419"/>
        </w:rPr>
        <w:t>16.1</w:t>
      </w:r>
      <w:r w:rsidR="00D137C9" w:rsidRPr="005F0ABE">
        <w:rPr>
          <w:lang w:val="es-419"/>
        </w:rPr>
        <w:t>.</w:t>
      </w:r>
      <w:r w:rsidRPr="005F0ABE">
        <w:rPr>
          <w:lang w:val="es-419"/>
        </w:rPr>
        <w:t>e)</w:t>
      </w:r>
      <w:r w:rsidRPr="005F0ABE">
        <w:rPr>
          <w:vertAlign w:val="superscript"/>
          <w:lang w:val="es-419"/>
        </w:rPr>
        <w:footnoteReference w:id="5"/>
      </w:r>
      <w:r w:rsidR="00D137C9" w:rsidRPr="005F0ABE">
        <w:rPr>
          <w:lang w:val="es-419"/>
        </w:rPr>
        <w:t xml:space="preserve"> del Reglamento del PCT</w:t>
      </w:r>
      <w:r w:rsidRPr="005F0ABE">
        <w:rPr>
          <w:lang w:val="es-419"/>
        </w:rPr>
        <w:t xml:space="preserve">. </w:t>
      </w:r>
      <w:r w:rsidR="009176DF" w:rsidRPr="005F0ABE">
        <w:rPr>
          <w:lang w:val="es-419"/>
        </w:rPr>
        <w:t xml:space="preserve">A medida que avance, el proceso se volverá más ágil </w:t>
      </w:r>
      <w:r w:rsidR="009176DF" w:rsidRPr="005F0ABE">
        <w:rPr>
          <w:lang w:val="es-419"/>
        </w:rPr>
        <w:lastRenderedPageBreak/>
        <w:t>y eficiente gracias a la automatización de varias tareas que se realizan manualmente</w:t>
      </w:r>
      <w:r w:rsidRPr="005F0ABE">
        <w:rPr>
          <w:lang w:val="es-419"/>
        </w:rPr>
        <w:t xml:space="preserve"> </w:t>
      </w:r>
      <w:r w:rsidR="009176DF" w:rsidRPr="005F0ABE">
        <w:rPr>
          <w:lang w:val="es-419"/>
        </w:rPr>
        <w:t xml:space="preserve">en las operaciones de </w:t>
      </w:r>
      <w:r w:rsidR="003C3EEB" w:rsidRPr="005F0ABE">
        <w:rPr>
          <w:lang w:val="es-419"/>
        </w:rPr>
        <w:t>compensación por saldos netos</w:t>
      </w:r>
      <w:r w:rsidRPr="005F0ABE">
        <w:rPr>
          <w:lang w:val="es-419"/>
        </w:rPr>
        <w:t>.</w:t>
      </w:r>
    </w:p>
    <w:p w:rsidR="0002239A" w:rsidRPr="005F0ABE" w:rsidRDefault="00737BD5" w:rsidP="003C3EEB">
      <w:pPr>
        <w:spacing w:after="220"/>
        <w:rPr>
          <w:lang w:val="es-419"/>
        </w:rPr>
      </w:pPr>
      <w:r w:rsidRPr="005F0ABE">
        <w:rPr>
          <w:lang w:val="es-419"/>
        </w:rPr>
        <w:t>11.</w:t>
      </w:r>
      <w:r w:rsidRPr="005F0ABE">
        <w:rPr>
          <w:lang w:val="es-419"/>
        </w:rPr>
        <w:tab/>
      </w:r>
      <w:r w:rsidR="002B3BE1" w:rsidRPr="005F0ABE">
        <w:rPr>
          <w:lang w:val="es-419"/>
        </w:rPr>
        <w:t>Como</w:t>
      </w:r>
      <w:r w:rsidR="00A605C5" w:rsidRPr="005F0ABE">
        <w:rPr>
          <w:lang w:val="es-419"/>
        </w:rPr>
        <w:t xml:space="preserve"> consecuencia de la aplicación del proceso de </w:t>
      </w:r>
      <w:r w:rsidR="003C3EEB" w:rsidRPr="005F0ABE">
        <w:rPr>
          <w:lang w:val="es-419"/>
        </w:rPr>
        <w:t>compensación por saldos netos</w:t>
      </w:r>
      <w:r w:rsidRPr="005F0ABE">
        <w:rPr>
          <w:lang w:val="es-419"/>
        </w:rPr>
        <w:t xml:space="preserve"> </w:t>
      </w:r>
      <w:r w:rsidR="002B3BE1" w:rsidRPr="005F0ABE">
        <w:rPr>
          <w:lang w:val="es-419"/>
        </w:rPr>
        <w:t>se produjo una disminución del 69% e</w:t>
      </w:r>
      <w:r w:rsidRPr="005F0ABE">
        <w:rPr>
          <w:lang w:val="es-419"/>
        </w:rPr>
        <w:t xml:space="preserve">n </w:t>
      </w:r>
      <w:r w:rsidR="002B3BE1" w:rsidRPr="005F0ABE">
        <w:rPr>
          <w:lang w:val="es-419"/>
        </w:rPr>
        <w:t>la cantidad nocional media de efectivo en el banco</w:t>
      </w:r>
      <w:r w:rsidRPr="005F0ABE">
        <w:rPr>
          <w:lang w:val="es-419"/>
        </w:rPr>
        <w:t xml:space="preserve"> (</w:t>
      </w:r>
      <w:r w:rsidR="002B3BE1" w:rsidRPr="005F0ABE">
        <w:rPr>
          <w:lang w:val="es-419"/>
        </w:rPr>
        <w:t xml:space="preserve">en </w:t>
      </w:r>
      <w:r w:rsidR="00A605C5" w:rsidRPr="005F0ABE">
        <w:rPr>
          <w:lang w:val="es-419"/>
        </w:rPr>
        <w:t>euro</w:t>
      </w:r>
      <w:r w:rsidR="002B3BE1" w:rsidRPr="005F0ABE">
        <w:rPr>
          <w:lang w:val="es-419"/>
        </w:rPr>
        <w:t>s</w:t>
      </w:r>
      <w:r w:rsidRPr="005F0ABE">
        <w:rPr>
          <w:lang w:val="es-419"/>
        </w:rPr>
        <w:t xml:space="preserve">) </w:t>
      </w:r>
      <w:r w:rsidR="002B3BE1" w:rsidRPr="005F0ABE">
        <w:rPr>
          <w:lang w:val="es-419"/>
        </w:rPr>
        <w:t>en lo que concierne a las tasas de búsqueda del</w:t>
      </w:r>
      <w:r w:rsidRPr="005F0ABE">
        <w:rPr>
          <w:lang w:val="es-419"/>
        </w:rPr>
        <w:t xml:space="preserve"> </w:t>
      </w:r>
      <w:r w:rsidR="00A605C5" w:rsidRPr="005F0ABE">
        <w:rPr>
          <w:lang w:val="es-419"/>
        </w:rPr>
        <w:t>PC</w:t>
      </w:r>
      <w:r w:rsidR="003C3EEB" w:rsidRPr="005F0ABE">
        <w:rPr>
          <w:lang w:val="es-419"/>
        </w:rPr>
        <w:t>T</w:t>
      </w:r>
      <w:r w:rsidRPr="005F0ABE">
        <w:rPr>
          <w:lang w:val="es-419"/>
        </w:rPr>
        <w:t xml:space="preserve">. </w:t>
      </w:r>
      <w:r w:rsidR="002B3BE1" w:rsidRPr="005F0ABE">
        <w:rPr>
          <w:lang w:val="es-419"/>
        </w:rPr>
        <w:t>Esa</w:t>
      </w:r>
      <w:r w:rsidRPr="005F0ABE">
        <w:rPr>
          <w:lang w:val="es-419"/>
        </w:rPr>
        <w:t xml:space="preserve"> </w:t>
      </w:r>
      <w:r w:rsidR="003B3B68" w:rsidRPr="005F0ABE">
        <w:rPr>
          <w:lang w:val="es-419"/>
        </w:rPr>
        <w:t>reducción</w:t>
      </w:r>
      <w:r w:rsidRPr="005F0ABE">
        <w:rPr>
          <w:lang w:val="es-419"/>
        </w:rPr>
        <w:t xml:space="preserve"> </w:t>
      </w:r>
      <w:r w:rsidR="002B3BE1" w:rsidRPr="005F0ABE">
        <w:rPr>
          <w:lang w:val="es-419"/>
        </w:rPr>
        <w:t>permitió a la</w:t>
      </w:r>
      <w:r w:rsidRPr="005F0ABE">
        <w:rPr>
          <w:lang w:val="es-419"/>
        </w:rPr>
        <w:t xml:space="preserve"> </w:t>
      </w:r>
      <w:r w:rsidR="003C3EEB" w:rsidRPr="005F0ABE">
        <w:rPr>
          <w:lang w:val="es-419"/>
        </w:rPr>
        <w:t>Oficina Internacional de la OMPI</w:t>
      </w:r>
      <w:r w:rsidRPr="005F0ABE">
        <w:rPr>
          <w:lang w:val="es-419"/>
        </w:rPr>
        <w:t xml:space="preserve"> </w:t>
      </w:r>
      <w:r w:rsidR="002B3BE1" w:rsidRPr="005F0ABE">
        <w:rPr>
          <w:lang w:val="es-419"/>
        </w:rPr>
        <w:t>evitar costos financieros relacionados con las tasas de interés prevalentemente negativas</w:t>
      </w:r>
      <w:r w:rsidRPr="005F0ABE">
        <w:rPr>
          <w:lang w:val="es-419"/>
        </w:rPr>
        <w:t>.</w:t>
      </w:r>
    </w:p>
    <w:p w:rsidR="0002239A" w:rsidRPr="005F0ABE" w:rsidRDefault="00737BD5" w:rsidP="003C3EEB">
      <w:pPr>
        <w:spacing w:after="220"/>
        <w:rPr>
          <w:lang w:val="es-419"/>
        </w:rPr>
      </w:pPr>
      <w:r w:rsidRPr="005F0ABE">
        <w:rPr>
          <w:lang w:val="es-419"/>
        </w:rPr>
        <w:t>12.</w:t>
      </w:r>
      <w:r w:rsidRPr="005F0ABE">
        <w:rPr>
          <w:lang w:val="es-419"/>
        </w:rPr>
        <w:tab/>
      </w:r>
      <w:r w:rsidR="002B3BE1" w:rsidRPr="005F0ABE">
        <w:rPr>
          <w:lang w:val="es-419"/>
        </w:rPr>
        <w:t>Además</w:t>
      </w:r>
      <w:r w:rsidRPr="005F0ABE">
        <w:rPr>
          <w:lang w:val="es-419"/>
        </w:rPr>
        <w:t xml:space="preserve">, </w:t>
      </w:r>
      <w:r w:rsidR="002B3BE1" w:rsidRPr="005F0ABE">
        <w:rPr>
          <w:lang w:val="es-419"/>
        </w:rPr>
        <w:t xml:space="preserve">la </w:t>
      </w:r>
      <w:r w:rsidR="003C3EEB" w:rsidRPr="005F0ABE">
        <w:rPr>
          <w:lang w:val="es-419"/>
        </w:rPr>
        <w:t>D</w:t>
      </w:r>
      <w:r w:rsidR="002B3BE1" w:rsidRPr="005F0ABE">
        <w:rPr>
          <w:lang w:val="es-419"/>
        </w:rPr>
        <w:t xml:space="preserve">SI observó una </w:t>
      </w:r>
      <w:r w:rsidR="00FF466C" w:rsidRPr="005F0ABE">
        <w:rPr>
          <w:lang w:val="es-419"/>
        </w:rPr>
        <w:t xml:space="preserve">disminución </w:t>
      </w:r>
      <w:r w:rsidRPr="005F0ABE">
        <w:rPr>
          <w:lang w:val="es-419"/>
        </w:rPr>
        <w:t xml:space="preserve">nominal </w:t>
      </w:r>
      <w:r w:rsidR="003B3B68" w:rsidRPr="005F0ABE">
        <w:rPr>
          <w:lang w:val="es-419"/>
        </w:rPr>
        <w:t>monetaria</w:t>
      </w:r>
      <w:r w:rsidRPr="005F0ABE">
        <w:rPr>
          <w:lang w:val="es-419"/>
        </w:rPr>
        <w:t xml:space="preserve"> </w:t>
      </w:r>
      <w:r w:rsidR="00FF466C" w:rsidRPr="005F0ABE">
        <w:rPr>
          <w:lang w:val="es-419"/>
        </w:rPr>
        <w:t>e</w:t>
      </w:r>
      <w:r w:rsidRPr="005F0ABE">
        <w:rPr>
          <w:lang w:val="es-419"/>
        </w:rPr>
        <w:t xml:space="preserve">n </w:t>
      </w:r>
      <w:r w:rsidR="00FF466C" w:rsidRPr="005F0ABE">
        <w:rPr>
          <w:lang w:val="es-419"/>
        </w:rPr>
        <w:t xml:space="preserve">las comisiones bancarias relativas a </w:t>
      </w:r>
      <w:r w:rsidR="00061180" w:rsidRPr="005F0ABE">
        <w:rPr>
          <w:lang w:val="es-419"/>
        </w:rPr>
        <w:t>la transferencia elec</w:t>
      </w:r>
      <w:r w:rsidR="00096C52" w:rsidRPr="005F0ABE">
        <w:rPr>
          <w:lang w:val="es-419"/>
        </w:rPr>
        <w:t>tr</w:t>
      </w:r>
      <w:r w:rsidR="00061180" w:rsidRPr="005F0ABE">
        <w:rPr>
          <w:lang w:val="es-419"/>
        </w:rPr>
        <w:t>ónica de fondos</w:t>
      </w:r>
      <w:r w:rsidRPr="005F0ABE">
        <w:rPr>
          <w:lang w:val="es-419"/>
        </w:rPr>
        <w:t xml:space="preserve">, </w:t>
      </w:r>
      <w:r w:rsidR="00061180" w:rsidRPr="005F0ABE">
        <w:rPr>
          <w:lang w:val="es-419"/>
        </w:rPr>
        <w:t xml:space="preserve">que se correlaciona con la </w:t>
      </w:r>
      <w:r w:rsidR="003B3B68" w:rsidRPr="005F0ABE">
        <w:rPr>
          <w:lang w:val="es-419"/>
        </w:rPr>
        <w:t>reducción</w:t>
      </w:r>
      <w:r w:rsidRPr="005F0ABE">
        <w:rPr>
          <w:lang w:val="es-419"/>
        </w:rPr>
        <w:t xml:space="preserve"> </w:t>
      </w:r>
      <w:r w:rsidR="00061180" w:rsidRPr="005F0ABE">
        <w:rPr>
          <w:lang w:val="es-419"/>
        </w:rPr>
        <w:t xml:space="preserve">del volumen de </w:t>
      </w:r>
      <w:r w:rsidR="003B3B68" w:rsidRPr="005F0ABE">
        <w:rPr>
          <w:lang w:val="es-419"/>
        </w:rPr>
        <w:t>transacciones</w:t>
      </w:r>
      <w:r w:rsidRPr="005F0ABE">
        <w:rPr>
          <w:lang w:val="es-419"/>
        </w:rPr>
        <w:t xml:space="preserve"> </w:t>
      </w:r>
      <w:r w:rsidR="00061180" w:rsidRPr="005F0ABE">
        <w:rPr>
          <w:lang w:val="es-419"/>
        </w:rPr>
        <w:t xml:space="preserve">de transferencia electrónica de fondos </w:t>
      </w:r>
      <w:r w:rsidRPr="005F0ABE">
        <w:rPr>
          <w:lang w:val="es-419"/>
        </w:rPr>
        <w:t>–</w:t>
      </w:r>
      <w:r w:rsidR="00061180" w:rsidRPr="005F0ABE">
        <w:rPr>
          <w:lang w:val="es-419"/>
        </w:rPr>
        <w:t>pagos e ingresos</w:t>
      </w:r>
      <w:r w:rsidRPr="005F0ABE">
        <w:rPr>
          <w:lang w:val="es-419"/>
        </w:rPr>
        <w:t xml:space="preserve">, </w:t>
      </w:r>
      <w:r w:rsidR="00061180" w:rsidRPr="005F0ABE">
        <w:rPr>
          <w:lang w:val="es-419"/>
        </w:rPr>
        <w:t>y con la disminución del número de peticiones de reembolso</w:t>
      </w:r>
      <w:r w:rsidRPr="005F0ABE">
        <w:rPr>
          <w:lang w:val="es-419"/>
        </w:rPr>
        <w:t xml:space="preserve">, </w:t>
      </w:r>
      <w:r w:rsidR="00061180" w:rsidRPr="005F0ABE">
        <w:rPr>
          <w:lang w:val="es-419"/>
        </w:rPr>
        <w:t>de las ISA participantes</w:t>
      </w:r>
      <w:r w:rsidRPr="005F0ABE">
        <w:rPr>
          <w:lang w:val="es-419"/>
        </w:rPr>
        <w:t>.</w:t>
      </w:r>
    </w:p>
    <w:p w:rsidR="0002239A" w:rsidRPr="005F0ABE" w:rsidRDefault="00737BD5" w:rsidP="003C3EEB">
      <w:pPr>
        <w:keepLines/>
        <w:spacing w:after="220"/>
        <w:rPr>
          <w:lang w:val="es-419"/>
        </w:rPr>
      </w:pPr>
      <w:r w:rsidRPr="005F0ABE">
        <w:rPr>
          <w:lang w:val="es-419"/>
        </w:rPr>
        <w:t>13.</w:t>
      </w:r>
      <w:r w:rsidRPr="005F0ABE">
        <w:rPr>
          <w:lang w:val="es-419"/>
        </w:rPr>
        <w:tab/>
      </w:r>
      <w:r w:rsidR="00096C52" w:rsidRPr="005F0ABE">
        <w:rPr>
          <w:lang w:val="es-419"/>
        </w:rPr>
        <w:t>El</w:t>
      </w:r>
      <w:r w:rsidRPr="005F0ABE">
        <w:rPr>
          <w:lang w:val="es-419"/>
        </w:rPr>
        <w:t xml:space="preserve"> </w:t>
      </w:r>
      <w:r w:rsidR="003B3B68" w:rsidRPr="005F0ABE">
        <w:rPr>
          <w:lang w:val="es-419"/>
        </w:rPr>
        <w:t>volumen</w:t>
      </w:r>
      <w:r w:rsidRPr="005F0ABE">
        <w:rPr>
          <w:lang w:val="es-419"/>
        </w:rPr>
        <w:t xml:space="preserve"> </w:t>
      </w:r>
      <w:r w:rsidR="00096C52" w:rsidRPr="005F0ABE">
        <w:rPr>
          <w:lang w:val="es-419"/>
        </w:rPr>
        <w:t>de</w:t>
      </w:r>
      <w:r w:rsidRPr="005F0ABE">
        <w:rPr>
          <w:lang w:val="es-419"/>
        </w:rPr>
        <w:t xml:space="preserve"> </w:t>
      </w:r>
      <w:r w:rsidR="003B3B68" w:rsidRPr="005F0ABE">
        <w:rPr>
          <w:lang w:val="es-419"/>
        </w:rPr>
        <w:t>transacciones</w:t>
      </w:r>
      <w:r w:rsidRPr="005F0ABE">
        <w:rPr>
          <w:lang w:val="es-419"/>
        </w:rPr>
        <w:t xml:space="preserve"> </w:t>
      </w:r>
      <w:r w:rsidR="00096C52" w:rsidRPr="005F0ABE">
        <w:rPr>
          <w:lang w:val="es-419"/>
        </w:rPr>
        <w:t>de transferencia electrónica de fondos disminuyó, pasando de </w:t>
      </w:r>
      <w:r w:rsidRPr="005F0ABE">
        <w:rPr>
          <w:lang w:val="es-419"/>
        </w:rPr>
        <w:t xml:space="preserve">90 </w:t>
      </w:r>
      <w:r w:rsidR="00096C52" w:rsidRPr="005F0ABE">
        <w:rPr>
          <w:lang w:val="es-419"/>
        </w:rPr>
        <w:t>e</w:t>
      </w:r>
      <w:r w:rsidRPr="005F0ABE">
        <w:rPr>
          <w:lang w:val="es-419"/>
        </w:rPr>
        <w:t xml:space="preserve">n 2017 </w:t>
      </w:r>
      <w:r w:rsidR="00096C52" w:rsidRPr="005F0ABE">
        <w:rPr>
          <w:lang w:val="es-419"/>
        </w:rPr>
        <w:t>a </w:t>
      </w:r>
      <w:r w:rsidRPr="005F0ABE">
        <w:rPr>
          <w:lang w:val="es-419"/>
        </w:rPr>
        <w:t xml:space="preserve">39 </w:t>
      </w:r>
      <w:r w:rsidR="00096C52" w:rsidRPr="005F0ABE">
        <w:rPr>
          <w:lang w:val="es-419"/>
        </w:rPr>
        <w:t>e</w:t>
      </w:r>
      <w:r w:rsidRPr="005F0ABE">
        <w:rPr>
          <w:lang w:val="es-419"/>
        </w:rPr>
        <w:t>n 2018 (</w:t>
      </w:r>
      <w:r w:rsidR="00096C52" w:rsidRPr="005F0ABE">
        <w:rPr>
          <w:lang w:val="es-419"/>
        </w:rPr>
        <w:t xml:space="preserve">período de </w:t>
      </w:r>
      <w:r w:rsidR="003C3EEB" w:rsidRPr="005F0ABE">
        <w:rPr>
          <w:lang w:val="es-419"/>
        </w:rPr>
        <w:t>compensación por saldos netos</w:t>
      </w:r>
      <w:r w:rsidRPr="005F0ABE">
        <w:rPr>
          <w:lang w:val="es-419"/>
        </w:rPr>
        <w:t xml:space="preserve">), </w:t>
      </w:r>
      <w:r w:rsidR="00096C52" w:rsidRPr="005F0ABE">
        <w:rPr>
          <w:lang w:val="es-419"/>
        </w:rPr>
        <w:t xml:space="preserve">es decir, 51 transacciones menos </w:t>
      </w:r>
      <w:r w:rsidRPr="005F0ABE">
        <w:rPr>
          <w:lang w:val="es-419"/>
        </w:rPr>
        <w:t>(</w:t>
      </w:r>
      <w:r w:rsidR="00096C52" w:rsidRPr="005F0ABE">
        <w:rPr>
          <w:lang w:val="es-419"/>
        </w:rPr>
        <w:t xml:space="preserve">disminución del </w:t>
      </w:r>
      <w:r w:rsidRPr="005F0ABE">
        <w:rPr>
          <w:lang w:val="es-419"/>
        </w:rPr>
        <w:t>57</w:t>
      </w:r>
      <w:r w:rsidR="00096C52" w:rsidRPr="005F0ABE">
        <w:rPr>
          <w:lang w:val="es-419"/>
        </w:rPr>
        <w:t>%</w:t>
      </w:r>
      <w:r w:rsidRPr="005F0ABE">
        <w:rPr>
          <w:lang w:val="es-419"/>
        </w:rPr>
        <w:t xml:space="preserve">), </w:t>
      </w:r>
      <w:r w:rsidR="00096C52" w:rsidRPr="005F0ABE">
        <w:rPr>
          <w:lang w:val="es-419"/>
        </w:rPr>
        <w:t>y el número de peticiones de reembolso disminuyó, pasando de </w:t>
      </w:r>
      <w:r w:rsidRPr="005F0ABE">
        <w:rPr>
          <w:lang w:val="es-419"/>
        </w:rPr>
        <w:t>160 (</w:t>
      </w:r>
      <w:r w:rsidR="00096C52" w:rsidRPr="005F0ABE">
        <w:rPr>
          <w:lang w:val="es-419"/>
        </w:rPr>
        <w:t xml:space="preserve">período anterior a la </w:t>
      </w:r>
      <w:r w:rsidR="003C3EEB" w:rsidRPr="005F0ABE">
        <w:rPr>
          <w:lang w:val="es-419"/>
        </w:rPr>
        <w:t>compensación por saldos netos</w:t>
      </w:r>
      <w:r w:rsidRPr="005F0ABE">
        <w:rPr>
          <w:lang w:val="es-419"/>
        </w:rPr>
        <w:t xml:space="preserve">) </w:t>
      </w:r>
      <w:r w:rsidR="00096C52" w:rsidRPr="005F0ABE">
        <w:rPr>
          <w:lang w:val="es-419"/>
        </w:rPr>
        <w:t>a </w:t>
      </w:r>
      <w:r w:rsidRPr="005F0ABE">
        <w:rPr>
          <w:lang w:val="es-419"/>
        </w:rPr>
        <w:t>87 (</w:t>
      </w:r>
      <w:r w:rsidR="00096C52" w:rsidRPr="005F0ABE">
        <w:rPr>
          <w:lang w:val="es-419"/>
        </w:rPr>
        <w:t xml:space="preserve">período de </w:t>
      </w:r>
      <w:r w:rsidR="003C3EEB" w:rsidRPr="005F0ABE">
        <w:rPr>
          <w:lang w:val="es-419"/>
        </w:rPr>
        <w:t>compensación por saldos netos</w:t>
      </w:r>
      <w:r w:rsidRPr="005F0ABE">
        <w:rPr>
          <w:lang w:val="es-419"/>
        </w:rPr>
        <w:t xml:space="preserve">), </w:t>
      </w:r>
      <w:r w:rsidR="00096C52" w:rsidRPr="005F0ABE">
        <w:rPr>
          <w:lang w:val="es-419"/>
        </w:rPr>
        <w:t xml:space="preserve">es decir, </w:t>
      </w:r>
      <w:r w:rsidRPr="005F0ABE">
        <w:rPr>
          <w:lang w:val="es-419"/>
        </w:rPr>
        <w:t xml:space="preserve">73 </w:t>
      </w:r>
      <w:r w:rsidR="00096C52" w:rsidRPr="005F0ABE">
        <w:rPr>
          <w:lang w:val="es-419"/>
        </w:rPr>
        <w:t>peticiones menos</w:t>
      </w:r>
      <w:r w:rsidRPr="005F0ABE">
        <w:rPr>
          <w:lang w:val="es-419"/>
        </w:rPr>
        <w:t xml:space="preserve"> (</w:t>
      </w:r>
      <w:r w:rsidR="00096C52" w:rsidRPr="005F0ABE">
        <w:rPr>
          <w:lang w:val="es-419"/>
        </w:rPr>
        <w:t>disminución del </w:t>
      </w:r>
      <w:r w:rsidRPr="005F0ABE">
        <w:rPr>
          <w:lang w:val="es-419"/>
        </w:rPr>
        <w:t>46</w:t>
      </w:r>
      <w:r w:rsidR="00096C52" w:rsidRPr="005F0ABE">
        <w:rPr>
          <w:lang w:val="es-419"/>
        </w:rPr>
        <w:t>%</w:t>
      </w:r>
      <w:r w:rsidRPr="005F0ABE">
        <w:rPr>
          <w:lang w:val="es-419"/>
        </w:rPr>
        <w:t xml:space="preserve">). </w:t>
      </w:r>
      <w:r w:rsidR="00096C52" w:rsidRPr="005F0ABE">
        <w:rPr>
          <w:lang w:val="es-419"/>
        </w:rPr>
        <w:t>Ello contribuyó a mitigar otros riesgos</w:t>
      </w:r>
      <w:r w:rsidR="0011543F" w:rsidRPr="005F0ABE">
        <w:rPr>
          <w:lang w:val="es-419"/>
        </w:rPr>
        <w:t xml:space="preserve"> operacionales, como los eventuales errores</w:t>
      </w:r>
      <w:r w:rsidRPr="005F0ABE">
        <w:rPr>
          <w:lang w:val="es-419"/>
        </w:rPr>
        <w:t>,</w:t>
      </w:r>
      <w:r w:rsidR="0011543F" w:rsidRPr="005F0ABE">
        <w:rPr>
          <w:lang w:val="es-419"/>
        </w:rPr>
        <w:t xml:space="preserve"> debido</w:t>
      </w:r>
      <w:r w:rsidRPr="005F0ABE">
        <w:rPr>
          <w:lang w:val="es-419"/>
        </w:rPr>
        <w:t xml:space="preserve"> a </w:t>
      </w:r>
      <w:r w:rsidR="0011543F" w:rsidRPr="005F0ABE">
        <w:rPr>
          <w:lang w:val="es-419"/>
        </w:rPr>
        <w:t>la reducción en la tramitación de un gran volumen de transacciones</w:t>
      </w:r>
      <w:r w:rsidRPr="005F0ABE">
        <w:rPr>
          <w:lang w:val="es-419"/>
        </w:rPr>
        <w:t>.</w:t>
      </w:r>
    </w:p>
    <w:p w:rsidR="0002239A" w:rsidRPr="005F0ABE" w:rsidRDefault="00737BD5" w:rsidP="003C3EEB">
      <w:pPr>
        <w:spacing w:after="220"/>
        <w:rPr>
          <w:lang w:val="es-419"/>
        </w:rPr>
      </w:pPr>
      <w:r w:rsidRPr="005F0ABE">
        <w:rPr>
          <w:lang w:val="es-419"/>
        </w:rPr>
        <w:t>14.</w:t>
      </w:r>
      <w:r w:rsidRPr="005F0ABE">
        <w:rPr>
          <w:lang w:val="es-419"/>
        </w:rPr>
        <w:tab/>
      </w:r>
      <w:r w:rsidR="00934678" w:rsidRPr="005F0ABE">
        <w:rPr>
          <w:lang w:val="es-419"/>
        </w:rPr>
        <w:t>Aprovechar la configuración disponible en</w:t>
      </w:r>
      <w:r w:rsidRPr="005F0ABE">
        <w:rPr>
          <w:lang w:val="es-419"/>
        </w:rPr>
        <w:t xml:space="preserve"> Coprocess (</w:t>
      </w:r>
      <w:r w:rsidR="0011543F" w:rsidRPr="005F0ABE">
        <w:rPr>
          <w:lang w:val="es-419"/>
        </w:rPr>
        <w:t>el programa informático de</w:t>
      </w:r>
      <w:r w:rsidRPr="005F0ABE">
        <w:rPr>
          <w:lang w:val="es-419"/>
        </w:rPr>
        <w:t xml:space="preserve"> </w:t>
      </w:r>
      <w:r w:rsidR="003C3EEB" w:rsidRPr="005F0ABE">
        <w:rPr>
          <w:lang w:val="es-419"/>
        </w:rPr>
        <w:t>compensación por saldos netos</w:t>
      </w:r>
      <w:r w:rsidRPr="005F0ABE">
        <w:rPr>
          <w:lang w:val="es-419"/>
        </w:rPr>
        <w:t xml:space="preserve">) </w:t>
      </w:r>
      <w:r w:rsidR="00934678" w:rsidRPr="005F0ABE">
        <w:rPr>
          <w:lang w:val="es-419"/>
        </w:rPr>
        <w:t>y alentar la</w:t>
      </w:r>
      <w:r w:rsidRPr="005F0ABE">
        <w:rPr>
          <w:lang w:val="es-419"/>
        </w:rPr>
        <w:t xml:space="preserve"> </w:t>
      </w:r>
      <w:r w:rsidR="005F0ABE" w:rsidRPr="005F0ABE">
        <w:rPr>
          <w:lang w:val="es-419"/>
        </w:rPr>
        <w:t>participación</w:t>
      </w:r>
      <w:r w:rsidRPr="005F0ABE">
        <w:rPr>
          <w:lang w:val="es-419"/>
        </w:rPr>
        <w:t xml:space="preserve"> </w:t>
      </w:r>
      <w:r w:rsidR="00934678" w:rsidRPr="005F0ABE">
        <w:rPr>
          <w:lang w:val="es-419"/>
        </w:rPr>
        <w:t>de las ISA/Oficinas receptoras no participantes</w:t>
      </w:r>
      <w:r w:rsidRPr="005F0ABE">
        <w:rPr>
          <w:lang w:val="es-419"/>
        </w:rPr>
        <w:t xml:space="preserve">, </w:t>
      </w:r>
      <w:r w:rsidR="00934678" w:rsidRPr="005F0ABE">
        <w:rPr>
          <w:lang w:val="es-419"/>
        </w:rPr>
        <w:t>ampliar</w:t>
      </w:r>
      <w:r w:rsidR="00746664" w:rsidRPr="005F0ABE">
        <w:rPr>
          <w:lang w:val="es-419"/>
        </w:rPr>
        <w:t>á el panorama de las exposiciones cambiarias</w:t>
      </w:r>
      <w:r w:rsidRPr="005F0ABE">
        <w:rPr>
          <w:lang w:val="es-419"/>
        </w:rPr>
        <w:t>, reduc</w:t>
      </w:r>
      <w:r w:rsidR="00746664" w:rsidRPr="005F0ABE">
        <w:rPr>
          <w:lang w:val="es-419"/>
        </w:rPr>
        <w:t xml:space="preserve">irá el número de peticiones de reembolso en virtud de la Regla </w:t>
      </w:r>
      <w:r w:rsidRPr="005F0ABE">
        <w:rPr>
          <w:lang w:val="es-419"/>
        </w:rPr>
        <w:t>16.1</w:t>
      </w:r>
      <w:r w:rsidR="00746664" w:rsidRPr="005F0ABE">
        <w:rPr>
          <w:lang w:val="es-419"/>
        </w:rPr>
        <w:t>.</w:t>
      </w:r>
      <w:r w:rsidRPr="005F0ABE">
        <w:rPr>
          <w:lang w:val="es-419"/>
        </w:rPr>
        <w:t>e)</w:t>
      </w:r>
      <w:r w:rsidR="00746664" w:rsidRPr="005F0ABE">
        <w:rPr>
          <w:lang w:val="es-419"/>
        </w:rPr>
        <w:t xml:space="preserve"> del Reglamento del PCT,</w:t>
      </w:r>
      <w:r w:rsidRPr="005F0ABE">
        <w:rPr>
          <w:lang w:val="es-419"/>
        </w:rPr>
        <w:t xml:space="preserve"> </w:t>
      </w:r>
      <w:r w:rsidR="00746664" w:rsidRPr="005F0ABE">
        <w:rPr>
          <w:lang w:val="es-419"/>
        </w:rPr>
        <w:t>dará mayor previsibilidad al proceso presupuestario y mejorará la estabilidad financiera de la</w:t>
      </w:r>
      <w:r w:rsidRPr="005F0ABE">
        <w:rPr>
          <w:lang w:val="es-419"/>
        </w:rPr>
        <w:t xml:space="preserve"> </w:t>
      </w:r>
      <w:r w:rsidR="003C3EEB" w:rsidRPr="005F0ABE">
        <w:rPr>
          <w:lang w:val="es-419"/>
        </w:rPr>
        <w:t>Oficina Internacional</w:t>
      </w:r>
      <w:r w:rsidRPr="005F0ABE">
        <w:rPr>
          <w:lang w:val="es-419"/>
        </w:rPr>
        <w:t>.</w:t>
      </w:r>
    </w:p>
    <w:p w:rsidR="0002239A" w:rsidRPr="005F0ABE" w:rsidRDefault="00737BD5" w:rsidP="003C3EEB">
      <w:pPr>
        <w:spacing w:after="220"/>
        <w:rPr>
          <w:lang w:val="es-419"/>
        </w:rPr>
      </w:pPr>
      <w:r w:rsidRPr="005F0ABE">
        <w:rPr>
          <w:lang w:val="es-419"/>
        </w:rPr>
        <w:t>15.</w:t>
      </w:r>
      <w:r w:rsidRPr="005F0ABE">
        <w:rPr>
          <w:lang w:val="es-419"/>
        </w:rPr>
        <w:tab/>
      </w:r>
      <w:r w:rsidR="00746664" w:rsidRPr="005F0ABE">
        <w:rPr>
          <w:lang w:val="es-419"/>
        </w:rPr>
        <w:t>Además</w:t>
      </w:r>
      <w:r w:rsidRPr="005F0ABE">
        <w:rPr>
          <w:lang w:val="es-419"/>
        </w:rPr>
        <w:t xml:space="preserve">, </w:t>
      </w:r>
      <w:r w:rsidR="00746664" w:rsidRPr="005F0ABE">
        <w:rPr>
          <w:lang w:val="es-419"/>
        </w:rPr>
        <w:t>la</w:t>
      </w:r>
      <w:r w:rsidRPr="005F0ABE">
        <w:rPr>
          <w:lang w:val="es-419"/>
        </w:rPr>
        <w:t xml:space="preserve"> </w:t>
      </w:r>
      <w:r w:rsidR="003C3EEB" w:rsidRPr="005F0ABE">
        <w:rPr>
          <w:lang w:val="es-419"/>
        </w:rPr>
        <w:t>Oficina Internacional</w:t>
      </w:r>
      <w:r w:rsidRPr="005F0ABE">
        <w:rPr>
          <w:lang w:val="es-419"/>
        </w:rPr>
        <w:t xml:space="preserve"> </w:t>
      </w:r>
      <w:r w:rsidR="00746664" w:rsidRPr="005F0ABE">
        <w:rPr>
          <w:lang w:val="es-419"/>
        </w:rPr>
        <w:t xml:space="preserve">debería </w:t>
      </w:r>
      <w:r w:rsidR="003B3B68" w:rsidRPr="005F0ABE">
        <w:rPr>
          <w:lang w:val="es-419"/>
        </w:rPr>
        <w:t>examinar</w:t>
      </w:r>
      <w:r w:rsidR="00746664" w:rsidRPr="005F0ABE">
        <w:rPr>
          <w:lang w:val="es-419"/>
        </w:rPr>
        <w:t xml:space="preserve"> el nivel de recursos necesarios para el </w:t>
      </w:r>
      <w:r w:rsidR="003B3B68" w:rsidRPr="005F0ABE">
        <w:rPr>
          <w:lang w:val="es-419"/>
        </w:rPr>
        <w:t>proceso</w:t>
      </w:r>
      <w:r w:rsidR="00746664" w:rsidRPr="005F0ABE">
        <w:rPr>
          <w:lang w:val="es-419"/>
        </w:rPr>
        <w:t xml:space="preserve"> de </w:t>
      </w:r>
      <w:r w:rsidR="003C3EEB" w:rsidRPr="005F0ABE">
        <w:rPr>
          <w:lang w:val="es-419"/>
        </w:rPr>
        <w:t>compensación por saldos netos</w:t>
      </w:r>
      <w:r w:rsidRPr="005F0ABE">
        <w:rPr>
          <w:lang w:val="es-419"/>
        </w:rPr>
        <w:t xml:space="preserve">, </w:t>
      </w:r>
      <w:r w:rsidR="00746664" w:rsidRPr="005F0ABE">
        <w:rPr>
          <w:lang w:val="es-419"/>
        </w:rPr>
        <w:t>considerando los recursos y estructuras actuales</w:t>
      </w:r>
      <w:r w:rsidRPr="005F0ABE">
        <w:rPr>
          <w:lang w:val="es-419"/>
        </w:rPr>
        <w:t xml:space="preserve">, </w:t>
      </w:r>
      <w:r w:rsidR="00746664" w:rsidRPr="005F0ABE">
        <w:rPr>
          <w:lang w:val="es-419"/>
        </w:rPr>
        <w:t xml:space="preserve">la automatización futura y la posibilidad de aumento del número de </w:t>
      </w:r>
      <w:r w:rsidR="003B3B68" w:rsidRPr="005F0ABE">
        <w:rPr>
          <w:lang w:val="es-419"/>
        </w:rPr>
        <w:t>participantes</w:t>
      </w:r>
      <w:r w:rsidR="00746664" w:rsidRPr="005F0ABE">
        <w:rPr>
          <w:lang w:val="es-419"/>
        </w:rPr>
        <w:t xml:space="preserve"> en la </w:t>
      </w:r>
      <w:r w:rsidR="003C3EEB" w:rsidRPr="005F0ABE">
        <w:rPr>
          <w:lang w:val="es-419"/>
        </w:rPr>
        <w:t>compensación por saldos netos</w:t>
      </w:r>
      <w:r w:rsidRPr="005F0ABE">
        <w:rPr>
          <w:lang w:val="es-419"/>
        </w:rPr>
        <w:t>.</w:t>
      </w:r>
    </w:p>
    <w:p w:rsidR="0002239A" w:rsidRPr="005F0ABE" w:rsidRDefault="00737BD5" w:rsidP="003C3EEB">
      <w:pPr>
        <w:spacing w:after="220"/>
        <w:rPr>
          <w:lang w:val="es-419"/>
        </w:rPr>
      </w:pPr>
      <w:r w:rsidRPr="005F0ABE">
        <w:rPr>
          <w:lang w:val="es-419"/>
        </w:rPr>
        <w:t>16.</w:t>
      </w:r>
      <w:r w:rsidRPr="005F0ABE">
        <w:rPr>
          <w:lang w:val="es-419"/>
        </w:rPr>
        <w:tab/>
      </w:r>
      <w:r w:rsidR="00746664" w:rsidRPr="005F0ABE">
        <w:rPr>
          <w:lang w:val="es-419"/>
        </w:rPr>
        <w:t>Por último</w:t>
      </w:r>
      <w:r w:rsidRPr="005F0ABE">
        <w:rPr>
          <w:lang w:val="es-419"/>
        </w:rPr>
        <w:t xml:space="preserve">, </w:t>
      </w:r>
      <w:r w:rsidR="00746664" w:rsidRPr="005F0ABE">
        <w:rPr>
          <w:lang w:val="es-419"/>
        </w:rPr>
        <w:t>beneficiaría a la</w:t>
      </w:r>
      <w:r w:rsidRPr="005F0ABE">
        <w:rPr>
          <w:lang w:val="es-419"/>
        </w:rPr>
        <w:t xml:space="preserve"> </w:t>
      </w:r>
      <w:r w:rsidR="003C3EEB" w:rsidRPr="005F0ABE">
        <w:rPr>
          <w:lang w:val="es-419"/>
        </w:rPr>
        <w:t xml:space="preserve">Oficina Internacional </w:t>
      </w:r>
      <w:r w:rsidR="00746664" w:rsidRPr="005F0ABE">
        <w:rPr>
          <w:lang w:val="es-419"/>
        </w:rPr>
        <w:t xml:space="preserve">proponer una </w:t>
      </w:r>
      <w:r w:rsidR="003C3EEB" w:rsidRPr="005F0ABE">
        <w:rPr>
          <w:lang w:val="es-419"/>
        </w:rPr>
        <w:t>modificación</w:t>
      </w:r>
      <w:r w:rsidRPr="005F0ABE">
        <w:rPr>
          <w:lang w:val="es-419"/>
        </w:rPr>
        <w:t xml:space="preserve"> </w:t>
      </w:r>
      <w:r w:rsidR="00746664" w:rsidRPr="005F0ABE">
        <w:rPr>
          <w:lang w:val="es-419"/>
        </w:rPr>
        <w:t xml:space="preserve">del Reglamento del </w:t>
      </w:r>
      <w:r w:rsidR="003C3EEB" w:rsidRPr="005F0ABE">
        <w:rPr>
          <w:lang w:val="es-419"/>
        </w:rPr>
        <w:t>PCT</w:t>
      </w:r>
      <w:r w:rsidRPr="005F0ABE">
        <w:rPr>
          <w:lang w:val="es-419"/>
        </w:rPr>
        <w:t xml:space="preserve"> </w:t>
      </w:r>
      <w:r w:rsidR="00746664" w:rsidRPr="005F0ABE">
        <w:rPr>
          <w:lang w:val="es-419"/>
        </w:rPr>
        <w:t>y las</w:t>
      </w:r>
      <w:r w:rsidRPr="005F0ABE">
        <w:rPr>
          <w:lang w:val="es-419"/>
        </w:rPr>
        <w:t xml:space="preserve"> </w:t>
      </w:r>
      <w:r w:rsidR="003C3EEB" w:rsidRPr="005F0ABE">
        <w:rPr>
          <w:lang w:val="es-419"/>
        </w:rPr>
        <w:t>Instrucciones Administrativas</w:t>
      </w:r>
      <w:r w:rsidRPr="005F0ABE">
        <w:rPr>
          <w:lang w:val="es-419"/>
        </w:rPr>
        <w:t xml:space="preserve"> </w:t>
      </w:r>
      <w:r w:rsidR="00746664" w:rsidRPr="005F0ABE">
        <w:rPr>
          <w:lang w:val="es-419"/>
        </w:rPr>
        <w:t>conexas para</w:t>
      </w:r>
      <w:r w:rsidR="002D3992" w:rsidRPr="005F0ABE">
        <w:rPr>
          <w:lang w:val="es-419"/>
        </w:rPr>
        <w:t xml:space="preserve"> que</w:t>
      </w:r>
      <w:r w:rsidRPr="005F0ABE">
        <w:rPr>
          <w:lang w:val="es-419"/>
        </w:rPr>
        <w:t xml:space="preserve">, </w:t>
      </w:r>
      <w:r w:rsidR="00746664" w:rsidRPr="005F0ABE">
        <w:rPr>
          <w:lang w:val="es-419"/>
        </w:rPr>
        <w:t>entre otras cosas</w:t>
      </w:r>
      <w:r w:rsidRPr="005F0ABE">
        <w:rPr>
          <w:lang w:val="es-419"/>
        </w:rPr>
        <w:t xml:space="preserve">, </w:t>
      </w:r>
      <w:r w:rsidR="002D3992" w:rsidRPr="005F0ABE">
        <w:rPr>
          <w:lang w:val="es-419"/>
        </w:rPr>
        <w:t>reflejen los actuales procedimientos y prácticas de trabajo correspondientes a la</w:t>
      </w:r>
      <w:r w:rsidRPr="005F0ABE">
        <w:rPr>
          <w:lang w:val="es-419"/>
        </w:rPr>
        <w:t xml:space="preserve"> </w:t>
      </w:r>
      <w:r w:rsidR="003C3EEB" w:rsidRPr="005F0ABE">
        <w:rPr>
          <w:lang w:val="es-419"/>
        </w:rPr>
        <w:t>compensación por saldos netos</w:t>
      </w:r>
      <w:r w:rsidR="002D3992" w:rsidRPr="005F0ABE">
        <w:rPr>
          <w:lang w:val="es-419"/>
        </w:rPr>
        <w:t xml:space="preserve"> y se ajusten a ellos</w:t>
      </w:r>
      <w:r w:rsidRPr="005F0ABE">
        <w:rPr>
          <w:lang w:val="es-419"/>
        </w:rPr>
        <w:t>.</w:t>
      </w:r>
    </w:p>
    <w:p w:rsidR="0002239A" w:rsidRPr="005F0ABE" w:rsidRDefault="0002239A" w:rsidP="00737BD5">
      <w:pPr>
        <w:rPr>
          <w:lang w:val="es-419"/>
        </w:rPr>
      </w:pPr>
    </w:p>
    <w:p w:rsidR="0002239A" w:rsidRPr="005F0ABE" w:rsidRDefault="0002239A" w:rsidP="00737BD5">
      <w:pPr>
        <w:rPr>
          <w:lang w:val="es-419"/>
        </w:rPr>
      </w:pPr>
    </w:p>
    <w:p w:rsidR="0002239A" w:rsidRPr="005F0ABE" w:rsidRDefault="003C3EEB" w:rsidP="003C3EEB">
      <w:pPr>
        <w:pStyle w:val="Endofdocument-Annex"/>
        <w:rPr>
          <w:lang w:val="es-419"/>
        </w:rPr>
      </w:pPr>
      <w:r w:rsidRPr="005F0ABE">
        <w:rPr>
          <w:lang w:val="es-419"/>
        </w:rPr>
        <w:t>[Fin del Anexo II y del documento]</w:t>
      </w:r>
    </w:p>
    <w:p w:rsidR="00152CEA" w:rsidRPr="005F0ABE" w:rsidRDefault="00152CEA" w:rsidP="003C3EEB">
      <w:pPr>
        <w:pStyle w:val="Endofdocument-Annex"/>
        <w:ind w:left="0"/>
        <w:rPr>
          <w:lang w:val="es-419"/>
        </w:rPr>
      </w:pPr>
    </w:p>
    <w:sectPr w:rsidR="00152CEA" w:rsidRPr="005F0ABE" w:rsidSect="008F0CB0">
      <w:headerReference w:type="default" r:id="rId13"/>
      <w:headerReference w:type="first" r:id="rId14"/>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8DC" w:rsidRDefault="00AE08DC">
      <w:r>
        <w:separator/>
      </w:r>
    </w:p>
  </w:endnote>
  <w:endnote w:type="continuationSeparator" w:id="0">
    <w:p w:rsidR="00AE08DC" w:rsidRPr="009D30E6" w:rsidRDefault="00AE08DC" w:rsidP="007E663E">
      <w:pPr>
        <w:rPr>
          <w:sz w:val="17"/>
          <w:szCs w:val="17"/>
        </w:rPr>
      </w:pPr>
      <w:r w:rsidRPr="009D30E6">
        <w:rPr>
          <w:sz w:val="17"/>
          <w:szCs w:val="17"/>
        </w:rPr>
        <w:separator/>
      </w:r>
    </w:p>
    <w:p w:rsidR="00AE08DC" w:rsidRPr="007E663E" w:rsidRDefault="00AE08DC" w:rsidP="007E663E">
      <w:pPr>
        <w:spacing w:after="60"/>
        <w:rPr>
          <w:sz w:val="17"/>
          <w:szCs w:val="17"/>
        </w:rPr>
      </w:pPr>
      <w:r>
        <w:rPr>
          <w:sz w:val="17"/>
        </w:rPr>
        <w:t>[Continuación de la nota de la página anterior]</w:t>
      </w:r>
    </w:p>
  </w:endnote>
  <w:endnote w:type="continuationNotice" w:id="1">
    <w:p w:rsidR="00AE08DC" w:rsidRPr="007E663E" w:rsidRDefault="00AE08D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8DC" w:rsidRDefault="00AE08DC">
      <w:r>
        <w:separator/>
      </w:r>
    </w:p>
  </w:footnote>
  <w:footnote w:type="continuationSeparator" w:id="0">
    <w:p w:rsidR="00AE08DC" w:rsidRPr="009D30E6" w:rsidRDefault="00AE08DC" w:rsidP="007E663E">
      <w:pPr>
        <w:rPr>
          <w:sz w:val="17"/>
          <w:szCs w:val="17"/>
        </w:rPr>
      </w:pPr>
      <w:r w:rsidRPr="009D30E6">
        <w:rPr>
          <w:sz w:val="17"/>
          <w:szCs w:val="17"/>
        </w:rPr>
        <w:separator/>
      </w:r>
    </w:p>
    <w:p w:rsidR="00AE08DC" w:rsidRPr="007E663E" w:rsidRDefault="00AE08DC" w:rsidP="007E663E">
      <w:pPr>
        <w:spacing w:after="60"/>
        <w:rPr>
          <w:sz w:val="17"/>
          <w:szCs w:val="17"/>
        </w:rPr>
      </w:pPr>
      <w:r>
        <w:rPr>
          <w:sz w:val="17"/>
        </w:rPr>
        <w:t>[Continuación de la nota de la página anterior]</w:t>
      </w:r>
    </w:p>
  </w:footnote>
  <w:footnote w:type="continuationNotice" w:id="1">
    <w:p w:rsidR="00AE08DC" w:rsidRPr="007E663E" w:rsidRDefault="00AE08DC" w:rsidP="007E663E">
      <w:pPr>
        <w:spacing w:before="60"/>
        <w:jc w:val="right"/>
        <w:rPr>
          <w:sz w:val="17"/>
          <w:szCs w:val="17"/>
        </w:rPr>
      </w:pPr>
      <w:r w:rsidRPr="007E663E">
        <w:rPr>
          <w:sz w:val="17"/>
          <w:szCs w:val="17"/>
        </w:rPr>
        <w:t>[Sigue la nota en la página siguiente]</w:t>
      </w:r>
    </w:p>
  </w:footnote>
  <w:footnote w:id="2">
    <w:p w:rsidR="002B3BE1" w:rsidRPr="003B3B68" w:rsidRDefault="002B3BE1" w:rsidP="003C3EEB">
      <w:pPr>
        <w:pStyle w:val="FootnoteText"/>
        <w:rPr>
          <w:lang w:val="es-ES_tradnl"/>
        </w:rPr>
      </w:pPr>
      <w:r>
        <w:rPr>
          <w:rStyle w:val="FootnoteReference"/>
        </w:rPr>
        <w:footnoteRef/>
      </w:r>
      <w:r w:rsidRPr="005F298B">
        <w:rPr>
          <w:lang w:val="es-ES_tradnl"/>
        </w:rPr>
        <w:t xml:space="preserve"> </w:t>
      </w:r>
      <w:r w:rsidRPr="005F298B">
        <w:rPr>
          <w:lang w:val="es-ES_tradnl"/>
        </w:rPr>
        <w:tab/>
      </w:r>
      <w:r w:rsidRPr="003B3B68">
        <w:rPr>
          <w:lang w:val="es-ES_tradnl"/>
        </w:rPr>
        <w:t xml:space="preserve">Oficinas receptoras que no sometieron </w:t>
      </w:r>
      <w:r w:rsidR="00E03CCD" w:rsidRPr="003B3B68">
        <w:rPr>
          <w:lang w:val="es-ES_tradnl"/>
        </w:rPr>
        <w:t>solicitud</w:t>
      </w:r>
      <w:r w:rsidR="00E03CCD">
        <w:rPr>
          <w:lang w:val="es-ES_tradnl"/>
        </w:rPr>
        <w:t>es</w:t>
      </w:r>
      <w:r w:rsidR="00E03CCD" w:rsidRPr="003B3B68">
        <w:rPr>
          <w:lang w:val="es-ES_tradnl"/>
        </w:rPr>
        <w:t xml:space="preserve"> internacional</w:t>
      </w:r>
      <w:r w:rsidR="00E03CCD">
        <w:rPr>
          <w:lang w:val="es-ES_tradnl"/>
        </w:rPr>
        <w:t>es</w:t>
      </w:r>
      <w:r w:rsidR="00E03CCD" w:rsidRPr="003B3B68">
        <w:rPr>
          <w:lang w:val="es-ES_tradnl"/>
        </w:rPr>
        <w:t xml:space="preserve"> </w:t>
      </w:r>
      <w:r w:rsidRPr="003B3B68">
        <w:rPr>
          <w:lang w:val="es-ES_tradnl"/>
        </w:rPr>
        <w:t>para la búsqueda a ninguna de las tres ISA participantes, en 2017 o 2018.</w:t>
      </w:r>
    </w:p>
  </w:footnote>
  <w:footnote w:id="3">
    <w:p w:rsidR="002B3BE1" w:rsidRPr="003B3B68" w:rsidRDefault="002B3BE1" w:rsidP="005F298B">
      <w:pPr>
        <w:pStyle w:val="FootnoteText"/>
        <w:rPr>
          <w:lang w:val="es-ES_tradnl"/>
        </w:rPr>
      </w:pPr>
      <w:r w:rsidRPr="003B3B68">
        <w:rPr>
          <w:rStyle w:val="FootnoteReference"/>
        </w:rPr>
        <w:footnoteRef/>
      </w:r>
      <w:r w:rsidRPr="003B3B68">
        <w:rPr>
          <w:lang w:val="es-ES_tradnl"/>
        </w:rPr>
        <w:t xml:space="preserve"> </w:t>
      </w:r>
      <w:r w:rsidRPr="003B3B68">
        <w:rPr>
          <w:lang w:val="es-ES_tradnl"/>
        </w:rPr>
        <w:tab/>
        <w:t xml:space="preserve">Representa las solicitudes internacionales en las que la ISA </w:t>
      </w:r>
      <w:r w:rsidR="003B3B68" w:rsidRPr="003B3B68">
        <w:rPr>
          <w:lang w:val="es-ES_tradnl"/>
        </w:rPr>
        <w:t>no</w:t>
      </w:r>
      <w:r w:rsidRPr="003B3B68">
        <w:rPr>
          <w:lang w:val="es-ES_tradnl"/>
        </w:rPr>
        <w:t xml:space="preserve"> es la misma Oficina que actuó en calidad de Oficina receptora; dicho de otra forma, la cifra excluye las solicitudes de búsqueda internacional sometidas a la ISA por conducto de su propia Oficina receptora nacional.</w:t>
      </w:r>
    </w:p>
  </w:footnote>
  <w:footnote w:id="4">
    <w:p w:rsidR="002B3BE1" w:rsidRPr="003B3B68" w:rsidRDefault="002B3BE1" w:rsidP="003C3EEB">
      <w:pPr>
        <w:pStyle w:val="FootnoteText"/>
        <w:rPr>
          <w:lang w:val="es-ES_tradnl"/>
        </w:rPr>
      </w:pPr>
      <w:r w:rsidRPr="003B3B68">
        <w:rPr>
          <w:rStyle w:val="FootnoteReference"/>
        </w:rPr>
        <w:footnoteRef/>
      </w:r>
      <w:r w:rsidRPr="003B3B68">
        <w:rPr>
          <w:lang w:val="es-ES_tradnl"/>
        </w:rPr>
        <w:t xml:space="preserve"> </w:t>
      </w:r>
      <w:r w:rsidRPr="003B3B68">
        <w:rPr>
          <w:lang w:val="es-ES_tradnl"/>
        </w:rPr>
        <w:tab/>
        <w:t xml:space="preserve">Conforme al Reglamento del PCT, la Oficina Internacional determina un importe equivalente por tasa para cada moneda convertible libremente de conformidad con las directrices de la Asamblea de la Unión del </w:t>
      </w:r>
      <w:r w:rsidR="003B3B68" w:rsidRPr="003B3B68">
        <w:rPr>
          <w:lang w:val="es-ES_tradnl"/>
        </w:rPr>
        <w:t>PCT. Cuando</w:t>
      </w:r>
      <w:r w:rsidRPr="003B3B68">
        <w:rPr>
          <w:lang w:val="es-ES_tradnl"/>
        </w:rPr>
        <w:t xml:space="preserve"> la diferencia en el tipo de cambio entre una o más divisas en relación con el franco suizo fluctúa por encima o por debajo del 5% durante cuatro viernes consecutivos, el director general debe establecer un nuevo importe equivalente para esas divisas, que ha de comunicarse a las Oficinas receptoras y las ISA.</w:t>
      </w:r>
    </w:p>
  </w:footnote>
  <w:footnote w:id="5">
    <w:p w:rsidR="002B3BE1" w:rsidRPr="003B3B68" w:rsidRDefault="002B3BE1" w:rsidP="003C3EEB">
      <w:pPr>
        <w:pStyle w:val="FootnoteText"/>
        <w:rPr>
          <w:lang w:val="es-ES_tradnl"/>
        </w:rPr>
      </w:pPr>
      <w:r w:rsidRPr="003B3B68">
        <w:rPr>
          <w:rStyle w:val="FootnoteReference"/>
        </w:rPr>
        <w:footnoteRef/>
      </w:r>
      <w:r w:rsidRPr="003B3B68">
        <w:rPr>
          <w:lang w:val="es-ES_tradnl"/>
        </w:rPr>
        <w:t xml:space="preserve"> </w:t>
      </w:r>
      <w:r w:rsidRPr="003B3B68">
        <w:rPr>
          <w:lang w:val="es-ES_tradnl"/>
        </w:rPr>
        <w:tab/>
        <w:t>En lo que concierne al pago de la tasa de búsqueda en una moneda determinada por la Oficina receptora (la “moneda determinada”), distinta de la moneda fijada por la ISA (la “moneda fijada”), el importe efectivamente percibido en la moneda determinada, en virtud del párrafo d)i) de esa Regla, por la ISA, una vez convertido por esta en la moneda fijada, sea inferior al que ha fijado, la Oficina Internacional pagará a la ISA la diferencia mientras que si el importe efectivamente percibido es superior al importe fijado, la diferencia corresponderá a la Oficina Internacional.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BE1" w:rsidRDefault="002B3BE1" w:rsidP="00477D6B">
    <w:pPr>
      <w:jc w:val="right"/>
    </w:pPr>
    <w:r>
      <w:t>PCT/WG/12/19</w:t>
    </w:r>
  </w:p>
  <w:p w:rsidR="002B3BE1" w:rsidRDefault="002B3BE1" w:rsidP="00477D6B">
    <w:pPr>
      <w:jc w:val="right"/>
    </w:pPr>
    <w:r w:rsidRPr="00127FA5">
      <w:rPr>
        <w:lang w:val="es-419"/>
      </w:rPr>
      <w:t>página</w:t>
    </w:r>
    <w:r>
      <w:t xml:space="preserve"> </w:t>
    </w:r>
    <w:r>
      <w:fldChar w:fldCharType="begin"/>
    </w:r>
    <w:r>
      <w:instrText xml:space="preserve"> PAGE  \* MERGEFORMAT </w:instrText>
    </w:r>
    <w:r>
      <w:fldChar w:fldCharType="separate"/>
    </w:r>
    <w:r w:rsidR="00195DB7">
      <w:rPr>
        <w:noProof/>
      </w:rPr>
      <w:t>8</w:t>
    </w:r>
    <w:r>
      <w:fldChar w:fldCharType="end"/>
    </w:r>
  </w:p>
  <w:p w:rsidR="002B3BE1" w:rsidRDefault="002B3BE1" w:rsidP="00477D6B">
    <w:pPr>
      <w:jc w:val="right"/>
    </w:pPr>
  </w:p>
  <w:p w:rsidR="002B3BE1" w:rsidRDefault="002B3BE1"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BE1" w:rsidRPr="00663DB8" w:rsidRDefault="002B3BE1" w:rsidP="00477D6B">
    <w:pPr>
      <w:jc w:val="right"/>
      <w:rPr>
        <w:lang w:val="en-GB"/>
      </w:rPr>
    </w:pPr>
    <w:r w:rsidRPr="00663DB8">
      <w:rPr>
        <w:lang w:val="en-GB"/>
      </w:rPr>
      <w:t>PCT/WG/12/19</w:t>
    </w:r>
  </w:p>
  <w:p w:rsidR="002B3BE1" w:rsidRPr="00663DB8" w:rsidRDefault="003B3B68" w:rsidP="00477D6B">
    <w:pPr>
      <w:jc w:val="right"/>
      <w:rPr>
        <w:lang w:val="en-GB"/>
      </w:rPr>
    </w:pPr>
    <w:r w:rsidRPr="00663DB8">
      <w:rPr>
        <w:lang w:val="en-GB"/>
      </w:rPr>
      <w:t>Anexo</w:t>
    </w:r>
    <w:r w:rsidR="002B3BE1" w:rsidRPr="00663DB8">
      <w:rPr>
        <w:lang w:val="en-GB"/>
      </w:rPr>
      <w:t xml:space="preserve"> I, page </w:t>
    </w:r>
    <w:r w:rsidR="002B3BE1">
      <w:fldChar w:fldCharType="begin"/>
    </w:r>
    <w:r w:rsidR="002B3BE1" w:rsidRPr="00663DB8">
      <w:rPr>
        <w:lang w:val="en-GB"/>
      </w:rPr>
      <w:instrText xml:space="preserve"> PAGE  \* MERGEFORMAT </w:instrText>
    </w:r>
    <w:r w:rsidR="002B3BE1">
      <w:fldChar w:fldCharType="separate"/>
    </w:r>
    <w:r w:rsidR="002B3BE1" w:rsidRPr="00663DB8">
      <w:rPr>
        <w:noProof/>
        <w:lang w:val="en-GB"/>
      </w:rPr>
      <w:t>2</w:t>
    </w:r>
    <w:r w:rsidR="002B3BE1">
      <w:fldChar w:fldCharType="end"/>
    </w:r>
  </w:p>
  <w:p w:rsidR="002B3BE1" w:rsidRPr="00663DB8" w:rsidRDefault="002B3BE1" w:rsidP="00477D6B">
    <w:pPr>
      <w:jc w:val="right"/>
      <w:rPr>
        <w:lang w:val="en-GB"/>
      </w:rPr>
    </w:pPr>
  </w:p>
  <w:p w:rsidR="002B3BE1" w:rsidRPr="00663DB8" w:rsidRDefault="002B3BE1" w:rsidP="00477D6B">
    <w:pPr>
      <w:jc w:val="right"/>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BE1" w:rsidRPr="008F0CB0" w:rsidRDefault="002B3BE1" w:rsidP="0002239A">
    <w:pPr>
      <w:pStyle w:val="Header"/>
      <w:jc w:val="right"/>
      <w:rPr>
        <w:lang w:val="es-419"/>
      </w:rPr>
    </w:pPr>
    <w:r w:rsidRPr="008F0CB0">
      <w:rPr>
        <w:lang w:val="es-419"/>
      </w:rPr>
      <w:t>PCT/WG/12/19</w:t>
    </w:r>
  </w:p>
  <w:p w:rsidR="002B3BE1" w:rsidRPr="008F0CB0" w:rsidRDefault="002B3BE1" w:rsidP="0002239A">
    <w:pPr>
      <w:pStyle w:val="Header"/>
      <w:jc w:val="right"/>
      <w:rPr>
        <w:lang w:val="es-419"/>
      </w:rPr>
    </w:pPr>
    <w:r w:rsidRPr="008F0CB0">
      <w:rPr>
        <w:lang w:val="es-419"/>
      </w:rPr>
      <w:t>ANEXO I</w:t>
    </w:r>
  </w:p>
  <w:p w:rsidR="002B3BE1" w:rsidRDefault="002B3BE1" w:rsidP="0002239A">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BE1" w:rsidRPr="008F0CB0" w:rsidRDefault="002B3BE1" w:rsidP="00477D6B">
    <w:pPr>
      <w:jc w:val="right"/>
      <w:rPr>
        <w:lang w:val="pt-BR"/>
      </w:rPr>
    </w:pPr>
    <w:bookmarkStart w:id="8" w:name="Code2"/>
    <w:bookmarkEnd w:id="8"/>
    <w:r w:rsidRPr="008F0CB0">
      <w:rPr>
        <w:lang w:val="pt-BR"/>
      </w:rPr>
      <w:t>PCT/WG/12/19</w:t>
    </w:r>
  </w:p>
  <w:p w:rsidR="002B3BE1" w:rsidRPr="008F0CB0" w:rsidRDefault="002B3BE1" w:rsidP="00477D6B">
    <w:pPr>
      <w:jc w:val="right"/>
      <w:rPr>
        <w:lang w:val="pt-BR"/>
      </w:rPr>
    </w:pPr>
    <w:r w:rsidRPr="008F0CB0">
      <w:rPr>
        <w:lang w:val="pt-BR"/>
      </w:rPr>
      <w:t xml:space="preserve">Anexo II, página </w:t>
    </w:r>
    <w:r>
      <w:fldChar w:fldCharType="begin"/>
    </w:r>
    <w:r w:rsidRPr="008F0CB0">
      <w:rPr>
        <w:lang w:val="pt-BR"/>
      </w:rPr>
      <w:instrText xml:space="preserve"> PAGE  \* MERGEFORMAT </w:instrText>
    </w:r>
    <w:r>
      <w:fldChar w:fldCharType="separate"/>
    </w:r>
    <w:r w:rsidR="00195DB7">
      <w:rPr>
        <w:noProof/>
        <w:lang w:val="pt-BR"/>
      </w:rPr>
      <w:t>3</w:t>
    </w:r>
    <w:r>
      <w:fldChar w:fldCharType="end"/>
    </w:r>
  </w:p>
  <w:p w:rsidR="002B3BE1" w:rsidRPr="008F0CB0" w:rsidRDefault="002B3BE1" w:rsidP="00477D6B">
    <w:pPr>
      <w:jc w:val="right"/>
      <w:rPr>
        <w:lang w:val="pt-BR"/>
      </w:rPr>
    </w:pPr>
  </w:p>
  <w:p w:rsidR="002B3BE1" w:rsidRPr="008F0CB0" w:rsidRDefault="002B3BE1" w:rsidP="00477D6B">
    <w:pPr>
      <w:jc w:val="right"/>
      <w:rPr>
        <w:lang w:val="pt-BR"/>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BE1" w:rsidRPr="008F0CB0" w:rsidRDefault="002B3BE1" w:rsidP="0002239A">
    <w:pPr>
      <w:pStyle w:val="Header"/>
      <w:jc w:val="right"/>
      <w:rPr>
        <w:lang w:val="es-419"/>
      </w:rPr>
    </w:pPr>
    <w:r w:rsidRPr="008F0CB0">
      <w:rPr>
        <w:lang w:val="es-419"/>
      </w:rPr>
      <w:t>PCT/WG/12/19</w:t>
    </w:r>
  </w:p>
  <w:p w:rsidR="002B3BE1" w:rsidRPr="008F0CB0" w:rsidRDefault="002B3BE1" w:rsidP="0002239A">
    <w:pPr>
      <w:pStyle w:val="Header"/>
      <w:jc w:val="right"/>
      <w:rPr>
        <w:lang w:val="es-419"/>
      </w:rPr>
    </w:pPr>
    <w:r w:rsidRPr="008F0CB0">
      <w:rPr>
        <w:lang w:val="es-419"/>
      </w:rPr>
      <w:t xml:space="preserve">ANEXO </w:t>
    </w:r>
    <w:r>
      <w:rPr>
        <w:lang w:val="es-419"/>
      </w:rPr>
      <w:t>I</w:t>
    </w:r>
    <w:r w:rsidRPr="008F0CB0">
      <w:rPr>
        <w:lang w:val="es-419"/>
      </w:rPr>
      <w:t>I</w:t>
    </w:r>
  </w:p>
  <w:p w:rsidR="002B3BE1" w:rsidRDefault="002B3BE1" w:rsidP="0002239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733C485A"/>
    <w:lvl w:ilvl="0">
      <w:start w:val="1"/>
      <w:numFmt w:val="decimal"/>
      <w:lvlRestart w:val="0"/>
      <w:pStyle w:val="ONUME"/>
      <w:lvlText w:val="%1."/>
      <w:lvlJc w:val="left"/>
      <w:pPr>
        <w:tabs>
          <w:tab w:val="num" w:pos="567"/>
        </w:tabs>
        <w:ind w:left="0" w:firstLine="0"/>
      </w:pPr>
      <w:rPr>
        <w:rFonts w:hint="default"/>
        <w:lang w:val="es-ES_tradnl"/>
      </w:rPr>
    </w:lvl>
    <w:lvl w:ilvl="1">
      <w:start w:val="1"/>
      <w:numFmt w:val="lowerLetter"/>
      <w:lvlText w:val="%2)"/>
      <w:lvlJc w:val="left"/>
      <w:pPr>
        <w:tabs>
          <w:tab w:val="num" w:pos="1134"/>
        </w:tabs>
        <w:ind w:left="567" w:firstLine="0"/>
      </w:pPr>
      <w:rPr>
        <w:rFonts w:hint="default"/>
        <w:lang w:val="es-ES_tradnl"/>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7"/>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Términos útiles|Fechas|Sesiones"/>
    <w:docVar w:name="TermBaseURL" w:val="empty"/>
    <w:docVar w:name="TextBases" w:val="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
    <w:docVar w:name="TextBaseURL" w:val="empty"/>
    <w:docVar w:name="UILng" w:val="en"/>
  </w:docVars>
  <w:rsids>
    <w:rsidRoot w:val="00C850D3"/>
    <w:rsid w:val="00010686"/>
    <w:rsid w:val="00016BC0"/>
    <w:rsid w:val="0002239A"/>
    <w:rsid w:val="00031466"/>
    <w:rsid w:val="00052915"/>
    <w:rsid w:val="00053407"/>
    <w:rsid w:val="00061180"/>
    <w:rsid w:val="00096C52"/>
    <w:rsid w:val="000B5D84"/>
    <w:rsid w:val="000D7709"/>
    <w:rsid w:val="000E3BB3"/>
    <w:rsid w:val="000F5E56"/>
    <w:rsid w:val="001111A7"/>
    <w:rsid w:val="0011543F"/>
    <w:rsid w:val="00127FA5"/>
    <w:rsid w:val="001362EE"/>
    <w:rsid w:val="00137269"/>
    <w:rsid w:val="001378CC"/>
    <w:rsid w:val="00143AFA"/>
    <w:rsid w:val="00152CEA"/>
    <w:rsid w:val="00154216"/>
    <w:rsid w:val="00171246"/>
    <w:rsid w:val="001832A6"/>
    <w:rsid w:val="001949BE"/>
    <w:rsid w:val="00195DB7"/>
    <w:rsid w:val="001C2DE7"/>
    <w:rsid w:val="001D29C3"/>
    <w:rsid w:val="001F6E76"/>
    <w:rsid w:val="00216DEA"/>
    <w:rsid w:val="00263282"/>
    <w:rsid w:val="002634C4"/>
    <w:rsid w:val="00295E98"/>
    <w:rsid w:val="002B3BE1"/>
    <w:rsid w:val="002C2E2F"/>
    <w:rsid w:val="002D3992"/>
    <w:rsid w:val="002E0F47"/>
    <w:rsid w:val="002F4E68"/>
    <w:rsid w:val="0030451E"/>
    <w:rsid w:val="003046E5"/>
    <w:rsid w:val="00310826"/>
    <w:rsid w:val="00354647"/>
    <w:rsid w:val="00364B5D"/>
    <w:rsid w:val="00377273"/>
    <w:rsid w:val="00383CC9"/>
    <w:rsid w:val="003845C1"/>
    <w:rsid w:val="00387287"/>
    <w:rsid w:val="0038755D"/>
    <w:rsid w:val="00396C56"/>
    <w:rsid w:val="003A6FBE"/>
    <w:rsid w:val="003B3B68"/>
    <w:rsid w:val="003B739A"/>
    <w:rsid w:val="003C3EEB"/>
    <w:rsid w:val="003D159C"/>
    <w:rsid w:val="003D1916"/>
    <w:rsid w:val="003E48F1"/>
    <w:rsid w:val="003E64AF"/>
    <w:rsid w:val="003E7C44"/>
    <w:rsid w:val="003F347A"/>
    <w:rsid w:val="003F48C1"/>
    <w:rsid w:val="00417875"/>
    <w:rsid w:val="00423E3E"/>
    <w:rsid w:val="00427AF4"/>
    <w:rsid w:val="004449B0"/>
    <w:rsid w:val="0045231F"/>
    <w:rsid w:val="004647DA"/>
    <w:rsid w:val="0046793F"/>
    <w:rsid w:val="00477808"/>
    <w:rsid w:val="00477D6B"/>
    <w:rsid w:val="004A6C37"/>
    <w:rsid w:val="004B3EC7"/>
    <w:rsid w:val="004E0611"/>
    <w:rsid w:val="004E297D"/>
    <w:rsid w:val="004F72C1"/>
    <w:rsid w:val="00531B02"/>
    <w:rsid w:val="005332F0"/>
    <w:rsid w:val="0055013B"/>
    <w:rsid w:val="005531B4"/>
    <w:rsid w:val="00570C77"/>
    <w:rsid w:val="00571B99"/>
    <w:rsid w:val="00573C06"/>
    <w:rsid w:val="00580E14"/>
    <w:rsid w:val="0058610D"/>
    <w:rsid w:val="005F0ABE"/>
    <w:rsid w:val="005F298B"/>
    <w:rsid w:val="00605827"/>
    <w:rsid w:val="0061016C"/>
    <w:rsid w:val="00651F84"/>
    <w:rsid w:val="00663DB8"/>
    <w:rsid w:val="006723A0"/>
    <w:rsid w:val="00675021"/>
    <w:rsid w:val="0068007C"/>
    <w:rsid w:val="00685836"/>
    <w:rsid w:val="006A06C6"/>
    <w:rsid w:val="006E5A9A"/>
    <w:rsid w:val="00706238"/>
    <w:rsid w:val="007224C8"/>
    <w:rsid w:val="00733AF9"/>
    <w:rsid w:val="00737BD5"/>
    <w:rsid w:val="00746664"/>
    <w:rsid w:val="00762346"/>
    <w:rsid w:val="00785315"/>
    <w:rsid w:val="00787BD4"/>
    <w:rsid w:val="00794BE2"/>
    <w:rsid w:val="007A5581"/>
    <w:rsid w:val="007B71FE"/>
    <w:rsid w:val="007C76AC"/>
    <w:rsid w:val="007D781E"/>
    <w:rsid w:val="007E663E"/>
    <w:rsid w:val="00815082"/>
    <w:rsid w:val="00836BA6"/>
    <w:rsid w:val="0088395E"/>
    <w:rsid w:val="008B2CC1"/>
    <w:rsid w:val="008D5DD1"/>
    <w:rsid w:val="008E6BD6"/>
    <w:rsid w:val="008F0CB0"/>
    <w:rsid w:val="0090731E"/>
    <w:rsid w:val="009176DF"/>
    <w:rsid w:val="00932BA9"/>
    <w:rsid w:val="00934678"/>
    <w:rsid w:val="00934E2E"/>
    <w:rsid w:val="00966A22"/>
    <w:rsid w:val="00972F03"/>
    <w:rsid w:val="00985BE4"/>
    <w:rsid w:val="009A0C8B"/>
    <w:rsid w:val="009A20CD"/>
    <w:rsid w:val="009B6241"/>
    <w:rsid w:val="009C7DA9"/>
    <w:rsid w:val="009F55D2"/>
    <w:rsid w:val="00A01296"/>
    <w:rsid w:val="00A10CA2"/>
    <w:rsid w:val="00A16FC0"/>
    <w:rsid w:val="00A32C9E"/>
    <w:rsid w:val="00A42054"/>
    <w:rsid w:val="00A55D57"/>
    <w:rsid w:val="00A605C5"/>
    <w:rsid w:val="00AA6BCC"/>
    <w:rsid w:val="00AB613D"/>
    <w:rsid w:val="00AC4C5F"/>
    <w:rsid w:val="00AD2F75"/>
    <w:rsid w:val="00AE08DC"/>
    <w:rsid w:val="00AE7F20"/>
    <w:rsid w:val="00B24508"/>
    <w:rsid w:val="00B42994"/>
    <w:rsid w:val="00B534D5"/>
    <w:rsid w:val="00B55131"/>
    <w:rsid w:val="00B57701"/>
    <w:rsid w:val="00B60414"/>
    <w:rsid w:val="00B61BE4"/>
    <w:rsid w:val="00B65A0A"/>
    <w:rsid w:val="00B67CDC"/>
    <w:rsid w:val="00B72D36"/>
    <w:rsid w:val="00B86380"/>
    <w:rsid w:val="00BC4164"/>
    <w:rsid w:val="00BD2041"/>
    <w:rsid w:val="00BD2DCC"/>
    <w:rsid w:val="00BD5194"/>
    <w:rsid w:val="00C01B3C"/>
    <w:rsid w:val="00C42BD5"/>
    <w:rsid w:val="00C459B8"/>
    <w:rsid w:val="00C850D3"/>
    <w:rsid w:val="00C90559"/>
    <w:rsid w:val="00CA2251"/>
    <w:rsid w:val="00CB0480"/>
    <w:rsid w:val="00D137C9"/>
    <w:rsid w:val="00D15D3C"/>
    <w:rsid w:val="00D16B76"/>
    <w:rsid w:val="00D56C7C"/>
    <w:rsid w:val="00D71B4D"/>
    <w:rsid w:val="00D90289"/>
    <w:rsid w:val="00D90FC6"/>
    <w:rsid w:val="00D93D55"/>
    <w:rsid w:val="00DA28EA"/>
    <w:rsid w:val="00DB575C"/>
    <w:rsid w:val="00DB675E"/>
    <w:rsid w:val="00DC4C60"/>
    <w:rsid w:val="00DF5602"/>
    <w:rsid w:val="00E0079A"/>
    <w:rsid w:val="00E03CCD"/>
    <w:rsid w:val="00E1639D"/>
    <w:rsid w:val="00E279ED"/>
    <w:rsid w:val="00E444DA"/>
    <w:rsid w:val="00E45C84"/>
    <w:rsid w:val="00E504E5"/>
    <w:rsid w:val="00E81D8F"/>
    <w:rsid w:val="00EB277C"/>
    <w:rsid w:val="00EB7A3E"/>
    <w:rsid w:val="00EC1AA7"/>
    <w:rsid w:val="00EC401A"/>
    <w:rsid w:val="00EF530A"/>
    <w:rsid w:val="00EF6622"/>
    <w:rsid w:val="00EF78A9"/>
    <w:rsid w:val="00F137A6"/>
    <w:rsid w:val="00F55408"/>
    <w:rsid w:val="00F66152"/>
    <w:rsid w:val="00F67165"/>
    <w:rsid w:val="00F80845"/>
    <w:rsid w:val="00F84474"/>
    <w:rsid w:val="00F94081"/>
    <w:rsid w:val="00FA0F0D"/>
    <w:rsid w:val="00FA76B8"/>
    <w:rsid w:val="00FD59D1"/>
    <w:rsid w:val="00FE0DD0"/>
    <w:rsid w:val="00FE3D4D"/>
    <w:rsid w:val="00FF466C"/>
    <w:rsid w:val="00FF7373"/>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95298EA-7A42-4B2D-A933-4FEEAA4A3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F94081"/>
    <w:rPr>
      <w:rFonts w:ascii="Tahoma" w:hAnsi="Tahoma" w:cs="Tahoma"/>
      <w:sz w:val="16"/>
      <w:szCs w:val="16"/>
    </w:rPr>
  </w:style>
  <w:style w:type="character" w:customStyle="1" w:styleId="BalloonTextChar">
    <w:name w:val="Balloon Text Char"/>
    <w:basedOn w:val="DefaultParagraphFont"/>
    <w:link w:val="BalloonText"/>
    <w:rsid w:val="00F94081"/>
    <w:rPr>
      <w:rFonts w:ascii="Tahoma" w:eastAsia="SimSun" w:hAnsi="Tahoma" w:cs="Tahoma"/>
      <w:sz w:val="16"/>
      <w:szCs w:val="16"/>
      <w:lang w:val="es-ES" w:eastAsia="zh-CN"/>
    </w:rPr>
  </w:style>
  <w:style w:type="character" w:customStyle="1" w:styleId="HeaderChar">
    <w:name w:val="Header Char"/>
    <w:basedOn w:val="DefaultParagraphFont"/>
    <w:link w:val="Header"/>
    <w:semiHidden/>
    <w:rsid w:val="00737BD5"/>
    <w:rPr>
      <w:rFonts w:ascii="Arial" w:eastAsia="SimSun" w:hAnsi="Arial" w:cs="Arial"/>
      <w:sz w:val="22"/>
      <w:lang w:val="es-ES" w:eastAsia="zh-CN"/>
    </w:rPr>
  </w:style>
  <w:style w:type="table" w:styleId="TableGrid">
    <w:name w:val="Table Grid"/>
    <w:basedOn w:val="TableNormal"/>
    <w:rsid w:val="00737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737B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about-wipo/en/oversight/iaod/audit/" TargetMode="Externa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48FB6-13D9-46DE-8328-78C995DAB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12 (S)</Template>
  <TotalTime>1</TotalTime>
  <Pages>12</Pages>
  <Words>5811</Words>
  <Characters>33128</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PCT/WG/12/</vt:lpstr>
    </vt:vector>
  </TitlesOfParts>
  <Company>WIPO</Company>
  <LinksUpToDate>false</LinksUpToDate>
  <CharactersWithSpaces>38862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PCT/WG/12/19</dc:title>
  <dc:creator>WIPO</dc:creator>
  <cp:keywords>FOR OFFICIAL USE ONLY</cp:keywords>
  <cp:lastModifiedBy>BAUDIN Claudine</cp:lastModifiedBy>
  <cp:revision>5</cp:revision>
  <dcterms:created xsi:type="dcterms:W3CDTF">2019-06-07T14:02:00Z</dcterms:created>
  <dcterms:modified xsi:type="dcterms:W3CDTF">2019-06-07T14:10:00Z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10fd140f-0645-424f-b03d-6368b6de458f</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