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49" w:rsidRPr="00AC4AE7" w:rsidRDefault="00472A6E" w:rsidP="00512BA1">
      <w:pPr>
        <w:spacing w:before="360" w:after="240"/>
        <w:ind w:right="-57"/>
        <w:jc w:val="right"/>
        <w:rPr>
          <w:lang w:val="es-ES_tradnl"/>
        </w:rPr>
      </w:pPr>
      <w:bookmarkStart w:id="0" w:name="_GoBack"/>
      <w:bookmarkEnd w:id="0"/>
      <w:r w:rsidRPr="00AC4AE7">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D54E49" w:rsidRPr="00AC4AE7" w:rsidRDefault="00141EDC" w:rsidP="00512BA1">
      <w:pPr>
        <w:pBdr>
          <w:top w:val="single" w:sz="4" w:space="9" w:color="auto"/>
        </w:pBdr>
        <w:jc w:val="right"/>
        <w:rPr>
          <w:rFonts w:ascii="Arial Black" w:hAnsi="Arial Black"/>
          <w:caps/>
          <w:sz w:val="15"/>
          <w:lang w:val="es-ES_tradnl"/>
        </w:rPr>
      </w:pPr>
      <w:r w:rsidRPr="00AC4AE7">
        <w:rPr>
          <w:rFonts w:ascii="Arial Black" w:hAnsi="Arial Black"/>
          <w:caps/>
          <w:sz w:val="15"/>
          <w:lang w:val="es-ES_tradnl"/>
        </w:rPr>
        <w:t>PCT</w:t>
      </w:r>
      <w:r w:rsidR="00512BA1" w:rsidRPr="00AC4AE7">
        <w:rPr>
          <w:rFonts w:ascii="Arial Black" w:hAnsi="Arial Black"/>
          <w:caps/>
          <w:sz w:val="15"/>
          <w:lang w:val="es-ES_tradnl"/>
        </w:rPr>
        <w:t>/</w:t>
      </w:r>
      <w:r w:rsidRPr="00AC4AE7">
        <w:rPr>
          <w:rFonts w:ascii="Arial Black" w:hAnsi="Arial Black"/>
          <w:caps/>
          <w:sz w:val="15"/>
          <w:lang w:val="es-ES_tradnl"/>
        </w:rPr>
        <w:t>WG/1</w:t>
      </w:r>
      <w:r w:rsidR="0037287C" w:rsidRPr="00AC4AE7">
        <w:rPr>
          <w:rFonts w:ascii="Arial Black" w:hAnsi="Arial Black"/>
          <w:caps/>
          <w:sz w:val="15"/>
          <w:lang w:val="es-ES_tradnl"/>
        </w:rPr>
        <w:t>4</w:t>
      </w:r>
      <w:r w:rsidR="00512BA1" w:rsidRPr="00AC4AE7">
        <w:rPr>
          <w:rFonts w:ascii="Arial Black" w:hAnsi="Arial Black"/>
          <w:caps/>
          <w:sz w:val="15"/>
          <w:lang w:val="es-ES_tradnl"/>
        </w:rPr>
        <w:t>/</w:t>
      </w:r>
      <w:bookmarkStart w:id="1" w:name="Code"/>
      <w:r w:rsidR="008B37C6" w:rsidRPr="00AC4AE7">
        <w:rPr>
          <w:rFonts w:ascii="Arial Black" w:hAnsi="Arial Black"/>
          <w:caps/>
          <w:sz w:val="15"/>
          <w:lang w:val="es-ES_tradnl"/>
        </w:rPr>
        <w:t>8</w:t>
      </w:r>
    </w:p>
    <w:bookmarkEnd w:id="1"/>
    <w:p w:rsidR="00D54E49" w:rsidRPr="00AC4AE7" w:rsidRDefault="00472A6E" w:rsidP="00472A6E">
      <w:pPr>
        <w:jc w:val="right"/>
        <w:rPr>
          <w:lang w:val="es-ES_tradnl"/>
        </w:rPr>
      </w:pPr>
      <w:r w:rsidRPr="00AC4AE7">
        <w:rPr>
          <w:rFonts w:ascii="Arial Black" w:hAnsi="Arial Black"/>
          <w:caps/>
          <w:sz w:val="15"/>
          <w:lang w:val="es-ES_tradnl"/>
        </w:rPr>
        <w:t xml:space="preserve">ORIGINAL: </w:t>
      </w:r>
      <w:bookmarkStart w:id="2" w:name="Original"/>
      <w:r w:rsidR="008B37C6" w:rsidRPr="00AC4AE7">
        <w:rPr>
          <w:rFonts w:ascii="Arial Black" w:hAnsi="Arial Black"/>
          <w:caps/>
          <w:sz w:val="15"/>
          <w:lang w:val="es-ES_tradnl"/>
        </w:rPr>
        <w:t>INGLÉS</w:t>
      </w:r>
    </w:p>
    <w:bookmarkEnd w:id="2"/>
    <w:p w:rsidR="00D54E49" w:rsidRPr="00AC4AE7" w:rsidRDefault="00472A6E" w:rsidP="00472A6E">
      <w:pPr>
        <w:spacing w:after="1200"/>
        <w:jc w:val="right"/>
        <w:rPr>
          <w:lang w:val="es-ES_tradnl"/>
        </w:rPr>
      </w:pPr>
      <w:r w:rsidRPr="00AC4AE7">
        <w:rPr>
          <w:rFonts w:ascii="Arial Black" w:hAnsi="Arial Black"/>
          <w:caps/>
          <w:sz w:val="15"/>
          <w:lang w:val="es-ES_tradnl"/>
        </w:rPr>
        <w:t xml:space="preserve">fecha: </w:t>
      </w:r>
      <w:bookmarkStart w:id="3" w:name="Date"/>
      <w:r w:rsidR="008B37C6" w:rsidRPr="00AC4AE7">
        <w:rPr>
          <w:rFonts w:ascii="Arial Black" w:hAnsi="Arial Black"/>
          <w:caps/>
          <w:sz w:val="15"/>
          <w:lang w:val="es-ES_tradnl"/>
        </w:rPr>
        <w:t>12 DE MAYO DE 2021</w:t>
      </w:r>
    </w:p>
    <w:bookmarkEnd w:id="3"/>
    <w:p w:rsidR="00D54E49" w:rsidRPr="00AC4AE7" w:rsidRDefault="00141EDC" w:rsidP="00F85931">
      <w:pPr>
        <w:pStyle w:val="Heading1"/>
        <w:spacing w:before="0" w:after="600"/>
        <w:rPr>
          <w:sz w:val="28"/>
          <w:szCs w:val="28"/>
          <w:lang w:val="es-ES_tradnl"/>
        </w:rPr>
      </w:pPr>
      <w:r w:rsidRPr="00AC4AE7">
        <w:rPr>
          <w:caps w:val="0"/>
          <w:sz w:val="28"/>
          <w:szCs w:val="28"/>
          <w:lang w:val="es-ES_tradnl"/>
        </w:rPr>
        <w:t>Grupo de Trabajo del Tratado de Cooperación en materia de Patentes (PCT)</w:t>
      </w:r>
    </w:p>
    <w:p w:rsidR="00D54E49" w:rsidRPr="00AC4AE7" w:rsidRDefault="00BB68F0" w:rsidP="00BB68F0">
      <w:pPr>
        <w:rPr>
          <w:b/>
          <w:sz w:val="24"/>
          <w:szCs w:val="24"/>
          <w:lang w:val="es-ES_tradnl"/>
        </w:rPr>
      </w:pPr>
      <w:r w:rsidRPr="00AC4AE7">
        <w:rPr>
          <w:b/>
          <w:sz w:val="24"/>
          <w:szCs w:val="24"/>
          <w:lang w:val="es-ES_tradnl"/>
        </w:rPr>
        <w:t xml:space="preserve">Decimocuarta </w:t>
      </w:r>
      <w:r w:rsidR="00F474D1" w:rsidRPr="00AC4AE7">
        <w:rPr>
          <w:b/>
          <w:sz w:val="24"/>
          <w:szCs w:val="24"/>
          <w:lang w:val="es-ES_tradnl"/>
        </w:rPr>
        <w:t>reunión</w:t>
      </w:r>
    </w:p>
    <w:p w:rsidR="00D54E49" w:rsidRPr="00AC4AE7" w:rsidRDefault="00141EDC" w:rsidP="00BB68F0">
      <w:pPr>
        <w:spacing w:after="720"/>
        <w:rPr>
          <w:b/>
          <w:sz w:val="24"/>
          <w:szCs w:val="24"/>
          <w:lang w:val="es-ES_tradnl"/>
        </w:rPr>
      </w:pPr>
      <w:r w:rsidRPr="00AC4AE7">
        <w:rPr>
          <w:b/>
          <w:sz w:val="24"/>
          <w:szCs w:val="24"/>
          <w:lang w:val="es-ES_tradnl"/>
        </w:rPr>
        <w:t xml:space="preserve">Ginebra, </w:t>
      </w:r>
      <w:r w:rsidR="00BB68F0" w:rsidRPr="00AC4AE7">
        <w:rPr>
          <w:b/>
          <w:sz w:val="24"/>
          <w:szCs w:val="24"/>
          <w:lang w:val="es-ES_tradnl"/>
        </w:rPr>
        <w:t>14 a 17 de junio de 2021</w:t>
      </w:r>
    </w:p>
    <w:p w:rsidR="00D54E49" w:rsidRPr="00AC4AE7" w:rsidRDefault="00BF1C31" w:rsidP="00BF1C31">
      <w:pPr>
        <w:spacing w:after="360"/>
        <w:rPr>
          <w:caps/>
          <w:sz w:val="24"/>
          <w:lang w:val="es-ES_tradnl"/>
        </w:rPr>
      </w:pPr>
      <w:bookmarkStart w:id="4" w:name="TitleOfDoc"/>
      <w:r w:rsidRPr="00AC4AE7">
        <w:rPr>
          <w:caps/>
          <w:sz w:val="24"/>
          <w:lang w:val="es-ES_tradnl"/>
        </w:rPr>
        <w:t>TRAMITACIÓN DE SOLICITUDES INTERNACIONALES EN FORMATO DE TEXTO COMPLETO</w:t>
      </w:r>
    </w:p>
    <w:p w:rsidR="00D54E49" w:rsidRPr="00AC4AE7" w:rsidRDefault="00BF1C31" w:rsidP="00BF1C31">
      <w:pPr>
        <w:spacing w:after="960"/>
        <w:rPr>
          <w:i/>
          <w:lang w:val="es-ES_tradnl"/>
        </w:rPr>
      </w:pPr>
      <w:bookmarkStart w:id="5" w:name="Prepared"/>
      <w:bookmarkEnd w:id="4"/>
      <w:r w:rsidRPr="00AC4AE7">
        <w:rPr>
          <w:i/>
          <w:lang w:val="es-ES_tradnl"/>
        </w:rPr>
        <w:t>Documento preparado por la Oficina Internacional</w:t>
      </w:r>
    </w:p>
    <w:bookmarkEnd w:id="5"/>
    <w:p w:rsidR="00D54E49" w:rsidRPr="00AC4AE7" w:rsidRDefault="00BF1C31" w:rsidP="00BF1C31">
      <w:pPr>
        <w:pStyle w:val="Heading1"/>
        <w:rPr>
          <w:lang w:val="es-ES_tradnl"/>
        </w:rPr>
      </w:pPr>
      <w:r w:rsidRPr="00AC4AE7">
        <w:rPr>
          <w:lang w:val="es-ES_tradnl"/>
        </w:rPr>
        <w:t>RESUMEN</w:t>
      </w:r>
    </w:p>
    <w:p w:rsidR="00D54E49" w:rsidRPr="00AC4AE7" w:rsidRDefault="00BF1C31" w:rsidP="00AC4AE7">
      <w:pPr>
        <w:pStyle w:val="ONUMFS"/>
        <w:rPr>
          <w:lang w:val="es-ES_tradnl"/>
        </w:rPr>
      </w:pPr>
      <w:r w:rsidRPr="00AC4AE7">
        <w:rPr>
          <w:lang w:val="es-ES_tradnl"/>
        </w:rPr>
        <w:t>En el presente documento se expone una propuesta para avanzar hacia la tramitación de las solicitudes internacionales en formato de texto completo.</w:t>
      </w:r>
      <w:r w:rsidR="00DF26BD" w:rsidRPr="00AC4AE7">
        <w:rPr>
          <w:lang w:val="es-ES_tradnl"/>
        </w:rPr>
        <w:t xml:space="preserve"> </w:t>
      </w:r>
      <w:r w:rsidR="00E424D9" w:rsidRPr="00AC4AE7">
        <w:rPr>
          <w:lang w:val="es-ES_tradnl"/>
        </w:rPr>
        <w:t xml:space="preserve">La Oficina Internacional tiene previsto revisar el Anexo F de las Instrucciones Administrativas para permitir la tramitación durante la fase internacional del cuerpo de la solicitud en formato XML de texto completo </w:t>
      </w:r>
      <w:r w:rsidR="006A044C" w:rsidRPr="00AC4AE7">
        <w:rPr>
          <w:lang w:val="es-ES_tradnl"/>
        </w:rPr>
        <w:t>en la manera</w:t>
      </w:r>
      <w:r w:rsidR="00DF26BD" w:rsidRPr="00AC4AE7">
        <w:rPr>
          <w:lang w:val="es-ES_tradnl"/>
        </w:rPr>
        <w:t xml:space="preserve"> </w:t>
      </w:r>
      <w:r w:rsidR="00E424D9" w:rsidRPr="00AC4AE7">
        <w:rPr>
          <w:lang w:val="es-ES_tradnl"/>
        </w:rPr>
        <w:t>presentada por el solicitante o tramitada por las Oficinas, ya que ello facilitará la transición a la publicación internacional en formato de texto completo.</w:t>
      </w:r>
      <w:r w:rsidR="00DF26BD" w:rsidRPr="00AC4AE7">
        <w:rPr>
          <w:lang w:val="es-ES_tradnl"/>
        </w:rPr>
        <w:t xml:space="preserve"> </w:t>
      </w:r>
      <w:r w:rsidR="00CD10C9" w:rsidRPr="00AC4AE7">
        <w:rPr>
          <w:lang w:val="es-ES_tradnl"/>
        </w:rPr>
        <w:t xml:space="preserve">Para </w:t>
      </w:r>
      <w:r w:rsidR="0092016A" w:rsidRPr="00AC4AE7">
        <w:rPr>
          <w:lang w:val="es-ES_tradnl"/>
        </w:rPr>
        <w:t>favorecer</w:t>
      </w:r>
      <w:r w:rsidR="00CD10C9" w:rsidRPr="00AC4AE7">
        <w:rPr>
          <w:lang w:val="es-ES_tradnl"/>
        </w:rPr>
        <w:t xml:space="preserve"> el aumento de la presentación de solicitudes en </w:t>
      </w:r>
      <w:r w:rsidR="00DF26BD" w:rsidRPr="00AC4AE7">
        <w:rPr>
          <w:lang w:val="es-ES_tradnl"/>
        </w:rPr>
        <w:t>este formato</w:t>
      </w:r>
      <w:r w:rsidR="00CD10C9" w:rsidRPr="00AC4AE7">
        <w:rPr>
          <w:lang w:val="es-ES_tradnl"/>
        </w:rPr>
        <w:t xml:space="preserve">, la Oficina Internacional pondrá a disposición de todas las Oficinas de PI, a través de los servicios web, sus herramientas de conversión de DOCX y de comparación con </w:t>
      </w:r>
      <w:r w:rsidR="00DF26BD" w:rsidRPr="00AC4AE7">
        <w:rPr>
          <w:lang w:val="es-ES_tradnl"/>
        </w:rPr>
        <w:t xml:space="preserve">un </w:t>
      </w:r>
      <w:r w:rsidR="00CD10C9" w:rsidRPr="00AC4AE7">
        <w:rPr>
          <w:lang w:val="es-ES_tradnl"/>
        </w:rPr>
        <w:t xml:space="preserve">formato de texto completo, las cuales servirán de referencia para </w:t>
      </w:r>
      <w:r w:rsidR="0092016A" w:rsidRPr="00AC4AE7">
        <w:rPr>
          <w:lang w:val="es-ES_tradnl"/>
        </w:rPr>
        <w:t>impulsar</w:t>
      </w:r>
      <w:r w:rsidR="00DF26BD" w:rsidRPr="00AC4AE7">
        <w:rPr>
          <w:lang w:val="es-ES_tradnl"/>
        </w:rPr>
        <w:t xml:space="preserve"> la</w:t>
      </w:r>
      <w:r w:rsidR="00CD10C9" w:rsidRPr="00AC4AE7">
        <w:rPr>
          <w:lang w:val="es-ES_tradnl"/>
        </w:rPr>
        <w:t xml:space="preserve"> tramitación de solicitudes presentadas en formato DOCX y garantizar la coherencia durante la conversión de DOCX a XML.</w:t>
      </w:r>
    </w:p>
    <w:p w:rsidR="00D54E49" w:rsidRPr="00AC4AE7" w:rsidRDefault="00CD10C9" w:rsidP="00CD10C9">
      <w:pPr>
        <w:pStyle w:val="Heading1"/>
        <w:rPr>
          <w:lang w:val="es-ES_tradnl"/>
        </w:rPr>
      </w:pPr>
      <w:r w:rsidRPr="00AC4AE7">
        <w:rPr>
          <w:lang w:val="es-ES_tradnl"/>
        </w:rPr>
        <w:t>ANTECEDENTES</w:t>
      </w:r>
    </w:p>
    <w:p w:rsidR="00D54E49" w:rsidRPr="00AC4AE7" w:rsidRDefault="00CD10C9" w:rsidP="00AC4AE7">
      <w:pPr>
        <w:pStyle w:val="ONUMFS"/>
        <w:rPr>
          <w:lang w:val="es-ES_tradnl"/>
        </w:rPr>
      </w:pPr>
      <w:r w:rsidRPr="00AC4AE7">
        <w:rPr>
          <w:lang w:val="es-ES_tradnl"/>
        </w:rPr>
        <w:t xml:space="preserve">En los últimos años, el Sistema del PCT ha pasado de la presentación </w:t>
      </w:r>
      <w:r w:rsidR="00DF26BD" w:rsidRPr="00AC4AE7">
        <w:rPr>
          <w:lang w:val="es-ES_tradnl"/>
        </w:rPr>
        <w:t xml:space="preserve">de solicitudes internacionales </w:t>
      </w:r>
      <w:r w:rsidRPr="00AC4AE7">
        <w:rPr>
          <w:lang w:val="es-ES_tradnl"/>
        </w:rPr>
        <w:t>en papel a la presentación y tramitación electrónica.</w:t>
      </w:r>
      <w:r w:rsidR="00DF26BD" w:rsidRPr="00AC4AE7">
        <w:rPr>
          <w:lang w:val="es-ES_tradnl"/>
        </w:rPr>
        <w:t xml:space="preserve"> Las solicitudes presentadas</w:t>
      </w:r>
      <w:r w:rsidRPr="00AC4AE7">
        <w:rPr>
          <w:lang w:val="es-ES_tradnl"/>
        </w:rPr>
        <w:t xml:space="preserve"> en papel ha</w:t>
      </w:r>
      <w:r w:rsidR="00DF26BD" w:rsidRPr="00AC4AE7">
        <w:rPr>
          <w:lang w:val="es-ES_tradnl"/>
        </w:rPr>
        <w:t>n</w:t>
      </w:r>
      <w:r w:rsidRPr="00AC4AE7">
        <w:rPr>
          <w:lang w:val="es-ES_tradnl"/>
        </w:rPr>
        <w:t xml:space="preserve"> disminuido de </w:t>
      </w:r>
      <w:r w:rsidR="00DF26BD" w:rsidRPr="00AC4AE7">
        <w:rPr>
          <w:lang w:val="es-ES_tradnl"/>
        </w:rPr>
        <w:t>manera</w:t>
      </w:r>
      <w:r w:rsidRPr="00AC4AE7">
        <w:rPr>
          <w:lang w:val="es-ES_tradnl"/>
        </w:rPr>
        <w:t xml:space="preserve"> constante y las presentadas por medios electrónicos actualmente representan más del 98% de las solicitudes internacionales.</w:t>
      </w:r>
      <w:r w:rsidR="00DF26BD" w:rsidRPr="00AC4AE7">
        <w:rPr>
          <w:lang w:val="es-ES_tradnl"/>
        </w:rPr>
        <w:t xml:space="preserve"> </w:t>
      </w:r>
      <w:r w:rsidRPr="00AC4AE7">
        <w:rPr>
          <w:lang w:val="es-ES_tradnl"/>
        </w:rPr>
        <w:t xml:space="preserve">Esta transición ha </w:t>
      </w:r>
      <w:r w:rsidR="00DF26BD" w:rsidRPr="00AC4AE7">
        <w:rPr>
          <w:lang w:val="es-ES_tradnl"/>
        </w:rPr>
        <w:t>traído consigo</w:t>
      </w:r>
      <w:r w:rsidRPr="00AC4AE7">
        <w:rPr>
          <w:lang w:val="es-ES_tradnl"/>
        </w:rPr>
        <w:t xml:space="preserve"> nuevas oportunidades </w:t>
      </w:r>
      <w:r w:rsidR="00DF26BD" w:rsidRPr="00AC4AE7">
        <w:rPr>
          <w:lang w:val="es-ES_tradnl"/>
        </w:rPr>
        <w:t>par</w:t>
      </w:r>
      <w:r w:rsidRPr="00AC4AE7">
        <w:rPr>
          <w:lang w:val="es-ES_tradnl"/>
        </w:rPr>
        <w:t xml:space="preserve">a las Oficinas y nuevos servicios en línea </w:t>
      </w:r>
      <w:r w:rsidR="00DF26BD" w:rsidRPr="00AC4AE7">
        <w:rPr>
          <w:lang w:val="es-ES_tradnl"/>
        </w:rPr>
        <w:t>par</w:t>
      </w:r>
      <w:r w:rsidRPr="00AC4AE7">
        <w:rPr>
          <w:lang w:val="es-ES_tradnl"/>
        </w:rPr>
        <w:t>a los solicitantes.</w:t>
      </w:r>
      <w:r w:rsidR="00DF26BD" w:rsidRPr="00AC4AE7">
        <w:rPr>
          <w:lang w:val="es-ES_tradnl"/>
        </w:rPr>
        <w:t xml:space="preserve"> </w:t>
      </w:r>
      <w:r w:rsidR="00C648F6" w:rsidRPr="00AC4AE7">
        <w:rPr>
          <w:lang w:val="es-ES_tradnl"/>
        </w:rPr>
        <w:t xml:space="preserve">También ha </w:t>
      </w:r>
      <w:r w:rsidR="00DF26BD" w:rsidRPr="00AC4AE7">
        <w:rPr>
          <w:lang w:val="es-ES_tradnl"/>
        </w:rPr>
        <w:t>supuesto una mayor</w:t>
      </w:r>
      <w:r w:rsidR="00C648F6" w:rsidRPr="00AC4AE7">
        <w:rPr>
          <w:lang w:val="es-ES_tradnl"/>
        </w:rPr>
        <w:t xml:space="preserve"> eficiencia y puntualidad </w:t>
      </w:r>
      <w:r w:rsidR="00DF26BD" w:rsidRPr="00AC4AE7">
        <w:rPr>
          <w:lang w:val="es-ES_tradnl"/>
        </w:rPr>
        <w:t>por parte de</w:t>
      </w:r>
      <w:r w:rsidR="00C648F6" w:rsidRPr="00AC4AE7">
        <w:rPr>
          <w:lang w:val="es-ES_tradnl"/>
        </w:rPr>
        <w:t xml:space="preserve"> las </w:t>
      </w:r>
      <w:r w:rsidR="00C648F6" w:rsidRPr="00AC4AE7">
        <w:rPr>
          <w:lang w:val="es-ES_tradnl"/>
        </w:rPr>
        <w:lastRenderedPageBreak/>
        <w:t>Oficinas a la hora de realizar</w:t>
      </w:r>
      <w:r w:rsidR="00DF26BD" w:rsidRPr="00AC4AE7">
        <w:rPr>
          <w:lang w:val="es-ES_tradnl"/>
        </w:rPr>
        <w:t xml:space="preserve"> las</w:t>
      </w:r>
      <w:r w:rsidR="00C648F6" w:rsidRPr="00AC4AE7">
        <w:rPr>
          <w:lang w:val="es-ES_tradnl"/>
        </w:rPr>
        <w:t xml:space="preserve"> acciones </w:t>
      </w:r>
      <w:r w:rsidR="00DF26BD" w:rsidRPr="00AC4AE7">
        <w:rPr>
          <w:lang w:val="es-ES_tradnl"/>
        </w:rPr>
        <w:t xml:space="preserve">correspondientes </w:t>
      </w:r>
      <w:r w:rsidR="00C648F6" w:rsidRPr="00AC4AE7">
        <w:rPr>
          <w:lang w:val="es-ES_tradnl"/>
        </w:rPr>
        <w:t>respecto de las solicitudes durante la fase internacional.</w:t>
      </w:r>
      <w:r w:rsidR="00DF26BD" w:rsidRPr="00AC4AE7">
        <w:rPr>
          <w:lang w:val="es-ES_tradnl"/>
        </w:rPr>
        <w:t xml:space="preserve"> </w:t>
      </w:r>
      <w:r w:rsidR="007C6916" w:rsidRPr="00AC4AE7">
        <w:rPr>
          <w:lang w:val="es-ES_tradnl"/>
        </w:rPr>
        <w:t xml:space="preserve">Sin embargo, </w:t>
      </w:r>
      <w:r w:rsidR="00DF26BD" w:rsidRPr="00AC4AE7">
        <w:rPr>
          <w:lang w:val="es-ES_tradnl"/>
        </w:rPr>
        <w:t>aun</w:t>
      </w:r>
      <w:r w:rsidR="007C6916" w:rsidRPr="00AC4AE7">
        <w:rPr>
          <w:lang w:val="es-ES_tradnl"/>
        </w:rPr>
        <w:t xml:space="preserve">que la tramitación se realiza en gran medida por medios electrónicos, muchas Oficinas procesan y transfieren los datos </w:t>
      </w:r>
      <w:r w:rsidR="00DF26BD" w:rsidRPr="00AC4AE7">
        <w:rPr>
          <w:lang w:val="es-ES_tradnl"/>
        </w:rPr>
        <w:t xml:space="preserve">en un formato de imagen </w:t>
      </w:r>
      <w:r w:rsidR="007C6916" w:rsidRPr="00AC4AE7">
        <w:rPr>
          <w:lang w:val="es-ES_tradnl"/>
        </w:rPr>
        <w:t xml:space="preserve">similar a </w:t>
      </w:r>
      <w:r w:rsidR="00DF26BD" w:rsidRPr="00AC4AE7">
        <w:rPr>
          <w:lang w:val="es-ES_tradnl"/>
        </w:rPr>
        <w:t>una</w:t>
      </w:r>
      <w:r w:rsidR="007C6916" w:rsidRPr="00AC4AE7">
        <w:rPr>
          <w:lang w:val="es-ES_tradnl"/>
        </w:rPr>
        <w:t xml:space="preserve"> hoja de papel, en lugar de hacerlo en un formato de texto legible que puedan usar directamente la Oficina Internacional y las Oficinas nacionales en </w:t>
      </w:r>
      <w:r w:rsidR="006A044C" w:rsidRPr="00AC4AE7">
        <w:rPr>
          <w:lang w:val="es-ES_tradnl"/>
        </w:rPr>
        <w:t xml:space="preserve">el ejercicio de </w:t>
      </w:r>
      <w:r w:rsidR="007C6916" w:rsidRPr="00AC4AE7">
        <w:rPr>
          <w:lang w:val="es-ES_tradnl"/>
        </w:rPr>
        <w:t>sus distintas funciones.</w:t>
      </w:r>
      <w:r w:rsidR="00DF26BD" w:rsidRPr="00AC4AE7">
        <w:rPr>
          <w:lang w:val="es-ES_tradnl"/>
        </w:rPr>
        <w:t xml:space="preserve"> </w:t>
      </w:r>
      <w:r w:rsidR="00BA46D3" w:rsidRPr="00AC4AE7">
        <w:rPr>
          <w:lang w:val="es-ES_tradnl"/>
        </w:rPr>
        <w:t>Además, cuando las solicitudes se presentan en formato de texto completo, a menudo son las Oficinas las que procesan las imágenes de</w:t>
      </w:r>
      <w:r w:rsidR="00DF26BD" w:rsidRPr="00AC4AE7">
        <w:rPr>
          <w:lang w:val="es-ES_tradnl"/>
        </w:rPr>
        <w:t xml:space="preserve"> las</w:t>
      </w:r>
      <w:r w:rsidR="00BA46D3" w:rsidRPr="00AC4AE7">
        <w:rPr>
          <w:lang w:val="es-ES_tradnl"/>
        </w:rPr>
        <w:t xml:space="preserve"> páginas de la solicitud.</w:t>
      </w:r>
    </w:p>
    <w:p w:rsidR="00D54E49" w:rsidRPr="00AC4AE7" w:rsidRDefault="00BA46D3" w:rsidP="00AC4AE7">
      <w:pPr>
        <w:pStyle w:val="ONUMFS"/>
        <w:rPr>
          <w:lang w:val="es-ES_tradnl"/>
        </w:rPr>
      </w:pPr>
      <w:r w:rsidRPr="00AC4AE7">
        <w:rPr>
          <w:lang w:val="es-ES_tradnl"/>
        </w:rPr>
        <w:t xml:space="preserve">El entorno técnico (TI) </w:t>
      </w:r>
      <w:r w:rsidR="0089438B" w:rsidRPr="00AC4AE7">
        <w:rPr>
          <w:lang w:val="es-ES_tradnl"/>
        </w:rPr>
        <w:t>supone</w:t>
      </w:r>
      <w:r w:rsidRPr="00AC4AE7">
        <w:rPr>
          <w:lang w:val="es-ES_tradnl"/>
        </w:rPr>
        <w:t xml:space="preserve"> una de las cuatro esferas de trabajo principales </w:t>
      </w:r>
      <w:r w:rsidR="0089438B" w:rsidRPr="00AC4AE7">
        <w:rPr>
          <w:lang w:val="es-ES_tradnl"/>
        </w:rPr>
        <w:t xml:space="preserve">para el futuro </w:t>
      </w:r>
      <w:r w:rsidRPr="00AC4AE7">
        <w:rPr>
          <w:lang w:val="es-ES_tradnl"/>
        </w:rPr>
        <w:t>desarrollo del Sistema del PCT según</w:t>
      </w:r>
      <w:r w:rsidR="00DB6A4F" w:rsidRPr="00AC4AE7">
        <w:rPr>
          <w:lang w:val="es-ES_tradnl"/>
        </w:rPr>
        <w:t xml:space="preserve"> se</w:t>
      </w:r>
      <w:r w:rsidRPr="00AC4AE7">
        <w:rPr>
          <w:lang w:val="es-ES_tradnl"/>
        </w:rPr>
        <w:t xml:space="preserve"> </w:t>
      </w:r>
      <w:r w:rsidR="0089438B" w:rsidRPr="00AC4AE7">
        <w:rPr>
          <w:lang w:val="es-ES_tradnl"/>
        </w:rPr>
        <w:t>expone</w:t>
      </w:r>
      <w:r w:rsidRPr="00AC4AE7">
        <w:rPr>
          <w:lang w:val="es-ES_tradnl"/>
        </w:rPr>
        <w:t xml:space="preserve"> en el memorando del director general </w:t>
      </w:r>
      <w:r w:rsidR="009F0675" w:rsidRPr="00AC4AE7">
        <w:rPr>
          <w:lang w:val="es-ES_tradnl"/>
        </w:rPr>
        <w:t>titulado “</w:t>
      </w:r>
      <w:r w:rsidRPr="00AC4AE7">
        <w:rPr>
          <w:lang w:val="es-ES_tradnl"/>
        </w:rPr>
        <w:t>El Sistema del PCT: Panorama general y posibles orientaciones y prioridades para el futuro”, que el Grupo de Trabajo examinó en su undécima reunión, celebrada en junio de 2018 (véase el documento PCT/WG/11/5).</w:t>
      </w:r>
      <w:r w:rsidR="00DF26BD" w:rsidRPr="00AC4AE7">
        <w:rPr>
          <w:lang w:val="es-ES_tradnl"/>
        </w:rPr>
        <w:t xml:space="preserve"> </w:t>
      </w:r>
      <w:r w:rsidR="0089438B" w:rsidRPr="00AC4AE7">
        <w:rPr>
          <w:lang w:val="es-ES_tradnl"/>
        </w:rPr>
        <w:t>E</w:t>
      </w:r>
      <w:r w:rsidR="00A00F85" w:rsidRPr="00AC4AE7">
        <w:rPr>
          <w:lang w:val="es-ES_tradnl"/>
        </w:rPr>
        <w:t xml:space="preserve">n él se ponía </w:t>
      </w:r>
      <w:r w:rsidR="0025196C" w:rsidRPr="00AC4AE7">
        <w:rPr>
          <w:lang w:val="es-ES_tradnl"/>
        </w:rPr>
        <w:t xml:space="preserve">de manifiesto la necesidad de que los datos </w:t>
      </w:r>
      <w:r w:rsidR="0089438B" w:rsidRPr="00AC4AE7">
        <w:rPr>
          <w:lang w:val="es-ES_tradnl"/>
        </w:rPr>
        <w:t>contenidos en</w:t>
      </w:r>
      <w:r w:rsidR="0025196C" w:rsidRPr="00AC4AE7">
        <w:rPr>
          <w:lang w:val="es-ES_tradnl"/>
        </w:rPr>
        <w:t xml:space="preserve"> l</w:t>
      </w:r>
      <w:r w:rsidR="00A00F85" w:rsidRPr="00AC4AE7">
        <w:rPr>
          <w:lang w:val="es-ES_tradnl"/>
        </w:rPr>
        <w:t>as solicitudes PCT se transmitieran</w:t>
      </w:r>
      <w:r w:rsidR="0025196C" w:rsidRPr="00AC4AE7">
        <w:rPr>
          <w:lang w:val="es-ES_tradnl"/>
        </w:rPr>
        <w:t xml:space="preserve"> en formatos </w:t>
      </w:r>
      <w:r w:rsidR="0089438B" w:rsidRPr="00AC4AE7">
        <w:rPr>
          <w:lang w:val="es-ES_tradnl"/>
        </w:rPr>
        <w:t xml:space="preserve">eficaces y </w:t>
      </w:r>
      <w:r w:rsidR="0025196C" w:rsidRPr="00AC4AE7">
        <w:rPr>
          <w:lang w:val="es-ES_tradnl"/>
        </w:rPr>
        <w:t>coherentes entre el solicitante, la Oficina receptora, las Administraciones internacionales y la Oficina Internacional, y posteriormente a las Oficinas designadas.</w:t>
      </w:r>
      <w:r w:rsidR="00DF26BD" w:rsidRPr="00AC4AE7">
        <w:rPr>
          <w:lang w:val="es-ES_tradnl"/>
        </w:rPr>
        <w:t xml:space="preserve"> </w:t>
      </w:r>
      <w:r w:rsidR="0025196C" w:rsidRPr="00AC4AE7">
        <w:rPr>
          <w:lang w:val="es-ES_tradnl"/>
        </w:rPr>
        <w:t>En su duodécima reunión, celebrada en junio de 2019, el Grupo de Trabajo examinó un documento preparado por la Oficina Internacional sobre los servicios del PCT por Internet (véase el documento PCT/WG/12/10).</w:t>
      </w:r>
      <w:r w:rsidR="00DF26BD" w:rsidRPr="00AC4AE7">
        <w:rPr>
          <w:lang w:val="es-ES_tradnl"/>
        </w:rPr>
        <w:t xml:space="preserve"> </w:t>
      </w:r>
      <w:r w:rsidR="0025196C" w:rsidRPr="00AC4AE7">
        <w:rPr>
          <w:lang w:val="es-ES_tradnl"/>
        </w:rPr>
        <w:t xml:space="preserve">El documento contiene información actualizada sobre el uso del formato XML para la presentación y tramitación de solicitudes internacionales (véanse los </w:t>
      </w:r>
      <w:r w:rsidR="00DB6A4F" w:rsidRPr="00AC4AE7">
        <w:rPr>
          <w:lang w:val="es-ES_tradnl"/>
        </w:rPr>
        <w:t>párrafos 14 a 22 del documento)</w:t>
      </w:r>
      <w:r w:rsidR="0025196C" w:rsidRPr="00AC4AE7">
        <w:rPr>
          <w:lang w:val="es-ES_tradnl"/>
        </w:rPr>
        <w:t xml:space="preserve"> necesario para la transferencia de datos como texto legible.</w:t>
      </w:r>
      <w:r w:rsidR="00DF26BD" w:rsidRPr="00AC4AE7">
        <w:rPr>
          <w:lang w:val="es-ES_tradnl"/>
        </w:rPr>
        <w:t xml:space="preserve"> </w:t>
      </w:r>
      <w:r w:rsidR="0025196C" w:rsidRPr="00AC4AE7">
        <w:rPr>
          <w:lang w:val="es-ES_tradnl"/>
        </w:rPr>
        <w:t xml:space="preserve">En los párrafos 17 a 38 del Informe de la reunión (documento PCT/WG/12/25) se facilitan los pormenores </w:t>
      </w:r>
      <w:r w:rsidR="0089438B" w:rsidRPr="00AC4AE7">
        <w:rPr>
          <w:lang w:val="es-ES_tradnl"/>
        </w:rPr>
        <w:t>de ese</w:t>
      </w:r>
      <w:r w:rsidR="0025196C" w:rsidRPr="00AC4AE7">
        <w:rPr>
          <w:lang w:val="es-ES_tradnl"/>
        </w:rPr>
        <w:t xml:space="preserve"> debate.</w:t>
      </w:r>
    </w:p>
    <w:p w:rsidR="00D54E49" w:rsidRPr="00AC4AE7" w:rsidRDefault="00A6622A" w:rsidP="00AC4AE7">
      <w:pPr>
        <w:pStyle w:val="ONUMFS"/>
        <w:rPr>
          <w:lang w:val="es-ES_tradnl"/>
        </w:rPr>
      </w:pPr>
      <w:r w:rsidRPr="00AC4AE7">
        <w:rPr>
          <w:lang w:val="es-ES_tradnl"/>
        </w:rPr>
        <w:t>En el presente documento se formulan propuestas para avanzar hacia la tramitación de las solicitudes internacionales en formato de texto completo.</w:t>
      </w:r>
      <w:r w:rsidR="00DF26BD" w:rsidRPr="00AC4AE7">
        <w:rPr>
          <w:lang w:val="es-ES_tradnl"/>
        </w:rPr>
        <w:t xml:space="preserve"> </w:t>
      </w:r>
      <w:r w:rsidRPr="00AC4AE7">
        <w:rPr>
          <w:lang w:val="es-ES_tradnl"/>
        </w:rPr>
        <w:t>Entre ellas se incluye la adopción de medidas coordinadas por la Oficina Internacional y las</w:t>
      </w:r>
      <w:r w:rsidR="0089438B" w:rsidRPr="00AC4AE7">
        <w:rPr>
          <w:lang w:val="es-ES_tradnl"/>
        </w:rPr>
        <w:t xml:space="preserve"> demás</w:t>
      </w:r>
      <w:r w:rsidRPr="00AC4AE7">
        <w:rPr>
          <w:lang w:val="es-ES_tradnl"/>
        </w:rPr>
        <w:t xml:space="preserve"> Oficinas para garantizar </w:t>
      </w:r>
      <w:r w:rsidR="0089438B" w:rsidRPr="00AC4AE7">
        <w:rPr>
          <w:lang w:val="es-ES_tradnl"/>
        </w:rPr>
        <w:t>un enfoque coherente para</w:t>
      </w:r>
      <w:r w:rsidRPr="00AC4AE7">
        <w:rPr>
          <w:lang w:val="es-ES_tradnl"/>
        </w:rPr>
        <w:t xml:space="preserve"> la tramitación de las solicitudes internacionales presentadas o </w:t>
      </w:r>
      <w:r w:rsidR="00DB6A4F" w:rsidRPr="00AC4AE7">
        <w:rPr>
          <w:lang w:val="es-ES_tradnl"/>
        </w:rPr>
        <w:t>tramitadas</w:t>
      </w:r>
      <w:r w:rsidRPr="00AC4AE7">
        <w:rPr>
          <w:lang w:val="es-ES_tradnl"/>
        </w:rPr>
        <w:t xml:space="preserve"> en formato de texto completo.</w:t>
      </w:r>
      <w:r w:rsidR="00DF26BD" w:rsidRPr="00AC4AE7">
        <w:rPr>
          <w:lang w:val="es-ES_tradnl"/>
        </w:rPr>
        <w:t xml:space="preserve"> </w:t>
      </w:r>
      <w:r w:rsidR="0089438B" w:rsidRPr="00AC4AE7">
        <w:rPr>
          <w:lang w:val="es-ES_tradnl"/>
        </w:rPr>
        <w:t>En la descripción de las propuestas se hace referencia</w:t>
      </w:r>
      <w:r w:rsidRPr="00AC4AE7">
        <w:rPr>
          <w:lang w:val="es-ES_tradnl"/>
        </w:rPr>
        <w:t xml:space="preserve"> a la solicitud presentada y a cualquier </w:t>
      </w:r>
      <w:r w:rsidR="00D920F2" w:rsidRPr="00AC4AE7">
        <w:rPr>
          <w:lang w:val="es-ES_tradnl"/>
        </w:rPr>
        <w:t>modificación</w:t>
      </w:r>
      <w:r w:rsidRPr="00AC4AE7">
        <w:rPr>
          <w:lang w:val="es-ES_tradnl"/>
        </w:rPr>
        <w:t xml:space="preserve"> </w:t>
      </w:r>
      <w:r w:rsidR="0089438B" w:rsidRPr="00AC4AE7">
        <w:rPr>
          <w:lang w:val="es-ES_tradnl"/>
        </w:rPr>
        <w:t xml:space="preserve">posterior </w:t>
      </w:r>
      <w:r w:rsidRPr="00AC4AE7">
        <w:rPr>
          <w:lang w:val="es-ES_tradnl"/>
        </w:rPr>
        <w:t>que se introduzca en dicha solicitud, pero se aplicarían del mismo modo a las traducciones facilitadas a los efectos de la publicación internacional y de la búsqueda internacional y el examen preliminar internacional.</w:t>
      </w:r>
    </w:p>
    <w:p w:rsidR="00D54E49" w:rsidRPr="00AC4AE7" w:rsidRDefault="00A6622A" w:rsidP="00A6622A">
      <w:pPr>
        <w:pStyle w:val="Heading1"/>
        <w:rPr>
          <w:lang w:val="es-ES_tradnl"/>
        </w:rPr>
      </w:pPr>
      <w:r w:rsidRPr="00AC4AE7">
        <w:rPr>
          <w:lang w:val="es-ES_tradnl"/>
        </w:rPr>
        <w:t xml:space="preserve">VENTAJAS </w:t>
      </w:r>
      <w:r w:rsidR="0089438B" w:rsidRPr="00AC4AE7">
        <w:rPr>
          <w:lang w:val="es-ES_tradnl"/>
        </w:rPr>
        <w:t>DE LA TRAMITACIÓN</w:t>
      </w:r>
      <w:r w:rsidRPr="00AC4AE7">
        <w:rPr>
          <w:lang w:val="es-ES_tradnl"/>
        </w:rPr>
        <w:t xml:space="preserve"> EN FORMATO DE TEXTO COMPLETO</w:t>
      </w:r>
    </w:p>
    <w:p w:rsidR="00D54E49" w:rsidRPr="00AC4AE7" w:rsidRDefault="0089438B" w:rsidP="00AC4AE7">
      <w:pPr>
        <w:pStyle w:val="ONUMFS"/>
        <w:rPr>
          <w:lang w:val="es-ES_tradnl"/>
        </w:rPr>
      </w:pPr>
      <w:r w:rsidRPr="00AC4AE7">
        <w:rPr>
          <w:lang w:val="es-ES_tradnl"/>
        </w:rPr>
        <w:t>La tramitación</w:t>
      </w:r>
      <w:r w:rsidR="00927B68" w:rsidRPr="00AC4AE7">
        <w:rPr>
          <w:lang w:val="es-ES_tradnl"/>
        </w:rPr>
        <w:t xml:space="preserve"> de los cuerpos de las solicitudes en formato de texto completo presenta muchas ventajas frente al intercambio de archivos de imagen, </w:t>
      </w:r>
      <w:r w:rsidR="00F76D60" w:rsidRPr="00AC4AE7">
        <w:rPr>
          <w:lang w:val="es-ES_tradnl"/>
        </w:rPr>
        <w:t>entre otras, las siguientes</w:t>
      </w:r>
      <w:r w:rsidR="00927B68" w:rsidRPr="00AC4AE7">
        <w:rPr>
          <w:lang w:val="es-ES_tradnl"/>
        </w:rPr>
        <w:t>:</w:t>
      </w:r>
    </w:p>
    <w:p w:rsidR="00D54E49" w:rsidRPr="00AC4AE7" w:rsidRDefault="00927B68" w:rsidP="00AC4AE7">
      <w:pPr>
        <w:pStyle w:val="ONUMFS"/>
        <w:numPr>
          <w:ilvl w:val="1"/>
          <w:numId w:val="6"/>
        </w:numPr>
        <w:tabs>
          <w:tab w:val="clear" w:pos="1134"/>
        </w:tabs>
        <w:ind w:left="1134" w:hanging="567"/>
        <w:rPr>
          <w:lang w:val="es-ES_tradnl"/>
        </w:rPr>
      </w:pPr>
      <w:r w:rsidRPr="00AC4AE7">
        <w:rPr>
          <w:lang w:val="es-ES_tradnl"/>
        </w:rPr>
        <w:t xml:space="preserve">búsquedas de texto más fáciles y precisas en las solicitudes internacionales </w:t>
      </w:r>
      <w:r w:rsidR="00F76D60" w:rsidRPr="00AC4AE7">
        <w:rPr>
          <w:lang w:val="es-ES_tradnl"/>
        </w:rPr>
        <w:t>tras la</w:t>
      </w:r>
      <w:r w:rsidRPr="00AC4AE7">
        <w:rPr>
          <w:lang w:val="es-ES_tradnl"/>
        </w:rPr>
        <w:t xml:space="preserve"> publicación;</w:t>
      </w:r>
    </w:p>
    <w:p w:rsidR="00D54E49" w:rsidRPr="00AC4AE7" w:rsidRDefault="00F76D60" w:rsidP="00AC4AE7">
      <w:pPr>
        <w:pStyle w:val="ONUMFS"/>
        <w:numPr>
          <w:ilvl w:val="1"/>
          <w:numId w:val="6"/>
        </w:numPr>
        <w:tabs>
          <w:tab w:val="clear" w:pos="1134"/>
        </w:tabs>
        <w:ind w:left="1134" w:hanging="567"/>
        <w:rPr>
          <w:lang w:val="es-ES_tradnl"/>
        </w:rPr>
      </w:pPr>
      <w:r w:rsidRPr="00AC4AE7">
        <w:rPr>
          <w:lang w:val="es-ES_tradnl"/>
        </w:rPr>
        <w:t>mayor</w:t>
      </w:r>
      <w:r w:rsidR="009F0F48" w:rsidRPr="00AC4AE7">
        <w:rPr>
          <w:lang w:val="es-ES_tradnl"/>
        </w:rPr>
        <w:t xml:space="preserve"> eficiencia </w:t>
      </w:r>
      <w:r w:rsidRPr="00AC4AE7">
        <w:rPr>
          <w:lang w:val="es-ES_tradnl"/>
        </w:rPr>
        <w:t xml:space="preserve">en </w:t>
      </w:r>
      <w:r w:rsidR="009F0F48" w:rsidRPr="00AC4AE7">
        <w:rPr>
          <w:lang w:val="es-ES_tradnl"/>
        </w:rPr>
        <w:t xml:space="preserve">general </w:t>
      </w:r>
      <w:r w:rsidRPr="00AC4AE7">
        <w:rPr>
          <w:lang w:val="es-ES_tradnl"/>
        </w:rPr>
        <w:t>durante</w:t>
      </w:r>
      <w:r w:rsidR="009F0F48" w:rsidRPr="00AC4AE7">
        <w:rPr>
          <w:lang w:val="es-ES_tradnl"/>
        </w:rPr>
        <w:t xml:space="preserve"> la tramitación de las solicitudes internacionales;</w:t>
      </w:r>
    </w:p>
    <w:p w:rsidR="00D54E49" w:rsidRPr="00AC4AE7" w:rsidRDefault="009F0F48" w:rsidP="00AC4AE7">
      <w:pPr>
        <w:pStyle w:val="ONUMFS"/>
        <w:numPr>
          <w:ilvl w:val="1"/>
          <w:numId w:val="6"/>
        </w:numPr>
        <w:tabs>
          <w:tab w:val="clear" w:pos="1134"/>
        </w:tabs>
        <w:ind w:left="1134" w:hanging="567"/>
        <w:rPr>
          <w:lang w:val="es-ES_tradnl"/>
        </w:rPr>
      </w:pPr>
      <w:r w:rsidRPr="00AC4AE7">
        <w:rPr>
          <w:lang w:val="es-ES_tradnl"/>
        </w:rPr>
        <w:t xml:space="preserve">se puede incluir el texto original de la solicitud publicada en los motores de búsqueda, </w:t>
      </w:r>
      <w:r w:rsidR="00F76D60" w:rsidRPr="00AC4AE7">
        <w:rPr>
          <w:lang w:val="es-ES_tradnl"/>
        </w:rPr>
        <w:t>por lo que</w:t>
      </w:r>
      <w:r w:rsidRPr="00AC4AE7">
        <w:rPr>
          <w:lang w:val="es-ES_tradnl"/>
        </w:rPr>
        <w:t xml:space="preserve"> </w:t>
      </w:r>
      <w:r w:rsidR="00F76D60" w:rsidRPr="00AC4AE7">
        <w:rPr>
          <w:lang w:val="es-ES_tradnl"/>
        </w:rPr>
        <w:t>deja de ser necesario el</w:t>
      </w:r>
      <w:r w:rsidRPr="00AC4AE7">
        <w:rPr>
          <w:lang w:val="es-ES_tradnl"/>
        </w:rPr>
        <w:t xml:space="preserve"> reconocimiento óptico de caracteres (ROC) para producir </w:t>
      </w:r>
      <w:r w:rsidR="00F76D60" w:rsidRPr="00AC4AE7">
        <w:rPr>
          <w:lang w:val="es-ES_tradnl"/>
        </w:rPr>
        <w:t>la</w:t>
      </w:r>
      <w:r w:rsidRPr="00AC4AE7">
        <w:rPr>
          <w:lang w:val="es-ES_tradnl"/>
        </w:rPr>
        <w:t xml:space="preserve"> versión de un documento en formato </w:t>
      </w:r>
      <w:r w:rsidR="004E09FA" w:rsidRPr="00AC4AE7">
        <w:rPr>
          <w:lang w:val="es-ES_tradnl"/>
        </w:rPr>
        <w:t xml:space="preserve">de </w:t>
      </w:r>
      <w:r w:rsidRPr="00AC4AE7">
        <w:rPr>
          <w:lang w:val="es-ES_tradnl"/>
        </w:rPr>
        <w:t>texto completo</w:t>
      </w:r>
      <w:r w:rsidR="00F76D60" w:rsidRPr="00AC4AE7">
        <w:rPr>
          <w:lang w:val="es-ES_tradnl"/>
        </w:rPr>
        <w:t>, con lo cual</w:t>
      </w:r>
      <w:r w:rsidRPr="00AC4AE7">
        <w:rPr>
          <w:lang w:val="es-ES_tradnl"/>
        </w:rPr>
        <w:t xml:space="preserve"> se evitan los </w:t>
      </w:r>
      <w:r w:rsidR="00F76D60" w:rsidRPr="00AC4AE7">
        <w:rPr>
          <w:lang w:val="es-ES_tradnl"/>
        </w:rPr>
        <w:t xml:space="preserve">posibles </w:t>
      </w:r>
      <w:r w:rsidRPr="00AC4AE7">
        <w:rPr>
          <w:lang w:val="es-ES_tradnl"/>
        </w:rPr>
        <w:t xml:space="preserve">errores que pueden </w:t>
      </w:r>
      <w:r w:rsidR="00F76D60" w:rsidRPr="00AC4AE7">
        <w:rPr>
          <w:lang w:val="es-ES_tradnl"/>
        </w:rPr>
        <w:t xml:space="preserve">surgir </w:t>
      </w:r>
      <w:r w:rsidRPr="00AC4AE7">
        <w:rPr>
          <w:lang w:val="es-ES_tradnl"/>
        </w:rPr>
        <w:t>durante el proceso de ROC;</w:t>
      </w:r>
    </w:p>
    <w:p w:rsidR="00D54E49" w:rsidRPr="00AC4AE7" w:rsidRDefault="00F76D60" w:rsidP="00AC4AE7">
      <w:pPr>
        <w:pStyle w:val="ONUMFS"/>
        <w:numPr>
          <w:ilvl w:val="1"/>
          <w:numId w:val="6"/>
        </w:numPr>
        <w:tabs>
          <w:tab w:val="clear" w:pos="1134"/>
        </w:tabs>
        <w:ind w:left="1134" w:hanging="567"/>
        <w:rPr>
          <w:lang w:val="es-ES_tradnl"/>
        </w:rPr>
      </w:pPr>
      <w:r w:rsidRPr="00AC4AE7">
        <w:rPr>
          <w:lang w:val="es-ES_tradnl"/>
        </w:rPr>
        <w:t xml:space="preserve">se puede automatizar </w:t>
      </w:r>
      <w:r w:rsidR="009F0F48" w:rsidRPr="00AC4AE7">
        <w:rPr>
          <w:lang w:val="es-ES_tradnl"/>
        </w:rPr>
        <w:t xml:space="preserve">la preclasificación de una solicitud de patente al extraer </w:t>
      </w:r>
      <w:r w:rsidRPr="00AC4AE7">
        <w:rPr>
          <w:lang w:val="es-ES_tradnl"/>
        </w:rPr>
        <w:t xml:space="preserve">del texto </w:t>
      </w:r>
      <w:r w:rsidR="009F0F48" w:rsidRPr="00AC4AE7">
        <w:rPr>
          <w:lang w:val="es-ES_tradnl"/>
        </w:rPr>
        <w:t>los términos técnicos;</w:t>
      </w:r>
    </w:p>
    <w:p w:rsidR="00D54E49" w:rsidRPr="00AC4AE7" w:rsidRDefault="00FE5F14" w:rsidP="00AC4AE7">
      <w:pPr>
        <w:pStyle w:val="ONUMFS"/>
        <w:numPr>
          <w:ilvl w:val="1"/>
          <w:numId w:val="6"/>
        </w:numPr>
        <w:tabs>
          <w:tab w:val="clear" w:pos="1134"/>
        </w:tabs>
        <w:ind w:left="1134" w:hanging="567"/>
        <w:rPr>
          <w:lang w:val="es-ES_tradnl"/>
        </w:rPr>
      </w:pPr>
      <w:r w:rsidRPr="00AC4AE7">
        <w:rPr>
          <w:lang w:val="es-ES_tradnl"/>
        </w:rPr>
        <w:t xml:space="preserve">se pueden producir traducciones automáticas de la solicitud presentada a los fines de su consulta a través de los motores de búsqueda y, si es necesario, se pueden </w:t>
      </w:r>
      <w:r w:rsidR="00C37A8D" w:rsidRPr="00AC4AE7">
        <w:rPr>
          <w:lang w:val="es-ES_tradnl"/>
        </w:rPr>
        <w:t>facilitar</w:t>
      </w:r>
      <w:r w:rsidRPr="00AC4AE7">
        <w:rPr>
          <w:lang w:val="es-ES_tradnl"/>
        </w:rPr>
        <w:t xml:space="preserve"> con mayor eficiencia las distintas partes de los documentos para su procesamiento </w:t>
      </w:r>
      <w:r w:rsidR="00C37A8D" w:rsidRPr="00AC4AE7">
        <w:rPr>
          <w:lang w:val="es-ES_tradnl"/>
        </w:rPr>
        <w:t>en</w:t>
      </w:r>
      <w:r w:rsidRPr="00AC4AE7">
        <w:rPr>
          <w:lang w:val="es-ES_tradnl"/>
        </w:rPr>
        <w:t xml:space="preserve"> programas informáticos de traducción asistida a fin de facilitar la traducción por </w:t>
      </w:r>
      <w:r w:rsidR="008E1DA3" w:rsidRPr="00AC4AE7">
        <w:rPr>
          <w:lang w:val="es-ES_tradnl"/>
        </w:rPr>
        <w:t>personas</w:t>
      </w:r>
      <w:r w:rsidRPr="00AC4AE7">
        <w:rPr>
          <w:lang w:val="es-ES_tradnl"/>
        </w:rPr>
        <w:t>;</w:t>
      </w:r>
    </w:p>
    <w:p w:rsidR="00D54E49" w:rsidRPr="00AC4AE7" w:rsidRDefault="00C37A8D" w:rsidP="00AC4AE7">
      <w:pPr>
        <w:pStyle w:val="ONUMFS"/>
        <w:numPr>
          <w:ilvl w:val="1"/>
          <w:numId w:val="6"/>
        </w:numPr>
        <w:tabs>
          <w:tab w:val="clear" w:pos="1134"/>
        </w:tabs>
        <w:ind w:left="1134" w:hanging="567"/>
        <w:rPr>
          <w:lang w:val="es-ES_tradnl"/>
        </w:rPr>
      </w:pPr>
      <w:r w:rsidRPr="00AC4AE7">
        <w:rPr>
          <w:lang w:val="es-ES_tradnl"/>
        </w:rPr>
        <w:lastRenderedPageBreak/>
        <w:t xml:space="preserve">se puede automatizar </w:t>
      </w:r>
      <w:r w:rsidR="00FE5F14" w:rsidRPr="00AC4AE7">
        <w:rPr>
          <w:lang w:val="es-ES_tradnl"/>
        </w:rPr>
        <w:t xml:space="preserve">la </w:t>
      </w:r>
      <w:r w:rsidRPr="00AC4AE7">
        <w:rPr>
          <w:lang w:val="es-ES_tradnl"/>
        </w:rPr>
        <w:t>verificación</w:t>
      </w:r>
      <w:r w:rsidR="00FE5F14" w:rsidRPr="00AC4AE7">
        <w:rPr>
          <w:lang w:val="es-ES_tradnl"/>
        </w:rPr>
        <w:t xml:space="preserve"> de defectos de forma </w:t>
      </w:r>
      <w:r w:rsidRPr="00AC4AE7">
        <w:rPr>
          <w:lang w:val="es-ES_tradnl"/>
        </w:rPr>
        <w:t>de</w:t>
      </w:r>
      <w:r w:rsidR="00FE5F14" w:rsidRPr="00AC4AE7">
        <w:rPr>
          <w:lang w:val="es-ES_tradnl"/>
        </w:rPr>
        <w:t xml:space="preserve"> una solicitud, eliminando las comprobaciones </w:t>
      </w:r>
      <w:r w:rsidRPr="00AC4AE7">
        <w:rPr>
          <w:lang w:val="es-ES_tradnl"/>
        </w:rPr>
        <w:t>vinculadas a</w:t>
      </w:r>
      <w:r w:rsidR="00FE5F14" w:rsidRPr="00AC4AE7">
        <w:rPr>
          <w:lang w:val="es-ES_tradnl"/>
        </w:rPr>
        <w:t xml:space="preserve"> la reproducción de imágenes, como las </w:t>
      </w:r>
      <w:r w:rsidRPr="00AC4AE7">
        <w:rPr>
          <w:lang w:val="es-ES_tradnl"/>
        </w:rPr>
        <w:t>de</w:t>
      </w:r>
      <w:r w:rsidR="00FE5F14" w:rsidRPr="00AC4AE7">
        <w:rPr>
          <w:lang w:val="es-ES_tradnl"/>
        </w:rPr>
        <w:t xml:space="preserve"> los márgenes </w:t>
      </w:r>
      <w:r w:rsidRPr="00AC4AE7">
        <w:rPr>
          <w:lang w:val="es-ES_tradnl"/>
        </w:rPr>
        <w:t>o</w:t>
      </w:r>
      <w:r w:rsidR="00FE5F14" w:rsidRPr="00AC4AE7">
        <w:rPr>
          <w:lang w:val="es-ES_tradnl"/>
        </w:rPr>
        <w:t xml:space="preserve"> el tamaño de fuente, lo cual reduce el número de tareas que </w:t>
      </w:r>
      <w:r w:rsidRPr="00AC4AE7">
        <w:rPr>
          <w:lang w:val="es-ES_tradnl"/>
        </w:rPr>
        <w:t>hay que realizar</w:t>
      </w:r>
      <w:r w:rsidR="00FE5F14" w:rsidRPr="00AC4AE7">
        <w:rPr>
          <w:lang w:val="es-ES_tradnl"/>
        </w:rPr>
        <w:t xml:space="preserve"> antes de la publicación internacional;</w:t>
      </w:r>
    </w:p>
    <w:p w:rsidR="00D54E49" w:rsidRPr="00AC4AE7" w:rsidRDefault="00C37A8D" w:rsidP="00AC4AE7">
      <w:pPr>
        <w:pStyle w:val="ONUMFS"/>
        <w:numPr>
          <w:ilvl w:val="1"/>
          <w:numId w:val="6"/>
        </w:numPr>
        <w:tabs>
          <w:tab w:val="clear" w:pos="1134"/>
        </w:tabs>
        <w:ind w:left="1134" w:hanging="567"/>
        <w:rPr>
          <w:lang w:val="es-ES_tradnl"/>
        </w:rPr>
      </w:pPr>
      <w:r w:rsidRPr="00AC4AE7">
        <w:rPr>
          <w:lang w:val="es-ES_tradnl"/>
        </w:rPr>
        <w:t xml:space="preserve">se puede usar un lenguaje de marcado pormenorizado para mostrar </w:t>
      </w:r>
      <w:r w:rsidR="00FE5F14" w:rsidRPr="00AC4AE7">
        <w:rPr>
          <w:lang w:val="es-ES_tradnl"/>
        </w:rPr>
        <w:t xml:space="preserve">las modificaciones, correcciones y rectificaciones </w:t>
      </w:r>
      <w:r w:rsidRPr="00AC4AE7">
        <w:rPr>
          <w:lang w:val="es-ES_tradnl"/>
        </w:rPr>
        <w:t xml:space="preserve">introducidas en </w:t>
      </w:r>
      <w:r w:rsidR="00FE5F14" w:rsidRPr="00AC4AE7">
        <w:rPr>
          <w:lang w:val="es-ES_tradnl"/>
        </w:rPr>
        <w:t>la solicitud durante la tramitación;</w:t>
      </w:r>
    </w:p>
    <w:p w:rsidR="00D54E49" w:rsidRPr="00AC4AE7" w:rsidRDefault="00FE5F14" w:rsidP="00AC4AE7">
      <w:pPr>
        <w:pStyle w:val="ONUMFS"/>
        <w:numPr>
          <w:ilvl w:val="1"/>
          <w:numId w:val="6"/>
        </w:numPr>
        <w:tabs>
          <w:tab w:val="clear" w:pos="1134"/>
        </w:tabs>
        <w:ind w:left="1134" w:hanging="567"/>
        <w:rPr>
          <w:lang w:val="es-ES_tradnl"/>
        </w:rPr>
      </w:pPr>
      <w:r w:rsidRPr="00AC4AE7">
        <w:rPr>
          <w:lang w:val="es-ES_tradnl"/>
        </w:rPr>
        <w:t xml:space="preserve">el formato de texto completo es compatible con la presentación de dibujos en color en </w:t>
      </w:r>
      <w:r w:rsidR="00C37A8D" w:rsidRPr="00AC4AE7">
        <w:rPr>
          <w:lang w:val="es-ES_tradnl"/>
        </w:rPr>
        <w:t>la</w:t>
      </w:r>
      <w:r w:rsidRPr="00AC4AE7">
        <w:rPr>
          <w:lang w:val="es-ES_tradnl"/>
        </w:rPr>
        <w:t xml:space="preserve"> solicitud; y</w:t>
      </w:r>
    </w:p>
    <w:p w:rsidR="00D54E49" w:rsidRPr="00AC4AE7" w:rsidRDefault="00FE5F14" w:rsidP="00AC4AE7">
      <w:pPr>
        <w:pStyle w:val="ONUMFS"/>
        <w:numPr>
          <w:ilvl w:val="1"/>
          <w:numId w:val="6"/>
        </w:numPr>
        <w:tabs>
          <w:tab w:val="clear" w:pos="1134"/>
        </w:tabs>
        <w:ind w:left="1134" w:hanging="567"/>
        <w:rPr>
          <w:lang w:val="es-ES_tradnl"/>
        </w:rPr>
      </w:pPr>
      <w:r w:rsidRPr="00AC4AE7">
        <w:rPr>
          <w:lang w:val="es-ES_tradnl"/>
        </w:rPr>
        <w:t>las Oficinas designadas y elegidas pueden extraer el texto completo de la publicación internacional para su tramitación en la fase nacional.</w:t>
      </w:r>
    </w:p>
    <w:p w:rsidR="00D54E49" w:rsidRPr="00AC4AE7" w:rsidRDefault="00FE5F14" w:rsidP="00AC4AE7">
      <w:pPr>
        <w:pStyle w:val="ONUMFS"/>
        <w:rPr>
          <w:lang w:val="es-ES_tradnl"/>
        </w:rPr>
      </w:pPr>
      <w:r w:rsidRPr="00AC4AE7">
        <w:rPr>
          <w:lang w:val="es-ES_tradnl"/>
        </w:rPr>
        <w:t xml:space="preserve">Para aprovechar plenamente estas ventajas, la solicitud debe presentarse en formato de texto completo y </w:t>
      </w:r>
      <w:r w:rsidR="00D212B0" w:rsidRPr="00AC4AE7">
        <w:rPr>
          <w:lang w:val="es-ES_tradnl"/>
        </w:rPr>
        <w:t xml:space="preserve">toda </w:t>
      </w:r>
      <w:r w:rsidRPr="00AC4AE7">
        <w:rPr>
          <w:lang w:val="es-ES_tradnl"/>
        </w:rPr>
        <w:t>la tramitación</w:t>
      </w:r>
      <w:r w:rsidR="00D212B0" w:rsidRPr="00AC4AE7">
        <w:rPr>
          <w:lang w:val="es-ES_tradnl"/>
        </w:rPr>
        <w:t xml:space="preserve">, de principio a fin, debe realizarse en dicho </w:t>
      </w:r>
      <w:r w:rsidRPr="00AC4AE7">
        <w:rPr>
          <w:lang w:val="es-ES_tradnl"/>
        </w:rPr>
        <w:t xml:space="preserve">formato y de manera </w:t>
      </w:r>
      <w:r w:rsidR="00D212B0" w:rsidRPr="00AC4AE7">
        <w:rPr>
          <w:lang w:val="es-ES_tradnl"/>
        </w:rPr>
        <w:t>coherente</w:t>
      </w:r>
      <w:r w:rsidRPr="00AC4AE7">
        <w:rPr>
          <w:lang w:val="es-ES_tradnl"/>
        </w:rPr>
        <w:t xml:space="preserve"> en todas las Oficinas y en la Oficina Internacional.</w:t>
      </w:r>
    </w:p>
    <w:p w:rsidR="00D54E49" w:rsidRPr="00AC4AE7" w:rsidRDefault="00FE5F14" w:rsidP="00FE5F14">
      <w:pPr>
        <w:pStyle w:val="Heading1"/>
        <w:rPr>
          <w:lang w:val="es-ES_tradnl"/>
        </w:rPr>
      </w:pPr>
      <w:r w:rsidRPr="00AC4AE7">
        <w:rPr>
          <w:lang w:val="es-ES_tradnl"/>
        </w:rPr>
        <w:t>SITUACIÓN ACTUAL</w:t>
      </w:r>
    </w:p>
    <w:p w:rsidR="00D54E49" w:rsidRPr="00AC4AE7" w:rsidRDefault="001F1E9B" w:rsidP="001F1E9B">
      <w:pPr>
        <w:pStyle w:val="Heading2"/>
        <w:rPr>
          <w:lang w:val="es-ES_tradnl"/>
        </w:rPr>
      </w:pPr>
      <w:r w:rsidRPr="00AC4AE7">
        <w:rPr>
          <w:lang w:val="es-ES_tradnl"/>
        </w:rPr>
        <w:t>PRESENTACIÓN DE SOLICITUDES INTERNACIONALES EN FORMATO DE TEXTO COMPLETO</w:t>
      </w:r>
    </w:p>
    <w:p w:rsidR="00D54E49" w:rsidRPr="00AC4AE7" w:rsidRDefault="001F1E9B" w:rsidP="00AC4AE7">
      <w:pPr>
        <w:pStyle w:val="ONUMFS"/>
        <w:rPr>
          <w:lang w:val="es-ES_tradnl"/>
        </w:rPr>
      </w:pPr>
      <w:r w:rsidRPr="00AC4AE7">
        <w:rPr>
          <w:lang w:val="es-ES_tradnl"/>
        </w:rPr>
        <w:t>En 2020, el 98,3% de las solicitudes internacionales se presentó por vía electrónica, frente al 93,6% de solicitudes presentadas de forma completamente electrónica en 2015.</w:t>
      </w:r>
      <w:r w:rsidR="00DF26BD" w:rsidRPr="00AC4AE7">
        <w:rPr>
          <w:lang w:val="es-ES_tradnl"/>
        </w:rPr>
        <w:t xml:space="preserve"> </w:t>
      </w:r>
      <w:r w:rsidRPr="00AC4AE7">
        <w:rPr>
          <w:lang w:val="es-ES_tradnl"/>
        </w:rPr>
        <w:t xml:space="preserve">Sin embargo, en términos porcentuales, </w:t>
      </w:r>
      <w:r w:rsidR="00D212B0" w:rsidRPr="00AC4AE7">
        <w:rPr>
          <w:lang w:val="es-ES_tradnl"/>
        </w:rPr>
        <w:t>la presentación</w:t>
      </w:r>
      <w:r w:rsidRPr="00AC4AE7">
        <w:rPr>
          <w:lang w:val="es-ES_tradnl"/>
        </w:rPr>
        <w:t xml:space="preserve"> en formato XML durante ese mismo período se ha mantenido en niveles similares: 27,9% en 2020 y 28,2% en 2015.</w:t>
      </w:r>
      <w:r w:rsidR="00DF26BD" w:rsidRPr="00AC4AE7">
        <w:rPr>
          <w:lang w:val="es-ES_tradnl"/>
        </w:rPr>
        <w:t xml:space="preserve"> </w:t>
      </w:r>
      <w:r w:rsidRPr="00AC4AE7">
        <w:rPr>
          <w:lang w:val="es-ES_tradnl"/>
        </w:rPr>
        <w:t xml:space="preserve">Por </w:t>
      </w:r>
      <w:r w:rsidR="00D212B0" w:rsidRPr="00AC4AE7">
        <w:rPr>
          <w:lang w:val="es-ES_tradnl"/>
        </w:rPr>
        <w:t>ello</w:t>
      </w:r>
      <w:r w:rsidRPr="00AC4AE7">
        <w:rPr>
          <w:lang w:val="es-ES_tradnl"/>
        </w:rPr>
        <w:t xml:space="preserve">, </w:t>
      </w:r>
      <w:r w:rsidR="00D212B0" w:rsidRPr="00AC4AE7">
        <w:rPr>
          <w:lang w:val="es-ES_tradnl"/>
        </w:rPr>
        <w:t xml:space="preserve">para facilitar la transición </w:t>
      </w:r>
      <w:r w:rsidR="00D43B4D" w:rsidRPr="00AC4AE7">
        <w:rPr>
          <w:lang w:val="es-ES_tradnl"/>
        </w:rPr>
        <w:t>a la tramitación</w:t>
      </w:r>
      <w:r w:rsidR="00D212B0" w:rsidRPr="00AC4AE7">
        <w:rPr>
          <w:lang w:val="es-ES_tradnl"/>
        </w:rPr>
        <w:t xml:space="preserve"> en formato de texto completo es crucial que aumente</w:t>
      </w:r>
      <w:r w:rsidRPr="00AC4AE7">
        <w:rPr>
          <w:lang w:val="es-ES_tradnl"/>
        </w:rPr>
        <w:t xml:space="preserve"> el porcentaje de solicitudes internacionales presentadas en XML.</w:t>
      </w:r>
    </w:p>
    <w:tbl>
      <w:tblPr>
        <w:tblStyle w:val="TableGrid"/>
        <w:tblW w:w="0" w:type="auto"/>
        <w:tblInd w:w="562" w:type="dxa"/>
        <w:tblCellMar>
          <w:top w:w="57" w:type="dxa"/>
          <w:bottom w:w="57" w:type="dxa"/>
        </w:tblCellMar>
        <w:tblLook w:val="0480" w:firstRow="0" w:lastRow="0" w:firstColumn="1" w:lastColumn="0" w:noHBand="0" w:noVBand="1"/>
        <w:tblCaption w:val="Filing Format of International Applications for 2020 by Receiving Office"/>
        <w:tblDescription w:val="This table shows the filing format applicants used to file international applications in 2020.  The table presents the numbers of full-text XML applications, PDF applications and paper applications filed that year at the top six receiving Offices in terms of applications, and for all other receiving Offices combined."/>
      </w:tblPr>
      <w:tblGrid>
        <w:gridCol w:w="1413"/>
        <w:gridCol w:w="1559"/>
        <w:gridCol w:w="1706"/>
        <w:gridCol w:w="1989"/>
        <w:gridCol w:w="1701"/>
      </w:tblGrid>
      <w:tr w:rsidR="008B37C6" w:rsidRPr="00AC4AE7" w:rsidTr="00AC4AE7">
        <w:trPr>
          <w:tblHeader/>
        </w:trPr>
        <w:tc>
          <w:tcPr>
            <w:tcW w:w="1413" w:type="dxa"/>
          </w:tcPr>
          <w:p w:rsidR="008B37C6" w:rsidRPr="00AC4AE7" w:rsidRDefault="001F1E9B" w:rsidP="001F1E9B">
            <w:pPr>
              <w:jc w:val="right"/>
              <w:rPr>
                <w:i/>
                <w:lang w:val="es-ES_tradnl"/>
              </w:rPr>
            </w:pPr>
            <w:r w:rsidRPr="00AC4AE7">
              <w:rPr>
                <w:i/>
                <w:lang w:val="es-ES_tradnl"/>
              </w:rPr>
              <w:t>Oficina receptora</w:t>
            </w:r>
          </w:p>
        </w:tc>
        <w:tc>
          <w:tcPr>
            <w:tcW w:w="1559" w:type="dxa"/>
          </w:tcPr>
          <w:p w:rsidR="008B37C6" w:rsidRPr="00AC4AE7" w:rsidRDefault="001F1E9B" w:rsidP="001F1E9B">
            <w:pPr>
              <w:jc w:val="right"/>
              <w:rPr>
                <w:i/>
                <w:lang w:val="es-ES_tradnl"/>
              </w:rPr>
            </w:pPr>
            <w:r w:rsidRPr="00AC4AE7">
              <w:rPr>
                <w:i/>
                <w:lang w:val="es-ES_tradnl"/>
              </w:rPr>
              <w:t>Solicitudes XML de texto completo</w:t>
            </w:r>
            <w:r w:rsidR="008B37C6" w:rsidRPr="00AC4AE7">
              <w:rPr>
                <w:i/>
                <w:lang w:val="es-ES_tradnl"/>
              </w:rPr>
              <w:t xml:space="preserve"> </w:t>
            </w:r>
          </w:p>
        </w:tc>
        <w:tc>
          <w:tcPr>
            <w:tcW w:w="1706" w:type="dxa"/>
          </w:tcPr>
          <w:p w:rsidR="008B37C6" w:rsidRPr="00AC4AE7" w:rsidRDefault="001F1E9B" w:rsidP="001F1E9B">
            <w:pPr>
              <w:jc w:val="right"/>
              <w:rPr>
                <w:i/>
                <w:lang w:val="es-ES_tradnl"/>
              </w:rPr>
            </w:pPr>
            <w:r w:rsidRPr="00AC4AE7">
              <w:rPr>
                <w:i/>
                <w:lang w:val="es-ES_tradnl"/>
              </w:rPr>
              <w:t>Solicitudes en PDF</w:t>
            </w:r>
          </w:p>
        </w:tc>
        <w:tc>
          <w:tcPr>
            <w:tcW w:w="1989" w:type="dxa"/>
          </w:tcPr>
          <w:p w:rsidR="008B37C6" w:rsidRPr="00AC4AE7" w:rsidRDefault="001F1E9B" w:rsidP="001F1E9B">
            <w:pPr>
              <w:jc w:val="right"/>
              <w:rPr>
                <w:i/>
                <w:lang w:val="es-ES_tradnl"/>
              </w:rPr>
            </w:pPr>
            <w:r w:rsidRPr="00AC4AE7">
              <w:rPr>
                <w:i/>
                <w:lang w:val="es-ES_tradnl"/>
              </w:rPr>
              <w:t>Solicitudes en papel</w:t>
            </w:r>
          </w:p>
        </w:tc>
        <w:tc>
          <w:tcPr>
            <w:tcW w:w="1701" w:type="dxa"/>
          </w:tcPr>
          <w:p w:rsidR="008B37C6" w:rsidRPr="00AC4AE7" w:rsidRDefault="001F1E9B" w:rsidP="001F1E9B">
            <w:pPr>
              <w:jc w:val="right"/>
              <w:rPr>
                <w:i/>
                <w:lang w:val="es-ES_tradnl"/>
              </w:rPr>
            </w:pPr>
            <w:r w:rsidRPr="00AC4AE7">
              <w:rPr>
                <w:i/>
                <w:lang w:val="es-ES_tradnl"/>
              </w:rPr>
              <w:t>Total de solicitudes</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JP</w:t>
            </w:r>
          </w:p>
        </w:tc>
        <w:tc>
          <w:tcPr>
            <w:tcW w:w="1559" w:type="dxa"/>
          </w:tcPr>
          <w:p w:rsidR="008B37C6" w:rsidRPr="00AC4AE7" w:rsidRDefault="008B37C6" w:rsidP="00F30638">
            <w:pPr>
              <w:jc w:val="right"/>
              <w:rPr>
                <w:lang w:val="es-ES_tradnl"/>
              </w:rPr>
            </w:pPr>
            <w:r w:rsidRPr="00AC4AE7">
              <w:rPr>
                <w:lang w:val="es-ES_tradnl"/>
              </w:rPr>
              <w:t>49</w:t>
            </w:r>
            <w:r w:rsidR="00F30638" w:rsidRPr="00AC4AE7">
              <w:rPr>
                <w:lang w:val="es-ES_tradnl"/>
              </w:rPr>
              <w:t>.</w:t>
            </w:r>
            <w:r w:rsidRPr="00AC4AE7">
              <w:rPr>
                <w:lang w:val="es-ES_tradnl"/>
              </w:rPr>
              <w:t>005</w:t>
            </w:r>
          </w:p>
        </w:tc>
        <w:tc>
          <w:tcPr>
            <w:tcW w:w="1706" w:type="dxa"/>
          </w:tcPr>
          <w:p w:rsidR="008B37C6" w:rsidRPr="00AC4AE7" w:rsidRDefault="008B37C6" w:rsidP="00545500">
            <w:pPr>
              <w:jc w:val="right"/>
              <w:rPr>
                <w:lang w:val="es-ES_tradnl"/>
              </w:rPr>
            </w:pPr>
            <w:r w:rsidRPr="00AC4AE7">
              <w:rPr>
                <w:lang w:val="es-ES_tradnl"/>
              </w:rPr>
              <w:t>0</w:t>
            </w:r>
          </w:p>
        </w:tc>
        <w:tc>
          <w:tcPr>
            <w:tcW w:w="1989" w:type="dxa"/>
          </w:tcPr>
          <w:p w:rsidR="008B37C6" w:rsidRPr="00AC4AE7" w:rsidRDefault="008B37C6" w:rsidP="00545500">
            <w:pPr>
              <w:jc w:val="right"/>
              <w:rPr>
                <w:lang w:val="es-ES_tradnl"/>
              </w:rPr>
            </w:pPr>
            <w:r w:rsidRPr="00AC4AE7">
              <w:rPr>
                <w:lang w:val="es-ES_tradnl"/>
              </w:rPr>
              <w:t>308</w:t>
            </w:r>
          </w:p>
        </w:tc>
        <w:tc>
          <w:tcPr>
            <w:tcW w:w="1701" w:type="dxa"/>
          </w:tcPr>
          <w:p w:rsidR="008B37C6" w:rsidRPr="00AC4AE7" w:rsidRDefault="008B37C6" w:rsidP="00545500">
            <w:pPr>
              <w:jc w:val="right"/>
              <w:rPr>
                <w:lang w:val="es-ES_tradnl"/>
              </w:rPr>
            </w:pPr>
            <w:r w:rsidRPr="00AC4AE7">
              <w:rPr>
                <w:lang w:val="es-ES_tradnl"/>
              </w:rPr>
              <w:t>49</w:t>
            </w:r>
            <w:r w:rsidR="00F30638" w:rsidRPr="00AC4AE7">
              <w:rPr>
                <w:lang w:val="es-ES_tradnl"/>
              </w:rPr>
              <w:t>.</w:t>
            </w:r>
            <w:r w:rsidRPr="00AC4AE7">
              <w:rPr>
                <w:lang w:val="es-ES_tradnl"/>
              </w:rPr>
              <w:t>313</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KR</w:t>
            </w:r>
          </w:p>
        </w:tc>
        <w:tc>
          <w:tcPr>
            <w:tcW w:w="1559" w:type="dxa"/>
          </w:tcPr>
          <w:p w:rsidR="008B37C6" w:rsidRPr="00AC4AE7" w:rsidRDefault="008B37C6" w:rsidP="00545500">
            <w:pPr>
              <w:jc w:val="right"/>
              <w:rPr>
                <w:lang w:val="es-ES_tradnl"/>
              </w:rPr>
            </w:pPr>
            <w:r w:rsidRPr="00AC4AE7">
              <w:rPr>
                <w:lang w:val="es-ES_tradnl"/>
              </w:rPr>
              <w:t>19</w:t>
            </w:r>
            <w:r w:rsidR="00F30638" w:rsidRPr="00AC4AE7">
              <w:rPr>
                <w:lang w:val="es-ES_tradnl"/>
              </w:rPr>
              <w:t>.</w:t>
            </w:r>
            <w:r w:rsidRPr="00AC4AE7">
              <w:rPr>
                <w:lang w:val="es-ES_tradnl"/>
              </w:rPr>
              <w:t>525</w:t>
            </w:r>
          </w:p>
        </w:tc>
        <w:tc>
          <w:tcPr>
            <w:tcW w:w="1706" w:type="dxa"/>
          </w:tcPr>
          <w:p w:rsidR="008B37C6" w:rsidRPr="00AC4AE7" w:rsidRDefault="008B37C6" w:rsidP="00545500">
            <w:pPr>
              <w:jc w:val="right"/>
              <w:rPr>
                <w:lang w:val="es-ES_tradnl"/>
              </w:rPr>
            </w:pPr>
            <w:r w:rsidRPr="00AC4AE7">
              <w:rPr>
                <w:lang w:val="es-ES_tradnl"/>
              </w:rPr>
              <w:t>0</w:t>
            </w:r>
          </w:p>
        </w:tc>
        <w:tc>
          <w:tcPr>
            <w:tcW w:w="1989" w:type="dxa"/>
          </w:tcPr>
          <w:p w:rsidR="008B37C6" w:rsidRPr="00AC4AE7" w:rsidRDefault="008B37C6" w:rsidP="00545500">
            <w:pPr>
              <w:jc w:val="right"/>
              <w:rPr>
                <w:lang w:val="es-ES_tradnl"/>
              </w:rPr>
            </w:pPr>
            <w:r w:rsidRPr="00AC4AE7">
              <w:rPr>
                <w:lang w:val="es-ES_tradnl"/>
              </w:rPr>
              <w:t>150</w:t>
            </w:r>
          </w:p>
        </w:tc>
        <w:tc>
          <w:tcPr>
            <w:tcW w:w="1701" w:type="dxa"/>
          </w:tcPr>
          <w:p w:rsidR="008B37C6" w:rsidRPr="00AC4AE7" w:rsidRDefault="008B37C6" w:rsidP="00545500">
            <w:pPr>
              <w:jc w:val="right"/>
              <w:rPr>
                <w:lang w:val="es-ES_tradnl"/>
              </w:rPr>
            </w:pPr>
            <w:r w:rsidRPr="00AC4AE7">
              <w:rPr>
                <w:lang w:val="es-ES_tradnl"/>
              </w:rPr>
              <w:t>19</w:t>
            </w:r>
            <w:r w:rsidR="00F30638" w:rsidRPr="00AC4AE7">
              <w:rPr>
                <w:lang w:val="es-ES_tradnl"/>
              </w:rPr>
              <w:t>.</w:t>
            </w:r>
            <w:r w:rsidRPr="00AC4AE7">
              <w:rPr>
                <w:lang w:val="es-ES_tradnl"/>
              </w:rPr>
              <w:t>675</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CN</w:t>
            </w:r>
          </w:p>
        </w:tc>
        <w:tc>
          <w:tcPr>
            <w:tcW w:w="1559" w:type="dxa"/>
          </w:tcPr>
          <w:p w:rsidR="008B37C6" w:rsidRPr="00AC4AE7" w:rsidRDefault="008B37C6" w:rsidP="00545500">
            <w:pPr>
              <w:jc w:val="right"/>
              <w:rPr>
                <w:lang w:val="es-ES_tradnl"/>
              </w:rPr>
            </w:pPr>
            <w:r w:rsidRPr="00AC4AE7">
              <w:rPr>
                <w:lang w:val="es-ES_tradnl"/>
              </w:rPr>
              <w:t>7</w:t>
            </w:r>
            <w:r w:rsidR="00F30638" w:rsidRPr="00AC4AE7">
              <w:rPr>
                <w:lang w:val="es-ES_tradnl"/>
              </w:rPr>
              <w:t>.</w:t>
            </w:r>
            <w:r w:rsidRPr="00AC4AE7">
              <w:rPr>
                <w:lang w:val="es-ES_tradnl"/>
              </w:rPr>
              <w:t>651</w:t>
            </w:r>
          </w:p>
        </w:tc>
        <w:tc>
          <w:tcPr>
            <w:tcW w:w="1706" w:type="dxa"/>
          </w:tcPr>
          <w:p w:rsidR="008B37C6" w:rsidRPr="00AC4AE7" w:rsidRDefault="008B37C6" w:rsidP="00545500">
            <w:pPr>
              <w:tabs>
                <w:tab w:val="left" w:pos="960"/>
              </w:tabs>
              <w:jc w:val="right"/>
              <w:rPr>
                <w:lang w:val="es-ES_tradnl"/>
              </w:rPr>
            </w:pPr>
            <w:r w:rsidRPr="00AC4AE7">
              <w:rPr>
                <w:lang w:val="es-ES_tradnl"/>
              </w:rPr>
              <w:t>64</w:t>
            </w:r>
            <w:r w:rsidR="00F30638" w:rsidRPr="00AC4AE7">
              <w:rPr>
                <w:lang w:val="es-ES_tradnl"/>
              </w:rPr>
              <w:t>.</w:t>
            </w:r>
            <w:r w:rsidRPr="00AC4AE7">
              <w:rPr>
                <w:lang w:val="es-ES_tradnl"/>
              </w:rPr>
              <w:t>336</w:t>
            </w:r>
          </w:p>
        </w:tc>
        <w:tc>
          <w:tcPr>
            <w:tcW w:w="1989" w:type="dxa"/>
          </w:tcPr>
          <w:p w:rsidR="008B37C6" w:rsidRPr="00AC4AE7" w:rsidRDefault="008B37C6" w:rsidP="00545500">
            <w:pPr>
              <w:tabs>
                <w:tab w:val="left" w:pos="960"/>
              </w:tabs>
              <w:jc w:val="right"/>
              <w:rPr>
                <w:lang w:val="es-ES_tradnl"/>
              </w:rPr>
            </w:pPr>
            <w:r w:rsidRPr="00AC4AE7">
              <w:rPr>
                <w:lang w:val="es-ES_tradnl"/>
              </w:rPr>
              <w:t>354</w:t>
            </w:r>
          </w:p>
        </w:tc>
        <w:tc>
          <w:tcPr>
            <w:tcW w:w="1701" w:type="dxa"/>
          </w:tcPr>
          <w:p w:rsidR="008B37C6" w:rsidRPr="00AC4AE7" w:rsidRDefault="008B37C6" w:rsidP="00545500">
            <w:pPr>
              <w:tabs>
                <w:tab w:val="left" w:pos="960"/>
              </w:tabs>
              <w:jc w:val="right"/>
              <w:rPr>
                <w:lang w:val="es-ES_tradnl"/>
              </w:rPr>
            </w:pPr>
            <w:r w:rsidRPr="00AC4AE7">
              <w:rPr>
                <w:lang w:val="es-ES_tradnl"/>
              </w:rPr>
              <w:t>72</w:t>
            </w:r>
            <w:r w:rsidR="00F30638" w:rsidRPr="00AC4AE7">
              <w:rPr>
                <w:lang w:val="es-ES_tradnl"/>
              </w:rPr>
              <w:t>.</w:t>
            </w:r>
            <w:r w:rsidRPr="00AC4AE7">
              <w:rPr>
                <w:lang w:val="es-ES_tradnl"/>
              </w:rPr>
              <w:t>341</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IB</w:t>
            </w:r>
          </w:p>
        </w:tc>
        <w:tc>
          <w:tcPr>
            <w:tcW w:w="1559" w:type="dxa"/>
          </w:tcPr>
          <w:p w:rsidR="008B37C6" w:rsidRPr="00AC4AE7" w:rsidRDefault="008B37C6" w:rsidP="00545500">
            <w:pPr>
              <w:jc w:val="right"/>
              <w:rPr>
                <w:lang w:val="es-ES_tradnl"/>
              </w:rPr>
            </w:pPr>
            <w:r w:rsidRPr="00AC4AE7">
              <w:rPr>
                <w:lang w:val="es-ES_tradnl"/>
              </w:rPr>
              <w:t>293</w:t>
            </w:r>
          </w:p>
        </w:tc>
        <w:tc>
          <w:tcPr>
            <w:tcW w:w="1706" w:type="dxa"/>
          </w:tcPr>
          <w:p w:rsidR="008B37C6" w:rsidRPr="00AC4AE7" w:rsidRDefault="008B37C6" w:rsidP="00545500">
            <w:pPr>
              <w:jc w:val="right"/>
              <w:rPr>
                <w:lang w:val="es-ES_tradnl"/>
              </w:rPr>
            </w:pPr>
            <w:r w:rsidRPr="00AC4AE7">
              <w:rPr>
                <w:lang w:val="es-ES_tradnl"/>
              </w:rPr>
              <w:t>12</w:t>
            </w:r>
            <w:r w:rsidR="00F30638" w:rsidRPr="00AC4AE7">
              <w:rPr>
                <w:lang w:val="es-ES_tradnl"/>
              </w:rPr>
              <w:t>.</w:t>
            </w:r>
            <w:r w:rsidRPr="00AC4AE7">
              <w:rPr>
                <w:lang w:val="es-ES_tradnl"/>
              </w:rPr>
              <w:t>963</w:t>
            </w:r>
          </w:p>
        </w:tc>
        <w:tc>
          <w:tcPr>
            <w:tcW w:w="1989" w:type="dxa"/>
          </w:tcPr>
          <w:p w:rsidR="008B37C6" w:rsidRPr="00AC4AE7" w:rsidRDefault="008B37C6" w:rsidP="00545500">
            <w:pPr>
              <w:jc w:val="right"/>
              <w:rPr>
                <w:lang w:val="es-ES_tradnl"/>
              </w:rPr>
            </w:pPr>
            <w:r w:rsidRPr="00AC4AE7">
              <w:rPr>
                <w:lang w:val="es-ES_tradnl"/>
              </w:rPr>
              <w:t>176</w:t>
            </w:r>
          </w:p>
        </w:tc>
        <w:tc>
          <w:tcPr>
            <w:tcW w:w="1701" w:type="dxa"/>
          </w:tcPr>
          <w:p w:rsidR="008B37C6" w:rsidRPr="00AC4AE7" w:rsidRDefault="008B37C6" w:rsidP="00545500">
            <w:pPr>
              <w:jc w:val="right"/>
              <w:rPr>
                <w:lang w:val="es-ES_tradnl"/>
              </w:rPr>
            </w:pPr>
            <w:r w:rsidRPr="00AC4AE7">
              <w:rPr>
                <w:lang w:val="es-ES_tradnl"/>
              </w:rPr>
              <w:t>13</w:t>
            </w:r>
            <w:r w:rsidR="00F30638" w:rsidRPr="00AC4AE7">
              <w:rPr>
                <w:lang w:val="es-ES_tradnl"/>
              </w:rPr>
              <w:t>.</w:t>
            </w:r>
            <w:r w:rsidRPr="00AC4AE7">
              <w:rPr>
                <w:lang w:val="es-ES_tradnl"/>
              </w:rPr>
              <w:t>432</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EP</w:t>
            </w:r>
          </w:p>
        </w:tc>
        <w:tc>
          <w:tcPr>
            <w:tcW w:w="1559" w:type="dxa"/>
          </w:tcPr>
          <w:p w:rsidR="008B37C6" w:rsidRPr="00AC4AE7" w:rsidRDefault="008B37C6" w:rsidP="00545500">
            <w:pPr>
              <w:jc w:val="right"/>
              <w:rPr>
                <w:lang w:val="es-ES_tradnl"/>
              </w:rPr>
            </w:pPr>
            <w:r w:rsidRPr="00AC4AE7">
              <w:rPr>
                <w:lang w:val="es-ES_tradnl"/>
              </w:rPr>
              <w:t>138</w:t>
            </w:r>
          </w:p>
        </w:tc>
        <w:tc>
          <w:tcPr>
            <w:tcW w:w="1706" w:type="dxa"/>
          </w:tcPr>
          <w:p w:rsidR="008B37C6" w:rsidRPr="00AC4AE7" w:rsidRDefault="008B37C6" w:rsidP="00545500">
            <w:pPr>
              <w:jc w:val="right"/>
              <w:rPr>
                <w:lang w:val="es-ES_tradnl"/>
              </w:rPr>
            </w:pPr>
            <w:r w:rsidRPr="00AC4AE7">
              <w:rPr>
                <w:lang w:val="es-ES_tradnl"/>
              </w:rPr>
              <w:t>37</w:t>
            </w:r>
            <w:r w:rsidR="00F30638" w:rsidRPr="00AC4AE7">
              <w:rPr>
                <w:lang w:val="es-ES_tradnl"/>
              </w:rPr>
              <w:t>.</w:t>
            </w:r>
            <w:r w:rsidRPr="00AC4AE7">
              <w:rPr>
                <w:lang w:val="es-ES_tradnl"/>
              </w:rPr>
              <w:t>929</w:t>
            </w:r>
          </w:p>
        </w:tc>
        <w:tc>
          <w:tcPr>
            <w:tcW w:w="1989" w:type="dxa"/>
          </w:tcPr>
          <w:p w:rsidR="008B37C6" w:rsidRPr="00AC4AE7" w:rsidRDefault="008B37C6" w:rsidP="00545500">
            <w:pPr>
              <w:jc w:val="right"/>
              <w:rPr>
                <w:lang w:val="es-ES_tradnl"/>
              </w:rPr>
            </w:pPr>
            <w:r w:rsidRPr="00AC4AE7">
              <w:rPr>
                <w:lang w:val="es-ES_tradnl"/>
              </w:rPr>
              <w:t>806</w:t>
            </w:r>
          </w:p>
        </w:tc>
        <w:tc>
          <w:tcPr>
            <w:tcW w:w="1701" w:type="dxa"/>
          </w:tcPr>
          <w:p w:rsidR="008B37C6" w:rsidRPr="00AC4AE7" w:rsidRDefault="008B37C6" w:rsidP="00545500">
            <w:pPr>
              <w:jc w:val="right"/>
              <w:rPr>
                <w:lang w:val="es-ES_tradnl"/>
              </w:rPr>
            </w:pPr>
            <w:r w:rsidRPr="00AC4AE7">
              <w:rPr>
                <w:lang w:val="es-ES_tradnl"/>
              </w:rPr>
              <w:t>38</w:t>
            </w:r>
            <w:r w:rsidR="00F30638" w:rsidRPr="00AC4AE7">
              <w:rPr>
                <w:lang w:val="es-ES_tradnl"/>
              </w:rPr>
              <w:t>.</w:t>
            </w:r>
            <w:r w:rsidRPr="00AC4AE7">
              <w:rPr>
                <w:lang w:val="es-ES_tradnl"/>
              </w:rPr>
              <w:t>873</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US</w:t>
            </w:r>
          </w:p>
        </w:tc>
        <w:tc>
          <w:tcPr>
            <w:tcW w:w="1559" w:type="dxa"/>
          </w:tcPr>
          <w:p w:rsidR="008B37C6" w:rsidRPr="00AC4AE7" w:rsidRDefault="008B37C6" w:rsidP="00545500">
            <w:pPr>
              <w:jc w:val="right"/>
              <w:rPr>
                <w:lang w:val="es-ES_tradnl"/>
              </w:rPr>
            </w:pPr>
            <w:r w:rsidRPr="00AC4AE7">
              <w:rPr>
                <w:lang w:val="es-ES_tradnl"/>
              </w:rPr>
              <w:t>0</w:t>
            </w:r>
          </w:p>
        </w:tc>
        <w:tc>
          <w:tcPr>
            <w:tcW w:w="1706" w:type="dxa"/>
          </w:tcPr>
          <w:p w:rsidR="008B37C6" w:rsidRPr="00AC4AE7" w:rsidRDefault="008B37C6" w:rsidP="00545500">
            <w:pPr>
              <w:jc w:val="right"/>
              <w:rPr>
                <w:lang w:val="es-ES_tradnl"/>
              </w:rPr>
            </w:pPr>
            <w:r w:rsidRPr="00AC4AE7">
              <w:rPr>
                <w:lang w:val="es-ES_tradnl"/>
              </w:rPr>
              <w:t>55</w:t>
            </w:r>
            <w:r w:rsidR="00F30638" w:rsidRPr="00AC4AE7">
              <w:rPr>
                <w:lang w:val="es-ES_tradnl"/>
              </w:rPr>
              <w:t>.</w:t>
            </w:r>
            <w:r w:rsidRPr="00AC4AE7">
              <w:rPr>
                <w:lang w:val="es-ES_tradnl"/>
              </w:rPr>
              <w:t>665</w:t>
            </w:r>
          </w:p>
        </w:tc>
        <w:tc>
          <w:tcPr>
            <w:tcW w:w="1989" w:type="dxa"/>
          </w:tcPr>
          <w:p w:rsidR="008B37C6" w:rsidRPr="00AC4AE7" w:rsidRDefault="008B37C6" w:rsidP="00545500">
            <w:pPr>
              <w:jc w:val="right"/>
              <w:rPr>
                <w:lang w:val="es-ES_tradnl"/>
              </w:rPr>
            </w:pPr>
            <w:r w:rsidRPr="00AC4AE7">
              <w:rPr>
                <w:lang w:val="es-ES_tradnl"/>
              </w:rPr>
              <w:t>108</w:t>
            </w:r>
          </w:p>
        </w:tc>
        <w:tc>
          <w:tcPr>
            <w:tcW w:w="1701" w:type="dxa"/>
          </w:tcPr>
          <w:p w:rsidR="008B37C6" w:rsidRPr="00AC4AE7" w:rsidRDefault="008B37C6" w:rsidP="00545500">
            <w:pPr>
              <w:jc w:val="right"/>
              <w:rPr>
                <w:lang w:val="es-ES_tradnl"/>
              </w:rPr>
            </w:pPr>
            <w:r w:rsidRPr="00AC4AE7">
              <w:rPr>
                <w:lang w:val="es-ES_tradnl"/>
              </w:rPr>
              <w:t>55</w:t>
            </w:r>
            <w:r w:rsidR="00F30638" w:rsidRPr="00AC4AE7">
              <w:rPr>
                <w:lang w:val="es-ES_tradnl"/>
              </w:rPr>
              <w:t>.</w:t>
            </w:r>
            <w:r w:rsidRPr="00AC4AE7">
              <w:rPr>
                <w:lang w:val="es-ES_tradnl"/>
              </w:rPr>
              <w:t>773</w:t>
            </w:r>
          </w:p>
        </w:tc>
      </w:tr>
      <w:tr w:rsidR="008B37C6" w:rsidRPr="00AC4AE7" w:rsidTr="00AC4AE7">
        <w:tc>
          <w:tcPr>
            <w:tcW w:w="1413" w:type="dxa"/>
          </w:tcPr>
          <w:p w:rsidR="008B37C6" w:rsidRPr="00AC4AE7" w:rsidRDefault="00F30638" w:rsidP="00F30638">
            <w:pPr>
              <w:jc w:val="right"/>
              <w:rPr>
                <w:lang w:val="es-ES_tradnl"/>
              </w:rPr>
            </w:pPr>
            <w:r w:rsidRPr="00AC4AE7">
              <w:rPr>
                <w:lang w:val="es-ES_tradnl"/>
              </w:rPr>
              <w:t>Otras</w:t>
            </w:r>
            <w:r w:rsidR="008B37C6" w:rsidRPr="00AC4AE7">
              <w:rPr>
                <w:lang w:val="es-ES_tradnl"/>
              </w:rPr>
              <w:t xml:space="preserve"> RO</w:t>
            </w:r>
          </w:p>
        </w:tc>
        <w:tc>
          <w:tcPr>
            <w:tcW w:w="1559" w:type="dxa"/>
          </w:tcPr>
          <w:p w:rsidR="008B37C6" w:rsidRPr="00AC4AE7" w:rsidRDefault="008B37C6" w:rsidP="00545500">
            <w:pPr>
              <w:jc w:val="right"/>
              <w:rPr>
                <w:lang w:val="es-ES_tradnl"/>
              </w:rPr>
            </w:pPr>
            <w:r w:rsidRPr="00AC4AE7">
              <w:rPr>
                <w:lang w:val="es-ES_tradnl"/>
              </w:rPr>
              <w:t>160</w:t>
            </w:r>
          </w:p>
        </w:tc>
        <w:tc>
          <w:tcPr>
            <w:tcW w:w="1706" w:type="dxa"/>
          </w:tcPr>
          <w:p w:rsidR="008B37C6" w:rsidRPr="00AC4AE7" w:rsidRDefault="008B37C6" w:rsidP="00545500">
            <w:pPr>
              <w:jc w:val="right"/>
              <w:rPr>
                <w:lang w:val="es-ES_tradnl"/>
              </w:rPr>
            </w:pPr>
            <w:r w:rsidRPr="00AC4AE7">
              <w:rPr>
                <w:lang w:val="es-ES_tradnl"/>
              </w:rPr>
              <w:t>22</w:t>
            </w:r>
            <w:r w:rsidR="00F30638" w:rsidRPr="00AC4AE7">
              <w:rPr>
                <w:lang w:val="es-ES_tradnl"/>
              </w:rPr>
              <w:t>.</w:t>
            </w:r>
            <w:r w:rsidRPr="00AC4AE7">
              <w:rPr>
                <w:lang w:val="es-ES_tradnl"/>
              </w:rPr>
              <w:t>341</w:t>
            </w:r>
          </w:p>
        </w:tc>
        <w:tc>
          <w:tcPr>
            <w:tcW w:w="1989" w:type="dxa"/>
          </w:tcPr>
          <w:p w:rsidR="008B37C6" w:rsidRPr="00AC4AE7" w:rsidRDefault="008B37C6" w:rsidP="00545500">
            <w:pPr>
              <w:jc w:val="right"/>
              <w:rPr>
                <w:lang w:val="es-ES_tradnl"/>
              </w:rPr>
            </w:pPr>
            <w:r w:rsidRPr="00AC4AE7">
              <w:rPr>
                <w:lang w:val="es-ES_tradnl"/>
              </w:rPr>
              <w:t>2</w:t>
            </w:r>
            <w:r w:rsidR="00F30638" w:rsidRPr="00AC4AE7">
              <w:rPr>
                <w:lang w:val="es-ES_tradnl"/>
              </w:rPr>
              <w:t>.</w:t>
            </w:r>
            <w:r w:rsidRPr="00AC4AE7">
              <w:rPr>
                <w:lang w:val="es-ES_tradnl"/>
              </w:rPr>
              <w:t>796</w:t>
            </w:r>
          </w:p>
        </w:tc>
        <w:tc>
          <w:tcPr>
            <w:tcW w:w="1701" w:type="dxa"/>
          </w:tcPr>
          <w:p w:rsidR="008B37C6" w:rsidRPr="00AC4AE7" w:rsidRDefault="008B37C6" w:rsidP="00545500">
            <w:pPr>
              <w:jc w:val="right"/>
              <w:rPr>
                <w:lang w:val="es-ES_tradnl"/>
              </w:rPr>
            </w:pPr>
            <w:r w:rsidRPr="00AC4AE7">
              <w:rPr>
                <w:lang w:val="es-ES_tradnl"/>
              </w:rPr>
              <w:t>25</w:t>
            </w:r>
            <w:r w:rsidR="00F30638" w:rsidRPr="00AC4AE7">
              <w:rPr>
                <w:lang w:val="es-ES_tradnl"/>
              </w:rPr>
              <w:t>.</w:t>
            </w:r>
            <w:r w:rsidRPr="00AC4AE7">
              <w:rPr>
                <w:lang w:val="es-ES_tradnl"/>
              </w:rPr>
              <w:t>297</w:t>
            </w:r>
          </w:p>
        </w:tc>
      </w:tr>
      <w:tr w:rsidR="008B37C6" w:rsidRPr="00AC4AE7" w:rsidTr="00AC4AE7">
        <w:tc>
          <w:tcPr>
            <w:tcW w:w="1413" w:type="dxa"/>
          </w:tcPr>
          <w:p w:rsidR="008B37C6" w:rsidRPr="00AC4AE7" w:rsidRDefault="008B37C6" w:rsidP="00545500">
            <w:pPr>
              <w:jc w:val="right"/>
              <w:rPr>
                <w:lang w:val="es-ES_tradnl"/>
              </w:rPr>
            </w:pPr>
            <w:r w:rsidRPr="00AC4AE7">
              <w:rPr>
                <w:lang w:val="es-ES_tradnl"/>
              </w:rPr>
              <w:t>Total</w:t>
            </w:r>
          </w:p>
        </w:tc>
        <w:tc>
          <w:tcPr>
            <w:tcW w:w="1559" w:type="dxa"/>
          </w:tcPr>
          <w:p w:rsidR="008B37C6" w:rsidRPr="00AC4AE7" w:rsidRDefault="008B37C6" w:rsidP="00545500">
            <w:pPr>
              <w:jc w:val="right"/>
              <w:rPr>
                <w:lang w:val="es-ES_tradnl"/>
              </w:rPr>
            </w:pPr>
            <w:r w:rsidRPr="00AC4AE7">
              <w:rPr>
                <w:lang w:val="es-ES_tradnl"/>
              </w:rPr>
              <w:t>76</w:t>
            </w:r>
            <w:r w:rsidR="00F30638" w:rsidRPr="00AC4AE7">
              <w:rPr>
                <w:lang w:val="es-ES_tradnl"/>
              </w:rPr>
              <w:t>.</w:t>
            </w:r>
            <w:r w:rsidRPr="00AC4AE7">
              <w:rPr>
                <w:lang w:val="es-ES_tradnl"/>
              </w:rPr>
              <w:t>772</w:t>
            </w:r>
          </w:p>
        </w:tc>
        <w:tc>
          <w:tcPr>
            <w:tcW w:w="1706" w:type="dxa"/>
          </w:tcPr>
          <w:p w:rsidR="008B37C6" w:rsidRPr="00AC4AE7" w:rsidRDefault="008B37C6" w:rsidP="00545500">
            <w:pPr>
              <w:jc w:val="right"/>
              <w:rPr>
                <w:lang w:val="es-ES_tradnl"/>
              </w:rPr>
            </w:pPr>
            <w:r w:rsidRPr="00AC4AE7">
              <w:rPr>
                <w:lang w:val="es-ES_tradnl"/>
              </w:rPr>
              <w:t>193</w:t>
            </w:r>
            <w:r w:rsidR="00F30638" w:rsidRPr="00AC4AE7">
              <w:rPr>
                <w:lang w:val="es-ES_tradnl"/>
              </w:rPr>
              <w:t>.</w:t>
            </w:r>
            <w:r w:rsidRPr="00AC4AE7">
              <w:rPr>
                <w:lang w:val="es-ES_tradnl"/>
              </w:rPr>
              <w:t>234</w:t>
            </w:r>
          </w:p>
        </w:tc>
        <w:tc>
          <w:tcPr>
            <w:tcW w:w="1989" w:type="dxa"/>
          </w:tcPr>
          <w:p w:rsidR="008B37C6" w:rsidRPr="00AC4AE7" w:rsidRDefault="008B37C6" w:rsidP="00545500">
            <w:pPr>
              <w:jc w:val="right"/>
              <w:rPr>
                <w:lang w:val="es-ES_tradnl"/>
              </w:rPr>
            </w:pPr>
            <w:r w:rsidRPr="00AC4AE7">
              <w:rPr>
                <w:lang w:val="es-ES_tradnl"/>
              </w:rPr>
              <w:t>4</w:t>
            </w:r>
            <w:r w:rsidR="00F30638" w:rsidRPr="00AC4AE7">
              <w:rPr>
                <w:lang w:val="es-ES_tradnl"/>
              </w:rPr>
              <w:t>.</w:t>
            </w:r>
            <w:r w:rsidRPr="00AC4AE7">
              <w:rPr>
                <w:lang w:val="es-ES_tradnl"/>
              </w:rPr>
              <w:t>698</w:t>
            </w:r>
          </w:p>
        </w:tc>
        <w:tc>
          <w:tcPr>
            <w:tcW w:w="1701" w:type="dxa"/>
          </w:tcPr>
          <w:p w:rsidR="008B37C6" w:rsidRPr="00AC4AE7" w:rsidRDefault="008B37C6" w:rsidP="00545500">
            <w:pPr>
              <w:jc w:val="right"/>
              <w:rPr>
                <w:lang w:val="es-ES_tradnl"/>
              </w:rPr>
            </w:pPr>
            <w:r w:rsidRPr="00AC4AE7">
              <w:rPr>
                <w:lang w:val="es-ES_tradnl"/>
              </w:rPr>
              <w:t>274</w:t>
            </w:r>
            <w:r w:rsidR="00F30638" w:rsidRPr="00AC4AE7">
              <w:rPr>
                <w:lang w:val="es-ES_tradnl"/>
              </w:rPr>
              <w:t>.</w:t>
            </w:r>
            <w:r w:rsidRPr="00AC4AE7">
              <w:rPr>
                <w:lang w:val="es-ES_tradnl"/>
              </w:rPr>
              <w:t>704</w:t>
            </w:r>
          </w:p>
        </w:tc>
      </w:tr>
    </w:tbl>
    <w:p w:rsidR="00D54E49" w:rsidRPr="00AC4AE7" w:rsidRDefault="00F30638" w:rsidP="00AC4AE7">
      <w:pPr>
        <w:pStyle w:val="ONUME"/>
        <w:numPr>
          <w:ilvl w:val="0"/>
          <w:numId w:val="0"/>
        </w:numPr>
        <w:spacing w:after="360"/>
        <w:ind w:left="567"/>
        <w:rPr>
          <w:sz w:val="20"/>
          <w:lang w:val="es-ES_tradnl"/>
        </w:rPr>
      </w:pPr>
      <w:r w:rsidRPr="00AC4AE7">
        <w:rPr>
          <w:sz w:val="20"/>
          <w:lang w:val="es-ES_tradnl"/>
        </w:rPr>
        <w:t xml:space="preserve">Cuadro 1: Formato </w:t>
      </w:r>
      <w:r w:rsidR="00D212B0" w:rsidRPr="00AC4AE7">
        <w:rPr>
          <w:sz w:val="20"/>
          <w:lang w:val="es-ES_tradnl"/>
        </w:rPr>
        <w:t xml:space="preserve">utilizado </w:t>
      </w:r>
      <w:r w:rsidRPr="00AC4AE7">
        <w:rPr>
          <w:sz w:val="20"/>
          <w:lang w:val="es-ES_tradnl"/>
        </w:rPr>
        <w:t xml:space="preserve">para </w:t>
      </w:r>
      <w:r w:rsidR="00D212B0" w:rsidRPr="00AC4AE7">
        <w:rPr>
          <w:sz w:val="20"/>
          <w:lang w:val="es-ES_tradnl"/>
        </w:rPr>
        <w:t xml:space="preserve">presentar </w:t>
      </w:r>
      <w:r w:rsidRPr="00AC4AE7">
        <w:rPr>
          <w:sz w:val="20"/>
          <w:lang w:val="es-ES_tradnl"/>
        </w:rPr>
        <w:t>solicitudes internacionales en 2020</w:t>
      </w:r>
      <w:r w:rsidR="00D212B0" w:rsidRPr="00AC4AE7">
        <w:rPr>
          <w:sz w:val="20"/>
          <w:lang w:val="es-ES_tradnl"/>
        </w:rPr>
        <w:t>,</w:t>
      </w:r>
      <w:r w:rsidRPr="00AC4AE7">
        <w:rPr>
          <w:sz w:val="20"/>
          <w:lang w:val="es-ES_tradnl"/>
        </w:rPr>
        <w:t xml:space="preserve"> por Oficina receptora</w:t>
      </w:r>
    </w:p>
    <w:p w:rsidR="00D54E49" w:rsidRPr="00AC4AE7" w:rsidRDefault="00F30638" w:rsidP="00AC4AE7">
      <w:pPr>
        <w:pStyle w:val="ONUMFS"/>
        <w:rPr>
          <w:lang w:val="es-ES_tradnl"/>
        </w:rPr>
      </w:pPr>
      <w:r w:rsidRPr="00AC4AE7">
        <w:rPr>
          <w:lang w:val="es-ES_tradnl"/>
        </w:rPr>
        <w:t xml:space="preserve">El cuadro 1 muestra que aproximadamente el 89% de las solicitudes internacionales en XML se reciben en la Oficina Japonesa de Patentes (JPO) y en la Oficina Surcoreana de Propiedad Intelectual (KIPO); estas dos Oficinas reciben el 99,4% y el 99,2% de sus solicitudes internacionales en </w:t>
      </w:r>
      <w:r w:rsidR="00D212B0" w:rsidRPr="00AC4AE7">
        <w:rPr>
          <w:lang w:val="es-ES_tradnl"/>
        </w:rPr>
        <w:t>ese formato</w:t>
      </w:r>
      <w:r w:rsidRPr="00AC4AE7">
        <w:rPr>
          <w:lang w:val="es-ES_tradnl"/>
        </w:rPr>
        <w:t>, respectivamente.</w:t>
      </w:r>
      <w:r w:rsidR="00DF26BD" w:rsidRPr="00AC4AE7">
        <w:rPr>
          <w:lang w:val="es-ES_tradnl"/>
        </w:rPr>
        <w:t xml:space="preserve"> </w:t>
      </w:r>
      <w:r w:rsidRPr="00AC4AE7">
        <w:rPr>
          <w:lang w:val="es-ES_tradnl"/>
        </w:rPr>
        <w:t>En cambio, si bien la Oficina Internacional, en calidad de Oficina receptora, ofrece la posibilidad de presentar un documento DOCX y convertirlo a formato XML de acuerdo con la Norma ST.36 de la OMPI, dicha opción se usa poco.</w:t>
      </w:r>
      <w:r w:rsidR="00DF26BD" w:rsidRPr="00AC4AE7">
        <w:rPr>
          <w:lang w:val="es-ES_tradnl"/>
        </w:rPr>
        <w:t xml:space="preserve"> </w:t>
      </w:r>
      <w:r w:rsidR="005C4CA7" w:rsidRPr="00AC4AE7">
        <w:rPr>
          <w:lang w:val="es-ES_tradnl"/>
        </w:rPr>
        <w:t xml:space="preserve">Parece que la mayoría de los solicitantes sigue sintiendo recelo por el riesgo percibido </w:t>
      </w:r>
      <w:r w:rsidR="009078B1" w:rsidRPr="00AC4AE7">
        <w:rPr>
          <w:lang w:val="es-ES_tradnl"/>
        </w:rPr>
        <w:t>en cuanto a</w:t>
      </w:r>
      <w:r w:rsidR="00D857DA" w:rsidRPr="00AC4AE7">
        <w:rPr>
          <w:lang w:val="es-ES_tradnl"/>
        </w:rPr>
        <w:t xml:space="preserve"> la tramitación</w:t>
      </w:r>
      <w:r w:rsidR="005C4CA7" w:rsidRPr="00AC4AE7">
        <w:rPr>
          <w:lang w:val="es-ES_tradnl"/>
        </w:rPr>
        <w:t xml:space="preserve"> en formato de texto completo, y por ello continúa presentando sus solicitudes en PDF, pese al descuento adicional de 100 francos suizos por la presentación en XML.</w:t>
      </w:r>
    </w:p>
    <w:p w:rsidR="00D54E49" w:rsidRPr="00AC4AE7" w:rsidRDefault="00D857DA" w:rsidP="00AC4AE7">
      <w:pPr>
        <w:pStyle w:val="ONUMFS"/>
        <w:rPr>
          <w:lang w:val="es-ES_tradnl"/>
        </w:rPr>
      </w:pPr>
      <w:r w:rsidRPr="00AC4AE7">
        <w:rPr>
          <w:lang w:val="es-ES_tradnl"/>
        </w:rPr>
        <w:t>Otras</w:t>
      </w:r>
      <w:r w:rsidR="005C4CA7" w:rsidRPr="00AC4AE7">
        <w:rPr>
          <w:lang w:val="es-ES_tradnl"/>
        </w:rPr>
        <w:t xml:space="preserve"> Oficinas de PI </w:t>
      </w:r>
      <w:r w:rsidRPr="00AC4AE7">
        <w:rPr>
          <w:lang w:val="es-ES_tradnl"/>
        </w:rPr>
        <w:t>también trabajan</w:t>
      </w:r>
      <w:r w:rsidR="005C4CA7" w:rsidRPr="00AC4AE7">
        <w:rPr>
          <w:lang w:val="es-ES_tradnl"/>
        </w:rPr>
        <w:t xml:space="preserve"> para </w:t>
      </w:r>
      <w:r w:rsidRPr="00AC4AE7">
        <w:rPr>
          <w:lang w:val="es-ES_tradnl"/>
        </w:rPr>
        <w:t xml:space="preserve">que se presenten más solicitudes </w:t>
      </w:r>
      <w:r w:rsidR="005C4CA7" w:rsidRPr="00AC4AE7">
        <w:rPr>
          <w:lang w:val="es-ES_tradnl"/>
        </w:rPr>
        <w:t>en XML.</w:t>
      </w:r>
      <w:r w:rsidR="00DF26BD" w:rsidRPr="00AC4AE7">
        <w:rPr>
          <w:lang w:val="es-ES_tradnl"/>
        </w:rPr>
        <w:t xml:space="preserve"> </w:t>
      </w:r>
      <w:r w:rsidR="005C4CA7" w:rsidRPr="00AC4AE7">
        <w:rPr>
          <w:lang w:val="es-ES_tradnl"/>
        </w:rPr>
        <w:t xml:space="preserve">La Administración Nacional de la Propiedad Intelectual de China (CNIPA) y la Oficina Europea de Patentes (OEP) están </w:t>
      </w:r>
      <w:r w:rsidRPr="00AC4AE7">
        <w:rPr>
          <w:lang w:val="es-ES_tradnl"/>
        </w:rPr>
        <w:t>llevando a cabo</w:t>
      </w:r>
      <w:r w:rsidR="005C4CA7" w:rsidRPr="00AC4AE7">
        <w:rPr>
          <w:lang w:val="es-ES_tradnl"/>
        </w:rPr>
        <w:t xml:space="preserve"> proyectos para facilitar la presentación y tramitación de solicitudes internacionales en formato de texto completo.</w:t>
      </w:r>
      <w:r w:rsidR="00DF26BD" w:rsidRPr="00AC4AE7">
        <w:rPr>
          <w:lang w:val="es-ES_tradnl"/>
        </w:rPr>
        <w:t xml:space="preserve"> </w:t>
      </w:r>
      <w:r w:rsidR="005C4CA7" w:rsidRPr="00AC4AE7">
        <w:rPr>
          <w:lang w:val="es-ES_tradnl"/>
        </w:rPr>
        <w:t xml:space="preserve">En cuanto a los sistemas nacionales y regionales, la OEP, el Instituto Nacional de la Propiedad Industrial (INPI) de Francia y la Oficina de Patentes y Marcas de los Estados Unidos (USPTO) están </w:t>
      </w:r>
      <w:r w:rsidRPr="00AC4AE7">
        <w:rPr>
          <w:lang w:val="es-ES_tradnl"/>
        </w:rPr>
        <w:t>poniendo en marcha</w:t>
      </w:r>
      <w:r w:rsidR="005C4CA7" w:rsidRPr="00AC4AE7">
        <w:rPr>
          <w:lang w:val="es-ES_tradnl"/>
        </w:rPr>
        <w:t xml:space="preserve"> sistemas para la tramitación de solicitudes </w:t>
      </w:r>
      <w:r w:rsidR="00DC4BB8" w:rsidRPr="00AC4AE7">
        <w:rPr>
          <w:lang w:val="es-ES_tradnl"/>
        </w:rPr>
        <w:t xml:space="preserve">presentadas </w:t>
      </w:r>
      <w:r w:rsidR="005C4CA7" w:rsidRPr="00AC4AE7">
        <w:rPr>
          <w:lang w:val="es-ES_tradnl"/>
        </w:rPr>
        <w:t>en formato de texto completo.</w:t>
      </w:r>
    </w:p>
    <w:p w:rsidR="00D54E49" w:rsidRPr="00AC4AE7" w:rsidRDefault="005C4CA7" w:rsidP="005C4CA7">
      <w:pPr>
        <w:pStyle w:val="Heading2"/>
        <w:rPr>
          <w:lang w:val="es-ES_tradnl"/>
        </w:rPr>
      </w:pPr>
      <w:r w:rsidRPr="00AC4AE7">
        <w:rPr>
          <w:lang w:val="es-ES_tradnl"/>
        </w:rPr>
        <w:t>TRAMITACIÓN ACTUAL DE LAS SOLICITUDES INTERNACIONALES PRESENTADAS EN FORMATO XML</w:t>
      </w:r>
    </w:p>
    <w:p w:rsidR="00D54E49" w:rsidRPr="00AC4AE7" w:rsidRDefault="00DC4BB8" w:rsidP="00AC4AE7">
      <w:pPr>
        <w:pStyle w:val="ONUMFS"/>
        <w:rPr>
          <w:lang w:val="es-ES_tradnl"/>
        </w:rPr>
      </w:pPr>
      <w:r w:rsidRPr="00AC4AE7">
        <w:rPr>
          <w:lang w:val="es-ES_tradnl"/>
        </w:rPr>
        <w:t>Aun c</w:t>
      </w:r>
      <w:r w:rsidR="00B03202" w:rsidRPr="00AC4AE7">
        <w:rPr>
          <w:lang w:val="es-ES_tradnl"/>
        </w:rPr>
        <w:t xml:space="preserve">uando las solicitudes se presentan en formato de texto completo, gran parte de la tramitación posterior se basa en archivos de imagen generados a partir del XML, </w:t>
      </w:r>
      <w:r w:rsidRPr="00AC4AE7">
        <w:rPr>
          <w:lang w:val="es-ES_tradnl"/>
        </w:rPr>
        <w:t>incluida</w:t>
      </w:r>
      <w:r w:rsidR="00B03202" w:rsidRPr="00AC4AE7">
        <w:rPr>
          <w:lang w:val="es-ES_tradnl"/>
        </w:rPr>
        <w:t xml:space="preserve"> la transmisión de archivos de imagen entre Oficinas.</w:t>
      </w:r>
      <w:r w:rsidR="00DF26BD" w:rsidRPr="00AC4AE7">
        <w:rPr>
          <w:lang w:val="es-ES_tradnl"/>
        </w:rPr>
        <w:t xml:space="preserve"> </w:t>
      </w:r>
      <w:r w:rsidR="00B03202" w:rsidRPr="00AC4AE7">
        <w:rPr>
          <w:lang w:val="es-ES_tradnl"/>
        </w:rPr>
        <w:t xml:space="preserve">Las modificaciones, correcciones y rectificaciones se tramitan </w:t>
      </w:r>
      <w:r w:rsidRPr="00AC4AE7">
        <w:rPr>
          <w:lang w:val="es-ES_tradnl"/>
        </w:rPr>
        <w:t>en forma de</w:t>
      </w:r>
      <w:r w:rsidR="00B03202" w:rsidRPr="00AC4AE7">
        <w:rPr>
          <w:lang w:val="es-ES_tradnl"/>
        </w:rPr>
        <w:t xml:space="preserve"> hojas de reemplazo, lo que </w:t>
      </w:r>
      <w:r w:rsidRPr="00AC4AE7">
        <w:rPr>
          <w:lang w:val="es-ES_tradnl"/>
        </w:rPr>
        <w:t xml:space="preserve">supone perder </w:t>
      </w:r>
      <w:r w:rsidR="00B03202" w:rsidRPr="00AC4AE7">
        <w:rPr>
          <w:lang w:val="es-ES_tradnl"/>
        </w:rPr>
        <w:t>las ventajas de tramitar la solicitud internacional en formato de texto completo.</w:t>
      </w:r>
    </w:p>
    <w:p w:rsidR="00D54E49" w:rsidRPr="00AC4AE7" w:rsidRDefault="00B03202" w:rsidP="00B03202">
      <w:pPr>
        <w:pStyle w:val="Heading1"/>
        <w:rPr>
          <w:lang w:val="es-ES_tradnl"/>
        </w:rPr>
      </w:pPr>
      <w:r w:rsidRPr="00AC4AE7">
        <w:rPr>
          <w:lang w:val="es-ES_tradnl"/>
        </w:rPr>
        <w:t>PROPUESTA</w:t>
      </w:r>
    </w:p>
    <w:p w:rsidR="00D54E49" w:rsidRPr="00AC4AE7" w:rsidRDefault="00CE1F05" w:rsidP="00AC4AE7">
      <w:pPr>
        <w:pStyle w:val="ONUMFS"/>
        <w:rPr>
          <w:lang w:val="es-ES_tradnl"/>
        </w:rPr>
      </w:pPr>
      <w:bookmarkStart w:id="6" w:name="_Ref60160814"/>
      <w:r w:rsidRPr="00AC4AE7">
        <w:rPr>
          <w:lang w:val="es-ES_tradnl"/>
        </w:rPr>
        <w:t xml:space="preserve">La Oficina Internacional considera que la mejor manera de proceder para impulsar la presentación y tramitación de solicitudes internacionales en formato de texto completo es poner en marcha un mecanismo que permita a los solicitantes presentar las solicitudes en </w:t>
      </w:r>
      <w:r w:rsidR="009F0675" w:rsidRPr="00AC4AE7">
        <w:rPr>
          <w:lang w:val="es-ES_tradnl"/>
        </w:rPr>
        <w:t>formato</w:t>
      </w:r>
      <w:r w:rsidRPr="00AC4AE7">
        <w:rPr>
          <w:lang w:val="es-ES_tradnl"/>
        </w:rPr>
        <w:t xml:space="preserve"> DOCX con la seguridad de que la solicitud será tramitada </w:t>
      </w:r>
      <w:r w:rsidR="001F563E" w:rsidRPr="00AC4AE7">
        <w:rPr>
          <w:lang w:val="es-ES_tradnl"/>
        </w:rPr>
        <w:t>de manera coherente</w:t>
      </w:r>
      <w:r w:rsidRPr="00AC4AE7">
        <w:rPr>
          <w:lang w:val="es-ES_tradnl"/>
        </w:rPr>
        <w:t xml:space="preserve"> en el momento de la conversión al formato XML y la presentación de las páginas para la publicación internacional.</w:t>
      </w:r>
      <w:r w:rsidR="00DF26BD" w:rsidRPr="00AC4AE7">
        <w:rPr>
          <w:lang w:val="es-ES_tradnl"/>
        </w:rPr>
        <w:t xml:space="preserve"> </w:t>
      </w:r>
      <w:r w:rsidR="000D711F" w:rsidRPr="00AC4AE7">
        <w:rPr>
          <w:lang w:val="es-ES_tradnl"/>
        </w:rPr>
        <w:t xml:space="preserve">El Anexo F de las Instrucciones Administrativas permite </w:t>
      </w:r>
      <w:r w:rsidR="00F859D0" w:rsidRPr="00AC4AE7">
        <w:rPr>
          <w:lang w:val="es-ES_tradnl"/>
        </w:rPr>
        <w:t>presentar el</w:t>
      </w:r>
      <w:r w:rsidR="000D711F" w:rsidRPr="00AC4AE7">
        <w:rPr>
          <w:lang w:val="es-ES_tradnl"/>
        </w:rPr>
        <w:t xml:space="preserve"> cuerpo de la solicitud en formato XML</w:t>
      </w:r>
      <w:r w:rsidR="00F859D0" w:rsidRPr="00AC4AE7">
        <w:rPr>
          <w:lang w:val="es-ES_tradnl"/>
        </w:rPr>
        <w:t xml:space="preserve"> mediante la conversión de</w:t>
      </w:r>
      <w:r w:rsidR="000D711F" w:rsidRPr="00AC4AE7">
        <w:rPr>
          <w:lang w:val="es-ES_tradnl"/>
        </w:rPr>
        <w:t xml:space="preserve"> un archivo en formato DOCX que se conserva como documento de referencia </w:t>
      </w:r>
      <w:r w:rsidR="00F859D0" w:rsidRPr="00AC4AE7">
        <w:rPr>
          <w:lang w:val="es-ES_tradnl"/>
        </w:rPr>
        <w:t xml:space="preserve">previo a dicha </w:t>
      </w:r>
      <w:r w:rsidR="000D711F" w:rsidRPr="00AC4AE7">
        <w:rPr>
          <w:lang w:val="es-ES_tradnl"/>
        </w:rPr>
        <w:t>conversión.</w:t>
      </w:r>
      <w:r w:rsidR="00DF26BD" w:rsidRPr="00AC4AE7">
        <w:rPr>
          <w:lang w:val="es-ES_tradnl"/>
        </w:rPr>
        <w:t xml:space="preserve"> </w:t>
      </w:r>
      <w:r w:rsidR="000D711F" w:rsidRPr="00AC4AE7">
        <w:rPr>
          <w:lang w:val="es-ES_tradnl"/>
        </w:rPr>
        <w:t xml:space="preserve">El archivo en formato XML constituye la copia fehaciente de la solicitud internacional, mientras el solicitante revisa una copia </w:t>
      </w:r>
      <w:r w:rsidR="009078B1" w:rsidRPr="00AC4AE7">
        <w:rPr>
          <w:lang w:val="es-ES_tradnl"/>
        </w:rPr>
        <w:t>con carácter probatorio</w:t>
      </w:r>
      <w:r w:rsidR="000D711F" w:rsidRPr="00AC4AE7">
        <w:rPr>
          <w:lang w:val="es-ES_tradnl"/>
        </w:rPr>
        <w:t xml:space="preserve"> generada a partir del archivo XML antes de la presentación.</w:t>
      </w:r>
    </w:p>
    <w:bookmarkEnd w:id="6"/>
    <w:p w:rsidR="00D54E49" w:rsidRPr="00AC4AE7" w:rsidRDefault="000D711F" w:rsidP="00AC4AE7">
      <w:pPr>
        <w:pStyle w:val="ONUMFS"/>
        <w:rPr>
          <w:lang w:val="es-ES_tradnl"/>
        </w:rPr>
      </w:pPr>
      <w:r w:rsidRPr="00AC4AE7">
        <w:rPr>
          <w:lang w:val="es-ES_tradnl"/>
        </w:rPr>
        <w:t>La Oficina Internacional pondrá a disposición de todas las Oficinas de PI, a través de los servicios web, su</w:t>
      </w:r>
      <w:r w:rsidR="005751C2" w:rsidRPr="00AC4AE7">
        <w:rPr>
          <w:lang w:val="es-ES_tradnl"/>
        </w:rPr>
        <w:t>s</w:t>
      </w:r>
      <w:r w:rsidRPr="00AC4AE7">
        <w:rPr>
          <w:lang w:val="es-ES_tradnl"/>
        </w:rPr>
        <w:t xml:space="preserve"> herramienta</w:t>
      </w:r>
      <w:r w:rsidR="005751C2" w:rsidRPr="00AC4AE7">
        <w:rPr>
          <w:lang w:val="es-ES_tradnl"/>
        </w:rPr>
        <w:t>s</w:t>
      </w:r>
      <w:r w:rsidRPr="00AC4AE7">
        <w:rPr>
          <w:lang w:val="es-ES_tradnl"/>
        </w:rPr>
        <w:t xml:space="preserve"> de conversión de DOCX y de comparación. Estas herramientas servirán de referencia para</w:t>
      </w:r>
      <w:r w:rsidR="005751C2" w:rsidRPr="00AC4AE7">
        <w:rPr>
          <w:lang w:val="es-ES_tradnl"/>
        </w:rPr>
        <w:t xml:space="preserve"> </w:t>
      </w:r>
      <w:r w:rsidR="000918A5" w:rsidRPr="00AC4AE7">
        <w:rPr>
          <w:lang w:val="es-ES_tradnl"/>
        </w:rPr>
        <w:t>impulsar</w:t>
      </w:r>
      <w:r w:rsidRPr="00AC4AE7">
        <w:rPr>
          <w:lang w:val="es-ES_tradnl"/>
        </w:rPr>
        <w:t xml:space="preserve"> la tramitación de </w:t>
      </w:r>
      <w:r w:rsidR="000918A5" w:rsidRPr="00AC4AE7">
        <w:rPr>
          <w:lang w:val="es-ES_tradnl"/>
        </w:rPr>
        <w:t xml:space="preserve">las </w:t>
      </w:r>
      <w:r w:rsidRPr="00AC4AE7">
        <w:rPr>
          <w:lang w:val="es-ES_tradnl"/>
        </w:rPr>
        <w:t xml:space="preserve">solicitudes presentadas en formato de texto completo. Las Oficinas que utilicen </w:t>
      </w:r>
      <w:r w:rsidR="000918A5" w:rsidRPr="00AC4AE7">
        <w:rPr>
          <w:lang w:val="es-ES_tradnl"/>
        </w:rPr>
        <w:t xml:space="preserve">sus </w:t>
      </w:r>
      <w:r w:rsidRPr="00AC4AE7">
        <w:rPr>
          <w:lang w:val="es-ES_tradnl"/>
        </w:rPr>
        <w:t xml:space="preserve">propios </w:t>
      </w:r>
      <w:r w:rsidR="000918A5" w:rsidRPr="00AC4AE7">
        <w:rPr>
          <w:lang w:val="es-ES_tradnl"/>
        </w:rPr>
        <w:t xml:space="preserve">mecanismos </w:t>
      </w:r>
      <w:r w:rsidRPr="00AC4AE7">
        <w:rPr>
          <w:lang w:val="es-ES_tradnl"/>
        </w:rPr>
        <w:t>deberán ajustarse a</w:t>
      </w:r>
      <w:r w:rsidR="000918A5" w:rsidRPr="00AC4AE7">
        <w:rPr>
          <w:lang w:val="es-ES_tradnl"/>
        </w:rPr>
        <w:t>l enfoque de referencia utilizado en</w:t>
      </w:r>
      <w:r w:rsidRPr="00AC4AE7">
        <w:rPr>
          <w:lang w:val="es-ES_tradnl"/>
        </w:rPr>
        <w:t xml:space="preserve"> </w:t>
      </w:r>
      <w:r w:rsidR="000918A5" w:rsidRPr="00AC4AE7">
        <w:rPr>
          <w:lang w:val="es-ES_tradnl"/>
        </w:rPr>
        <w:t>esas</w:t>
      </w:r>
      <w:r w:rsidRPr="00AC4AE7">
        <w:rPr>
          <w:lang w:val="es-ES_tradnl"/>
        </w:rPr>
        <w:t xml:space="preserve"> herramientas para garantizar la coherencia </w:t>
      </w:r>
      <w:r w:rsidR="000918A5" w:rsidRPr="00AC4AE7">
        <w:rPr>
          <w:lang w:val="es-ES_tradnl"/>
        </w:rPr>
        <w:t>en la conversión de</w:t>
      </w:r>
      <w:r w:rsidR="00A140B7" w:rsidRPr="00AC4AE7">
        <w:rPr>
          <w:lang w:val="es-ES_tradnl"/>
        </w:rPr>
        <w:t>l</w:t>
      </w:r>
      <w:r w:rsidRPr="00AC4AE7">
        <w:rPr>
          <w:lang w:val="es-ES_tradnl"/>
        </w:rPr>
        <w:t xml:space="preserve"> formato DOCX a XML.</w:t>
      </w:r>
    </w:p>
    <w:p w:rsidR="00D54E49" w:rsidRPr="00AC4AE7" w:rsidRDefault="00CC1F56" w:rsidP="00AC4AE7">
      <w:pPr>
        <w:pStyle w:val="ONUMFS"/>
        <w:rPr>
          <w:lang w:val="es-ES_tradnl"/>
        </w:rPr>
      </w:pPr>
      <w:bookmarkStart w:id="7" w:name="_Ref60160828"/>
      <w:r w:rsidRPr="00AC4AE7">
        <w:rPr>
          <w:lang w:val="es-ES_tradnl"/>
        </w:rPr>
        <w:t xml:space="preserve">Además de </w:t>
      </w:r>
      <w:r w:rsidR="00CA0B9F" w:rsidRPr="00AC4AE7">
        <w:rPr>
          <w:lang w:val="es-ES_tradnl"/>
        </w:rPr>
        <w:t>actualizar</w:t>
      </w:r>
      <w:r w:rsidRPr="00AC4AE7">
        <w:rPr>
          <w:lang w:val="es-ES_tradnl"/>
        </w:rPr>
        <w:t xml:space="preserve"> las DTD para permitir la </w:t>
      </w:r>
      <w:r w:rsidR="00CA0B9F" w:rsidRPr="00AC4AE7">
        <w:rPr>
          <w:lang w:val="es-ES_tradnl"/>
        </w:rPr>
        <w:t>transferencia</w:t>
      </w:r>
      <w:r w:rsidRPr="00AC4AE7">
        <w:rPr>
          <w:lang w:val="es-ES_tradnl"/>
        </w:rPr>
        <w:t xml:space="preserve"> de contenido en formato de texto completo, la Oficina Internacional propone actualizar el Anexo F para exigir que </w:t>
      </w:r>
      <w:r w:rsidR="00CA0B9F" w:rsidRPr="00AC4AE7">
        <w:rPr>
          <w:lang w:val="es-ES_tradnl"/>
        </w:rPr>
        <w:t>las</w:t>
      </w:r>
      <w:r w:rsidRPr="00AC4AE7">
        <w:rPr>
          <w:lang w:val="es-ES_tradnl"/>
        </w:rPr>
        <w:t xml:space="preserve"> solicitud</w:t>
      </w:r>
      <w:r w:rsidR="00CA0B9F" w:rsidRPr="00AC4AE7">
        <w:rPr>
          <w:lang w:val="es-ES_tradnl"/>
        </w:rPr>
        <w:t>es</w:t>
      </w:r>
      <w:r w:rsidRPr="00AC4AE7">
        <w:rPr>
          <w:lang w:val="es-ES_tradnl"/>
        </w:rPr>
        <w:t xml:space="preserve"> presentada</w:t>
      </w:r>
      <w:r w:rsidR="00CA0B9F" w:rsidRPr="00AC4AE7">
        <w:rPr>
          <w:lang w:val="es-ES_tradnl"/>
        </w:rPr>
        <w:t>s</w:t>
      </w:r>
      <w:r w:rsidRPr="00AC4AE7">
        <w:rPr>
          <w:lang w:val="es-ES_tradnl"/>
        </w:rPr>
        <w:t xml:space="preserve"> en dicho formato se tramite</w:t>
      </w:r>
      <w:r w:rsidR="00CA0B9F" w:rsidRPr="00AC4AE7">
        <w:rPr>
          <w:lang w:val="es-ES_tradnl"/>
        </w:rPr>
        <w:t>n</w:t>
      </w:r>
      <w:r w:rsidRPr="00AC4AE7">
        <w:rPr>
          <w:lang w:val="es-ES_tradnl"/>
        </w:rPr>
        <w:t xml:space="preserve"> en </w:t>
      </w:r>
      <w:r w:rsidR="00CA0B9F" w:rsidRPr="00AC4AE7">
        <w:rPr>
          <w:lang w:val="es-ES_tradnl"/>
        </w:rPr>
        <w:t xml:space="preserve">formato </w:t>
      </w:r>
      <w:r w:rsidRPr="00AC4AE7">
        <w:rPr>
          <w:lang w:val="es-ES_tradnl"/>
        </w:rPr>
        <w:t>XML durante la fase internacional.</w:t>
      </w:r>
      <w:r w:rsidR="00880719" w:rsidRPr="00AC4AE7">
        <w:rPr>
          <w:lang w:val="es-ES_tradnl"/>
        </w:rPr>
        <w:t xml:space="preserve"> Asimismo, l</w:t>
      </w:r>
      <w:bookmarkEnd w:id="7"/>
      <w:r w:rsidR="00CA0B9F" w:rsidRPr="00AC4AE7">
        <w:rPr>
          <w:lang w:val="es-ES_tradnl"/>
        </w:rPr>
        <w:t xml:space="preserve">as modificaciones </w:t>
      </w:r>
      <w:r w:rsidR="00880719" w:rsidRPr="00AC4AE7">
        <w:rPr>
          <w:lang w:val="es-ES_tradnl"/>
        </w:rPr>
        <w:t xml:space="preserve">incorporadas a </w:t>
      </w:r>
      <w:r w:rsidRPr="00AC4AE7">
        <w:rPr>
          <w:lang w:val="es-ES_tradnl"/>
        </w:rPr>
        <w:t xml:space="preserve">las DTD </w:t>
      </w:r>
      <w:r w:rsidR="00880719" w:rsidRPr="00AC4AE7">
        <w:rPr>
          <w:lang w:val="es-ES_tradnl"/>
        </w:rPr>
        <w:t xml:space="preserve">serán compatibles con el marcado </w:t>
      </w:r>
      <w:r w:rsidRPr="00AC4AE7">
        <w:rPr>
          <w:lang w:val="es-ES_tradnl"/>
        </w:rPr>
        <w:t xml:space="preserve">de </w:t>
      </w:r>
      <w:r w:rsidR="00880719" w:rsidRPr="00AC4AE7">
        <w:rPr>
          <w:lang w:val="es-ES_tradnl"/>
        </w:rPr>
        <w:t xml:space="preserve">las modificaciones introducidas </w:t>
      </w:r>
      <w:r w:rsidRPr="00AC4AE7">
        <w:rPr>
          <w:lang w:val="es-ES_tradnl"/>
        </w:rPr>
        <w:t xml:space="preserve">en las solicitudes </w:t>
      </w:r>
      <w:r w:rsidR="00880719" w:rsidRPr="00AC4AE7">
        <w:rPr>
          <w:lang w:val="es-ES_tradnl"/>
        </w:rPr>
        <w:t>que usen un lenguaje de</w:t>
      </w:r>
      <w:r w:rsidRPr="00AC4AE7">
        <w:rPr>
          <w:lang w:val="es-ES_tradnl"/>
        </w:rPr>
        <w:t xml:space="preserve"> marcado conforme </w:t>
      </w:r>
      <w:r w:rsidR="00880719" w:rsidRPr="00AC4AE7">
        <w:rPr>
          <w:lang w:val="es-ES_tradnl"/>
        </w:rPr>
        <w:t>a</w:t>
      </w:r>
      <w:r w:rsidRPr="00AC4AE7">
        <w:rPr>
          <w:lang w:val="es-ES_tradnl"/>
        </w:rPr>
        <w:t xml:space="preserve">l formato común de solicitud y facilitarán estructuras </w:t>
      </w:r>
      <w:r w:rsidR="00880719" w:rsidRPr="00AC4AE7">
        <w:rPr>
          <w:lang w:val="es-ES_tradnl"/>
        </w:rPr>
        <w:t>que permitan la tramitación de dichas modificaciones</w:t>
      </w:r>
      <w:r w:rsidRPr="00AC4AE7">
        <w:rPr>
          <w:lang w:val="es-ES_tradnl"/>
        </w:rPr>
        <w:t>.</w:t>
      </w:r>
    </w:p>
    <w:p w:rsidR="00D54E49" w:rsidRPr="00AC4AE7" w:rsidRDefault="00CC1F56" w:rsidP="00CC1F56">
      <w:pPr>
        <w:pStyle w:val="Heading2"/>
        <w:rPr>
          <w:lang w:val="es-ES_tradnl"/>
        </w:rPr>
      </w:pPr>
      <w:r w:rsidRPr="00AC4AE7">
        <w:rPr>
          <w:lang w:val="es-ES_tradnl"/>
        </w:rPr>
        <w:t>EFECTO DE LOS CAMBIOS PROPUESTOS EN LA TRAMITACIÓN DE LAS SOLICITUDES INTERNACIONALES</w:t>
      </w:r>
    </w:p>
    <w:p w:rsidR="00D54E49" w:rsidRPr="00AC4AE7" w:rsidRDefault="00CC1F56" w:rsidP="00CC1F56">
      <w:pPr>
        <w:pStyle w:val="Heading3"/>
        <w:rPr>
          <w:lang w:val="es-ES_tradnl"/>
        </w:rPr>
      </w:pPr>
      <w:r w:rsidRPr="00AC4AE7">
        <w:rPr>
          <w:lang w:val="es-ES_tradnl"/>
        </w:rPr>
        <w:t>Presentación de solicitudes internacionales</w:t>
      </w:r>
    </w:p>
    <w:p w:rsidR="00D74C5A" w:rsidRPr="00AC4AE7" w:rsidRDefault="00057B5C" w:rsidP="00AC4AE7">
      <w:pPr>
        <w:pStyle w:val="ONUMFS"/>
        <w:rPr>
          <w:lang w:val="es-ES_tradnl"/>
        </w:rPr>
      </w:pPr>
      <w:r w:rsidRPr="00AC4AE7">
        <w:rPr>
          <w:lang w:val="es-ES_tradnl"/>
        </w:rPr>
        <w:t xml:space="preserve">Para presentar solicitudes en formato de texto completo, los solicitantes deben enviar un archivo DOCX o XML. El programa informático de presentación facilitará una herramienta para la conversión del formato DOCX a XML y devolverá al solicitante una copia </w:t>
      </w:r>
      <w:r w:rsidR="005B31F0" w:rsidRPr="00AC4AE7">
        <w:rPr>
          <w:lang w:val="es-ES_tradnl"/>
        </w:rPr>
        <w:t>probatoria</w:t>
      </w:r>
      <w:r w:rsidRPr="00AC4AE7">
        <w:rPr>
          <w:lang w:val="es-ES_tradnl"/>
        </w:rPr>
        <w:t xml:space="preserve"> para que este la revise antes </w:t>
      </w:r>
      <w:r w:rsidR="00712BE0" w:rsidRPr="00AC4AE7">
        <w:rPr>
          <w:lang w:val="es-ES_tradnl"/>
        </w:rPr>
        <w:t>de la presentación de</w:t>
      </w:r>
      <w:r w:rsidRPr="00AC4AE7">
        <w:rPr>
          <w:lang w:val="es-ES_tradnl"/>
        </w:rPr>
        <w:t xml:space="preserve"> la solicitud. El paquete de presentación contendrá el archivo DOCX en calidad de </w:t>
      </w:r>
      <w:r w:rsidR="00712BE0" w:rsidRPr="00AC4AE7">
        <w:rPr>
          <w:lang w:val="es-ES_tradnl"/>
        </w:rPr>
        <w:t xml:space="preserve">documento de </w:t>
      </w:r>
      <w:r w:rsidRPr="00AC4AE7">
        <w:rPr>
          <w:lang w:val="es-ES_tradnl"/>
        </w:rPr>
        <w:t xml:space="preserve">referencia </w:t>
      </w:r>
      <w:r w:rsidR="00712BE0" w:rsidRPr="00AC4AE7">
        <w:rPr>
          <w:lang w:val="es-ES_tradnl"/>
        </w:rPr>
        <w:t xml:space="preserve">previa a la conversión </w:t>
      </w:r>
      <w:r w:rsidRPr="00AC4AE7">
        <w:rPr>
          <w:lang w:val="es-ES_tradnl"/>
        </w:rPr>
        <w:t xml:space="preserve">y como copia de seguridad en caso de que haya algún defecto </w:t>
      </w:r>
      <w:r w:rsidR="00712BE0" w:rsidRPr="00AC4AE7">
        <w:rPr>
          <w:lang w:val="es-ES_tradnl"/>
        </w:rPr>
        <w:t>causado por</w:t>
      </w:r>
      <w:r w:rsidRPr="00AC4AE7">
        <w:rPr>
          <w:lang w:val="es-ES_tradnl"/>
        </w:rPr>
        <w:t xml:space="preserve"> el programa de conversión, </w:t>
      </w:r>
      <w:r w:rsidR="00712BE0" w:rsidRPr="00AC4AE7">
        <w:rPr>
          <w:lang w:val="es-ES_tradnl"/>
        </w:rPr>
        <w:t>junto con</w:t>
      </w:r>
      <w:r w:rsidRPr="00AC4AE7">
        <w:rPr>
          <w:lang w:val="es-ES_tradnl"/>
        </w:rPr>
        <w:t xml:space="preserve"> la solicitud presentada en XML para su tramitación como texto completo. La Oficina receptora utilizará el mismo programa informático para examinar la solicitud internacional, y enviará el ejemplar original a la Oficina Internacional como archivo XML de texto completo</w:t>
      </w:r>
      <w:r w:rsidR="00D74C5A" w:rsidRPr="00AC4AE7">
        <w:rPr>
          <w:lang w:val="es-ES_tradnl"/>
        </w:rPr>
        <w:t>.</w:t>
      </w:r>
    </w:p>
    <w:p w:rsidR="00D54E49" w:rsidRPr="00AC4AE7" w:rsidRDefault="00712BE0" w:rsidP="00AC4AE7">
      <w:pPr>
        <w:pStyle w:val="ONUMFS"/>
        <w:rPr>
          <w:lang w:val="es-ES_tradnl"/>
        </w:rPr>
      </w:pPr>
      <w:r w:rsidRPr="00AC4AE7">
        <w:rPr>
          <w:lang w:val="es-ES_tradnl"/>
        </w:rPr>
        <w:t xml:space="preserve">En lo relativo a </w:t>
      </w:r>
      <w:r w:rsidR="00360F61" w:rsidRPr="00AC4AE7">
        <w:rPr>
          <w:lang w:val="es-ES_tradnl"/>
        </w:rPr>
        <w:t xml:space="preserve">dibujos y otras partes de </w:t>
      </w:r>
      <w:r w:rsidRPr="00AC4AE7">
        <w:rPr>
          <w:lang w:val="es-ES_tradnl"/>
        </w:rPr>
        <w:t>l</w:t>
      </w:r>
      <w:r w:rsidR="00360F61" w:rsidRPr="00AC4AE7">
        <w:rPr>
          <w:lang w:val="es-ES_tradnl"/>
        </w:rPr>
        <w:t xml:space="preserve">a solicitud (como ecuaciones matemáticas </w:t>
      </w:r>
      <w:r w:rsidRPr="00AC4AE7">
        <w:rPr>
          <w:lang w:val="es-ES_tradnl"/>
        </w:rPr>
        <w:t>o</w:t>
      </w:r>
      <w:r w:rsidR="00360F61" w:rsidRPr="00AC4AE7">
        <w:rPr>
          <w:lang w:val="es-ES_tradnl"/>
        </w:rPr>
        <w:t xml:space="preserve"> estructuras químicas) que no pueden procesarse en formato de texto, la información pertinente se incluirá en el paquete de </w:t>
      </w:r>
      <w:r w:rsidRPr="00AC4AE7">
        <w:rPr>
          <w:lang w:val="es-ES_tradnl"/>
        </w:rPr>
        <w:t>presentación</w:t>
      </w:r>
      <w:r w:rsidR="00360F61" w:rsidRPr="00AC4AE7">
        <w:rPr>
          <w:lang w:val="es-ES_tradnl"/>
        </w:rPr>
        <w:t xml:space="preserve"> en formato XML como imágenes </w:t>
      </w:r>
      <w:r w:rsidR="009078B1" w:rsidRPr="00AC4AE7">
        <w:rPr>
          <w:lang w:val="es-ES_tradnl"/>
        </w:rPr>
        <w:t>integradas</w:t>
      </w:r>
      <w:r w:rsidR="00360F61" w:rsidRPr="00AC4AE7">
        <w:rPr>
          <w:lang w:val="es-ES_tradnl"/>
        </w:rPr>
        <w:t>. La herramienta de conversión de la Oficina Internacional las procesa</w:t>
      </w:r>
      <w:r w:rsidRPr="00AC4AE7">
        <w:rPr>
          <w:lang w:val="es-ES_tradnl"/>
        </w:rPr>
        <w:t>rá</w:t>
      </w:r>
      <w:r w:rsidR="00360F61" w:rsidRPr="00AC4AE7">
        <w:rPr>
          <w:lang w:val="es-ES_tradnl"/>
        </w:rPr>
        <w:t xml:space="preserve"> automáticamente. Las imágenes se </w:t>
      </w:r>
      <w:r w:rsidRPr="00AC4AE7">
        <w:rPr>
          <w:lang w:val="es-ES_tradnl"/>
        </w:rPr>
        <w:t>convertirán</w:t>
      </w:r>
      <w:r w:rsidR="00360F61" w:rsidRPr="00AC4AE7">
        <w:rPr>
          <w:lang w:val="es-ES_tradnl"/>
        </w:rPr>
        <w:t xml:space="preserve"> automáticamente </w:t>
      </w:r>
      <w:r w:rsidRPr="00AC4AE7">
        <w:rPr>
          <w:lang w:val="es-ES_tradnl"/>
        </w:rPr>
        <w:t>a</w:t>
      </w:r>
      <w:r w:rsidR="00360F61" w:rsidRPr="00AC4AE7">
        <w:rPr>
          <w:lang w:val="es-ES_tradnl"/>
        </w:rPr>
        <w:t xml:space="preserve"> imágenes TI</w:t>
      </w:r>
      <w:r w:rsidRPr="00AC4AE7">
        <w:rPr>
          <w:lang w:val="es-ES_tradnl"/>
        </w:rPr>
        <w:t xml:space="preserve">FF en blanco y negro, aunque una meta importante en </w:t>
      </w:r>
      <w:r w:rsidR="00360F61" w:rsidRPr="00AC4AE7">
        <w:rPr>
          <w:lang w:val="es-ES_tradnl"/>
        </w:rPr>
        <w:t xml:space="preserve">el desarrollo de los sistemas de </w:t>
      </w:r>
      <w:r w:rsidRPr="00AC4AE7">
        <w:rPr>
          <w:lang w:val="es-ES_tradnl"/>
        </w:rPr>
        <w:t>tramitación</w:t>
      </w:r>
      <w:r w:rsidR="00360F61" w:rsidRPr="00AC4AE7">
        <w:rPr>
          <w:lang w:val="es-ES_tradnl"/>
        </w:rPr>
        <w:t xml:space="preserve"> y publicación </w:t>
      </w:r>
      <w:r w:rsidR="009078B1" w:rsidRPr="00AC4AE7">
        <w:rPr>
          <w:lang w:val="es-ES_tradnl"/>
        </w:rPr>
        <w:t>consiste en</w:t>
      </w:r>
      <w:r w:rsidR="00360F61" w:rsidRPr="00AC4AE7">
        <w:rPr>
          <w:lang w:val="es-ES_tradnl"/>
        </w:rPr>
        <w:t xml:space="preserve"> permitir el uso de imágenes en color.</w:t>
      </w:r>
    </w:p>
    <w:p w:rsidR="00D54E49" w:rsidRPr="00AC4AE7" w:rsidRDefault="00712BE0" w:rsidP="00360F61">
      <w:pPr>
        <w:pStyle w:val="Heading3"/>
        <w:rPr>
          <w:lang w:val="es-ES_tradnl"/>
        </w:rPr>
      </w:pPr>
      <w:r w:rsidRPr="00AC4AE7">
        <w:rPr>
          <w:lang w:val="es-ES_tradnl"/>
        </w:rPr>
        <w:t>Modificaciones de la</w:t>
      </w:r>
      <w:r w:rsidR="00360F61" w:rsidRPr="00AC4AE7">
        <w:rPr>
          <w:lang w:val="es-ES_tradnl"/>
        </w:rPr>
        <w:t xml:space="preserve"> solicitud internacional</w:t>
      </w:r>
    </w:p>
    <w:p w:rsidR="00D54E49" w:rsidRPr="00AC4AE7" w:rsidRDefault="00360F61" w:rsidP="00AC4AE7">
      <w:pPr>
        <w:pStyle w:val="ONUMFS"/>
        <w:rPr>
          <w:lang w:val="es-ES_tradnl"/>
        </w:rPr>
      </w:pPr>
      <w:r w:rsidRPr="00AC4AE7">
        <w:rPr>
          <w:lang w:val="es-ES_tradnl"/>
        </w:rPr>
        <w:t xml:space="preserve">Cuando un solicitante </w:t>
      </w:r>
      <w:r w:rsidR="00712BE0" w:rsidRPr="00AC4AE7">
        <w:rPr>
          <w:lang w:val="es-ES_tradnl"/>
        </w:rPr>
        <w:t>deba</w:t>
      </w:r>
      <w:r w:rsidRPr="00AC4AE7">
        <w:rPr>
          <w:lang w:val="es-ES_tradnl"/>
        </w:rPr>
        <w:t xml:space="preserve"> presentar documentos posteriores para introducir cambios en una solicitud internacional presentada en formato XML, el procedimiento será similar al de la presentación inicial.</w:t>
      </w:r>
      <w:r w:rsidR="00DF26BD" w:rsidRPr="00AC4AE7">
        <w:rPr>
          <w:lang w:val="es-ES_tradnl"/>
        </w:rPr>
        <w:t xml:space="preserve"> </w:t>
      </w:r>
      <w:r w:rsidRPr="00AC4AE7">
        <w:rPr>
          <w:lang w:val="es-ES_tradnl"/>
        </w:rPr>
        <w:t>Dado que las modificaciones, las correcciones y las rectificaciones no pueden insertarse directamente en la versión en formato de texto completo del cuerpo de la solicitud, el solicitante editará el archivo fuente DOCX o XML de la solicitud, el cual (cuando proceda) se convertirá al formato XML para su comparación.</w:t>
      </w:r>
      <w:r w:rsidR="00DF26BD" w:rsidRPr="00AC4AE7">
        <w:rPr>
          <w:lang w:val="es-ES_tradnl"/>
        </w:rPr>
        <w:t xml:space="preserve"> </w:t>
      </w:r>
      <w:r w:rsidR="00772440" w:rsidRPr="00AC4AE7">
        <w:rPr>
          <w:lang w:val="es-ES_tradnl"/>
        </w:rPr>
        <w:t xml:space="preserve">Se utilizará una herramienta de comparación disponible en </w:t>
      </w:r>
      <w:proofErr w:type="spellStart"/>
      <w:r w:rsidR="00772440" w:rsidRPr="00AC4AE7">
        <w:rPr>
          <w:lang w:val="es-ES_tradnl"/>
        </w:rPr>
        <w:t>ePCT</w:t>
      </w:r>
      <w:proofErr w:type="spellEnd"/>
      <w:r w:rsidR="00772440" w:rsidRPr="00AC4AE7">
        <w:rPr>
          <w:lang w:val="es-ES_tradnl"/>
        </w:rPr>
        <w:t xml:space="preserve">, o una solución similar proporcionada por la Oficina receptora, para marcar los cambios, convertir el archivo a un cuerpo de solicitud marcado en XML y generar </w:t>
      </w:r>
      <w:r w:rsidR="00440BB6" w:rsidRPr="00AC4AE7">
        <w:rPr>
          <w:lang w:val="es-ES_tradnl"/>
        </w:rPr>
        <w:t>la petición</w:t>
      </w:r>
      <w:r w:rsidR="00772440" w:rsidRPr="00AC4AE7">
        <w:rPr>
          <w:lang w:val="es-ES_tradnl"/>
        </w:rPr>
        <w:t xml:space="preserve"> de modificación. Antes de presentar los cambios a la Oficina, el solicitante podrá revisar los cambios en la solicitud en formato de texto completo.</w:t>
      </w:r>
    </w:p>
    <w:p w:rsidR="00D54E49" w:rsidRPr="00AC4AE7" w:rsidRDefault="00440BB6" w:rsidP="00AC4AE7">
      <w:pPr>
        <w:pStyle w:val="ONUMFS"/>
        <w:rPr>
          <w:lang w:val="es-ES_tradnl"/>
        </w:rPr>
      </w:pPr>
      <w:r w:rsidRPr="00AC4AE7">
        <w:rPr>
          <w:lang w:val="es-ES_tradnl"/>
        </w:rPr>
        <w:t xml:space="preserve">Durante las fases iniciales de adopción de la nueva metodología probablemente se </w:t>
      </w:r>
      <w:r w:rsidR="00772440" w:rsidRPr="00AC4AE7">
        <w:rPr>
          <w:lang w:val="es-ES_tradnl"/>
        </w:rPr>
        <w:t xml:space="preserve">requiera a las Oficinas que proporcionen a la Oficina Internacional versiones revisadas del cuerpo de la solicitud en XML sin </w:t>
      </w:r>
      <w:r w:rsidRPr="00AC4AE7">
        <w:rPr>
          <w:lang w:val="es-ES_tradnl"/>
        </w:rPr>
        <w:t>el marcado relativo a las modificaciones</w:t>
      </w:r>
      <w:r w:rsidR="00772440" w:rsidRPr="00AC4AE7">
        <w:rPr>
          <w:lang w:val="es-ES_tradnl"/>
        </w:rPr>
        <w:t>.</w:t>
      </w:r>
      <w:r w:rsidR="00DF26BD" w:rsidRPr="00AC4AE7">
        <w:rPr>
          <w:lang w:val="es-ES_tradnl"/>
        </w:rPr>
        <w:t xml:space="preserve"> </w:t>
      </w:r>
      <w:r w:rsidR="00772440" w:rsidRPr="00AC4AE7">
        <w:rPr>
          <w:lang w:val="es-ES_tradnl"/>
        </w:rPr>
        <w:t xml:space="preserve">La Oficina Internacional utilizará entonces </w:t>
      </w:r>
      <w:r w:rsidRPr="00AC4AE7">
        <w:rPr>
          <w:lang w:val="es-ES_tradnl"/>
        </w:rPr>
        <w:t xml:space="preserve">las </w:t>
      </w:r>
      <w:r w:rsidR="00772440" w:rsidRPr="00AC4AE7">
        <w:rPr>
          <w:lang w:val="es-ES_tradnl"/>
        </w:rPr>
        <w:t xml:space="preserve">herramientas de comparación para añadir </w:t>
      </w:r>
      <w:r w:rsidRPr="00AC4AE7">
        <w:rPr>
          <w:lang w:val="es-ES_tradnl"/>
        </w:rPr>
        <w:t>dicho marcado</w:t>
      </w:r>
      <w:r w:rsidR="00772440" w:rsidRPr="00AC4AE7">
        <w:rPr>
          <w:lang w:val="es-ES_tradnl"/>
        </w:rPr>
        <w:t>.</w:t>
      </w:r>
      <w:r w:rsidR="00DF26BD" w:rsidRPr="00AC4AE7">
        <w:rPr>
          <w:lang w:val="es-ES_tradnl"/>
        </w:rPr>
        <w:t xml:space="preserve"> </w:t>
      </w:r>
      <w:r w:rsidR="008C2A03" w:rsidRPr="00AC4AE7">
        <w:rPr>
          <w:lang w:val="es-ES_tradnl"/>
        </w:rPr>
        <w:t xml:space="preserve">Posteriormente, a medida que las Oficinas </w:t>
      </w:r>
      <w:r w:rsidRPr="00AC4AE7">
        <w:rPr>
          <w:lang w:val="es-ES_tradnl"/>
        </w:rPr>
        <w:t xml:space="preserve">vayan </w:t>
      </w:r>
      <w:r w:rsidR="008C2A03" w:rsidRPr="00AC4AE7">
        <w:rPr>
          <w:lang w:val="es-ES_tradnl"/>
        </w:rPr>
        <w:t>adaptando</w:t>
      </w:r>
      <w:r w:rsidRPr="00AC4AE7">
        <w:rPr>
          <w:lang w:val="es-ES_tradnl"/>
        </w:rPr>
        <w:t xml:space="preserve"> la metodología</w:t>
      </w:r>
      <w:r w:rsidR="008C2A03" w:rsidRPr="00AC4AE7">
        <w:rPr>
          <w:lang w:val="es-ES_tradnl"/>
        </w:rPr>
        <w:t xml:space="preserve">, estas y la Oficina Internacional utilizarán la misma herramienta que los solicitantes para marcar </w:t>
      </w:r>
      <w:r w:rsidR="009078B1" w:rsidRPr="00AC4AE7">
        <w:rPr>
          <w:lang w:val="es-ES_tradnl"/>
        </w:rPr>
        <w:t>las modificaciones</w:t>
      </w:r>
      <w:r w:rsidR="008C2A03" w:rsidRPr="00AC4AE7">
        <w:rPr>
          <w:lang w:val="es-ES_tradnl"/>
        </w:rPr>
        <w:t xml:space="preserve"> e indicar su estado en el cuerpo de la solicitud. En el archivo del cuerpo de la solicitud en formato de texto completo se incluiría la última versión de la solicitud con una sección aparte </w:t>
      </w:r>
      <w:r w:rsidR="0086367A" w:rsidRPr="00AC4AE7">
        <w:rPr>
          <w:lang w:val="es-ES_tradnl"/>
        </w:rPr>
        <w:t>que contendría</w:t>
      </w:r>
      <w:r w:rsidR="008C2A03" w:rsidRPr="00AC4AE7">
        <w:rPr>
          <w:lang w:val="es-ES_tradnl"/>
        </w:rPr>
        <w:t xml:space="preserve"> un historial </w:t>
      </w:r>
      <w:r w:rsidR="0086367A" w:rsidRPr="00AC4AE7">
        <w:rPr>
          <w:lang w:val="es-ES_tradnl"/>
        </w:rPr>
        <w:t>donde pudiesen</w:t>
      </w:r>
      <w:r w:rsidR="008C2A03" w:rsidRPr="00AC4AE7">
        <w:rPr>
          <w:lang w:val="es-ES_tradnl"/>
        </w:rPr>
        <w:t xml:space="preserve"> visualizar</w:t>
      </w:r>
      <w:r w:rsidR="0086367A" w:rsidRPr="00AC4AE7">
        <w:rPr>
          <w:lang w:val="es-ES_tradnl"/>
        </w:rPr>
        <w:t>se</w:t>
      </w:r>
      <w:r w:rsidR="008C2A03" w:rsidRPr="00AC4AE7">
        <w:rPr>
          <w:lang w:val="es-ES_tradnl"/>
        </w:rPr>
        <w:t xml:space="preserve"> </w:t>
      </w:r>
      <w:r w:rsidR="0086367A" w:rsidRPr="00AC4AE7">
        <w:rPr>
          <w:lang w:val="es-ES_tradnl"/>
        </w:rPr>
        <w:t xml:space="preserve">las modificaciones y </w:t>
      </w:r>
      <w:r w:rsidRPr="00AC4AE7">
        <w:rPr>
          <w:lang w:val="es-ES_tradnl"/>
        </w:rPr>
        <w:t>las versiones anteriores</w:t>
      </w:r>
      <w:r w:rsidR="008C2A03" w:rsidRPr="00AC4AE7">
        <w:rPr>
          <w:lang w:val="es-ES_tradnl"/>
        </w:rPr>
        <w:t xml:space="preserve">, de ser necesario. Los examinadores que analicen </w:t>
      </w:r>
      <w:r w:rsidR="0086367A" w:rsidRPr="00AC4AE7">
        <w:rPr>
          <w:lang w:val="es-ES_tradnl"/>
        </w:rPr>
        <w:t>las modificaciones propuestas</w:t>
      </w:r>
      <w:r w:rsidR="008C2A03" w:rsidRPr="00AC4AE7">
        <w:rPr>
          <w:lang w:val="es-ES_tradnl"/>
        </w:rPr>
        <w:t xml:space="preserve"> podrían así acceder a una visualización generada automáticamente donde s</w:t>
      </w:r>
      <w:r w:rsidR="0086367A" w:rsidRPr="00AC4AE7">
        <w:rPr>
          <w:lang w:val="es-ES_tradnl"/>
        </w:rPr>
        <w:t>e mostraría la solicitud con la</w:t>
      </w:r>
      <w:r w:rsidR="008C2A03" w:rsidRPr="00AC4AE7">
        <w:rPr>
          <w:lang w:val="es-ES_tradnl"/>
        </w:rPr>
        <w:t xml:space="preserve"> </w:t>
      </w:r>
      <w:r w:rsidR="0086367A" w:rsidRPr="00AC4AE7">
        <w:rPr>
          <w:lang w:val="es-ES_tradnl"/>
        </w:rPr>
        <w:t>propuesta de modificación</w:t>
      </w:r>
      <w:r w:rsidR="008C2A03" w:rsidRPr="00AC4AE7">
        <w:rPr>
          <w:lang w:val="es-ES_tradnl"/>
        </w:rPr>
        <w:t xml:space="preserve">, un archivo con las diferencias y la carta explicativa que </w:t>
      </w:r>
      <w:r w:rsidR="0086367A" w:rsidRPr="00AC4AE7">
        <w:rPr>
          <w:lang w:val="es-ES_tradnl"/>
        </w:rPr>
        <w:t>debe adjuntarse, por ejemplo, a las correcciones</w:t>
      </w:r>
      <w:r w:rsidR="008C2A03" w:rsidRPr="00AC4AE7">
        <w:rPr>
          <w:lang w:val="es-ES_tradnl"/>
        </w:rPr>
        <w:t xml:space="preserve"> </w:t>
      </w:r>
      <w:r w:rsidR="0086367A" w:rsidRPr="00AC4AE7">
        <w:rPr>
          <w:lang w:val="es-ES_tradnl"/>
        </w:rPr>
        <w:t>introducidas de conformidad con la Regla 2</w:t>
      </w:r>
      <w:r w:rsidR="008C2A03" w:rsidRPr="00AC4AE7">
        <w:rPr>
          <w:lang w:val="es-ES_tradnl"/>
        </w:rPr>
        <w:t>6.4 o</w:t>
      </w:r>
      <w:r w:rsidR="0086367A" w:rsidRPr="00AC4AE7">
        <w:rPr>
          <w:lang w:val="es-ES_tradnl"/>
        </w:rPr>
        <w:t xml:space="preserve"> a las</w:t>
      </w:r>
      <w:r w:rsidR="008C2A03" w:rsidRPr="00AC4AE7">
        <w:rPr>
          <w:lang w:val="es-ES_tradnl"/>
        </w:rPr>
        <w:t xml:space="preserve"> modificaciones </w:t>
      </w:r>
      <w:r w:rsidR="0086367A" w:rsidRPr="00AC4AE7">
        <w:rPr>
          <w:lang w:val="es-ES_tradnl"/>
        </w:rPr>
        <w:t xml:space="preserve">introducidas </w:t>
      </w:r>
      <w:r w:rsidR="008C2A03" w:rsidRPr="00AC4AE7">
        <w:rPr>
          <w:lang w:val="es-ES_tradnl"/>
        </w:rPr>
        <w:t>de conformidad con la Regla 66.8.</w:t>
      </w:r>
    </w:p>
    <w:p w:rsidR="00D54E49" w:rsidRPr="00AC4AE7" w:rsidRDefault="008C2A03" w:rsidP="008C2A03">
      <w:pPr>
        <w:pStyle w:val="Heading3"/>
        <w:rPr>
          <w:lang w:val="es-ES_tradnl"/>
        </w:rPr>
      </w:pPr>
      <w:r w:rsidRPr="00AC4AE7">
        <w:rPr>
          <w:lang w:val="es-ES_tradnl"/>
        </w:rPr>
        <w:t>Publicación internacional</w:t>
      </w:r>
    </w:p>
    <w:p w:rsidR="00D54E49" w:rsidRPr="00AC4AE7" w:rsidRDefault="00856A54" w:rsidP="00AC4AE7">
      <w:pPr>
        <w:pStyle w:val="ONUMFS"/>
        <w:rPr>
          <w:lang w:val="es-ES_tradnl"/>
        </w:rPr>
      </w:pPr>
      <w:r w:rsidRPr="00AC4AE7">
        <w:rPr>
          <w:lang w:val="es-ES_tradnl"/>
        </w:rPr>
        <w:t xml:space="preserve">La Oficina Internacional publicará las solicitudes en formato de texto completo si se presentan o tramitan de esa manera, siendo el archivo XML la copia fehaciente. </w:t>
      </w:r>
      <w:r w:rsidR="001948A7" w:rsidRPr="00AC4AE7">
        <w:rPr>
          <w:lang w:val="es-ES_tradnl"/>
        </w:rPr>
        <w:t>De momento</w:t>
      </w:r>
      <w:r w:rsidRPr="00AC4AE7">
        <w:rPr>
          <w:lang w:val="es-ES_tradnl"/>
        </w:rPr>
        <w:t xml:space="preserve">, la Oficina Internacional también publicará estas solicitudes en formato TIFF como documentos con </w:t>
      </w:r>
      <w:r w:rsidR="00083096" w:rsidRPr="00AC4AE7">
        <w:rPr>
          <w:lang w:val="es-ES_tradnl"/>
        </w:rPr>
        <w:t>las imágenes</w:t>
      </w:r>
      <w:r w:rsidRPr="00AC4AE7">
        <w:rPr>
          <w:lang w:val="es-ES_tradnl"/>
        </w:rPr>
        <w:t xml:space="preserve"> </w:t>
      </w:r>
      <w:r w:rsidR="001948A7" w:rsidRPr="00AC4AE7">
        <w:rPr>
          <w:lang w:val="es-ES_tradnl"/>
        </w:rPr>
        <w:t xml:space="preserve">de las páginas </w:t>
      </w:r>
      <w:r w:rsidRPr="00AC4AE7">
        <w:rPr>
          <w:lang w:val="es-ES_tradnl"/>
        </w:rPr>
        <w:t>en un formato común al de las solicitudes que se presentan en papel o electrónicamente en PDF.</w:t>
      </w:r>
    </w:p>
    <w:p w:rsidR="00D54E49" w:rsidRPr="00AC4AE7" w:rsidRDefault="00856A54" w:rsidP="00856A54">
      <w:pPr>
        <w:pStyle w:val="Heading2"/>
        <w:rPr>
          <w:lang w:val="es-ES_tradnl"/>
        </w:rPr>
      </w:pPr>
      <w:r w:rsidRPr="00AC4AE7">
        <w:rPr>
          <w:lang w:val="es-ES_tradnl"/>
        </w:rPr>
        <w:t>CUESTIONES IMPORTANTES PARA LOS SOLICITANTES</w:t>
      </w:r>
    </w:p>
    <w:p w:rsidR="00D54E49" w:rsidRPr="00AC4AE7" w:rsidRDefault="00856A54" w:rsidP="00AC4AE7">
      <w:pPr>
        <w:pStyle w:val="ONUMFS"/>
        <w:rPr>
          <w:lang w:val="es-ES_tradnl"/>
        </w:rPr>
      </w:pPr>
      <w:r w:rsidRPr="00AC4AE7">
        <w:rPr>
          <w:lang w:val="es-ES_tradnl"/>
        </w:rPr>
        <w:t xml:space="preserve">Si el procedimiento se diseña </w:t>
      </w:r>
      <w:r w:rsidR="001948A7" w:rsidRPr="00AC4AE7">
        <w:rPr>
          <w:lang w:val="es-ES_tradnl"/>
        </w:rPr>
        <w:t>adecuadamente</w:t>
      </w:r>
      <w:r w:rsidRPr="00AC4AE7">
        <w:rPr>
          <w:lang w:val="es-ES_tradnl"/>
        </w:rPr>
        <w:t>, debería ser</w:t>
      </w:r>
      <w:r w:rsidR="001948A7" w:rsidRPr="00AC4AE7">
        <w:rPr>
          <w:lang w:val="es-ES_tradnl"/>
        </w:rPr>
        <w:t xml:space="preserve"> ventajoso</w:t>
      </w:r>
      <w:r w:rsidRPr="00AC4AE7">
        <w:rPr>
          <w:lang w:val="es-ES_tradnl"/>
        </w:rPr>
        <w:t xml:space="preserve"> para los solicitantes </w:t>
      </w:r>
      <w:r w:rsidR="001948A7" w:rsidRPr="00AC4AE7">
        <w:rPr>
          <w:lang w:val="es-ES_tradnl"/>
        </w:rPr>
        <w:t xml:space="preserve">producir </w:t>
      </w:r>
      <w:r w:rsidRPr="00AC4AE7">
        <w:rPr>
          <w:lang w:val="es-ES_tradnl"/>
        </w:rPr>
        <w:t xml:space="preserve">documentos </w:t>
      </w:r>
      <w:r w:rsidR="001948A7" w:rsidRPr="00AC4AE7">
        <w:rPr>
          <w:lang w:val="es-ES_tradnl"/>
        </w:rPr>
        <w:t xml:space="preserve">en formato </w:t>
      </w:r>
      <w:r w:rsidRPr="00AC4AE7">
        <w:rPr>
          <w:lang w:val="es-ES_tradnl"/>
        </w:rPr>
        <w:t xml:space="preserve">de texto completo </w:t>
      </w:r>
      <w:r w:rsidR="001948A7" w:rsidRPr="00AC4AE7">
        <w:rPr>
          <w:lang w:val="es-ES_tradnl"/>
        </w:rPr>
        <w:t xml:space="preserve">para </w:t>
      </w:r>
      <w:r w:rsidRPr="00AC4AE7">
        <w:rPr>
          <w:lang w:val="es-ES_tradnl"/>
        </w:rPr>
        <w:t xml:space="preserve">su uso durante la presentación de la solicitud y </w:t>
      </w:r>
      <w:r w:rsidR="001948A7" w:rsidRPr="00AC4AE7">
        <w:rPr>
          <w:lang w:val="es-ES_tradnl"/>
        </w:rPr>
        <w:t xml:space="preserve">la </w:t>
      </w:r>
      <w:r w:rsidRPr="00AC4AE7">
        <w:rPr>
          <w:lang w:val="es-ES_tradnl"/>
        </w:rPr>
        <w:t>publicación.</w:t>
      </w:r>
      <w:r w:rsidR="00DF26BD" w:rsidRPr="00AC4AE7">
        <w:rPr>
          <w:lang w:val="es-ES_tradnl"/>
        </w:rPr>
        <w:t xml:space="preserve"> </w:t>
      </w:r>
      <w:r w:rsidR="00851107" w:rsidRPr="00AC4AE7">
        <w:rPr>
          <w:lang w:val="es-ES_tradnl"/>
        </w:rPr>
        <w:t xml:space="preserve">Muchas Oficinas nacionales </w:t>
      </w:r>
      <w:r w:rsidR="00545500" w:rsidRPr="00AC4AE7">
        <w:rPr>
          <w:lang w:val="es-ES_tradnl"/>
        </w:rPr>
        <w:t>recurren a la composición tipográfica de las</w:t>
      </w:r>
      <w:r w:rsidR="00851107" w:rsidRPr="00AC4AE7">
        <w:rPr>
          <w:lang w:val="es-ES_tradnl"/>
        </w:rPr>
        <w:t xml:space="preserve"> solicitudes publicadas y </w:t>
      </w:r>
      <w:r w:rsidR="00545500" w:rsidRPr="00AC4AE7">
        <w:rPr>
          <w:lang w:val="es-ES_tradnl"/>
        </w:rPr>
        <w:t xml:space="preserve">las </w:t>
      </w:r>
      <w:r w:rsidR="00851107" w:rsidRPr="00AC4AE7">
        <w:rPr>
          <w:lang w:val="es-ES_tradnl"/>
        </w:rPr>
        <w:t xml:space="preserve">patentes concedidas, </w:t>
      </w:r>
      <w:r w:rsidR="00545500" w:rsidRPr="00AC4AE7">
        <w:rPr>
          <w:lang w:val="es-ES_tradnl"/>
        </w:rPr>
        <w:t>lo que significa que deben</w:t>
      </w:r>
      <w:r w:rsidR="00851107" w:rsidRPr="00AC4AE7">
        <w:rPr>
          <w:lang w:val="es-ES_tradnl"/>
        </w:rPr>
        <w:t xml:space="preserve"> convertir </w:t>
      </w:r>
      <w:r w:rsidR="00545500" w:rsidRPr="00AC4AE7">
        <w:rPr>
          <w:lang w:val="es-ES_tradnl"/>
        </w:rPr>
        <w:t xml:space="preserve">el cuerpo </w:t>
      </w:r>
      <w:r w:rsidR="00851107" w:rsidRPr="00AC4AE7">
        <w:rPr>
          <w:lang w:val="es-ES_tradnl"/>
        </w:rPr>
        <w:t>de la solicitud</w:t>
      </w:r>
      <w:r w:rsidR="00545500" w:rsidRPr="00AC4AE7">
        <w:rPr>
          <w:lang w:val="es-ES_tradnl"/>
        </w:rPr>
        <w:t xml:space="preserve"> presentada</w:t>
      </w:r>
      <w:r w:rsidR="00851107" w:rsidRPr="00AC4AE7">
        <w:rPr>
          <w:lang w:val="es-ES_tradnl"/>
        </w:rPr>
        <w:t xml:space="preserve"> en papel o PDF a un formato de texto completo</w:t>
      </w:r>
      <w:r w:rsidR="00545500" w:rsidRPr="00AC4AE7">
        <w:rPr>
          <w:lang w:val="es-ES_tradnl"/>
        </w:rPr>
        <w:t xml:space="preserve"> y el solicitante, a su vez, debe</w:t>
      </w:r>
      <w:r w:rsidR="00851107" w:rsidRPr="00AC4AE7">
        <w:rPr>
          <w:lang w:val="es-ES_tradnl"/>
        </w:rPr>
        <w:t xml:space="preserve"> realizar verificaciones cuidadosas antes de la publicación.</w:t>
      </w:r>
      <w:r w:rsidR="00DF26BD" w:rsidRPr="00AC4AE7">
        <w:rPr>
          <w:lang w:val="es-ES_tradnl"/>
        </w:rPr>
        <w:t xml:space="preserve"> </w:t>
      </w:r>
      <w:r w:rsidR="00851107" w:rsidRPr="00AC4AE7">
        <w:rPr>
          <w:lang w:val="es-ES_tradnl"/>
        </w:rPr>
        <w:t xml:space="preserve">Además, un documento </w:t>
      </w:r>
      <w:r w:rsidR="00545500" w:rsidRPr="00AC4AE7">
        <w:rPr>
          <w:lang w:val="es-ES_tradnl"/>
        </w:rPr>
        <w:t>objeto de</w:t>
      </w:r>
      <w:r w:rsidR="00851107" w:rsidRPr="00AC4AE7">
        <w:rPr>
          <w:lang w:val="es-ES_tradnl"/>
        </w:rPr>
        <w:t xml:space="preserve"> composición tipográfica siempre </w:t>
      </w:r>
      <w:r w:rsidR="00545500" w:rsidRPr="00AC4AE7">
        <w:rPr>
          <w:lang w:val="es-ES_tradnl"/>
        </w:rPr>
        <w:t xml:space="preserve">tiene una presentación </w:t>
      </w:r>
      <w:r w:rsidR="00851107" w:rsidRPr="00AC4AE7">
        <w:rPr>
          <w:lang w:val="es-ES_tradnl"/>
        </w:rPr>
        <w:t>diferente al documento original</w:t>
      </w:r>
      <w:r w:rsidR="00545500" w:rsidRPr="00AC4AE7">
        <w:rPr>
          <w:lang w:val="es-ES_tradnl"/>
        </w:rPr>
        <w:t xml:space="preserve"> </w:t>
      </w:r>
      <w:r w:rsidR="009779D1" w:rsidRPr="00AC4AE7">
        <w:rPr>
          <w:lang w:val="es-ES_tradnl"/>
        </w:rPr>
        <w:t xml:space="preserve">y </w:t>
      </w:r>
      <w:r w:rsidR="00545500" w:rsidRPr="00AC4AE7">
        <w:rPr>
          <w:lang w:val="es-ES_tradnl"/>
        </w:rPr>
        <w:t>unas</w:t>
      </w:r>
      <w:r w:rsidR="00851107" w:rsidRPr="00AC4AE7">
        <w:rPr>
          <w:lang w:val="es-ES_tradnl"/>
        </w:rPr>
        <w:t xml:space="preserve"> opcio</w:t>
      </w:r>
      <w:r w:rsidR="00545500" w:rsidRPr="00AC4AE7">
        <w:rPr>
          <w:lang w:val="es-ES_tradnl"/>
        </w:rPr>
        <w:t>nes de formato más limitadas que las que pueden encontrarse</w:t>
      </w:r>
      <w:r w:rsidR="00851107" w:rsidRPr="00AC4AE7">
        <w:rPr>
          <w:lang w:val="es-ES_tradnl"/>
        </w:rPr>
        <w:t xml:space="preserve"> en la mayoría de los procesadores de texto. </w:t>
      </w:r>
      <w:r w:rsidR="00545500" w:rsidRPr="00AC4AE7">
        <w:rPr>
          <w:lang w:val="es-ES_tradnl"/>
        </w:rPr>
        <w:t>En consecuencia</w:t>
      </w:r>
      <w:r w:rsidR="00851107" w:rsidRPr="00AC4AE7">
        <w:rPr>
          <w:lang w:val="es-ES_tradnl"/>
        </w:rPr>
        <w:t xml:space="preserve">, </w:t>
      </w:r>
      <w:r w:rsidR="00545500" w:rsidRPr="00AC4AE7">
        <w:rPr>
          <w:lang w:val="es-ES_tradnl"/>
        </w:rPr>
        <w:t xml:space="preserve">todo dato contenido </w:t>
      </w:r>
      <w:r w:rsidR="00851107" w:rsidRPr="00AC4AE7">
        <w:rPr>
          <w:lang w:val="es-ES_tradnl"/>
        </w:rPr>
        <w:t>en un documento PDF que dependa de</w:t>
      </w:r>
      <w:r w:rsidR="00545500" w:rsidRPr="00AC4AE7">
        <w:rPr>
          <w:lang w:val="es-ES_tradnl"/>
        </w:rPr>
        <w:t xml:space="preserve"> unas</w:t>
      </w:r>
      <w:r w:rsidR="00851107" w:rsidRPr="00AC4AE7">
        <w:rPr>
          <w:lang w:val="es-ES_tradnl"/>
        </w:rPr>
        <w:t xml:space="preserve"> opciones de </w:t>
      </w:r>
      <w:r w:rsidR="00545500" w:rsidRPr="00AC4AE7">
        <w:rPr>
          <w:lang w:val="es-ES_tradnl"/>
        </w:rPr>
        <w:t xml:space="preserve">presentación </w:t>
      </w:r>
      <w:r w:rsidR="00851107" w:rsidRPr="00AC4AE7">
        <w:rPr>
          <w:lang w:val="es-ES_tradnl"/>
        </w:rPr>
        <w:t xml:space="preserve">específicas es susceptible de perderse </w:t>
      </w:r>
      <w:r w:rsidR="00545500" w:rsidRPr="00AC4AE7">
        <w:rPr>
          <w:lang w:val="es-ES_tradnl"/>
        </w:rPr>
        <w:t xml:space="preserve">durante la creación de la composición </w:t>
      </w:r>
      <w:r w:rsidR="00851107" w:rsidRPr="00AC4AE7">
        <w:rPr>
          <w:lang w:val="es-ES_tradnl"/>
        </w:rPr>
        <w:t xml:space="preserve">tipográfica, y puede ser difícil </w:t>
      </w:r>
      <w:r w:rsidR="00497322" w:rsidRPr="00AC4AE7">
        <w:rPr>
          <w:lang w:val="es-ES_tradnl"/>
        </w:rPr>
        <w:t>volver a reproducirlo</w:t>
      </w:r>
      <w:r w:rsidR="00851107" w:rsidRPr="00AC4AE7">
        <w:rPr>
          <w:lang w:val="es-ES_tradnl"/>
        </w:rPr>
        <w:t xml:space="preserve">. </w:t>
      </w:r>
      <w:r w:rsidR="00545500" w:rsidRPr="00AC4AE7">
        <w:rPr>
          <w:lang w:val="es-ES_tradnl"/>
        </w:rPr>
        <w:t xml:space="preserve">Las Oficinas deberían contar con más facilidades </w:t>
      </w:r>
      <w:r w:rsidR="00BA0172" w:rsidRPr="00AC4AE7">
        <w:rPr>
          <w:lang w:val="es-ES_tradnl"/>
        </w:rPr>
        <w:t>en este sentido</w:t>
      </w:r>
      <w:r w:rsidR="00545500" w:rsidRPr="00AC4AE7">
        <w:rPr>
          <w:lang w:val="es-ES_tradnl"/>
        </w:rPr>
        <w:t xml:space="preserve">, recibiendo </w:t>
      </w:r>
      <w:r w:rsidR="00851107" w:rsidRPr="00AC4AE7">
        <w:rPr>
          <w:lang w:val="es-ES_tradnl"/>
        </w:rPr>
        <w:t xml:space="preserve">los documentos en formato de texto completo desde el principio </w:t>
      </w:r>
      <w:r w:rsidR="00545500" w:rsidRPr="00AC4AE7">
        <w:rPr>
          <w:lang w:val="es-ES_tradnl"/>
        </w:rPr>
        <w:t xml:space="preserve">y pudiendo así </w:t>
      </w:r>
      <w:r w:rsidR="008E52C5" w:rsidRPr="00AC4AE7">
        <w:rPr>
          <w:lang w:val="es-ES_tradnl"/>
        </w:rPr>
        <w:t>efectuar</w:t>
      </w:r>
      <w:r w:rsidR="00851107" w:rsidRPr="00AC4AE7">
        <w:rPr>
          <w:lang w:val="es-ES_tradnl"/>
        </w:rPr>
        <w:t xml:space="preserve"> búsquedas y exámenes en versiones </w:t>
      </w:r>
      <w:r w:rsidR="00545500" w:rsidRPr="00AC4AE7">
        <w:rPr>
          <w:lang w:val="es-ES_tradnl"/>
        </w:rPr>
        <w:t xml:space="preserve">en ese </w:t>
      </w:r>
      <w:r w:rsidR="00851107" w:rsidRPr="00AC4AE7">
        <w:rPr>
          <w:lang w:val="es-ES_tradnl"/>
        </w:rPr>
        <w:t xml:space="preserve">mismo formato. Para los solicitantes, </w:t>
      </w:r>
      <w:r w:rsidR="00545500" w:rsidRPr="00AC4AE7">
        <w:rPr>
          <w:lang w:val="es-ES_tradnl"/>
        </w:rPr>
        <w:t>esto debería suponer menos</w:t>
      </w:r>
      <w:r w:rsidR="00851107" w:rsidRPr="00AC4AE7">
        <w:rPr>
          <w:lang w:val="es-ES_tradnl"/>
        </w:rPr>
        <w:t xml:space="preserve"> problemas de presentación o conversión y, cuando estos problemas </w:t>
      </w:r>
      <w:r w:rsidR="00BA0172" w:rsidRPr="00AC4AE7">
        <w:rPr>
          <w:lang w:val="es-ES_tradnl"/>
        </w:rPr>
        <w:t>surjan</w:t>
      </w:r>
      <w:r w:rsidR="00851107" w:rsidRPr="00AC4AE7">
        <w:rPr>
          <w:lang w:val="es-ES_tradnl"/>
        </w:rPr>
        <w:t xml:space="preserve">, </w:t>
      </w:r>
      <w:r w:rsidR="00BA0172" w:rsidRPr="00AC4AE7">
        <w:rPr>
          <w:lang w:val="es-ES_tradnl"/>
        </w:rPr>
        <w:t>debería hacer más probable su identificación y resolución temprana</w:t>
      </w:r>
      <w:r w:rsidR="00851107" w:rsidRPr="00AC4AE7">
        <w:rPr>
          <w:lang w:val="es-ES_tradnl"/>
        </w:rPr>
        <w:t>.</w:t>
      </w:r>
    </w:p>
    <w:p w:rsidR="00D54E49" w:rsidRPr="00AC4AE7" w:rsidRDefault="009779D1" w:rsidP="00AC4AE7">
      <w:pPr>
        <w:pStyle w:val="ONUMFS"/>
        <w:rPr>
          <w:lang w:val="es-ES_tradnl"/>
        </w:rPr>
      </w:pPr>
      <w:r w:rsidRPr="00AC4AE7">
        <w:rPr>
          <w:lang w:val="es-ES_tradnl"/>
        </w:rPr>
        <w:t>Pese a ello</w:t>
      </w:r>
      <w:r w:rsidR="008E52C5" w:rsidRPr="00AC4AE7">
        <w:rPr>
          <w:lang w:val="es-ES_tradnl"/>
        </w:rPr>
        <w:t xml:space="preserve">, los abogados de patentes de muchos Estados contratantes del PCT se han mostrado recelosos ante las propuestas realizadas en </w:t>
      </w:r>
      <w:r w:rsidR="000A4A9A" w:rsidRPr="00AC4AE7">
        <w:rPr>
          <w:lang w:val="es-ES_tradnl"/>
        </w:rPr>
        <w:t>este sentido</w:t>
      </w:r>
      <w:r w:rsidR="008E52C5" w:rsidRPr="00AC4AE7">
        <w:rPr>
          <w:lang w:val="es-ES_tradnl"/>
        </w:rPr>
        <w:t>.</w:t>
      </w:r>
      <w:r w:rsidR="00DF26BD" w:rsidRPr="00AC4AE7">
        <w:rPr>
          <w:lang w:val="es-ES_tradnl"/>
        </w:rPr>
        <w:t xml:space="preserve"> </w:t>
      </w:r>
      <w:r w:rsidR="008E52C5" w:rsidRPr="00AC4AE7">
        <w:rPr>
          <w:lang w:val="es-ES_tradnl"/>
        </w:rPr>
        <w:t xml:space="preserve">Los anteriores intentos de pasar a la tramitación en formato de texto completo solo han tenido éxito en países donde las demás opciones </w:t>
      </w:r>
      <w:r w:rsidR="00FF190E" w:rsidRPr="00AC4AE7">
        <w:rPr>
          <w:lang w:val="es-ES_tradnl"/>
        </w:rPr>
        <w:t xml:space="preserve">de presentación disponibles </w:t>
      </w:r>
      <w:r w:rsidR="008E52C5" w:rsidRPr="00AC4AE7">
        <w:rPr>
          <w:lang w:val="es-ES_tradnl"/>
        </w:rPr>
        <w:t>son notablemente más onerosas para el solicitante.</w:t>
      </w:r>
      <w:r w:rsidR="00DF26BD" w:rsidRPr="00AC4AE7">
        <w:rPr>
          <w:lang w:val="es-ES_tradnl"/>
        </w:rPr>
        <w:t xml:space="preserve"> </w:t>
      </w:r>
      <w:r w:rsidR="00FF190E" w:rsidRPr="00AC4AE7">
        <w:rPr>
          <w:lang w:val="es-ES_tradnl"/>
        </w:rPr>
        <w:t>Resulta</w:t>
      </w:r>
      <w:r w:rsidR="008E52C5" w:rsidRPr="00AC4AE7">
        <w:rPr>
          <w:lang w:val="es-ES_tradnl"/>
        </w:rPr>
        <w:t xml:space="preserve"> útil en los sistemas nacionales o </w:t>
      </w:r>
      <w:r w:rsidR="00FF190E" w:rsidRPr="00AC4AE7">
        <w:rPr>
          <w:lang w:val="es-ES_tradnl"/>
        </w:rPr>
        <w:t>si</w:t>
      </w:r>
      <w:r w:rsidR="008E52C5" w:rsidRPr="00AC4AE7">
        <w:rPr>
          <w:lang w:val="es-ES_tradnl"/>
        </w:rPr>
        <w:t xml:space="preserve"> los solicitantes </w:t>
      </w:r>
      <w:r w:rsidR="00FF190E" w:rsidRPr="00AC4AE7">
        <w:rPr>
          <w:lang w:val="es-ES_tradnl"/>
        </w:rPr>
        <w:t>tienden a</w:t>
      </w:r>
      <w:r w:rsidR="008E52C5" w:rsidRPr="00AC4AE7">
        <w:rPr>
          <w:lang w:val="es-ES_tradnl"/>
        </w:rPr>
        <w:t xml:space="preserve"> </w:t>
      </w:r>
      <w:r w:rsidR="000A4A9A" w:rsidRPr="00AC4AE7">
        <w:rPr>
          <w:lang w:val="es-ES_tradnl"/>
        </w:rPr>
        <w:t>recurrir a</w:t>
      </w:r>
      <w:r w:rsidR="008E52C5" w:rsidRPr="00AC4AE7">
        <w:rPr>
          <w:lang w:val="es-ES_tradnl"/>
        </w:rPr>
        <w:t xml:space="preserve"> la misma Oficina </w:t>
      </w:r>
      <w:r w:rsidR="000A4A9A" w:rsidRPr="00AC4AE7">
        <w:rPr>
          <w:lang w:val="es-ES_tradnl"/>
        </w:rPr>
        <w:t xml:space="preserve">en calidad de </w:t>
      </w:r>
      <w:r w:rsidR="008E52C5" w:rsidRPr="00AC4AE7">
        <w:rPr>
          <w:lang w:val="es-ES_tradnl"/>
        </w:rPr>
        <w:t xml:space="preserve">Oficina receptora y </w:t>
      </w:r>
      <w:r w:rsidR="000A4A9A" w:rsidRPr="00AC4AE7">
        <w:rPr>
          <w:lang w:val="es-ES_tradnl"/>
        </w:rPr>
        <w:t xml:space="preserve">de </w:t>
      </w:r>
      <w:r w:rsidR="008E52C5" w:rsidRPr="00AC4AE7">
        <w:rPr>
          <w:lang w:val="es-ES_tradnl"/>
        </w:rPr>
        <w:t>Administración encargada de la búsqueda internacional y (cuando procede) del examen preliminar internacional.</w:t>
      </w:r>
      <w:r w:rsidR="00DF26BD" w:rsidRPr="00AC4AE7">
        <w:rPr>
          <w:lang w:val="es-ES_tradnl"/>
        </w:rPr>
        <w:t xml:space="preserve"> </w:t>
      </w:r>
      <w:r w:rsidR="000E05BB" w:rsidRPr="00AC4AE7">
        <w:rPr>
          <w:lang w:val="es-ES_tradnl"/>
        </w:rPr>
        <w:t xml:space="preserve">Sin embargo, cuando intervienen </w:t>
      </w:r>
      <w:r w:rsidR="00FF190E" w:rsidRPr="00AC4AE7">
        <w:rPr>
          <w:lang w:val="es-ES_tradnl"/>
        </w:rPr>
        <w:t>otras</w:t>
      </w:r>
      <w:r w:rsidR="000E05BB" w:rsidRPr="00AC4AE7">
        <w:rPr>
          <w:lang w:val="es-ES_tradnl"/>
        </w:rPr>
        <w:t xml:space="preserve"> Oficinas, se </w:t>
      </w:r>
      <w:r w:rsidR="000A4A9A" w:rsidRPr="00AC4AE7">
        <w:rPr>
          <w:lang w:val="es-ES_tradnl"/>
        </w:rPr>
        <w:t>requiere</w:t>
      </w:r>
      <w:r w:rsidR="000E05BB" w:rsidRPr="00AC4AE7">
        <w:rPr>
          <w:lang w:val="es-ES_tradnl"/>
        </w:rPr>
        <w:t xml:space="preserve"> coordinación y </w:t>
      </w:r>
      <w:r w:rsidR="000A4A9A" w:rsidRPr="00AC4AE7">
        <w:rPr>
          <w:lang w:val="es-ES_tradnl"/>
        </w:rPr>
        <w:t xml:space="preserve">un enfoque </w:t>
      </w:r>
      <w:r w:rsidR="000E05BB" w:rsidRPr="00AC4AE7">
        <w:rPr>
          <w:lang w:val="es-ES_tradnl"/>
        </w:rPr>
        <w:t>cohere</w:t>
      </w:r>
      <w:r w:rsidR="000A4A9A" w:rsidRPr="00AC4AE7">
        <w:rPr>
          <w:lang w:val="es-ES_tradnl"/>
        </w:rPr>
        <w:t>nte</w:t>
      </w:r>
      <w:r w:rsidR="000E05BB" w:rsidRPr="00AC4AE7">
        <w:rPr>
          <w:lang w:val="es-ES_tradnl"/>
        </w:rPr>
        <w:t xml:space="preserve"> para garantizar que los solicitantes </w:t>
      </w:r>
      <w:r w:rsidR="000A4A9A" w:rsidRPr="00AC4AE7">
        <w:rPr>
          <w:lang w:val="es-ES_tradnl"/>
        </w:rPr>
        <w:t>y</w:t>
      </w:r>
      <w:r w:rsidR="000E05BB" w:rsidRPr="00AC4AE7">
        <w:rPr>
          <w:lang w:val="es-ES_tradnl"/>
        </w:rPr>
        <w:t xml:space="preserve"> las Oficinas </w:t>
      </w:r>
      <w:r w:rsidR="000A4A9A" w:rsidRPr="00AC4AE7">
        <w:rPr>
          <w:lang w:val="es-ES_tradnl"/>
        </w:rPr>
        <w:t xml:space="preserve">sacan partido a </w:t>
      </w:r>
      <w:r w:rsidR="000E05BB" w:rsidRPr="00AC4AE7">
        <w:rPr>
          <w:lang w:val="es-ES_tradnl"/>
        </w:rPr>
        <w:t>las ventajas.</w:t>
      </w:r>
      <w:r w:rsidR="00DF26BD" w:rsidRPr="00AC4AE7">
        <w:rPr>
          <w:lang w:val="es-ES_tradnl"/>
        </w:rPr>
        <w:t xml:space="preserve"> </w:t>
      </w:r>
      <w:r w:rsidR="00FF190E" w:rsidRPr="00AC4AE7">
        <w:rPr>
          <w:lang w:val="es-ES_tradnl"/>
        </w:rPr>
        <w:t xml:space="preserve">Para ello, a su vez, es necesario que los abogados de patentes ayuden en el proceso —a fin de garantizar </w:t>
      </w:r>
      <w:r w:rsidR="000E05BB" w:rsidRPr="00AC4AE7">
        <w:rPr>
          <w:lang w:val="es-ES_tradnl"/>
        </w:rPr>
        <w:t>que se responde a sus necesidades</w:t>
      </w:r>
      <w:r w:rsidR="00FF190E" w:rsidRPr="00AC4AE7">
        <w:rPr>
          <w:lang w:val="es-ES_tradnl"/>
        </w:rPr>
        <w:t xml:space="preserve">— y </w:t>
      </w:r>
      <w:r w:rsidRPr="00AC4AE7">
        <w:rPr>
          <w:lang w:val="es-ES_tradnl"/>
        </w:rPr>
        <w:t xml:space="preserve">que </w:t>
      </w:r>
      <w:r w:rsidR="00FF190E" w:rsidRPr="00AC4AE7">
        <w:rPr>
          <w:lang w:val="es-ES_tradnl"/>
        </w:rPr>
        <w:t xml:space="preserve">se adapten a las nuevas metodologías de </w:t>
      </w:r>
      <w:r w:rsidR="000E05BB" w:rsidRPr="00AC4AE7">
        <w:rPr>
          <w:lang w:val="es-ES_tradnl"/>
        </w:rPr>
        <w:t>trabaj</w:t>
      </w:r>
      <w:r w:rsidR="00FF190E" w:rsidRPr="00AC4AE7">
        <w:rPr>
          <w:lang w:val="es-ES_tradnl"/>
        </w:rPr>
        <w:t>o</w:t>
      </w:r>
      <w:r w:rsidR="000E05BB" w:rsidRPr="00AC4AE7">
        <w:rPr>
          <w:lang w:val="es-ES_tradnl"/>
        </w:rPr>
        <w:t xml:space="preserve">, </w:t>
      </w:r>
      <w:r w:rsidR="00FF190E" w:rsidRPr="00AC4AE7">
        <w:rPr>
          <w:lang w:val="es-ES_tradnl"/>
        </w:rPr>
        <w:t xml:space="preserve">ya que, </w:t>
      </w:r>
      <w:r w:rsidR="000E05BB" w:rsidRPr="00AC4AE7">
        <w:rPr>
          <w:lang w:val="es-ES_tradnl"/>
        </w:rPr>
        <w:t xml:space="preserve">si </w:t>
      </w:r>
      <w:r w:rsidR="00FF190E" w:rsidRPr="00AC4AE7">
        <w:rPr>
          <w:lang w:val="es-ES_tradnl"/>
        </w:rPr>
        <w:t xml:space="preserve">estas </w:t>
      </w:r>
      <w:r w:rsidR="000E05BB" w:rsidRPr="00AC4AE7">
        <w:rPr>
          <w:lang w:val="es-ES_tradnl"/>
        </w:rPr>
        <w:t>se adoptan adecuadamente</w:t>
      </w:r>
      <w:r w:rsidR="00FF190E" w:rsidRPr="00AC4AE7">
        <w:rPr>
          <w:lang w:val="es-ES_tradnl"/>
        </w:rPr>
        <w:t>,</w:t>
      </w:r>
      <w:r w:rsidR="000E05BB" w:rsidRPr="00AC4AE7">
        <w:rPr>
          <w:lang w:val="es-ES_tradnl"/>
        </w:rPr>
        <w:t xml:space="preserve"> </w:t>
      </w:r>
      <w:r w:rsidR="00BF39E3" w:rsidRPr="00AC4AE7">
        <w:rPr>
          <w:lang w:val="es-ES_tradnl"/>
        </w:rPr>
        <w:t xml:space="preserve">serán provechosas </w:t>
      </w:r>
      <w:r w:rsidR="00FF190E" w:rsidRPr="00AC4AE7">
        <w:rPr>
          <w:lang w:val="es-ES_tradnl"/>
        </w:rPr>
        <w:t>para</w:t>
      </w:r>
      <w:r w:rsidR="000E05BB" w:rsidRPr="00AC4AE7">
        <w:rPr>
          <w:lang w:val="es-ES_tradnl"/>
        </w:rPr>
        <w:t xml:space="preserve"> sus clientes y </w:t>
      </w:r>
      <w:r w:rsidR="00FF190E" w:rsidRPr="00AC4AE7">
        <w:rPr>
          <w:lang w:val="es-ES_tradnl"/>
        </w:rPr>
        <w:t>para e</w:t>
      </w:r>
      <w:r w:rsidR="000E05BB" w:rsidRPr="00AC4AE7">
        <w:rPr>
          <w:lang w:val="es-ES_tradnl"/>
        </w:rPr>
        <w:t>l sistema en su conjunto.</w:t>
      </w:r>
    </w:p>
    <w:p w:rsidR="00D54E49" w:rsidRPr="00AC4AE7" w:rsidRDefault="00B756FA" w:rsidP="00AC4AE7">
      <w:pPr>
        <w:pStyle w:val="ONUMFS"/>
        <w:rPr>
          <w:lang w:val="es-ES_tradnl"/>
        </w:rPr>
      </w:pPr>
      <w:r w:rsidRPr="00AC4AE7">
        <w:rPr>
          <w:lang w:val="es-ES_tradnl"/>
        </w:rPr>
        <w:t>Una preocupación habitual</w:t>
      </w:r>
      <w:r w:rsidR="00BF39E3" w:rsidRPr="00AC4AE7">
        <w:rPr>
          <w:lang w:val="es-ES_tradnl"/>
        </w:rPr>
        <w:t xml:space="preserve"> tiene que ver con</w:t>
      </w:r>
      <w:r w:rsidRPr="00AC4AE7">
        <w:rPr>
          <w:lang w:val="es-ES_tradnl"/>
        </w:rPr>
        <w:t xml:space="preserve"> los errores que </w:t>
      </w:r>
      <w:r w:rsidR="00BF39E3" w:rsidRPr="00AC4AE7">
        <w:rPr>
          <w:lang w:val="es-ES_tradnl"/>
        </w:rPr>
        <w:t>podrían</w:t>
      </w:r>
      <w:r w:rsidRPr="00AC4AE7">
        <w:rPr>
          <w:lang w:val="es-ES_tradnl"/>
        </w:rPr>
        <w:t xml:space="preserve"> producirse al </w:t>
      </w:r>
      <w:r w:rsidR="00BF39E3" w:rsidRPr="00AC4AE7">
        <w:rPr>
          <w:lang w:val="es-ES_tradnl"/>
        </w:rPr>
        <w:t>convertir</w:t>
      </w:r>
      <w:r w:rsidRPr="00AC4AE7">
        <w:rPr>
          <w:lang w:val="es-ES_tradnl"/>
        </w:rPr>
        <w:t xml:space="preserve"> formato</w:t>
      </w:r>
      <w:r w:rsidR="00BF39E3" w:rsidRPr="00AC4AE7">
        <w:rPr>
          <w:lang w:val="es-ES_tradnl"/>
        </w:rPr>
        <w:t>s</w:t>
      </w:r>
      <w:r w:rsidRPr="00AC4AE7">
        <w:rPr>
          <w:lang w:val="es-ES_tradnl"/>
        </w:rPr>
        <w:t xml:space="preserve"> de procesamiento de texto</w:t>
      </w:r>
      <w:r w:rsidR="00BF39E3" w:rsidRPr="00AC4AE7">
        <w:rPr>
          <w:lang w:val="es-ES_tradnl"/>
        </w:rPr>
        <w:t xml:space="preserve"> —que </w:t>
      </w:r>
      <w:r w:rsidRPr="00AC4AE7">
        <w:rPr>
          <w:lang w:val="es-ES_tradnl"/>
        </w:rPr>
        <w:t>permiten controlar la presentación del texto y los gráficos</w:t>
      </w:r>
      <w:r w:rsidR="00BF39E3" w:rsidRPr="00AC4AE7">
        <w:rPr>
          <w:lang w:val="es-ES_tradnl"/>
        </w:rPr>
        <w:t>—</w:t>
      </w:r>
      <w:r w:rsidRPr="00AC4AE7">
        <w:rPr>
          <w:lang w:val="es-ES_tradnl"/>
        </w:rPr>
        <w:t xml:space="preserve"> a</w:t>
      </w:r>
      <w:r w:rsidR="00BF39E3" w:rsidRPr="00AC4AE7">
        <w:rPr>
          <w:lang w:val="es-ES_tradnl"/>
        </w:rPr>
        <w:t>l</w:t>
      </w:r>
      <w:r w:rsidRPr="00AC4AE7">
        <w:rPr>
          <w:lang w:val="es-ES_tradnl"/>
        </w:rPr>
        <w:t xml:space="preserve"> formato </w:t>
      </w:r>
      <w:r w:rsidR="00BF39E3" w:rsidRPr="00AC4AE7">
        <w:rPr>
          <w:lang w:val="es-ES_tradnl"/>
        </w:rPr>
        <w:t xml:space="preserve">simplificado </w:t>
      </w:r>
      <w:r w:rsidRPr="00AC4AE7">
        <w:rPr>
          <w:lang w:val="es-ES_tradnl"/>
        </w:rPr>
        <w:t xml:space="preserve">XML </w:t>
      </w:r>
      <w:r w:rsidR="00BF39E3" w:rsidRPr="00AC4AE7">
        <w:rPr>
          <w:lang w:val="es-ES_tradnl"/>
        </w:rPr>
        <w:t>en el que se basa la publicación del documento y los procedimientos de intercambio.</w:t>
      </w:r>
      <w:r w:rsidR="00DF26BD" w:rsidRPr="00AC4AE7">
        <w:rPr>
          <w:lang w:val="es-ES_tradnl"/>
        </w:rPr>
        <w:t xml:space="preserve"> </w:t>
      </w:r>
      <w:r w:rsidRPr="00AC4AE7">
        <w:rPr>
          <w:lang w:val="es-ES_tradnl"/>
        </w:rPr>
        <w:t xml:space="preserve">En </w:t>
      </w:r>
      <w:r w:rsidR="00BF39E3" w:rsidRPr="00AC4AE7">
        <w:rPr>
          <w:lang w:val="es-ES_tradnl"/>
        </w:rPr>
        <w:t xml:space="preserve">todo </w:t>
      </w:r>
      <w:r w:rsidRPr="00AC4AE7">
        <w:rPr>
          <w:lang w:val="es-ES_tradnl"/>
        </w:rPr>
        <w:t>sistema se debe garantizar</w:t>
      </w:r>
      <w:r w:rsidR="00BF39E3" w:rsidRPr="00AC4AE7">
        <w:rPr>
          <w:lang w:val="es-ES_tradnl"/>
        </w:rPr>
        <w:t xml:space="preserve"> lo siguiente</w:t>
      </w:r>
      <w:r w:rsidRPr="00AC4AE7">
        <w:rPr>
          <w:lang w:val="es-ES_tradnl"/>
        </w:rPr>
        <w:t>:</w:t>
      </w:r>
    </w:p>
    <w:p w:rsidR="00D54E49" w:rsidRPr="00AC4AE7" w:rsidRDefault="00BF39E3" w:rsidP="00AC4AE7">
      <w:pPr>
        <w:pStyle w:val="BodyText"/>
        <w:numPr>
          <w:ilvl w:val="0"/>
          <w:numId w:val="11"/>
        </w:numPr>
        <w:rPr>
          <w:lang w:val="es-ES_tradnl"/>
        </w:rPr>
      </w:pPr>
      <w:r w:rsidRPr="00AC4AE7">
        <w:rPr>
          <w:lang w:val="es-ES_tradnl"/>
        </w:rPr>
        <w:t xml:space="preserve">que </w:t>
      </w:r>
      <w:r w:rsidR="00B756FA" w:rsidRPr="00AC4AE7">
        <w:rPr>
          <w:lang w:val="es-ES_tradnl"/>
        </w:rPr>
        <w:t>la conversión de los cuerpos de las solicitudes, de una presentación basada en página</w:t>
      </w:r>
      <w:r w:rsidRPr="00AC4AE7">
        <w:rPr>
          <w:lang w:val="es-ES_tradnl"/>
        </w:rPr>
        <w:t xml:space="preserve">s a un contenido </w:t>
      </w:r>
      <w:r w:rsidR="00B756FA" w:rsidRPr="00AC4AE7">
        <w:rPr>
          <w:lang w:val="es-ES_tradnl"/>
        </w:rPr>
        <w:t>basad</w:t>
      </w:r>
      <w:r w:rsidRPr="00AC4AE7">
        <w:rPr>
          <w:lang w:val="es-ES_tradnl"/>
        </w:rPr>
        <w:t>o</w:t>
      </w:r>
      <w:r w:rsidR="00B756FA" w:rsidRPr="00AC4AE7">
        <w:rPr>
          <w:lang w:val="es-ES_tradnl"/>
        </w:rPr>
        <w:t xml:space="preserve"> en texto XML con </w:t>
      </w:r>
      <w:r w:rsidR="009779D1" w:rsidRPr="00AC4AE7">
        <w:rPr>
          <w:lang w:val="es-ES_tradnl"/>
        </w:rPr>
        <w:t xml:space="preserve">las </w:t>
      </w:r>
      <w:r w:rsidR="00B756FA" w:rsidRPr="00AC4AE7">
        <w:rPr>
          <w:lang w:val="es-ES_tradnl"/>
        </w:rPr>
        <w:t xml:space="preserve">referencias </w:t>
      </w:r>
      <w:r w:rsidR="009779D1" w:rsidRPr="00AC4AE7">
        <w:rPr>
          <w:lang w:val="es-ES_tradnl"/>
        </w:rPr>
        <w:t>pertinentes</w:t>
      </w:r>
      <w:r w:rsidRPr="00AC4AE7">
        <w:rPr>
          <w:lang w:val="es-ES_tradnl"/>
        </w:rPr>
        <w:t xml:space="preserve"> </w:t>
      </w:r>
      <w:r w:rsidR="00B756FA" w:rsidRPr="00AC4AE7">
        <w:rPr>
          <w:lang w:val="es-ES_tradnl"/>
        </w:rPr>
        <w:t>a imágenes</w:t>
      </w:r>
      <w:r w:rsidRPr="00AC4AE7">
        <w:rPr>
          <w:lang w:val="es-ES_tradnl"/>
        </w:rPr>
        <w:t>,</w:t>
      </w:r>
      <w:r w:rsidR="00B756FA" w:rsidRPr="00AC4AE7">
        <w:rPr>
          <w:lang w:val="es-ES_tradnl"/>
        </w:rPr>
        <w:t xml:space="preserve"> </w:t>
      </w:r>
      <w:r w:rsidRPr="00AC4AE7">
        <w:rPr>
          <w:lang w:val="es-ES_tradnl"/>
        </w:rPr>
        <w:t xml:space="preserve">sea de elevada fiabilidad </w:t>
      </w:r>
      <w:r w:rsidR="00B756FA" w:rsidRPr="00AC4AE7">
        <w:rPr>
          <w:lang w:val="es-ES_tradnl"/>
        </w:rPr>
        <w:t>y no afect</w:t>
      </w:r>
      <w:r w:rsidRPr="00AC4AE7">
        <w:rPr>
          <w:lang w:val="es-ES_tradnl"/>
        </w:rPr>
        <w:t>e</w:t>
      </w:r>
      <w:r w:rsidR="00B756FA" w:rsidRPr="00AC4AE7">
        <w:rPr>
          <w:lang w:val="es-ES_tradnl"/>
        </w:rPr>
        <w:t xml:space="preserve"> al significado sustantivo de la descripción, las reivindicaciones o los dibujos</w:t>
      </w:r>
      <w:r w:rsidRPr="00AC4AE7">
        <w:rPr>
          <w:lang w:val="es-ES_tradnl"/>
        </w:rPr>
        <w:t xml:space="preserve"> convertidos</w:t>
      </w:r>
      <w:r w:rsidR="00B756FA" w:rsidRPr="00AC4AE7">
        <w:rPr>
          <w:lang w:val="es-ES_tradnl"/>
        </w:rPr>
        <w:t>; y</w:t>
      </w:r>
    </w:p>
    <w:p w:rsidR="00D54E49" w:rsidRPr="00AC4AE7" w:rsidRDefault="00BF39E3" w:rsidP="00AC4AE7">
      <w:pPr>
        <w:pStyle w:val="BodyText"/>
        <w:numPr>
          <w:ilvl w:val="0"/>
          <w:numId w:val="11"/>
        </w:numPr>
        <w:rPr>
          <w:lang w:val="es-ES_tradnl"/>
        </w:rPr>
      </w:pPr>
      <w:r w:rsidRPr="00AC4AE7">
        <w:rPr>
          <w:lang w:val="es-ES_tradnl"/>
        </w:rPr>
        <w:t xml:space="preserve">que, </w:t>
      </w:r>
      <w:r w:rsidR="00B756FA" w:rsidRPr="00AC4AE7">
        <w:rPr>
          <w:lang w:val="es-ES_tradnl"/>
        </w:rPr>
        <w:t xml:space="preserve">en </w:t>
      </w:r>
      <w:r w:rsidRPr="00AC4AE7">
        <w:rPr>
          <w:lang w:val="es-ES_tradnl"/>
        </w:rPr>
        <w:t xml:space="preserve">el excepcional caso </w:t>
      </w:r>
      <w:r w:rsidR="00B756FA" w:rsidRPr="00AC4AE7">
        <w:rPr>
          <w:lang w:val="es-ES_tradnl"/>
        </w:rPr>
        <w:t xml:space="preserve">de que se produzcan errores </w:t>
      </w:r>
      <w:r w:rsidRPr="00AC4AE7">
        <w:rPr>
          <w:lang w:val="es-ES_tradnl"/>
        </w:rPr>
        <w:t>en la</w:t>
      </w:r>
      <w:r w:rsidR="00B756FA" w:rsidRPr="00AC4AE7">
        <w:rPr>
          <w:lang w:val="es-ES_tradnl"/>
        </w:rPr>
        <w:t xml:space="preserve"> conversión, el procedimiento de búsqueda y examen ayud</w:t>
      </w:r>
      <w:r w:rsidRPr="00AC4AE7">
        <w:rPr>
          <w:lang w:val="es-ES_tradnl"/>
        </w:rPr>
        <w:t>e</w:t>
      </w:r>
      <w:r w:rsidR="00B756FA" w:rsidRPr="00AC4AE7">
        <w:rPr>
          <w:lang w:val="es-ES_tradnl"/>
        </w:rPr>
        <w:t xml:space="preserve"> a identificar dichos errores en una fase temprana y el solicitante pued</w:t>
      </w:r>
      <w:r w:rsidRPr="00AC4AE7">
        <w:rPr>
          <w:lang w:val="es-ES_tradnl"/>
        </w:rPr>
        <w:t>a</w:t>
      </w:r>
      <w:r w:rsidR="00B756FA" w:rsidRPr="00AC4AE7">
        <w:rPr>
          <w:lang w:val="es-ES_tradnl"/>
        </w:rPr>
        <w:t xml:space="preserve"> corregirlos en cuanto se detecten.</w:t>
      </w:r>
    </w:p>
    <w:p w:rsidR="00D54E49" w:rsidRPr="00AC4AE7" w:rsidRDefault="00E30E56" w:rsidP="00AC4AE7">
      <w:pPr>
        <w:pStyle w:val="ONUMFS"/>
        <w:rPr>
          <w:lang w:val="es-ES_tradnl"/>
        </w:rPr>
      </w:pPr>
      <w:r w:rsidRPr="00AC4AE7">
        <w:rPr>
          <w:lang w:val="es-ES_tradnl"/>
        </w:rPr>
        <w:t xml:space="preserve">Además, a los fines de la tramitación internacional, es importante que las conversiones sean coherentes y generen los mismos resultados independientemente de la Oficina a la </w:t>
      </w:r>
      <w:r w:rsidR="009C0962" w:rsidRPr="00AC4AE7">
        <w:rPr>
          <w:lang w:val="es-ES_tradnl"/>
        </w:rPr>
        <w:t>cual</w:t>
      </w:r>
      <w:r w:rsidRPr="00AC4AE7">
        <w:rPr>
          <w:lang w:val="es-ES_tradnl"/>
        </w:rPr>
        <w:t xml:space="preserve"> se presente </w:t>
      </w:r>
      <w:r w:rsidR="009C0962" w:rsidRPr="00AC4AE7">
        <w:rPr>
          <w:lang w:val="es-ES_tradnl"/>
        </w:rPr>
        <w:t>el</w:t>
      </w:r>
      <w:r w:rsidRPr="00AC4AE7">
        <w:rPr>
          <w:lang w:val="es-ES_tradnl"/>
        </w:rPr>
        <w:t xml:space="preserve"> documento, de modo que </w:t>
      </w:r>
      <w:r w:rsidR="009C0962" w:rsidRPr="00AC4AE7">
        <w:rPr>
          <w:lang w:val="es-ES_tradnl"/>
        </w:rPr>
        <w:t>la</w:t>
      </w:r>
      <w:r w:rsidRPr="00AC4AE7">
        <w:rPr>
          <w:lang w:val="es-ES_tradnl"/>
        </w:rPr>
        <w:t xml:space="preserve"> presentación inicial </w:t>
      </w:r>
      <w:r w:rsidR="009C0962" w:rsidRPr="00AC4AE7">
        <w:rPr>
          <w:lang w:val="es-ES_tradnl"/>
        </w:rPr>
        <w:t xml:space="preserve">de una solicitud </w:t>
      </w:r>
      <w:r w:rsidRPr="00AC4AE7">
        <w:rPr>
          <w:lang w:val="es-ES_tradnl"/>
        </w:rPr>
        <w:t xml:space="preserve">en una Oficina pueda combinarse y cotejarse adecuadamente con las modificaciones, correcciones y rectificaciones que se presenten en otra Oficina. </w:t>
      </w:r>
      <w:r w:rsidR="009C0962" w:rsidRPr="00AC4AE7">
        <w:rPr>
          <w:lang w:val="es-ES_tradnl"/>
        </w:rPr>
        <w:t xml:space="preserve">De forma más </w:t>
      </w:r>
      <w:r w:rsidRPr="00AC4AE7">
        <w:rPr>
          <w:lang w:val="es-ES_tradnl"/>
        </w:rPr>
        <w:t xml:space="preserve">general, la coherencia </w:t>
      </w:r>
      <w:r w:rsidR="00477B7A" w:rsidRPr="00AC4AE7">
        <w:rPr>
          <w:lang w:val="es-ES_tradnl"/>
        </w:rPr>
        <w:t>en</w:t>
      </w:r>
      <w:r w:rsidRPr="00AC4AE7">
        <w:rPr>
          <w:lang w:val="es-ES_tradnl"/>
        </w:rPr>
        <w:t xml:space="preserve"> los resultados de la conversión entre las Oficinas nacionales también es deseable para reducir los costos y evitar la confusión que </w:t>
      </w:r>
      <w:r w:rsidR="00477B7A" w:rsidRPr="00AC4AE7">
        <w:rPr>
          <w:lang w:val="es-ES_tradnl"/>
        </w:rPr>
        <w:t>implicaría</w:t>
      </w:r>
      <w:r w:rsidRPr="00AC4AE7">
        <w:rPr>
          <w:lang w:val="es-ES_tradnl"/>
        </w:rPr>
        <w:t xml:space="preserve"> tener que aprender requisitos diferentes para la tramitación nacional e internacional.</w:t>
      </w:r>
    </w:p>
    <w:p w:rsidR="00D54E49" w:rsidRPr="00AC4AE7" w:rsidRDefault="00E30E56" w:rsidP="00AC4AE7">
      <w:pPr>
        <w:pStyle w:val="ONUMFS"/>
        <w:rPr>
          <w:lang w:val="es-ES_tradnl"/>
        </w:rPr>
      </w:pPr>
      <w:r w:rsidRPr="00AC4AE7">
        <w:rPr>
          <w:lang w:val="es-ES_tradnl"/>
        </w:rPr>
        <w:t xml:space="preserve">Dados los problemas que plantea la composición tipográfica de una solicitud de patente o de una patente </w:t>
      </w:r>
      <w:r w:rsidR="009779D1" w:rsidRPr="00AC4AE7">
        <w:rPr>
          <w:lang w:val="es-ES_tradnl"/>
        </w:rPr>
        <w:t>concedida</w:t>
      </w:r>
      <w:r w:rsidRPr="00AC4AE7">
        <w:rPr>
          <w:lang w:val="es-ES_tradnl"/>
        </w:rPr>
        <w:t xml:space="preserve"> con un formato específico y limitado, ya en el momento de la redacción de la solicitud internacional se debería </w:t>
      </w:r>
      <w:r w:rsidR="00477B7A" w:rsidRPr="00AC4AE7">
        <w:rPr>
          <w:lang w:val="es-ES_tradnl"/>
        </w:rPr>
        <w:t>velar por</w:t>
      </w:r>
      <w:r w:rsidRPr="00AC4AE7">
        <w:rPr>
          <w:lang w:val="es-ES_tradnl"/>
        </w:rPr>
        <w:t xml:space="preserve"> que la so</w:t>
      </w:r>
      <w:r w:rsidR="00477B7A" w:rsidRPr="00AC4AE7">
        <w:rPr>
          <w:lang w:val="es-ES_tradnl"/>
        </w:rPr>
        <w:t>licitud en cuestión no transmita</w:t>
      </w:r>
      <w:r w:rsidRPr="00AC4AE7">
        <w:rPr>
          <w:lang w:val="es-ES_tradnl"/>
        </w:rPr>
        <w:t xml:space="preserve"> información por medio de formatos que no pueden reproducirse de forma fiable en la publicación. En esencia, una solución </w:t>
      </w:r>
      <w:r w:rsidR="00477B7A" w:rsidRPr="00AC4AE7">
        <w:rPr>
          <w:lang w:val="es-ES_tradnl"/>
        </w:rPr>
        <w:t>basada en la presentación de</w:t>
      </w:r>
      <w:r w:rsidRPr="00AC4AE7">
        <w:rPr>
          <w:lang w:val="es-ES_tradnl"/>
        </w:rPr>
        <w:t xml:space="preserve"> una solicitud en formato de texto completo </w:t>
      </w:r>
      <w:r w:rsidR="00477B7A" w:rsidRPr="00AC4AE7">
        <w:rPr>
          <w:lang w:val="es-ES_tradnl"/>
        </w:rPr>
        <w:t>supone lo mismo</w:t>
      </w:r>
      <w:r w:rsidRPr="00AC4AE7">
        <w:rPr>
          <w:lang w:val="es-ES_tradnl"/>
        </w:rPr>
        <w:t xml:space="preserve">. Una herramienta de conversión diseñada </w:t>
      </w:r>
      <w:r w:rsidR="00D36778" w:rsidRPr="00AC4AE7">
        <w:rPr>
          <w:lang w:val="es-ES_tradnl"/>
        </w:rPr>
        <w:t>adecuadamente conservará</w:t>
      </w:r>
      <w:r w:rsidRPr="00AC4AE7">
        <w:rPr>
          <w:lang w:val="es-ES_tradnl"/>
        </w:rPr>
        <w:t xml:space="preserve"> </w:t>
      </w:r>
      <w:r w:rsidR="00D36778" w:rsidRPr="00AC4AE7">
        <w:rPr>
          <w:lang w:val="es-ES_tradnl"/>
        </w:rPr>
        <w:t xml:space="preserve">toda la información </w:t>
      </w:r>
      <w:r w:rsidRPr="00AC4AE7">
        <w:rPr>
          <w:lang w:val="es-ES_tradnl"/>
        </w:rPr>
        <w:t>sustantiv</w:t>
      </w:r>
      <w:r w:rsidR="00D36778" w:rsidRPr="00AC4AE7">
        <w:rPr>
          <w:lang w:val="es-ES_tradnl"/>
        </w:rPr>
        <w:t>a</w:t>
      </w:r>
      <w:r w:rsidRPr="00AC4AE7">
        <w:rPr>
          <w:lang w:val="es-ES_tradnl"/>
        </w:rPr>
        <w:t xml:space="preserve"> del contenido, siempre que el documento original utilice una fuente Unicode y en él se divulgue la invención usando únicamente las opciones </w:t>
      </w:r>
      <w:r w:rsidR="00D36778" w:rsidRPr="00AC4AE7">
        <w:rPr>
          <w:lang w:val="es-ES_tradnl"/>
        </w:rPr>
        <w:t>de formato disponibles</w:t>
      </w:r>
      <w:r w:rsidRPr="00AC4AE7">
        <w:rPr>
          <w:lang w:val="es-ES_tradnl"/>
        </w:rPr>
        <w:t>.</w:t>
      </w:r>
    </w:p>
    <w:p w:rsidR="00D54E49" w:rsidRPr="00AC4AE7" w:rsidRDefault="00D36778" w:rsidP="00AC4AE7">
      <w:pPr>
        <w:pStyle w:val="ONUMFS"/>
        <w:rPr>
          <w:lang w:val="es-ES_tradnl"/>
        </w:rPr>
      </w:pPr>
      <w:r w:rsidRPr="00AC4AE7">
        <w:rPr>
          <w:lang w:val="es-ES_tradnl"/>
        </w:rPr>
        <w:t xml:space="preserve">Aún quedan por resolver ciertas </w:t>
      </w:r>
      <w:r w:rsidR="001B2444" w:rsidRPr="00AC4AE7">
        <w:rPr>
          <w:lang w:val="es-ES_tradnl"/>
        </w:rPr>
        <w:t xml:space="preserve">cuestiones, en particular la presentación eficaz de los cuadros, </w:t>
      </w:r>
      <w:r w:rsidRPr="00AC4AE7">
        <w:rPr>
          <w:lang w:val="es-ES_tradnl"/>
        </w:rPr>
        <w:t>respecto de</w:t>
      </w:r>
      <w:r w:rsidR="001B2444" w:rsidRPr="00AC4AE7">
        <w:rPr>
          <w:lang w:val="es-ES_tradnl"/>
        </w:rPr>
        <w:t xml:space="preserve"> los cuales los solicitantes suelen recurrir a algún </w:t>
      </w:r>
      <w:r w:rsidRPr="00AC4AE7">
        <w:rPr>
          <w:lang w:val="es-ES_tradnl"/>
        </w:rPr>
        <w:t>“</w:t>
      </w:r>
      <w:r w:rsidR="001B2444" w:rsidRPr="00AC4AE7">
        <w:rPr>
          <w:lang w:val="es-ES_tradnl"/>
        </w:rPr>
        <w:t>truco</w:t>
      </w:r>
      <w:r w:rsidRPr="00AC4AE7">
        <w:rPr>
          <w:lang w:val="es-ES_tradnl"/>
        </w:rPr>
        <w:t>”</w:t>
      </w:r>
      <w:r w:rsidR="001B2444" w:rsidRPr="00AC4AE7">
        <w:rPr>
          <w:lang w:val="es-ES_tradnl"/>
        </w:rPr>
        <w:t xml:space="preserve"> de formato </w:t>
      </w:r>
      <w:r w:rsidRPr="00AC4AE7">
        <w:rPr>
          <w:lang w:val="es-ES_tradnl"/>
        </w:rPr>
        <w:t>(</w:t>
      </w:r>
      <w:r w:rsidR="001B2444" w:rsidRPr="00AC4AE7">
        <w:rPr>
          <w:lang w:val="es-ES_tradnl"/>
        </w:rPr>
        <w:t xml:space="preserve">por ejemplo, </w:t>
      </w:r>
      <w:r w:rsidR="00B05C2C" w:rsidRPr="00AC4AE7">
        <w:rPr>
          <w:lang w:val="es-ES_tradnl"/>
        </w:rPr>
        <w:t xml:space="preserve">cambiar </w:t>
      </w:r>
      <w:r w:rsidR="001B2444" w:rsidRPr="00AC4AE7">
        <w:rPr>
          <w:lang w:val="es-ES_tradnl"/>
        </w:rPr>
        <w:t xml:space="preserve">el tamaño de la fuente, </w:t>
      </w:r>
      <w:r w:rsidRPr="00AC4AE7">
        <w:rPr>
          <w:lang w:val="es-ES_tradnl"/>
        </w:rPr>
        <w:t xml:space="preserve">introducir </w:t>
      </w:r>
      <w:r w:rsidR="001B2444" w:rsidRPr="00AC4AE7">
        <w:rPr>
          <w:lang w:val="es-ES_tradnl"/>
        </w:rPr>
        <w:t xml:space="preserve">saltos de línea manuales o </w:t>
      </w:r>
      <w:r w:rsidRPr="00AC4AE7">
        <w:rPr>
          <w:lang w:val="es-ES_tradnl"/>
        </w:rPr>
        <w:t xml:space="preserve">ajustar </w:t>
      </w:r>
      <w:r w:rsidR="001B2444" w:rsidRPr="00AC4AE7">
        <w:rPr>
          <w:lang w:val="es-ES_tradnl"/>
        </w:rPr>
        <w:t>manual</w:t>
      </w:r>
      <w:r w:rsidRPr="00AC4AE7">
        <w:rPr>
          <w:lang w:val="es-ES_tradnl"/>
        </w:rPr>
        <w:t>mente</w:t>
      </w:r>
      <w:r w:rsidR="00B05C2C" w:rsidRPr="00AC4AE7">
        <w:rPr>
          <w:lang w:val="es-ES_tradnl"/>
        </w:rPr>
        <w:t xml:space="preserve"> la alineación del texto o</w:t>
      </w:r>
      <w:r w:rsidR="001B2444" w:rsidRPr="00AC4AE7">
        <w:rPr>
          <w:lang w:val="es-ES_tradnl"/>
        </w:rPr>
        <w:t xml:space="preserve"> el tamaño de las columnas</w:t>
      </w:r>
      <w:r w:rsidRPr="00AC4AE7">
        <w:rPr>
          <w:lang w:val="es-ES_tradnl"/>
        </w:rPr>
        <w:t>)</w:t>
      </w:r>
      <w:r w:rsidR="001B2444" w:rsidRPr="00AC4AE7">
        <w:rPr>
          <w:lang w:val="es-ES_tradnl"/>
        </w:rPr>
        <w:t xml:space="preserve"> para lograr una presentación visual determinada que </w:t>
      </w:r>
      <w:r w:rsidRPr="00AC4AE7">
        <w:rPr>
          <w:lang w:val="es-ES_tradnl"/>
        </w:rPr>
        <w:t xml:space="preserve">a menudo no </w:t>
      </w:r>
      <w:r w:rsidR="00B05C2C" w:rsidRPr="00AC4AE7">
        <w:rPr>
          <w:lang w:val="es-ES_tradnl"/>
        </w:rPr>
        <w:t>se logra</w:t>
      </w:r>
      <w:r w:rsidRPr="00AC4AE7">
        <w:rPr>
          <w:lang w:val="es-ES_tradnl"/>
        </w:rPr>
        <w:t xml:space="preserve"> reproducir en el </w:t>
      </w:r>
      <w:r w:rsidR="001B2444" w:rsidRPr="00AC4AE7">
        <w:rPr>
          <w:lang w:val="es-ES_tradnl"/>
        </w:rPr>
        <w:t xml:space="preserve">cuadro convertido. También se ha expresado </w:t>
      </w:r>
      <w:r w:rsidRPr="00AC4AE7">
        <w:rPr>
          <w:lang w:val="es-ES_tradnl"/>
        </w:rPr>
        <w:t>frecuentemente</w:t>
      </w:r>
      <w:r w:rsidR="001B2444" w:rsidRPr="00AC4AE7">
        <w:rPr>
          <w:lang w:val="es-ES_tradnl"/>
        </w:rPr>
        <w:t xml:space="preserve"> preocupación </w:t>
      </w:r>
      <w:r w:rsidRPr="00AC4AE7">
        <w:rPr>
          <w:lang w:val="es-ES_tradnl"/>
        </w:rPr>
        <w:t>en torno a</w:t>
      </w:r>
      <w:r w:rsidR="001B2444" w:rsidRPr="00AC4AE7">
        <w:rPr>
          <w:lang w:val="es-ES_tradnl"/>
        </w:rPr>
        <w:t xml:space="preserve">l uso de símbolos, que en </w:t>
      </w:r>
      <w:r w:rsidR="009779D1" w:rsidRPr="00AC4AE7">
        <w:rPr>
          <w:lang w:val="es-ES_tradnl"/>
        </w:rPr>
        <w:t>ciertos</w:t>
      </w:r>
      <w:r w:rsidR="001B2444" w:rsidRPr="00AC4AE7">
        <w:rPr>
          <w:lang w:val="es-ES_tradnl"/>
        </w:rPr>
        <w:t xml:space="preserve"> procesador</w:t>
      </w:r>
      <w:r w:rsidR="009779D1" w:rsidRPr="00AC4AE7">
        <w:rPr>
          <w:lang w:val="es-ES_tradnl"/>
        </w:rPr>
        <w:t>es</w:t>
      </w:r>
      <w:r w:rsidR="001B2444" w:rsidRPr="00AC4AE7">
        <w:rPr>
          <w:lang w:val="es-ES_tradnl"/>
        </w:rPr>
        <w:t xml:space="preserve"> de textos</w:t>
      </w:r>
      <w:r w:rsidRPr="00AC4AE7">
        <w:rPr>
          <w:lang w:val="es-ES_tradnl"/>
        </w:rPr>
        <w:t xml:space="preserve"> </w:t>
      </w:r>
      <w:r w:rsidR="009779D1" w:rsidRPr="00AC4AE7">
        <w:rPr>
          <w:lang w:val="es-ES_tradnl"/>
        </w:rPr>
        <w:t>pueden aparecer</w:t>
      </w:r>
      <w:r w:rsidRPr="00AC4AE7">
        <w:rPr>
          <w:lang w:val="es-ES_tradnl"/>
        </w:rPr>
        <w:t xml:space="preserve"> de un modo</w:t>
      </w:r>
      <w:r w:rsidR="001B2444" w:rsidRPr="00AC4AE7">
        <w:rPr>
          <w:lang w:val="es-ES_tradnl"/>
        </w:rPr>
        <w:t xml:space="preserve"> específico </w:t>
      </w:r>
      <w:r w:rsidR="009779D1" w:rsidRPr="00AC4AE7">
        <w:rPr>
          <w:lang w:val="es-ES_tradnl"/>
        </w:rPr>
        <w:t>escogido por</w:t>
      </w:r>
      <w:r w:rsidRPr="00AC4AE7">
        <w:rPr>
          <w:lang w:val="es-ES_tradnl"/>
        </w:rPr>
        <w:t xml:space="preserve"> </w:t>
      </w:r>
      <w:r w:rsidR="001B2444" w:rsidRPr="00AC4AE7">
        <w:rPr>
          <w:lang w:val="es-ES_tradnl"/>
        </w:rPr>
        <w:t xml:space="preserve">el programa informático sin que el solicitante pueda controlarlo. Sin embargo, esto puede </w:t>
      </w:r>
      <w:r w:rsidR="00497322" w:rsidRPr="00AC4AE7">
        <w:rPr>
          <w:lang w:val="es-ES_tradnl"/>
        </w:rPr>
        <w:t>detectarse</w:t>
      </w:r>
      <w:r w:rsidR="001B2444" w:rsidRPr="00AC4AE7">
        <w:rPr>
          <w:lang w:val="es-ES_tradnl"/>
        </w:rPr>
        <w:t xml:space="preserve"> y </w:t>
      </w:r>
      <w:r w:rsidR="00B05C2C" w:rsidRPr="00AC4AE7">
        <w:rPr>
          <w:lang w:val="es-ES_tradnl"/>
        </w:rPr>
        <w:t>compatibilizarse</w:t>
      </w:r>
      <w:r w:rsidR="001B2444" w:rsidRPr="00AC4AE7">
        <w:rPr>
          <w:lang w:val="es-ES_tradnl"/>
        </w:rPr>
        <w:t xml:space="preserve">, siempre que los demás caracteres de la fuente seleccionada directamente por el solicitante se ajusten a la norma Unicode. </w:t>
      </w:r>
      <w:r w:rsidR="00B05C2C" w:rsidRPr="00AC4AE7">
        <w:rPr>
          <w:lang w:val="es-ES_tradnl"/>
        </w:rPr>
        <w:t>Asimismo</w:t>
      </w:r>
      <w:r w:rsidR="001B2444" w:rsidRPr="00AC4AE7">
        <w:rPr>
          <w:lang w:val="es-ES_tradnl"/>
        </w:rPr>
        <w:t>, es posible detectar otros elementos, como fórmulas matemáticas en</w:t>
      </w:r>
      <w:r w:rsidR="00B05C2C" w:rsidRPr="00AC4AE7">
        <w:rPr>
          <w:lang w:val="es-ES_tradnl"/>
        </w:rPr>
        <w:t xml:space="preserve"> un</w:t>
      </w:r>
      <w:r w:rsidR="001B2444" w:rsidRPr="00AC4AE7">
        <w:rPr>
          <w:lang w:val="es-ES_tradnl"/>
        </w:rPr>
        <w:t xml:space="preserve"> formato editable (no de imagen) e incompatible con la Norma ST.36 de la OMPI, y </w:t>
      </w:r>
      <w:r w:rsidR="00B05C2C" w:rsidRPr="00AC4AE7">
        <w:rPr>
          <w:lang w:val="es-ES_tradnl"/>
        </w:rPr>
        <w:t xml:space="preserve">también se puede extraer </w:t>
      </w:r>
      <w:r w:rsidR="001B2444" w:rsidRPr="00AC4AE7">
        <w:rPr>
          <w:lang w:val="es-ES_tradnl"/>
        </w:rPr>
        <w:t>versiones de imágenes para incluirlas en el documento convertido cuando sea necesario.</w:t>
      </w:r>
    </w:p>
    <w:p w:rsidR="00D54E49" w:rsidRPr="00AC4AE7" w:rsidRDefault="001B2444" w:rsidP="00AC4AE7">
      <w:pPr>
        <w:pStyle w:val="ONUMFS"/>
        <w:rPr>
          <w:lang w:val="es-ES_tradnl"/>
        </w:rPr>
      </w:pPr>
      <w:r w:rsidRPr="00AC4AE7">
        <w:rPr>
          <w:lang w:val="es-ES_tradnl"/>
        </w:rPr>
        <w:t xml:space="preserve">La compatibilidad con dibujos en color ya es </w:t>
      </w:r>
      <w:r w:rsidR="002804B8" w:rsidRPr="00AC4AE7">
        <w:rPr>
          <w:lang w:val="es-ES_tradnl"/>
        </w:rPr>
        <w:t>una de las principales metas</w:t>
      </w:r>
      <w:r w:rsidRPr="00AC4AE7">
        <w:rPr>
          <w:lang w:val="es-ES_tradnl"/>
        </w:rPr>
        <w:t xml:space="preserve"> de la labor conexa </w:t>
      </w:r>
      <w:r w:rsidR="002804B8" w:rsidRPr="00AC4AE7">
        <w:rPr>
          <w:lang w:val="es-ES_tradnl"/>
        </w:rPr>
        <w:t>de</w:t>
      </w:r>
      <w:r w:rsidRPr="00AC4AE7">
        <w:rPr>
          <w:lang w:val="es-ES_tradnl"/>
        </w:rPr>
        <w:t xml:space="preserve"> desarrollo de los sistemas de publicación. Para una transición con éxito a la tramitación en formato de texto completo, es importante contar con las </w:t>
      </w:r>
      <w:r w:rsidR="002804B8" w:rsidRPr="00AC4AE7">
        <w:rPr>
          <w:lang w:val="es-ES_tradnl"/>
        </w:rPr>
        <w:t>contribuciones</w:t>
      </w:r>
      <w:r w:rsidRPr="00AC4AE7">
        <w:rPr>
          <w:lang w:val="es-ES_tradnl"/>
        </w:rPr>
        <w:t xml:space="preserve"> de los abogados de patentes sobre los aspectos de la divulgación que pueden ser difíciles de representar o convertir adecuadamente </w:t>
      </w:r>
      <w:r w:rsidR="002804B8" w:rsidRPr="00AC4AE7">
        <w:rPr>
          <w:lang w:val="es-ES_tradnl"/>
        </w:rPr>
        <w:t>mediante</w:t>
      </w:r>
      <w:r w:rsidRPr="00AC4AE7">
        <w:rPr>
          <w:lang w:val="es-ES_tradnl"/>
        </w:rPr>
        <w:t xml:space="preserve"> las opciones de que se dispone actualmente en el marco de la Norma ST.36 de la OMPI. Esos problemas podrían solucionarse ampliando las opciones disponibles directamente en la Norma XML (por ejemplo, mediante una mejora en la compatibilidad con las normas relativas a fórmulas matemáticas y químicas), o (como ocurre con los dibujos en color) ampliando la gama de formatos que se </w:t>
      </w:r>
      <w:r w:rsidR="002804B8" w:rsidRPr="00AC4AE7">
        <w:rPr>
          <w:lang w:val="es-ES_tradnl"/>
        </w:rPr>
        <w:t>puede</w:t>
      </w:r>
      <w:r w:rsidRPr="00AC4AE7">
        <w:rPr>
          <w:lang w:val="es-ES_tradnl"/>
        </w:rPr>
        <w:t xml:space="preserve"> usar </w:t>
      </w:r>
      <w:r w:rsidR="002804B8" w:rsidRPr="00AC4AE7">
        <w:rPr>
          <w:lang w:val="es-ES_tradnl"/>
        </w:rPr>
        <w:t xml:space="preserve">como </w:t>
      </w:r>
      <w:r w:rsidRPr="00AC4AE7">
        <w:rPr>
          <w:lang w:val="es-ES_tradnl"/>
        </w:rPr>
        <w:t>documentos de referencia.</w:t>
      </w:r>
    </w:p>
    <w:p w:rsidR="00D54E49" w:rsidRPr="00AC4AE7" w:rsidRDefault="007015BA" w:rsidP="007015BA">
      <w:pPr>
        <w:pStyle w:val="Heading2"/>
        <w:rPr>
          <w:lang w:val="es-ES_tradnl"/>
        </w:rPr>
      </w:pPr>
      <w:r w:rsidRPr="00AC4AE7">
        <w:rPr>
          <w:lang w:val="es-ES_tradnl"/>
        </w:rPr>
        <w:t>TRANSICIÓN A LA TRAMITACIÓN EN FORMATO DE TEXTO COMPLETO PARA TODAS LAS SOLICITUDES INTERNACIONALES</w:t>
      </w:r>
    </w:p>
    <w:p w:rsidR="00D54E49" w:rsidRPr="00AC4AE7" w:rsidRDefault="00422AE7" w:rsidP="00AC4AE7">
      <w:pPr>
        <w:pStyle w:val="ONUMFS"/>
        <w:rPr>
          <w:lang w:val="es-ES_tradnl"/>
        </w:rPr>
      </w:pPr>
      <w:r w:rsidRPr="00AC4AE7">
        <w:rPr>
          <w:lang w:val="es-ES_tradnl"/>
        </w:rPr>
        <w:t>A largo plazo, la Oficina Internacional desea pasar a la tramitación y publicación de todas las solicitudes internacionales en formato de texto completo. Después de dicha transición, cualquier solicitud presentada en papel o en formato de imagen se convertir</w:t>
      </w:r>
      <w:r w:rsidR="005E5729" w:rsidRPr="00AC4AE7">
        <w:rPr>
          <w:lang w:val="es-ES_tradnl"/>
        </w:rPr>
        <w:t>ía</w:t>
      </w:r>
      <w:r w:rsidRPr="00AC4AE7">
        <w:rPr>
          <w:lang w:val="es-ES_tradnl"/>
        </w:rPr>
        <w:t xml:space="preserve"> a XML, siendo el archivo XML convertido la copia </w:t>
      </w:r>
      <w:r w:rsidR="005E5729" w:rsidRPr="00AC4AE7">
        <w:rPr>
          <w:lang w:val="es-ES_tradnl"/>
        </w:rPr>
        <w:t>fehaciente</w:t>
      </w:r>
      <w:r w:rsidRPr="00AC4AE7">
        <w:rPr>
          <w:lang w:val="es-ES_tradnl"/>
        </w:rPr>
        <w:t xml:space="preserve"> (con sujeción a la misma posibilidad de volver al ejemplar original </w:t>
      </w:r>
      <w:r w:rsidR="005E5729" w:rsidRPr="00AC4AE7">
        <w:rPr>
          <w:lang w:val="es-ES_tradnl"/>
        </w:rPr>
        <w:t>en papel o</w:t>
      </w:r>
      <w:r w:rsidRPr="00AC4AE7">
        <w:rPr>
          <w:lang w:val="es-ES_tradnl"/>
        </w:rPr>
        <w:t xml:space="preserve"> imagen para corregir errores). Este </w:t>
      </w:r>
      <w:r w:rsidR="005E5729" w:rsidRPr="00AC4AE7">
        <w:rPr>
          <w:lang w:val="es-ES_tradnl"/>
        </w:rPr>
        <w:t>puede</w:t>
      </w:r>
      <w:r w:rsidRPr="00AC4AE7">
        <w:rPr>
          <w:lang w:val="es-ES_tradnl"/>
        </w:rPr>
        <w:t xml:space="preserve"> ser un objetivo realista teniendo en cuenta, por ejemplo, que más del 98% de las solicitudes internacionales se presentan en formato</w:t>
      </w:r>
      <w:r w:rsidR="005E5729" w:rsidRPr="00AC4AE7">
        <w:rPr>
          <w:lang w:val="es-ES_tradnl"/>
        </w:rPr>
        <w:t xml:space="preserve"> de</w:t>
      </w:r>
      <w:r w:rsidRPr="00AC4AE7">
        <w:rPr>
          <w:lang w:val="es-ES_tradnl"/>
        </w:rPr>
        <w:t xml:space="preserve"> texto completo. Atendiendo a los niveles </w:t>
      </w:r>
      <w:r w:rsidR="005E5729" w:rsidRPr="00AC4AE7">
        <w:rPr>
          <w:lang w:val="es-ES_tradnl"/>
        </w:rPr>
        <w:t xml:space="preserve">de presentación </w:t>
      </w:r>
      <w:r w:rsidRPr="00AC4AE7">
        <w:rPr>
          <w:lang w:val="es-ES_tradnl"/>
        </w:rPr>
        <w:t xml:space="preserve">actuales, </w:t>
      </w:r>
      <w:r w:rsidR="005E5729" w:rsidRPr="00AC4AE7">
        <w:rPr>
          <w:lang w:val="es-ES_tradnl"/>
        </w:rPr>
        <w:t xml:space="preserve">ello </w:t>
      </w:r>
      <w:r w:rsidRPr="00AC4AE7">
        <w:rPr>
          <w:lang w:val="es-ES_tradnl"/>
        </w:rPr>
        <w:t xml:space="preserve">supondría convertir las imágenes de páginas contenidas en unas 7.000 solicitudes. Cuando se </w:t>
      </w:r>
      <w:r w:rsidR="005E5729" w:rsidRPr="00AC4AE7">
        <w:rPr>
          <w:lang w:val="es-ES_tradnl"/>
        </w:rPr>
        <w:t>alcanzase</w:t>
      </w:r>
      <w:r w:rsidRPr="00AC4AE7">
        <w:rPr>
          <w:lang w:val="es-ES_tradnl"/>
        </w:rPr>
        <w:t xml:space="preserve"> ese umbral, la Oficina Internacional seguir</w:t>
      </w:r>
      <w:r w:rsidR="009F0675" w:rsidRPr="00AC4AE7">
        <w:rPr>
          <w:lang w:val="es-ES_tradnl"/>
        </w:rPr>
        <w:t>ía produciendo un archivo de ima</w:t>
      </w:r>
      <w:r w:rsidRPr="00AC4AE7">
        <w:rPr>
          <w:lang w:val="es-ES_tradnl"/>
        </w:rPr>
        <w:t>gen TIFF de las solicitudes internacionales durante al menos cinco años más, y se haría una evaluación de las necesidades a largo plazo.</w:t>
      </w:r>
    </w:p>
    <w:p w:rsidR="00D54E49" w:rsidRPr="00AC4AE7" w:rsidRDefault="00600671" w:rsidP="00AC23FE">
      <w:pPr>
        <w:pStyle w:val="Heading2"/>
        <w:rPr>
          <w:lang w:val="es-ES_tradnl"/>
        </w:rPr>
      </w:pPr>
      <w:r w:rsidRPr="00AC4AE7">
        <w:rPr>
          <w:lang w:val="es-ES_tradnl"/>
        </w:rPr>
        <w:t>APLICACIÓN</w:t>
      </w:r>
    </w:p>
    <w:p w:rsidR="00D54E49" w:rsidRPr="00AC4AE7" w:rsidRDefault="00B6387B" w:rsidP="00AC4AE7">
      <w:pPr>
        <w:pStyle w:val="ONUMFS"/>
        <w:rPr>
          <w:lang w:val="es-ES_tradnl"/>
        </w:rPr>
      </w:pPr>
      <w:bookmarkStart w:id="8" w:name="_Ref60162128"/>
      <w:r w:rsidRPr="00AC4AE7">
        <w:rPr>
          <w:lang w:val="es-ES_tradnl"/>
        </w:rPr>
        <w:t xml:space="preserve">Si bien la Oficina Internacional y otras Oficinas de PI pondrán a disposición de los solicitantes herramientas para la presentación de solicitudes internacionales en formato de texto completo, </w:t>
      </w:r>
      <w:r w:rsidR="00600671" w:rsidRPr="00AC4AE7">
        <w:rPr>
          <w:lang w:val="es-ES_tradnl"/>
        </w:rPr>
        <w:t xml:space="preserve">a fin de aplicar las propuestas que figuran en este documento, </w:t>
      </w:r>
      <w:r w:rsidRPr="00AC4AE7">
        <w:rPr>
          <w:lang w:val="es-ES_tradnl"/>
        </w:rPr>
        <w:t>será necesario que la Oficina Internacional y las Oficinas colaboren</w:t>
      </w:r>
      <w:r w:rsidR="00600671" w:rsidRPr="00AC4AE7">
        <w:rPr>
          <w:lang w:val="es-ES_tradnl"/>
        </w:rPr>
        <w:t xml:space="preserve"> entre sí y ayuden a los solicitantes a pasar a la tramitación de formatos de </w:t>
      </w:r>
      <w:r w:rsidRPr="00AC4AE7">
        <w:rPr>
          <w:lang w:val="es-ES_tradnl"/>
        </w:rPr>
        <w:t xml:space="preserve">texto en lugar de imágenes de páginas, </w:t>
      </w:r>
      <w:r w:rsidR="00600671" w:rsidRPr="00AC4AE7">
        <w:rPr>
          <w:lang w:val="es-ES_tradnl"/>
        </w:rPr>
        <w:t xml:space="preserve">brindando </w:t>
      </w:r>
      <w:r w:rsidRPr="00AC4AE7">
        <w:rPr>
          <w:lang w:val="es-ES_tradnl"/>
        </w:rPr>
        <w:t xml:space="preserve">formación y prestando asistencia cuando sea necesario. La Oficina Internacional también proporcionará orientación, en particular, a las Oficinas receptoras que soliciten ayuda para </w:t>
      </w:r>
      <w:r w:rsidR="00600671" w:rsidRPr="00AC4AE7">
        <w:rPr>
          <w:lang w:val="es-ES_tradnl"/>
        </w:rPr>
        <w:t>tramitar</w:t>
      </w:r>
      <w:r w:rsidRPr="00AC4AE7">
        <w:rPr>
          <w:lang w:val="es-ES_tradnl"/>
        </w:rPr>
        <w:t xml:space="preserve"> solicitudes en formato de texto completo, cuando entren en vigor las propuestas </w:t>
      </w:r>
      <w:r w:rsidR="00600671" w:rsidRPr="00AC4AE7">
        <w:rPr>
          <w:lang w:val="es-ES_tradnl"/>
        </w:rPr>
        <w:t>d</w:t>
      </w:r>
      <w:r w:rsidRPr="00AC4AE7">
        <w:rPr>
          <w:lang w:val="es-ES_tradnl"/>
        </w:rPr>
        <w:t>el párrafo</w:t>
      </w:r>
      <w:r w:rsidR="008B37C6" w:rsidRPr="00AC4AE7">
        <w:rPr>
          <w:lang w:val="es-ES_tradnl"/>
        </w:rPr>
        <w:t> </w:t>
      </w:r>
      <w:r w:rsidR="008B37C6" w:rsidRPr="00AC4AE7">
        <w:rPr>
          <w:lang w:val="es-ES_tradnl"/>
        </w:rPr>
        <w:fldChar w:fldCharType="begin"/>
      </w:r>
      <w:r w:rsidR="008B37C6" w:rsidRPr="00AC4AE7">
        <w:rPr>
          <w:lang w:val="es-ES_tradnl"/>
        </w:rPr>
        <w:instrText xml:space="preserve"> REF _Ref60160828 \r \h </w:instrText>
      </w:r>
      <w:r w:rsidR="008B37C6" w:rsidRPr="00AC4AE7">
        <w:rPr>
          <w:lang w:val="es-ES_tradnl"/>
        </w:rPr>
      </w:r>
      <w:r w:rsidR="008B37C6" w:rsidRPr="00AC4AE7">
        <w:rPr>
          <w:lang w:val="es-ES_tradnl"/>
        </w:rPr>
        <w:fldChar w:fldCharType="separate"/>
      </w:r>
      <w:r w:rsidR="0069333F">
        <w:rPr>
          <w:lang w:val="es-ES_tradnl"/>
        </w:rPr>
        <w:t>13</w:t>
      </w:r>
      <w:r w:rsidR="008B37C6" w:rsidRPr="00AC4AE7">
        <w:rPr>
          <w:lang w:val="es-ES_tradnl"/>
        </w:rPr>
        <w:fldChar w:fldCharType="end"/>
      </w:r>
      <w:r w:rsidR="008B37C6" w:rsidRPr="00AC4AE7">
        <w:rPr>
          <w:lang w:val="es-ES_tradnl"/>
        </w:rPr>
        <w:t>.</w:t>
      </w:r>
      <w:bookmarkEnd w:id="8"/>
    </w:p>
    <w:p w:rsidR="00D54E49" w:rsidRPr="00AC4AE7" w:rsidRDefault="009D6401" w:rsidP="00D54E49">
      <w:pPr>
        <w:pStyle w:val="Heading1"/>
        <w:rPr>
          <w:lang w:val="es-ES_tradnl"/>
        </w:rPr>
      </w:pPr>
      <w:r w:rsidRPr="00AC4AE7">
        <w:rPr>
          <w:lang w:val="es-ES_tradnl"/>
        </w:rPr>
        <w:t>EXAMEN</w:t>
      </w:r>
      <w:r w:rsidR="00D54E49" w:rsidRPr="00AC4AE7">
        <w:rPr>
          <w:lang w:val="es-ES_tradnl"/>
        </w:rPr>
        <w:t xml:space="preserve"> POR EL GRUPO DE TRABAJO</w:t>
      </w:r>
    </w:p>
    <w:p w:rsidR="00D54E49" w:rsidRPr="00AC4AE7" w:rsidRDefault="00D54E49" w:rsidP="00AC4AE7">
      <w:pPr>
        <w:pStyle w:val="ONUMFS"/>
        <w:rPr>
          <w:lang w:val="es-ES_tradnl"/>
        </w:rPr>
      </w:pPr>
      <w:r w:rsidRPr="00AC4AE7">
        <w:rPr>
          <w:lang w:val="es-ES_tradnl"/>
        </w:rPr>
        <w:t xml:space="preserve">Se invita al Grupo de Trabajo a </w:t>
      </w:r>
      <w:r w:rsidR="009F0675" w:rsidRPr="00AC4AE7">
        <w:rPr>
          <w:lang w:val="es-ES_tradnl"/>
        </w:rPr>
        <w:t>examinar</w:t>
      </w:r>
      <w:r w:rsidRPr="00AC4AE7">
        <w:rPr>
          <w:lang w:val="es-ES_tradnl"/>
        </w:rPr>
        <w:t xml:space="preserve"> las propuestas que figuran en el párrafo</w:t>
      </w:r>
      <w:r w:rsidR="008B37C6" w:rsidRPr="00AC4AE7">
        <w:rPr>
          <w:lang w:val="es-ES_tradnl"/>
        </w:rPr>
        <w:t> </w:t>
      </w:r>
      <w:r w:rsidR="008B37C6" w:rsidRPr="00AC4AE7">
        <w:rPr>
          <w:lang w:val="es-ES_tradnl"/>
        </w:rPr>
        <w:fldChar w:fldCharType="begin"/>
      </w:r>
      <w:r w:rsidR="008B37C6" w:rsidRPr="00AC4AE7">
        <w:rPr>
          <w:lang w:val="es-ES_tradnl"/>
        </w:rPr>
        <w:instrText xml:space="preserve"> REF _Ref60160828 \r \h </w:instrText>
      </w:r>
      <w:r w:rsidR="008B37C6" w:rsidRPr="00AC4AE7">
        <w:rPr>
          <w:lang w:val="es-ES_tradnl"/>
        </w:rPr>
      </w:r>
      <w:r w:rsidR="008B37C6" w:rsidRPr="00AC4AE7">
        <w:rPr>
          <w:lang w:val="es-ES_tradnl"/>
        </w:rPr>
        <w:fldChar w:fldCharType="separate"/>
      </w:r>
      <w:r w:rsidR="0069333F">
        <w:rPr>
          <w:lang w:val="es-ES_tradnl"/>
        </w:rPr>
        <w:t>13</w:t>
      </w:r>
      <w:r w:rsidR="008B37C6" w:rsidRPr="00AC4AE7">
        <w:rPr>
          <w:lang w:val="es-ES_tradnl"/>
        </w:rPr>
        <w:fldChar w:fldCharType="end"/>
      </w:r>
      <w:r w:rsidR="008B37C6" w:rsidRPr="00AC4AE7">
        <w:rPr>
          <w:lang w:val="es-ES_tradnl"/>
        </w:rPr>
        <w:t xml:space="preserve">, </w:t>
      </w:r>
      <w:r w:rsidRPr="00AC4AE7">
        <w:rPr>
          <w:lang w:val="es-ES_tradnl"/>
        </w:rPr>
        <w:t>así como</w:t>
      </w:r>
      <w:r w:rsidR="009D6401" w:rsidRPr="00AC4AE7">
        <w:rPr>
          <w:lang w:val="es-ES_tradnl"/>
        </w:rPr>
        <w:t xml:space="preserve"> las</w:t>
      </w:r>
      <w:r w:rsidRPr="00AC4AE7">
        <w:rPr>
          <w:lang w:val="es-ES_tradnl"/>
        </w:rPr>
        <w:t xml:space="preserve"> consiguientes </w:t>
      </w:r>
      <w:r w:rsidR="009D6401" w:rsidRPr="00AC4AE7">
        <w:rPr>
          <w:lang w:val="es-ES_tradnl"/>
        </w:rPr>
        <w:t xml:space="preserve">modificaciones </w:t>
      </w:r>
      <w:r w:rsidRPr="00AC4AE7">
        <w:rPr>
          <w:lang w:val="es-ES_tradnl"/>
        </w:rPr>
        <w:t>respecto de la presentación y tramitación de solici</w:t>
      </w:r>
      <w:r w:rsidR="009D6401" w:rsidRPr="00AC4AE7">
        <w:rPr>
          <w:lang w:val="es-ES_tradnl"/>
        </w:rPr>
        <w:t>tudes internacionales contenida</w:t>
      </w:r>
      <w:r w:rsidRPr="00AC4AE7">
        <w:rPr>
          <w:lang w:val="es-ES_tradnl"/>
        </w:rPr>
        <w:t>s en los párrafos </w:t>
      </w:r>
      <w:r w:rsidRPr="00AC4AE7">
        <w:rPr>
          <w:lang w:val="es-ES_tradnl"/>
        </w:rPr>
        <w:fldChar w:fldCharType="begin"/>
      </w:r>
      <w:r w:rsidRPr="00AC4AE7">
        <w:rPr>
          <w:lang w:val="es-ES_tradnl"/>
        </w:rPr>
        <w:instrText xml:space="preserve"> REF _Ref60160828 \r \h </w:instrText>
      </w:r>
      <w:r w:rsidRPr="00AC4AE7">
        <w:rPr>
          <w:lang w:val="es-ES_tradnl"/>
        </w:rPr>
      </w:r>
      <w:r w:rsidRPr="00AC4AE7">
        <w:rPr>
          <w:lang w:val="es-ES_tradnl"/>
        </w:rPr>
        <w:fldChar w:fldCharType="separate"/>
      </w:r>
      <w:r w:rsidR="0069333F">
        <w:rPr>
          <w:lang w:val="es-ES_tradnl"/>
        </w:rPr>
        <w:t>13</w:t>
      </w:r>
      <w:r w:rsidRPr="00AC4AE7">
        <w:rPr>
          <w:lang w:val="es-ES_tradnl"/>
        </w:rPr>
        <w:fldChar w:fldCharType="end"/>
      </w:r>
      <w:r w:rsidRPr="00AC4AE7">
        <w:rPr>
          <w:lang w:val="es-ES_tradnl"/>
        </w:rPr>
        <w:t xml:space="preserve"> y</w:t>
      </w:r>
      <w:r w:rsidR="00DF26BD" w:rsidRPr="00AC4AE7">
        <w:rPr>
          <w:lang w:val="es-ES_tradnl"/>
        </w:rPr>
        <w:t xml:space="preserve"> </w:t>
      </w:r>
      <w:r w:rsidR="008B37C6" w:rsidRPr="00AC4AE7">
        <w:rPr>
          <w:lang w:val="es-ES_tradnl"/>
        </w:rPr>
        <w:fldChar w:fldCharType="begin"/>
      </w:r>
      <w:r w:rsidR="008B37C6" w:rsidRPr="00AC4AE7">
        <w:rPr>
          <w:lang w:val="es-ES_tradnl"/>
        </w:rPr>
        <w:instrText xml:space="preserve"> REF _Ref60162128 \r \h </w:instrText>
      </w:r>
      <w:r w:rsidR="008B37C6" w:rsidRPr="00AC4AE7">
        <w:rPr>
          <w:lang w:val="es-ES_tradnl"/>
        </w:rPr>
      </w:r>
      <w:r w:rsidR="008B37C6" w:rsidRPr="00AC4AE7">
        <w:rPr>
          <w:lang w:val="es-ES_tradnl"/>
        </w:rPr>
        <w:fldChar w:fldCharType="separate"/>
      </w:r>
      <w:r w:rsidR="0069333F">
        <w:rPr>
          <w:lang w:val="es-ES_tradnl"/>
        </w:rPr>
        <w:t>27</w:t>
      </w:r>
      <w:r w:rsidR="008B37C6" w:rsidRPr="00AC4AE7">
        <w:rPr>
          <w:lang w:val="es-ES_tradnl"/>
        </w:rPr>
        <w:fldChar w:fldCharType="end"/>
      </w:r>
      <w:r w:rsidR="008B37C6" w:rsidRPr="00AC4AE7">
        <w:rPr>
          <w:lang w:val="es-ES_tradnl"/>
        </w:rPr>
        <w:t>.</w:t>
      </w:r>
      <w:r w:rsidR="00DF26BD" w:rsidRPr="00AC4AE7">
        <w:rPr>
          <w:lang w:val="es-ES_tradnl"/>
        </w:rPr>
        <w:t xml:space="preserve"> </w:t>
      </w:r>
      <w:r w:rsidRPr="00AC4AE7">
        <w:rPr>
          <w:lang w:val="es-ES_tradnl"/>
        </w:rPr>
        <w:t>En particular, se invita al Grupo de Trabajo a acordar los siguientes principios para el desarrollo de los programas informáticos</w:t>
      </w:r>
      <w:r w:rsidR="009D6401" w:rsidRPr="00AC4AE7">
        <w:rPr>
          <w:lang w:val="es-ES_tradnl"/>
        </w:rPr>
        <w:t xml:space="preserve"> y los procedimientos</w:t>
      </w:r>
      <w:r w:rsidRPr="00AC4AE7">
        <w:rPr>
          <w:lang w:val="es-ES_tradnl"/>
        </w:rPr>
        <w:t>:</w:t>
      </w:r>
    </w:p>
    <w:p w:rsidR="00D54E49" w:rsidRPr="00AC4AE7" w:rsidRDefault="00BE3C27" w:rsidP="00AC4AE7">
      <w:pPr>
        <w:pStyle w:val="ONUMFS"/>
        <w:numPr>
          <w:ilvl w:val="0"/>
          <w:numId w:val="12"/>
        </w:numPr>
        <w:tabs>
          <w:tab w:val="clear" w:pos="567"/>
        </w:tabs>
        <w:ind w:left="1134" w:hanging="567"/>
        <w:rPr>
          <w:lang w:val="es-ES_tradnl"/>
        </w:rPr>
      </w:pPr>
      <w:r w:rsidRPr="00AC4AE7">
        <w:rPr>
          <w:lang w:val="es-ES_tradnl"/>
        </w:rPr>
        <w:t xml:space="preserve">en la fase internacional, cuando las solicitudes internacionales se presenten en formato de texto completo, las Oficinas y Administraciones del PCT tramitarán </w:t>
      </w:r>
      <w:r w:rsidR="009D6401" w:rsidRPr="00AC4AE7">
        <w:rPr>
          <w:lang w:val="es-ES_tradnl"/>
        </w:rPr>
        <w:t xml:space="preserve">dichas solicitudes </w:t>
      </w:r>
      <w:r w:rsidRPr="00AC4AE7">
        <w:rPr>
          <w:lang w:val="es-ES_tradnl"/>
        </w:rPr>
        <w:t>en ese mismo formato y no como imágenes de páginas;</w:t>
      </w:r>
    </w:p>
    <w:p w:rsidR="00D54E49" w:rsidRPr="00AC4AE7" w:rsidRDefault="009D6401" w:rsidP="00AC4AE7">
      <w:pPr>
        <w:pStyle w:val="ONUMFS"/>
        <w:numPr>
          <w:ilvl w:val="0"/>
          <w:numId w:val="12"/>
        </w:numPr>
        <w:tabs>
          <w:tab w:val="clear" w:pos="567"/>
        </w:tabs>
        <w:ind w:left="1134" w:hanging="567"/>
        <w:rPr>
          <w:lang w:val="es-ES_tradnl"/>
        </w:rPr>
      </w:pPr>
      <w:r w:rsidRPr="00AC4AE7">
        <w:rPr>
          <w:lang w:val="es-ES_tradnl"/>
        </w:rPr>
        <w:t>l</w:t>
      </w:r>
      <w:r w:rsidR="002D4211" w:rsidRPr="00AC4AE7">
        <w:rPr>
          <w:lang w:val="es-ES_tradnl"/>
        </w:rPr>
        <w:t xml:space="preserve">as Oficinas y las Administraciones del PCT tramitarán las solicitudes de texto completo utilizando la copia XML de la solicitud como copia oficial; no obstante, el formato DOCX (o cualquier otro formato equivalente y compatible) se reconocerá como visualización oficial de la solicitud presentada, de forma que se pueda corregir cualquier error de conversión identificado </w:t>
      </w:r>
      <w:r w:rsidRPr="00AC4AE7">
        <w:rPr>
          <w:lang w:val="es-ES_tradnl"/>
        </w:rPr>
        <w:t>en</w:t>
      </w:r>
      <w:r w:rsidR="002D4211" w:rsidRPr="00AC4AE7">
        <w:rPr>
          <w:lang w:val="es-ES_tradnl"/>
        </w:rPr>
        <w:t xml:space="preserve"> la fase internacional (y, si es posible, también </w:t>
      </w:r>
      <w:r w:rsidRPr="00AC4AE7">
        <w:rPr>
          <w:lang w:val="es-ES_tradnl"/>
        </w:rPr>
        <w:t xml:space="preserve">en </w:t>
      </w:r>
      <w:r w:rsidR="002D4211" w:rsidRPr="00AC4AE7">
        <w:rPr>
          <w:lang w:val="es-ES_tradnl"/>
        </w:rPr>
        <w:t>la fase nacional);</w:t>
      </w:r>
    </w:p>
    <w:p w:rsidR="00D54E49" w:rsidRPr="00AC4AE7" w:rsidRDefault="009D6401" w:rsidP="00AC4AE7">
      <w:pPr>
        <w:pStyle w:val="ONUMFS"/>
        <w:numPr>
          <w:ilvl w:val="0"/>
          <w:numId w:val="12"/>
        </w:numPr>
        <w:tabs>
          <w:tab w:val="clear" w:pos="567"/>
        </w:tabs>
        <w:ind w:left="1134" w:hanging="567"/>
        <w:rPr>
          <w:lang w:val="es-ES_tradnl"/>
        </w:rPr>
      </w:pPr>
      <w:r w:rsidRPr="00AC4AE7">
        <w:rPr>
          <w:lang w:val="es-ES_tradnl"/>
        </w:rPr>
        <w:t>l</w:t>
      </w:r>
      <w:r w:rsidR="002D4211" w:rsidRPr="00AC4AE7">
        <w:rPr>
          <w:lang w:val="es-ES_tradnl"/>
        </w:rPr>
        <w:t xml:space="preserve">as Oficinas y las Administraciones del PCT deben utilizar la herramienta de conversión de DOCX de referencia que pone a disposición la Oficina Internacional, o una herramienta </w:t>
      </w:r>
      <w:r w:rsidR="00E4020A" w:rsidRPr="00AC4AE7">
        <w:rPr>
          <w:lang w:val="es-ES_tradnl"/>
        </w:rPr>
        <w:t xml:space="preserve">de conversión </w:t>
      </w:r>
      <w:r w:rsidR="002D4211" w:rsidRPr="00AC4AE7">
        <w:rPr>
          <w:lang w:val="es-ES_tradnl"/>
        </w:rPr>
        <w:t xml:space="preserve">compatible con la de la Oficina Internacional, </w:t>
      </w:r>
      <w:r w:rsidR="00E4020A" w:rsidRPr="00AC4AE7">
        <w:rPr>
          <w:lang w:val="es-ES_tradnl"/>
        </w:rPr>
        <w:t>a</w:t>
      </w:r>
      <w:r w:rsidR="002D4211" w:rsidRPr="00AC4AE7">
        <w:rPr>
          <w:lang w:val="es-ES_tradnl"/>
        </w:rPr>
        <w:t xml:space="preserve"> fin de que las diferencias entre la versión presentada y las modificaciones, correcciones y rectificaciones presentadas posteriormente puedan </w:t>
      </w:r>
      <w:r w:rsidR="00B537B2" w:rsidRPr="00AC4AE7">
        <w:rPr>
          <w:lang w:val="es-ES_tradnl"/>
        </w:rPr>
        <w:t>reconocerse</w:t>
      </w:r>
      <w:r w:rsidR="002D4211" w:rsidRPr="00AC4AE7">
        <w:rPr>
          <w:lang w:val="es-ES_tradnl"/>
        </w:rPr>
        <w:t xml:space="preserve"> y marcarse con precisión;</w:t>
      </w:r>
    </w:p>
    <w:p w:rsidR="00D54E49" w:rsidRPr="00AC4AE7" w:rsidRDefault="002D4211" w:rsidP="00AC4AE7">
      <w:pPr>
        <w:pStyle w:val="ONUMFS"/>
        <w:numPr>
          <w:ilvl w:val="0"/>
          <w:numId w:val="12"/>
        </w:numPr>
        <w:tabs>
          <w:tab w:val="clear" w:pos="567"/>
        </w:tabs>
        <w:ind w:left="1134" w:hanging="567"/>
        <w:rPr>
          <w:lang w:val="es-ES_tradnl"/>
        </w:rPr>
      </w:pPr>
      <w:r w:rsidRPr="00AC4AE7">
        <w:rPr>
          <w:lang w:val="es-ES_tradnl"/>
        </w:rPr>
        <w:t>de momento, la Oficina Internacional publicará las solicitudes en formato de texto completo en ese mismo formato y de imagen, y las demás solicitudes en formato de imagen; y</w:t>
      </w:r>
    </w:p>
    <w:p w:rsidR="00D54E49" w:rsidRPr="00AC4AE7" w:rsidRDefault="002D4211" w:rsidP="00AC4AE7">
      <w:pPr>
        <w:pStyle w:val="ONUMFS"/>
        <w:numPr>
          <w:ilvl w:val="0"/>
          <w:numId w:val="12"/>
        </w:numPr>
        <w:tabs>
          <w:tab w:val="clear" w:pos="567"/>
        </w:tabs>
        <w:ind w:left="1134" w:hanging="567"/>
        <w:rPr>
          <w:lang w:val="es-ES_tradnl"/>
        </w:rPr>
      </w:pPr>
      <w:r w:rsidRPr="00AC4AE7">
        <w:rPr>
          <w:lang w:val="es-ES_tradnl"/>
        </w:rPr>
        <w:t xml:space="preserve">en última instancia, la Oficina Internacional pasará a la tramitación y publicación de todas las solicitudes en formato de texto completo, cuando </w:t>
      </w:r>
      <w:r w:rsidR="00E4020A" w:rsidRPr="00AC4AE7">
        <w:rPr>
          <w:lang w:val="es-ES_tradnl"/>
        </w:rPr>
        <w:t xml:space="preserve">se presente un porcentaje </w:t>
      </w:r>
      <w:r w:rsidRPr="00AC4AE7">
        <w:rPr>
          <w:lang w:val="es-ES_tradnl"/>
        </w:rPr>
        <w:t xml:space="preserve">suficientemente </w:t>
      </w:r>
      <w:r w:rsidR="00E4020A" w:rsidRPr="00AC4AE7">
        <w:rPr>
          <w:lang w:val="es-ES_tradnl"/>
        </w:rPr>
        <w:t>amplio</w:t>
      </w:r>
      <w:r w:rsidRPr="00AC4AE7">
        <w:rPr>
          <w:lang w:val="es-ES_tradnl"/>
        </w:rPr>
        <w:t xml:space="preserve"> de solicitudes internacionales en </w:t>
      </w:r>
      <w:r w:rsidR="00763B6D" w:rsidRPr="00AC4AE7">
        <w:rPr>
          <w:lang w:val="es-ES_tradnl"/>
        </w:rPr>
        <w:t>dicho formato</w:t>
      </w:r>
      <w:r w:rsidRPr="00AC4AE7">
        <w:rPr>
          <w:lang w:val="es-ES_tradnl"/>
        </w:rPr>
        <w:t>.</w:t>
      </w:r>
    </w:p>
    <w:p w:rsidR="00D54E49" w:rsidRPr="00AC4AE7" w:rsidRDefault="002D4211" w:rsidP="00AC4AE7">
      <w:pPr>
        <w:pStyle w:val="ONUMFS"/>
        <w:rPr>
          <w:lang w:val="es-ES_tradnl"/>
        </w:rPr>
      </w:pPr>
      <w:r w:rsidRPr="00AC4AE7">
        <w:rPr>
          <w:lang w:val="es-ES_tradnl"/>
        </w:rPr>
        <w:t xml:space="preserve">Se invita al Grupo de Trabajo a </w:t>
      </w:r>
      <w:r w:rsidR="00497322" w:rsidRPr="00AC4AE7">
        <w:rPr>
          <w:lang w:val="es-ES_tradnl"/>
        </w:rPr>
        <w:t>señ</w:t>
      </w:r>
      <w:r w:rsidR="00B537B2" w:rsidRPr="00AC4AE7">
        <w:rPr>
          <w:lang w:val="es-ES_tradnl"/>
        </w:rPr>
        <w:t>a</w:t>
      </w:r>
      <w:r w:rsidR="00497322" w:rsidRPr="00AC4AE7">
        <w:rPr>
          <w:lang w:val="es-ES_tradnl"/>
        </w:rPr>
        <w:t>lar</w:t>
      </w:r>
      <w:r w:rsidRPr="00AC4AE7">
        <w:rPr>
          <w:lang w:val="es-ES_tradnl"/>
        </w:rPr>
        <w:t xml:space="preserve"> los problemas que deban abordarse </w:t>
      </w:r>
      <w:r w:rsidR="00E4020A" w:rsidRPr="00AC4AE7">
        <w:rPr>
          <w:lang w:val="es-ES_tradnl"/>
        </w:rPr>
        <w:t>en lo que atañe a</w:t>
      </w:r>
      <w:r w:rsidRPr="00AC4AE7">
        <w:rPr>
          <w:lang w:val="es-ES_tradnl"/>
        </w:rPr>
        <w:t xml:space="preserve">l desarrollo de herramientas </w:t>
      </w:r>
      <w:r w:rsidR="00E4020A" w:rsidRPr="00AC4AE7">
        <w:rPr>
          <w:lang w:val="es-ES_tradnl"/>
        </w:rPr>
        <w:t xml:space="preserve">para la </w:t>
      </w:r>
      <w:r w:rsidRPr="00AC4AE7">
        <w:rPr>
          <w:lang w:val="es-ES_tradnl"/>
        </w:rPr>
        <w:t>conversión de</w:t>
      </w:r>
      <w:r w:rsidR="00E4020A" w:rsidRPr="00AC4AE7">
        <w:rPr>
          <w:lang w:val="es-ES_tradnl"/>
        </w:rPr>
        <w:t xml:space="preserve"> formatos </w:t>
      </w:r>
      <w:r w:rsidRPr="00AC4AE7">
        <w:rPr>
          <w:lang w:val="es-ES_tradnl"/>
        </w:rPr>
        <w:t>basado</w:t>
      </w:r>
      <w:r w:rsidR="00E4020A" w:rsidRPr="00AC4AE7">
        <w:rPr>
          <w:lang w:val="es-ES_tradnl"/>
        </w:rPr>
        <w:t>s</w:t>
      </w:r>
      <w:r w:rsidRPr="00AC4AE7">
        <w:rPr>
          <w:lang w:val="es-ES_tradnl"/>
        </w:rPr>
        <w:t xml:space="preserve"> en procesadores de texto a formatos XML simplificados y en relación con los procedimientos para el uso y la comparación de los cuerpos de las solicitudes objeto de conversión.</w:t>
      </w:r>
    </w:p>
    <w:p w:rsidR="00D54E49" w:rsidRPr="00AC4AE7" w:rsidRDefault="00B96E2E" w:rsidP="00AC4AE7">
      <w:pPr>
        <w:pStyle w:val="ONUMFS"/>
        <w:tabs>
          <w:tab w:val="clear" w:pos="567"/>
        </w:tabs>
        <w:spacing w:after="600"/>
        <w:ind w:left="5528"/>
        <w:rPr>
          <w:i/>
          <w:lang w:val="es-ES_tradnl"/>
        </w:rPr>
      </w:pPr>
      <w:r w:rsidRPr="00AC4AE7">
        <w:rPr>
          <w:i/>
          <w:lang w:val="es-ES_tradnl"/>
        </w:rPr>
        <w:t>Se invita al Grupo de Trabajo a formular comentarios sobre las propuestas que figuran en el presente documento.</w:t>
      </w:r>
    </w:p>
    <w:p w:rsidR="008E52C5" w:rsidRPr="00AC4AE7" w:rsidRDefault="00B96E2E" w:rsidP="008B37C6">
      <w:pPr>
        <w:pStyle w:val="Endofdocument-Annex"/>
        <w:rPr>
          <w:lang w:val="es-ES_tradnl"/>
        </w:rPr>
      </w:pPr>
      <w:r w:rsidRPr="00AC4AE7">
        <w:rPr>
          <w:lang w:val="es-ES_tradnl"/>
        </w:rPr>
        <w:t>[Fin del documento]</w:t>
      </w:r>
    </w:p>
    <w:sectPr w:rsidR="008E52C5" w:rsidRPr="00AC4AE7" w:rsidSect="008B37C6">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00" w:rsidRDefault="00545500">
      <w:r>
        <w:separator/>
      </w:r>
    </w:p>
  </w:endnote>
  <w:endnote w:type="continuationSeparator" w:id="0">
    <w:p w:rsidR="00545500" w:rsidRPr="009D30E6" w:rsidRDefault="00545500" w:rsidP="007E663E">
      <w:pPr>
        <w:rPr>
          <w:sz w:val="17"/>
          <w:szCs w:val="17"/>
        </w:rPr>
      </w:pPr>
      <w:r w:rsidRPr="009D30E6">
        <w:rPr>
          <w:sz w:val="17"/>
          <w:szCs w:val="17"/>
        </w:rPr>
        <w:separator/>
      </w:r>
    </w:p>
    <w:p w:rsidR="00545500" w:rsidRPr="007E663E" w:rsidRDefault="00545500" w:rsidP="007E663E">
      <w:pPr>
        <w:spacing w:after="60"/>
        <w:rPr>
          <w:sz w:val="17"/>
          <w:szCs w:val="17"/>
        </w:rPr>
      </w:pPr>
      <w:r>
        <w:rPr>
          <w:sz w:val="17"/>
        </w:rPr>
        <w:t>[Continuación de la nota de la página anterior]</w:t>
      </w:r>
    </w:p>
  </w:endnote>
  <w:endnote w:type="continuationNotice" w:id="1">
    <w:p w:rsidR="00545500" w:rsidRPr="007E663E" w:rsidRDefault="0054550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00" w:rsidRDefault="00545500">
      <w:r>
        <w:separator/>
      </w:r>
    </w:p>
  </w:footnote>
  <w:footnote w:type="continuationSeparator" w:id="0">
    <w:p w:rsidR="00545500" w:rsidRPr="009D30E6" w:rsidRDefault="00545500" w:rsidP="007E663E">
      <w:pPr>
        <w:rPr>
          <w:sz w:val="17"/>
          <w:szCs w:val="17"/>
        </w:rPr>
      </w:pPr>
      <w:r w:rsidRPr="009D30E6">
        <w:rPr>
          <w:sz w:val="17"/>
          <w:szCs w:val="17"/>
        </w:rPr>
        <w:separator/>
      </w:r>
    </w:p>
    <w:p w:rsidR="00545500" w:rsidRPr="007E663E" w:rsidRDefault="00545500" w:rsidP="007E663E">
      <w:pPr>
        <w:spacing w:after="60"/>
        <w:rPr>
          <w:sz w:val="17"/>
          <w:szCs w:val="17"/>
        </w:rPr>
      </w:pPr>
      <w:r>
        <w:rPr>
          <w:sz w:val="17"/>
        </w:rPr>
        <w:t>[Continuación de la nota de la página anterior]</w:t>
      </w:r>
    </w:p>
  </w:footnote>
  <w:footnote w:type="continuationNotice" w:id="1">
    <w:p w:rsidR="00545500" w:rsidRPr="007E663E" w:rsidRDefault="0054550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Pr="00512BA1" w:rsidRDefault="00545500" w:rsidP="00477D6B">
    <w:pPr>
      <w:jc w:val="right"/>
      <w:rPr>
        <w:caps/>
      </w:rPr>
    </w:pPr>
    <w:bookmarkStart w:id="9" w:name="Code2"/>
    <w:bookmarkEnd w:id="9"/>
    <w:r>
      <w:rPr>
        <w:caps/>
      </w:rPr>
      <w:t>PCT/WG/14/8</w:t>
    </w:r>
  </w:p>
  <w:p w:rsidR="00545500" w:rsidRDefault="00545500" w:rsidP="00477D6B">
    <w:pPr>
      <w:jc w:val="right"/>
    </w:pPr>
    <w:r>
      <w:t xml:space="preserve">página </w:t>
    </w:r>
    <w:r>
      <w:fldChar w:fldCharType="begin"/>
    </w:r>
    <w:r>
      <w:instrText xml:space="preserve"> PAGE  \* MERGEFORMAT </w:instrText>
    </w:r>
    <w:r>
      <w:fldChar w:fldCharType="separate"/>
    </w:r>
    <w:r w:rsidR="009F505A">
      <w:rPr>
        <w:noProof/>
      </w:rPr>
      <w:t>8</w:t>
    </w:r>
    <w:r>
      <w:fldChar w:fldCharType="end"/>
    </w:r>
  </w:p>
  <w:p w:rsidR="00545500" w:rsidRDefault="00545500" w:rsidP="00477D6B">
    <w:pPr>
      <w:jc w:val="right"/>
    </w:pPr>
  </w:p>
  <w:p w:rsidR="00545500" w:rsidRDefault="005455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318D2C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A1062E2"/>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E105EA"/>
    <w:multiLevelType w:val="hybridMultilevel"/>
    <w:tmpl w:val="4DF0663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B90455"/>
    <w:multiLevelType w:val="hybridMultilevel"/>
    <w:tmpl w:val="C736F7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8A901AB"/>
    <w:multiLevelType w:val="multilevel"/>
    <w:tmpl w:val="42FAC25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1EE337D"/>
    <w:multiLevelType w:val="hybridMultilevel"/>
    <w:tmpl w:val="08BE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9"/>
  </w:num>
  <w:num w:numId="9">
    <w:abstractNumId w:val="3"/>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Outreach\IP Advantage|TextBase TMs\WorkspaceSTS\Outreach\Economist|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opyright|TextBase TMs\WorkspaceSTS\Development\Dev_Agenda|TextBase TMs\WorkspaceSTS\GRTKF\G Instruments|TextBase TMs\WorkspaceSTS\GRTKF\GRTKF|TextBase TMs\WorkspaceSTS\Treaties &amp; Laws\WIPO Lex|TextBase TMs\WorkspaceSTS\UPOV\UPOV Main|TextBase TMs\WorkspaceSTS\UPOV\U Instruments|TextBase TMs\st_26 terms|Team Server TMs\Spanish"/>
    <w:docVar w:name="TextBaseURL" w:val="empty"/>
    <w:docVar w:name="UILng" w:val="en"/>
  </w:docVars>
  <w:rsids>
    <w:rsidRoot w:val="008B37C6"/>
    <w:rsid w:val="00010686"/>
    <w:rsid w:val="00052915"/>
    <w:rsid w:val="00057B5C"/>
    <w:rsid w:val="000755CC"/>
    <w:rsid w:val="00083096"/>
    <w:rsid w:val="000918A5"/>
    <w:rsid w:val="000A4A9A"/>
    <w:rsid w:val="000D18E2"/>
    <w:rsid w:val="000D711F"/>
    <w:rsid w:val="000E05BB"/>
    <w:rsid w:val="000E3BB3"/>
    <w:rsid w:val="000F5E56"/>
    <w:rsid w:val="001016F0"/>
    <w:rsid w:val="001142DF"/>
    <w:rsid w:val="001362EE"/>
    <w:rsid w:val="00141EDC"/>
    <w:rsid w:val="00152CEA"/>
    <w:rsid w:val="001832A6"/>
    <w:rsid w:val="001948A7"/>
    <w:rsid w:val="001B2444"/>
    <w:rsid w:val="001F1E9B"/>
    <w:rsid w:val="001F563E"/>
    <w:rsid w:val="0025196C"/>
    <w:rsid w:val="002634C4"/>
    <w:rsid w:val="002804B8"/>
    <w:rsid w:val="002814D5"/>
    <w:rsid w:val="00297790"/>
    <w:rsid w:val="002C2E2F"/>
    <w:rsid w:val="002D4211"/>
    <w:rsid w:val="002D7212"/>
    <w:rsid w:val="002E0F47"/>
    <w:rsid w:val="002F4E68"/>
    <w:rsid w:val="00310826"/>
    <w:rsid w:val="00354647"/>
    <w:rsid w:val="00360F61"/>
    <w:rsid w:val="0036383D"/>
    <w:rsid w:val="0037287C"/>
    <w:rsid w:val="00377273"/>
    <w:rsid w:val="003845C1"/>
    <w:rsid w:val="00387287"/>
    <w:rsid w:val="00396664"/>
    <w:rsid w:val="003E48F1"/>
    <w:rsid w:val="003F347A"/>
    <w:rsid w:val="003F6B9C"/>
    <w:rsid w:val="00401469"/>
    <w:rsid w:val="0041411D"/>
    <w:rsid w:val="00422AE7"/>
    <w:rsid w:val="00423E3E"/>
    <w:rsid w:val="00427AF4"/>
    <w:rsid w:val="00440BB6"/>
    <w:rsid w:val="0045231F"/>
    <w:rsid w:val="004647DA"/>
    <w:rsid w:val="0046793F"/>
    <w:rsid w:val="00472A6E"/>
    <w:rsid w:val="00477808"/>
    <w:rsid w:val="00477B7A"/>
    <w:rsid w:val="00477D6B"/>
    <w:rsid w:val="004819AE"/>
    <w:rsid w:val="00487969"/>
    <w:rsid w:val="00497322"/>
    <w:rsid w:val="004A6C37"/>
    <w:rsid w:val="004D6C06"/>
    <w:rsid w:val="004E09FA"/>
    <w:rsid w:val="004E297D"/>
    <w:rsid w:val="004E5826"/>
    <w:rsid w:val="00512BA1"/>
    <w:rsid w:val="00531B02"/>
    <w:rsid w:val="005332F0"/>
    <w:rsid w:val="00545500"/>
    <w:rsid w:val="0055013B"/>
    <w:rsid w:val="00571B99"/>
    <w:rsid w:val="005751C2"/>
    <w:rsid w:val="005B31F0"/>
    <w:rsid w:val="005C4CA7"/>
    <w:rsid w:val="005E5729"/>
    <w:rsid w:val="00600671"/>
    <w:rsid w:val="00605827"/>
    <w:rsid w:val="00613865"/>
    <w:rsid w:val="00675021"/>
    <w:rsid w:val="0069333F"/>
    <w:rsid w:val="006A044C"/>
    <w:rsid w:val="006A06C6"/>
    <w:rsid w:val="006B67B9"/>
    <w:rsid w:val="007015BA"/>
    <w:rsid w:val="00712BE0"/>
    <w:rsid w:val="007224C8"/>
    <w:rsid w:val="00763B6D"/>
    <w:rsid w:val="00772440"/>
    <w:rsid w:val="00794BE2"/>
    <w:rsid w:val="007A5581"/>
    <w:rsid w:val="007B71FE"/>
    <w:rsid w:val="007C6916"/>
    <w:rsid w:val="007D781E"/>
    <w:rsid w:val="007E663E"/>
    <w:rsid w:val="00815082"/>
    <w:rsid w:val="00851107"/>
    <w:rsid w:val="00856A54"/>
    <w:rsid w:val="0086367A"/>
    <w:rsid w:val="00880719"/>
    <w:rsid w:val="0088395E"/>
    <w:rsid w:val="0089438B"/>
    <w:rsid w:val="00897511"/>
    <w:rsid w:val="008B2CC1"/>
    <w:rsid w:val="008B37C6"/>
    <w:rsid w:val="008C2A03"/>
    <w:rsid w:val="008E1DA3"/>
    <w:rsid w:val="008E52C5"/>
    <w:rsid w:val="008E6BD6"/>
    <w:rsid w:val="0090731E"/>
    <w:rsid w:val="009078B1"/>
    <w:rsid w:val="0092016A"/>
    <w:rsid w:val="00927B68"/>
    <w:rsid w:val="00966A22"/>
    <w:rsid w:val="00972F03"/>
    <w:rsid w:val="009779D1"/>
    <w:rsid w:val="0098367F"/>
    <w:rsid w:val="009A0C8B"/>
    <w:rsid w:val="009A20CD"/>
    <w:rsid w:val="009B6241"/>
    <w:rsid w:val="009C0962"/>
    <w:rsid w:val="009D6401"/>
    <w:rsid w:val="009E0EEC"/>
    <w:rsid w:val="009F0675"/>
    <w:rsid w:val="009F0F48"/>
    <w:rsid w:val="009F505A"/>
    <w:rsid w:val="00A00F85"/>
    <w:rsid w:val="00A11500"/>
    <w:rsid w:val="00A140B7"/>
    <w:rsid w:val="00A16FC0"/>
    <w:rsid w:val="00A32C9E"/>
    <w:rsid w:val="00A6622A"/>
    <w:rsid w:val="00A97F1E"/>
    <w:rsid w:val="00AA4B58"/>
    <w:rsid w:val="00AB613D"/>
    <w:rsid w:val="00AC23FE"/>
    <w:rsid w:val="00AC4AE7"/>
    <w:rsid w:val="00AE7F20"/>
    <w:rsid w:val="00B03202"/>
    <w:rsid w:val="00B05C2C"/>
    <w:rsid w:val="00B534D5"/>
    <w:rsid w:val="00B537B2"/>
    <w:rsid w:val="00B6387B"/>
    <w:rsid w:val="00B65A0A"/>
    <w:rsid w:val="00B67CDC"/>
    <w:rsid w:val="00B72D36"/>
    <w:rsid w:val="00B756FA"/>
    <w:rsid w:val="00B96E2E"/>
    <w:rsid w:val="00BA0172"/>
    <w:rsid w:val="00BA46D3"/>
    <w:rsid w:val="00BB68F0"/>
    <w:rsid w:val="00BC4164"/>
    <w:rsid w:val="00BD2DCC"/>
    <w:rsid w:val="00BE3C27"/>
    <w:rsid w:val="00BE591A"/>
    <w:rsid w:val="00BF1C31"/>
    <w:rsid w:val="00BF39E3"/>
    <w:rsid w:val="00C37A8D"/>
    <w:rsid w:val="00C648F6"/>
    <w:rsid w:val="00C90559"/>
    <w:rsid w:val="00CA0500"/>
    <w:rsid w:val="00CA0B9F"/>
    <w:rsid w:val="00CA2251"/>
    <w:rsid w:val="00CC1F56"/>
    <w:rsid w:val="00CD10C9"/>
    <w:rsid w:val="00CE1F05"/>
    <w:rsid w:val="00D212B0"/>
    <w:rsid w:val="00D36778"/>
    <w:rsid w:val="00D43B4D"/>
    <w:rsid w:val="00D54E49"/>
    <w:rsid w:val="00D56C7C"/>
    <w:rsid w:val="00D67CBB"/>
    <w:rsid w:val="00D71B4D"/>
    <w:rsid w:val="00D74C5A"/>
    <w:rsid w:val="00D857DA"/>
    <w:rsid w:val="00D90289"/>
    <w:rsid w:val="00D920F2"/>
    <w:rsid w:val="00D93D55"/>
    <w:rsid w:val="00DB6A4F"/>
    <w:rsid w:val="00DC4BB8"/>
    <w:rsid w:val="00DC4C60"/>
    <w:rsid w:val="00DC6B8D"/>
    <w:rsid w:val="00DD6CF4"/>
    <w:rsid w:val="00DF26BD"/>
    <w:rsid w:val="00E0079A"/>
    <w:rsid w:val="00E30E56"/>
    <w:rsid w:val="00E4020A"/>
    <w:rsid w:val="00E424D9"/>
    <w:rsid w:val="00E444DA"/>
    <w:rsid w:val="00E45C84"/>
    <w:rsid w:val="00E504E5"/>
    <w:rsid w:val="00E54EB2"/>
    <w:rsid w:val="00EB7A3E"/>
    <w:rsid w:val="00EC1AA7"/>
    <w:rsid w:val="00EC401A"/>
    <w:rsid w:val="00EF530A"/>
    <w:rsid w:val="00EF6622"/>
    <w:rsid w:val="00EF78A9"/>
    <w:rsid w:val="00F30638"/>
    <w:rsid w:val="00F474D1"/>
    <w:rsid w:val="00F55408"/>
    <w:rsid w:val="00F66152"/>
    <w:rsid w:val="00F76D60"/>
    <w:rsid w:val="00F80845"/>
    <w:rsid w:val="00F84474"/>
    <w:rsid w:val="00F85931"/>
    <w:rsid w:val="00F859D0"/>
    <w:rsid w:val="00FA0F0D"/>
    <w:rsid w:val="00FD59D1"/>
    <w:rsid w:val="00FE5F14"/>
    <w:rsid w:val="00FE7116"/>
    <w:rsid w:val="00FF19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D8BC5BD-A148-4314-A7E3-EA813614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8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8114C-6C8E-44EE-936F-6A3CF9D3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0</TotalTime>
  <Pages>8</Pages>
  <Words>4145</Words>
  <Characters>22808</Characters>
  <Application>Microsoft Office Word</Application>
  <DocSecurity>0</DocSecurity>
  <Lines>390</Lines>
  <Paragraphs>116</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MATEOS CLERIGUÉ Roberto</dc:creator>
  <cp:keywords>FOR OFFICIAL USE ONLY</cp:keywords>
  <cp:lastModifiedBy>SHOUSHA Sally</cp:lastModifiedBy>
  <cp:revision>2</cp:revision>
  <dcterms:created xsi:type="dcterms:W3CDTF">2021-05-25T13:34:00Z</dcterms:created>
  <dcterms:modified xsi:type="dcterms:W3CDTF">2021-05-25T13:34:00Z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