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49C" w:rsidRPr="00A02395" w:rsidRDefault="00472A6E" w:rsidP="000F2A2A">
      <w:pPr>
        <w:pBdr>
          <w:bottom w:val="single" w:sz="4" w:space="10" w:color="auto"/>
        </w:pBdr>
        <w:spacing w:after="120"/>
        <w:ind w:right="-57"/>
        <w:jc w:val="right"/>
        <w:rPr>
          <w:lang w:val="es-419"/>
        </w:rPr>
      </w:pPr>
      <w:bookmarkStart w:id="0" w:name="_GoBack"/>
      <w:bookmarkEnd w:id="0"/>
      <w:r w:rsidRPr="00A02395">
        <w:rPr>
          <w:noProof/>
          <w:lang w:val="fr-CH" w:eastAsia="fr-C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0D149C" w:rsidRPr="00A02395" w:rsidRDefault="000F2A2A" w:rsidP="00472A6E">
      <w:pPr>
        <w:jc w:val="right"/>
        <w:rPr>
          <w:rFonts w:ascii="Arial Black" w:hAnsi="Arial Black"/>
          <w:caps/>
          <w:sz w:val="15"/>
          <w:lang w:val="es-419"/>
        </w:rPr>
      </w:pPr>
      <w:r w:rsidRPr="00A02395">
        <w:rPr>
          <w:rFonts w:ascii="Arial Black" w:hAnsi="Arial Black"/>
          <w:caps/>
          <w:sz w:val="15"/>
          <w:lang w:val="es-419"/>
        </w:rPr>
        <w:t>PCT/WG/</w:t>
      </w:r>
      <w:r w:rsidR="000D149C" w:rsidRPr="00A02395">
        <w:rPr>
          <w:rFonts w:ascii="Arial Black" w:hAnsi="Arial Black"/>
          <w:caps/>
          <w:sz w:val="15"/>
          <w:lang w:val="es-419"/>
        </w:rPr>
        <w:t>16</w:t>
      </w:r>
      <w:r w:rsidRPr="00A02395">
        <w:rPr>
          <w:rFonts w:ascii="Arial Black" w:hAnsi="Arial Black"/>
          <w:caps/>
          <w:sz w:val="15"/>
          <w:lang w:val="es-419"/>
        </w:rPr>
        <w:t>/</w:t>
      </w:r>
      <w:bookmarkStart w:id="1" w:name="Code"/>
      <w:bookmarkEnd w:id="1"/>
      <w:r w:rsidR="000D149C" w:rsidRPr="00A02395">
        <w:rPr>
          <w:rFonts w:ascii="Arial Black" w:hAnsi="Arial Black"/>
          <w:caps/>
          <w:sz w:val="15"/>
          <w:lang w:val="es-419"/>
        </w:rPr>
        <w:t>2</w:t>
      </w:r>
    </w:p>
    <w:p w:rsidR="000D149C" w:rsidRPr="00A02395" w:rsidRDefault="00472A6E" w:rsidP="00472A6E">
      <w:pPr>
        <w:jc w:val="right"/>
        <w:rPr>
          <w:lang w:val="es-419"/>
        </w:rPr>
      </w:pPr>
      <w:r w:rsidRPr="00A02395">
        <w:rPr>
          <w:rFonts w:ascii="Arial Black" w:hAnsi="Arial Black"/>
          <w:caps/>
          <w:sz w:val="15"/>
          <w:lang w:val="es-419"/>
        </w:rPr>
        <w:t xml:space="preserve">ORIGINAL: </w:t>
      </w:r>
      <w:bookmarkStart w:id="2" w:name="Original"/>
      <w:r w:rsidR="000D149C" w:rsidRPr="00A02395">
        <w:rPr>
          <w:rFonts w:ascii="Arial Black" w:hAnsi="Arial Black"/>
          <w:caps/>
          <w:sz w:val="15"/>
          <w:lang w:val="es-419"/>
        </w:rPr>
        <w:t>inglés</w:t>
      </w:r>
    </w:p>
    <w:bookmarkEnd w:id="2"/>
    <w:p w:rsidR="000D149C" w:rsidRPr="00A02395" w:rsidRDefault="00472A6E" w:rsidP="00472A6E">
      <w:pPr>
        <w:spacing w:after="1200"/>
        <w:jc w:val="right"/>
        <w:rPr>
          <w:lang w:val="es-419"/>
        </w:rPr>
      </w:pPr>
      <w:r w:rsidRPr="00A02395">
        <w:rPr>
          <w:rFonts w:ascii="Arial Black" w:hAnsi="Arial Black"/>
          <w:caps/>
          <w:sz w:val="15"/>
          <w:lang w:val="es-419"/>
        </w:rPr>
        <w:t xml:space="preserve">fecha: </w:t>
      </w:r>
      <w:bookmarkStart w:id="3" w:name="Date"/>
      <w:r w:rsidR="000D149C" w:rsidRPr="00A02395">
        <w:rPr>
          <w:rFonts w:ascii="Arial Black" w:hAnsi="Arial Black"/>
          <w:caps/>
          <w:sz w:val="15"/>
          <w:lang w:val="es-419"/>
        </w:rPr>
        <w:t>15 de diciembre de 2022</w:t>
      </w:r>
    </w:p>
    <w:bookmarkEnd w:id="3"/>
    <w:p w:rsidR="000D149C" w:rsidRPr="00A02395" w:rsidRDefault="000F2A2A" w:rsidP="00472A6E">
      <w:pPr>
        <w:pStyle w:val="Heading1"/>
        <w:spacing w:before="0" w:after="480"/>
        <w:rPr>
          <w:sz w:val="28"/>
          <w:lang w:val="es-419"/>
        </w:rPr>
      </w:pPr>
      <w:r w:rsidRPr="00A02395">
        <w:rPr>
          <w:caps w:val="0"/>
          <w:sz w:val="28"/>
          <w:szCs w:val="28"/>
          <w:lang w:val="es-419"/>
        </w:rPr>
        <w:t>Grupo de Trabajo del Tratado de Cooperación en materia de Patentes (PCT)</w:t>
      </w:r>
      <w:r w:rsidR="00B67CDC" w:rsidRPr="00A02395">
        <w:rPr>
          <w:sz w:val="28"/>
          <w:lang w:val="es-419"/>
        </w:rPr>
        <w:t xml:space="preserve"> </w:t>
      </w:r>
    </w:p>
    <w:p w:rsidR="000D149C" w:rsidRPr="00A02395" w:rsidRDefault="000F2A2A" w:rsidP="005B2EAE">
      <w:pPr>
        <w:outlineLvl w:val="1"/>
        <w:rPr>
          <w:b/>
          <w:sz w:val="24"/>
          <w:szCs w:val="24"/>
          <w:lang w:val="es-419"/>
        </w:rPr>
      </w:pPr>
      <w:r w:rsidRPr="00A02395">
        <w:rPr>
          <w:b/>
          <w:sz w:val="24"/>
          <w:szCs w:val="24"/>
          <w:lang w:val="es-419"/>
        </w:rPr>
        <w:t>Decimo</w:t>
      </w:r>
      <w:r w:rsidR="000D149C" w:rsidRPr="00A02395">
        <w:rPr>
          <w:b/>
          <w:sz w:val="24"/>
          <w:szCs w:val="24"/>
          <w:lang w:val="es-419"/>
        </w:rPr>
        <w:t>sexta</w:t>
      </w:r>
      <w:r w:rsidRPr="00A02395">
        <w:rPr>
          <w:b/>
          <w:sz w:val="24"/>
          <w:szCs w:val="24"/>
          <w:lang w:val="es-419"/>
        </w:rPr>
        <w:t xml:space="preserve"> reunión</w:t>
      </w:r>
    </w:p>
    <w:p w:rsidR="000D149C" w:rsidRPr="00A02395" w:rsidRDefault="000F2A2A" w:rsidP="00472A6E">
      <w:pPr>
        <w:spacing w:after="720"/>
        <w:outlineLvl w:val="1"/>
        <w:rPr>
          <w:b/>
          <w:sz w:val="24"/>
          <w:szCs w:val="24"/>
          <w:lang w:val="es-419"/>
        </w:rPr>
      </w:pPr>
      <w:r w:rsidRPr="00A02395">
        <w:rPr>
          <w:b/>
          <w:sz w:val="24"/>
          <w:szCs w:val="24"/>
          <w:lang w:val="es-419"/>
        </w:rPr>
        <w:t xml:space="preserve">Ginebra, </w:t>
      </w:r>
      <w:r w:rsidR="000D149C" w:rsidRPr="00A02395">
        <w:rPr>
          <w:b/>
          <w:sz w:val="24"/>
          <w:szCs w:val="24"/>
          <w:lang w:val="es-419"/>
        </w:rPr>
        <w:t>6 y 7 de febrero de 2023</w:t>
      </w:r>
    </w:p>
    <w:p w:rsidR="000D149C" w:rsidRPr="00A02395" w:rsidRDefault="000D149C" w:rsidP="00472A6E">
      <w:pPr>
        <w:spacing w:after="360"/>
        <w:rPr>
          <w:caps/>
          <w:sz w:val="24"/>
          <w:lang w:val="es-419"/>
        </w:rPr>
      </w:pPr>
      <w:bookmarkStart w:id="4" w:name="TitleOfDoc"/>
      <w:r w:rsidRPr="00A02395">
        <w:rPr>
          <w:caps/>
          <w:sz w:val="24"/>
          <w:lang w:val="es-419"/>
        </w:rPr>
        <w:t>IDIOMAS DE COMUNICACIÓN PARA LA OFICINA INTERNACIONAL</w:t>
      </w:r>
    </w:p>
    <w:p w:rsidR="000D149C" w:rsidRPr="00A02395" w:rsidRDefault="000D149C" w:rsidP="00472A6E">
      <w:pPr>
        <w:spacing w:after="1040"/>
        <w:rPr>
          <w:i/>
          <w:lang w:val="es-419"/>
        </w:rPr>
      </w:pPr>
      <w:bookmarkStart w:id="5" w:name="Prepared"/>
      <w:bookmarkEnd w:id="4"/>
      <w:bookmarkEnd w:id="5"/>
      <w:r w:rsidRPr="00A02395">
        <w:rPr>
          <w:i/>
          <w:lang w:val="es-419"/>
        </w:rPr>
        <w:t>Documento preparado por la Oficina Internacional</w:t>
      </w:r>
    </w:p>
    <w:p w:rsidR="000D149C" w:rsidRPr="00A02395" w:rsidRDefault="000D149C" w:rsidP="000D149C">
      <w:pPr>
        <w:pStyle w:val="Heading1"/>
        <w:rPr>
          <w:lang w:val="es-419"/>
        </w:rPr>
      </w:pPr>
      <w:r w:rsidRPr="00A02395">
        <w:rPr>
          <w:lang w:val="es-419"/>
        </w:rPr>
        <w:t>RESUMEN</w:t>
      </w:r>
    </w:p>
    <w:p w:rsidR="000D149C" w:rsidRPr="00A02395" w:rsidRDefault="000D149C" w:rsidP="0008503D">
      <w:pPr>
        <w:pStyle w:val="ONUMFS"/>
        <w:rPr>
          <w:lang w:val="es-419"/>
        </w:rPr>
      </w:pPr>
      <w:r w:rsidRPr="00A02395">
        <w:rPr>
          <w:lang w:val="es-419"/>
        </w:rPr>
        <w:t xml:space="preserve">La Oficina Internacional desea mejorar sus servicios </w:t>
      </w:r>
      <w:r w:rsidR="00972A71" w:rsidRPr="00A02395">
        <w:rPr>
          <w:lang w:val="es-419"/>
        </w:rPr>
        <w:t xml:space="preserve">ampliando </w:t>
      </w:r>
      <w:r w:rsidR="001E2E96" w:rsidRPr="00A02395">
        <w:rPr>
          <w:lang w:val="es-419"/>
        </w:rPr>
        <w:t>el número</w:t>
      </w:r>
      <w:r w:rsidR="00972A71" w:rsidRPr="00A02395">
        <w:rPr>
          <w:lang w:val="es-419"/>
        </w:rPr>
        <w:t xml:space="preserve"> de</w:t>
      </w:r>
      <w:r w:rsidRPr="00A02395">
        <w:rPr>
          <w:lang w:val="es-419"/>
        </w:rPr>
        <w:t xml:space="preserve"> idiomas de comunicación con los solicita</w:t>
      </w:r>
      <w:r w:rsidR="00972A71" w:rsidRPr="00A02395">
        <w:rPr>
          <w:lang w:val="es-419"/>
        </w:rPr>
        <w:t xml:space="preserve">ntes y las Oficinas nacionales a </w:t>
      </w:r>
      <w:r w:rsidRPr="00A02395">
        <w:rPr>
          <w:lang w:val="es-419"/>
        </w:rPr>
        <w:t xml:space="preserve">cualquiera de los diez idiomas de publicación internacional, en lugar de únicamente el inglés o el francés como </w:t>
      </w:r>
      <w:r w:rsidR="00972A71" w:rsidRPr="00A02395">
        <w:rPr>
          <w:lang w:val="es-419"/>
        </w:rPr>
        <w:t>ha sido el caso hasta el momento</w:t>
      </w:r>
      <w:r w:rsidRPr="00A02395">
        <w:rPr>
          <w:lang w:val="es-419"/>
        </w:rPr>
        <w:t>.</w:t>
      </w:r>
    </w:p>
    <w:p w:rsidR="000D149C" w:rsidRPr="00A02395" w:rsidRDefault="005C34F6" w:rsidP="0008503D">
      <w:pPr>
        <w:pStyle w:val="ONUMFS"/>
        <w:rPr>
          <w:lang w:val="es-419"/>
        </w:rPr>
      </w:pPr>
      <w:r w:rsidRPr="00A02395">
        <w:rPr>
          <w:lang w:val="es-419"/>
        </w:rPr>
        <w:t>Con tal fin será necesario desarrollar</w:t>
      </w:r>
      <w:r w:rsidR="000D149C" w:rsidRPr="00A02395">
        <w:rPr>
          <w:lang w:val="es-419"/>
        </w:rPr>
        <w:t xml:space="preserve"> nuevos sistemas de TI y </w:t>
      </w:r>
      <w:r w:rsidRPr="00A02395">
        <w:rPr>
          <w:lang w:val="es-419"/>
        </w:rPr>
        <w:t>transformar</w:t>
      </w:r>
      <w:r w:rsidR="000D149C" w:rsidRPr="00A02395">
        <w:rPr>
          <w:lang w:val="es-419"/>
        </w:rPr>
        <w:t xml:space="preserve"> la distribución de las competencias lingüísticas en la Oficina Internacional.</w:t>
      </w:r>
      <w:r w:rsidR="00972A71" w:rsidRPr="00A02395">
        <w:rPr>
          <w:lang w:val="es-419"/>
        </w:rPr>
        <w:t xml:space="preserve"> Por lo tanto</w:t>
      </w:r>
      <w:r w:rsidR="000D149C" w:rsidRPr="00A02395">
        <w:rPr>
          <w:lang w:val="es-419"/>
        </w:rPr>
        <w:t xml:space="preserve">, no se trata de algo que pueda lograrse </w:t>
      </w:r>
      <w:r w:rsidR="00972A71" w:rsidRPr="00A02395">
        <w:rPr>
          <w:lang w:val="es-419"/>
        </w:rPr>
        <w:t>por medio de</w:t>
      </w:r>
      <w:r w:rsidR="000D149C" w:rsidRPr="00A02395">
        <w:rPr>
          <w:lang w:val="es-419"/>
        </w:rPr>
        <w:t xml:space="preserve"> una única medida.</w:t>
      </w:r>
      <w:r w:rsidR="00972A71" w:rsidRPr="00A02395">
        <w:rPr>
          <w:lang w:val="es-419"/>
        </w:rPr>
        <w:t xml:space="preserve"> </w:t>
      </w:r>
      <w:r w:rsidR="000D149C" w:rsidRPr="00A02395">
        <w:rPr>
          <w:lang w:val="es-419"/>
        </w:rPr>
        <w:t xml:space="preserve">Se propone modificar la Regla 92.2.e) de forma semejante a una modificación anterior de la Regla 92.2.d), lo que permitirá que la ampliación de los idiomas utilizados para las cartas y las notificaciones que se envíen al solicitante y a cualquier Oficina nacional se rija por la modificación de las Instrucciones Administrativas. De ese modo, la Oficina Internacional podrá ampliar el número de idiomas disponibles a un ritmo razonable y centrarse en primer lugar en los ámbitos </w:t>
      </w:r>
      <w:r w:rsidR="00972A71" w:rsidRPr="00A02395">
        <w:rPr>
          <w:lang w:val="es-419"/>
        </w:rPr>
        <w:t>que presenten menor dificultad</w:t>
      </w:r>
      <w:r w:rsidR="000D149C" w:rsidRPr="00A02395">
        <w:rPr>
          <w:lang w:val="es-419"/>
        </w:rPr>
        <w:t xml:space="preserve"> y en los </w:t>
      </w:r>
      <w:r w:rsidR="00972A71" w:rsidRPr="00A02395">
        <w:rPr>
          <w:lang w:val="es-419"/>
        </w:rPr>
        <w:t>que generen</w:t>
      </w:r>
      <w:r w:rsidR="000D149C" w:rsidRPr="00A02395">
        <w:rPr>
          <w:lang w:val="es-419"/>
        </w:rPr>
        <w:t xml:space="preserve"> mayor valor.</w:t>
      </w:r>
    </w:p>
    <w:p w:rsidR="000D149C" w:rsidRPr="00A02395" w:rsidRDefault="000D149C" w:rsidP="000D149C">
      <w:pPr>
        <w:pStyle w:val="Heading1"/>
        <w:rPr>
          <w:lang w:val="es-419"/>
        </w:rPr>
      </w:pPr>
      <w:r w:rsidRPr="00A02395">
        <w:rPr>
          <w:lang w:val="es-419"/>
        </w:rPr>
        <w:t>ANTECEDENTES</w:t>
      </w:r>
    </w:p>
    <w:p w:rsidR="000D149C" w:rsidRPr="00A02395" w:rsidRDefault="000D149C" w:rsidP="0008503D">
      <w:pPr>
        <w:pStyle w:val="ONUMFS"/>
        <w:rPr>
          <w:lang w:val="es-419"/>
        </w:rPr>
      </w:pPr>
      <w:r w:rsidRPr="00A02395">
        <w:rPr>
          <w:lang w:val="es-419"/>
        </w:rPr>
        <w:t xml:space="preserve">La Regla 92.2.d) fue modificada, con efecto a partir del 1 de julio de 2016, a fin de </w:t>
      </w:r>
      <w:r w:rsidR="005C34F6" w:rsidRPr="00A02395">
        <w:rPr>
          <w:lang w:val="es-419"/>
        </w:rPr>
        <w:t>contemplar</w:t>
      </w:r>
      <w:r w:rsidRPr="00A02395">
        <w:rPr>
          <w:lang w:val="es-419"/>
        </w:rPr>
        <w:t xml:space="preserve"> la posibilidad de </w:t>
      </w:r>
      <w:r w:rsidR="00972A71" w:rsidRPr="00A02395">
        <w:rPr>
          <w:lang w:val="es-419"/>
        </w:rPr>
        <w:t>ampliar</w:t>
      </w:r>
      <w:r w:rsidRPr="00A02395">
        <w:rPr>
          <w:lang w:val="es-419"/>
        </w:rPr>
        <w:t xml:space="preserve"> el número de idiomas en los que el solicitante puede dirigirse por escrito a la Oficina Internacional, además del inglés y el francés, a otros </w:t>
      </w:r>
      <w:r w:rsidR="00E64D37" w:rsidRPr="00A02395">
        <w:rPr>
          <w:lang w:val="es-419"/>
        </w:rPr>
        <w:t xml:space="preserve">idiomas de publicación del PCT permitidos </w:t>
      </w:r>
      <w:r w:rsidRPr="00A02395">
        <w:rPr>
          <w:lang w:val="es-419"/>
        </w:rPr>
        <w:t>en las Instrucciones Administrativas.</w:t>
      </w:r>
      <w:r w:rsidR="00E64D37" w:rsidRPr="00A02395">
        <w:rPr>
          <w:lang w:val="es-419"/>
        </w:rPr>
        <w:t xml:space="preserve"> </w:t>
      </w:r>
      <w:r w:rsidRPr="00A02395">
        <w:rPr>
          <w:lang w:val="es-419"/>
        </w:rPr>
        <w:t xml:space="preserve">Desde esa fecha, la Instrucción 104.c) de las Instrucciones Administrativas contempla la posibilidad de que los solicitantes envíen comunicaciones a la Oficina Internacional en inglés, francés o en el idioma </w:t>
      </w:r>
      <w:r w:rsidRPr="00A02395">
        <w:rPr>
          <w:lang w:val="es-419"/>
        </w:rPr>
        <w:lastRenderedPageBreak/>
        <w:t>de publicación si se utiliza el ePCT a tal efecto.</w:t>
      </w:r>
      <w:r w:rsidR="001B3BA3" w:rsidRPr="00A02395">
        <w:rPr>
          <w:lang w:val="es-419"/>
        </w:rPr>
        <w:t xml:space="preserve"> </w:t>
      </w:r>
      <w:r w:rsidRPr="00A02395">
        <w:rPr>
          <w:lang w:val="es-419"/>
        </w:rPr>
        <w:t xml:space="preserve">Asimismo, en dicha disposición se prevé que el </w:t>
      </w:r>
      <w:r w:rsidR="005C34F6" w:rsidRPr="00A02395">
        <w:rPr>
          <w:lang w:val="es-419"/>
        </w:rPr>
        <w:t>d</w:t>
      </w:r>
      <w:r w:rsidRPr="00A02395">
        <w:rPr>
          <w:lang w:val="es-419"/>
        </w:rPr>
        <w:t xml:space="preserve">irector </w:t>
      </w:r>
      <w:r w:rsidR="005C34F6" w:rsidRPr="00A02395">
        <w:rPr>
          <w:lang w:val="es-419"/>
        </w:rPr>
        <w:t>g</w:t>
      </w:r>
      <w:r w:rsidRPr="00A02395">
        <w:rPr>
          <w:lang w:val="es-419"/>
        </w:rPr>
        <w:t>eneral pueda decidir hacer extensivo el uso de los idiomas de correspondencia a los solicitantes que utilicen otros medios de comunicación, o añadir idiomas a los permitidos respecto de una solicitud internacional determinada.</w:t>
      </w:r>
    </w:p>
    <w:p w:rsidR="000D149C" w:rsidRPr="00A02395" w:rsidRDefault="000D149C" w:rsidP="0008503D">
      <w:pPr>
        <w:pStyle w:val="ONUMFS"/>
        <w:rPr>
          <w:lang w:val="es-419"/>
        </w:rPr>
      </w:pPr>
      <w:r w:rsidRPr="00A02395">
        <w:rPr>
          <w:lang w:val="es-419"/>
        </w:rPr>
        <w:t xml:space="preserve">En la actualidad, la Regla 92.2.e) exige que la Oficina Internacional responda a los solicitantes o a cualquier Oficina nacional en inglés o francés, aunque algunas comunicaciones </w:t>
      </w:r>
      <w:r w:rsidR="0058564E" w:rsidRPr="00A02395">
        <w:rPr>
          <w:lang w:val="es-419"/>
        </w:rPr>
        <w:t>oficiosas</w:t>
      </w:r>
      <w:r w:rsidRPr="00A02395">
        <w:rPr>
          <w:lang w:val="es-419"/>
        </w:rPr>
        <w:t xml:space="preserve"> se realizan, en la práctica, en otros idiomas que tanto el examinador de forma de la Oficina Internacional como el destinatario dominen.</w:t>
      </w:r>
    </w:p>
    <w:p w:rsidR="000D149C" w:rsidRPr="00A02395" w:rsidRDefault="000D149C" w:rsidP="0008503D">
      <w:pPr>
        <w:pStyle w:val="ONUMFS"/>
        <w:rPr>
          <w:lang w:val="es-419"/>
        </w:rPr>
      </w:pPr>
      <w:r w:rsidRPr="00A02395">
        <w:rPr>
          <w:lang w:val="es-419"/>
        </w:rPr>
        <w:t>La Oficina Internacional cuenta con personal capaz de trabajar con todos los idiomas de publicación y busca ampliar su capacidad a diferente</w:t>
      </w:r>
      <w:r w:rsidR="0058564E" w:rsidRPr="00A02395">
        <w:rPr>
          <w:lang w:val="es-419"/>
        </w:rPr>
        <w:t>s idiomas, teniendo en cuenta los cambios en la</w:t>
      </w:r>
      <w:r w:rsidRPr="00A02395">
        <w:rPr>
          <w:lang w:val="es-419"/>
        </w:rPr>
        <w:t xml:space="preserve"> distribución de los idiomas en las solicitudes internacionales.</w:t>
      </w:r>
      <w:r w:rsidR="00E64D37" w:rsidRPr="00A02395">
        <w:rPr>
          <w:lang w:val="es-419"/>
        </w:rPr>
        <w:t xml:space="preserve"> </w:t>
      </w:r>
      <w:r w:rsidRPr="00A02395">
        <w:rPr>
          <w:lang w:val="es-419"/>
        </w:rPr>
        <w:t xml:space="preserve">Asimismo, ya </w:t>
      </w:r>
      <w:r w:rsidR="00E64D37" w:rsidRPr="00A02395">
        <w:rPr>
          <w:lang w:val="es-419"/>
        </w:rPr>
        <w:t>resulta</w:t>
      </w:r>
      <w:r w:rsidRPr="00A02395">
        <w:rPr>
          <w:lang w:val="es-419"/>
        </w:rPr>
        <w:t xml:space="preserve"> posible preparar diversos formularios PCT en cualquiera de los idiomas de publicación, según </w:t>
      </w:r>
      <w:r w:rsidR="00E64D37" w:rsidRPr="00A02395">
        <w:rPr>
          <w:lang w:val="es-419"/>
        </w:rPr>
        <w:t>convenga</w:t>
      </w:r>
      <w:r w:rsidRPr="00A02395">
        <w:rPr>
          <w:lang w:val="es-419"/>
        </w:rPr>
        <w:t>, tanto en el ePCT como por otros medios de comunicación y sistemas.</w:t>
      </w:r>
      <w:r w:rsidR="00E64D37" w:rsidRPr="00A02395">
        <w:rPr>
          <w:lang w:val="es-419"/>
        </w:rPr>
        <w:t xml:space="preserve"> </w:t>
      </w:r>
      <w:r w:rsidRPr="00A02395">
        <w:rPr>
          <w:lang w:val="es-419"/>
        </w:rPr>
        <w:t>Otros avances relativos al XML, las hojas de estilo y la traducción automática también podrían favorecer la capacidad de la Oficina Internacional a fin de prestar dichos servicios con carácter más general.</w:t>
      </w:r>
    </w:p>
    <w:p w:rsidR="000D149C" w:rsidRPr="00A02395" w:rsidRDefault="000D149C" w:rsidP="000D149C">
      <w:pPr>
        <w:pStyle w:val="Heading1"/>
        <w:rPr>
          <w:lang w:val="es-419"/>
        </w:rPr>
      </w:pPr>
      <w:r w:rsidRPr="00A02395">
        <w:rPr>
          <w:lang w:val="es-419"/>
        </w:rPr>
        <w:t xml:space="preserve">PROPUESTA </w:t>
      </w:r>
    </w:p>
    <w:p w:rsidR="000D149C" w:rsidRPr="00A02395" w:rsidRDefault="000D149C" w:rsidP="0008503D">
      <w:pPr>
        <w:pStyle w:val="ONUMFS"/>
        <w:rPr>
          <w:lang w:val="es-419"/>
        </w:rPr>
      </w:pPr>
      <w:r w:rsidRPr="00A02395">
        <w:rPr>
          <w:lang w:val="es-419"/>
        </w:rPr>
        <w:t>En el Anexo figura una propuesta de modificación de la Regla 92.2.e) que contempla la ampliación de los idiomas utilizados por la Oficina Internacional a la hora de comunicarse con los solicitantes y las Oficinas, y que se rige por las Instrucciones Administrativas.</w:t>
      </w:r>
    </w:p>
    <w:p w:rsidR="000D149C" w:rsidRPr="00A02395" w:rsidRDefault="000D149C" w:rsidP="0008503D">
      <w:pPr>
        <w:pStyle w:val="ONUMFS"/>
        <w:rPr>
          <w:lang w:val="es-419"/>
        </w:rPr>
      </w:pPr>
      <w:r w:rsidRPr="00A02395">
        <w:rPr>
          <w:lang w:val="es-419"/>
        </w:rPr>
        <w:t>Un primer ámbito en el que llevar a cabo dicha ampliación podría ser el envío de requerimientos para corregir defectos de forma en caso de que se acepte la propuesta que figura en el documento PCT/WG/16/3.</w:t>
      </w:r>
      <w:r w:rsidR="00E64D37" w:rsidRPr="00A02395">
        <w:rPr>
          <w:lang w:val="es-419"/>
        </w:rPr>
        <w:t xml:space="preserve"> </w:t>
      </w:r>
      <w:r w:rsidRPr="00A02395">
        <w:rPr>
          <w:lang w:val="es-419"/>
        </w:rPr>
        <w:t>A largo plazo, está previsto desarrollar sistemas que permitan la transmisión de la mayoría de los formularios de la Oficina Internacional en el idioma de publicación.</w:t>
      </w:r>
    </w:p>
    <w:p w:rsidR="000D149C" w:rsidRPr="00A02395" w:rsidRDefault="000D149C" w:rsidP="0008503D">
      <w:pPr>
        <w:pStyle w:val="ONUMFS"/>
        <w:rPr>
          <w:lang w:val="es-419"/>
        </w:rPr>
      </w:pPr>
      <w:r w:rsidRPr="00A02395">
        <w:rPr>
          <w:lang w:val="es-419"/>
        </w:rPr>
        <w:t>Es importante que las terceras partes y las Oficinas designadas, así como el destinatario inicial de un formulario, puedan conocer los resultados de la labo</w:t>
      </w:r>
      <w:r w:rsidR="00E64D37" w:rsidRPr="00A02395">
        <w:rPr>
          <w:lang w:val="es-419"/>
        </w:rPr>
        <w:t xml:space="preserve">r de la Oficina Internacional. </w:t>
      </w:r>
      <w:r w:rsidRPr="00A02395">
        <w:rPr>
          <w:lang w:val="es-419"/>
        </w:rPr>
        <w:t xml:space="preserve">Cabe señalar que todos los formularios de la Oficina Internacional ya se preparan utilizando XML. Así pues, existe un buen punto de partida para garantizar que los formularios puedan prepararse </w:t>
      </w:r>
      <w:r w:rsidR="00E64D37" w:rsidRPr="00A02395">
        <w:rPr>
          <w:lang w:val="es-419"/>
        </w:rPr>
        <w:t>de manera</w:t>
      </w:r>
      <w:r w:rsidRPr="00A02395">
        <w:rPr>
          <w:lang w:val="es-419"/>
        </w:rPr>
        <w:t xml:space="preserve"> bilingüe (idioma de publicación más inglés), o bien que pueda proporcionarse un sistema similar al de PATENTSCOPE para los informes de búsqueda y las opiniones escritas en formato XML.</w:t>
      </w:r>
      <w:r w:rsidR="001B3BA3" w:rsidRPr="00A02395">
        <w:rPr>
          <w:lang w:val="es-419"/>
        </w:rPr>
        <w:t xml:space="preserve"> </w:t>
      </w:r>
      <w:r w:rsidR="00E64D37" w:rsidRPr="00A02395">
        <w:rPr>
          <w:lang w:val="es-419"/>
        </w:rPr>
        <w:t>En</w:t>
      </w:r>
      <w:r w:rsidRPr="00A02395">
        <w:rPr>
          <w:lang w:val="es-419"/>
        </w:rPr>
        <w:t xml:space="preserve"> ese sistema, el XML se utiliza para crear visualizaciones del contenido en cualquiera de los diez idiomas de publicación, empleando la hoja de estilo del idioma de que se trate para mostrar el contenido de las casillas y el texto estándar, y traduciendo automáticamente el texto libre.</w:t>
      </w:r>
    </w:p>
    <w:p w:rsidR="000D149C" w:rsidRPr="00A02395" w:rsidRDefault="000D149C" w:rsidP="0008503D">
      <w:pPr>
        <w:pStyle w:val="ONUMFS"/>
        <w:ind w:left="5534"/>
        <w:rPr>
          <w:i/>
          <w:lang w:val="es-419"/>
        </w:rPr>
      </w:pPr>
      <w:r w:rsidRPr="00A02395">
        <w:rPr>
          <w:i/>
          <w:lang w:val="es-419"/>
        </w:rPr>
        <w:t xml:space="preserve">Se invita al Grupo de Trabajo a examinar la propuesta de modificación del Reglamento que figura en el Anexo del presente documento. </w:t>
      </w:r>
    </w:p>
    <w:p w:rsidR="000D149C" w:rsidRPr="00A02395" w:rsidRDefault="000D149C" w:rsidP="0008503D">
      <w:pPr>
        <w:pStyle w:val="Endofdocument-Annex"/>
        <w:spacing w:before="720"/>
        <w:rPr>
          <w:lang w:val="es-419"/>
        </w:rPr>
        <w:sectPr w:rsidR="000D149C" w:rsidRPr="00A02395" w:rsidSect="00A416ED">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A02395">
        <w:rPr>
          <w:lang w:val="es-419"/>
        </w:rPr>
        <w:t>[Sigue el Anexo]</w:t>
      </w:r>
    </w:p>
    <w:p w:rsidR="000D149C" w:rsidRPr="00A02395" w:rsidRDefault="000D149C" w:rsidP="000D149C">
      <w:pPr>
        <w:pStyle w:val="Endofdocument-Annex"/>
        <w:ind w:left="0"/>
        <w:jc w:val="center"/>
        <w:rPr>
          <w:caps/>
          <w:lang w:val="es-419"/>
        </w:rPr>
      </w:pPr>
      <w:r w:rsidRPr="00A02395">
        <w:rPr>
          <w:caps/>
          <w:lang w:val="es-419"/>
        </w:rPr>
        <w:lastRenderedPageBreak/>
        <w:t>PROPUESTA DE MODIFICACIÓN DEL REGLAMENTO DEL PCT</w:t>
      </w:r>
      <w:r w:rsidRPr="00A02395">
        <w:rPr>
          <w:rStyle w:val="FootnoteReference"/>
          <w:caps/>
          <w:lang w:val="es-419"/>
        </w:rPr>
        <w:footnoteReference w:id="2"/>
      </w:r>
    </w:p>
    <w:p w:rsidR="000D149C" w:rsidRPr="00A02395" w:rsidRDefault="000D149C" w:rsidP="000D149C">
      <w:pPr>
        <w:pStyle w:val="Endofdocument-Annex"/>
        <w:ind w:left="0"/>
        <w:jc w:val="center"/>
        <w:rPr>
          <w:caps/>
          <w:lang w:val="es-419"/>
        </w:rPr>
      </w:pPr>
    </w:p>
    <w:p w:rsidR="000D149C" w:rsidRPr="00A02395" w:rsidRDefault="000D149C" w:rsidP="000D149C">
      <w:pPr>
        <w:pStyle w:val="Endofdocument-Annex"/>
        <w:ind w:left="0"/>
        <w:jc w:val="center"/>
        <w:rPr>
          <w:caps/>
          <w:lang w:val="es-419"/>
        </w:rPr>
      </w:pPr>
      <w:r w:rsidRPr="00A02395">
        <w:rPr>
          <w:caps/>
          <w:lang w:val="es-419"/>
        </w:rPr>
        <w:t>índice</w:t>
      </w:r>
    </w:p>
    <w:p w:rsidR="000D149C" w:rsidRPr="00A02395" w:rsidRDefault="000D149C" w:rsidP="000D149C">
      <w:pPr>
        <w:pStyle w:val="Endofdocument-Annex"/>
        <w:ind w:left="0"/>
        <w:jc w:val="center"/>
        <w:rPr>
          <w:caps/>
          <w:lang w:val="es-419"/>
        </w:rPr>
      </w:pPr>
    </w:p>
    <w:p w:rsidR="000D149C" w:rsidRPr="00A02395" w:rsidRDefault="000D149C" w:rsidP="000D149C">
      <w:pPr>
        <w:pStyle w:val="Endofdocument-Annex"/>
        <w:ind w:left="0"/>
        <w:jc w:val="center"/>
        <w:rPr>
          <w:caps/>
          <w:lang w:val="es-419"/>
        </w:rPr>
      </w:pPr>
    </w:p>
    <w:p w:rsidR="000D149C" w:rsidRPr="00A02395" w:rsidRDefault="000D149C" w:rsidP="000D149C">
      <w:pPr>
        <w:pStyle w:val="TOC1"/>
        <w:tabs>
          <w:tab w:val="right" w:leader="dot" w:pos="9345"/>
        </w:tabs>
        <w:rPr>
          <w:rFonts w:asciiTheme="minorHAnsi" w:eastAsiaTheme="minorEastAsia" w:hAnsiTheme="minorHAnsi" w:cstheme="minorBidi"/>
          <w:noProof/>
          <w:szCs w:val="22"/>
          <w:lang w:val="es-419" w:eastAsia="en-US"/>
        </w:rPr>
      </w:pPr>
      <w:r w:rsidRPr="00A02395">
        <w:rPr>
          <w:caps/>
          <w:lang w:val="es-419"/>
        </w:rPr>
        <w:fldChar w:fldCharType="begin"/>
      </w:r>
      <w:r w:rsidRPr="00A02395">
        <w:rPr>
          <w:caps/>
          <w:lang w:val="es-419"/>
        </w:rPr>
        <w:instrText xml:space="preserve"> TOC \h \z \t "Leg # Title,1,Leg SubRule #,2" </w:instrText>
      </w:r>
      <w:r w:rsidRPr="00A02395">
        <w:rPr>
          <w:caps/>
          <w:lang w:val="es-419"/>
        </w:rPr>
        <w:fldChar w:fldCharType="separate"/>
      </w:r>
      <w:hyperlink w:anchor="_Toc122519671" w:history="1">
        <w:r w:rsidRPr="00A02395">
          <w:rPr>
            <w:rStyle w:val="Hyperlink"/>
            <w:noProof/>
            <w:lang w:val="es-419"/>
          </w:rPr>
          <w:t>Regla 92 Correspondencia</w:t>
        </w:r>
        <w:r w:rsidRPr="00A02395">
          <w:rPr>
            <w:noProof/>
            <w:webHidden/>
            <w:lang w:val="es-419"/>
          </w:rPr>
          <w:tab/>
        </w:r>
        <w:r w:rsidRPr="00A02395">
          <w:rPr>
            <w:noProof/>
            <w:webHidden/>
            <w:lang w:val="es-419"/>
          </w:rPr>
          <w:fldChar w:fldCharType="begin"/>
        </w:r>
        <w:r w:rsidRPr="00A02395">
          <w:rPr>
            <w:noProof/>
            <w:webHidden/>
            <w:lang w:val="es-419"/>
          </w:rPr>
          <w:instrText xml:space="preserve"> PAGEREF _Toc122519671 \h </w:instrText>
        </w:r>
        <w:r w:rsidRPr="00A02395">
          <w:rPr>
            <w:noProof/>
            <w:webHidden/>
            <w:lang w:val="es-419"/>
          </w:rPr>
        </w:r>
        <w:r w:rsidRPr="00A02395">
          <w:rPr>
            <w:noProof/>
            <w:webHidden/>
            <w:lang w:val="es-419"/>
          </w:rPr>
          <w:fldChar w:fldCharType="separate"/>
        </w:r>
        <w:r w:rsidR="008D7F39">
          <w:rPr>
            <w:noProof/>
            <w:webHidden/>
            <w:lang w:val="es-419"/>
          </w:rPr>
          <w:t>2</w:t>
        </w:r>
        <w:r w:rsidRPr="00A02395">
          <w:rPr>
            <w:noProof/>
            <w:webHidden/>
            <w:lang w:val="es-419"/>
          </w:rPr>
          <w:fldChar w:fldCharType="end"/>
        </w:r>
      </w:hyperlink>
    </w:p>
    <w:p w:rsidR="000D149C" w:rsidRPr="00A02395" w:rsidRDefault="00174EDD" w:rsidP="000D149C">
      <w:pPr>
        <w:pStyle w:val="TOC2"/>
        <w:tabs>
          <w:tab w:val="right" w:leader="dot" w:pos="9345"/>
        </w:tabs>
        <w:rPr>
          <w:rFonts w:asciiTheme="minorHAnsi" w:eastAsiaTheme="minorEastAsia" w:hAnsiTheme="minorHAnsi" w:cstheme="minorBidi"/>
          <w:noProof/>
          <w:szCs w:val="22"/>
          <w:lang w:val="es-419" w:eastAsia="en-US"/>
        </w:rPr>
      </w:pPr>
      <w:hyperlink w:anchor="_Toc122519672" w:history="1">
        <w:r w:rsidR="000D149C" w:rsidRPr="00A02395">
          <w:rPr>
            <w:rStyle w:val="Hyperlink"/>
            <w:noProof/>
            <w:lang w:val="es-419"/>
          </w:rPr>
          <w:t>92.1</w:t>
        </w:r>
        <w:r w:rsidR="001B3BA3" w:rsidRPr="00A02395">
          <w:rPr>
            <w:rStyle w:val="Hyperlink"/>
            <w:i/>
            <w:noProof/>
            <w:lang w:val="es-419"/>
          </w:rPr>
          <w:t xml:space="preserve"> </w:t>
        </w:r>
        <w:r w:rsidR="000D149C" w:rsidRPr="00A02395">
          <w:rPr>
            <w:rStyle w:val="Hyperlink"/>
            <w:i/>
            <w:noProof/>
            <w:lang w:val="es-419"/>
          </w:rPr>
          <w:t>[Sin cambios]</w:t>
        </w:r>
        <w:r w:rsidR="000D149C" w:rsidRPr="00A02395">
          <w:rPr>
            <w:noProof/>
            <w:webHidden/>
            <w:lang w:val="es-419"/>
          </w:rPr>
          <w:tab/>
        </w:r>
        <w:r w:rsidR="000D149C" w:rsidRPr="00A02395">
          <w:rPr>
            <w:noProof/>
            <w:webHidden/>
            <w:lang w:val="es-419"/>
          </w:rPr>
          <w:fldChar w:fldCharType="begin"/>
        </w:r>
        <w:r w:rsidR="000D149C" w:rsidRPr="00A02395">
          <w:rPr>
            <w:noProof/>
            <w:webHidden/>
            <w:lang w:val="es-419"/>
          </w:rPr>
          <w:instrText xml:space="preserve"> PAGEREF _Toc122519672 \h </w:instrText>
        </w:r>
        <w:r w:rsidR="000D149C" w:rsidRPr="00A02395">
          <w:rPr>
            <w:noProof/>
            <w:webHidden/>
            <w:lang w:val="es-419"/>
          </w:rPr>
        </w:r>
        <w:r w:rsidR="000D149C" w:rsidRPr="00A02395">
          <w:rPr>
            <w:noProof/>
            <w:webHidden/>
            <w:lang w:val="es-419"/>
          </w:rPr>
          <w:fldChar w:fldCharType="separate"/>
        </w:r>
        <w:r w:rsidR="008D7F39">
          <w:rPr>
            <w:noProof/>
            <w:webHidden/>
            <w:lang w:val="es-419"/>
          </w:rPr>
          <w:t>2</w:t>
        </w:r>
        <w:r w:rsidR="000D149C" w:rsidRPr="00A02395">
          <w:rPr>
            <w:noProof/>
            <w:webHidden/>
            <w:lang w:val="es-419"/>
          </w:rPr>
          <w:fldChar w:fldCharType="end"/>
        </w:r>
      </w:hyperlink>
    </w:p>
    <w:p w:rsidR="000D149C" w:rsidRPr="00A02395" w:rsidRDefault="00174EDD" w:rsidP="000D149C">
      <w:pPr>
        <w:pStyle w:val="TOC2"/>
        <w:tabs>
          <w:tab w:val="right" w:leader="dot" w:pos="9345"/>
        </w:tabs>
        <w:rPr>
          <w:rFonts w:asciiTheme="minorHAnsi" w:eastAsiaTheme="minorEastAsia" w:hAnsiTheme="minorHAnsi" w:cstheme="minorBidi"/>
          <w:noProof/>
          <w:szCs w:val="22"/>
          <w:lang w:val="es-419" w:eastAsia="en-US"/>
        </w:rPr>
      </w:pPr>
      <w:hyperlink w:anchor="_Toc122519673" w:history="1">
        <w:r w:rsidR="000D149C" w:rsidRPr="00A02395">
          <w:rPr>
            <w:rStyle w:val="Hyperlink"/>
            <w:noProof/>
            <w:lang w:val="es-419"/>
          </w:rPr>
          <w:t>92.2</w:t>
        </w:r>
        <w:r w:rsidR="001B3BA3" w:rsidRPr="00A02395">
          <w:rPr>
            <w:rStyle w:val="Hyperlink"/>
            <w:noProof/>
            <w:lang w:val="es-419"/>
          </w:rPr>
          <w:t xml:space="preserve"> </w:t>
        </w:r>
        <w:r w:rsidR="000D149C" w:rsidRPr="00A02395">
          <w:rPr>
            <w:rStyle w:val="Hyperlink"/>
            <w:i/>
            <w:noProof/>
            <w:lang w:val="es-419"/>
          </w:rPr>
          <w:t>Idiomas</w:t>
        </w:r>
        <w:r w:rsidR="000D149C" w:rsidRPr="00A02395">
          <w:rPr>
            <w:noProof/>
            <w:webHidden/>
            <w:lang w:val="es-419"/>
          </w:rPr>
          <w:tab/>
        </w:r>
        <w:r w:rsidR="000D149C" w:rsidRPr="00A02395">
          <w:rPr>
            <w:noProof/>
            <w:webHidden/>
            <w:lang w:val="es-419"/>
          </w:rPr>
          <w:fldChar w:fldCharType="begin"/>
        </w:r>
        <w:r w:rsidR="000D149C" w:rsidRPr="00A02395">
          <w:rPr>
            <w:noProof/>
            <w:webHidden/>
            <w:lang w:val="es-419"/>
          </w:rPr>
          <w:instrText xml:space="preserve"> PAGEREF _Toc122519673 \h </w:instrText>
        </w:r>
        <w:r w:rsidR="000D149C" w:rsidRPr="00A02395">
          <w:rPr>
            <w:noProof/>
            <w:webHidden/>
            <w:lang w:val="es-419"/>
          </w:rPr>
        </w:r>
        <w:r w:rsidR="000D149C" w:rsidRPr="00A02395">
          <w:rPr>
            <w:noProof/>
            <w:webHidden/>
            <w:lang w:val="es-419"/>
          </w:rPr>
          <w:fldChar w:fldCharType="separate"/>
        </w:r>
        <w:r w:rsidR="008D7F39">
          <w:rPr>
            <w:noProof/>
            <w:webHidden/>
            <w:lang w:val="es-419"/>
          </w:rPr>
          <w:t>2</w:t>
        </w:r>
        <w:r w:rsidR="000D149C" w:rsidRPr="00A02395">
          <w:rPr>
            <w:noProof/>
            <w:webHidden/>
            <w:lang w:val="es-419"/>
          </w:rPr>
          <w:fldChar w:fldCharType="end"/>
        </w:r>
      </w:hyperlink>
    </w:p>
    <w:p w:rsidR="000D149C" w:rsidRPr="00A02395" w:rsidRDefault="00174EDD" w:rsidP="000D149C">
      <w:pPr>
        <w:pStyle w:val="TOC2"/>
        <w:tabs>
          <w:tab w:val="right" w:leader="dot" w:pos="9345"/>
        </w:tabs>
        <w:rPr>
          <w:rFonts w:asciiTheme="minorHAnsi" w:eastAsiaTheme="minorEastAsia" w:hAnsiTheme="minorHAnsi" w:cstheme="minorBidi"/>
          <w:noProof/>
          <w:szCs w:val="22"/>
          <w:lang w:val="es-419" w:eastAsia="en-US"/>
        </w:rPr>
      </w:pPr>
      <w:hyperlink w:anchor="_Toc122519674" w:history="1">
        <w:r w:rsidR="000D149C" w:rsidRPr="00A02395">
          <w:rPr>
            <w:rStyle w:val="Hyperlink"/>
            <w:noProof/>
            <w:lang w:val="es-419"/>
          </w:rPr>
          <w:t xml:space="preserve">92.3 </w:t>
        </w:r>
        <w:r w:rsidR="000D149C" w:rsidRPr="00A02395">
          <w:rPr>
            <w:rStyle w:val="Hyperlink"/>
            <w:i/>
            <w:noProof/>
            <w:lang w:val="es-419"/>
          </w:rPr>
          <w:t>y</w:t>
        </w:r>
        <w:r w:rsidR="000D149C" w:rsidRPr="00A02395">
          <w:rPr>
            <w:rStyle w:val="Hyperlink"/>
            <w:noProof/>
            <w:lang w:val="es-419"/>
          </w:rPr>
          <w:t xml:space="preserve"> 92.4</w:t>
        </w:r>
        <w:r w:rsidR="001B3BA3" w:rsidRPr="00A02395">
          <w:rPr>
            <w:rStyle w:val="Hyperlink"/>
            <w:i/>
            <w:noProof/>
            <w:lang w:val="es-419"/>
          </w:rPr>
          <w:t xml:space="preserve"> </w:t>
        </w:r>
        <w:r w:rsidR="000D149C" w:rsidRPr="00A02395">
          <w:rPr>
            <w:rStyle w:val="Hyperlink"/>
            <w:i/>
            <w:noProof/>
            <w:lang w:val="es-419"/>
          </w:rPr>
          <w:t>[Sin cambios]</w:t>
        </w:r>
        <w:r w:rsidR="000D149C" w:rsidRPr="00A02395">
          <w:rPr>
            <w:noProof/>
            <w:webHidden/>
            <w:lang w:val="es-419"/>
          </w:rPr>
          <w:tab/>
        </w:r>
        <w:r w:rsidR="000D149C" w:rsidRPr="00A02395">
          <w:rPr>
            <w:noProof/>
            <w:webHidden/>
            <w:lang w:val="es-419"/>
          </w:rPr>
          <w:fldChar w:fldCharType="begin"/>
        </w:r>
        <w:r w:rsidR="000D149C" w:rsidRPr="00A02395">
          <w:rPr>
            <w:noProof/>
            <w:webHidden/>
            <w:lang w:val="es-419"/>
          </w:rPr>
          <w:instrText xml:space="preserve"> PAGEREF _Toc122519674 \h </w:instrText>
        </w:r>
        <w:r w:rsidR="000D149C" w:rsidRPr="00A02395">
          <w:rPr>
            <w:noProof/>
            <w:webHidden/>
            <w:lang w:val="es-419"/>
          </w:rPr>
        </w:r>
        <w:r w:rsidR="000D149C" w:rsidRPr="00A02395">
          <w:rPr>
            <w:noProof/>
            <w:webHidden/>
            <w:lang w:val="es-419"/>
          </w:rPr>
          <w:fldChar w:fldCharType="separate"/>
        </w:r>
        <w:r w:rsidR="008D7F39">
          <w:rPr>
            <w:noProof/>
            <w:webHidden/>
            <w:lang w:val="es-419"/>
          </w:rPr>
          <w:t>2</w:t>
        </w:r>
        <w:r w:rsidR="000D149C" w:rsidRPr="00A02395">
          <w:rPr>
            <w:noProof/>
            <w:webHidden/>
            <w:lang w:val="es-419"/>
          </w:rPr>
          <w:fldChar w:fldCharType="end"/>
        </w:r>
      </w:hyperlink>
    </w:p>
    <w:p w:rsidR="000D149C" w:rsidRPr="00A02395" w:rsidRDefault="000D149C" w:rsidP="000D149C">
      <w:pPr>
        <w:pStyle w:val="Endofdocument-Annex"/>
        <w:ind w:left="0"/>
        <w:jc w:val="center"/>
        <w:rPr>
          <w:caps/>
          <w:lang w:val="es-419"/>
        </w:rPr>
      </w:pPr>
      <w:r w:rsidRPr="00A02395">
        <w:rPr>
          <w:caps/>
          <w:lang w:val="es-419"/>
        </w:rPr>
        <w:fldChar w:fldCharType="end"/>
      </w:r>
    </w:p>
    <w:p w:rsidR="000D149C" w:rsidRPr="00A02395" w:rsidRDefault="000D149C" w:rsidP="000D149C">
      <w:pPr>
        <w:pStyle w:val="LegTitle"/>
        <w:rPr>
          <w:lang w:val="es-419"/>
        </w:rPr>
      </w:pPr>
      <w:bookmarkStart w:id="6" w:name="_Toc114584490"/>
      <w:bookmarkStart w:id="7" w:name="_Toc122519671"/>
      <w:r w:rsidRPr="00A02395">
        <w:rPr>
          <w:lang w:val="es-419"/>
        </w:rPr>
        <w:lastRenderedPageBreak/>
        <w:t>Regla 92</w:t>
      </w:r>
      <w:r w:rsidRPr="00A02395">
        <w:rPr>
          <w:lang w:val="es-419"/>
        </w:rPr>
        <w:br/>
      </w:r>
      <w:bookmarkEnd w:id="6"/>
      <w:r w:rsidRPr="00A02395">
        <w:rPr>
          <w:lang w:val="es-419"/>
        </w:rPr>
        <w:t>Correspondencia</w:t>
      </w:r>
      <w:bookmarkEnd w:id="7"/>
    </w:p>
    <w:p w:rsidR="000D149C" w:rsidRPr="00A02395" w:rsidRDefault="000D149C" w:rsidP="000D149C">
      <w:pPr>
        <w:rPr>
          <w:lang w:val="es-419" w:eastAsia="en-US"/>
        </w:rPr>
      </w:pPr>
    </w:p>
    <w:p w:rsidR="000D149C" w:rsidRPr="00A02395" w:rsidRDefault="000D149C" w:rsidP="000D149C">
      <w:pPr>
        <w:pStyle w:val="LegSubRule"/>
        <w:keepLines w:val="0"/>
        <w:outlineLvl w:val="0"/>
        <w:rPr>
          <w:i/>
          <w:lang w:val="es-419"/>
        </w:rPr>
      </w:pPr>
      <w:bookmarkStart w:id="8" w:name="_Toc122519672"/>
      <w:r w:rsidRPr="00A02395">
        <w:rPr>
          <w:lang w:val="es-419"/>
        </w:rPr>
        <w:t>92.1</w:t>
      </w:r>
      <w:r w:rsidR="001B3BA3" w:rsidRPr="00A02395">
        <w:rPr>
          <w:i/>
          <w:lang w:val="es-419"/>
        </w:rPr>
        <w:t xml:space="preserve"> </w:t>
      </w:r>
      <w:r w:rsidRPr="00A02395">
        <w:rPr>
          <w:i/>
          <w:lang w:val="es-419"/>
        </w:rPr>
        <w:t>[Sin cambios]</w:t>
      </w:r>
      <w:bookmarkEnd w:id="8"/>
    </w:p>
    <w:p w:rsidR="000D149C" w:rsidRPr="00A02395" w:rsidRDefault="000D149C" w:rsidP="000D149C">
      <w:pPr>
        <w:pStyle w:val="LegSubRule"/>
        <w:outlineLvl w:val="0"/>
        <w:rPr>
          <w:lang w:val="es-419"/>
        </w:rPr>
      </w:pPr>
      <w:bookmarkStart w:id="9" w:name="_Toc122519673"/>
      <w:r w:rsidRPr="00A02395">
        <w:rPr>
          <w:lang w:val="es-419"/>
        </w:rPr>
        <w:t>92.2</w:t>
      </w:r>
      <w:r w:rsidR="001B3BA3" w:rsidRPr="00A02395">
        <w:rPr>
          <w:lang w:val="es-419"/>
        </w:rPr>
        <w:t xml:space="preserve"> </w:t>
      </w:r>
      <w:r w:rsidRPr="00A02395">
        <w:rPr>
          <w:i/>
          <w:lang w:val="es-419"/>
        </w:rPr>
        <w:t>Idiomas</w:t>
      </w:r>
      <w:bookmarkEnd w:id="9"/>
    </w:p>
    <w:p w:rsidR="000D149C" w:rsidRPr="00A02395" w:rsidRDefault="000D149C" w:rsidP="000D149C">
      <w:pPr>
        <w:pStyle w:val="Lega"/>
        <w:ind w:firstLine="567"/>
        <w:rPr>
          <w:lang w:val="es-419"/>
        </w:rPr>
      </w:pPr>
      <w:r w:rsidRPr="00A02395">
        <w:rPr>
          <w:lang w:val="es-419"/>
        </w:rPr>
        <w:t>a)</w:t>
      </w:r>
      <w:r w:rsidR="001B3BA3" w:rsidRPr="00A02395">
        <w:rPr>
          <w:lang w:val="es-419"/>
        </w:rPr>
        <w:t xml:space="preserve"> </w:t>
      </w:r>
      <w:r w:rsidRPr="00A02395">
        <w:rPr>
          <w:lang w:val="es-419"/>
        </w:rPr>
        <w:t>[Sin cambios]</w:t>
      </w:r>
    </w:p>
    <w:p w:rsidR="000D149C" w:rsidRPr="00A02395" w:rsidRDefault="000D149C" w:rsidP="000D149C">
      <w:pPr>
        <w:pStyle w:val="Lega"/>
        <w:ind w:firstLine="567"/>
        <w:rPr>
          <w:lang w:val="es-419"/>
        </w:rPr>
      </w:pPr>
      <w:r w:rsidRPr="00A02395">
        <w:rPr>
          <w:lang w:val="es-419"/>
        </w:rPr>
        <w:t>b)</w:t>
      </w:r>
      <w:r w:rsidR="001B3BA3" w:rsidRPr="00A02395">
        <w:rPr>
          <w:lang w:val="es-419"/>
        </w:rPr>
        <w:t xml:space="preserve"> </w:t>
      </w:r>
      <w:r w:rsidRPr="00A02395">
        <w:rPr>
          <w:lang w:val="es-419"/>
        </w:rPr>
        <w:t>[Sin cambios]</w:t>
      </w:r>
    </w:p>
    <w:p w:rsidR="000D149C" w:rsidRPr="00A02395" w:rsidRDefault="000D149C" w:rsidP="000D149C">
      <w:pPr>
        <w:pStyle w:val="Lega"/>
        <w:ind w:firstLine="567"/>
        <w:rPr>
          <w:lang w:val="es-419"/>
        </w:rPr>
      </w:pPr>
      <w:r w:rsidRPr="00A02395">
        <w:rPr>
          <w:lang w:val="es-419"/>
        </w:rPr>
        <w:t>c)</w:t>
      </w:r>
      <w:r w:rsidR="001B3BA3" w:rsidRPr="00A02395">
        <w:rPr>
          <w:lang w:val="es-419"/>
        </w:rPr>
        <w:t xml:space="preserve"> </w:t>
      </w:r>
      <w:r w:rsidRPr="00A02395">
        <w:rPr>
          <w:lang w:val="es-419"/>
        </w:rPr>
        <w:t>[Sigue suprimido]</w:t>
      </w:r>
    </w:p>
    <w:p w:rsidR="000D149C" w:rsidRPr="00A02395" w:rsidRDefault="000D149C" w:rsidP="000D149C">
      <w:pPr>
        <w:pStyle w:val="Lega"/>
        <w:ind w:firstLine="567"/>
        <w:rPr>
          <w:lang w:val="es-419"/>
        </w:rPr>
      </w:pPr>
      <w:r w:rsidRPr="00A02395">
        <w:rPr>
          <w:lang w:val="es-419"/>
        </w:rPr>
        <w:t>d)</w:t>
      </w:r>
      <w:r w:rsidR="001B3BA3" w:rsidRPr="00A02395">
        <w:rPr>
          <w:lang w:val="es-419"/>
        </w:rPr>
        <w:t xml:space="preserve"> </w:t>
      </w:r>
      <w:r w:rsidRPr="00A02395">
        <w:rPr>
          <w:lang w:val="es-419"/>
        </w:rPr>
        <w:t>[Sin cambios] Cualquier carta que el solicitante dirija a la Oficina Internacional deberá redactarse en francés, en inglés o en cualquier otro idioma de publicación permitido en las Instrucciones Administrativas.</w:t>
      </w:r>
    </w:p>
    <w:p w:rsidR="000D149C" w:rsidRPr="00A02395" w:rsidRDefault="000D149C" w:rsidP="000D149C">
      <w:pPr>
        <w:pStyle w:val="Lega"/>
        <w:ind w:firstLine="567"/>
        <w:rPr>
          <w:rStyle w:val="Deletedtext"/>
          <w:strike w:val="0"/>
          <w:lang w:val="es-419"/>
        </w:rPr>
      </w:pPr>
      <w:r w:rsidRPr="00A02395">
        <w:rPr>
          <w:lang w:val="es-419"/>
        </w:rPr>
        <w:t>e) Cualquier carta o notificación que la Oficina Internacional dirija al solicitante o a cualquier Oficina nacional deberá redactarse en francés</w:t>
      </w:r>
      <w:r w:rsidRPr="00A02395">
        <w:rPr>
          <w:color w:val="0000FF"/>
          <w:u w:val="single"/>
          <w:lang w:val="es-419"/>
        </w:rPr>
        <w:t>,</w:t>
      </w:r>
      <w:r w:rsidRPr="00A02395">
        <w:rPr>
          <w:lang w:val="es-419"/>
        </w:rPr>
        <w:t xml:space="preserve"> </w:t>
      </w:r>
      <w:r w:rsidRPr="00A02395">
        <w:rPr>
          <w:strike/>
          <w:color w:val="FF0000"/>
          <w:lang w:val="es-419"/>
        </w:rPr>
        <w:t>o</w:t>
      </w:r>
      <w:r w:rsidRPr="00A02395">
        <w:rPr>
          <w:lang w:val="es-419"/>
        </w:rPr>
        <w:t xml:space="preserve"> inglés </w:t>
      </w:r>
      <w:r w:rsidRPr="00A02395">
        <w:rPr>
          <w:color w:val="0000FF"/>
          <w:u w:val="single"/>
          <w:lang w:val="es-419"/>
        </w:rPr>
        <w:t>o en cualquier otro idioma de publicación permitido en las Instrucciones Administrativas</w:t>
      </w:r>
      <w:r w:rsidRPr="00A02395">
        <w:rPr>
          <w:lang w:val="es-419"/>
        </w:rPr>
        <w:t>.</w:t>
      </w:r>
    </w:p>
    <w:p w:rsidR="000D149C" w:rsidRPr="00A02395" w:rsidRDefault="000D149C" w:rsidP="000D149C">
      <w:pPr>
        <w:pStyle w:val="LegSubRule"/>
        <w:keepLines w:val="0"/>
        <w:outlineLvl w:val="0"/>
        <w:rPr>
          <w:i/>
          <w:lang w:val="es-419"/>
        </w:rPr>
      </w:pPr>
      <w:bookmarkStart w:id="10" w:name="_Toc122519674"/>
      <w:r w:rsidRPr="00A02395">
        <w:rPr>
          <w:lang w:val="es-419"/>
        </w:rPr>
        <w:t xml:space="preserve">92.3 </w:t>
      </w:r>
      <w:r w:rsidRPr="00A02395">
        <w:rPr>
          <w:i/>
          <w:lang w:val="es-419"/>
        </w:rPr>
        <w:t>y</w:t>
      </w:r>
      <w:r w:rsidRPr="00A02395">
        <w:rPr>
          <w:lang w:val="es-419"/>
        </w:rPr>
        <w:t xml:space="preserve"> 92.4</w:t>
      </w:r>
      <w:r w:rsidR="001B3BA3" w:rsidRPr="00A02395">
        <w:rPr>
          <w:i/>
          <w:lang w:val="es-419"/>
        </w:rPr>
        <w:t xml:space="preserve"> </w:t>
      </w:r>
      <w:r w:rsidRPr="00A02395">
        <w:rPr>
          <w:i/>
          <w:lang w:val="es-419"/>
        </w:rPr>
        <w:t>[Sin cambios]</w:t>
      </w:r>
      <w:bookmarkEnd w:id="10"/>
    </w:p>
    <w:p w:rsidR="00152CEA" w:rsidRPr="00A02395" w:rsidRDefault="000D149C" w:rsidP="001B3BA3">
      <w:pPr>
        <w:pStyle w:val="Endofdocument-Annex"/>
        <w:rPr>
          <w:lang w:val="es-419"/>
        </w:rPr>
      </w:pPr>
      <w:r w:rsidRPr="00A02395">
        <w:rPr>
          <w:lang w:val="es-419"/>
        </w:rPr>
        <w:t>[Fin del Anexo y del documento]</w:t>
      </w:r>
    </w:p>
    <w:sectPr w:rsidR="00152CEA" w:rsidRPr="00A02395" w:rsidSect="000D149C">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F9E" w:rsidRDefault="00021F9E">
      <w:r>
        <w:separator/>
      </w:r>
    </w:p>
  </w:endnote>
  <w:endnote w:type="continuationSeparator" w:id="0">
    <w:p w:rsidR="00021F9E" w:rsidRPr="009D30E6" w:rsidRDefault="00021F9E" w:rsidP="007E663E">
      <w:pPr>
        <w:rPr>
          <w:sz w:val="17"/>
          <w:szCs w:val="17"/>
        </w:rPr>
      </w:pPr>
      <w:r w:rsidRPr="009D30E6">
        <w:rPr>
          <w:sz w:val="17"/>
          <w:szCs w:val="17"/>
        </w:rPr>
        <w:separator/>
      </w:r>
    </w:p>
    <w:p w:rsidR="00021F9E" w:rsidRPr="007E663E" w:rsidRDefault="00021F9E" w:rsidP="007E663E">
      <w:pPr>
        <w:spacing w:after="60"/>
        <w:rPr>
          <w:sz w:val="17"/>
          <w:szCs w:val="17"/>
        </w:rPr>
      </w:pPr>
      <w:r>
        <w:rPr>
          <w:sz w:val="17"/>
        </w:rPr>
        <w:t>[Continuación de la nota de la página anterior]</w:t>
      </w:r>
    </w:p>
  </w:endnote>
  <w:endnote w:type="continuationNotice" w:id="1">
    <w:p w:rsidR="00021F9E" w:rsidRPr="007E663E" w:rsidRDefault="00021F9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ED" w:rsidRDefault="00A416ED" w:rsidP="00A41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2A" w:rsidRDefault="000F2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2A" w:rsidRDefault="000F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F9E" w:rsidRDefault="00021F9E">
      <w:r>
        <w:separator/>
      </w:r>
    </w:p>
  </w:footnote>
  <w:footnote w:type="continuationSeparator" w:id="0">
    <w:p w:rsidR="00021F9E" w:rsidRPr="009D30E6" w:rsidRDefault="00021F9E" w:rsidP="007E663E">
      <w:pPr>
        <w:rPr>
          <w:sz w:val="17"/>
          <w:szCs w:val="17"/>
        </w:rPr>
      </w:pPr>
      <w:r w:rsidRPr="009D30E6">
        <w:rPr>
          <w:sz w:val="17"/>
          <w:szCs w:val="17"/>
        </w:rPr>
        <w:separator/>
      </w:r>
    </w:p>
    <w:p w:rsidR="00021F9E" w:rsidRPr="007E663E" w:rsidRDefault="00021F9E" w:rsidP="007E663E">
      <w:pPr>
        <w:spacing w:after="60"/>
        <w:rPr>
          <w:sz w:val="17"/>
          <w:szCs w:val="17"/>
        </w:rPr>
      </w:pPr>
      <w:r>
        <w:rPr>
          <w:sz w:val="17"/>
        </w:rPr>
        <w:t>[Continuación de la nota de la página anterior]</w:t>
      </w:r>
    </w:p>
  </w:footnote>
  <w:footnote w:type="continuationNotice" w:id="1">
    <w:p w:rsidR="00021F9E" w:rsidRPr="007E663E" w:rsidRDefault="00021F9E" w:rsidP="007E663E">
      <w:pPr>
        <w:spacing w:before="60"/>
        <w:jc w:val="right"/>
        <w:rPr>
          <w:sz w:val="17"/>
          <w:szCs w:val="17"/>
        </w:rPr>
      </w:pPr>
      <w:r w:rsidRPr="007E663E">
        <w:rPr>
          <w:sz w:val="17"/>
          <w:szCs w:val="17"/>
        </w:rPr>
        <w:t>[Sigue la nota en la página siguiente]</w:t>
      </w:r>
    </w:p>
  </w:footnote>
  <w:footnote w:id="2">
    <w:p w:rsidR="000D149C" w:rsidRPr="00E64D37" w:rsidRDefault="000D149C" w:rsidP="000D149C">
      <w:pPr>
        <w:pStyle w:val="FootnoteText"/>
      </w:pPr>
      <w:r w:rsidRPr="00E64D37">
        <w:rPr>
          <w:rStyle w:val="FootnoteReference"/>
        </w:rPr>
        <w:footnoteRef/>
      </w:r>
      <w:r w:rsidRPr="00E64D37">
        <w:t xml:space="preserve"> </w:t>
      </w:r>
      <w:r w:rsidRPr="00E64D37">
        <w:tab/>
      </w:r>
      <w:r w:rsidRPr="00E64D37">
        <w:rPr>
          <w:lang w:val="es-ES_tradnl"/>
        </w:rPr>
        <w:t>Las propuestas de adición y supresión se indican subrayando y tachando, respectivamente, el texto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ED" w:rsidRPr="002326AB" w:rsidRDefault="00A416ED" w:rsidP="00A416ED">
    <w:pPr>
      <w:jc w:val="right"/>
      <w:rPr>
        <w:caps/>
      </w:rPr>
    </w:pPr>
    <w:r>
      <w:rPr>
        <w:caps/>
      </w:rPr>
      <w:t>PCT/WG/16/2</w:t>
    </w:r>
  </w:p>
  <w:p w:rsidR="00A416ED" w:rsidRDefault="00A416ED" w:rsidP="00A416ED">
    <w:pPr>
      <w:jc w:val="right"/>
    </w:pPr>
    <w:r>
      <w:t xml:space="preserve">página </w:t>
    </w:r>
    <w:r>
      <w:fldChar w:fldCharType="begin"/>
    </w:r>
    <w:r>
      <w:instrText xml:space="preserve"> PAGE  \* MERGEFORMAT </w:instrText>
    </w:r>
    <w:r>
      <w:fldChar w:fldCharType="separate"/>
    </w:r>
    <w:r w:rsidR="00915577">
      <w:rPr>
        <w:noProof/>
      </w:rPr>
      <w:t>2</w:t>
    </w:r>
    <w:r>
      <w:fldChar w:fldCharType="end"/>
    </w:r>
  </w:p>
  <w:p w:rsidR="00A416ED" w:rsidRDefault="00A416ED" w:rsidP="00A416ED">
    <w:pPr>
      <w:jc w:val="right"/>
    </w:pPr>
  </w:p>
  <w:p w:rsidR="00A416ED" w:rsidRDefault="00A416ED" w:rsidP="00A416E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9C" w:rsidRPr="002326AB" w:rsidRDefault="000D149C" w:rsidP="00477D6B">
    <w:pPr>
      <w:jc w:val="right"/>
      <w:rPr>
        <w:caps/>
      </w:rPr>
    </w:pPr>
    <w:r>
      <w:rPr>
        <w:caps/>
      </w:rPr>
      <w:t>PCT/WG/16/2</w:t>
    </w:r>
  </w:p>
  <w:p w:rsidR="000D149C" w:rsidRDefault="000D149C" w:rsidP="00477D6B">
    <w:pPr>
      <w:jc w:val="right"/>
    </w:pPr>
    <w:r>
      <w:t xml:space="preserve">página </w:t>
    </w:r>
    <w:r>
      <w:fldChar w:fldCharType="begin"/>
    </w:r>
    <w:r>
      <w:instrText xml:space="preserve"> PAGE  \* MERGEFORMAT </w:instrText>
    </w:r>
    <w:r>
      <w:fldChar w:fldCharType="separate"/>
    </w:r>
    <w:r w:rsidR="008D7F39">
      <w:rPr>
        <w:noProof/>
      </w:rPr>
      <w:t>2</w:t>
    </w:r>
    <w:r>
      <w:fldChar w:fldCharType="end"/>
    </w:r>
  </w:p>
  <w:p w:rsidR="000D149C" w:rsidRDefault="000D149C" w:rsidP="00477D6B">
    <w:pPr>
      <w:jc w:val="right"/>
    </w:pPr>
  </w:p>
  <w:p w:rsidR="000D149C" w:rsidRDefault="000D149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F39" w:rsidRDefault="008D7F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ED" w:rsidRPr="002326AB" w:rsidRDefault="00A416ED" w:rsidP="00A416ED">
    <w:pPr>
      <w:jc w:val="right"/>
      <w:rPr>
        <w:caps/>
      </w:rPr>
    </w:pPr>
    <w:r>
      <w:rPr>
        <w:caps/>
      </w:rPr>
      <w:t>PCT/WG/16/2</w:t>
    </w:r>
  </w:p>
  <w:p w:rsidR="00A416ED" w:rsidRPr="000D149C" w:rsidRDefault="00A416ED" w:rsidP="00A416ED">
    <w:pPr>
      <w:jc w:val="right"/>
      <w:rPr>
        <w:caps/>
      </w:rPr>
    </w:pPr>
    <w:r>
      <w:t>Anexo,</w:t>
    </w:r>
    <w:r>
      <w:rPr>
        <w:caps/>
      </w:rPr>
      <w:t xml:space="preserve"> </w:t>
    </w:r>
    <w:r>
      <w:t xml:space="preserve">página </w:t>
    </w:r>
    <w:r>
      <w:fldChar w:fldCharType="begin"/>
    </w:r>
    <w:r>
      <w:instrText xml:space="preserve"> PAGE  \* MERGEFORMAT </w:instrText>
    </w:r>
    <w:r>
      <w:fldChar w:fldCharType="separate"/>
    </w:r>
    <w:r w:rsidR="00915577">
      <w:rPr>
        <w:noProof/>
      </w:rPr>
      <w:t>2</w:t>
    </w:r>
    <w:r>
      <w:fldChar w:fldCharType="end"/>
    </w:r>
  </w:p>
  <w:p w:rsidR="00A416ED" w:rsidRDefault="00A416ED" w:rsidP="00A416ED">
    <w:pPr>
      <w:jc w:val="right"/>
    </w:pPr>
  </w:p>
  <w:p w:rsidR="00A416ED" w:rsidRDefault="00A416ED" w:rsidP="00A416ED">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9C" w:rsidRPr="002326AB" w:rsidRDefault="000D149C" w:rsidP="000D149C">
    <w:pPr>
      <w:jc w:val="right"/>
      <w:rPr>
        <w:caps/>
      </w:rPr>
    </w:pPr>
    <w:bookmarkStart w:id="11" w:name="Code2"/>
    <w:bookmarkEnd w:id="11"/>
    <w:r>
      <w:rPr>
        <w:caps/>
      </w:rPr>
      <w:t>PCT/WG/16/2</w:t>
    </w:r>
  </w:p>
  <w:p w:rsidR="00AE7F20" w:rsidRPr="000D149C" w:rsidRDefault="000D149C" w:rsidP="000D149C">
    <w:pPr>
      <w:jc w:val="right"/>
      <w:rPr>
        <w:caps/>
      </w:rPr>
    </w:pPr>
    <w:r>
      <w:t>Anexo,</w:t>
    </w:r>
    <w:r>
      <w:rPr>
        <w:caps/>
      </w:rPr>
      <w:t xml:space="preserve"> </w:t>
    </w:r>
    <w:r w:rsidR="00AE7F20">
      <w:t xml:space="preserve">página </w:t>
    </w:r>
    <w:r w:rsidR="00AE7F20">
      <w:fldChar w:fldCharType="begin"/>
    </w:r>
    <w:r w:rsidR="00AE7F20">
      <w:instrText xml:space="preserve"> PAGE  \* MERGEFORMAT </w:instrText>
    </w:r>
    <w:r w:rsidR="00AE7F20">
      <w:fldChar w:fldCharType="separate"/>
    </w:r>
    <w:r w:rsidR="008D7F39">
      <w:rPr>
        <w:noProof/>
      </w:rPr>
      <w:t>2</w:t>
    </w:r>
    <w:r w:rsidR="00AE7F20">
      <w:fldChar w:fldCharType="end"/>
    </w:r>
  </w:p>
  <w:p w:rsidR="00AE7F20" w:rsidRDefault="00AE7F20" w:rsidP="00477D6B">
    <w:pPr>
      <w:jc w:val="right"/>
    </w:pPr>
  </w:p>
  <w:p w:rsidR="00EC1AA7" w:rsidRDefault="00EC1AA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9C" w:rsidRDefault="000D149C" w:rsidP="000D149C">
    <w:pPr>
      <w:pStyle w:val="Header"/>
      <w:jc w:val="right"/>
      <w:rPr>
        <w:lang w:val="fr-CH"/>
      </w:rPr>
    </w:pPr>
    <w:r>
      <w:rPr>
        <w:lang w:val="fr-CH"/>
      </w:rPr>
      <w:t>PCT/WG/16/2</w:t>
    </w:r>
  </w:p>
  <w:p w:rsidR="000D149C" w:rsidRDefault="000D149C" w:rsidP="000D149C">
    <w:pPr>
      <w:pStyle w:val="Header"/>
      <w:jc w:val="right"/>
      <w:rPr>
        <w:lang w:val="fr-CH"/>
      </w:rPr>
    </w:pPr>
    <w:r>
      <w:rPr>
        <w:lang w:val="fr-CH"/>
      </w:rPr>
      <w:t>ANEXO</w:t>
    </w:r>
  </w:p>
  <w:p w:rsidR="000D149C" w:rsidRDefault="000D149C" w:rsidP="000D149C">
    <w:pPr>
      <w:pStyle w:val="Header"/>
      <w:rPr>
        <w:lang w:val="fr-CH"/>
      </w:rPr>
    </w:pPr>
  </w:p>
  <w:p w:rsidR="000F2A2A" w:rsidRPr="000D149C" w:rsidRDefault="000F2A2A" w:rsidP="000D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Lisbon|TextBase TMs\WorkspaceSTS\Brands, Designs &amp; DN\L Instruments|TextBase TMs\WorkspaceSTS\Ad-hoc\Auxiliar_Pool_S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0D149C"/>
    <w:rsid w:val="00010686"/>
    <w:rsid w:val="00021F9E"/>
    <w:rsid w:val="00047E8B"/>
    <w:rsid w:val="00052915"/>
    <w:rsid w:val="0008503D"/>
    <w:rsid w:val="000D149C"/>
    <w:rsid w:val="000E3BB3"/>
    <w:rsid w:val="000F2A2A"/>
    <w:rsid w:val="000F5E56"/>
    <w:rsid w:val="001362EE"/>
    <w:rsid w:val="00152CEA"/>
    <w:rsid w:val="001832A6"/>
    <w:rsid w:val="001B3BA3"/>
    <w:rsid w:val="001E2E96"/>
    <w:rsid w:val="002634C4"/>
    <w:rsid w:val="002C2E2F"/>
    <w:rsid w:val="002D23B5"/>
    <w:rsid w:val="002E0F47"/>
    <w:rsid w:val="002F4E68"/>
    <w:rsid w:val="00301DBC"/>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8564E"/>
    <w:rsid w:val="005B2EAE"/>
    <w:rsid w:val="005C34F6"/>
    <w:rsid w:val="00605827"/>
    <w:rsid w:val="00675021"/>
    <w:rsid w:val="006A06C6"/>
    <w:rsid w:val="007224C8"/>
    <w:rsid w:val="00794BE2"/>
    <w:rsid w:val="007A5581"/>
    <w:rsid w:val="007B71FE"/>
    <w:rsid w:val="007C03E8"/>
    <w:rsid w:val="007D781E"/>
    <w:rsid w:val="007E663E"/>
    <w:rsid w:val="00815082"/>
    <w:rsid w:val="0088395E"/>
    <w:rsid w:val="008B2CC1"/>
    <w:rsid w:val="008D7F39"/>
    <w:rsid w:val="008E6BD6"/>
    <w:rsid w:val="0090731E"/>
    <w:rsid w:val="00915577"/>
    <w:rsid w:val="00966A22"/>
    <w:rsid w:val="00972A71"/>
    <w:rsid w:val="00972F03"/>
    <w:rsid w:val="0098367F"/>
    <w:rsid w:val="009A0C8B"/>
    <w:rsid w:val="009A20CD"/>
    <w:rsid w:val="009B6241"/>
    <w:rsid w:val="00A02395"/>
    <w:rsid w:val="00A16FC0"/>
    <w:rsid w:val="00A32C9E"/>
    <w:rsid w:val="00A416ED"/>
    <w:rsid w:val="00AB613D"/>
    <w:rsid w:val="00AE7F20"/>
    <w:rsid w:val="00B534D5"/>
    <w:rsid w:val="00B65A0A"/>
    <w:rsid w:val="00B67CDC"/>
    <w:rsid w:val="00B72D36"/>
    <w:rsid w:val="00B92E57"/>
    <w:rsid w:val="00BC4164"/>
    <w:rsid w:val="00BD2DCC"/>
    <w:rsid w:val="00BF5A8E"/>
    <w:rsid w:val="00C90559"/>
    <w:rsid w:val="00CA0500"/>
    <w:rsid w:val="00CA2251"/>
    <w:rsid w:val="00D56C7C"/>
    <w:rsid w:val="00D71B4D"/>
    <w:rsid w:val="00D90289"/>
    <w:rsid w:val="00D93D55"/>
    <w:rsid w:val="00DC4C60"/>
    <w:rsid w:val="00DD3B4A"/>
    <w:rsid w:val="00DD6CF4"/>
    <w:rsid w:val="00E0079A"/>
    <w:rsid w:val="00E444DA"/>
    <w:rsid w:val="00E45C84"/>
    <w:rsid w:val="00E504E5"/>
    <w:rsid w:val="00E64D37"/>
    <w:rsid w:val="00EB0D93"/>
    <w:rsid w:val="00EB7A3E"/>
    <w:rsid w:val="00EC1AA7"/>
    <w:rsid w:val="00EC401A"/>
    <w:rsid w:val="00EF530A"/>
    <w:rsid w:val="00EF6622"/>
    <w:rsid w:val="00EF78A9"/>
    <w:rsid w:val="00F55408"/>
    <w:rsid w:val="00F66152"/>
    <w:rsid w:val="00F80845"/>
    <w:rsid w:val="00F84474"/>
    <w:rsid w:val="00F8761A"/>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6DAB8F9-CE4F-41E4-9C3C-8FE6E05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LegTitle">
    <w:name w:val="Leg # Title"/>
    <w:basedOn w:val="Normal"/>
    <w:next w:val="Normal"/>
    <w:rsid w:val="000D149C"/>
    <w:pPr>
      <w:keepNext/>
      <w:keepLines/>
      <w:pageBreakBefore/>
      <w:spacing w:before="240" w:after="480" w:line="360" w:lineRule="auto"/>
      <w:jc w:val="center"/>
    </w:pPr>
    <w:rPr>
      <w:rFonts w:eastAsia="Times New Roman" w:cs="Times New Roman"/>
      <w:b/>
      <w:noProof/>
      <w:snapToGrid w:val="0"/>
      <w:lang w:val="en-US" w:eastAsia="en-US"/>
    </w:rPr>
  </w:style>
  <w:style w:type="paragraph" w:customStyle="1" w:styleId="LegSubRule">
    <w:name w:val="Leg SubRule #"/>
    <w:basedOn w:val="Normal"/>
    <w:rsid w:val="000D149C"/>
    <w:pPr>
      <w:keepNext/>
      <w:keepLines/>
      <w:spacing w:after="240" w:line="360" w:lineRule="auto"/>
      <w:ind w:left="567" w:hanging="567"/>
    </w:pPr>
    <w:rPr>
      <w:rFonts w:eastAsia="Times New Roman" w:cs="Times New Roman"/>
      <w:noProof/>
      <w:snapToGrid w:val="0"/>
      <w:lang w:val="en-US" w:eastAsia="en-US"/>
    </w:rPr>
  </w:style>
  <w:style w:type="paragraph" w:customStyle="1" w:styleId="Lega">
    <w:name w:val="Leg (a)"/>
    <w:basedOn w:val="Normal"/>
    <w:rsid w:val="000D149C"/>
    <w:pPr>
      <w:spacing w:after="240" w:line="360" w:lineRule="auto"/>
    </w:pPr>
    <w:rPr>
      <w:rFonts w:eastAsia="Times New Roman" w:cs="Times New Roman"/>
      <w:noProof/>
      <w:snapToGrid w:val="0"/>
      <w:lang w:val="en-US" w:eastAsia="en-US"/>
    </w:rPr>
  </w:style>
  <w:style w:type="character" w:customStyle="1" w:styleId="Deletedtext">
    <w:name w:val="Deleted text"/>
    <w:basedOn w:val="DefaultParagraphFont"/>
    <w:uiPriority w:val="1"/>
    <w:qFormat/>
    <w:rsid w:val="000D149C"/>
    <w:rPr>
      <w:strike/>
      <w:dstrike w:val="0"/>
      <w:color w:val="FF0000"/>
    </w:rPr>
  </w:style>
  <w:style w:type="paragraph" w:styleId="TOC2">
    <w:name w:val="toc 2"/>
    <w:basedOn w:val="Normal"/>
    <w:next w:val="Normal"/>
    <w:autoRedefine/>
    <w:uiPriority w:val="39"/>
    <w:unhideWhenUsed/>
    <w:rsid w:val="000D149C"/>
    <w:pPr>
      <w:spacing w:after="100"/>
      <w:ind w:left="220"/>
    </w:pPr>
    <w:rPr>
      <w:lang w:val="en-US"/>
    </w:rPr>
  </w:style>
  <w:style w:type="paragraph" w:styleId="TOC1">
    <w:name w:val="toc 1"/>
    <w:basedOn w:val="Normal"/>
    <w:next w:val="Normal"/>
    <w:autoRedefine/>
    <w:uiPriority w:val="39"/>
    <w:unhideWhenUsed/>
    <w:rsid w:val="000D149C"/>
    <w:pPr>
      <w:spacing w:after="100"/>
    </w:pPr>
    <w:rPr>
      <w:lang w:val="en-US"/>
    </w:rPr>
  </w:style>
  <w:style w:type="character" w:styleId="Hyperlink">
    <w:name w:val="Hyperlink"/>
    <w:basedOn w:val="DefaultParagraphFont"/>
    <w:uiPriority w:val="99"/>
    <w:unhideWhenUsed/>
    <w:rsid w:val="000D149C"/>
    <w:rPr>
      <w:color w:val="0000FF" w:themeColor="hyperlink"/>
      <w:u w:val="single"/>
    </w:rPr>
  </w:style>
  <w:style w:type="character" w:styleId="FootnoteReference">
    <w:name w:val="footnote reference"/>
    <w:basedOn w:val="DefaultParagraphFont"/>
    <w:semiHidden/>
    <w:unhideWhenUsed/>
    <w:rsid w:val="000D14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6EB6A-DE58-425F-80A6-853855D6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4817</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PCT/WG/16/2</vt:lpstr>
    </vt:vector>
  </TitlesOfParts>
  <Company>WIPO</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PCT/WG/16/2</dc:title>
  <dc:creator>REGUEIRA MIRA Claudia</dc:creator>
  <cp:keywords>PUBLIC</cp:keywords>
  <cp:lastModifiedBy>MARLOW Thomas</cp:lastModifiedBy>
  <cp:revision>4</cp:revision>
  <dcterms:created xsi:type="dcterms:W3CDTF">2023-01-06T10:22:00Z</dcterms:created>
  <dcterms:modified xsi:type="dcterms:W3CDTF">2023-01-06T10:22:00Z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