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7A8BB" w14:textId="77777777" w:rsidR="008B2CC1" w:rsidRPr="00FC2D26" w:rsidRDefault="008B14EA" w:rsidP="008B14EA">
      <w:pPr>
        <w:spacing w:after="120"/>
        <w:jc w:val="right"/>
        <w:rPr>
          <w:lang w:val="es-ES_tradnl"/>
        </w:rPr>
      </w:pPr>
      <w:r w:rsidRPr="00FC2D26">
        <w:rPr>
          <w:noProof/>
          <w:lang w:val="es-ES_tradnl" w:eastAsia="en-US"/>
        </w:rPr>
        <w:drawing>
          <wp:inline distT="0" distB="0" distL="0" distR="0" wp14:anchorId="33436FD6" wp14:editId="3D263AC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C2D26">
        <w:rPr>
          <w:rFonts w:ascii="Arial Black" w:hAnsi="Arial Black"/>
          <w:caps/>
          <w:noProof/>
          <w:sz w:val="15"/>
          <w:szCs w:val="15"/>
          <w:lang w:val="es-ES_tradnl" w:eastAsia="en-US"/>
        </w:rPr>
        <mc:AlternateContent>
          <mc:Choice Requires="wps">
            <w:drawing>
              <wp:inline distT="0" distB="0" distL="0" distR="0" wp14:anchorId="7EA91265" wp14:editId="3733987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B4756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F50DAAA" w14:textId="51D1D8CC" w:rsidR="008B2CC1" w:rsidRPr="00FC2D26" w:rsidRDefault="005472C7" w:rsidP="008B14EA">
      <w:pPr>
        <w:jc w:val="right"/>
        <w:rPr>
          <w:rFonts w:ascii="Arial Black" w:hAnsi="Arial Black"/>
          <w:caps/>
          <w:sz w:val="15"/>
          <w:lang w:val="es-ES_tradnl"/>
        </w:rPr>
      </w:pPr>
      <w:r w:rsidRPr="00FC2D26">
        <w:rPr>
          <w:rFonts w:ascii="Arial Black" w:hAnsi="Arial Black"/>
          <w:caps/>
          <w:sz w:val="15"/>
          <w:szCs w:val="15"/>
          <w:lang w:val="es-ES_tradnl"/>
        </w:rPr>
        <w:t>PCT/WG/1</w:t>
      </w:r>
      <w:r w:rsidR="00E51F34" w:rsidRPr="00FC2D26">
        <w:rPr>
          <w:rFonts w:ascii="Arial Black" w:hAnsi="Arial Black"/>
          <w:caps/>
          <w:sz w:val="15"/>
          <w:szCs w:val="15"/>
          <w:lang w:val="es-ES_tradnl"/>
        </w:rPr>
        <w:t>8</w:t>
      </w:r>
      <w:r w:rsidR="00186911" w:rsidRPr="00FC2D26">
        <w:rPr>
          <w:rFonts w:ascii="Arial Black" w:hAnsi="Arial Black"/>
          <w:caps/>
          <w:sz w:val="15"/>
          <w:szCs w:val="15"/>
          <w:lang w:val="es-ES_tradnl"/>
        </w:rPr>
        <w:t>/</w:t>
      </w:r>
      <w:bookmarkStart w:id="0" w:name="Code"/>
      <w:bookmarkEnd w:id="0"/>
      <w:r w:rsidR="00FC2D26" w:rsidRPr="00FC2D26">
        <w:rPr>
          <w:rFonts w:ascii="Arial Black" w:hAnsi="Arial Black"/>
          <w:caps/>
          <w:sz w:val="15"/>
          <w:szCs w:val="15"/>
          <w:lang w:val="es-ES_tradnl"/>
        </w:rPr>
        <w:t>3</w:t>
      </w:r>
    </w:p>
    <w:p w14:paraId="2BE15F3C" w14:textId="7A76E0A6" w:rsidR="008B2CC1" w:rsidRPr="00FC2D26" w:rsidRDefault="008B14EA" w:rsidP="008B14EA">
      <w:pPr>
        <w:jc w:val="right"/>
        <w:rPr>
          <w:rFonts w:ascii="Arial Black" w:hAnsi="Arial Black"/>
          <w:caps/>
          <w:sz w:val="15"/>
          <w:lang w:val="es-ES_tradnl"/>
        </w:rPr>
      </w:pPr>
      <w:r w:rsidRPr="00FC2D26">
        <w:rPr>
          <w:rFonts w:ascii="Arial Black" w:hAnsi="Arial Black"/>
          <w:caps/>
          <w:sz w:val="15"/>
          <w:lang w:val="es-ES_tradnl"/>
        </w:rPr>
        <w:t xml:space="preserve">ORIGINAL: </w:t>
      </w:r>
      <w:bookmarkStart w:id="1" w:name="Original"/>
      <w:r w:rsidR="00FC2D26" w:rsidRPr="00FC2D26">
        <w:rPr>
          <w:rFonts w:ascii="Arial Black" w:hAnsi="Arial Black"/>
          <w:caps/>
          <w:sz w:val="15"/>
          <w:lang w:val="es-ES_tradnl"/>
        </w:rPr>
        <w:t>INGLÉS</w:t>
      </w:r>
    </w:p>
    <w:bookmarkEnd w:id="1"/>
    <w:p w14:paraId="000F5279" w14:textId="3D9538A4" w:rsidR="008B2CC1" w:rsidRPr="00FC2D26" w:rsidRDefault="008B14EA" w:rsidP="008B14EA">
      <w:pPr>
        <w:spacing w:after="1200"/>
        <w:jc w:val="right"/>
        <w:rPr>
          <w:rFonts w:ascii="Arial Black" w:hAnsi="Arial Black"/>
          <w:caps/>
          <w:sz w:val="15"/>
          <w:lang w:val="es-ES_tradnl"/>
        </w:rPr>
      </w:pPr>
      <w:r w:rsidRPr="00FC2D26">
        <w:rPr>
          <w:rFonts w:ascii="Arial Black" w:hAnsi="Arial Black"/>
          <w:caps/>
          <w:sz w:val="15"/>
          <w:lang w:val="es-ES_tradnl"/>
        </w:rPr>
        <w:t xml:space="preserve">FECHA: </w:t>
      </w:r>
      <w:bookmarkStart w:id="2" w:name="Date"/>
      <w:r w:rsidR="00FC2D26" w:rsidRPr="00FC2D26">
        <w:rPr>
          <w:rFonts w:ascii="Arial Black" w:hAnsi="Arial Black"/>
          <w:caps/>
          <w:sz w:val="15"/>
          <w:lang w:val="es-ES_tradnl"/>
        </w:rPr>
        <w:t>13 DE DICIEMBRE DE 2024</w:t>
      </w:r>
    </w:p>
    <w:bookmarkEnd w:id="2"/>
    <w:p w14:paraId="66DB9EFB" w14:textId="77777777" w:rsidR="008B2CC1" w:rsidRPr="00FC2D26" w:rsidRDefault="005472C7" w:rsidP="008B14EA">
      <w:pPr>
        <w:spacing w:after="600"/>
        <w:rPr>
          <w:b/>
          <w:sz w:val="28"/>
          <w:szCs w:val="28"/>
          <w:lang w:val="es-ES_tradnl"/>
        </w:rPr>
      </w:pPr>
      <w:r w:rsidRPr="00FC2D26">
        <w:rPr>
          <w:b/>
          <w:sz w:val="28"/>
          <w:szCs w:val="28"/>
          <w:lang w:val="es-ES_tradnl"/>
        </w:rPr>
        <w:t>Grupo de Trabajo del Tratado de Cooperación en materia de Patentes (PCT)</w:t>
      </w:r>
    </w:p>
    <w:p w14:paraId="126EF7C7" w14:textId="77777777" w:rsidR="00323EB5" w:rsidRPr="00FC2D26" w:rsidRDefault="00011CFD" w:rsidP="00323EB5">
      <w:pPr>
        <w:rPr>
          <w:b/>
          <w:sz w:val="24"/>
          <w:szCs w:val="24"/>
          <w:lang w:val="es-ES_tradnl"/>
        </w:rPr>
      </w:pPr>
      <w:r w:rsidRPr="00FC2D26">
        <w:rPr>
          <w:b/>
          <w:sz w:val="24"/>
          <w:szCs w:val="24"/>
          <w:lang w:val="es-ES_tradnl"/>
        </w:rPr>
        <w:t xml:space="preserve">Decimoctava </w:t>
      </w:r>
      <w:r w:rsidR="005472C7" w:rsidRPr="00FC2D26">
        <w:rPr>
          <w:b/>
          <w:sz w:val="24"/>
          <w:szCs w:val="24"/>
          <w:lang w:val="es-ES_tradnl"/>
        </w:rPr>
        <w:t>reunión</w:t>
      </w:r>
    </w:p>
    <w:p w14:paraId="46244052" w14:textId="77777777" w:rsidR="008B2CC1" w:rsidRPr="00FC2D26" w:rsidRDefault="005472C7" w:rsidP="008B14EA">
      <w:pPr>
        <w:spacing w:after="720"/>
        <w:rPr>
          <w:b/>
          <w:sz w:val="24"/>
          <w:szCs w:val="24"/>
          <w:lang w:val="es-ES_tradnl"/>
        </w:rPr>
      </w:pPr>
      <w:r w:rsidRPr="00FC2D26">
        <w:rPr>
          <w:b/>
          <w:sz w:val="24"/>
          <w:szCs w:val="24"/>
          <w:lang w:val="es-ES_tradnl"/>
        </w:rPr>
        <w:t xml:space="preserve">Ginebra, </w:t>
      </w:r>
      <w:r w:rsidR="00D21340" w:rsidRPr="00FC2D26">
        <w:rPr>
          <w:b/>
          <w:sz w:val="24"/>
          <w:szCs w:val="24"/>
          <w:lang w:val="es-ES_tradnl"/>
        </w:rPr>
        <w:t>1</w:t>
      </w:r>
      <w:r w:rsidR="00E51F34" w:rsidRPr="00FC2D26">
        <w:rPr>
          <w:b/>
          <w:sz w:val="24"/>
          <w:szCs w:val="24"/>
          <w:lang w:val="es-ES_tradnl"/>
        </w:rPr>
        <w:t>8</w:t>
      </w:r>
      <w:r w:rsidR="00D21340" w:rsidRPr="00FC2D26">
        <w:rPr>
          <w:b/>
          <w:sz w:val="24"/>
          <w:szCs w:val="24"/>
          <w:lang w:val="es-ES_tradnl"/>
        </w:rPr>
        <w:t xml:space="preserve"> a 2</w:t>
      </w:r>
      <w:r w:rsidR="00E51F34" w:rsidRPr="00FC2D26">
        <w:rPr>
          <w:b/>
          <w:sz w:val="24"/>
          <w:szCs w:val="24"/>
          <w:lang w:val="es-ES_tradnl"/>
        </w:rPr>
        <w:t>0</w:t>
      </w:r>
      <w:r w:rsidR="00D21340" w:rsidRPr="00FC2D26">
        <w:rPr>
          <w:b/>
          <w:sz w:val="24"/>
          <w:szCs w:val="24"/>
          <w:lang w:val="es-ES_tradnl"/>
        </w:rPr>
        <w:t xml:space="preserve"> de febrero de 202</w:t>
      </w:r>
      <w:r w:rsidR="00E51F34" w:rsidRPr="00FC2D26">
        <w:rPr>
          <w:b/>
          <w:sz w:val="24"/>
          <w:szCs w:val="24"/>
          <w:lang w:val="es-ES_tradnl"/>
        </w:rPr>
        <w:t>5</w:t>
      </w:r>
    </w:p>
    <w:p w14:paraId="77C45803" w14:textId="74859A08" w:rsidR="008B2CC1" w:rsidRPr="00FC2D26" w:rsidRDefault="00FC2D26" w:rsidP="008B14EA">
      <w:pPr>
        <w:spacing w:after="360"/>
        <w:rPr>
          <w:caps/>
          <w:sz w:val="24"/>
          <w:lang w:val="es-ES_tradnl"/>
        </w:rPr>
      </w:pPr>
      <w:bookmarkStart w:id="3" w:name="TitleOfDoc"/>
      <w:r w:rsidRPr="00FC2D26">
        <w:rPr>
          <w:caps/>
          <w:sz w:val="24"/>
          <w:lang w:val="es-ES_tradnl"/>
        </w:rPr>
        <w:t>Corrección de la Regla 26.3</w:t>
      </w:r>
      <w:r w:rsidRPr="00FC2D26">
        <w:rPr>
          <w:i/>
          <w:caps/>
          <w:sz w:val="24"/>
          <w:lang w:val="es-ES_tradnl"/>
        </w:rPr>
        <w:t>ter</w:t>
      </w:r>
    </w:p>
    <w:p w14:paraId="42715D35" w14:textId="1EEFE29E" w:rsidR="008B2CC1" w:rsidRPr="00FC2D26" w:rsidRDefault="00FC2D26" w:rsidP="008B14EA">
      <w:pPr>
        <w:spacing w:after="960"/>
        <w:rPr>
          <w:i/>
          <w:lang w:val="es-ES_tradnl"/>
        </w:rPr>
      </w:pPr>
      <w:bookmarkStart w:id="4" w:name="Prepared"/>
      <w:bookmarkEnd w:id="3"/>
      <w:r w:rsidRPr="00FC2D26">
        <w:rPr>
          <w:i/>
          <w:lang w:val="es-ES_tradnl"/>
        </w:rPr>
        <w:t>Documento preparado por la Oficina Internacional</w:t>
      </w:r>
    </w:p>
    <w:bookmarkEnd w:id="4"/>
    <w:p w14:paraId="3203BD1D" w14:textId="77777777" w:rsidR="00FC2D26" w:rsidRPr="00FC2D26" w:rsidRDefault="00FC2D26" w:rsidP="00FC2D26">
      <w:pPr>
        <w:pStyle w:val="Heading1"/>
        <w:rPr>
          <w:lang w:val="es-ES_tradnl"/>
        </w:rPr>
      </w:pPr>
      <w:r w:rsidRPr="00FC2D26">
        <w:rPr>
          <w:lang w:val="es-ES_tradnl"/>
        </w:rPr>
        <w:t>Resumen</w:t>
      </w:r>
    </w:p>
    <w:p w14:paraId="547AD30E" w14:textId="77777777" w:rsidR="00FC2D26" w:rsidRPr="00FC2D26" w:rsidRDefault="00FC2D26" w:rsidP="00FC2D26">
      <w:pPr>
        <w:pStyle w:val="ONUMFS"/>
        <w:rPr>
          <w:lang w:val="es-ES_tradnl"/>
        </w:rPr>
      </w:pPr>
      <w:r w:rsidRPr="00FC2D26">
        <w:rPr>
          <w:lang w:val="es-ES_tradnl"/>
        </w:rPr>
        <w:t>En el presente documento se proponen correcciones a la versión en francés de la Regla 26.3</w:t>
      </w:r>
      <w:r w:rsidRPr="00FC2D26">
        <w:rPr>
          <w:i/>
          <w:iCs/>
          <w:lang w:val="es-ES_tradnl"/>
        </w:rPr>
        <w:t>ter</w:t>
      </w:r>
      <w:r w:rsidRPr="00FC2D26">
        <w:rPr>
          <w:lang w:val="es-ES_tradnl"/>
        </w:rPr>
        <w:t>.</w:t>
      </w:r>
    </w:p>
    <w:p w14:paraId="06FFB1E8" w14:textId="77777777" w:rsidR="00FC2D26" w:rsidRPr="00FC2D26" w:rsidRDefault="00FC2D26" w:rsidP="00FC2D26">
      <w:pPr>
        <w:pStyle w:val="Heading1"/>
        <w:rPr>
          <w:lang w:val="es-ES_tradnl"/>
        </w:rPr>
      </w:pPr>
      <w:r w:rsidRPr="00FC2D26">
        <w:rPr>
          <w:lang w:val="es-ES_tradnl"/>
        </w:rPr>
        <w:t>Antecedentes</w:t>
      </w:r>
    </w:p>
    <w:p w14:paraId="1A58C163" w14:textId="61A0DC61" w:rsidR="00FC2D26" w:rsidRPr="00FC2D26" w:rsidRDefault="00FC2D26" w:rsidP="00FC2D26">
      <w:pPr>
        <w:pStyle w:val="ONUMFS"/>
        <w:rPr>
          <w:lang w:val="es-ES_tradnl"/>
        </w:rPr>
      </w:pPr>
      <w:r w:rsidRPr="00FC2D26">
        <w:rPr>
          <w:lang w:val="es-ES_tradnl"/>
        </w:rPr>
        <w:t>En julio de 2023, la Asamblea de la Unión del PCT («la Asamblea») aprobó modificaciones de la Regla 26.3</w:t>
      </w:r>
      <w:r w:rsidRPr="00FC2D26">
        <w:rPr>
          <w:i/>
          <w:lang w:val="es-ES_tradnl"/>
        </w:rPr>
        <w:t>ter</w:t>
      </w:r>
      <w:r w:rsidRPr="00FC2D26">
        <w:rPr>
          <w:lang w:val="es-ES_tradnl"/>
        </w:rPr>
        <w:t>, insertando el apartado e) relativo al procedimiento cuando una solicitud internacional contiene partes en diferentes idiomas y todos esos idiomas son aceptados por la Oficina receptora competente (véanse el párrafo 2.a) y el Anexo I del documento PCT/A/55/2, y el párrafo 32 del documento PCT/A/55/4). Dichas modificaciones entraron en vigor el 1 de julio de 2024.</w:t>
      </w:r>
    </w:p>
    <w:p w14:paraId="59FFBDF8" w14:textId="4711F526" w:rsidR="00FC2D26" w:rsidRPr="00FC2D26" w:rsidRDefault="00FC2D26" w:rsidP="00FC2D26">
      <w:pPr>
        <w:pStyle w:val="ONUMFS"/>
        <w:rPr>
          <w:lang w:val="es-ES_tradnl"/>
        </w:rPr>
      </w:pPr>
      <w:r w:rsidRPr="00FC2D26">
        <w:rPr>
          <w:lang w:val="es-ES_tradnl"/>
        </w:rPr>
        <w:t>En julio de 2024, la Asamblea aprobó una modificación adicional de la Regla 26.3</w:t>
      </w:r>
      <w:r w:rsidRPr="00FC2D26">
        <w:rPr>
          <w:i/>
          <w:lang w:val="es-ES_tradnl"/>
        </w:rPr>
        <w:t>ter</w:t>
      </w:r>
      <w:r w:rsidRPr="00FC2D26">
        <w:rPr>
          <w:lang w:val="es-ES_tradnl"/>
        </w:rPr>
        <w:t xml:space="preserve"> limitando el alcance del apartado a) de las excepciones al requisito de que la Oficina receptora requiera al solicitante para que proporcione una traducción del resumen y del texto de los dibujos al idioma en que deba publicarse la solicitud internacional cuando el resumen o el texto de los dibujos se presente en un idioma diferente, garantizando así que la solicitud internacional se publique en un único idioma (véanse el párrafo 2.c) y el Anexo III del documento PCT/A/56/2, y el párrafo 23 del documento PCT/A/56/3). Dicha modificación entrará en vigor el 1 de julio de 2025 y se aplicará a todas las solicitudes internacionales cuya fecha de presentación internacional sea a partir de esa fecha. </w:t>
      </w:r>
    </w:p>
    <w:p w14:paraId="4327A61D" w14:textId="0A92B239" w:rsidR="00FC2D26" w:rsidRPr="00FC2D26" w:rsidRDefault="00FC2D26" w:rsidP="00FC2D26">
      <w:pPr>
        <w:pStyle w:val="ONUMFS"/>
        <w:rPr>
          <w:lang w:val="es-ES_tradnl"/>
        </w:rPr>
      </w:pPr>
      <w:r w:rsidRPr="00FC2D26">
        <w:rPr>
          <w:lang w:val="es-ES_tradnl"/>
        </w:rPr>
        <w:lastRenderedPageBreak/>
        <w:t>Desde entonces, la Oficina Internacional ha constatado que hay dos errores en la versión en francés de la Regla 26.3</w:t>
      </w:r>
      <w:r w:rsidRPr="00FC2D26">
        <w:rPr>
          <w:i/>
          <w:iCs/>
          <w:lang w:val="es-ES_tradnl"/>
        </w:rPr>
        <w:t>ter.</w:t>
      </w:r>
      <w:r w:rsidRPr="00FC2D26">
        <w:rPr>
          <w:lang w:val="es-ES_tradnl"/>
        </w:rPr>
        <w:t xml:space="preserve"> En el presente documento se proponen correcciones para esos errores.</w:t>
      </w:r>
    </w:p>
    <w:p w14:paraId="631C8A43" w14:textId="77777777" w:rsidR="00FC2D26" w:rsidRPr="00FC2D26" w:rsidRDefault="00FC2D26" w:rsidP="00FC2D26">
      <w:pPr>
        <w:pStyle w:val="Heading1"/>
        <w:rPr>
          <w:lang w:val="es-ES_tradnl"/>
        </w:rPr>
      </w:pPr>
      <w:r w:rsidRPr="00FC2D26">
        <w:rPr>
          <w:lang w:val="es-ES_tradnl"/>
        </w:rPr>
        <w:t>Correcciones propuestas</w:t>
      </w:r>
    </w:p>
    <w:p w14:paraId="58F1237A" w14:textId="07C30A77" w:rsidR="00FC2D26" w:rsidRPr="00FC2D26" w:rsidRDefault="00FC2D26" w:rsidP="00FC2D26">
      <w:pPr>
        <w:pStyle w:val="ONUMFS"/>
        <w:rPr>
          <w:lang w:val="es-ES_tradnl"/>
        </w:rPr>
      </w:pPr>
      <w:r w:rsidRPr="00FC2D26">
        <w:rPr>
          <w:lang w:val="es-ES_tradnl"/>
        </w:rPr>
        <w:t>El texto del inciso i) del apartado a) de la versión en francés de la Regla 26.3</w:t>
      </w:r>
      <w:r w:rsidRPr="00FC2D26">
        <w:rPr>
          <w:i/>
          <w:iCs/>
          <w:lang w:val="es-ES_tradnl"/>
        </w:rPr>
        <w:t>ter</w:t>
      </w:r>
      <w:r w:rsidRPr="00FC2D26">
        <w:rPr>
          <w:lang w:val="es-ES_tradnl"/>
        </w:rPr>
        <w:t xml:space="preserve"> es el siguiente: “si une traduction de la demande internationale est exigée en vertu de la règle 12.3.a) dans </w:t>
      </w:r>
      <w:r w:rsidRPr="00FC2D26">
        <w:rPr>
          <w:i/>
          <w:lang w:val="es-ES_tradnl"/>
        </w:rPr>
        <w:t>une</w:t>
      </w:r>
      <w:r w:rsidRPr="00FC2D26">
        <w:rPr>
          <w:lang w:val="es-ES_tradnl"/>
        </w:rPr>
        <w:t xml:space="preserve"> langue dans laquelle la demande internationale doit être publiée” (comillas añadidas). La Oficina Internacional propone corregir el texto para utilizar el artículo definido «la» en lugar del artículo indefinido «une». Eso ajusta el texto al utilizado en el inciso ii) de dicho apartado cuando se hace referencia al idioma en el que debe publicarse la solicitud internacional.</w:t>
      </w:r>
      <w:bookmarkStart w:id="5" w:name="_Ref184839242"/>
    </w:p>
    <w:p w14:paraId="35EAD1D1" w14:textId="65B53F61" w:rsidR="00FC2D26" w:rsidRPr="00FC2D26" w:rsidRDefault="00FC2D26" w:rsidP="00FC2D26">
      <w:pPr>
        <w:pStyle w:val="ONUMFS"/>
        <w:rPr>
          <w:lang w:val="es-ES_tradnl"/>
        </w:rPr>
      </w:pPr>
      <w:bookmarkStart w:id="6" w:name="_Ref184839259"/>
      <w:bookmarkEnd w:id="5"/>
      <w:r w:rsidRPr="00FC2D26">
        <w:rPr>
          <w:lang w:val="es-ES_tradnl"/>
        </w:rPr>
        <w:t>El texto del inciso i) del apartado e) de la versión en francés de la Regla 26.3</w:t>
      </w:r>
      <w:r w:rsidRPr="00FC2D26">
        <w:rPr>
          <w:i/>
          <w:iCs/>
          <w:lang w:val="es-ES_tradnl"/>
        </w:rPr>
        <w:t>ter</w:t>
      </w:r>
      <w:r w:rsidRPr="00FC2D26">
        <w:rPr>
          <w:lang w:val="es-ES_tradnl"/>
        </w:rPr>
        <w:t xml:space="preserve"> es el siguiente: “une des langues </w:t>
      </w:r>
      <w:r w:rsidRPr="00FC2D26">
        <w:rPr>
          <w:i/>
          <w:lang w:val="es-ES_tradnl"/>
        </w:rPr>
        <w:t>indiquées</w:t>
      </w:r>
      <w:r w:rsidRPr="00FC2D26">
        <w:rPr>
          <w:lang w:val="es-ES_tradnl"/>
        </w:rPr>
        <w:t xml:space="preserve"> dans la description ou les revendications telles qu’elles ont été déposées” (comillas añadidas). El adjetivo en francés «indiquées» es incorrecto; no hay ninguna indicación explícita de que se utilice una lengua determinada en la descripción o en las reivindicaciones. La Oficina Internacional propone corregir el texto para emplear el adjetivo «utilisées» para referirse a un idioma contenido en la descripción o las reivindicaciones de la solicitud internacional presentada.</w:t>
      </w:r>
      <w:bookmarkEnd w:id="6"/>
    </w:p>
    <w:p w14:paraId="0C80183E" w14:textId="71CB0A49" w:rsidR="00FC2D26" w:rsidRPr="00FC2D26" w:rsidRDefault="00FC2D26" w:rsidP="00FC2D26">
      <w:pPr>
        <w:pStyle w:val="ONUMFS"/>
        <w:rPr>
          <w:lang w:val="es-ES_tradnl"/>
        </w:rPr>
      </w:pPr>
      <w:r w:rsidRPr="00FC2D26">
        <w:rPr>
          <w:lang w:val="es-ES_tradnl"/>
        </w:rPr>
        <w:t xml:space="preserve">En el Anexo figuran las correcciones propuestas que se mencionan en los párrafos </w:t>
      </w:r>
      <w:r w:rsidRPr="00FC2D26">
        <w:rPr>
          <w:lang w:val="es-ES_tradnl"/>
        </w:rPr>
        <w:fldChar w:fldCharType="begin"/>
      </w:r>
      <w:r w:rsidRPr="00FC2D26">
        <w:rPr>
          <w:lang w:val="es-ES_tradnl"/>
        </w:rPr>
        <w:instrText xml:space="preserve"> REF _Ref184839242 \r \h </w:instrText>
      </w:r>
      <w:r w:rsidRPr="00FC2D26">
        <w:rPr>
          <w:lang w:val="es-ES_tradnl"/>
        </w:rPr>
      </w:r>
      <w:r w:rsidRPr="00FC2D26">
        <w:rPr>
          <w:lang w:val="es-ES_tradnl"/>
        </w:rPr>
        <w:fldChar w:fldCharType="separate"/>
      </w:r>
      <w:r w:rsidR="00C536DA">
        <w:rPr>
          <w:lang w:val="es-ES_tradnl"/>
        </w:rPr>
        <w:t>5</w:t>
      </w:r>
      <w:r w:rsidRPr="00FC2D26">
        <w:rPr>
          <w:lang w:val="es-ES_tradnl"/>
        </w:rPr>
        <w:fldChar w:fldCharType="end"/>
      </w:r>
      <w:r w:rsidRPr="00FC2D26">
        <w:rPr>
          <w:lang w:val="es-ES_tradnl"/>
        </w:rPr>
        <w:t xml:space="preserve"> y </w:t>
      </w:r>
      <w:r w:rsidRPr="00FC2D26">
        <w:rPr>
          <w:lang w:val="es-ES_tradnl"/>
        </w:rPr>
        <w:fldChar w:fldCharType="begin"/>
      </w:r>
      <w:r w:rsidRPr="00FC2D26">
        <w:rPr>
          <w:lang w:val="es-ES_tradnl"/>
        </w:rPr>
        <w:instrText xml:space="preserve"> REF _Ref184839259 \r \h </w:instrText>
      </w:r>
      <w:r w:rsidRPr="00FC2D26">
        <w:rPr>
          <w:lang w:val="es-ES_tradnl"/>
        </w:rPr>
      </w:r>
      <w:r w:rsidRPr="00FC2D26">
        <w:rPr>
          <w:lang w:val="es-ES_tradnl"/>
        </w:rPr>
        <w:fldChar w:fldCharType="separate"/>
      </w:r>
      <w:r w:rsidR="00C536DA">
        <w:rPr>
          <w:lang w:val="es-ES_tradnl"/>
        </w:rPr>
        <w:t>6</w:t>
      </w:r>
      <w:r w:rsidRPr="00FC2D26">
        <w:rPr>
          <w:lang w:val="es-ES_tradnl"/>
        </w:rPr>
        <w:fldChar w:fldCharType="end"/>
      </w:r>
      <w:r w:rsidRPr="00FC2D26">
        <w:rPr>
          <w:lang w:val="es-ES_tradnl"/>
        </w:rPr>
        <w:t>, supra.</w:t>
      </w:r>
    </w:p>
    <w:p w14:paraId="292EC9C8" w14:textId="12CA8366" w:rsidR="00FC2D26" w:rsidRPr="00FC2D26" w:rsidRDefault="00FC2D26" w:rsidP="00FC2D26">
      <w:pPr>
        <w:pStyle w:val="ONUMFS"/>
        <w:tabs>
          <w:tab w:val="clear" w:pos="567"/>
        </w:tabs>
        <w:spacing w:after="600"/>
        <w:ind w:left="5528"/>
        <w:rPr>
          <w:i/>
          <w:iCs/>
          <w:lang w:val="es-ES_tradnl"/>
        </w:rPr>
      </w:pPr>
      <w:r w:rsidRPr="00FC2D26">
        <w:rPr>
          <w:i/>
          <w:iCs/>
          <w:lang w:val="es-ES_tradnl"/>
        </w:rPr>
        <w:t>Se invita al Grupo de Trabajo a examinar las correcciones propuestas a la versión en francés de la Regla 26.3ter que figuran en el Anexo del presente documento.</w:t>
      </w:r>
    </w:p>
    <w:p w14:paraId="351A00F7" w14:textId="77777777" w:rsidR="00FC2D26" w:rsidRPr="00FC2D26" w:rsidRDefault="00FC2D26" w:rsidP="00FC2D26">
      <w:pPr>
        <w:pStyle w:val="Endofdocument-Annex"/>
        <w:rPr>
          <w:lang w:val="es-ES_tradnl"/>
        </w:rPr>
      </w:pPr>
      <w:r w:rsidRPr="00FC2D26">
        <w:rPr>
          <w:lang w:val="es-ES_tradnl"/>
        </w:rPr>
        <w:t>[Sigue el Anexo]</w:t>
      </w:r>
    </w:p>
    <w:p w14:paraId="02FFCD89" w14:textId="45A12175" w:rsidR="00FC2D26" w:rsidRPr="00FC2D26" w:rsidRDefault="00FC2D26" w:rsidP="00FC2D26">
      <w:pPr>
        <w:pStyle w:val="Endofdocument-Annex"/>
        <w:rPr>
          <w:lang w:val="es-ES_tradnl"/>
        </w:rPr>
        <w:sectPr w:rsidR="00FC2D26" w:rsidRPr="00FC2D26" w:rsidSect="00FC2D26">
          <w:headerReference w:type="default" r:id="rId8"/>
          <w:endnotePr>
            <w:numFmt w:val="decimal"/>
          </w:endnotePr>
          <w:pgSz w:w="11907" w:h="16840" w:code="9"/>
          <w:pgMar w:top="567" w:right="1134" w:bottom="1418" w:left="1418" w:header="510" w:footer="1021" w:gutter="0"/>
          <w:cols w:space="720"/>
          <w:titlePg/>
          <w:docGrid w:linePitch="299"/>
        </w:sectPr>
      </w:pPr>
    </w:p>
    <w:p w14:paraId="2A7CA603" w14:textId="77777777" w:rsidR="00FC2D26" w:rsidRPr="00FC2D26" w:rsidRDefault="00FC2D26" w:rsidP="00FC2D26">
      <w:pPr>
        <w:jc w:val="center"/>
        <w:rPr>
          <w:lang w:val="fr-FR"/>
        </w:rPr>
      </w:pPr>
      <w:bookmarkStart w:id="7" w:name="_Toc114584490"/>
      <w:bookmarkStart w:id="8" w:name="_Toc114827706"/>
      <w:bookmarkStart w:id="9" w:name="_Toc157422236"/>
      <w:r w:rsidRPr="00FC2D26">
        <w:rPr>
          <w:lang w:val="fr-FR"/>
        </w:rPr>
        <w:lastRenderedPageBreak/>
        <w:t>PROPOSITIONS DE MODIFICATION DU RÈGLEMENT D’EXÉCUTION DU PCT</w:t>
      </w:r>
      <w:r w:rsidRPr="00FC2D26">
        <w:rPr>
          <w:rStyle w:val="FootnoteReference"/>
          <w:caps/>
          <w:lang w:val="es-ES_tradnl"/>
        </w:rPr>
        <w:footnoteReference w:id="2"/>
      </w:r>
    </w:p>
    <w:p w14:paraId="0AF97F23" w14:textId="77777777" w:rsidR="00FC2D26" w:rsidRPr="00FC2D26" w:rsidRDefault="00FC2D26" w:rsidP="00FC2D26">
      <w:pPr>
        <w:jc w:val="center"/>
        <w:rPr>
          <w:lang w:val="fr-FR"/>
        </w:rPr>
      </w:pPr>
    </w:p>
    <w:p w14:paraId="208F151E" w14:textId="77777777" w:rsidR="00FC2D26" w:rsidRPr="00FC2D26" w:rsidRDefault="00FC2D26" w:rsidP="00FC2D26">
      <w:pPr>
        <w:jc w:val="center"/>
        <w:rPr>
          <w:lang w:val="fr-FR"/>
        </w:rPr>
      </w:pPr>
    </w:p>
    <w:p w14:paraId="2C29EA9A" w14:textId="77777777" w:rsidR="00FC2D26" w:rsidRPr="00FC2D26" w:rsidRDefault="00FC2D26" w:rsidP="00FC2D26">
      <w:pPr>
        <w:jc w:val="center"/>
        <w:rPr>
          <w:lang w:val="es-ES_tradnl"/>
        </w:rPr>
      </w:pPr>
      <w:r w:rsidRPr="00FC2D26">
        <w:rPr>
          <w:lang w:val="es-ES_tradnl"/>
        </w:rPr>
        <w:t>TABLE DES MATIÈRES</w:t>
      </w:r>
    </w:p>
    <w:p w14:paraId="5F19F374" w14:textId="77777777" w:rsidR="00FC2D26" w:rsidRPr="00FC2D26" w:rsidRDefault="00FC2D26" w:rsidP="00FC2D26">
      <w:pPr>
        <w:jc w:val="center"/>
        <w:rPr>
          <w:lang w:val="es-ES_tradnl"/>
        </w:rPr>
      </w:pPr>
    </w:p>
    <w:p w14:paraId="019D9D5C" w14:textId="77777777" w:rsidR="00FC2D26" w:rsidRPr="00FC2D26" w:rsidRDefault="00FC2D26" w:rsidP="00FC2D26">
      <w:pPr>
        <w:jc w:val="center"/>
        <w:rPr>
          <w:lang w:val="es-ES_tradnl"/>
        </w:rPr>
      </w:pPr>
    </w:p>
    <w:p w14:paraId="16AA7B56" w14:textId="33D5ADFB" w:rsidR="00FC2D26" w:rsidRPr="00FC2D26" w:rsidRDefault="00FC2D26" w:rsidP="00FC2D26">
      <w:pPr>
        <w:pStyle w:val="TOC1"/>
        <w:tabs>
          <w:tab w:val="right" w:leader="dot" w:pos="9345"/>
        </w:tabs>
        <w:rPr>
          <w:noProof/>
          <w:lang w:val="es-ES_tradnl"/>
        </w:rPr>
      </w:pPr>
      <w:r w:rsidRPr="00FC2D26">
        <w:rPr>
          <w:lang w:val="es-ES_tradnl"/>
        </w:rPr>
        <w:fldChar w:fldCharType="begin"/>
      </w:r>
      <w:r w:rsidRPr="00FC2D26">
        <w:rPr>
          <w:lang w:val="es-ES_tradnl"/>
        </w:rPr>
        <w:instrText xml:space="preserve"> TOC \h \z \t "Leg # Title;1;Leg SubRule #;2" </w:instrText>
      </w:r>
      <w:r w:rsidRPr="00FC2D26">
        <w:rPr>
          <w:lang w:val="es-ES_tradnl"/>
        </w:rPr>
        <w:fldChar w:fldCharType="separate"/>
      </w:r>
      <w:hyperlink w:anchor="_Toc157422236" w:history="1">
        <w:r w:rsidRPr="00FC2D26">
          <w:rPr>
            <w:rStyle w:val="Hyperlink"/>
            <w:noProof/>
            <w:lang w:val="es-ES_tradnl"/>
          </w:rPr>
          <w:t>Règle 26 Contrôle et correction de certains éléments de la demande internationale auprès de l’office récepteur</w:t>
        </w:r>
        <w:r w:rsidRPr="00FC2D26">
          <w:rPr>
            <w:noProof/>
            <w:webHidden/>
            <w:lang w:val="es-ES_tradnl"/>
          </w:rPr>
          <w:tab/>
        </w:r>
        <w:r w:rsidRPr="00FC2D26">
          <w:rPr>
            <w:noProof/>
            <w:webHidden/>
            <w:lang w:val="es-ES_tradnl"/>
          </w:rPr>
          <w:fldChar w:fldCharType="begin"/>
        </w:r>
        <w:r w:rsidRPr="00FC2D26">
          <w:rPr>
            <w:noProof/>
            <w:webHidden/>
            <w:lang w:val="es-ES_tradnl"/>
          </w:rPr>
          <w:instrText xml:space="preserve"> PAGEREF _Toc157422236 \h </w:instrText>
        </w:r>
        <w:r w:rsidRPr="00FC2D26">
          <w:rPr>
            <w:noProof/>
            <w:webHidden/>
            <w:lang w:val="es-ES_tradnl"/>
          </w:rPr>
        </w:r>
        <w:r w:rsidRPr="00FC2D26">
          <w:rPr>
            <w:noProof/>
            <w:webHidden/>
            <w:lang w:val="es-ES_tradnl"/>
          </w:rPr>
          <w:fldChar w:fldCharType="separate"/>
        </w:r>
        <w:r w:rsidR="00C536DA">
          <w:rPr>
            <w:noProof/>
            <w:webHidden/>
            <w:lang w:val="es-ES_tradnl"/>
          </w:rPr>
          <w:t>1</w:t>
        </w:r>
        <w:r w:rsidRPr="00FC2D26">
          <w:rPr>
            <w:noProof/>
            <w:webHidden/>
            <w:lang w:val="es-ES_tradnl"/>
          </w:rPr>
          <w:fldChar w:fldCharType="end"/>
        </w:r>
      </w:hyperlink>
    </w:p>
    <w:p w14:paraId="254A4C77" w14:textId="0DE0C305" w:rsidR="00FC2D26" w:rsidRPr="00FC2D26" w:rsidRDefault="00FC2D26" w:rsidP="00FC2D26">
      <w:pPr>
        <w:pStyle w:val="TOC2"/>
        <w:tabs>
          <w:tab w:val="right" w:leader="dot" w:pos="9345"/>
        </w:tabs>
        <w:rPr>
          <w:noProof/>
          <w:lang w:val="es-ES_tradnl"/>
        </w:rPr>
      </w:pPr>
      <w:hyperlink w:anchor="_Toc157422237" w:history="1">
        <w:r w:rsidRPr="00FC2D26">
          <w:rPr>
            <w:rStyle w:val="Hyperlink"/>
            <w:noProof/>
            <w:lang w:val="es-ES_tradnl"/>
          </w:rPr>
          <w:t>26.1 à 26.3</w:t>
        </w:r>
        <w:r w:rsidRPr="00FC2D26">
          <w:rPr>
            <w:rStyle w:val="Hyperlink"/>
            <w:i/>
            <w:noProof/>
            <w:lang w:val="es-ES_tradnl"/>
          </w:rPr>
          <w:t>bis [Sans changement]</w:t>
        </w:r>
        <w:r w:rsidRPr="00FC2D26">
          <w:rPr>
            <w:noProof/>
            <w:webHidden/>
            <w:lang w:val="es-ES_tradnl"/>
          </w:rPr>
          <w:tab/>
        </w:r>
        <w:r w:rsidRPr="00FC2D26">
          <w:rPr>
            <w:noProof/>
            <w:webHidden/>
            <w:lang w:val="es-ES_tradnl"/>
          </w:rPr>
          <w:fldChar w:fldCharType="begin"/>
        </w:r>
        <w:r w:rsidRPr="00FC2D26">
          <w:rPr>
            <w:noProof/>
            <w:webHidden/>
            <w:lang w:val="es-ES_tradnl"/>
          </w:rPr>
          <w:instrText xml:space="preserve"> PAGEREF _Toc157422237 \h </w:instrText>
        </w:r>
        <w:r w:rsidRPr="00FC2D26">
          <w:rPr>
            <w:noProof/>
            <w:webHidden/>
            <w:lang w:val="es-ES_tradnl"/>
          </w:rPr>
        </w:r>
        <w:r w:rsidRPr="00FC2D26">
          <w:rPr>
            <w:noProof/>
            <w:webHidden/>
            <w:lang w:val="es-ES_tradnl"/>
          </w:rPr>
          <w:fldChar w:fldCharType="separate"/>
        </w:r>
        <w:r w:rsidR="00C536DA">
          <w:rPr>
            <w:noProof/>
            <w:webHidden/>
            <w:lang w:val="es-ES_tradnl"/>
          </w:rPr>
          <w:t>2</w:t>
        </w:r>
        <w:r w:rsidRPr="00FC2D26">
          <w:rPr>
            <w:noProof/>
            <w:webHidden/>
            <w:lang w:val="es-ES_tradnl"/>
          </w:rPr>
          <w:fldChar w:fldCharType="end"/>
        </w:r>
      </w:hyperlink>
    </w:p>
    <w:p w14:paraId="2E643561" w14:textId="2FF8EF28" w:rsidR="00FC2D26" w:rsidRPr="00FC2D26" w:rsidRDefault="00FC2D26" w:rsidP="00FC2D26">
      <w:pPr>
        <w:pStyle w:val="TOC2"/>
        <w:tabs>
          <w:tab w:val="right" w:leader="dot" w:pos="9345"/>
        </w:tabs>
        <w:rPr>
          <w:noProof/>
          <w:lang w:val="es-ES_tradnl"/>
        </w:rPr>
      </w:pPr>
      <w:hyperlink w:anchor="_Toc157422238" w:history="1">
        <w:r w:rsidRPr="00FC2D26">
          <w:rPr>
            <w:rStyle w:val="Hyperlink"/>
            <w:noProof/>
            <w:lang w:val="es-ES_tradnl"/>
          </w:rPr>
          <w:t>26.3</w:t>
        </w:r>
        <w:r w:rsidRPr="00FC2D26">
          <w:rPr>
            <w:rStyle w:val="Hyperlink"/>
            <w:i/>
            <w:noProof/>
            <w:lang w:val="es-ES_tradnl"/>
          </w:rPr>
          <w:t>ter Invitation à corriger des irrégularités en vertu de l’article 3.4)i)</w:t>
        </w:r>
        <w:r w:rsidRPr="00FC2D26">
          <w:rPr>
            <w:noProof/>
            <w:webHidden/>
            <w:lang w:val="es-ES_tradnl"/>
          </w:rPr>
          <w:tab/>
        </w:r>
        <w:r w:rsidRPr="00FC2D26">
          <w:rPr>
            <w:noProof/>
            <w:webHidden/>
            <w:lang w:val="es-ES_tradnl"/>
          </w:rPr>
          <w:fldChar w:fldCharType="begin"/>
        </w:r>
        <w:r w:rsidRPr="00FC2D26">
          <w:rPr>
            <w:noProof/>
            <w:webHidden/>
            <w:lang w:val="es-ES_tradnl"/>
          </w:rPr>
          <w:instrText xml:space="preserve"> PAGEREF _Toc157422238 \h </w:instrText>
        </w:r>
        <w:r w:rsidRPr="00FC2D26">
          <w:rPr>
            <w:noProof/>
            <w:webHidden/>
            <w:lang w:val="es-ES_tradnl"/>
          </w:rPr>
        </w:r>
        <w:r w:rsidRPr="00FC2D26">
          <w:rPr>
            <w:noProof/>
            <w:webHidden/>
            <w:lang w:val="es-ES_tradnl"/>
          </w:rPr>
          <w:fldChar w:fldCharType="separate"/>
        </w:r>
        <w:r w:rsidR="00C536DA">
          <w:rPr>
            <w:noProof/>
            <w:webHidden/>
            <w:lang w:val="es-ES_tradnl"/>
          </w:rPr>
          <w:t>2</w:t>
        </w:r>
        <w:r w:rsidRPr="00FC2D26">
          <w:rPr>
            <w:noProof/>
            <w:webHidden/>
            <w:lang w:val="es-ES_tradnl"/>
          </w:rPr>
          <w:fldChar w:fldCharType="end"/>
        </w:r>
      </w:hyperlink>
    </w:p>
    <w:p w14:paraId="556098A6" w14:textId="77777777" w:rsidR="00FC2D26" w:rsidRPr="00FC2D26" w:rsidRDefault="00FC2D26" w:rsidP="00FC2D26">
      <w:pPr>
        <w:rPr>
          <w:lang w:val="es-ES_tradnl"/>
        </w:rPr>
      </w:pPr>
      <w:r w:rsidRPr="00FC2D26">
        <w:rPr>
          <w:lang w:val="es-ES_tradnl"/>
        </w:rPr>
        <w:fldChar w:fldCharType="end"/>
      </w:r>
    </w:p>
    <w:p w14:paraId="75CD08A8" w14:textId="77777777" w:rsidR="00FC2D26" w:rsidRPr="00FC2D26" w:rsidRDefault="00FC2D26" w:rsidP="00FC2D26">
      <w:pPr>
        <w:pStyle w:val="LegTitle"/>
        <w:rPr>
          <w:lang w:val="es-ES_tradnl"/>
        </w:rPr>
      </w:pPr>
      <w:r w:rsidRPr="00FC2D26">
        <w:rPr>
          <w:lang w:val="es-ES_tradnl"/>
        </w:rPr>
        <w:t xml:space="preserve">Règle 26 </w:t>
      </w:r>
      <w:r w:rsidRPr="00FC2D26">
        <w:rPr>
          <w:lang w:val="es-ES_tradnl"/>
        </w:rPr>
        <w:br/>
      </w:r>
      <w:bookmarkEnd w:id="7"/>
      <w:r w:rsidRPr="00FC2D26">
        <w:rPr>
          <w:lang w:val="es-ES_tradnl"/>
        </w:rPr>
        <w:t>Contrôle et correction de certains éléments de la demande internationale auprès de l’office récepteur</w:t>
      </w:r>
      <w:bookmarkEnd w:id="8"/>
      <w:bookmarkEnd w:id="9"/>
    </w:p>
    <w:p w14:paraId="55D21036" w14:textId="1621A8D3" w:rsidR="00FC2D26" w:rsidRPr="00FC2D26" w:rsidRDefault="00FC2D26" w:rsidP="00FC2D26">
      <w:pPr>
        <w:pStyle w:val="LegSubRule"/>
        <w:keepLines w:val="0"/>
        <w:outlineLvl w:val="0"/>
        <w:rPr>
          <w:i/>
          <w:lang w:val="es-ES_tradnl"/>
        </w:rPr>
      </w:pPr>
      <w:bookmarkStart w:id="10" w:name="_Toc114827707"/>
      <w:bookmarkStart w:id="11" w:name="_Toc157422237"/>
      <w:r w:rsidRPr="00FC2D26">
        <w:rPr>
          <w:lang w:val="es-ES_tradnl"/>
        </w:rPr>
        <w:t>26.1 à 26.3</w:t>
      </w:r>
      <w:r w:rsidRPr="00FC2D26">
        <w:rPr>
          <w:i/>
          <w:lang w:val="es-ES_tradnl"/>
        </w:rPr>
        <w:t>bis [Sans changement]</w:t>
      </w:r>
      <w:bookmarkEnd w:id="10"/>
      <w:bookmarkEnd w:id="11"/>
    </w:p>
    <w:p w14:paraId="76C4D921" w14:textId="235EE421" w:rsidR="00FC2D26" w:rsidRPr="00FC2D26" w:rsidRDefault="00FC2D26" w:rsidP="00FC2D26">
      <w:pPr>
        <w:pStyle w:val="LegSubRule"/>
        <w:rPr>
          <w:lang w:val="es-ES_tradnl"/>
        </w:rPr>
      </w:pPr>
      <w:bookmarkStart w:id="12" w:name="_Toc114827710"/>
      <w:bookmarkStart w:id="13" w:name="_Toc157422238"/>
      <w:r w:rsidRPr="00FC2D26">
        <w:rPr>
          <w:lang w:val="es-ES_tradnl"/>
        </w:rPr>
        <w:t>26.3</w:t>
      </w:r>
      <w:r w:rsidRPr="00FC2D26">
        <w:rPr>
          <w:i/>
          <w:lang w:val="es-ES_tradnl"/>
        </w:rPr>
        <w:t>ter</w:t>
      </w:r>
      <w:r w:rsidRPr="00FC2D26">
        <w:rPr>
          <w:lang w:val="es-ES_tradnl"/>
        </w:rPr>
        <w:t xml:space="preserve"> </w:t>
      </w:r>
      <w:r w:rsidRPr="00FC2D26">
        <w:rPr>
          <w:i/>
          <w:lang w:val="es-ES_tradnl"/>
        </w:rPr>
        <w:t>Invitation à corriger des irrégularités en vertu de l’article 3.4)i)</w:t>
      </w:r>
      <w:bookmarkEnd w:id="12"/>
      <w:bookmarkEnd w:id="13"/>
    </w:p>
    <w:p w14:paraId="78CACE4E" w14:textId="77777777" w:rsidR="00FC2D26" w:rsidRPr="00C34A62" w:rsidRDefault="00FC2D26" w:rsidP="00FC2D26">
      <w:pPr>
        <w:pStyle w:val="Lega"/>
        <w:tabs>
          <w:tab w:val="clear" w:pos="454"/>
          <w:tab w:val="left" w:pos="567"/>
        </w:tabs>
        <w:rPr>
          <w:rStyle w:val="Deletedtext"/>
          <w:strike w:val="0"/>
          <w:color w:val="auto"/>
          <w:lang w:val="es-ES_tradnl"/>
        </w:rPr>
      </w:pPr>
      <w:r w:rsidRPr="00C34A62">
        <w:rPr>
          <w:rStyle w:val="Deletedtext"/>
          <w:strike w:val="0"/>
          <w:color w:val="auto"/>
          <w:lang w:val="es-ES_tradnl"/>
        </w:rPr>
        <w:t>a)</w:t>
      </w:r>
      <w:r w:rsidRPr="00C34A62">
        <w:rPr>
          <w:rStyle w:val="Deletedtext"/>
          <w:strike w:val="0"/>
          <w:color w:val="auto"/>
          <w:lang w:val="es-ES_tradnl"/>
        </w:rPr>
        <w:tab/>
        <w:t>Lorsque l’abrégé ou tout texte contenu dans les dessins est déposé dans une langue qui est différente de celle, sous réserve des règles 12.1</w:t>
      </w:r>
      <w:r w:rsidRPr="00C34A62">
        <w:rPr>
          <w:rStyle w:val="Deletedtext"/>
          <w:i/>
          <w:strike w:val="0"/>
          <w:color w:val="auto"/>
          <w:lang w:val="es-ES_tradnl"/>
        </w:rPr>
        <w:t>bis</w:t>
      </w:r>
      <w:r w:rsidRPr="00C34A62">
        <w:rPr>
          <w:rStyle w:val="Deletedtext"/>
          <w:strike w:val="0"/>
          <w:color w:val="auto"/>
          <w:lang w:val="es-ES_tradnl"/>
        </w:rPr>
        <w:t xml:space="preserve"> et 26.3</w:t>
      </w:r>
      <w:r w:rsidRPr="00C34A62">
        <w:rPr>
          <w:rStyle w:val="Deletedtext"/>
          <w:i/>
          <w:strike w:val="0"/>
          <w:color w:val="auto"/>
          <w:lang w:val="es-ES_tradnl"/>
        </w:rPr>
        <w:t>ter.</w:t>
      </w:r>
      <w:r w:rsidRPr="00C34A62">
        <w:rPr>
          <w:rStyle w:val="Deletedtext"/>
          <w:strike w:val="0"/>
          <w:color w:val="auto"/>
          <w:lang w:val="es-ES_tradnl"/>
        </w:rPr>
        <w:t>e), de la description et des revendications, l’office récepteur, sauf</w:t>
      </w:r>
    </w:p>
    <w:p w14:paraId="17598857" w14:textId="77777777" w:rsidR="00FC2D26" w:rsidRPr="00FC2D26" w:rsidRDefault="00FC2D26" w:rsidP="00FC2D26">
      <w:pPr>
        <w:pStyle w:val="Lega"/>
        <w:tabs>
          <w:tab w:val="clear" w:pos="454"/>
          <w:tab w:val="left" w:pos="567"/>
          <w:tab w:val="left" w:pos="1134"/>
        </w:tabs>
        <w:rPr>
          <w:lang w:val="es-ES_tradnl"/>
        </w:rPr>
      </w:pPr>
      <w:r w:rsidRPr="00FC2D26">
        <w:rPr>
          <w:lang w:val="es-ES_tradnl"/>
        </w:rPr>
        <w:tab/>
        <w:t>i)</w:t>
      </w:r>
      <w:r w:rsidRPr="00FC2D26">
        <w:rPr>
          <w:lang w:val="es-ES_tradnl"/>
        </w:rPr>
        <w:tab/>
        <w:t xml:space="preserve">si une traduction de la demande internationale est exigée en vertu de la règle 12.3.a) dans </w:t>
      </w:r>
      <w:r w:rsidRPr="00FC2D26">
        <w:rPr>
          <w:rStyle w:val="Deletedtext"/>
          <w:color w:val="C00000"/>
          <w:lang w:val="es-ES_tradnl"/>
        </w:rPr>
        <w:t>une</w:t>
      </w:r>
      <w:r w:rsidRPr="00FC2D26">
        <w:rPr>
          <w:color w:val="0000FF"/>
          <w:lang w:val="es-ES_tradnl"/>
        </w:rPr>
        <w:t xml:space="preserve"> </w:t>
      </w:r>
      <w:r w:rsidRPr="00FC2D26">
        <w:rPr>
          <w:color w:val="0000FF"/>
          <w:u w:val="single"/>
          <w:lang w:val="es-ES_tradnl"/>
        </w:rPr>
        <w:t>la</w:t>
      </w:r>
      <w:r w:rsidRPr="00FC2D26">
        <w:rPr>
          <w:color w:val="0000FF"/>
          <w:lang w:val="es-ES_tradnl"/>
        </w:rPr>
        <w:t xml:space="preserve"> </w:t>
      </w:r>
      <w:r w:rsidRPr="00FC2D26">
        <w:rPr>
          <w:lang w:val="es-ES_tradnl"/>
        </w:rPr>
        <w:t>langue dans laquelle la demande internationale doit être publiée ou</w:t>
      </w:r>
    </w:p>
    <w:p w14:paraId="60D02AC6" w14:textId="77777777" w:rsidR="00FC2D26" w:rsidRPr="00FC2D26" w:rsidRDefault="00FC2D26" w:rsidP="00FC2D26">
      <w:pPr>
        <w:pStyle w:val="Lega"/>
        <w:tabs>
          <w:tab w:val="clear" w:pos="454"/>
          <w:tab w:val="left" w:pos="567"/>
          <w:tab w:val="left" w:pos="1134"/>
        </w:tabs>
        <w:rPr>
          <w:lang w:val="es-ES_tradnl"/>
        </w:rPr>
      </w:pPr>
      <w:r w:rsidRPr="00FC2D26">
        <w:rPr>
          <w:lang w:val="es-ES_tradnl"/>
        </w:rPr>
        <w:tab/>
        <w:t>ii)</w:t>
      </w:r>
      <w:r w:rsidRPr="00FC2D26">
        <w:rPr>
          <w:lang w:val="es-ES_tradnl"/>
        </w:rPr>
        <w:tab/>
        <w:t>si l’abrégé ou le texte contenu dans les dessins est rédigé dans la langue dans laquelle la demande internationale doit être publiée,</w:t>
      </w:r>
    </w:p>
    <w:p w14:paraId="2D05DE79" w14:textId="2FC91E47" w:rsidR="00FC2D26" w:rsidRPr="00FC2D26" w:rsidRDefault="00FC2D26" w:rsidP="00FC2D26">
      <w:pPr>
        <w:pStyle w:val="Lega"/>
        <w:rPr>
          <w:lang w:val="es-ES_tradnl"/>
        </w:rPr>
      </w:pPr>
      <w:r w:rsidRPr="00FC2D26">
        <w:rPr>
          <w:lang w:val="es-ES_tradnl"/>
        </w:rPr>
        <w:t>invite le déposant à remettre une traduction de l’abrégé ou du texte contenu dans les dessins dans la langue dans laquelle la demande internationale doit être publiée. Les règles 26.1, 26.2, 26.3, 26.3</w:t>
      </w:r>
      <w:r w:rsidRPr="00FC2D26">
        <w:rPr>
          <w:i/>
          <w:lang w:val="es-ES_tradnl"/>
        </w:rPr>
        <w:t>bis</w:t>
      </w:r>
      <w:r w:rsidRPr="00FC2D26">
        <w:rPr>
          <w:lang w:val="es-ES_tradnl"/>
        </w:rPr>
        <w:t xml:space="preserve">, 26.5 et 29.1 s’appliquent </w:t>
      </w:r>
      <w:r w:rsidRPr="00FC2D26">
        <w:rPr>
          <w:i/>
          <w:lang w:val="es-ES_tradnl"/>
        </w:rPr>
        <w:t>mutatis mutandis</w:t>
      </w:r>
      <w:r w:rsidRPr="00FC2D26">
        <w:rPr>
          <w:lang w:val="es-ES_tradnl"/>
        </w:rPr>
        <w:t>.</w:t>
      </w:r>
    </w:p>
    <w:p w14:paraId="55349B0D" w14:textId="2EDB4DBA" w:rsidR="00FC2D26" w:rsidRPr="0000721F" w:rsidRDefault="00FC2D26" w:rsidP="00FC2D26">
      <w:pPr>
        <w:pStyle w:val="Lega"/>
        <w:rPr>
          <w:rStyle w:val="Deletedtext"/>
          <w:strike w:val="0"/>
          <w:color w:val="auto"/>
          <w:lang w:val="es-ES_tradnl"/>
        </w:rPr>
      </w:pPr>
      <w:r w:rsidRPr="0000721F">
        <w:rPr>
          <w:rStyle w:val="Deletedtext"/>
          <w:strike w:val="0"/>
          <w:color w:val="auto"/>
          <w:lang w:val="es-ES_tradnl"/>
        </w:rPr>
        <w:t xml:space="preserve">b) à d) </w:t>
      </w:r>
      <w:r w:rsidRPr="0000721F">
        <w:rPr>
          <w:rStyle w:val="Deletedtext"/>
          <w:i/>
          <w:strike w:val="0"/>
          <w:color w:val="auto"/>
          <w:lang w:val="es-ES_tradnl"/>
        </w:rPr>
        <w:t>[Sans changement]</w:t>
      </w:r>
    </w:p>
    <w:p w14:paraId="5E2D2C6B" w14:textId="77777777" w:rsidR="00FC2D26" w:rsidRPr="00FC2D26" w:rsidRDefault="00FC2D26" w:rsidP="00DE6F08">
      <w:pPr>
        <w:pStyle w:val="Lega"/>
        <w:spacing w:before="240"/>
        <w:rPr>
          <w:lang w:val="es-ES_tradnl"/>
        </w:rPr>
      </w:pPr>
      <w:r w:rsidRPr="00FC2D26">
        <w:rPr>
          <w:lang w:val="es-ES_tradnl"/>
        </w:rPr>
        <w:t>e)</w:t>
      </w:r>
      <w:r w:rsidRPr="00FC2D26">
        <w:rPr>
          <w:lang w:val="es-ES_tradnl"/>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Pr="00FC2D26">
        <w:rPr>
          <w:rFonts w:ascii="Cambria Math" w:hAnsi="Cambria Math"/>
          <w:lang w:val="es-ES_tradnl"/>
        </w:rPr>
        <w:t>‑</w:t>
      </w:r>
      <w:r w:rsidRPr="00FC2D26">
        <w:rPr>
          <w:lang w:val="es-ES_tradnl"/>
        </w:rPr>
        <w:t>ci rédigée dans une seule langue qui remplit les conditions ci</w:t>
      </w:r>
      <w:r w:rsidRPr="00FC2D26">
        <w:rPr>
          <w:rFonts w:ascii="Cambria Math" w:hAnsi="Cambria Math"/>
          <w:lang w:val="es-ES_tradnl"/>
        </w:rPr>
        <w:t>‑</w:t>
      </w:r>
      <w:r w:rsidRPr="00FC2D26">
        <w:rPr>
          <w:lang w:val="es-ES_tradnl"/>
        </w:rPr>
        <w:t>après :</w:t>
      </w:r>
    </w:p>
    <w:p w14:paraId="060DF7E4" w14:textId="3B72DEC2" w:rsidR="00FC2D26" w:rsidRPr="00FC2D26" w:rsidRDefault="00FC2D26" w:rsidP="0000721F">
      <w:pPr>
        <w:pStyle w:val="Lega"/>
        <w:keepNext/>
        <w:spacing w:before="0"/>
        <w:rPr>
          <w:lang w:val="es-ES_tradnl"/>
        </w:rPr>
      </w:pPr>
      <w:r w:rsidRPr="00FC2D26">
        <w:rPr>
          <w:lang w:val="es-ES_tradnl"/>
        </w:rPr>
        <w:tab/>
        <w:t>i)</w:t>
      </w:r>
      <w:r w:rsidRPr="00FC2D26">
        <w:rPr>
          <w:lang w:val="es-ES_tradnl"/>
        </w:rPr>
        <w:tab/>
        <w:t xml:space="preserve">une des langues </w:t>
      </w:r>
      <w:r w:rsidRPr="00FC2D26">
        <w:rPr>
          <w:rStyle w:val="Deletedtext"/>
          <w:color w:val="C00000"/>
          <w:lang w:val="es-ES_tradnl"/>
        </w:rPr>
        <w:t>indiquées</w:t>
      </w:r>
      <w:r w:rsidRPr="00FC2D26">
        <w:rPr>
          <w:color w:val="0000FF"/>
          <w:lang w:val="es-ES_tradnl"/>
        </w:rPr>
        <w:t xml:space="preserve"> </w:t>
      </w:r>
      <w:r w:rsidRPr="00FC2D26">
        <w:rPr>
          <w:color w:val="0000FF"/>
          <w:u w:val="single"/>
          <w:lang w:val="es-ES_tradnl"/>
        </w:rPr>
        <w:t>utilisées</w:t>
      </w:r>
      <w:r w:rsidRPr="00FC2D26">
        <w:rPr>
          <w:lang w:val="es-ES_tradnl"/>
        </w:rPr>
        <w:t xml:space="preserve"> dans la description ou les revendications telles qu’elles ont été déposées;</w:t>
      </w:r>
    </w:p>
    <w:p w14:paraId="60EB9255" w14:textId="4B489201" w:rsidR="00FC2D26" w:rsidRPr="00FC2D26" w:rsidRDefault="00FC2D26" w:rsidP="0000721F">
      <w:pPr>
        <w:pStyle w:val="Lega"/>
        <w:keepNext/>
        <w:rPr>
          <w:lang w:val="es-ES_tradnl"/>
        </w:rPr>
      </w:pPr>
      <w:r w:rsidRPr="00FC2D26">
        <w:rPr>
          <w:lang w:val="es-ES_tradnl"/>
        </w:rPr>
        <w:tab/>
        <w:t>ii)</w:t>
      </w:r>
      <w:r w:rsidRPr="00FC2D26">
        <w:rPr>
          <w:lang w:val="es-ES_tradnl"/>
        </w:rPr>
        <w:tab/>
        <w:t>une langue acceptée par l’administration chargée de la recherche internationale qui procédera à la recherche internationale; et</w:t>
      </w:r>
    </w:p>
    <w:p w14:paraId="56AC696C" w14:textId="77777777" w:rsidR="00FC2D26" w:rsidRPr="00FC2D26" w:rsidRDefault="00FC2D26" w:rsidP="0000721F">
      <w:pPr>
        <w:pStyle w:val="Lega"/>
        <w:keepNext/>
        <w:rPr>
          <w:lang w:val="es-ES_tradnl"/>
        </w:rPr>
      </w:pPr>
      <w:r w:rsidRPr="00FC2D26">
        <w:rPr>
          <w:lang w:val="es-ES_tradnl"/>
        </w:rPr>
        <w:tab/>
        <w:t>iii)</w:t>
      </w:r>
      <w:r w:rsidRPr="00FC2D26">
        <w:rPr>
          <w:lang w:val="es-ES_tradnl"/>
        </w:rPr>
        <w:tab/>
        <w:t>la langue dans laquelle la demande internationale doit être publiée.</w:t>
      </w:r>
    </w:p>
    <w:p w14:paraId="4859C309" w14:textId="761F6F2B" w:rsidR="00FC2D26" w:rsidRPr="00FC2D26" w:rsidRDefault="00FC2D26" w:rsidP="00DE6F08">
      <w:pPr>
        <w:pStyle w:val="Lega"/>
        <w:spacing w:after="600" w:line="240" w:lineRule="auto"/>
        <w:rPr>
          <w:lang w:val="es-ES_tradnl"/>
        </w:rPr>
      </w:pPr>
      <w:r w:rsidRPr="00FC2D26">
        <w:rPr>
          <w:lang w:val="es-ES_tradnl"/>
        </w:rPr>
        <w:t xml:space="preserve">La règle 12.3.c) à e) s’applique </w:t>
      </w:r>
      <w:r w:rsidRPr="00FC2D26">
        <w:rPr>
          <w:i/>
          <w:lang w:val="es-ES_tradnl"/>
        </w:rPr>
        <w:t>mutatis mutandis</w:t>
      </w:r>
      <w:r w:rsidRPr="00FC2D26">
        <w:rPr>
          <w:lang w:val="es-ES_tradnl"/>
        </w:rPr>
        <w:t>.</w:t>
      </w:r>
    </w:p>
    <w:p w14:paraId="455A4630" w14:textId="48640B31" w:rsidR="00152CEA" w:rsidRPr="00FC2D26" w:rsidRDefault="00FC2D26" w:rsidP="00FC2D26">
      <w:pPr>
        <w:pStyle w:val="Endofdocument-Annex"/>
        <w:rPr>
          <w:lang w:val="es-ES_tradnl"/>
        </w:rPr>
      </w:pPr>
      <w:r w:rsidRPr="00FC2D26">
        <w:rPr>
          <w:lang w:val="es-ES_tradnl"/>
        </w:rPr>
        <w:t>[Fin del Anexo y del documento]</w:t>
      </w:r>
    </w:p>
    <w:sectPr w:rsidR="00152CEA" w:rsidRPr="00FC2D26" w:rsidSect="00FC2D26">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3065" w14:textId="77777777" w:rsidR="00FC2D26" w:rsidRDefault="00FC2D26">
      <w:r>
        <w:separator/>
      </w:r>
    </w:p>
  </w:endnote>
  <w:endnote w:type="continuationSeparator" w:id="0">
    <w:p w14:paraId="1F595420" w14:textId="77777777" w:rsidR="00FC2D26" w:rsidRPr="009D30E6" w:rsidRDefault="00FC2D26" w:rsidP="007E663E">
      <w:pPr>
        <w:rPr>
          <w:sz w:val="17"/>
          <w:szCs w:val="17"/>
        </w:rPr>
      </w:pPr>
      <w:r w:rsidRPr="009D30E6">
        <w:rPr>
          <w:sz w:val="17"/>
          <w:szCs w:val="17"/>
        </w:rPr>
        <w:separator/>
      </w:r>
    </w:p>
    <w:p w14:paraId="40FD09FF" w14:textId="77777777" w:rsidR="00FC2D26" w:rsidRPr="007E663E" w:rsidRDefault="00FC2D26" w:rsidP="007E663E">
      <w:pPr>
        <w:spacing w:after="60"/>
        <w:rPr>
          <w:sz w:val="17"/>
          <w:szCs w:val="17"/>
        </w:rPr>
      </w:pPr>
      <w:r>
        <w:rPr>
          <w:sz w:val="17"/>
        </w:rPr>
        <w:t>[Continuación de la nota de la página anterior]</w:t>
      </w:r>
    </w:p>
  </w:endnote>
  <w:endnote w:type="continuationNotice" w:id="1">
    <w:p w14:paraId="1B7A3C3B" w14:textId="77777777" w:rsidR="00FC2D26" w:rsidRPr="007E663E" w:rsidRDefault="00FC2D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63144" w14:textId="77777777" w:rsidR="00FC2D26" w:rsidRDefault="00FC2D26">
      <w:r>
        <w:separator/>
      </w:r>
    </w:p>
  </w:footnote>
  <w:footnote w:type="continuationSeparator" w:id="0">
    <w:p w14:paraId="78478D52" w14:textId="77777777" w:rsidR="00FC2D26" w:rsidRPr="009D30E6" w:rsidRDefault="00FC2D26" w:rsidP="007E663E">
      <w:pPr>
        <w:rPr>
          <w:sz w:val="17"/>
          <w:szCs w:val="17"/>
        </w:rPr>
      </w:pPr>
      <w:r w:rsidRPr="009D30E6">
        <w:rPr>
          <w:sz w:val="17"/>
          <w:szCs w:val="17"/>
        </w:rPr>
        <w:separator/>
      </w:r>
    </w:p>
    <w:p w14:paraId="6C058649" w14:textId="77777777" w:rsidR="00FC2D26" w:rsidRPr="007E663E" w:rsidRDefault="00FC2D26" w:rsidP="007E663E">
      <w:pPr>
        <w:spacing w:after="60"/>
        <w:rPr>
          <w:sz w:val="17"/>
          <w:szCs w:val="17"/>
        </w:rPr>
      </w:pPr>
      <w:r>
        <w:rPr>
          <w:sz w:val="17"/>
        </w:rPr>
        <w:t>[Continuación de la nota de la página anterior]</w:t>
      </w:r>
    </w:p>
  </w:footnote>
  <w:footnote w:type="continuationNotice" w:id="1">
    <w:p w14:paraId="5D7CFF70" w14:textId="77777777" w:rsidR="00FC2D26" w:rsidRPr="007E663E" w:rsidRDefault="00FC2D26" w:rsidP="007E663E">
      <w:pPr>
        <w:spacing w:before="60"/>
        <w:jc w:val="right"/>
        <w:rPr>
          <w:sz w:val="17"/>
          <w:szCs w:val="17"/>
        </w:rPr>
      </w:pPr>
      <w:r w:rsidRPr="007E663E">
        <w:rPr>
          <w:sz w:val="17"/>
          <w:szCs w:val="17"/>
        </w:rPr>
        <w:t>[Sigue la nota en la página siguiente]</w:t>
      </w:r>
    </w:p>
  </w:footnote>
  <w:footnote w:id="2">
    <w:p w14:paraId="1B1D0745" w14:textId="77777777" w:rsidR="00FC2D26" w:rsidRPr="00E11E24" w:rsidRDefault="00FC2D26" w:rsidP="00FC2D26">
      <w:pPr>
        <w:pStyle w:val="FootnoteText"/>
        <w:rPr>
          <w:lang w:val="fr-FR"/>
        </w:rPr>
      </w:pPr>
      <w:r>
        <w:rPr>
          <w:rStyle w:val="FootnoteReference"/>
        </w:rPr>
        <w:footnoteRef/>
      </w:r>
      <w:r w:rsidRPr="00E11E24">
        <w:rPr>
          <w:lang w:val="fr-FR"/>
        </w:rPr>
        <w:t xml:space="preserve"> </w:t>
      </w:r>
      <w:r w:rsidRPr="00E11E24">
        <w:rPr>
          <w:lang w:val="fr-FR"/>
        </w:rP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C9C10" w14:textId="77777777" w:rsidR="00FC2D26" w:rsidRDefault="00FC2D26" w:rsidP="00477D6B">
    <w:pPr>
      <w:jc w:val="right"/>
    </w:pPr>
    <w:r>
      <w:t>PCT/WG/18/3</w:t>
    </w:r>
  </w:p>
  <w:p w14:paraId="4FEBDBEA" w14:textId="77777777" w:rsidR="00FC2D26" w:rsidRDefault="00FC2D26" w:rsidP="00477D6B">
    <w:pPr>
      <w:jc w:val="right"/>
    </w:pPr>
    <w:r>
      <w:t xml:space="preserve">página </w:t>
    </w:r>
    <w:r>
      <w:fldChar w:fldCharType="begin"/>
    </w:r>
    <w:r>
      <w:instrText xml:space="preserve"> PAGE  \* MERGEFORMAT </w:instrText>
    </w:r>
    <w:r>
      <w:fldChar w:fldCharType="separate"/>
    </w:r>
    <w:r>
      <w:t>2</w:t>
    </w:r>
    <w:r>
      <w:fldChar w:fldCharType="end"/>
    </w:r>
  </w:p>
  <w:p w14:paraId="26609280" w14:textId="77777777" w:rsidR="00FC2D26" w:rsidRDefault="00FC2D26" w:rsidP="000330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83FF" w14:textId="4402917E" w:rsidR="00F84474" w:rsidRDefault="00FC2D26" w:rsidP="00477D6B">
    <w:pPr>
      <w:jc w:val="right"/>
    </w:pPr>
    <w:bookmarkStart w:id="14" w:name="Code2"/>
    <w:bookmarkEnd w:id="14"/>
    <w:r>
      <w:t>PCT/WG/18/3</w:t>
    </w:r>
  </w:p>
  <w:p w14:paraId="73489976" w14:textId="1547CA12" w:rsidR="00F84474" w:rsidRDefault="00FC2D26"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43343D2D" w14:textId="77777777" w:rsidR="00F84474" w:rsidRDefault="00F84474" w:rsidP="00477D6B">
    <w:pPr>
      <w:jc w:val="right"/>
    </w:pPr>
  </w:p>
  <w:p w14:paraId="461BC42F"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FDC5D" w14:textId="77777777" w:rsidR="00FC2D26" w:rsidRDefault="00FC2D26" w:rsidP="00FC2D26">
    <w:pPr>
      <w:jc w:val="right"/>
    </w:pPr>
    <w:r>
      <w:t>PCT/WG/18/3</w:t>
    </w:r>
  </w:p>
  <w:p w14:paraId="26C12687" w14:textId="34EA3B5F" w:rsidR="00FC2D26" w:rsidRDefault="00FC2D26" w:rsidP="00FC2D26">
    <w:pPr>
      <w:pStyle w:val="Header"/>
      <w:jc w:val="right"/>
    </w:pPr>
    <w:r>
      <w:t>ANEXO</w:t>
    </w:r>
  </w:p>
  <w:p w14:paraId="774DC3A2" w14:textId="77777777" w:rsidR="00FC2D26" w:rsidRDefault="00FC2D26" w:rsidP="00FC2D26">
    <w:pPr>
      <w:pStyle w:val="Header"/>
      <w:jc w:val="right"/>
    </w:pPr>
  </w:p>
  <w:p w14:paraId="2468B1B4" w14:textId="77777777" w:rsidR="00FC2D26" w:rsidRDefault="00FC2D26" w:rsidP="00FC2D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26"/>
    <w:rsid w:val="0000721F"/>
    <w:rsid w:val="00011CFD"/>
    <w:rsid w:val="000E3BB3"/>
    <w:rsid w:val="000F5E56"/>
    <w:rsid w:val="001362EE"/>
    <w:rsid w:val="00152CEA"/>
    <w:rsid w:val="001832A6"/>
    <w:rsid w:val="00186911"/>
    <w:rsid w:val="001C4DD3"/>
    <w:rsid w:val="002078A9"/>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40496"/>
    <w:rsid w:val="00675021"/>
    <w:rsid w:val="006A06C6"/>
    <w:rsid w:val="00713AF9"/>
    <w:rsid w:val="007543B0"/>
    <w:rsid w:val="00786293"/>
    <w:rsid w:val="00794C62"/>
    <w:rsid w:val="007E63AC"/>
    <w:rsid w:val="007E663E"/>
    <w:rsid w:val="007F09AE"/>
    <w:rsid w:val="00815082"/>
    <w:rsid w:val="00843582"/>
    <w:rsid w:val="008B14EA"/>
    <w:rsid w:val="008B2CC1"/>
    <w:rsid w:val="008D341C"/>
    <w:rsid w:val="008E7B2D"/>
    <w:rsid w:val="0090731E"/>
    <w:rsid w:val="00964C57"/>
    <w:rsid w:val="00966A22"/>
    <w:rsid w:val="00972F03"/>
    <w:rsid w:val="009A0C8B"/>
    <w:rsid w:val="009A131B"/>
    <w:rsid w:val="009B267D"/>
    <w:rsid w:val="009B6241"/>
    <w:rsid w:val="00A025F7"/>
    <w:rsid w:val="00A16FC0"/>
    <w:rsid w:val="00A32C9E"/>
    <w:rsid w:val="00A7453D"/>
    <w:rsid w:val="00AB613D"/>
    <w:rsid w:val="00AD6B7B"/>
    <w:rsid w:val="00B65A0A"/>
    <w:rsid w:val="00B72D36"/>
    <w:rsid w:val="00BC4164"/>
    <w:rsid w:val="00BD2DCC"/>
    <w:rsid w:val="00BE1A8C"/>
    <w:rsid w:val="00C06472"/>
    <w:rsid w:val="00C34A62"/>
    <w:rsid w:val="00C536DA"/>
    <w:rsid w:val="00C86CEB"/>
    <w:rsid w:val="00C90559"/>
    <w:rsid w:val="00CC6A7A"/>
    <w:rsid w:val="00D21340"/>
    <w:rsid w:val="00D36B79"/>
    <w:rsid w:val="00D40CF0"/>
    <w:rsid w:val="00D56C7C"/>
    <w:rsid w:val="00D71B4D"/>
    <w:rsid w:val="00D90289"/>
    <w:rsid w:val="00D93D55"/>
    <w:rsid w:val="00DC4DB3"/>
    <w:rsid w:val="00DE6F08"/>
    <w:rsid w:val="00E13BB0"/>
    <w:rsid w:val="00E41354"/>
    <w:rsid w:val="00E45C84"/>
    <w:rsid w:val="00E504E5"/>
    <w:rsid w:val="00E50CF5"/>
    <w:rsid w:val="00E51F34"/>
    <w:rsid w:val="00E73ABF"/>
    <w:rsid w:val="00EB7A3E"/>
    <w:rsid w:val="00EC401A"/>
    <w:rsid w:val="00ED4168"/>
    <w:rsid w:val="00EF530A"/>
    <w:rsid w:val="00EF6622"/>
    <w:rsid w:val="00F55408"/>
    <w:rsid w:val="00F66152"/>
    <w:rsid w:val="00F80845"/>
    <w:rsid w:val="00F84474"/>
    <w:rsid w:val="00FC2D26"/>
    <w:rsid w:val="00FC71E4"/>
    <w:rsid w:val="00FE5B59"/>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BC1A5"/>
  <w15:docId w15:val="{E9933152-B684-4287-8DE3-ED163A80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FC2D26"/>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C2D26"/>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FC2D26"/>
    <w:pPr>
      <w:tabs>
        <w:tab w:val="left" w:pos="454"/>
      </w:tabs>
      <w:spacing w:before="119"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FC2D26"/>
    <w:rPr>
      <w:strike/>
      <w:dstrike w:val="0"/>
      <w:color w:val="FF0000"/>
    </w:rPr>
  </w:style>
  <w:style w:type="character" w:styleId="Hyperlink">
    <w:name w:val="Hyperlink"/>
    <w:basedOn w:val="DefaultParagraphFont"/>
    <w:uiPriority w:val="99"/>
    <w:unhideWhenUsed/>
    <w:rsid w:val="00FC2D26"/>
    <w:rPr>
      <w:color w:val="0000FF" w:themeColor="hyperlink"/>
      <w:u w:val="single"/>
    </w:rPr>
  </w:style>
  <w:style w:type="character" w:styleId="FootnoteReference">
    <w:name w:val="footnote reference"/>
    <w:basedOn w:val="DefaultParagraphFont"/>
    <w:semiHidden/>
    <w:unhideWhenUsed/>
    <w:rsid w:val="00FC2D26"/>
    <w:rPr>
      <w:vertAlign w:val="superscript"/>
    </w:rPr>
  </w:style>
  <w:style w:type="paragraph" w:styleId="TOC1">
    <w:name w:val="toc 1"/>
    <w:basedOn w:val="Normal"/>
    <w:next w:val="Normal"/>
    <w:autoRedefine/>
    <w:uiPriority w:val="39"/>
    <w:unhideWhenUsed/>
    <w:rsid w:val="00FC2D26"/>
    <w:pPr>
      <w:spacing w:after="100"/>
    </w:pPr>
  </w:style>
  <w:style w:type="paragraph" w:styleId="TOC2">
    <w:name w:val="toc 2"/>
    <w:basedOn w:val="Normal"/>
    <w:next w:val="Normal"/>
    <w:autoRedefine/>
    <w:uiPriority w:val="39"/>
    <w:unhideWhenUsed/>
    <w:rsid w:val="00FC2D2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3</TotalTime>
  <Pages>5</Pages>
  <Words>922</Words>
  <Characters>5161</Characters>
  <Application>Microsoft Office Word</Application>
  <DocSecurity>0</DocSecurity>
  <Lines>573</Lines>
  <Paragraphs>337</Paragraphs>
  <ScaleCrop>false</ScaleCrop>
  <HeadingPairs>
    <vt:vector size="2" baseType="variant">
      <vt:variant>
        <vt:lpstr>Title</vt:lpstr>
      </vt:variant>
      <vt:variant>
        <vt:i4>1</vt:i4>
      </vt:variant>
    </vt:vector>
  </HeadingPairs>
  <TitlesOfParts>
    <vt:vector size="1" baseType="lpstr">
      <vt:lpstr>PCT/WG/18/</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PCT/WG/18/3</dc:title>
  <dc:creator>MARLOW Thomas</dc:creator>
  <cp:keywords/>
  <cp:lastModifiedBy>MARLOW Thomas</cp:lastModifiedBy>
  <cp:revision>5</cp:revision>
  <dcterms:created xsi:type="dcterms:W3CDTF">2024-12-17T10:58:00Z</dcterms:created>
  <dcterms:modified xsi:type="dcterms:W3CDTF">2024-12-18T15:44:00Z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