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504E5" w:rsidRPr="008B2CC1" w:rsidTr="0088395E">
        <w:tc>
          <w:tcPr>
            <w:tcW w:w="4513" w:type="dxa"/>
            <w:tcBorders>
              <w:bottom w:val="single" w:sz="4" w:space="0" w:color="auto"/>
            </w:tcBorders>
            <w:tcMar>
              <w:bottom w:w="170" w:type="dxa"/>
            </w:tcMar>
          </w:tcPr>
          <w:p w:rsidR="00E504E5" w:rsidRPr="008B2CC1" w:rsidRDefault="00E504E5" w:rsidP="00AB613D"/>
        </w:tc>
        <w:tc>
          <w:tcPr>
            <w:tcW w:w="4337" w:type="dxa"/>
            <w:tcBorders>
              <w:bottom w:val="single" w:sz="4" w:space="0" w:color="auto"/>
            </w:tcBorders>
            <w:tcMar>
              <w:left w:w="0" w:type="dxa"/>
              <w:right w:w="0" w:type="dxa"/>
            </w:tcMar>
          </w:tcPr>
          <w:p w:rsidR="00E504E5" w:rsidRPr="008B2CC1" w:rsidRDefault="0060181F" w:rsidP="00AB613D">
            <w:r>
              <w:rPr>
                <w:noProof/>
                <w:lang w:val="en-US" w:eastAsia="en-US"/>
              </w:rPr>
              <w:drawing>
                <wp:inline distT="0" distB="0" distL="0" distR="0">
                  <wp:extent cx="1857375" cy="1323975"/>
                  <wp:effectExtent l="0" t="0" r="9525" b="952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504E5" w:rsidRPr="008B2CC1" w:rsidRDefault="00E504E5" w:rsidP="00AB613D">
            <w:pPr>
              <w:jc w:val="right"/>
            </w:pPr>
            <w:r>
              <w:rPr>
                <w:b/>
                <w:sz w:val="40"/>
                <w:szCs w:val="40"/>
              </w:rPr>
              <w:t>S</w:t>
            </w:r>
          </w:p>
        </w:tc>
      </w:tr>
      <w:tr w:rsidR="008B2CC1" w:rsidRPr="001832A6" w:rsidTr="00AB613D">
        <w:trPr>
          <w:trHeight w:hRule="exact" w:val="340"/>
        </w:trPr>
        <w:tc>
          <w:tcPr>
            <w:tcW w:w="9356" w:type="dxa"/>
            <w:gridSpan w:val="3"/>
            <w:tcBorders>
              <w:top w:val="single" w:sz="4" w:space="0" w:color="auto"/>
            </w:tcBorders>
            <w:tcMar>
              <w:top w:w="170" w:type="dxa"/>
              <w:left w:w="0" w:type="dxa"/>
              <w:right w:w="0" w:type="dxa"/>
            </w:tcMar>
            <w:vAlign w:val="bottom"/>
          </w:tcPr>
          <w:p w:rsidR="008B2CC1" w:rsidRPr="0090731E" w:rsidRDefault="0060181F" w:rsidP="00AB613D">
            <w:pPr>
              <w:jc w:val="right"/>
              <w:rPr>
                <w:rFonts w:ascii="Arial Black" w:hAnsi="Arial Black"/>
                <w:caps/>
                <w:sz w:val="15"/>
              </w:rPr>
            </w:pPr>
            <w:bookmarkStart w:id="0" w:name="Code"/>
            <w:bookmarkEnd w:id="0"/>
            <w:r>
              <w:rPr>
                <w:rFonts w:ascii="Arial Black" w:hAnsi="Arial Black"/>
                <w:caps/>
                <w:sz w:val="15"/>
              </w:rPr>
              <w:t>PCT/WG/8/</w:t>
            </w:r>
            <w:r w:rsidR="006D5179">
              <w:rPr>
                <w:rFonts w:ascii="Arial Black" w:hAnsi="Arial Black"/>
                <w:caps/>
                <w:sz w:val="15"/>
              </w:rPr>
              <w:t>10</w:t>
            </w:r>
          </w:p>
        </w:tc>
      </w:tr>
      <w:tr w:rsidR="008B2CC1" w:rsidRPr="001832A6" w:rsidTr="00AB613D">
        <w:trPr>
          <w:trHeight w:hRule="exact" w:val="170"/>
        </w:trPr>
        <w:tc>
          <w:tcPr>
            <w:tcW w:w="9356" w:type="dxa"/>
            <w:gridSpan w:val="3"/>
            <w:noWrap/>
            <w:tcMar>
              <w:left w:w="0" w:type="dxa"/>
              <w:right w:w="0" w:type="dxa"/>
            </w:tcMar>
            <w:vAlign w:val="bottom"/>
          </w:tcPr>
          <w:p w:rsidR="008B2CC1" w:rsidRPr="0090731E" w:rsidRDefault="008B2CC1" w:rsidP="00AB613D">
            <w:pPr>
              <w:jc w:val="right"/>
              <w:rPr>
                <w:rFonts w:ascii="Arial Black" w:hAnsi="Arial Black"/>
                <w:caps/>
                <w:sz w:val="15"/>
              </w:rPr>
            </w:pPr>
            <w:r w:rsidRPr="0090731E">
              <w:rPr>
                <w:rFonts w:ascii="Arial Black" w:hAnsi="Arial Black"/>
                <w:caps/>
                <w:sz w:val="15"/>
              </w:rPr>
              <w:t>ORIGINAL:</w:t>
            </w:r>
            <w:r w:rsidR="00F84474">
              <w:rPr>
                <w:rFonts w:ascii="Arial Black" w:hAnsi="Arial Black"/>
                <w:caps/>
                <w:sz w:val="15"/>
              </w:rPr>
              <w:t xml:space="preserve"> </w:t>
            </w:r>
            <w:r w:rsidRPr="0090731E">
              <w:rPr>
                <w:rFonts w:ascii="Arial Black" w:hAnsi="Arial Black"/>
                <w:caps/>
                <w:sz w:val="15"/>
              </w:rPr>
              <w:t xml:space="preserve"> </w:t>
            </w:r>
            <w:bookmarkStart w:id="1" w:name="Original"/>
            <w:bookmarkEnd w:id="1"/>
            <w:r w:rsidR="007B0BB0">
              <w:rPr>
                <w:rFonts w:ascii="Arial Black" w:hAnsi="Arial Black"/>
                <w:caps/>
                <w:sz w:val="15"/>
              </w:rPr>
              <w:t>INGLÉS</w:t>
            </w:r>
          </w:p>
        </w:tc>
      </w:tr>
      <w:tr w:rsidR="008B2CC1" w:rsidRPr="001832A6" w:rsidTr="00AB613D">
        <w:trPr>
          <w:trHeight w:hRule="exact" w:val="198"/>
        </w:trPr>
        <w:tc>
          <w:tcPr>
            <w:tcW w:w="9356" w:type="dxa"/>
            <w:gridSpan w:val="3"/>
            <w:tcMar>
              <w:left w:w="0" w:type="dxa"/>
              <w:right w:w="0" w:type="dxa"/>
            </w:tcMar>
            <w:vAlign w:val="bottom"/>
          </w:tcPr>
          <w:p w:rsidR="008B2CC1" w:rsidRPr="0090731E" w:rsidRDefault="00675021" w:rsidP="00AB613D">
            <w:pPr>
              <w:jc w:val="right"/>
              <w:rPr>
                <w:rFonts w:ascii="Arial Black" w:hAnsi="Arial Black"/>
                <w:caps/>
                <w:sz w:val="15"/>
              </w:rPr>
            </w:pPr>
            <w:r>
              <w:rPr>
                <w:rFonts w:ascii="Arial Black" w:hAnsi="Arial Black"/>
                <w:caps/>
                <w:sz w:val="15"/>
              </w:rPr>
              <w:t>fecha</w:t>
            </w:r>
            <w:r w:rsidR="008B2CC1" w:rsidRPr="0090731E">
              <w:rPr>
                <w:rFonts w:ascii="Arial Black" w:hAnsi="Arial Black"/>
                <w:caps/>
                <w:sz w:val="15"/>
              </w:rPr>
              <w:t>:</w:t>
            </w:r>
            <w:r w:rsidR="00F84474">
              <w:rPr>
                <w:rFonts w:ascii="Arial Black" w:hAnsi="Arial Black"/>
                <w:caps/>
                <w:sz w:val="15"/>
              </w:rPr>
              <w:t xml:space="preserve"> </w:t>
            </w:r>
            <w:r w:rsidR="008B2CC1" w:rsidRPr="0090731E">
              <w:rPr>
                <w:rFonts w:ascii="Arial Black" w:hAnsi="Arial Black"/>
                <w:caps/>
                <w:sz w:val="15"/>
              </w:rPr>
              <w:t xml:space="preserve"> </w:t>
            </w:r>
            <w:bookmarkStart w:id="2" w:name="Date"/>
            <w:bookmarkEnd w:id="2"/>
            <w:r w:rsidR="007B0BB0">
              <w:rPr>
                <w:rFonts w:ascii="Arial Black" w:hAnsi="Arial Black"/>
                <w:caps/>
                <w:sz w:val="15"/>
              </w:rPr>
              <w:t>26 DE MARZO DE 2015</w:t>
            </w:r>
          </w:p>
        </w:tc>
      </w:tr>
    </w:tbl>
    <w:p w:rsidR="00697724" w:rsidRDefault="00697724" w:rsidP="008B2CC1"/>
    <w:p w:rsidR="00697724" w:rsidRDefault="00697724" w:rsidP="008B2CC1"/>
    <w:p w:rsidR="00697724" w:rsidRDefault="00697724" w:rsidP="008B2CC1"/>
    <w:p w:rsidR="00697724" w:rsidRDefault="00697724" w:rsidP="008B2CC1"/>
    <w:p w:rsidR="00697724" w:rsidRDefault="00697724" w:rsidP="008B2CC1"/>
    <w:p w:rsidR="00697724" w:rsidRDefault="0060181F" w:rsidP="00B67CDC">
      <w:pPr>
        <w:rPr>
          <w:b/>
          <w:sz w:val="28"/>
          <w:szCs w:val="28"/>
        </w:rPr>
      </w:pPr>
      <w:r>
        <w:rPr>
          <w:b/>
          <w:sz w:val="28"/>
          <w:szCs w:val="28"/>
        </w:rPr>
        <w:t>Grupo de Trabajo del Tratado de Cooperaci</w:t>
      </w:r>
      <w:r w:rsidRPr="00B67CDC">
        <w:rPr>
          <w:b/>
          <w:sz w:val="28"/>
          <w:szCs w:val="28"/>
        </w:rPr>
        <w:t>ó</w:t>
      </w:r>
      <w:r>
        <w:rPr>
          <w:b/>
          <w:sz w:val="28"/>
          <w:szCs w:val="28"/>
        </w:rPr>
        <w:t>n en materia de Patentes (PCT)</w:t>
      </w:r>
      <w:r w:rsidR="00B67CDC" w:rsidRPr="00B67CDC">
        <w:rPr>
          <w:b/>
          <w:sz w:val="28"/>
          <w:szCs w:val="28"/>
        </w:rPr>
        <w:t xml:space="preserve"> </w:t>
      </w:r>
    </w:p>
    <w:p w:rsidR="00697724" w:rsidRDefault="00697724" w:rsidP="003845C1"/>
    <w:p w:rsidR="00697724" w:rsidRDefault="00697724" w:rsidP="003845C1"/>
    <w:p w:rsidR="00697724" w:rsidRDefault="0060181F" w:rsidP="00B67CDC">
      <w:pPr>
        <w:rPr>
          <w:b/>
          <w:sz w:val="24"/>
          <w:szCs w:val="24"/>
        </w:rPr>
      </w:pPr>
      <w:r>
        <w:rPr>
          <w:b/>
          <w:sz w:val="24"/>
          <w:szCs w:val="24"/>
        </w:rPr>
        <w:t>Octava r</w:t>
      </w:r>
      <w:r w:rsidR="00B67CDC" w:rsidRPr="00B67CDC">
        <w:rPr>
          <w:b/>
          <w:sz w:val="24"/>
          <w:szCs w:val="24"/>
        </w:rPr>
        <w:t>e</w:t>
      </w:r>
      <w:r>
        <w:rPr>
          <w:b/>
          <w:sz w:val="24"/>
          <w:szCs w:val="24"/>
        </w:rPr>
        <w:t>un</w:t>
      </w:r>
      <w:r w:rsidR="00B67CDC" w:rsidRPr="00B67CDC">
        <w:rPr>
          <w:b/>
          <w:sz w:val="24"/>
          <w:szCs w:val="24"/>
        </w:rPr>
        <w:t>ión</w:t>
      </w:r>
    </w:p>
    <w:p w:rsidR="00697724" w:rsidRDefault="001C66DC" w:rsidP="00B67CDC">
      <w:pPr>
        <w:rPr>
          <w:b/>
          <w:sz w:val="24"/>
          <w:szCs w:val="24"/>
        </w:rPr>
      </w:pPr>
      <w:r>
        <w:rPr>
          <w:b/>
          <w:sz w:val="24"/>
          <w:szCs w:val="24"/>
        </w:rPr>
        <w:t>Gineb</w:t>
      </w:r>
      <w:r w:rsidR="0060181F">
        <w:rPr>
          <w:b/>
          <w:sz w:val="24"/>
          <w:szCs w:val="24"/>
        </w:rPr>
        <w:t>ra, 26 a 29 de mayo de 2015</w:t>
      </w:r>
    </w:p>
    <w:p w:rsidR="00697724" w:rsidRDefault="00697724" w:rsidP="008B2CC1"/>
    <w:p w:rsidR="00697724" w:rsidRDefault="00697724" w:rsidP="008B2CC1"/>
    <w:p w:rsidR="00697724" w:rsidRDefault="00697724" w:rsidP="008B2CC1"/>
    <w:p w:rsidR="00697724" w:rsidRPr="00D70282" w:rsidRDefault="00697724" w:rsidP="00697724">
      <w:pPr>
        <w:rPr>
          <w:caps/>
          <w:sz w:val="24"/>
        </w:rPr>
      </w:pPr>
      <w:bookmarkStart w:id="3" w:name="TitleOfDoc"/>
      <w:bookmarkEnd w:id="3"/>
      <w:r w:rsidRPr="00D70282">
        <w:rPr>
          <w:caps/>
          <w:sz w:val="24"/>
          <w:lang w:val="es-ES_tradnl"/>
        </w:rPr>
        <w:t>REVISIÓN DE LA NORMA ST.14 DE LA OMPI</w:t>
      </w:r>
    </w:p>
    <w:p w:rsidR="00697724" w:rsidRPr="00D70282" w:rsidRDefault="00697724" w:rsidP="007B0BB0"/>
    <w:p w:rsidR="00697724" w:rsidRPr="00D70282" w:rsidRDefault="00697724" w:rsidP="00697724">
      <w:pPr>
        <w:rPr>
          <w:i/>
        </w:rPr>
      </w:pPr>
      <w:bookmarkStart w:id="4" w:name="Prepared"/>
      <w:bookmarkEnd w:id="4"/>
      <w:r w:rsidRPr="00D70282">
        <w:rPr>
          <w:i/>
          <w:lang w:val="es-ES_tradnl"/>
        </w:rPr>
        <w:t>Documento preparado por la Oficina Internacional</w:t>
      </w:r>
    </w:p>
    <w:p w:rsidR="00697724" w:rsidRPr="00D70282" w:rsidRDefault="00697724" w:rsidP="007B0BB0"/>
    <w:p w:rsidR="00697724" w:rsidRPr="00D70282" w:rsidRDefault="00697724" w:rsidP="007B0BB0"/>
    <w:p w:rsidR="00697724" w:rsidRPr="00D70282" w:rsidRDefault="00697724" w:rsidP="007B0BB0"/>
    <w:p w:rsidR="00697724" w:rsidRPr="00D70282" w:rsidRDefault="00697724" w:rsidP="007B0BB0"/>
    <w:p w:rsidR="00697724" w:rsidRPr="00D70282" w:rsidRDefault="00697724" w:rsidP="007B0BB0"/>
    <w:p w:rsidR="00697724" w:rsidRPr="00D70282" w:rsidRDefault="00697724" w:rsidP="00D32229">
      <w:pPr>
        <w:pStyle w:val="ONUMFS"/>
      </w:pPr>
      <w:r w:rsidRPr="00D70282">
        <w:rPr>
          <w:color w:val="000000"/>
          <w:lang w:val="es-ES_tradnl"/>
        </w:rPr>
        <w:t>El Comité de Normas Técnicas de la OMPI (CWS), en su segunda sesión celebrada en abr</w:t>
      </w:r>
      <w:r w:rsidR="002234A8" w:rsidRPr="00D70282">
        <w:rPr>
          <w:color w:val="000000"/>
          <w:lang w:val="es-ES_tradnl"/>
        </w:rPr>
        <w:t>il/mayo de 2012, estableció un Equipo T</w:t>
      </w:r>
      <w:r w:rsidRPr="00D70282">
        <w:rPr>
          <w:color w:val="000000"/>
          <w:lang w:val="es-ES_tradnl"/>
        </w:rPr>
        <w:t>écnico encargado de considerar la revisión de la Norma ST.14 de la OMPI (véanse los párrafo</w:t>
      </w:r>
      <w:r w:rsidR="00D70282" w:rsidRPr="00D70282">
        <w:rPr>
          <w:color w:val="000000"/>
          <w:lang w:val="es-ES_tradnl"/>
        </w:rPr>
        <w:t>s 3</w:t>
      </w:r>
      <w:r w:rsidRPr="00D70282">
        <w:rPr>
          <w:color w:val="000000"/>
          <w:lang w:val="es-ES_tradnl"/>
        </w:rPr>
        <w:t xml:space="preserve">0 </w:t>
      </w:r>
      <w:r w:rsidR="00D70282" w:rsidRPr="00D70282">
        <w:rPr>
          <w:color w:val="000000"/>
          <w:lang w:val="es-ES_tradnl"/>
        </w:rPr>
        <w:t>y 3</w:t>
      </w:r>
      <w:r w:rsidRPr="00D70282">
        <w:rPr>
          <w:color w:val="000000"/>
          <w:lang w:val="es-ES_tradnl"/>
        </w:rPr>
        <w:t>1 del documento</w:t>
      </w:r>
      <w:r w:rsidR="00390551" w:rsidRPr="00D70282">
        <w:rPr>
          <w:color w:val="000000"/>
          <w:lang w:val="es-ES_tradnl"/>
        </w:rPr>
        <w:t xml:space="preserve"> CWA/2/14</w:t>
      </w:r>
      <w:r w:rsidRPr="00D70282">
        <w:rPr>
          <w:color w:val="000000"/>
          <w:lang w:val="es-ES_tradnl"/>
        </w:rPr>
        <w:t>).</w:t>
      </w:r>
      <w:r w:rsidR="00952D00" w:rsidRPr="00D70282">
        <w:rPr>
          <w:color w:val="000000"/>
          <w:lang w:val="es-ES_tradnl"/>
        </w:rPr>
        <w:t xml:space="preserve"> </w:t>
      </w:r>
      <w:r w:rsidR="007B0BB0" w:rsidRPr="00D70282">
        <w:t xml:space="preserve"> </w:t>
      </w:r>
      <w:r w:rsidR="002234A8" w:rsidRPr="00D70282">
        <w:rPr>
          <w:color w:val="000000"/>
          <w:lang w:val="es-ES_tradnl"/>
        </w:rPr>
        <w:t>La T</w:t>
      </w:r>
      <w:r w:rsidR="00D32229" w:rsidRPr="00D70282">
        <w:rPr>
          <w:color w:val="000000"/>
          <w:lang w:val="es-ES_tradnl"/>
        </w:rPr>
        <w:t>area consta</w:t>
      </w:r>
      <w:r w:rsidR="00354774">
        <w:rPr>
          <w:color w:val="000000"/>
          <w:lang w:val="es-ES_tradnl"/>
        </w:rPr>
        <w:t>ba</w:t>
      </w:r>
      <w:r w:rsidR="00D32229" w:rsidRPr="00D70282">
        <w:rPr>
          <w:color w:val="000000"/>
          <w:lang w:val="es-ES_tradnl"/>
        </w:rPr>
        <w:t xml:space="preserve"> de dos componentes:</w:t>
      </w:r>
      <w:r w:rsidR="00952D00" w:rsidRPr="00D70282">
        <w:rPr>
          <w:color w:val="000000"/>
          <w:lang w:val="es-ES_tradnl"/>
        </w:rPr>
        <w:t xml:space="preserve"> </w:t>
      </w:r>
    </w:p>
    <w:p w:rsidR="00697724" w:rsidRPr="00D70282" w:rsidRDefault="00D32229" w:rsidP="00D32229">
      <w:pPr>
        <w:pStyle w:val="ONUMFS"/>
        <w:numPr>
          <w:ilvl w:val="2"/>
          <w:numId w:val="6"/>
        </w:numPr>
        <w:tabs>
          <w:tab w:val="clear" w:pos="1701"/>
          <w:tab w:val="num" w:pos="1134"/>
        </w:tabs>
        <w:ind w:left="567"/>
      </w:pPr>
      <w:r w:rsidRPr="00D70282">
        <w:rPr>
          <w:lang w:val="es-ES_tradnl"/>
        </w:rPr>
        <w:t>preparar una propuesta de revisión de los códigos de categorías descritos en el párrafo 14 de la Norma ST.14 de la OMPI, teniendo en cuenta los comentarios y proyectos de propuesta recogidos en los párrafos 7 y 10 a 14 del documento CWS/2/6</w:t>
      </w:r>
      <w:r w:rsidR="00D70282" w:rsidRPr="00D70282">
        <w:rPr>
          <w:lang w:val="es-ES_tradnl"/>
        </w:rPr>
        <w:t>;  y</w:t>
      </w:r>
    </w:p>
    <w:p w:rsidR="00697724" w:rsidRPr="00D70282" w:rsidRDefault="00D32229" w:rsidP="00D32229">
      <w:pPr>
        <w:pStyle w:val="ONUMFS"/>
        <w:numPr>
          <w:ilvl w:val="2"/>
          <w:numId w:val="6"/>
        </w:numPr>
        <w:tabs>
          <w:tab w:val="clear" w:pos="1701"/>
          <w:tab w:val="num" w:pos="1134"/>
        </w:tabs>
        <w:ind w:left="567"/>
      </w:pPr>
      <w:r w:rsidRPr="00D70282">
        <w:rPr>
          <w:color w:val="000000"/>
          <w:lang w:val="es-ES_tradnl"/>
        </w:rPr>
        <w:t>estudiar la pertinencia de revisar las recomendaciones para la identificación de citas de documentos distintos de los documentos de patente a fin de armonizar la Norma ST.14 de la OMPI con la Norma Internacional IS</w:t>
      </w:r>
      <w:r w:rsidR="00D70282" w:rsidRPr="00D70282">
        <w:rPr>
          <w:color w:val="000000"/>
          <w:lang w:val="es-ES_tradnl"/>
        </w:rPr>
        <w:t>O 6</w:t>
      </w:r>
      <w:r w:rsidRPr="00D70282">
        <w:rPr>
          <w:color w:val="000000"/>
          <w:lang w:val="es-ES_tradnl"/>
        </w:rPr>
        <w:t>90:2010 (Información y documentación – Directrices para las referencias bibliográficas y las citas de recursos de información) y preparar la propuesta correspondiente, en caso de considerarse pertinente la revisión.</w:t>
      </w:r>
    </w:p>
    <w:p w:rsidR="00697724" w:rsidRPr="00D70282" w:rsidRDefault="00D32229" w:rsidP="00D32229">
      <w:pPr>
        <w:pStyle w:val="ONUMFS"/>
        <w:rPr>
          <w:lang w:val="es-ES_tradnl"/>
        </w:rPr>
      </w:pPr>
      <w:r w:rsidRPr="00D70282">
        <w:rPr>
          <w:color w:val="000000"/>
          <w:lang w:val="es-ES_tradnl"/>
        </w:rPr>
        <w:t>Durante su tercera sesión celebrada en abril d</w:t>
      </w:r>
      <w:r w:rsidR="00D70282" w:rsidRPr="00D70282">
        <w:rPr>
          <w:color w:val="000000"/>
          <w:lang w:val="es-ES_tradnl"/>
        </w:rPr>
        <w:t>e 2</w:t>
      </w:r>
      <w:r w:rsidRPr="00D70282">
        <w:rPr>
          <w:color w:val="000000"/>
          <w:lang w:val="es-ES_tradnl"/>
        </w:rPr>
        <w:t xml:space="preserve">013, el CWS extendió el alcance de </w:t>
      </w:r>
      <w:r w:rsidR="00354774">
        <w:rPr>
          <w:color w:val="000000"/>
          <w:lang w:val="es-ES_tradnl"/>
        </w:rPr>
        <w:t>la Tarea a fin de que se estudiara</w:t>
      </w:r>
      <w:r w:rsidRPr="00D70282">
        <w:rPr>
          <w:color w:val="000000"/>
          <w:lang w:val="es-ES_tradnl"/>
        </w:rPr>
        <w:t xml:space="preserve"> la posibilidad de incluir recomendaciones sobre la manera de citar documentos en idiomas distintos al idioma del documento en el que se citan (véanse los párrafo</w:t>
      </w:r>
      <w:r w:rsidR="00D70282" w:rsidRPr="00D70282">
        <w:rPr>
          <w:color w:val="000000"/>
          <w:lang w:val="es-ES_tradnl"/>
        </w:rPr>
        <w:t>s 2</w:t>
      </w:r>
      <w:r w:rsidRPr="00D70282">
        <w:rPr>
          <w:color w:val="000000"/>
          <w:lang w:val="es-ES_tradnl"/>
        </w:rPr>
        <w:t xml:space="preserve">1 </w:t>
      </w:r>
      <w:r w:rsidR="00D70282" w:rsidRPr="00D70282">
        <w:rPr>
          <w:color w:val="000000"/>
          <w:lang w:val="es-ES_tradnl"/>
        </w:rPr>
        <w:t>y 2</w:t>
      </w:r>
      <w:r w:rsidRPr="00D70282">
        <w:rPr>
          <w:color w:val="000000"/>
          <w:lang w:val="es-ES_tradnl"/>
        </w:rPr>
        <w:t>2 del documento CWS/3/4 y los párrafo</w:t>
      </w:r>
      <w:r w:rsidR="00D70282" w:rsidRPr="00D70282">
        <w:rPr>
          <w:color w:val="000000"/>
          <w:lang w:val="es-ES_tradnl"/>
        </w:rPr>
        <w:t>s 4</w:t>
      </w:r>
      <w:r w:rsidRPr="00D70282">
        <w:rPr>
          <w:color w:val="000000"/>
          <w:lang w:val="es-ES_tradnl"/>
        </w:rPr>
        <w:t xml:space="preserve">0 </w:t>
      </w:r>
      <w:r w:rsidR="00D70282" w:rsidRPr="00D70282">
        <w:rPr>
          <w:color w:val="000000"/>
          <w:lang w:val="es-ES_tradnl"/>
        </w:rPr>
        <w:t>y 4</w:t>
      </w:r>
      <w:r w:rsidRPr="00D70282">
        <w:rPr>
          <w:color w:val="000000"/>
          <w:lang w:val="es-ES_tradnl"/>
        </w:rPr>
        <w:t>1 del informe de la sesión, documento CWS/3/14).</w:t>
      </w:r>
    </w:p>
    <w:p w:rsidR="00697724" w:rsidRPr="00D70282" w:rsidRDefault="001E15B2" w:rsidP="0077271A">
      <w:pPr>
        <w:pStyle w:val="ONUMFS"/>
        <w:keepLines/>
        <w:rPr>
          <w:lang w:val="es-ES_tradnl"/>
        </w:rPr>
      </w:pPr>
      <w:r w:rsidRPr="00D70282">
        <w:rPr>
          <w:color w:val="000000"/>
          <w:lang w:val="es-ES_tradnl"/>
        </w:rPr>
        <w:lastRenderedPageBreak/>
        <w:t>La Oficina Internacional preparó un informe sobre la marcha de la labor realizada por el Equipo Técnico par</w:t>
      </w:r>
      <w:r w:rsidR="00952D00" w:rsidRPr="00D70282">
        <w:rPr>
          <w:color w:val="000000"/>
          <w:lang w:val="es-ES_tradnl"/>
        </w:rPr>
        <w:t>a l</w:t>
      </w:r>
      <w:r w:rsidRPr="00D70282">
        <w:rPr>
          <w:color w:val="000000"/>
          <w:lang w:val="es-ES_tradnl"/>
        </w:rPr>
        <w:t>a cuarta sesión del CWS celebrada en mayo d</w:t>
      </w:r>
      <w:r w:rsidR="00D70282" w:rsidRPr="00D70282">
        <w:rPr>
          <w:color w:val="000000"/>
          <w:lang w:val="es-ES_tradnl"/>
        </w:rPr>
        <w:t>e 2</w:t>
      </w:r>
      <w:r w:rsidRPr="00D70282">
        <w:rPr>
          <w:color w:val="000000"/>
          <w:lang w:val="es-ES_tradnl"/>
        </w:rPr>
        <w:t>014 (documento CWS/4/5)</w:t>
      </w:r>
      <w:r w:rsidR="00D70282" w:rsidRPr="00D70282">
        <w:rPr>
          <w:color w:val="000000"/>
          <w:lang w:val="es-ES_tradnl"/>
        </w:rPr>
        <w:t>.  E</w:t>
      </w:r>
      <w:r w:rsidRPr="00D70282">
        <w:rPr>
          <w:color w:val="000000"/>
          <w:lang w:val="es-ES_tradnl"/>
        </w:rPr>
        <w:t>ste punto del proyecto de orden del día propuesto para la sesión (documento CWS/4/1 Prov.) se debatió durante consultas informales</w:t>
      </w:r>
      <w:r w:rsidR="00D70282" w:rsidRPr="00D70282">
        <w:rPr>
          <w:color w:val="000000"/>
          <w:lang w:val="es-ES_tradnl"/>
        </w:rPr>
        <w:t>.  L</w:t>
      </w:r>
      <w:r w:rsidR="002234A8" w:rsidRPr="00D70282">
        <w:rPr>
          <w:color w:val="000000"/>
          <w:lang w:val="es-ES_tradnl"/>
        </w:rPr>
        <w:t>a conclusión</w:t>
      </w:r>
      <w:r w:rsidR="00662A86" w:rsidRPr="00D70282">
        <w:rPr>
          <w:color w:val="000000"/>
          <w:lang w:val="es-ES_tradnl"/>
        </w:rPr>
        <w:t xml:space="preserve"> de dicho debate, que debe ser considerada de ca</w:t>
      </w:r>
      <w:r w:rsidR="00354774">
        <w:rPr>
          <w:color w:val="000000"/>
          <w:lang w:val="es-ES_tradnl"/>
        </w:rPr>
        <w:t xml:space="preserve">rácter informal hasta que se </w:t>
      </w:r>
      <w:r w:rsidR="00662A86" w:rsidRPr="00D70282">
        <w:rPr>
          <w:color w:val="000000"/>
          <w:lang w:val="es-ES_tradnl"/>
        </w:rPr>
        <w:t>confirme oficialmente cuando se reanude la sesión plenaria, figura en el párraf</w:t>
      </w:r>
      <w:r w:rsidR="00D70282" w:rsidRPr="00D70282">
        <w:rPr>
          <w:color w:val="000000"/>
          <w:lang w:val="es-ES_tradnl"/>
        </w:rPr>
        <w:t>o 3</w:t>
      </w:r>
      <w:r w:rsidR="00662A86" w:rsidRPr="00D70282">
        <w:rPr>
          <w:color w:val="000000"/>
          <w:lang w:val="es-ES_tradnl"/>
        </w:rPr>
        <w:t>2 del Anexo I del documento WO/GA/46/7 Rev., que contiene el informe del CWS al cuadragésimo sexto período de sesiones de la Asamblea General de la OMPI d</w:t>
      </w:r>
      <w:r w:rsidR="00D70282" w:rsidRPr="00D70282">
        <w:rPr>
          <w:color w:val="000000"/>
          <w:lang w:val="es-ES_tradnl"/>
        </w:rPr>
        <w:t>e 2</w:t>
      </w:r>
      <w:r w:rsidR="00662A86" w:rsidRPr="00D70282">
        <w:rPr>
          <w:color w:val="000000"/>
          <w:lang w:val="es-ES_tradnl"/>
        </w:rPr>
        <w:t>014:</w:t>
      </w:r>
      <w:r w:rsidR="00952D00" w:rsidRPr="00D70282">
        <w:rPr>
          <w:color w:val="000000"/>
          <w:lang w:val="es-ES_tradnl"/>
        </w:rPr>
        <w:t xml:space="preserve"> </w:t>
      </w:r>
    </w:p>
    <w:p w:rsidR="00697724" w:rsidRPr="00D70282" w:rsidRDefault="00662A86" w:rsidP="00662A86">
      <w:pPr>
        <w:pStyle w:val="ONUME"/>
        <w:numPr>
          <w:ilvl w:val="0"/>
          <w:numId w:val="0"/>
        </w:numPr>
        <w:ind w:left="567"/>
      </w:pPr>
      <w:r w:rsidRPr="00D70282">
        <w:rPr>
          <w:color w:val="000000"/>
          <w:lang w:val="es-ES_tradnl"/>
        </w:rPr>
        <w:t>"32.</w:t>
      </w:r>
      <w:r w:rsidR="00D541AA" w:rsidRPr="00D70282">
        <w:rPr>
          <w:color w:val="000000"/>
          <w:lang w:val="es-ES_tradnl"/>
        </w:rPr>
        <w:tab/>
      </w:r>
      <w:r w:rsidRPr="00D70282">
        <w:rPr>
          <w:color w:val="000000"/>
          <w:lang w:val="es-ES_tradnl"/>
        </w:rPr>
        <w:t>El CWS tomó nota del informe de situación relativo a la labor del Equipo Técnico de la Norma ST.14</w:t>
      </w:r>
      <w:r w:rsidR="00D70282" w:rsidRPr="00D70282">
        <w:rPr>
          <w:color w:val="000000"/>
          <w:lang w:val="es-ES_tradnl"/>
        </w:rPr>
        <w:t>.  S</w:t>
      </w:r>
      <w:r w:rsidRPr="00D70282">
        <w:rPr>
          <w:color w:val="000000"/>
          <w:lang w:val="es-ES_tradnl"/>
        </w:rPr>
        <w:t>e pidió a ese equipo técnico que se centre en las recomendaciones sobre literatura distinta de la de patentes de la tarea."</w:t>
      </w:r>
    </w:p>
    <w:p w:rsidR="00697724" w:rsidRPr="00D70282" w:rsidRDefault="006701AA" w:rsidP="006701AA">
      <w:pPr>
        <w:pStyle w:val="ONUMFS"/>
        <w:rPr>
          <w:lang w:val="es-ES_tradnl"/>
        </w:rPr>
      </w:pPr>
      <w:r w:rsidRPr="00D70282">
        <w:rPr>
          <w:color w:val="000000"/>
          <w:lang w:val="es-ES_tradnl"/>
        </w:rPr>
        <w:t>El informe de situación que se presentó a la cuarta sesión del CWS también se presentó a la séptima reunión del Grupo de Trabajo del PCT (documento (PCT/WG/7/5).</w:t>
      </w:r>
      <w:r w:rsidR="007B0BB0" w:rsidRPr="00D70282">
        <w:t xml:space="preserve">  </w:t>
      </w:r>
      <w:r w:rsidRPr="00D70282">
        <w:rPr>
          <w:color w:val="000000"/>
          <w:lang w:val="es-ES_tradnl"/>
        </w:rPr>
        <w:t xml:space="preserve">Los debates </w:t>
      </w:r>
      <w:r w:rsidR="002234A8" w:rsidRPr="00D70282">
        <w:rPr>
          <w:color w:val="000000"/>
          <w:lang w:val="es-ES_tradnl"/>
        </w:rPr>
        <w:t xml:space="preserve">basados en </w:t>
      </w:r>
      <w:r w:rsidRPr="00D70282">
        <w:rPr>
          <w:color w:val="000000"/>
          <w:lang w:val="es-ES_tradnl"/>
        </w:rPr>
        <w:t xml:space="preserve">este documento </w:t>
      </w:r>
      <w:r w:rsidR="002234A8" w:rsidRPr="00D70282">
        <w:rPr>
          <w:color w:val="000000"/>
          <w:lang w:val="es-ES_tradnl"/>
        </w:rPr>
        <w:t>celebrados en</w:t>
      </w:r>
      <w:r w:rsidRPr="00D70282">
        <w:rPr>
          <w:color w:val="000000"/>
          <w:lang w:val="es-ES_tradnl"/>
        </w:rPr>
        <w:t xml:space="preserve"> el G</w:t>
      </w:r>
      <w:r w:rsidR="002234A8" w:rsidRPr="00D70282">
        <w:rPr>
          <w:color w:val="000000"/>
          <w:lang w:val="es-ES_tradnl"/>
        </w:rPr>
        <w:t>r</w:t>
      </w:r>
      <w:r w:rsidRPr="00D70282">
        <w:rPr>
          <w:color w:val="000000"/>
          <w:lang w:val="es-ES_tradnl"/>
        </w:rPr>
        <w:t>upo de Trabajo figuran en los párrafo</w:t>
      </w:r>
      <w:r w:rsidR="00D70282" w:rsidRPr="00D70282">
        <w:rPr>
          <w:color w:val="000000"/>
          <w:lang w:val="es-ES_tradnl"/>
        </w:rPr>
        <w:t>s 3</w:t>
      </w:r>
      <w:r w:rsidRPr="00D70282">
        <w:rPr>
          <w:color w:val="000000"/>
          <w:lang w:val="es-ES_tradnl"/>
        </w:rPr>
        <w:t xml:space="preserve">35 </w:t>
      </w:r>
      <w:r w:rsidR="00D70282" w:rsidRPr="00D70282">
        <w:rPr>
          <w:color w:val="000000"/>
          <w:lang w:val="es-ES_tradnl"/>
        </w:rPr>
        <w:t>a 3</w:t>
      </w:r>
      <w:r w:rsidRPr="00D70282">
        <w:rPr>
          <w:color w:val="000000"/>
          <w:lang w:val="es-ES_tradnl"/>
        </w:rPr>
        <w:t>38 del Informe de la reunión (documento PCT/WG/7/30).</w:t>
      </w:r>
    </w:p>
    <w:p w:rsidR="00697724" w:rsidRPr="001F5F3A" w:rsidRDefault="006701AA" w:rsidP="001F5F3A">
      <w:pPr>
        <w:pStyle w:val="Heading1"/>
        <w:rPr>
          <w:szCs w:val="22"/>
        </w:rPr>
      </w:pPr>
      <w:r w:rsidRPr="00D70282">
        <w:rPr>
          <w:color w:val="000000"/>
          <w:szCs w:val="22"/>
          <w:lang w:val="es-ES_tradnl"/>
        </w:rPr>
        <w:t xml:space="preserve">RECOMENDACIONES PARA IDENTIFICAR LITERATURA DISTINTA DE LA DE PATENTES </w:t>
      </w:r>
    </w:p>
    <w:p w:rsidR="00952D00" w:rsidRPr="00D70282" w:rsidRDefault="009E60A9" w:rsidP="009E60A9">
      <w:pPr>
        <w:pStyle w:val="ONUMFS"/>
        <w:rPr>
          <w:color w:val="000000"/>
          <w:lang w:val="es-ES_tradnl"/>
        </w:rPr>
      </w:pPr>
      <w:r w:rsidRPr="00D70282">
        <w:rPr>
          <w:color w:val="000000"/>
          <w:lang w:val="es-ES_tradnl"/>
        </w:rPr>
        <w:t xml:space="preserve">Conforme con la conclusión de las consultas informales celebradas durante la cuarta sesión del CWS, el Equipo Técnico se </w:t>
      </w:r>
      <w:r w:rsidR="002234A8" w:rsidRPr="00D70282">
        <w:rPr>
          <w:color w:val="000000"/>
          <w:lang w:val="es-ES_tradnl"/>
        </w:rPr>
        <w:t>centró</w:t>
      </w:r>
      <w:r w:rsidRPr="00D70282">
        <w:rPr>
          <w:color w:val="000000"/>
          <w:lang w:val="es-ES_tradnl"/>
        </w:rPr>
        <w:t xml:space="preserve"> en las recomendaciones sobre la literatura distinta de las patentes</w:t>
      </w:r>
      <w:r w:rsidR="00952D00" w:rsidRPr="00D70282">
        <w:rPr>
          <w:color w:val="000000"/>
          <w:lang w:val="es-ES_tradnl"/>
        </w:rPr>
        <w:t>.</w:t>
      </w:r>
    </w:p>
    <w:p w:rsidR="00697724" w:rsidRPr="00D70282" w:rsidRDefault="00F153F9" w:rsidP="00895831">
      <w:pPr>
        <w:pStyle w:val="ONUMFS"/>
      </w:pPr>
      <w:r w:rsidRPr="00D70282">
        <w:rPr>
          <w:color w:val="000000"/>
          <w:lang w:val="es-ES_tradnl"/>
        </w:rPr>
        <w:t>En relación con las recomendaciones para la identificación de citas de documentos distintos de los documentos de patente a fin de armonizar la Norma ST.14 de la OMPI con la Norma Internacional ISO 690:2010, el Equipo Técnico analizó las dos normas y consideró la posibilidad de modificar ciertas disp</w:t>
      </w:r>
      <w:r w:rsidR="002234A8" w:rsidRPr="00D70282">
        <w:rPr>
          <w:color w:val="000000"/>
          <w:lang w:val="es-ES_tradnl"/>
        </w:rPr>
        <w:t xml:space="preserve">osiciones de la </w:t>
      </w:r>
      <w:r w:rsidR="00354774">
        <w:rPr>
          <w:color w:val="000000"/>
          <w:lang w:val="es-ES_tradnl"/>
        </w:rPr>
        <w:t xml:space="preserve">Norma </w:t>
      </w:r>
      <w:r w:rsidR="002234A8" w:rsidRPr="00D70282">
        <w:rPr>
          <w:color w:val="000000"/>
          <w:lang w:val="es-ES_tradnl"/>
        </w:rPr>
        <w:t xml:space="preserve">ST.14 para que </w:t>
      </w:r>
      <w:r w:rsidRPr="00D70282">
        <w:rPr>
          <w:color w:val="000000"/>
          <w:lang w:val="es-ES_tradnl"/>
        </w:rPr>
        <w:t xml:space="preserve">quede </w:t>
      </w:r>
      <w:r w:rsidR="002234A8" w:rsidRPr="00D70282">
        <w:rPr>
          <w:color w:val="000000"/>
          <w:lang w:val="es-ES_tradnl"/>
        </w:rPr>
        <w:t>más</w:t>
      </w:r>
      <w:r w:rsidRPr="00D70282">
        <w:rPr>
          <w:color w:val="000000"/>
          <w:lang w:val="es-ES_tradnl"/>
        </w:rPr>
        <w:t xml:space="preserve"> armonizada con la IS</w:t>
      </w:r>
      <w:r w:rsidR="00D70282" w:rsidRPr="00D70282">
        <w:rPr>
          <w:color w:val="000000"/>
          <w:lang w:val="es-ES_tradnl"/>
        </w:rPr>
        <w:t>O 6</w:t>
      </w:r>
      <w:r w:rsidRPr="00D70282">
        <w:rPr>
          <w:color w:val="000000"/>
          <w:lang w:val="es-ES_tradnl"/>
        </w:rPr>
        <w:t>90:2010</w:t>
      </w:r>
      <w:r w:rsidR="00D70282" w:rsidRPr="00D70282">
        <w:rPr>
          <w:color w:val="000000"/>
          <w:lang w:val="es-ES_tradnl"/>
        </w:rPr>
        <w:t>.  S</w:t>
      </w:r>
      <w:r w:rsidR="00895831" w:rsidRPr="00D70282">
        <w:rPr>
          <w:color w:val="000000"/>
          <w:lang w:val="es-ES_tradnl"/>
        </w:rPr>
        <w:t xml:space="preserve">in embargo, el Equipo Técnico no demostró gran interés en reestructurar y revisar las recomendaciones de la </w:t>
      </w:r>
      <w:r w:rsidR="00354774">
        <w:rPr>
          <w:color w:val="000000"/>
          <w:lang w:val="es-ES_tradnl"/>
        </w:rPr>
        <w:t xml:space="preserve">Norma </w:t>
      </w:r>
      <w:r w:rsidR="00895831" w:rsidRPr="00D70282">
        <w:rPr>
          <w:color w:val="000000"/>
          <w:lang w:val="es-ES_tradnl"/>
        </w:rPr>
        <w:t>ST.14 que harían falta para lograr</w:t>
      </w:r>
      <w:r w:rsidR="002234A8" w:rsidRPr="00D70282">
        <w:rPr>
          <w:color w:val="000000"/>
          <w:lang w:val="es-ES_tradnl"/>
        </w:rPr>
        <w:t xml:space="preserve"> una total armonización con la </w:t>
      </w:r>
      <w:r w:rsidR="00895831" w:rsidRPr="00D70282">
        <w:rPr>
          <w:color w:val="000000"/>
          <w:lang w:val="es-ES_tradnl"/>
        </w:rPr>
        <w:t>IS</w:t>
      </w:r>
      <w:r w:rsidR="00D70282" w:rsidRPr="00D70282">
        <w:rPr>
          <w:color w:val="000000"/>
          <w:lang w:val="es-ES_tradnl"/>
        </w:rPr>
        <w:t>O 6</w:t>
      </w:r>
      <w:r w:rsidR="00895831" w:rsidRPr="00D70282">
        <w:rPr>
          <w:color w:val="000000"/>
          <w:lang w:val="es-ES_tradnl"/>
        </w:rPr>
        <w:t>90:2010</w:t>
      </w:r>
      <w:r w:rsidR="00D70282" w:rsidRPr="00D70282">
        <w:rPr>
          <w:color w:val="000000"/>
          <w:lang w:val="es-ES_tradnl"/>
        </w:rPr>
        <w:t>.  L</w:t>
      </w:r>
      <w:r w:rsidR="00895831" w:rsidRPr="00D70282">
        <w:rPr>
          <w:color w:val="000000"/>
          <w:lang w:val="es-ES_tradnl"/>
        </w:rPr>
        <w:t>as modificaciones que el Equipo Técnico ha considerado hasta la fecha están relacionadas con las siguientes cuestiones:</w:t>
      </w:r>
      <w:r w:rsidR="00952D00" w:rsidRPr="00D70282">
        <w:rPr>
          <w:color w:val="000000"/>
          <w:lang w:val="es-ES_tradnl"/>
        </w:rPr>
        <w:t xml:space="preserve"> </w:t>
      </w:r>
    </w:p>
    <w:p w:rsidR="00697724" w:rsidRPr="00D70282" w:rsidRDefault="00D51270" w:rsidP="00895831">
      <w:pPr>
        <w:pStyle w:val="ONUMFS"/>
        <w:numPr>
          <w:ilvl w:val="0"/>
          <w:numId w:val="0"/>
        </w:numPr>
        <w:ind w:left="567"/>
      </w:pPr>
      <w:r w:rsidRPr="00D70282">
        <w:rPr>
          <w:color w:val="000000"/>
          <w:lang w:val="es-ES_tradnl"/>
        </w:rPr>
        <w:t>i)</w:t>
      </w:r>
      <w:r w:rsidRPr="00D70282">
        <w:rPr>
          <w:color w:val="000000"/>
          <w:lang w:val="es-ES_tradnl"/>
        </w:rPr>
        <w:tab/>
      </w:r>
      <w:r w:rsidR="00895831" w:rsidRPr="00D70282">
        <w:rPr>
          <w:color w:val="000000"/>
          <w:lang w:val="es-ES_tradnl"/>
        </w:rPr>
        <w:t>el uso de números internacionales normalizados (por ejemplo</w:t>
      </w:r>
      <w:r w:rsidR="00D70282" w:rsidRPr="00D70282">
        <w:rPr>
          <w:color w:val="000000"/>
          <w:lang w:val="es-ES_tradnl"/>
        </w:rPr>
        <w:t>, I</w:t>
      </w:r>
      <w:r w:rsidR="00895831" w:rsidRPr="00D70282">
        <w:rPr>
          <w:color w:val="000000"/>
          <w:lang w:val="es-ES_tradnl"/>
        </w:rPr>
        <w:t>SBN, ISSN) u otros identificadores internacionales (por ejemplo</w:t>
      </w:r>
      <w:r w:rsidR="00D70282" w:rsidRPr="00D70282">
        <w:rPr>
          <w:color w:val="000000"/>
          <w:lang w:val="es-ES_tradnl"/>
        </w:rPr>
        <w:t>, i</w:t>
      </w:r>
      <w:r w:rsidR="00895831" w:rsidRPr="00D70282">
        <w:rPr>
          <w:color w:val="000000"/>
          <w:lang w:val="es-ES_tradnl"/>
        </w:rPr>
        <w:t>dentificador de objeto digital (DOI)), para mejorar la recuperación de la literatura distinta de la de patentes;</w:t>
      </w:r>
      <w:r w:rsidR="00952D00" w:rsidRPr="00D70282">
        <w:rPr>
          <w:color w:val="000000"/>
          <w:lang w:val="es-ES_tradnl"/>
        </w:rPr>
        <w:t xml:space="preserve"> </w:t>
      </w:r>
    </w:p>
    <w:p w:rsidR="00697724" w:rsidRPr="00D70282" w:rsidRDefault="00D51270" w:rsidP="002B7F43">
      <w:pPr>
        <w:pStyle w:val="ONUMFS"/>
        <w:numPr>
          <w:ilvl w:val="0"/>
          <w:numId w:val="0"/>
        </w:numPr>
        <w:ind w:left="567"/>
        <w:rPr>
          <w:lang w:val="es-ES_tradnl"/>
        </w:rPr>
      </w:pPr>
      <w:r w:rsidRPr="00D70282">
        <w:rPr>
          <w:color w:val="000000"/>
          <w:lang w:val="es-ES_tradnl"/>
        </w:rPr>
        <w:t>ii)</w:t>
      </w:r>
      <w:r w:rsidRPr="00D70282">
        <w:rPr>
          <w:color w:val="000000"/>
          <w:lang w:val="es-ES_tradnl"/>
        </w:rPr>
        <w:tab/>
      </w:r>
      <w:r w:rsidR="002B7F43" w:rsidRPr="00D70282">
        <w:rPr>
          <w:color w:val="000000"/>
          <w:lang w:val="es-ES_tradnl"/>
        </w:rPr>
        <w:t>el formato de la</w:t>
      </w:r>
      <w:r w:rsidR="002234A8" w:rsidRPr="00D70282">
        <w:rPr>
          <w:color w:val="000000"/>
          <w:lang w:val="es-ES_tradnl"/>
        </w:rPr>
        <w:t>s</w:t>
      </w:r>
      <w:r w:rsidR="002B7F43" w:rsidRPr="00D70282">
        <w:rPr>
          <w:color w:val="000000"/>
          <w:lang w:val="es-ES_tradnl"/>
        </w:rPr>
        <w:t xml:space="preserve"> cita</w:t>
      </w:r>
      <w:r w:rsidR="002234A8" w:rsidRPr="00D70282">
        <w:rPr>
          <w:color w:val="000000"/>
          <w:lang w:val="es-ES_tradnl"/>
        </w:rPr>
        <w:t>s cuando se citan</w:t>
      </w:r>
      <w:r w:rsidR="002B7F43" w:rsidRPr="00D70282">
        <w:rPr>
          <w:color w:val="000000"/>
          <w:lang w:val="es-ES_tradnl"/>
        </w:rPr>
        <w:t xml:space="preserve"> </w:t>
      </w:r>
      <w:r w:rsidR="00354774">
        <w:rPr>
          <w:color w:val="000000"/>
          <w:lang w:val="es-ES_tradnl"/>
        </w:rPr>
        <w:t>varios</w:t>
      </w:r>
      <w:r w:rsidR="002B7F43" w:rsidRPr="00D70282">
        <w:rPr>
          <w:color w:val="000000"/>
          <w:lang w:val="es-ES_tradnl"/>
        </w:rPr>
        <w:t xml:space="preserve"> autores;</w:t>
      </w:r>
      <w:r w:rsidR="00952D00" w:rsidRPr="00D70282">
        <w:rPr>
          <w:color w:val="000000"/>
          <w:lang w:val="es-ES_tradnl"/>
        </w:rPr>
        <w:t xml:space="preserve"> </w:t>
      </w:r>
    </w:p>
    <w:p w:rsidR="00697724" w:rsidRPr="00D70282" w:rsidRDefault="00D51270" w:rsidP="002B7F43">
      <w:pPr>
        <w:pStyle w:val="ONUMFS"/>
        <w:numPr>
          <w:ilvl w:val="0"/>
          <w:numId w:val="0"/>
        </w:numPr>
        <w:ind w:left="567"/>
      </w:pPr>
      <w:r w:rsidRPr="00D70282">
        <w:rPr>
          <w:color w:val="000000"/>
          <w:lang w:val="es-ES_tradnl"/>
        </w:rPr>
        <w:t>iii)</w:t>
      </w:r>
      <w:r w:rsidRPr="00D70282">
        <w:rPr>
          <w:color w:val="000000"/>
          <w:lang w:val="es-ES_tradnl"/>
        </w:rPr>
        <w:tab/>
      </w:r>
      <w:r w:rsidR="002B7F43" w:rsidRPr="00D70282">
        <w:rPr>
          <w:color w:val="000000"/>
          <w:lang w:val="es-ES_tradnl"/>
        </w:rPr>
        <w:t>la indicación del formato del contenido de la publicación tras el tipo de medio para un documento electrónico</w:t>
      </w:r>
      <w:r w:rsidR="00D70282" w:rsidRPr="00D70282">
        <w:rPr>
          <w:color w:val="000000"/>
          <w:lang w:val="es-ES_tradnl"/>
        </w:rPr>
        <w:t>;  y</w:t>
      </w:r>
    </w:p>
    <w:p w:rsidR="00952D00" w:rsidRPr="00D70282" w:rsidRDefault="00D51270" w:rsidP="002B7F43">
      <w:pPr>
        <w:pStyle w:val="ONUMFS"/>
        <w:numPr>
          <w:ilvl w:val="0"/>
          <w:numId w:val="0"/>
        </w:numPr>
        <w:ind w:left="567"/>
        <w:rPr>
          <w:color w:val="000000"/>
          <w:lang w:val="es-ES_tradnl"/>
        </w:rPr>
      </w:pPr>
      <w:r w:rsidRPr="00D70282">
        <w:rPr>
          <w:color w:val="000000"/>
          <w:lang w:val="es-ES_tradnl"/>
        </w:rPr>
        <w:t>iv)</w:t>
      </w:r>
      <w:r w:rsidRPr="00D70282">
        <w:rPr>
          <w:color w:val="000000"/>
          <w:lang w:val="es-ES_tradnl"/>
        </w:rPr>
        <w:tab/>
      </w:r>
      <w:r w:rsidR="002B7F43" w:rsidRPr="00D70282">
        <w:rPr>
          <w:color w:val="000000"/>
          <w:lang w:val="es-ES_tradnl"/>
        </w:rPr>
        <w:t>las citas de los documentos elaboradas por un organismo encargado de definir normas</w:t>
      </w:r>
      <w:r w:rsidR="00952D00" w:rsidRPr="00D70282">
        <w:rPr>
          <w:color w:val="000000"/>
          <w:lang w:val="es-ES_tradnl"/>
        </w:rPr>
        <w:t>.</w:t>
      </w:r>
    </w:p>
    <w:p w:rsidR="001F5F3A" w:rsidRDefault="00400DC9" w:rsidP="00AB5909">
      <w:pPr>
        <w:pStyle w:val="ONUMFS"/>
        <w:rPr>
          <w:color w:val="000000"/>
          <w:lang w:val="es-ES_tradnl"/>
        </w:rPr>
      </w:pPr>
      <w:r w:rsidRPr="00D70282">
        <w:rPr>
          <w:color w:val="000000"/>
          <w:lang w:val="es-ES_tradnl"/>
        </w:rPr>
        <w:t xml:space="preserve">El Equipo Técnico también preparó un proyecto de texto </w:t>
      </w:r>
      <w:r w:rsidR="00EB6709" w:rsidRPr="00D70282">
        <w:rPr>
          <w:color w:val="000000"/>
          <w:lang w:val="es-ES_tradnl"/>
        </w:rPr>
        <w:t xml:space="preserve">que </w:t>
      </w:r>
      <w:r w:rsidRPr="00D70282">
        <w:rPr>
          <w:color w:val="000000"/>
          <w:lang w:val="es-ES_tradnl"/>
        </w:rPr>
        <w:t xml:space="preserve">abarca las citas de literatura distinta de las patentes en un idioma </w:t>
      </w:r>
      <w:r w:rsidR="00EB6709" w:rsidRPr="00D70282">
        <w:rPr>
          <w:color w:val="000000"/>
          <w:lang w:val="es-ES_tradnl"/>
        </w:rPr>
        <w:t>distinto del</w:t>
      </w:r>
      <w:r w:rsidRPr="00D70282">
        <w:rPr>
          <w:color w:val="000000"/>
          <w:lang w:val="es-ES_tradnl"/>
        </w:rPr>
        <w:t xml:space="preserve"> inglés o </w:t>
      </w:r>
      <w:r w:rsidR="00EB6709" w:rsidRPr="00D70282">
        <w:rPr>
          <w:color w:val="000000"/>
          <w:lang w:val="es-ES_tradnl"/>
        </w:rPr>
        <w:t>d</w:t>
      </w:r>
      <w:r w:rsidRPr="00D70282">
        <w:rPr>
          <w:color w:val="000000"/>
          <w:lang w:val="es-ES_tradnl"/>
        </w:rPr>
        <w:t>el idioma del informe de búsqueda</w:t>
      </w:r>
      <w:r w:rsidR="00D70282" w:rsidRPr="00D70282">
        <w:rPr>
          <w:color w:val="000000"/>
          <w:lang w:val="es-ES_tradnl"/>
        </w:rPr>
        <w:t>.  E</w:t>
      </w:r>
      <w:r w:rsidRPr="00D70282">
        <w:rPr>
          <w:color w:val="000000"/>
          <w:lang w:val="es-ES_tradnl"/>
        </w:rPr>
        <w:t>n este texto se recomienda, en la medida de lo posible, que los elementos de la cita se presenten en un lenguaje neutro</w:t>
      </w:r>
      <w:r w:rsidR="00D70282" w:rsidRPr="00D70282">
        <w:rPr>
          <w:color w:val="000000"/>
          <w:lang w:val="es-ES_tradnl"/>
        </w:rPr>
        <w:t>.  P</w:t>
      </w:r>
      <w:r w:rsidRPr="00D70282">
        <w:rPr>
          <w:color w:val="000000"/>
          <w:lang w:val="es-ES_tradnl"/>
        </w:rPr>
        <w:t xml:space="preserve">or ejemplo, las fechas deben ser representadas de conformidad con las </w:t>
      </w:r>
      <w:r w:rsidR="00AB5909" w:rsidRPr="00D70282">
        <w:rPr>
          <w:color w:val="000000"/>
          <w:lang w:val="es-ES_tradnl"/>
        </w:rPr>
        <w:t>recomendaciones</w:t>
      </w:r>
      <w:r w:rsidRPr="00D70282">
        <w:rPr>
          <w:color w:val="000000"/>
          <w:lang w:val="es-ES_tradnl"/>
        </w:rPr>
        <w:t xml:space="preserve"> de la Norma ST.2 de la OMPI</w:t>
      </w:r>
      <w:r w:rsidR="00D70282" w:rsidRPr="00D70282">
        <w:rPr>
          <w:color w:val="000000"/>
          <w:lang w:val="es-ES_tradnl"/>
        </w:rPr>
        <w:t>.  P</w:t>
      </w:r>
      <w:r w:rsidRPr="00D70282">
        <w:rPr>
          <w:color w:val="000000"/>
          <w:lang w:val="es-ES_tradnl"/>
        </w:rPr>
        <w:t>ara las citas en un idioma distinto del inglés, en el proyecto se recomienda que se facilite una traducción oficial tras la referencia en el idioma original, siempre que exista una y esté disponible</w:t>
      </w:r>
      <w:r w:rsidR="00D70282" w:rsidRPr="00D70282">
        <w:rPr>
          <w:color w:val="000000"/>
          <w:lang w:val="es-ES_tradnl"/>
        </w:rPr>
        <w:t>.  C</w:t>
      </w:r>
      <w:r w:rsidRPr="00D70282">
        <w:rPr>
          <w:color w:val="000000"/>
          <w:lang w:val="es-ES_tradnl"/>
        </w:rPr>
        <w:t>uando no exista una traducción oficial hacia el inglés de determinados elementos, se puede incluir una traducción informal de dichos elementos, pero con una clara distinción de la traducción oficial</w:t>
      </w:r>
      <w:r w:rsidR="00D70282" w:rsidRPr="00D70282">
        <w:rPr>
          <w:color w:val="000000"/>
          <w:lang w:val="es-ES_tradnl"/>
        </w:rPr>
        <w:t>.  C</w:t>
      </w:r>
      <w:r w:rsidR="00AB5909" w:rsidRPr="00D70282">
        <w:rPr>
          <w:color w:val="000000"/>
          <w:lang w:val="es-ES_tradnl"/>
        </w:rPr>
        <w:t>uando un documento de la literatura distinta de la de patentes en un idioma distinto al del informe de búsqueda se cita y ninguno de esos idiomas es el inglés, en el proyecto se incluye</w:t>
      </w:r>
    </w:p>
    <w:p w:rsidR="00952D00" w:rsidRPr="00D70282" w:rsidRDefault="00AB5909" w:rsidP="001F5F3A">
      <w:pPr>
        <w:pStyle w:val="ONUMFS"/>
        <w:numPr>
          <w:ilvl w:val="0"/>
          <w:numId w:val="0"/>
        </w:numPr>
        <w:rPr>
          <w:color w:val="000000"/>
          <w:lang w:val="es-ES_tradnl"/>
        </w:rPr>
      </w:pPr>
      <w:bookmarkStart w:id="5" w:name="_GoBack"/>
      <w:bookmarkEnd w:id="5"/>
      <w:proofErr w:type="gramStart"/>
      <w:r w:rsidRPr="00D70282">
        <w:rPr>
          <w:color w:val="000000"/>
          <w:lang w:val="es-ES_tradnl"/>
        </w:rPr>
        <w:t>la</w:t>
      </w:r>
      <w:proofErr w:type="gramEnd"/>
      <w:r w:rsidRPr="00D70282">
        <w:rPr>
          <w:color w:val="000000"/>
          <w:lang w:val="es-ES_tradnl"/>
        </w:rPr>
        <w:t xml:space="preserve"> opción de agregar una traducción de la referencia en el idioma del informe de búsqueda después de la traducción en inglés</w:t>
      </w:r>
      <w:r w:rsidR="00D70282" w:rsidRPr="00D70282">
        <w:rPr>
          <w:color w:val="000000"/>
          <w:lang w:val="es-ES_tradnl"/>
        </w:rPr>
        <w:t>.  E</w:t>
      </w:r>
      <w:r w:rsidRPr="00D70282">
        <w:rPr>
          <w:color w:val="000000"/>
          <w:lang w:val="es-ES_tradnl"/>
        </w:rPr>
        <w:t xml:space="preserve">l Equipo Técnico también consideró que se deben evitar las </w:t>
      </w:r>
      <w:r w:rsidR="00EB6709" w:rsidRPr="00D70282">
        <w:rPr>
          <w:color w:val="000000"/>
          <w:lang w:val="es-ES_tradnl"/>
        </w:rPr>
        <w:t>referencias</w:t>
      </w:r>
      <w:r w:rsidRPr="00D70282">
        <w:rPr>
          <w:color w:val="000000"/>
          <w:lang w:val="es-ES_tradnl"/>
        </w:rPr>
        <w:t xml:space="preserve"> a las transcripciones en la ST.14 ya que </w:t>
      </w:r>
      <w:r w:rsidR="00EB6709" w:rsidRPr="00D70282">
        <w:rPr>
          <w:color w:val="000000"/>
          <w:lang w:val="es-ES_tradnl"/>
        </w:rPr>
        <w:t>no se</w:t>
      </w:r>
      <w:r w:rsidRPr="00D70282">
        <w:rPr>
          <w:color w:val="000000"/>
          <w:lang w:val="es-ES_tradnl"/>
        </w:rPr>
        <w:t xml:space="preserve"> cree que </w:t>
      </w:r>
      <w:r w:rsidR="00EB6709" w:rsidRPr="00D70282">
        <w:rPr>
          <w:color w:val="000000"/>
          <w:lang w:val="es-ES_tradnl"/>
        </w:rPr>
        <w:t xml:space="preserve">sean </w:t>
      </w:r>
      <w:r w:rsidRPr="00D70282">
        <w:rPr>
          <w:color w:val="000000"/>
          <w:lang w:val="es-ES_tradnl"/>
        </w:rPr>
        <w:t>de utilidad</w:t>
      </w:r>
      <w:r w:rsidR="00952D00" w:rsidRPr="00D70282">
        <w:rPr>
          <w:color w:val="000000"/>
          <w:lang w:val="es-ES_tradnl"/>
        </w:rPr>
        <w:t>.</w:t>
      </w:r>
    </w:p>
    <w:p w:rsidR="00697724" w:rsidRPr="00D70282" w:rsidRDefault="00AB5909" w:rsidP="00AB5909">
      <w:pPr>
        <w:pStyle w:val="ONUMFS"/>
        <w:tabs>
          <w:tab w:val="clear" w:pos="567"/>
        </w:tabs>
        <w:ind w:left="5529"/>
        <w:rPr>
          <w:i/>
          <w:lang w:val="es-ES_tradnl"/>
        </w:rPr>
      </w:pPr>
      <w:r w:rsidRPr="00D70282">
        <w:rPr>
          <w:i/>
          <w:lang w:val="es-ES_tradnl"/>
        </w:rPr>
        <w:t>Se invita a</w:t>
      </w:r>
      <w:r w:rsidR="00EB6709" w:rsidRPr="00D70282">
        <w:rPr>
          <w:i/>
          <w:lang w:val="es-ES_tradnl"/>
        </w:rPr>
        <w:t xml:space="preserve"> la R</w:t>
      </w:r>
      <w:r w:rsidRPr="00D70282">
        <w:rPr>
          <w:i/>
          <w:lang w:val="es-ES_tradnl"/>
        </w:rPr>
        <w:t>eunión a tomar nota del contenido del presente documento.</w:t>
      </w:r>
    </w:p>
    <w:p w:rsidR="00697724" w:rsidRPr="00D70282" w:rsidRDefault="00697724" w:rsidP="009B1F72">
      <w:pPr>
        <w:pStyle w:val="ONUMFS"/>
        <w:numPr>
          <w:ilvl w:val="0"/>
          <w:numId w:val="0"/>
        </w:numPr>
        <w:rPr>
          <w:lang w:val="es-ES_tradnl"/>
        </w:rPr>
      </w:pPr>
    </w:p>
    <w:p w:rsidR="00697724" w:rsidRPr="00EB6709" w:rsidRDefault="00AB5909" w:rsidP="00AB5909">
      <w:pPr>
        <w:pStyle w:val="Endofdocument-Annex"/>
      </w:pPr>
      <w:r w:rsidRPr="00D70282">
        <w:rPr>
          <w:lang w:val="es-ES_tradnl"/>
        </w:rPr>
        <w:t>[Fin del documento]</w:t>
      </w:r>
    </w:p>
    <w:p w:rsidR="00152CEA" w:rsidRDefault="00152CEA" w:rsidP="007B0BB0">
      <w:pPr>
        <w:pStyle w:val="Endofdocument-Annex"/>
      </w:pPr>
    </w:p>
    <w:sectPr w:rsidR="00152CEA" w:rsidSect="007B0BB0">
      <w:headerReference w:type="default" r:id="rId9"/>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42B6" w:rsidRDefault="00E642B6">
      <w:r>
        <w:separator/>
      </w:r>
    </w:p>
  </w:endnote>
  <w:endnote w:type="continuationSeparator" w:id="0">
    <w:p w:rsidR="00E642B6" w:rsidRPr="009D30E6" w:rsidRDefault="00E642B6" w:rsidP="007E663E">
      <w:pPr>
        <w:rPr>
          <w:sz w:val="17"/>
          <w:szCs w:val="17"/>
        </w:rPr>
      </w:pPr>
      <w:r w:rsidRPr="009D30E6">
        <w:rPr>
          <w:sz w:val="17"/>
          <w:szCs w:val="17"/>
        </w:rPr>
        <w:separator/>
      </w:r>
    </w:p>
    <w:p w:rsidR="00E642B6" w:rsidRPr="007E663E" w:rsidRDefault="00E642B6" w:rsidP="007E663E">
      <w:pPr>
        <w:spacing w:after="60"/>
        <w:rPr>
          <w:sz w:val="17"/>
          <w:szCs w:val="17"/>
        </w:rPr>
      </w:pPr>
      <w:r>
        <w:rPr>
          <w:sz w:val="17"/>
        </w:rPr>
        <w:t>[Continuación de la nota de la página anterior]</w:t>
      </w:r>
    </w:p>
  </w:endnote>
  <w:endnote w:type="continuationNotice" w:id="1">
    <w:p w:rsidR="00E642B6" w:rsidRPr="007E663E" w:rsidRDefault="00E642B6"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42B6" w:rsidRDefault="00E642B6">
      <w:r>
        <w:separator/>
      </w:r>
    </w:p>
  </w:footnote>
  <w:footnote w:type="continuationSeparator" w:id="0">
    <w:p w:rsidR="00E642B6" w:rsidRPr="009D30E6" w:rsidRDefault="00E642B6" w:rsidP="007E663E">
      <w:pPr>
        <w:rPr>
          <w:sz w:val="17"/>
          <w:szCs w:val="17"/>
        </w:rPr>
      </w:pPr>
      <w:r w:rsidRPr="009D30E6">
        <w:rPr>
          <w:sz w:val="17"/>
          <w:szCs w:val="17"/>
        </w:rPr>
        <w:separator/>
      </w:r>
    </w:p>
    <w:p w:rsidR="00E642B6" w:rsidRPr="007E663E" w:rsidRDefault="00E642B6" w:rsidP="007E663E">
      <w:pPr>
        <w:spacing w:after="60"/>
        <w:rPr>
          <w:sz w:val="17"/>
          <w:szCs w:val="17"/>
        </w:rPr>
      </w:pPr>
      <w:r>
        <w:rPr>
          <w:sz w:val="17"/>
        </w:rPr>
        <w:t>[Continuación de la nota de la página anterior]</w:t>
      </w:r>
    </w:p>
  </w:footnote>
  <w:footnote w:type="continuationNotice" w:id="1">
    <w:p w:rsidR="00E642B6" w:rsidRPr="007E663E" w:rsidRDefault="00E642B6" w:rsidP="007E663E">
      <w:pPr>
        <w:spacing w:before="60"/>
        <w:jc w:val="right"/>
        <w:rPr>
          <w:sz w:val="17"/>
          <w:szCs w:val="17"/>
        </w:rPr>
      </w:pPr>
      <w:r w:rsidRPr="007E663E">
        <w:rPr>
          <w:sz w:val="17"/>
          <w:szCs w:val="17"/>
        </w:rPr>
        <w:t>[Sigue la nota en la página siguiente]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7F20" w:rsidRDefault="006D5179" w:rsidP="00477D6B">
    <w:pPr>
      <w:jc w:val="right"/>
    </w:pPr>
    <w:bookmarkStart w:id="6" w:name="Code2"/>
    <w:bookmarkEnd w:id="6"/>
    <w:r>
      <w:t>PCT/WG/8/</w:t>
    </w:r>
    <w:r w:rsidR="007B0BB0">
      <w:t>10</w:t>
    </w:r>
  </w:p>
  <w:p w:rsidR="00AE7F20" w:rsidRDefault="00AE7F20" w:rsidP="00477D6B">
    <w:pPr>
      <w:jc w:val="right"/>
    </w:pPr>
    <w:proofErr w:type="gramStart"/>
    <w:r>
      <w:t>página</w:t>
    </w:r>
    <w:proofErr w:type="gramEnd"/>
    <w:r>
      <w:t xml:space="preserve"> </w:t>
    </w:r>
    <w:r>
      <w:fldChar w:fldCharType="begin"/>
    </w:r>
    <w:r>
      <w:instrText xml:space="preserve"> PAGE  \* MERGEFORMAT </w:instrText>
    </w:r>
    <w:r>
      <w:fldChar w:fldCharType="separate"/>
    </w:r>
    <w:r w:rsidR="001F5F3A">
      <w:rPr>
        <w:noProof/>
      </w:rPr>
      <w:t>3</w:t>
    </w:r>
    <w:r>
      <w:fldChar w:fldCharType="end"/>
    </w:r>
  </w:p>
  <w:p w:rsidR="00AE7F20" w:rsidRDefault="00AE7F20"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8DCC6DE4"/>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spa"/>
    <w:docVar w:name="TermBases" w:val="WIPONew|PreTradBeta|LDTERMTest2"/>
    <w:docVar w:name="TermBaseURL" w:val="empty"/>
    <w:docVar w:name="TextBases" w:val="Patents\Meetings|Patents\Other|Patents\Publications|IP in General\Academy|IP in General\Arbitration and Mediation|IP in General\Meetings|IP in General\Other|IP in General\Press Room|IP in General\Publications|IP in General\SpeechDG2014|Trademarks\Meetings|Trademarks\Other|Trademarks\Publications|Treaties\Model Laws|Treaties\Other Laws and Agreements|Treaties\WIPO-administered|Copyright\Meetings|Copyright\Other|Copyright\Publications"/>
    <w:docVar w:name="TextBaseURL" w:val="empty"/>
    <w:docVar w:name="UILng" w:val="en"/>
  </w:docVars>
  <w:rsids>
    <w:rsidRoot w:val="007B0BB0"/>
    <w:rsid w:val="00010686"/>
    <w:rsid w:val="00052915"/>
    <w:rsid w:val="000C2748"/>
    <w:rsid w:val="000E3BB3"/>
    <w:rsid w:val="000F5E56"/>
    <w:rsid w:val="001362EE"/>
    <w:rsid w:val="001519F1"/>
    <w:rsid w:val="00152CEA"/>
    <w:rsid w:val="001832A6"/>
    <w:rsid w:val="001C66DC"/>
    <w:rsid w:val="001E15B2"/>
    <w:rsid w:val="001F5F3A"/>
    <w:rsid w:val="002234A8"/>
    <w:rsid w:val="002634C4"/>
    <w:rsid w:val="002B7F43"/>
    <w:rsid w:val="002E0F47"/>
    <w:rsid w:val="002F4E68"/>
    <w:rsid w:val="00354647"/>
    <w:rsid w:val="00354774"/>
    <w:rsid w:val="00377273"/>
    <w:rsid w:val="003845C1"/>
    <w:rsid w:val="00387287"/>
    <w:rsid w:val="00390551"/>
    <w:rsid w:val="003E48F1"/>
    <w:rsid w:val="003F347A"/>
    <w:rsid w:val="00400DC9"/>
    <w:rsid w:val="00423E3E"/>
    <w:rsid w:val="00427AF4"/>
    <w:rsid w:val="0045231F"/>
    <w:rsid w:val="004647DA"/>
    <w:rsid w:val="0047374F"/>
    <w:rsid w:val="00477808"/>
    <w:rsid w:val="00477D6B"/>
    <w:rsid w:val="004A6C37"/>
    <w:rsid w:val="004E297D"/>
    <w:rsid w:val="005332F0"/>
    <w:rsid w:val="0055013B"/>
    <w:rsid w:val="00571B99"/>
    <w:rsid w:val="0060181F"/>
    <w:rsid w:val="00605827"/>
    <w:rsid w:val="00662A86"/>
    <w:rsid w:val="006701AA"/>
    <w:rsid w:val="00675021"/>
    <w:rsid w:val="00697724"/>
    <w:rsid w:val="006A06C6"/>
    <w:rsid w:val="006D49A7"/>
    <w:rsid w:val="006D5179"/>
    <w:rsid w:val="007224C8"/>
    <w:rsid w:val="007337B5"/>
    <w:rsid w:val="0077271A"/>
    <w:rsid w:val="00794BE2"/>
    <w:rsid w:val="007B0BB0"/>
    <w:rsid w:val="007B71FE"/>
    <w:rsid w:val="007D781E"/>
    <w:rsid w:val="007E663E"/>
    <w:rsid w:val="00815082"/>
    <w:rsid w:val="0088395E"/>
    <w:rsid w:val="00895831"/>
    <w:rsid w:val="008B2CC1"/>
    <w:rsid w:val="008E6BD6"/>
    <w:rsid w:val="0090731E"/>
    <w:rsid w:val="00952D00"/>
    <w:rsid w:val="00966A22"/>
    <w:rsid w:val="00972F03"/>
    <w:rsid w:val="009A0C8B"/>
    <w:rsid w:val="009B1F72"/>
    <w:rsid w:val="009B6241"/>
    <w:rsid w:val="009E60A9"/>
    <w:rsid w:val="00A16FC0"/>
    <w:rsid w:val="00A32C9E"/>
    <w:rsid w:val="00A44CE5"/>
    <w:rsid w:val="00AB5909"/>
    <w:rsid w:val="00AB613D"/>
    <w:rsid w:val="00AE7F20"/>
    <w:rsid w:val="00B65A0A"/>
    <w:rsid w:val="00B67CDC"/>
    <w:rsid w:val="00B72D36"/>
    <w:rsid w:val="00B97A68"/>
    <w:rsid w:val="00BC4164"/>
    <w:rsid w:val="00BD2DCC"/>
    <w:rsid w:val="00C90559"/>
    <w:rsid w:val="00C91F30"/>
    <w:rsid w:val="00CA2251"/>
    <w:rsid w:val="00D32229"/>
    <w:rsid w:val="00D51270"/>
    <w:rsid w:val="00D541AA"/>
    <w:rsid w:val="00D56C7C"/>
    <w:rsid w:val="00D70282"/>
    <w:rsid w:val="00D71B4D"/>
    <w:rsid w:val="00D90289"/>
    <w:rsid w:val="00D93D55"/>
    <w:rsid w:val="00DC4C60"/>
    <w:rsid w:val="00E0079A"/>
    <w:rsid w:val="00E444DA"/>
    <w:rsid w:val="00E45C84"/>
    <w:rsid w:val="00E504E5"/>
    <w:rsid w:val="00E642B6"/>
    <w:rsid w:val="00EB6709"/>
    <w:rsid w:val="00EB7A3E"/>
    <w:rsid w:val="00EC401A"/>
    <w:rsid w:val="00EF530A"/>
    <w:rsid w:val="00EF6622"/>
    <w:rsid w:val="00F153F9"/>
    <w:rsid w:val="00F55408"/>
    <w:rsid w:val="00F66152"/>
    <w:rsid w:val="00F80845"/>
    <w:rsid w:val="00F84474"/>
    <w:rsid w:val="00FA0F0D"/>
    <w:rsid w:val="00FD59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link w:val="ONUMEChar"/>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styleId="BalloonText">
    <w:name w:val="Balloon Text"/>
    <w:basedOn w:val="Normal"/>
    <w:link w:val="BalloonTextChar"/>
    <w:rsid w:val="001C66DC"/>
    <w:rPr>
      <w:rFonts w:ascii="Tahoma" w:hAnsi="Tahoma" w:cs="Tahoma"/>
      <w:sz w:val="16"/>
      <w:szCs w:val="16"/>
    </w:rPr>
  </w:style>
  <w:style w:type="character" w:customStyle="1" w:styleId="BalloonTextChar">
    <w:name w:val="Balloon Text Char"/>
    <w:basedOn w:val="DefaultParagraphFont"/>
    <w:link w:val="BalloonText"/>
    <w:rsid w:val="001C66DC"/>
    <w:rPr>
      <w:rFonts w:ascii="Tahoma" w:eastAsia="SimSun" w:hAnsi="Tahoma" w:cs="Tahoma"/>
      <w:sz w:val="16"/>
      <w:szCs w:val="16"/>
      <w:lang w:val="es-ES" w:eastAsia="zh-CN"/>
    </w:rPr>
  </w:style>
  <w:style w:type="character" w:customStyle="1" w:styleId="ONUMEChar">
    <w:name w:val="ONUM E Char"/>
    <w:link w:val="ONUME"/>
    <w:locked/>
    <w:rsid w:val="007B0BB0"/>
    <w:rPr>
      <w:rFonts w:ascii="Arial" w:eastAsia="SimSun" w:hAnsi="Arial" w:cs="Arial"/>
      <w:sz w:val="22"/>
      <w:lang w:val="es-E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link w:val="ONUMEChar"/>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styleId="BalloonText">
    <w:name w:val="Balloon Text"/>
    <w:basedOn w:val="Normal"/>
    <w:link w:val="BalloonTextChar"/>
    <w:rsid w:val="001C66DC"/>
    <w:rPr>
      <w:rFonts w:ascii="Tahoma" w:hAnsi="Tahoma" w:cs="Tahoma"/>
      <w:sz w:val="16"/>
      <w:szCs w:val="16"/>
    </w:rPr>
  </w:style>
  <w:style w:type="character" w:customStyle="1" w:styleId="BalloonTextChar">
    <w:name w:val="Balloon Text Char"/>
    <w:basedOn w:val="DefaultParagraphFont"/>
    <w:link w:val="BalloonText"/>
    <w:rsid w:val="001C66DC"/>
    <w:rPr>
      <w:rFonts w:ascii="Tahoma" w:eastAsia="SimSun" w:hAnsi="Tahoma" w:cs="Tahoma"/>
      <w:sz w:val="16"/>
      <w:szCs w:val="16"/>
      <w:lang w:val="es-ES" w:eastAsia="zh-CN"/>
    </w:rPr>
  </w:style>
  <w:style w:type="character" w:customStyle="1" w:styleId="ONUMEChar">
    <w:name w:val="ONUM E Char"/>
    <w:link w:val="ONUME"/>
    <w:locked/>
    <w:rsid w:val="007B0BB0"/>
    <w:rPr>
      <w:rFonts w:ascii="Arial" w:eastAsia="SimSun" w:hAnsi="Arial" w:cs="Arial"/>
      <w:sz w:val="22"/>
      <w:lang w:val="es-E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PCT\PCT%20WG%208%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PCT WG 8 (S)</Template>
  <TotalTime>3</TotalTime>
  <Pages>3</Pages>
  <Words>947</Words>
  <Characters>4763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PCT/WG/8/10</vt:lpstr>
    </vt:vector>
  </TitlesOfParts>
  <Company>WIPO</Company>
  <LinksUpToDate>false</LinksUpToDate>
  <CharactersWithSpaces>5699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PCT/WG/8/10</dc:title>
  <dc:subject>Revision of WIPO Standard ST.14</dc:subject>
  <dc:creator>CEVALLOS DUQUE Nilo</dc:creator>
  <dc:description>CGD - 1.4.2015</dc:description>
  <cp:lastModifiedBy>MARLOW Thomas</cp:lastModifiedBy>
  <cp:revision>5</cp:revision>
  <cp:lastPrinted>2015-04-07T08:47:00Z</cp:lastPrinted>
  <dcterms:created xsi:type="dcterms:W3CDTF">2015-04-07T08:46:00Z</dcterms:created>
  <dcterms:modified xsi:type="dcterms:W3CDTF">2015-04-07T08:48:00Z</dcterms:modified>
</cp:coreProperties>
</file>