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E0488E"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E0488E" w:rsidP="00AB613D">
            <w:pPr>
              <w:jc w:val="right"/>
              <w:rPr>
                <w:rFonts w:ascii="Arial Black" w:hAnsi="Arial Black"/>
                <w:caps/>
                <w:sz w:val="15"/>
              </w:rPr>
            </w:pPr>
            <w:r>
              <w:rPr>
                <w:rFonts w:ascii="Arial Black" w:hAnsi="Arial Black"/>
                <w:caps/>
                <w:sz w:val="15"/>
              </w:rPr>
              <w:t>PCT/WG/9/</w:t>
            </w:r>
            <w:bookmarkStart w:id="0" w:name="Code"/>
            <w:bookmarkEnd w:id="0"/>
            <w:r w:rsidR="00964FE1">
              <w:rPr>
                <w:rFonts w:ascii="Arial Black" w:hAnsi="Arial Black"/>
                <w:caps/>
                <w:sz w:val="15"/>
              </w:rPr>
              <w:t>18</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1E70E6">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E607EC">
              <w:rPr>
                <w:rFonts w:ascii="Arial Black" w:hAnsi="Arial Black"/>
                <w:caps/>
                <w:sz w:val="15"/>
              </w:rPr>
              <w:t xml:space="preserve"> </w:t>
            </w:r>
            <w:r w:rsidR="00964FE1">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1E70E6">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 xml:space="preserve">: </w:t>
            </w:r>
            <w:bookmarkStart w:id="2" w:name="Date"/>
            <w:bookmarkEnd w:id="2"/>
            <w:r w:rsidR="00CD3778">
              <w:rPr>
                <w:rFonts w:ascii="Arial Black" w:hAnsi="Arial Black"/>
                <w:caps/>
                <w:sz w:val="15"/>
              </w:rPr>
              <w:t xml:space="preserve"> </w:t>
            </w:r>
            <w:r w:rsidR="00964FE1">
              <w:rPr>
                <w:rFonts w:ascii="Arial Black" w:hAnsi="Arial Black"/>
                <w:caps/>
                <w:sz w:val="15"/>
              </w:rPr>
              <w:t>26 DE ABRIL DE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E0488E" w:rsidP="00B67CDC">
      <w:pPr>
        <w:rPr>
          <w:b/>
          <w:sz w:val="28"/>
          <w:szCs w:val="28"/>
        </w:rPr>
      </w:pPr>
      <w:r>
        <w:rPr>
          <w:b/>
          <w:sz w:val="28"/>
          <w:szCs w:val="28"/>
        </w:rPr>
        <w:t>Grupo de Trabajo del Tratado de Coope</w:t>
      </w:r>
      <w:bookmarkStart w:id="3" w:name="_GoBack"/>
      <w:bookmarkEnd w:id="3"/>
      <w:r>
        <w:rPr>
          <w:b/>
          <w:sz w:val="28"/>
          <w:szCs w:val="28"/>
        </w:rPr>
        <w:t>rac</w:t>
      </w:r>
      <w:r w:rsidR="00B67CDC" w:rsidRPr="00B67CDC">
        <w:rPr>
          <w:b/>
          <w:sz w:val="28"/>
          <w:szCs w:val="28"/>
        </w:rPr>
        <w:t xml:space="preserve">ión </w:t>
      </w:r>
      <w:r>
        <w:rPr>
          <w:b/>
          <w:sz w:val="28"/>
          <w:szCs w:val="28"/>
        </w:rPr>
        <w:t>en materia de Patentes (PCT)</w:t>
      </w:r>
    </w:p>
    <w:p w:rsidR="003845C1" w:rsidRDefault="003845C1" w:rsidP="003845C1"/>
    <w:p w:rsidR="003845C1" w:rsidRDefault="003845C1" w:rsidP="003845C1"/>
    <w:p w:rsidR="00B67CDC" w:rsidRPr="00B67CDC" w:rsidRDefault="00E0488E" w:rsidP="00B67CDC">
      <w:pPr>
        <w:rPr>
          <w:b/>
          <w:sz w:val="24"/>
          <w:szCs w:val="24"/>
        </w:rPr>
      </w:pPr>
      <w:r>
        <w:rPr>
          <w:b/>
          <w:sz w:val="24"/>
          <w:szCs w:val="24"/>
        </w:rPr>
        <w:t>Novena reun</w:t>
      </w:r>
      <w:r w:rsidR="00B67CDC" w:rsidRPr="00B67CDC">
        <w:rPr>
          <w:b/>
          <w:sz w:val="24"/>
          <w:szCs w:val="24"/>
        </w:rPr>
        <w:t>ión</w:t>
      </w:r>
    </w:p>
    <w:p w:rsidR="00B67CDC" w:rsidRPr="00B67CDC" w:rsidRDefault="00E0488E" w:rsidP="00B67CDC">
      <w:pPr>
        <w:rPr>
          <w:b/>
          <w:sz w:val="24"/>
          <w:szCs w:val="24"/>
        </w:rPr>
      </w:pPr>
      <w:r>
        <w:rPr>
          <w:b/>
          <w:sz w:val="24"/>
          <w:szCs w:val="24"/>
        </w:rPr>
        <w:t>Ginebra, 17 a 20 de mayo de 2016</w:t>
      </w:r>
    </w:p>
    <w:p w:rsidR="008B2CC1" w:rsidRPr="008B2CC1" w:rsidRDefault="008B2CC1" w:rsidP="008B2CC1"/>
    <w:p w:rsidR="008B2CC1" w:rsidRPr="008B2CC1" w:rsidRDefault="008B2CC1" w:rsidP="008B2CC1"/>
    <w:p w:rsidR="008B2CC1" w:rsidRPr="008B2CC1" w:rsidRDefault="008B2CC1" w:rsidP="008B2CC1"/>
    <w:p w:rsidR="00964FE1" w:rsidRPr="00D03E6D" w:rsidRDefault="00D03E6D" w:rsidP="00964FE1">
      <w:pPr>
        <w:rPr>
          <w:caps/>
          <w:sz w:val="24"/>
        </w:rPr>
      </w:pPr>
      <w:bookmarkStart w:id="4" w:name="TitleOfDoc"/>
      <w:bookmarkEnd w:id="4"/>
      <w:r w:rsidRPr="00D03E6D">
        <w:rPr>
          <w:caps/>
          <w:sz w:val="24"/>
        </w:rPr>
        <w:t>FORMACIÓN DE EXAMINADORES</w:t>
      </w:r>
    </w:p>
    <w:p w:rsidR="00964FE1" w:rsidRPr="00D03E6D" w:rsidRDefault="00964FE1" w:rsidP="00964FE1"/>
    <w:p w:rsidR="003C49E0" w:rsidRPr="00D03E6D" w:rsidRDefault="00D03E6D" w:rsidP="00964FE1">
      <w:pPr>
        <w:rPr>
          <w:i/>
        </w:rPr>
      </w:pPr>
      <w:bookmarkStart w:id="5" w:name="Prepared"/>
      <w:bookmarkEnd w:id="5"/>
      <w:r w:rsidRPr="00D03E6D">
        <w:rPr>
          <w:i/>
        </w:rPr>
        <w:t>Documento preparado por la Oficina Internacional</w:t>
      </w:r>
    </w:p>
    <w:p w:rsidR="00964FE1" w:rsidRPr="00D03E6D" w:rsidRDefault="00964FE1" w:rsidP="00964FE1"/>
    <w:p w:rsidR="00964FE1" w:rsidRPr="00D03E6D" w:rsidRDefault="00964FE1" w:rsidP="00964FE1"/>
    <w:p w:rsidR="00964FE1" w:rsidRPr="00D03E6D" w:rsidRDefault="00964FE1" w:rsidP="00964FE1"/>
    <w:p w:rsidR="00964FE1" w:rsidRPr="00D03E6D" w:rsidRDefault="00964FE1" w:rsidP="00964FE1"/>
    <w:p w:rsidR="00964FE1" w:rsidRPr="00644648" w:rsidRDefault="00D03E6D" w:rsidP="00964FE1">
      <w:pPr>
        <w:pStyle w:val="Heading1"/>
      </w:pPr>
      <w:r w:rsidRPr="00644648">
        <w:t>RESUMEN</w:t>
      </w:r>
    </w:p>
    <w:p w:rsidR="00D03E6D" w:rsidRPr="00644648" w:rsidRDefault="00D03E6D" w:rsidP="003C49E0">
      <w:pPr>
        <w:pStyle w:val="ONUMFS"/>
      </w:pPr>
      <w:r w:rsidRPr="00644648">
        <w:t xml:space="preserve">En el presente documento se </w:t>
      </w:r>
      <w:r w:rsidR="00103F42" w:rsidRPr="00644648">
        <w:t>expone</w:t>
      </w:r>
      <w:r w:rsidRPr="00644648">
        <w:t xml:space="preserve"> la evaluaci</w:t>
      </w:r>
      <w:r w:rsidR="0028139B" w:rsidRPr="00644648">
        <w:t xml:space="preserve">ón de un cuestionario </w:t>
      </w:r>
      <w:r w:rsidR="006A3353" w:rsidRPr="00644648">
        <w:t>sobre</w:t>
      </w:r>
      <w:r w:rsidRPr="00644648">
        <w:t xml:space="preserve"> la </w:t>
      </w:r>
      <w:r w:rsidR="00FD09EF" w:rsidRPr="00644648">
        <w:t xml:space="preserve">formación </w:t>
      </w:r>
      <w:r w:rsidR="007A020D" w:rsidRPr="00644648">
        <w:t xml:space="preserve">de examinadores </w:t>
      </w:r>
      <w:r w:rsidR="00343252" w:rsidRPr="00644648">
        <w:t xml:space="preserve">encargados de los exámenes sustantivos de patentes </w:t>
      </w:r>
      <w:r w:rsidR="005776DF" w:rsidRPr="00644648">
        <w:t xml:space="preserve">y </w:t>
      </w:r>
      <w:r w:rsidR="00103F42" w:rsidRPr="00644648">
        <w:t xml:space="preserve">se </w:t>
      </w:r>
      <w:r w:rsidR="005776DF" w:rsidRPr="00644648">
        <w:t>propone</w:t>
      </w:r>
      <w:r w:rsidR="00103F42" w:rsidRPr="00644648">
        <w:t>n</w:t>
      </w:r>
      <w:r w:rsidR="005776DF" w:rsidRPr="00644648">
        <w:t xml:space="preserve"> recomendaciones de seguimiento.</w:t>
      </w:r>
    </w:p>
    <w:p w:rsidR="00964FE1" w:rsidRPr="00644648" w:rsidRDefault="006A3353" w:rsidP="00964FE1">
      <w:pPr>
        <w:pStyle w:val="Heading1"/>
      </w:pPr>
      <w:r w:rsidRPr="00644648">
        <w:t>INTRODUCCIÓN</w:t>
      </w:r>
    </w:p>
    <w:p w:rsidR="00FD09EF" w:rsidRPr="00644648" w:rsidRDefault="00FD09EF" w:rsidP="00FD09EF">
      <w:pPr>
        <w:pStyle w:val="ONUMFS"/>
      </w:pPr>
      <w:r w:rsidRPr="00644648">
        <w:t xml:space="preserve">En su octava </w:t>
      </w:r>
      <w:r w:rsidR="001E0C26" w:rsidRPr="00644648">
        <w:t>reunión</w:t>
      </w:r>
      <w:r w:rsidRPr="00644648">
        <w:t>, el Grupo de Trabajo debatió una propuesta (véase el documento PCT/WG/8/7) para mejorar la coordinación entre</w:t>
      </w:r>
      <w:r w:rsidR="000A143C">
        <w:t xml:space="preserve"> las</w:t>
      </w:r>
      <w:r w:rsidRPr="00644648">
        <w:t xml:space="preserve"> Oficinas </w:t>
      </w:r>
      <w:r w:rsidR="00103F42" w:rsidRPr="00644648">
        <w:rPr>
          <w:color w:val="000000"/>
          <w:lang w:val="es-ES_tradnl"/>
        </w:rPr>
        <w:t xml:space="preserve">de </w:t>
      </w:r>
      <w:r w:rsidR="00484B6F" w:rsidRPr="00644648">
        <w:rPr>
          <w:color w:val="000000"/>
          <w:lang w:val="es-ES_tradnl"/>
        </w:rPr>
        <w:t>l</w:t>
      </w:r>
      <w:r w:rsidR="00103F42" w:rsidRPr="00644648">
        <w:rPr>
          <w:color w:val="000000"/>
          <w:lang w:val="es-ES_tradnl"/>
        </w:rPr>
        <w:t>a formación de los examinadores de patentes</w:t>
      </w:r>
      <w:r w:rsidR="004A0E9B" w:rsidRPr="00644648">
        <w:rPr>
          <w:color w:val="000000"/>
          <w:lang w:val="es-ES_tradnl"/>
        </w:rPr>
        <w:t xml:space="preserve">.  </w:t>
      </w:r>
      <w:r w:rsidR="004A0E9B" w:rsidRPr="00644648">
        <w:t>E</w:t>
      </w:r>
      <w:r w:rsidR="00484B6F" w:rsidRPr="00644648">
        <w:t xml:space="preserve">n los párrafos 42 </w:t>
      </w:r>
      <w:r w:rsidR="004A0E9B" w:rsidRPr="00644648">
        <w:t>a 4</w:t>
      </w:r>
      <w:r w:rsidR="00484B6F" w:rsidRPr="00644648">
        <w:t xml:space="preserve">6 del documento PCT/WG/8/25 se resumen los debates que tuvieron lugar a ese respecto y en los párrafos 89 </w:t>
      </w:r>
      <w:r w:rsidR="004A0E9B" w:rsidRPr="00644648">
        <w:t>a 1</w:t>
      </w:r>
      <w:r w:rsidR="00484B6F" w:rsidRPr="00644648">
        <w:t>08 del documento PCT/WG/8/26 se deja plena constancia de todas las intervenciones.</w:t>
      </w:r>
    </w:p>
    <w:p w:rsidR="00BD47D5" w:rsidRPr="00644648" w:rsidRDefault="00BD47D5" w:rsidP="00BD47D5">
      <w:pPr>
        <w:pStyle w:val="ONUMFS"/>
      </w:pPr>
      <w:r w:rsidRPr="00644648">
        <w:t>El Grupo de Trabajo se manifestó claramente a favor de que se potenci</w:t>
      </w:r>
      <w:r w:rsidR="000A143C">
        <w:t>ara</w:t>
      </w:r>
      <w:r w:rsidRPr="00644648">
        <w:t xml:space="preserve"> el papel que desempeña</w:t>
      </w:r>
      <w:r w:rsidR="000A143C">
        <w:t>ba</w:t>
      </w:r>
      <w:r w:rsidRPr="00644648">
        <w:t xml:space="preserve"> la Oficina Internacional </w:t>
      </w:r>
      <w:r w:rsidR="001E0C26" w:rsidRPr="00644648">
        <w:t>como coordinadora de la formación de examinadores de patentes entre las distintas oficinas</w:t>
      </w:r>
      <w:r w:rsidRPr="00644648">
        <w:t xml:space="preserve">, y convino en que se </w:t>
      </w:r>
      <w:r w:rsidR="00475E1B" w:rsidRPr="00644648">
        <w:t>adopt</w:t>
      </w:r>
      <w:r w:rsidR="000A143C">
        <w:t>ara</w:t>
      </w:r>
      <w:r w:rsidR="00475E1B" w:rsidRPr="00644648">
        <w:t>n</w:t>
      </w:r>
      <w:r w:rsidRPr="00644648">
        <w:t xml:space="preserve"> las siguientes medidas con ese fin (véase el párrafo 46 del documento PCT/WG/8/25):  </w:t>
      </w:r>
    </w:p>
    <w:p w:rsidR="00BD47D5" w:rsidRPr="00644648" w:rsidRDefault="00BD47D5" w:rsidP="00475E1B">
      <w:pPr>
        <w:pStyle w:val="ONUMFS"/>
        <w:numPr>
          <w:ilvl w:val="0"/>
          <w:numId w:val="0"/>
        </w:numPr>
        <w:ind w:left="540"/>
      </w:pPr>
      <w:r w:rsidRPr="00644648">
        <w:t>“46.</w:t>
      </w:r>
      <w:r w:rsidRPr="00644648">
        <w:tab/>
        <w:t>El Grupo de Trabajo pidió a la Oficina Internacional que envíe, como primer paso, una circular en la que pida información a las Oficinas sobre las actividades de formación de examinadores que hayan llevado a cabo en favor de otras Oficinas, en particular, Ofi</w:t>
      </w:r>
      <w:r w:rsidR="00475E1B" w:rsidRPr="00644648">
        <w:t>cinas de países en desarrollo</w:t>
      </w:r>
      <w:r w:rsidR="004A0E9B" w:rsidRPr="00644648">
        <w:t>.  D</w:t>
      </w:r>
      <w:r w:rsidRPr="00644648">
        <w:t>icha medida servirá para fundamentar mejor la siguiente etapa de los debates sobre el modo en que la Oficina Internacional podría actuar como órgano coordinador en aras de la mayor eficacia.”</w:t>
      </w:r>
    </w:p>
    <w:p w:rsidR="00E0329B" w:rsidRPr="00644648" w:rsidRDefault="00F0447E" w:rsidP="00F0447E">
      <w:pPr>
        <w:pStyle w:val="ONUMFS"/>
      </w:pPr>
      <w:r w:rsidRPr="00644648">
        <w:lastRenderedPageBreak/>
        <w:t>La Oficina Internacional presentó una circular (Circular C</w:t>
      </w:r>
      <w:r w:rsidR="004A0E9B" w:rsidRPr="00644648">
        <w:t>. P</w:t>
      </w:r>
      <w:r w:rsidRPr="00644648">
        <w:t>C</w:t>
      </w:r>
      <w:r w:rsidR="004A0E9B" w:rsidRPr="00644648">
        <w:t>T 1</w:t>
      </w:r>
      <w:r w:rsidRPr="00644648">
        <w:t xml:space="preserve">464, </w:t>
      </w:r>
      <w:r w:rsidR="00B54A49" w:rsidRPr="00644648">
        <w:t>de fech</w:t>
      </w:r>
      <w:r w:rsidR="004A0E9B" w:rsidRPr="00644648">
        <w:t>a 6</w:t>
      </w:r>
      <w:r w:rsidRPr="00644648">
        <w:t xml:space="preserve"> de enero d</w:t>
      </w:r>
      <w:r w:rsidR="004A0E9B" w:rsidRPr="00644648">
        <w:t>e 2</w:t>
      </w:r>
      <w:r w:rsidRPr="00644648">
        <w:t xml:space="preserve">016) dirigida a las </w:t>
      </w:r>
      <w:r w:rsidR="00B54A49" w:rsidRPr="00644648">
        <w:t>O</w:t>
      </w:r>
      <w:r w:rsidRPr="00644648">
        <w:t>ficinas que han impartido formación en el examen sustantivo de patentes a</w:t>
      </w:r>
      <w:r w:rsidR="00ED301A" w:rsidRPr="00644648">
        <w:t xml:space="preserve"> examinadores de otras Oficinas, </w:t>
      </w:r>
      <w:r w:rsidRPr="00644648">
        <w:t xml:space="preserve">o que han contribuido a dichas actividades de formación (por ejemplo, poniendo sus expertos u otros recursos a disposición) </w:t>
      </w:r>
      <w:r w:rsidR="00ED301A" w:rsidRPr="00644648">
        <w:t>cuando</w:t>
      </w:r>
      <w:r w:rsidRPr="00644648">
        <w:t xml:space="preserve"> </w:t>
      </w:r>
      <w:r w:rsidR="00ED301A" w:rsidRPr="00644648">
        <w:t xml:space="preserve">estas </w:t>
      </w:r>
      <w:r w:rsidRPr="00644648">
        <w:t>han sido organizadas por otras Oficinas (“Oficinas donantes”)</w:t>
      </w:r>
      <w:r w:rsidR="004A0E9B" w:rsidRPr="00644648">
        <w:t>.  L</w:t>
      </w:r>
      <w:r w:rsidRPr="00644648">
        <w:t xml:space="preserve">a Circular también estaba dirigida a las oficinas cuyos examinadores han </w:t>
      </w:r>
      <w:r w:rsidR="000A143C">
        <w:t xml:space="preserve">recibido formación de </w:t>
      </w:r>
      <w:r w:rsidR="000A143C" w:rsidRPr="00644648">
        <w:t xml:space="preserve">otras organizaciones </w:t>
      </w:r>
      <w:r w:rsidRPr="00644648">
        <w:t xml:space="preserve">en el examen sustantivo de </w:t>
      </w:r>
      <w:r w:rsidR="00FD5B5F" w:rsidRPr="00644648">
        <w:t>patentes (“Oficinas beneficiarias”)</w:t>
      </w:r>
      <w:r w:rsidR="00E0329B" w:rsidRPr="00644648">
        <w:t>.</w:t>
      </w:r>
    </w:p>
    <w:p w:rsidR="00F0447E" w:rsidRPr="00644648" w:rsidRDefault="002027B3" w:rsidP="00F0177C">
      <w:pPr>
        <w:pStyle w:val="ONUMFS"/>
      </w:pPr>
      <w:r w:rsidRPr="00644648">
        <w:t xml:space="preserve">En el </w:t>
      </w:r>
      <w:r w:rsidR="00C11BDB" w:rsidRPr="00644648">
        <w:t>C</w:t>
      </w:r>
      <w:r w:rsidRPr="00644648">
        <w:t xml:space="preserve">uestionario anexo a la Circular, se </w:t>
      </w:r>
      <w:r w:rsidR="00553A80" w:rsidRPr="00644648">
        <w:t>solicita</w:t>
      </w:r>
      <w:r w:rsidR="000A143C">
        <w:t>ba</w:t>
      </w:r>
      <w:r w:rsidRPr="00644648">
        <w:t xml:space="preserve"> información sobre toda</w:t>
      </w:r>
      <w:r w:rsidR="00EB339A" w:rsidRPr="00644648">
        <w:t>s</w:t>
      </w:r>
      <w:r w:rsidRPr="00644648">
        <w:t xml:space="preserve"> las actividades de formación pertinentes llevadas a cabo en el período d</w:t>
      </w:r>
      <w:r w:rsidR="004A0E9B" w:rsidRPr="00644648">
        <w:t>e 2</w:t>
      </w:r>
      <w:r w:rsidRPr="00644648">
        <w:t xml:space="preserve">013 </w:t>
      </w:r>
      <w:r w:rsidR="004A0E9B" w:rsidRPr="00644648">
        <w:t>a 2</w:t>
      </w:r>
      <w:r w:rsidRPr="00644648">
        <w:t>015</w:t>
      </w:r>
      <w:r w:rsidR="004A0E9B" w:rsidRPr="00644648">
        <w:t>.  A</w:t>
      </w:r>
      <w:r w:rsidR="002C41AD" w:rsidRPr="00644648">
        <w:t xml:space="preserve">demás, se </w:t>
      </w:r>
      <w:r w:rsidR="00553A80" w:rsidRPr="00644648">
        <w:t>solicita</w:t>
      </w:r>
      <w:r w:rsidR="000A143C">
        <w:t>ba</w:t>
      </w:r>
      <w:r w:rsidR="002C41AD" w:rsidRPr="00644648">
        <w:t xml:space="preserve"> información </w:t>
      </w:r>
      <w:r w:rsidR="0006086A" w:rsidRPr="00644648">
        <w:t>sobre</w:t>
      </w:r>
      <w:r w:rsidR="002C41AD" w:rsidRPr="00644648">
        <w:t xml:space="preserve"> la gestión y la ejecución </w:t>
      </w:r>
      <w:r w:rsidR="000500A3" w:rsidRPr="00644648">
        <w:t>de la</w:t>
      </w:r>
      <w:r w:rsidR="002C41AD" w:rsidRPr="00644648">
        <w:t xml:space="preserve"> formación </w:t>
      </w:r>
      <w:r w:rsidR="0006086A" w:rsidRPr="00644648">
        <w:t>para</w:t>
      </w:r>
      <w:r w:rsidR="000500A3" w:rsidRPr="00644648">
        <w:t xml:space="preserve"> examinadores</w:t>
      </w:r>
      <w:r w:rsidR="002C41AD" w:rsidRPr="00644648">
        <w:t xml:space="preserve"> </w:t>
      </w:r>
      <w:r w:rsidR="000500A3" w:rsidRPr="00644648">
        <w:t>encargados de los exámenes sustantivos de patentes en</w:t>
      </w:r>
      <w:r w:rsidR="0006086A" w:rsidRPr="00644648">
        <w:t xml:space="preserve"> cada oficina, como el uso de modelos de competencias, sistemas de gestión de la enseñanza o herramientas de evaluaci</w:t>
      </w:r>
      <w:r w:rsidR="000500A3" w:rsidRPr="00644648">
        <w:t>ón, y</w:t>
      </w:r>
      <w:r w:rsidR="002C1013" w:rsidRPr="00644648">
        <w:t xml:space="preserve"> la disponibilidad de materiales </w:t>
      </w:r>
      <w:r w:rsidR="00F0177C" w:rsidRPr="00644648">
        <w:t>u</w:t>
      </w:r>
      <w:r w:rsidR="002A49A0" w:rsidRPr="00644648">
        <w:t xml:space="preserve"> otros medios </w:t>
      </w:r>
      <w:r w:rsidR="002C1013" w:rsidRPr="00644648">
        <w:t xml:space="preserve">para el </w:t>
      </w:r>
      <w:r w:rsidR="00E150CF" w:rsidRPr="00644648">
        <w:t>aprendizaje autodidacta</w:t>
      </w:r>
      <w:r w:rsidR="004A0E9B" w:rsidRPr="00644648">
        <w:t>.  P</w:t>
      </w:r>
      <w:r w:rsidR="008211D7" w:rsidRPr="00644648">
        <w:t>uede</w:t>
      </w:r>
      <w:r w:rsidR="00315D01" w:rsidRPr="00644648">
        <w:t xml:space="preserve"> encontrar</w:t>
      </w:r>
      <w:r w:rsidR="008211D7" w:rsidRPr="00644648">
        <w:t>se</w:t>
      </w:r>
      <w:r w:rsidR="00315D01" w:rsidRPr="00644648">
        <w:t xml:space="preserve"> una copia de la Circular (</w:t>
      </w:r>
      <w:r w:rsidR="00EB2D79" w:rsidRPr="00644648">
        <w:t>en la que se incluye</w:t>
      </w:r>
      <w:r w:rsidR="00315D01" w:rsidRPr="00644648">
        <w:t xml:space="preserve"> el cuestionario) en el sitio web de la OMPI: </w:t>
      </w:r>
      <w:hyperlink r:id="rId9" w:history="1">
        <w:r w:rsidR="00F0177C" w:rsidRPr="00644648">
          <w:t xml:space="preserve"> </w:t>
        </w:r>
        <w:r w:rsidR="00F0177C" w:rsidRPr="00644648">
          <w:rPr>
            <w:rStyle w:val="Hyperlink"/>
            <w:color w:val="auto"/>
            <w:u w:val="none"/>
          </w:rPr>
          <w:t>http://www.wipo.int/export/sites/www/pct/es/circulars/2016/1464.pdf</w:t>
        </w:r>
      </w:hyperlink>
      <w:r w:rsidR="00315D01" w:rsidRPr="00644648">
        <w:t>.</w:t>
      </w:r>
    </w:p>
    <w:p w:rsidR="00BD5B50" w:rsidRPr="00644648" w:rsidRDefault="00553A80" w:rsidP="003C49E0">
      <w:pPr>
        <w:pStyle w:val="ONUMFS"/>
      </w:pPr>
      <w:r w:rsidRPr="00644648">
        <w:t xml:space="preserve">En el </w:t>
      </w:r>
      <w:r w:rsidR="00C11BDB" w:rsidRPr="00644648">
        <w:t>C</w:t>
      </w:r>
      <w:r w:rsidR="00BD5B50" w:rsidRPr="00644648">
        <w:t xml:space="preserve">uestionario </w:t>
      </w:r>
      <w:r w:rsidRPr="00644648">
        <w:t xml:space="preserve">se </w:t>
      </w:r>
      <w:r w:rsidR="00154DAF" w:rsidRPr="00644648">
        <w:t>distingu</w:t>
      </w:r>
      <w:r w:rsidR="00154DAF">
        <w:t>ía</w:t>
      </w:r>
      <w:r w:rsidR="00154DAF" w:rsidRPr="00644648">
        <w:t>n</w:t>
      </w:r>
      <w:r w:rsidR="00BD5B50" w:rsidRPr="00644648">
        <w:t xml:space="preserve"> cuatro categorías de actividades de formación:</w:t>
      </w:r>
    </w:p>
    <w:p w:rsidR="00BD5B50" w:rsidRPr="00644648" w:rsidRDefault="00BD5B50" w:rsidP="00E7515E">
      <w:pPr>
        <w:pStyle w:val="ONUMFS"/>
        <w:numPr>
          <w:ilvl w:val="0"/>
          <w:numId w:val="9"/>
        </w:numPr>
        <w:ind w:left="1080" w:hanging="540"/>
      </w:pPr>
      <w:r w:rsidRPr="00644648">
        <w:t>Programas de formación exhaustiva de medio a largo plazo;</w:t>
      </w:r>
    </w:p>
    <w:p w:rsidR="00BD5B50" w:rsidRPr="00644648" w:rsidRDefault="00BD5B50" w:rsidP="003C49E0">
      <w:pPr>
        <w:pStyle w:val="ONUMFS"/>
        <w:numPr>
          <w:ilvl w:val="0"/>
          <w:numId w:val="9"/>
        </w:numPr>
        <w:ind w:left="567"/>
      </w:pPr>
      <w:r w:rsidRPr="00644648">
        <w:t>Formación práctica;</w:t>
      </w:r>
    </w:p>
    <w:p w:rsidR="00BD5B50" w:rsidRPr="00644648" w:rsidRDefault="00961A5A" w:rsidP="003C49E0">
      <w:pPr>
        <w:pStyle w:val="ONUMFS"/>
        <w:numPr>
          <w:ilvl w:val="0"/>
          <w:numId w:val="9"/>
        </w:numPr>
        <w:ind w:left="567"/>
      </w:pPr>
      <w:r w:rsidRPr="00644648">
        <w:t>Actividades de f</w:t>
      </w:r>
      <w:r w:rsidR="00BD5B50" w:rsidRPr="00644648">
        <w:t>ormación</w:t>
      </w:r>
      <w:r w:rsidRPr="00644648">
        <w:t xml:space="preserve"> presencial</w:t>
      </w:r>
      <w:r w:rsidR="00BD5B50" w:rsidRPr="00644648">
        <w:t xml:space="preserve"> en el aula</w:t>
      </w:r>
      <w:r w:rsidR="004A0E9B" w:rsidRPr="00644648">
        <w:t>;  y</w:t>
      </w:r>
    </w:p>
    <w:p w:rsidR="00BD5B50" w:rsidRPr="00644648" w:rsidRDefault="00BD5B50" w:rsidP="003C49E0">
      <w:pPr>
        <w:pStyle w:val="ONUMFS"/>
        <w:numPr>
          <w:ilvl w:val="0"/>
          <w:numId w:val="9"/>
        </w:numPr>
        <w:ind w:left="567"/>
      </w:pPr>
      <w:r w:rsidRPr="00644648">
        <w:t>Cursos por Internet, entre ellos seminarios por Internet y cursos de enseñanza a distancia.</w:t>
      </w:r>
    </w:p>
    <w:p w:rsidR="00BD5B50" w:rsidRPr="00644648" w:rsidRDefault="00245595" w:rsidP="003C49E0">
      <w:pPr>
        <w:pStyle w:val="ONUMFS"/>
        <w:numPr>
          <w:ilvl w:val="0"/>
          <w:numId w:val="0"/>
        </w:numPr>
      </w:pPr>
      <w:r w:rsidRPr="00644648">
        <w:t xml:space="preserve">Se invitó a las oficinas a </w:t>
      </w:r>
      <w:r w:rsidR="000A143C">
        <w:t>tener en cuenta</w:t>
      </w:r>
      <w:r w:rsidR="000E0DF9" w:rsidRPr="00644648">
        <w:t xml:space="preserve"> </w:t>
      </w:r>
      <w:r w:rsidRPr="00644648">
        <w:t xml:space="preserve">todas las actividades de formación </w:t>
      </w:r>
      <w:r w:rsidR="000A143C">
        <w:t xml:space="preserve">realizadas </w:t>
      </w:r>
      <w:r w:rsidRPr="00644648">
        <w:t>entr</w:t>
      </w:r>
      <w:r w:rsidR="004A0E9B" w:rsidRPr="00644648">
        <w:t>e 2</w:t>
      </w:r>
      <w:r w:rsidRPr="00644648">
        <w:t xml:space="preserve">013 </w:t>
      </w:r>
      <w:r w:rsidR="004A0E9B" w:rsidRPr="00644648">
        <w:t>y 2</w:t>
      </w:r>
      <w:r w:rsidRPr="00644648">
        <w:t xml:space="preserve">015 </w:t>
      </w:r>
      <w:r w:rsidR="00D900A6" w:rsidRPr="00644648">
        <w:t>correspondientes a</w:t>
      </w:r>
      <w:r w:rsidRPr="00644648">
        <w:t xml:space="preserve"> estas cuatro categorías</w:t>
      </w:r>
      <w:r w:rsidR="004A0E9B" w:rsidRPr="00644648">
        <w:t>.  T</w:t>
      </w:r>
      <w:r w:rsidR="00970F46" w:rsidRPr="00644648">
        <w:t>ambién se invitó a las O</w:t>
      </w:r>
      <w:r w:rsidR="00F22138" w:rsidRPr="00644648">
        <w:t>ficinas beneficiarias a que explicaran la importancia del apoyo a la formación exte</w:t>
      </w:r>
      <w:r w:rsidR="00970F46" w:rsidRPr="00644648">
        <w:t>rna, y se solicitó a todas las O</w:t>
      </w:r>
      <w:r w:rsidR="00F22138" w:rsidRPr="00644648">
        <w:t xml:space="preserve">ficinas que realizaran observaciones </w:t>
      </w:r>
      <w:r w:rsidR="00970F46" w:rsidRPr="00644648">
        <w:t>y sugerencias</w:t>
      </w:r>
      <w:r w:rsidR="00F22138" w:rsidRPr="00644648">
        <w:t xml:space="preserve"> </w:t>
      </w:r>
      <w:r w:rsidR="00970F46" w:rsidRPr="00644648">
        <w:t>sobre el</w:t>
      </w:r>
      <w:r w:rsidR="00F22138" w:rsidRPr="00644648">
        <w:t xml:space="preserve"> papel que </w:t>
      </w:r>
      <w:r w:rsidR="00AF5FED" w:rsidRPr="00644648">
        <w:t xml:space="preserve">podría desempeñar la Oficina Internacional </w:t>
      </w:r>
      <w:r w:rsidR="00F22138" w:rsidRPr="00644648">
        <w:t>en la formación de examinadores.</w:t>
      </w:r>
    </w:p>
    <w:p w:rsidR="002A6BC3" w:rsidRPr="00644648" w:rsidRDefault="002A6BC3" w:rsidP="003C49E0">
      <w:pPr>
        <w:pStyle w:val="ONUMFS"/>
      </w:pPr>
      <w:r w:rsidRPr="00644648">
        <w:t>A</w:t>
      </w:r>
      <w:r w:rsidR="00723C6B" w:rsidRPr="00644648">
        <w:t xml:space="preserve"> fech</w:t>
      </w:r>
      <w:r w:rsidR="004A0E9B" w:rsidRPr="00644648">
        <w:t>a 5</w:t>
      </w:r>
      <w:r w:rsidRPr="00644648">
        <w:t xml:space="preserve"> de abril d</w:t>
      </w:r>
      <w:r w:rsidR="004A0E9B" w:rsidRPr="00644648">
        <w:t>e 2</w:t>
      </w:r>
      <w:r w:rsidRPr="00644648">
        <w:t>016, la Oficina Internacional ha recibid</w:t>
      </w:r>
      <w:r w:rsidR="004A0E9B" w:rsidRPr="00644648">
        <w:t>o 4</w:t>
      </w:r>
      <w:r w:rsidRPr="00644648">
        <w:t>4 respuestas a la Circular</w:t>
      </w:r>
      <w:r w:rsidR="004A0E9B" w:rsidRPr="00644648">
        <w:t>:  3</w:t>
      </w:r>
      <w:r w:rsidRPr="00644648">
        <w:t>4 de Oficinas beneficiarias (de las cuale</w:t>
      </w:r>
      <w:r w:rsidR="004A0E9B" w:rsidRPr="00644648">
        <w:t>s 1</w:t>
      </w:r>
      <w:r w:rsidRPr="00644648">
        <w:t>8 provienen de Oficinas donantes)</w:t>
      </w:r>
      <w:r w:rsidR="00B34902" w:rsidRPr="00644648">
        <w:t xml:space="preserve">, </w:t>
      </w:r>
      <w:r w:rsidR="005C377D" w:rsidRPr="00644648">
        <w:t>5</w:t>
      </w:r>
      <w:r w:rsidR="00B34902" w:rsidRPr="00644648">
        <w:t xml:space="preserve"> de Oficinas que </w:t>
      </w:r>
      <w:r w:rsidR="005014AB" w:rsidRPr="00644648">
        <w:t>actuaron</w:t>
      </w:r>
      <w:r w:rsidR="00B34902" w:rsidRPr="00644648">
        <w:t xml:space="preserve"> únicamente como Oficinas donantes </w:t>
      </w:r>
      <w:r w:rsidR="004A0E9B" w:rsidRPr="00644648">
        <w:t>y 5</w:t>
      </w:r>
      <w:r w:rsidR="00B34902" w:rsidRPr="00644648">
        <w:t xml:space="preserve"> de Oficinas que no </w:t>
      </w:r>
      <w:r w:rsidR="005014AB" w:rsidRPr="00644648">
        <w:t>participaron</w:t>
      </w:r>
      <w:r w:rsidR="00B34902" w:rsidRPr="00644648">
        <w:t xml:space="preserve"> en ninguna actividad de formación</w:t>
      </w:r>
      <w:r w:rsidR="004A0E9B" w:rsidRPr="00644648">
        <w:t>.  E</w:t>
      </w:r>
      <w:r w:rsidR="00B34902" w:rsidRPr="00644648">
        <w:t>n los párrafo</w:t>
      </w:r>
      <w:r w:rsidR="004A0E9B" w:rsidRPr="00644648">
        <w:t>s 8</w:t>
      </w:r>
      <w:r w:rsidR="00B34902" w:rsidRPr="00644648">
        <w:t xml:space="preserve"> </w:t>
      </w:r>
      <w:r w:rsidR="004A0E9B" w:rsidRPr="00644648">
        <w:t>a 4</w:t>
      </w:r>
      <w:r w:rsidR="00B34902" w:rsidRPr="00644648">
        <w:t xml:space="preserve">2 se </w:t>
      </w:r>
      <w:r w:rsidR="000A143C">
        <w:t>examinan</w:t>
      </w:r>
      <w:r w:rsidR="00B34902" w:rsidRPr="00644648">
        <w:t xml:space="preserve"> las respuestas.</w:t>
      </w:r>
    </w:p>
    <w:p w:rsidR="005A54B2" w:rsidRPr="00644648" w:rsidRDefault="005A54B2" w:rsidP="00964FE1">
      <w:pPr>
        <w:pStyle w:val="Heading1"/>
      </w:pPr>
      <w:r w:rsidRPr="00644648">
        <w:t xml:space="preserve">LA </w:t>
      </w:r>
      <w:r w:rsidR="00444D75" w:rsidRPr="00644648">
        <w:t>IMPORTANCIA</w:t>
      </w:r>
      <w:r w:rsidRPr="00644648">
        <w:t xml:space="preserve"> DEL APOYO A LA FORMACIÓN EXTERNA</w:t>
      </w:r>
    </w:p>
    <w:p w:rsidR="005A54B2" w:rsidRPr="00644648" w:rsidRDefault="00FB34D6" w:rsidP="003C49E0">
      <w:pPr>
        <w:pStyle w:val="ONUMFS"/>
      </w:pPr>
      <w:bookmarkStart w:id="6" w:name="_Ref448736876"/>
      <w:r w:rsidRPr="00644648">
        <w:t>En las respuestas de las Oficinas beneficiarias se destaca</w:t>
      </w:r>
      <w:r w:rsidR="00604C8E">
        <w:t>ba</w:t>
      </w:r>
      <w:r w:rsidRPr="00644648">
        <w:t xml:space="preserve"> la importancia </w:t>
      </w:r>
      <w:r w:rsidR="00D900A6" w:rsidRPr="00644648">
        <w:t xml:space="preserve">que </w:t>
      </w:r>
      <w:r w:rsidR="00604C8E">
        <w:t>revestía</w:t>
      </w:r>
      <w:r w:rsidR="00D900A6" w:rsidRPr="00644648">
        <w:t xml:space="preserve"> el</w:t>
      </w:r>
      <w:r w:rsidRPr="00644648">
        <w:t xml:space="preserve"> apoyo de otras Oficinas </w:t>
      </w:r>
      <w:r w:rsidR="0097440C" w:rsidRPr="00644648">
        <w:t>a</w:t>
      </w:r>
      <w:r w:rsidR="00FA5902" w:rsidRPr="00644648">
        <w:t xml:space="preserve"> la formación de</w:t>
      </w:r>
      <w:r w:rsidRPr="00644648">
        <w:t xml:space="preserve"> examinadores </w:t>
      </w:r>
      <w:r w:rsidR="00FA5902" w:rsidRPr="00644648">
        <w:t xml:space="preserve">nuevos y </w:t>
      </w:r>
      <w:r w:rsidR="000E0DF9" w:rsidRPr="00644648">
        <w:t>exp</w:t>
      </w:r>
      <w:r w:rsidR="00604C8E">
        <w:t>erimentados debido a que carecían</w:t>
      </w:r>
      <w:r w:rsidR="000E0DF9" w:rsidRPr="00644648">
        <w:t xml:space="preserve"> de</w:t>
      </w:r>
      <w:r w:rsidRPr="00644648">
        <w:t xml:space="preserve"> </w:t>
      </w:r>
      <w:r w:rsidR="000E0DF9" w:rsidRPr="00644648">
        <w:t>capacidades de</w:t>
      </w:r>
      <w:r w:rsidR="00FA5902" w:rsidRPr="00644648">
        <w:t xml:space="preserve"> formación interna y </w:t>
      </w:r>
      <w:r w:rsidR="000E0DF9" w:rsidRPr="00644648">
        <w:t>de</w:t>
      </w:r>
      <w:r w:rsidR="00FA5902" w:rsidRPr="00644648">
        <w:t xml:space="preserve"> </w:t>
      </w:r>
      <w:r w:rsidRPr="00644648">
        <w:t>experiencia en el examen</w:t>
      </w:r>
      <w:r w:rsidR="004A0E9B" w:rsidRPr="00644648">
        <w:t>.  P</w:t>
      </w:r>
      <w:r w:rsidRPr="00644648">
        <w:t>or ejemplo</w:t>
      </w:r>
      <w:r w:rsidR="000C7E92" w:rsidRPr="00644648">
        <w:t xml:space="preserve">, varias Oficinas de </w:t>
      </w:r>
      <w:r w:rsidR="001804DB" w:rsidRPr="00644648">
        <w:t xml:space="preserve">pequeños </w:t>
      </w:r>
      <w:r w:rsidR="000C7E92" w:rsidRPr="00644648">
        <w:t xml:space="preserve">Estados </w:t>
      </w:r>
      <w:r w:rsidR="00FA5902" w:rsidRPr="00644648">
        <w:t>miembros</w:t>
      </w:r>
      <w:r w:rsidR="000C7E92" w:rsidRPr="00644648">
        <w:t xml:space="preserve"> del Convenio sobre </w:t>
      </w:r>
      <w:r w:rsidR="00604C8E">
        <w:t>la Patente Europea destacaban</w:t>
      </w:r>
      <w:r w:rsidR="000C7E92" w:rsidRPr="00644648">
        <w:t xml:space="preserve"> la importancia de</w:t>
      </w:r>
      <w:r w:rsidR="002900CD" w:rsidRPr="00644648">
        <w:t xml:space="preserve">l apoyo </w:t>
      </w:r>
      <w:r w:rsidR="00C24AD6" w:rsidRPr="00644648">
        <w:t>a la formación proporcionada</w:t>
      </w:r>
      <w:r w:rsidR="002900CD" w:rsidRPr="00644648">
        <w:t xml:space="preserve"> por la Oficina Europea de Patentes, habida cuenta de las limitaciones en la capacidad de formación.</w:t>
      </w:r>
    </w:p>
    <w:bookmarkEnd w:id="6"/>
    <w:p w:rsidR="001B11B1" w:rsidRPr="00644648" w:rsidRDefault="00B727BD" w:rsidP="003C49E0">
      <w:pPr>
        <w:pStyle w:val="ONUMFS"/>
      </w:pPr>
      <w:r w:rsidRPr="00644648">
        <w:t>Para las pequeñas Oficinas de países en desarrollo que cuentan con muy pocos examinadores</w:t>
      </w:r>
      <w:r w:rsidR="001804DB" w:rsidRPr="00644648">
        <w:t>,</w:t>
      </w:r>
      <w:r w:rsidRPr="00644648">
        <w:t xml:space="preserve"> e</w:t>
      </w:r>
      <w:r w:rsidR="00604C8E">
        <w:t xml:space="preserve">l apoyo externo en materia de formación </w:t>
      </w:r>
      <w:r w:rsidRPr="00644648">
        <w:t xml:space="preserve">es fundamental y </w:t>
      </w:r>
      <w:r w:rsidR="0088278D" w:rsidRPr="00644648">
        <w:t>habitual</w:t>
      </w:r>
      <w:r w:rsidRPr="00644648">
        <w:t xml:space="preserve">, </w:t>
      </w:r>
      <w:r w:rsidR="001B11B1" w:rsidRPr="00644648">
        <w:t>dado que la</w:t>
      </w:r>
      <w:r w:rsidR="00393B11" w:rsidRPr="00644648">
        <w:t xml:space="preserve"> mayoría </w:t>
      </w:r>
      <w:r w:rsidRPr="00644648">
        <w:t xml:space="preserve">de las Oficinas </w:t>
      </w:r>
      <w:r w:rsidR="00393B11" w:rsidRPr="00644648">
        <w:t>carece</w:t>
      </w:r>
      <w:r w:rsidR="001B11B1" w:rsidRPr="00644648">
        <w:t xml:space="preserve"> de capacidades de formación interna</w:t>
      </w:r>
      <w:r w:rsidRPr="00644648">
        <w:t xml:space="preserve"> y posiblemente no esté</w:t>
      </w:r>
      <w:r w:rsidR="00393B11" w:rsidRPr="00644648">
        <w:t xml:space="preserve"> en condiciones de desarrollar o mantener esas capacidades.</w:t>
      </w:r>
    </w:p>
    <w:p w:rsidR="00CF62D7" w:rsidRPr="00644648" w:rsidRDefault="00FE3B47" w:rsidP="003C49E0">
      <w:pPr>
        <w:pStyle w:val="ONUMFS"/>
      </w:pPr>
      <w:r w:rsidRPr="00644648">
        <w:t>Algunas</w:t>
      </w:r>
      <w:r w:rsidR="00CF62D7" w:rsidRPr="00644648">
        <w:t xml:space="preserve"> Oficinas de países en desarrollo </w:t>
      </w:r>
      <w:r w:rsidR="00604C8E">
        <w:t xml:space="preserve">señalaban </w:t>
      </w:r>
      <w:r w:rsidR="00FF4E54" w:rsidRPr="00644648">
        <w:t>que</w:t>
      </w:r>
      <w:r w:rsidR="00CF62D7" w:rsidRPr="00644648">
        <w:t xml:space="preserve"> sus examinadores</w:t>
      </w:r>
      <w:r w:rsidR="00604C8E">
        <w:t xml:space="preserve"> carecía</w:t>
      </w:r>
      <w:r w:rsidR="00FF4E54" w:rsidRPr="00644648">
        <w:t>n de experiencia</w:t>
      </w:r>
      <w:r w:rsidR="00CF62D7" w:rsidRPr="00644648">
        <w:t xml:space="preserve"> </w:t>
      </w:r>
      <w:r w:rsidR="00FF4E54" w:rsidRPr="00644648">
        <w:t>en comparación con</w:t>
      </w:r>
      <w:r w:rsidR="005C052E" w:rsidRPr="00644648">
        <w:t xml:space="preserve"> las</w:t>
      </w:r>
      <w:r w:rsidR="00CF62D7" w:rsidRPr="00644648">
        <w:t xml:space="preserve"> Oficinas </w:t>
      </w:r>
      <w:r w:rsidR="005C052E" w:rsidRPr="00644648">
        <w:t xml:space="preserve">que </w:t>
      </w:r>
      <w:r w:rsidR="00604C8E">
        <w:t xml:space="preserve">tenían </w:t>
      </w:r>
      <w:r w:rsidR="005C052E" w:rsidRPr="00644648">
        <w:t>mayor experiencia</w:t>
      </w:r>
      <w:r w:rsidRPr="00644648">
        <w:t xml:space="preserve"> </w:t>
      </w:r>
      <w:r w:rsidR="00CF62D7" w:rsidRPr="00644648">
        <w:t>en el examen sustantivo de patentes</w:t>
      </w:r>
      <w:r w:rsidR="004A0E9B" w:rsidRPr="00644648">
        <w:t>.  E</w:t>
      </w:r>
      <w:r w:rsidR="00187637" w:rsidRPr="00644648">
        <w:t>stas Oficinas</w:t>
      </w:r>
      <w:r w:rsidR="00604C8E">
        <w:t xml:space="preserve"> atribuían</w:t>
      </w:r>
      <w:r w:rsidR="00187637" w:rsidRPr="00644648">
        <w:t xml:space="preserve"> </w:t>
      </w:r>
      <w:r w:rsidR="00ED49DD" w:rsidRPr="00644648">
        <w:t xml:space="preserve">gran importancia </w:t>
      </w:r>
      <w:r w:rsidR="0037319C" w:rsidRPr="00644648">
        <w:t xml:space="preserve">a </w:t>
      </w:r>
      <w:r w:rsidR="00604C8E">
        <w:t xml:space="preserve">la adquisición de </w:t>
      </w:r>
      <w:r w:rsidR="00187637" w:rsidRPr="00644648">
        <w:t xml:space="preserve">mejores prácticas </w:t>
      </w:r>
      <w:r w:rsidR="00ED49DD" w:rsidRPr="00644648">
        <w:t>de</w:t>
      </w:r>
      <w:r w:rsidR="009E645B" w:rsidRPr="00644648">
        <w:t xml:space="preserve"> </w:t>
      </w:r>
      <w:r w:rsidR="00604C8E">
        <w:t xml:space="preserve">manos de </w:t>
      </w:r>
      <w:r w:rsidR="00187637" w:rsidRPr="00644648">
        <w:t xml:space="preserve">examinadores </w:t>
      </w:r>
      <w:r w:rsidR="00781E91" w:rsidRPr="00644648">
        <w:t>experimentados</w:t>
      </w:r>
      <w:r w:rsidR="004A3326" w:rsidRPr="00644648">
        <w:t>, no solamente con respecto a</w:t>
      </w:r>
      <w:r w:rsidR="005C052E" w:rsidRPr="00644648">
        <w:t xml:space="preserve"> las</w:t>
      </w:r>
      <w:r w:rsidR="009E645B" w:rsidRPr="00644648">
        <w:t xml:space="preserve"> tareas </w:t>
      </w:r>
      <w:r w:rsidR="009E645B" w:rsidRPr="00644648">
        <w:lastRenderedPageBreak/>
        <w:t>de examen habituales</w:t>
      </w:r>
      <w:r w:rsidR="004A3326" w:rsidRPr="00644648">
        <w:t xml:space="preserve">, sino también </w:t>
      </w:r>
      <w:r w:rsidR="0037319C" w:rsidRPr="00644648">
        <w:t>para</w:t>
      </w:r>
      <w:r w:rsidR="004A3326" w:rsidRPr="00644648">
        <w:t xml:space="preserve"> mantenerse al corri</w:t>
      </w:r>
      <w:r w:rsidR="0030603F" w:rsidRPr="00644648">
        <w:t>ente de las nuevas herramientas</w:t>
      </w:r>
      <w:r w:rsidR="004A0E9B" w:rsidRPr="00644648">
        <w:t>.  I</w:t>
      </w:r>
      <w:r w:rsidR="00781E91" w:rsidRPr="00644648">
        <w:t xml:space="preserve">ncluso </w:t>
      </w:r>
      <w:r w:rsidR="005C052E" w:rsidRPr="00644648">
        <w:t>las</w:t>
      </w:r>
      <w:r w:rsidR="00781E91" w:rsidRPr="00644648">
        <w:t xml:space="preserve"> Oficinas que </w:t>
      </w:r>
      <w:r w:rsidR="00604C8E">
        <w:t xml:space="preserve">contaban </w:t>
      </w:r>
      <w:r w:rsidR="00781E91" w:rsidRPr="00644648">
        <w:t xml:space="preserve">con </w:t>
      </w:r>
      <w:r w:rsidR="00E324DC" w:rsidRPr="00644648">
        <w:t>cierta</w:t>
      </w:r>
      <w:r w:rsidR="00781E91" w:rsidRPr="00644648">
        <w:t xml:space="preserve"> capacidad de formación interna</w:t>
      </w:r>
      <w:r w:rsidR="005C052E" w:rsidRPr="00644648">
        <w:t xml:space="preserve"> </w:t>
      </w:r>
      <w:r w:rsidR="004A3326" w:rsidRPr="00644648">
        <w:t>en general</w:t>
      </w:r>
      <w:r w:rsidR="00781E91" w:rsidRPr="00644648">
        <w:t xml:space="preserve"> </w:t>
      </w:r>
      <w:r w:rsidR="00604C8E">
        <w:t>acogían</w:t>
      </w:r>
      <w:r w:rsidR="009E645B" w:rsidRPr="00644648">
        <w:t xml:space="preserve"> con beneplácito</w:t>
      </w:r>
      <w:r w:rsidR="005C052E" w:rsidRPr="00644648">
        <w:t xml:space="preserve"> </w:t>
      </w:r>
      <w:r w:rsidR="00781E91" w:rsidRPr="00644648">
        <w:t xml:space="preserve">la </w:t>
      </w:r>
      <w:r w:rsidR="00DF65EB" w:rsidRPr="00644648">
        <w:t>ayuda</w:t>
      </w:r>
      <w:r w:rsidR="00781E91" w:rsidRPr="00644648">
        <w:t xml:space="preserve"> externa como un complemento importante.</w:t>
      </w:r>
    </w:p>
    <w:p w:rsidR="00E0329B" w:rsidRPr="00644648" w:rsidRDefault="00E54833" w:rsidP="003C49E0">
      <w:pPr>
        <w:pStyle w:val="ONUMFS"/>
      </w:pPr>
      <w:r w:rsidRPr="00644648">
        <w:t xml:space="preserve">Muchas Oficinas que </w:t>
      </w:r>
      <w:r w:rsidR="00604C8E">
        <w:t>contaban</w:t>
      </w:r>
      <w:r w:rsidR="007766E8" w:rsidRPr="00644648">
        <w:t xml:space="preserve"> con</w:t>
      </w:r>
      <w:r w:rsidR="003E752B" w:rsidRPr="00644648">
        <w:t xml:space="preserve"> </w:t>
      </w:r>
      <w:r w:rsidR="001E12B8" w:rsidRPr="00644648">
        <w:t xml:space="preserve">una </w:t>
      </w:r>
      <w:r w:rsidR="0056675F" w:rsidRPr="00644648">
        <w:t>vasta experiencia</w:t>
      </w:r>
      <w:r w:rsidRPr="00644648">
        <w:t xml:space="preserve"> en el examen sustantivo de patentes afirm</w:t>
      </w:r>
      <w:r w:rsidR="00604C8E">
        <w:t>aban</w:t>
      </w:r>
      <w:r w:rsidRPr="00644648">
        <w:t xml:space="preserve"> que </w:t>
      </w:r>
      <w:r w:rsidR="002B5DDA" w:rsidRPr="00644648">
        <w:t>la formación de examinadores de patentes, en particular</w:t>
      </w:r>
      <w:r w:rsidR="00E324DC" w:rsidRPr="00644648">
        <w:t xml:space="preserve"> </w:t>
      </w:r>
      <w:r w:rsidR="00F07A7C" w:rsidRPr="00644648">
        <w:t xml:space="preserve">de nuevos </w:t>
      </w:r>
      <w:r w:rsidR="007766E8" w:rsidRPr="00644648">
        <w:t>examinadores</w:t>
      </w:r>
      <w:r w:rsidR="002B5DDA" w:rsidRPr="00644648">
        <w:t xml:space="preserve">, </w:t>
      </w:r>
      <w:r w:rsidR="00E324DC" w:rsidRPr="00644648">
        <w:t xml:space="preserve">se </w:t>
      </w:r>
      <w:r w:rsidR="00DB01EE" w:rsidRPr="00644648">
        <w:t>organiza</w:t>
      </w:r>
      <w:r w:rsidR="00604C8E">
        <w:t>ba</w:t>
      </w:r>
      <w:r w:rsidR="00E324DC" w:rsidRPr="00644648">
        <w:t xml:space="preserve"> principalmente a nivel</w:t>
      </w:r>
      <w:r w:rsidR="006258E5" w:rsidRPr="00644648">
        <w:t xml:space="preserve"> interno</w:t>
      </w:r>
      <w:r w:rsidR="002B5DDA" w:rsidRPr="00644648">
        <w:t>, sin asistencia externa</w:t>
      </w:r>
      <w:r w:rsidR="004A0E9B" w:rsidRPr="00644648">
        <w:t>.  N</w:t>
      </w:r>
      <w:r w:rsidR="006258E5" w:rsidRPr="00644648">
        <w:t xml:space="preserve">o obstante, </w:t>
      </w:r>
      <w:r w:rsidR="00DB01EE" w:rsidRPr="00644648">
        <w:t>estas</w:t>
      </w:r>
      <w:r w:rsidR="00604C8E">
        <w:t xml:space="preserve"> Oficinas atribuían</w:t>
      </w:r>
      <w:r w:rsidR="006258E5" w:rsidRPr="00644648">
        <w:t xml:space="preserve"> gran importancia </w:t>
      </w:r>
      <w:r w:rsidR="007766E8" w:rsidRPr="00644648">
        <w:t>al intercambio</w:t>
      </w:r>
      <w:r w:rsidR="00A67F34" w:rsidRPr="00644648">
        <w:t xml:space="preserve"> de </w:t>
      </w:r>
      <w:r w:rsidR="006258E5" w:rsidRPr="00644648">
        <w:t xml:space="preserve">examinadores </w:t>
      </w:r>
      <w:r w:rsidR="006F0C59" w:rsidRPr="00644648">
        <w:t>experimentados</w:t>
      </w:r>
      <w:r w:rsidR="007766E8" w:rsidRPr="00644648">
        <w:t xml:space="preserve"> a fin de difundir</w:t>
      </w:r>
      <w:r w:rsidR="00F66DDD" w:rsidRPr="00644648">
        <w:t xml:space="preserve"> </w:t>
      </w:r>
      <w:r w:rsidR="00295265" w:rsidRPr="00644648">
        <w:t>las</w:t>
      </w:r>
      <w:r w:rsidR="006258E5" w:rsidRPr="00644648">
        <w:t xml:space="preserve"> mejores prácticas</w:t>
      </w:r>
      <w:r w:rsidR="00410132" w:rsidRPr="00644648">
        <w:t xml:space="preserve"> y </w:t>
      </w:r>
      <w:r w:rsidR="007766E8" w:rsidRPr="00644648">
        <w:t>fortalecer</w:t>
      </w:r>
      <w:r w:rsidR="00F66DDD" w:rsidRPr="00644648">
        <w:t xml:space="preserve"> la</w:t>
      </w:r>
      <w:r w:rsidR="006258E5" w:rsidRPr="00644648">
        <w:t xml:space="preserve"> confianza mutua en los </w:t>
      </w:r>
      <w:r w:rsidR="00604C8E">
        <w:t xml:space="preserve">resultados de la tramitación </w:t>
      </w:r>
      <w:r w:rsidR="006258E5" w:rsidRPr="00644648">
        <w:t xml:space="preserve">de otras Oficinas </w:t>
      </w:r>
      <w:r w:rsidR="005876F8" w:rsidRPr="00644648">
        <w:t>mediante un mejor entendimiento</w:t>
      </w:r>
      <w:r w:rsidR="00255647" w:rsidRPr="00644648">
        <w:t xml:space="preserve"> de</w:t>
      </w:r>
      <w:r w:rsidR="006258E5" w:rsidRPr="00644648">
        <w:t xml:space="preserve"> las prácticas de examen de otras Oficinas</w:t>
      </w:r>
      <w:r w:rsidR="00E0329B" w:rsidRPr="00644648">
        <w:t>.</w:t>
      </w:r>
    </w:p>
    <w:p w:rsidR="008B3633" w:rsidRPr="00644648" w:rsidRDefault="008B3633" w:rsidP="003C49E0">
      <w:pPr>
        <w:pStyle w:val="ONUMFS"/>
      </w:pPr>
      <w:r w:rsidRPr="00644648">
        <w:t xml:space="preserve">Las Oficinas de los países en desarrollo que </w:t>
      </w:r>
      <w:r w:rsidR="00604C8E">
        <w:t>tenían</w:t>
      </w:r>
      <w:r w:rsidRPr="00644648">
        <w:t xml:space="preserve"> poco</w:t>
      </w:r>
      <w:r w:rsidR="00604C8E">
        <w:t>s examinadores señalaban</w:t>
      </w:r>
      <w:r w:rsidRPr="00644648">
        <w:t xml:space="preserve"> que, con frecuencia, los examinadores </w:t>
      </w:r>
      <w:r w:rsidR="00604C8E">
        <w:t>realizaba</w:t>
      </w:r>
      <w:r w:rsidR="00377048" w:rsidRPr="00644648">
        <w:t>n</w:t>
      </w:r>
      <w:r w:rsidRPr="00644648">
        <w:t xml:space="preserve"> actividades </w:t>
      </w:r>
      <w:r w:rsidR="00DF65EB" w:rsidRPr="00644648">
        <w:t>distintas</w:t>
      </w:r>
      <w:r w:rsidRPr="00644648">
        <w:t xml:space="preserve"> del examen sustantivo de patentes, como </w:t>
      </w:r>
      <w:r w:rsidR="00DF65EB" w:rsidRPr="00644648">
        <w:t>la promoción de</w:t>
      </w:r>
      <w:r w:rsidRPr="00644648">
        <w:t xml:space="preserve"> la propiedad intelectual, </w:t>
      </w:r>
      <w:r w:rsidR="00DF65EB" w:rsidRPr="00644648">
        <w:t xml:space="preserve">actividades de </w:t>
      </w:r>
      <w:r w:rsidR="00377048" w:rsidRPr="00644648">
        <w:t>divulgación o servicios de asesoramiento a solicitantes</w:t>
      </w:r>
      <w:r w:rsidR="004A0E9B" w:rsidRPr="00644648">
        <w:t>.  E</w:t>
      </w:r>
      <w:r w:rsidR="005C2D0E" w:rsidRPr="00644648">
        <w:t xml:space="preserve">stas Oficinas </w:t>
      </w:r>
      <w:r w:rsidR="00604C8E">
        <w:t>expresaban</w:t>
      </w:r>
      <w:r w:rsidR="005C2D0E" w:rsidRPr="00644648">
        <w:t xml:space="preserve"> la necesidad de </w:t>
      </w:r>
      <w:r w:rsidR="00E13E1E" w:rsidRPr="00644648">
        <w:t xml:space="preserve">brindar </w:t>
      </w:r>
      <w:r w:rsidR="005C2D0E" w:rsidRPr="00644648">
        <w:t xml:space="preserve">formación adicional </w:t>
      </w:r>
      <w:r w:rsidR="00E13E1E" w:rsidRPr="00644648">
        <w:t>a</w:t>
      </w:r>
      <w:r w:rsidR="005C2D0E" w:rsidRPr="00644648">
        <w:t xml:space="preserve"> sus examinadores </w:t>
      </w:r>
      <w:r w:rsidR="00394C26" w:rsidRPr="00644648">
        <w:t xml:space="preserve">en relación con </w:t>
      </w:r>
      <w:r w:rsidR="002B4FEA" w:rsidRPr="00644648">
        <w:t>es</w:t>
      </w:r>
      <w:r w:rsidR="00394C26" w:rsidRPr="00644648">
        <w:t>t</w:t>
      </w:r>
      <w:r w:rsidR="002B4FEA" w:rsidRPr="00644648">
        <w:t>as actividades</w:t>
      </w:r>
      <w:r w:rsidR="005C2D0E" w:rsidRPr="00644648">
        <w:t>.</w:t>
      </w:r>
    </w:p>
    <w:p w:rsidR="00C16149" w:rsidRPr="00644648" w:rsidRDefault="00604C8E" w:rsidP="00964FE1">
      <w:pPr>
        <w:pStyle w:val="Heading1"/>
        <w:keepLines/>
      </w:pPr>
      <w:r>
        <w:t xml:space="preserve">OPINIONES </w:t>
      </w:r>
      <w:r w:rsidR="00C16149" w:rsidRPr="00644648">
        <w:t xml:space="preserve">SOBRE </w:t>
      </w:r>
      <w:r>
        <w:t xml:space="preserve">la posible función de </w:t>
      </w:r>
      <w:r w:rsidR="00C16149" w:rsidRPr="00644648">
        <w:t>LA OMPI</w:t>
      </w:r>
    </w:p>
    <w:p w:rsidR="00C16149" w:rsidRPr="00644648" w:rsidRDefault="00C16149" w:rsidP="003C49E0">
      <w:pPr>
        <w:pStyle w:val="ONUMFS"/>
      </w:pPr>
      <w:r w:rsidRPr="00644648">
        <w:t xml:space="preserve">La mayoría de las Oficinas han expresado su apoyo a que la OMPI desempeñe un papel más activo </w:t>
      </w:r>
      <w:r w:rsidR="00FF7AC8" w:rsidRPr="00644648">
        <w:t xml:space="preserve">en </w:t>
      </w:r>
      <w:r w:rsidR="00D73FBE" w:rsidRPr="00644648">
        <w:t>coordinar y facilitar</w:t>
      </w:r>
      <w:r w:rsidRPr="00644648">
        <w:t xml:space="preserve"> la formación de examinadores de patentes</w:t>
      </w:r>
      <w:r w:rsidR="004A0E9B" w:rsidRPr="00644648">
        <w:t>.  M</w:t>
      </w:r>
      <w:r w:rsidR="00806A89" w:rsidRPr="00644648">
        <w:t>uchas Oficinas han expresado la necesidad de</w:t>
      </w:r>
      <w:r w:rsidR="00FF7AC8" w:rsidRPr="00644648">
        <w:t xml:space="preserve"> que exista</w:t>
      </w:r>
      <w:r w:rsidR="00806A89" w:rsidRPr="00644648">
        <w:t xml:space="preserve"> mayor transparencia en la oferta y la demanda de formación</w:t>
      </w:r>
      <w:r w:rsidR="00AF7943" w:rsidRPr="00644648">
        <w:t xml:space="preserve">, en particular, </w:t>
      </w:r>
      <w:r w:rsidR="00230CEB">
        <w:t xml:space="preserve">que se preste </w:t>
      </w:r>
      <w:r w:rsidR="00AF7943" w:rsidRPr="00644648">
        <w:t xml:space="preserve">mayor </w:t>
      </w:r>
      <w:r w:rsidR="00230CEB">
        <w:t>atención a</w:t>
      </w:r>
      <w:r w:rsidR="00AF7943" w:rsidRPr="00644648">
        <w:t xml:space="preserve"> las necesidades de las Oficinas más pequeñas.</w:t>
      </w:r>
    </w:p>
    <w:p w:rsidR="008C7630" w:rsidRPr="00644648" w:rsidRDefault="0003691D" w:rsidP="003C49E0">
      <w:pPr>
        <w:pStyle w:val="ONUMFS"/>
      </w:pPr>
      <w:r w:rsidRPr="00644648">
        <w:t xml:space="preserve">Dado que el </w:t>
      </w:r>
      <w:r w:rsidR="008C7630" w:rsidRPr="00644648">
        <w:t xml:space="preserve">contenido de la formación de las diferentes Oficinas </w:t>
      </w:r>
      <w:r w:rsidR="003E5241" w:rsidRPr="00644648">
        <w:t>proveedoras</w:t>
      </w:r>
      <w:r w:rsidRPr="00644648">
        <w:t xml:space="preserve"> es muy similar</w:t>
      </w:r>
      <w:r w:rsidR="008C7630" w:rsidRPr="00644648">
        <w:t>,</w:t>
      </w:r>
      <w:r w:rsidRPr="00644648">
        <w:t xml:space="preserve"> </w:t>
      </w:r>
      <w:r w:rsidR="002742C4" w:rsidRPr="00644648">
        <w:t>muchos de los consultados señalaron</w:t>
      </w:r>
      <w:r w:rsidR="00DC0C1E" w:rsidRPr="00644648">
        <w:t xml:space="preserve"> que la Oficina Internacional debería </w:t>
      </w:r>
      <w:r w:rsidR="00D73FBE" w:rsidRPr="00644648">
        <w:t>procurar</w:t>
      </w:r>
      <w:r w:rsidR="00DC0C1E" w:rsidRPr="00644648">
        <w:t xml:space="preserve"> </w:t>
      </w:r>
      <w:r w:rsidR="00D73FBE" w:rsidRPr="00644648">
        <w:t>que la</w:t>
      </w:r>
      <w:r w:rsidR="00DC0C1E" w:rsidRPr="00644648">
        <w:t xml:space="preserve"> colaboración entre </w:t>
      </w:r>
      <w:r w:rsidR="002742C4" w:rsidRPr="00644648">
        <w:t xml:space="preserve">los </w:t>
      </w:r>
      <w:r w:rsidR="00DC0C1E" w:rsidRPr="00644648">
        <w:t>donantes</w:t>
      </w:r>
      <w:r w:rsidR="00D73FBE" w:rsidRPr="00644648">
        <w:t xml:space="preserve"> </w:t>
      </w:r>
      <w:r w:rsidR="002105AD">
        <w:t>fuera</w:t>
      </w:r>
      <w:r w:rsidR="00D73FBE" w:rsidRPr="00644648">
        <w:t xml:space="preserve"> más eficaz</w:t>
      </w:r>
      <w:r w:rsidR="004A0E9B" w:rsidRPr="00644648">
        <w:t>.  D</w:t>
      </w:r>
      <w:r w:rsidR="002742C4" w:rsidRPr="00644648">
        <w:t>e ese modo</w:t>
      </w:r>
      <w:r w:rsidR="00564D74" w:rsidRPr="00644648">
        <w:t xml:space="preserve">, </w:t>
      </w:r>
      <w:r w:rsidR="00DC0C1E" w:rsidRPr="00644648">
        <w:t xml:space="preserve">se evitaría duplicar la formación, se aseguraría un uso eficiente de las oportunidades de formación y una mejor adecuación </w:t>
      </w:r>
      <w:r w:rsidR="008C21FA" w:rsidRPr="00644648">
        <w:t>de</w:t>
      </w:r>
      <w:r w:rsidR="00F06158" w:rsidRPr="00644648">
        <w:t xml:space="preserve"> la oferta </w:t>
      </w:r>
      <w:r w:rsidR="008C21FA" w:rsidRPr="00644648">
        <w:t>a</w:t>
      </w:r>
      <w:r w:rsidR="00F06158" w:rsidRPr="00644648">
        <w:t xml:space="preserve"> las necesidades </w:t>
      </w:r>
      <w:r w:rsidR="00DC0C1E" w:rsidRPr="00644648">
        <w:t>de formación, en particular en lo que respecta a la formación avanzada.</w:t>
      </w:r>
    </w:p>
    <w:p w:rsidR="007618BB" w:rsidRPr="00644648" w:rsidRDefault="007618BB" w:rsidP="003C49E0">
      <w:pPr>
        <w:pStyle w:val="ONUMFS"/>
      </w:pPr>
      <w:r w:rsidRPr="00644648">
        <w:t xml:space="preserve">Varias Oficinas </w:t>
      </w:r>
      <w:r w:rsidR="00686984" w:rsidRPr="00644648">
        <w:t xml:space="preserve">solicitaron </w:t>
      </w:r>
      <w:r w:rsidR="00651BEB" w:rsidRPr="00644648">
        <w:t>un aumento de</w:t>
      </w:r>
      <w:r w:rsidR="00686984" w:rsidRPr="00644648">
        <w:t xml:space="preserve"> l</w:t>
      </w:r>
      <w:r w:rsidRPr="00644648">
        <w:t xml:space="preserve">a financiación de las actividades de formación de examinadores y </w:t>
      </w:r>
      <w:r w:rsidR="00554961" w:rsidRPr="00644648">
        <w:t>propusieron</w:t>
      </w:r>
      <w:r w:rsidR="00FC3C30" w:rsidRPr="00644648">
        <w:t xml:space="preserve"> que la Oficina Internacional </w:t>
      </w:r>
      <w:r w:rsidR="00D8175C" w:rsidRPr="00644648">
        <w:t>desempeñar</w:t>
      </w:r>
      <w:r w:rsidR="00554961" w:rsidRPr="00644648">
        <w:t>a</w:t>
      </w:r>
      <w:r w:rsidR="00D8175C" w:rsidRPr="00644648">
        <w:t xml:space="preserve"> un papel importante en</w:t>
      </w:r>
      <w:r w:rsidR="002C689D" w:rsidRPr="00644648">
        <w:t xml:space="preserve"> </w:t>
      </w:r>
      <w:r w:rsidR="00FC3C30" w:rsidRPr="00644648">
        <w:t xml:space="preserve">organizar </w:t>
      </w:r>
      <w:r w:rsidR="0054265E" w:rsidRPr="00644648">
        <w:t>dicha</w:t>
      </w:r>
      <w:r w:rsidR="00FC3C30" w:rsidRPr="00644648">
        <w:t xml:space="preserve"> financiación, por ejemplo, a través de acuerdos de fondos fiduciarios.</w:t>
      </w:r>
    </w:p>
    <w:p w:rsidR="00E0329B" w:rsidRPr="00644648" w:rsidRDefault="00AF6573" w:rsidP="003C49E0">
      <w:pPr>
        <w:pStyle w:val="ONUMFS"/>
      </w:pPr>
      <w:r w:rsidRPr="00644648">
        <w:t xml:space="preserve">Una Oficina donante </w:t>
      </w:r>
      <w:r w:rsidR="004F186A" w:rsidRPr="00644648">
        <w:t>afirmó</w:t>
      </w:r>
      <w:r w:rsidRPr="00644648">
        <w:t xml:space="preserve"> que </w:t>
      </w:r>
      <w:r w:rsidR="00BB3B99">
        <w:t>preveía</w:t>
      </w:r>
      <w:r w:rsidRPr="00644648">
        <w:t xml:space="preserve"> que </w:t>
      </w:r>
      <w:r w:rsidR="00BB3B99">
        <w:t>se produjera</w:t>
      </w:r>
      <w:r w:rsidR="004F186A" w:rsidRPr="00644648">
        <w:t xml:space="preserve"> un aumento de</w:t>
      </w:r>
      <w:r w:rsidRPr="00644648">
        <w:t xml:space="preserve"> la demanda de </w:t>
      </w:r>
      <w:r w:rsidR="00B72EBA" w:rsidRPr="00644648">
        <w:t>sus</w:t>
      </w:r>
      <w:r w:rsidRPr="00644648">
        <w:t xml:space="preserve"> servicios de formación, si </w:t>
      </w:r>
      <w:r w:rsidR="00651BEB" w:rsidRPr="00644648">
        <w:t xml:space="preserve">estos </w:t>
      </w:r>
      <w:r w:rsidR="00BB3B99">
        <w:t xml:space="preserve">eran </w:t>
      </w:r>
      <w:r w:rsidRPr="00644648">
        <w:t>coordinados por la Oficina Internacional</w:t>
      </w:r>
      <w:r w:rsidR="004A0E9B" w:rsidRPr="00644648">
        <w:t>.  S</w:t>
      </w:r>
      <w:r w:rsidRPr="00644648">
        <w:t xml:space="preserve">in embargo, otras dos Oficinas donantes </w:t>
      </w:r>
      <w:r w:rsidR="004F186A" w:rsidRPr="00644648">
        <w:t>expresaron</w:t>
      </w:r>
      <w:r w:rsidRPr="00644648">
        <w:t xml:space="preserve"> preocupación </w:t>
      </w:r>
      <w:r w:rsidR="0062165E" w:rsidRPr="00644648">
        <w:t xml:space="preserve">de </w:t>
      </w:r>
      <w:r w:rsidRPr="00644648">
        <w:t xml:space="preserve">que </w:t>
      </w:r>
      <w:r w:rsidR="00BB6C82" w:rsidRPr="00644648">
        <w:t>la</w:t>
      </w:r>
      <w:r w:rsidRPr="00644648">
        <w:t xml:space="preserve"> Oficina Internacional </w:t>
      </w:r>
      <w:r w:rsidR="00BB3B99">
        <w:t>interfi</w:t>
      </w:r>
      <w:r w:rsidR="00BB6C82" w:rsidRPr="00644648">
        <w:t>r</w:t>
      </w:r>
      <w:r w:rsidR="00BB3B99">
        <w:t>ier</w:t>
      </w:r>
      <w:r w:rsidR="0062165E" w:rsidRPr="00644648">
        <w:t>a</w:t>
      </w:r>
      <w:r w:rsidR="00BB6C82" w:rsidRPr="00644648">
        <w:t xml:space="preserve"> demasiado </w:t>
      </w:r>
      <w:r w:rsidRPr="00644648">
        <w:t xml:space="preserve">en las actividades de formación en curso, y </w:t>
      </w:r>
      <w:r w:rsidR="00BB3B99">
        <w:t>observaron</w:t>
      </w:r>
      <w:r w:rsidRPr="00644648">
        <w:t xml:space="preserve"> que muchas de las actividades </w:t>
      </w:r>
      <w:r w:rsidR="00BB3B99">
        <w:t xml:space="preserve">estaban </w:t>
      </w:r>
      <w:r w:rsidRPr="00644648">
        <w:t>orientadas</w:t>
      </w:r>
      <w:r w:rsidR="00DC51AF" w:rsidRPr="00644648">
        <w:t xml:space="preserve"> por </w:t>
      </w:r>
      <w:r w:rsidR="006B15F1" w:rsidRPr="00644648">
        <w:t>prioridades internas,</w:t>
      </w:r>
      <w:r w:rsidR="00DC51AF" w:rsidRPr="00644648">
        <w:t xml:space="preserve"> </w:t>
      </w:r>
      <w:r w:rsidR="00BB6C82" w:rsidRPr="00644648">
        <w:t>depend</w:t>
      </w:r>
      <w:r w:rsidR="00BB3B99">
        <w:t>ían</w:t>
      </w:r>
      <w:r w:rsidRPr="00644648">
        <w:t xml:space="preserve"> de la disponibilidad de recurso</w:t>
      </w:r>
      <w:r w:rsidR="00BB6C82" w:rsidRPr="00644648">
        <w:t>s y a menudo se basa</w:t>
      </w:r>
      <w:r w:rsidR="00BB3B99">
        <w:t>ba</w:t>
      </w:r>
      <w:r w:rsidR="00BB6C82" w:rsidRPr="00644648">
        <w:t>n</w:t>
      </w:r>
      <w:r w:rsidR="00DC51AF" w:rsidRPr="00644648">
        <w:t xml:space="preserve"> en solicitudes </w:t>
      </w:r>
      <w:r w:rsidR="00E0329B" w:rsidRPr="00644648">
        <w:rPr>
          <w:i/>
        </w:rPr>
        <w:t>ad hoc</w:t>
      </w:r>
      <w:r w:rsidR="00DC51AF" w:rsidRPr="00644648">
        <w:t xml:space="preserve"> de las Oficinas beneficiarias coordinadas en forma bilateral</w:t>
      </w:r>
      <w:r w:rsidR="00E0329B" w:rsidRPr="00644648">
        <w:t>.</w:t>
      </w:r>
    </w:p>
    <w:p w:rsidR="00472378" w:rsidRPr="00644648" w:rsidRDefault="00472378" w:rsidP="003C49E0">
      <w:pPr>
        <w:pStyle w:val="ONUMFS"/>
      </w:pPr>
      <w:r w:rsidRPr="00644648">
        <w:t xml:space="preserve">Varias Oficinas </w:t>
      </w:r>
      <w:r w:rsidR="00AD56C6" w:rsidRPr="00644648">
        <w:t>expresaron</w:t>
      </w:r>
      <w:r w:rsidRPr="00644648">
        <w:t xml:space="preserve"> que la Oficina Internacional también debería </w:t>
      </w:r>
      <w:r w:rsidR="006F2C1A" w:rsidRPr="00644648">
        <w:t>difundir</w:t>
      </w:r>
      <w:r w:rsidR="0062165E" w:rsidRPr="00644648">
        <w:t xml:space="preserve"> las mejores prácticas para gestionar</w:t>
      </w:r>
      <w:r w:rsidRPr="00644648">
        <w:t xml:space="preserve"> la formación de examinadores</w:t>
      </w:r>
      <w:r w:rsidR="00AD56C6" w:rsidRPr="00644648">
        <w:t xml:space="preserve"> y </w:t>
      </w:r>
      <w:r w:rsidRPr="00644648">
        <w:t xml:space="preserve">para </w:t>
      </w:r>
      <w:r w:rsidR="00AD56C6" w:rsidRPr="00644648">
        <w:t>desarrollar</w:t>
      </w:r>
      <w:r w:rsidRPr="00644648">
        <w:t xml:space="preserve"> capacidades y políticas de formación interna.</w:t>
      </w:r>
    </w:p>
    <w:p w:rsidR="00CA2EC1" w:rsidRPr="00644648" w:rsidRDefault="00CA2EC1" w:rsidP="00964FE1">
      <w:pPr>
        <w:pStyle w:val="Heading1"/>
      </w:pPr>
      <w:r w:rsidRPr="00644648">
        <w:t>programa</w:t>
      </w:r>
      <w:r w:rsidR="00F16D2B" w:rsidRPr="00644648">
        <w:t>S</w:t>
      </w:r>
      <w:r w:rsidRPr="00644648">
        <w:t xml:space="preserve"> de formación exhaustiva de medio </w:t>
      </w:r>
      <w:r w:rsidR="00FF45A2" w:rsidRPr="00644648">
        <w:t>A</w:t>
      </w:r>
      <w:r w:rsidRPr="00644648">
        <w:t xml:space="preserve"> largo plazo</w:t>
      </w:r>
    </w:p>
    <w:p w:rsidR="00E0329B" w:rsidRPr="00644648" w:rsidRDefault="00A9452B" w:rsidP="00543B6E">
      <w:pPr>
        <w:pStyle w:val="ONUMFS"/>
      </w:pPr>
      <w:r w:rsidRPr="00644648">
        <w:t>Un</w:t>
      </w:r>
      <w:r w:rsidR="00FF45A2" w:rsidRPr="00644648">
        <w:t xml:space="preserve"> p</w:t>
      </w:r>
      <w:r w:rsidRPr="00644648">
        <w:t>rograma</w:t>
      </w:r>
      <w:r w:rsidR="00FF45A2" w:rsidRPr="00644648">
        <w:t xml:space="preserve"> de formación exhaustiva de medio a</w:t>
      </w:r>
      <w:r w:rsidRPr="00644648">
        <w:t xml:space="preserve"> largo plazo consiste en diferentes unidades de formación, concebidas para transferir</w:t>
      </w:r>
      <w:r w:rsidR="006275DF" w:rsidRPr="00644648">
        <w:t xml:space="preserve"> c</w:t>
      </w:r>
      <w:r w:rsidRPr="00644648">
        <w:t xml:space="preserve">onocimientos al examinador de patentes y </w:t>
      </w:r>
      <w:r w:rsidR="00AD56C6" w:rsidRPr="00644648">
        <w:t xml:space="preserve">lograr que desarrolle varias destrezas </w:t>
      </w:r>
      <w:r w:rsidR="006275DF" w:rsidRPr="00644648">
        <w:t>durante un largo período de tiempo</w:t>
      </w:r>
      <w:r w:rsidR="007E21EE" w:rsidRPr="00644648">
        <w:t xml:space="preserve"> (de </w:t>
      </w:r>
      <w:r w:rsidR="008864DD" w:rsidRPr="00644648">
        <w:t>algunos</w:t>
      </w:r>
      <w:r w:rsidR="007E21EE" w:rsidRPr="00644648">
        <w:t xml:space="preserve"> meses a dos años o más)</w:t>
      </w:r>
      <w:r w:rsidR="004A0E9B" w:rsidRPr="00644648">
        <w:t>.  L</w:t>
      </w:r>
      <w:r w:rsidR="007E21EE" w:rsidRPr="00644648">
        <w:t xml:space="preserve">os programas suelen comprender diferentes unidades de formación como, por ejemplo, </w:t>
      </w:r>
      <w:r w:rsidR="004A0A6D" w:rsidRPr="00644648">
        <w:t xml:space="preserve">la </w:t>
      </w:r>
      <w:r w:rsidR="007E21EE" w:rsidRPr="00644648">
        <w:t>formación tradicional presencial</w:t>
      </w:r>
      <w:r w:rsidRPr="00644648">
        <w:t xml:space="preserve"> en el aula, módulos de enseñanza a distancia, seminarios web, conferencias virtuales, visitas de estudio o formación práctica, </w:t>
      </w:r>
      <w:r w:rsidR="000034A5" w:rsidRPr="00644648">
        <w:t>es decir</w:t>
      </w:r>
      <w:r w:rsidRPr="00644648">
        <w:t xml:space="preserve">, un enfoque de formación que se suele denominar </w:t>
      </w:r>
      <w:r w:rsidR="000034A5" w:rsidRPr="00644648">
        <w:t>“</w:t>
      </w:r>
      <w:r w:rsidRPr="00644648">
        <w:t>enseñanza combinada</w:t>
      </w:r>
      <w:r w:rsidR="000034A5" w:rsidRPr="00644648">
        <w:t>”</w:t>
      </w:r>
      <w:r w:rsidR="00E0329B" w:rsidRPr="00644648">
        <w:t>.</w:t>
      </w:r>
    </w:p>
    <w:p w:rsidR="00B42CD5" w:rsidRPr="00644648" w:rsidRDefault="00B42CD5" w:rsidP="00B42CD5">
      <w:pPr>
        <w:pStyle w:val="ONUMFS"/>
      </w:pPr>
      <w:r w:rsidRPr="00644648">
        <w:lastRenderedPageBreak/>
        <w:t xml:space="preserve">El Programa regional para la formación de los examinadores de patentes (RPET) del Acuerdo de Libre Comercio ASEAN-Australia-Nueva Zelandia, </w:t>
      </w:r>
      <w:r w:rsidR="001D764B" w:rsidRPr="00644648">
        <w:t xml:space="preserve">que fue </w:t>
      </w:r>
      <w:r w:rsidRPr="00644648">
        <w:t xml:space="preserve">presentado durante la séptima </w:t>
      </w:r>
      <w:r w:rsidR="00543B6E" w:rsidRPr="00644648">
        <w:t>reunión</w:t>
      </w:r>
      <w:r w:rsidRPr="00644648">
        <w:t xml:space="preserve"> del Grupo de Trabajo, es un ejemplo de un programa de formación exhaustiva de medio a largo plazo</w:t>
      </w:r>
      <w:r w:rsidR="004A0E9B" w:rsidRPr="00644648">
        <w:t>.  E</w:t>
      </w:r>
      <w:r w:rsidR="00620183" w:rsidRPr="00644648">
        <w:t>l programa se basa en un modelo de competencia</w:t>
      </w:r>
      <w:r w:rsidR="00CA7234" w:rsidRPr="00644648">
        <w:t>s para examinadores de patentes</w:t>
      </w:r>
      <w:r w:rsidR="00620183" w:rsidRPr="00644648">
        <w:t xml:space="preserve"> según el cual se espera que los participantes adquieran todas las competencias pertinentes</w:t>
      </w:r>
      <w:r w:rsidR="004A0E9B" w:rsidRPr="00644648">
        <w:t>.  P</w:t>
      </w:r>
      <w:r w:rsidR="00620183" w:rsidRPr="00644648">
        <w:t>or consiguiente, estos programas son similares a la</w:t>
      </w:r>
      <w:r w:rsidR="006E63BD" w:rsidRPr="00644648">
        <w:t>s actividades de</w:t>
      </w:r>
      <w:r w:rsidR="00620183" w:rsidRPr="00644648">
        <w:t xml:space="preserve"> formación interna </w:t>
      </w:r>
      <w:r w:rsidR="006E63BD" w:rsidRPr="00644648">
        <w:t>que organizan</w:t>
      </w:r>
      <w:r w:rsidR="00620183" w:rsidRPr="00644648">
        <w:t xml:space="preserve"> </w:t>
      </w:r>
      <w:r w:rsidR="006E63BD" w:rsidRPr="00644648">
        <w:t>muchas</w:t>
      </w:r>
      <w:r w:rsidR="00620183" w:rsidRPr="00644648">
        <w:t xml:space="preserve"> Oficinas de patentes para los </w:t>
      </w:r>
      <w:r w:rsidR="00D54B22" w:rsidRPr="00644648">
        <w:t xml:space="preserve">nuevos </w:t>
      </w:r>
      <w:r w:rsidR="00620183" w:rsidRPr="00644648">
        <w:t>examinadores.</w:t>
      </w:r>
    </w:p>
    <w:p w:rsidR="00BF11F0" w:rsidRPr="00644648" w:rsidRDefault="00D85017" w:rsidP="0068728F">
      <w:pPr>
        <w:pStyle w:val="ONUMFS"/>
      </w:pPr>
      <w:r w:rsidRPr="00644648">
        <w:t xml:space="preserve">De </w:t>
      </w:r>
      <w:r w:rsidR="00D54B22" w:rsidRPr="00644648">
        <w:t>conformidad</w:t>
      </w:r>
      <w:r w:rsidRPr="00644648">
        <w:t xml:space="preserve"> con la evaluación de las actividades registrada</w:t>
      </w:r>
      <w:r w:rsidR="00D54B22" w:rsidRPr="00644648">
        <w:t>s</w:t>
      </w:r>
      <w:r w:rsidRPr="00644648">
        <w:t xml:space="preserve"> por las Oficinas en el Cuestionario, tan solo tres Oficinas brindaron este tipo de formación</w:t>
      </w:r>
      <w:r w:rsidR="004A0E9B" w:rsidRPr="00644648">
        <w:t>.  I</w:t>
      </w:r>
      <w:r w:rsidR="005A0B6D" w:rsidRPr="00644648">
        <w:t>P Australia ha organizad</w:t>
      </w:r>
      <w:r w:rsidR="004A0E9B" w:rsidRPr="00644648">
        <w:t>o 3</w:t>
      </w:r>
      <w:r w:rsidR="005A0B6D" w:rsidRPr="00644648">
        <w:t xml:space="preserve"> rondas del programa RPET par</w:t>
      </w:r>
      <w:r w:rsidR="004A0E9B" w:rsidRPr="00644648">
        <w:t>a 3</w:t>
      </w:r>
      <w:r w:rsidR="005A0B6D" w:rsidRPr="00644648">
        <w:t>8 examinadores de Oficinas de Asia y África</w:t>
      </w:r>
      <w:r w:rsidR="004A0E9B" w:rsidRPr="00644648">
        <w:t>;  l</w:t>
      </w:r>
      <w:r w:rsidR="005A0B6D" w:rsidRPr="00644648">
        <w:t>a Oficina Europea de Patentes</w:t>
      </w:r>
      <w:r w:rsidR="0068728F" w:rsidRPr="00644648">
        <w:t xml:space="preserve"> ha organizado una formación para </w:t>
      </w:r>
      <w:r w:rsidR="00E0167E" w:rsidRPr="00644648">
        <w:t xml:space="preserve">los </w:t>
      </w:r>
      <w:r w:rsidR="0068728F" w:rsidRPr="00644648">
        <w:t>examinadores de algunos de sus Estados miembros</w:t>
      </w:r>
      <w:r w:rsidR="004A0E9B" w:rsidRPr="00644648">
        <w:t>;  y</w:t>
      </w:r>
      <w:r w:rsidR="0068728F" w:rsidRPr="00644648">
        <w:t xml:space="preserve"> la Oficina Japonesa de Patentes</w:t>
      </w:r>
      <w:r w:rsidR="00381A64" w:rsidRPr="00644648">
        <w:t xml:space="preserve"> ha organizad</w:t>
      </w:r>
      <w:r w:rsidR="004A0E9B" w:rsidRPr="00644648">
        <w:t>o 3</w:t>
      </w:r>
      <w:r w:rsidR="00381A64" w:rsidRPr="00644648">
        <w:t xml:space="preserve"> programas d</w:t>
      </w:r>
      <w:r w:rsidR="004A0E9B" w:rsidRPr="00644648">
        <w:t>e 1</w:t>
      </w:r>
      <w:r w:rsidR="00381A64" w:rsidRPr="00644648">
        <w:t>0 semanas par</w:t>
      </w:r>
      <w:r w:rsidR="004A0E9B" w:rsidRPr="00644648">
        <w:t>a 1</w:t>
      </w:r>
      <w:r w:rsidR="00381A64" w:rsidRPr="00644648">
        <w:t>7 examinadores</w:t>
      </w:r>
      <w:r w:rsidR="009F7723" w:rsidRPr="00644648">
        <w:t xml:space="preserve"> provenientes d</w:t>
      </w:r>
      <w:r w:rsidR="004A0E9B" w:rsidRPr="00644648">
        <w:t>e 3</w:t>
      </w:r>
      <w:r w:rsidR="009F7723" w:rsidRPr="00644648">
        <w:t xml:space="preserve"> Oficinas diferentes de Asia y América Latina.</w:t>
      </w:r>
    </w:p>
    <w:p w:rsidR="00964FE1" w:rsidRPr="00644648" w:rsidRDefault="00D81AFA" w:rsidP="00964FE1">
      <w:pPr>
        <w:pStyle w:val="Heading1"/>
      </w:pPr>
      <w:r w:rsidRPr="00644648">
        <w:t>FORMACIÓN PRÁCTICA</w:t>
      </w:r>
    </w:p>
    <w:p w:rsidR="00E0329B" w:rsidRPr="00644648" w:rsidRDefault="00D363C2" w:rsidP="006765B3">
      <w:pPr>
        <w:pStyle w:val="ONUMFS"/>
      </w:pPr>
      <w:r w:rsidRPr="00644648">
        <w:t>En l</w:t>
      </w:r>
      <w:r w:rsidR="00E90A3D" w:rsidRPr="00644648">
        <w:t>os programas de</w:t>
      </w:r>
      <w:r w:rsidR="006765B3" w:rsidRPr="00644648">
        <w:t xml:space="preserve"> formación práctica los examinadores llevan a cabo</w:t>
      </w:r>
      <w:r w:rsidRPr="00644648">
        <w:t xml:space="preserve"> tareas relacionadas con el trabajo</w:t>
      </w:r>
      <w:r w:rsidR="006765B3" w:rsidRPr="00644648">
        <w:t xml:space="preserve">, </w:t>
      </w:r>
      <w:r w:rsidR="00CA7234" w:rsidRPr="00644648">
        <w:t>con</w:t>
      </w:r>
      <w:r w:rsidR="006765B3" w:rsidRPr="00644648">
        <w:t xml:space="preserve"> la supervisión de un examinador experimen</w:t>
      </w:r>
      <w:r w:rsidRPr="00644648">
        <w:t>tado (</w:t>
      </w:r>
      <w:r w:rsidR="00FA012C" w:rsidRPr="00644648">
        <w:t>al estilo de una práctica laboral</w:t>
      </w:r>
      <w:r w:rsidRPr="00644648">
        <w:t>)</w:t>
      </w:r>
      <w:r w:rsidR="00E0329B" w:rsidRPr="00644648">
        <w:t>.</w:t>
      </w:r>
    </w:p>
    <w:p w:rsidR="006765B3" w:rsidRPr="00644648" w:rsidRDefault="00451223" w:rsidP="003C49E0">
      <w:pPr>
        <w:pStyle w:val="ONUMFS"/>
      </w:pPr>
      <w:r w:rsidRPr="00644648">
        <w:t xml:space="preserve">En las respuestas </w:t>
      </w:r>
      <w:r w:rsidR="00BD496E" w:rsidRPr="00644648">
        <w:t>al Cuestionario</w:t>
      </w:r>
      <w:r w:rsidRPr="00644648">
        <w:t xml:space="preserve">, se </w:t>
      </w:r>
      <w:r w:rsidR="00326792" w:rsidRPr="00644648">
        <w:t>identifican</w:t>
      </w:r>
      <w:r w:rsidRPr="00644648">
        <w:t xml:space="preserve"> dos categorías diferentes de formación pr</w:t>
      </w:r>
      <w:r w:rsidR="00DA68B5" w:rsidRPr="00644648">
        <w:t>áctica</w:t>
      </w:r>
      <w:r w:rsidR="004A0E9B" w:rsidRPr="00644648">
        <w:t>:  e</w:t>
      </w:r>
      <w:r w:rsidR="00DA68B5" w:rsidRPr="00644648">
        <w:t>n</w:t>
      </w:r>
      <w:r w:rsidR="00560F4A" w:rsidRPr="00644648">
        <w:t xml:space="preserve"> primer lugar,</w:t>
      </w:r>
      <w:r w:rsidRPr="00644648">
        <w:t xml:space="preserve"> la formación </w:t>
      </w:r>
      <w:r w:rsidR="00560F4A" w:rsidRPr="00644648">
        <w:t>destinada a</w:t>
      </w:r>
      <w:r w:rsidRPr="00644648">
        <w:t xml:space="preserve"> las Oficinas de los países en desarrollo, </w:t>
      </w:r>
      <w:r w:rsidR="00FA012C" w:rsidRPr="00644648">
        <w:t xml:space="preserve">que </w:t>
      </w:r>
      <w:r w:rsidRPr="00644648">
        <w:t xml:space="preserve">generalmente </w:t>
      </w:r>
      <w:r w:rsidR="00FA012C" w:rsidRPr="00644648">
        <w:t>se imparte</w:t>
      </w:r>
      <w:r w:rsidRPr="00644648">
        <w:t xml:space="preserve"> en el contexto de proyectos de desarrollo y acuerdos </w:t>
      </w:r>
      <w:r w:rsidR="00D4016B" w:rsidRPr="00644648">
        <w:t>de cooperación bilateral</w:t>
      </w:r>
      <w:r w:rsidR="00DA55B5" w:rsidRPr="00644648">
        <w:t xml:space="preserve"> específicos</w:t>
      </w:r>
      <w:r w:rsidR="00FA012C" w:rsidRPr="00644648">
        <w:t xml:space="preserve">, mediante la cual se </w:t>
      </w:r>
      <w:r w:rsidR="00DA55B5" w:rsidRPr="00644648">
        <w:t>enseña a</w:t>
      </w:r>
      <w:r w:rsidR="005E2C60" w:rsidRPr="00644648">
        <w:t xml:space="preserve"> los examinadores</w:t>
      </w:r>
      <w:r w:rsidR="00D4016B" w:rsidRPr="00644648">
        <w:t xml:space="preserve"> </w:t>
      </w:r>
      <w:r w:rsidRPr="00644648">
        <w:t>las mejores prácticas</w:t>
      </w:r>
      <w:r w:rsidR="004A0E9B" w:rsidRPr="00644648">
        <w:t>;  y</w:t>
      </w:r>
      <w:r w:rsidR="00DA68B5" w:rsidRPr="00644648">
        <w:t>, e</w:t>
      </w:r>
      <w:r w:rsidR="00E84DC6" w:rsidRPr="00644648">
        <w:t xml:space="preserve">n segundo lugar, </w:t>
      </w:r>
      <w:r w:rsidR="00DA55B5" w:rsidRPr="00644648">
        <w:t xml:space="preserve">la formación </w:t>
      </w:r>
      <w:r w:rsidR="00921418" w:rsidRPr="00644648">
        <w:t>a través d</w:t>
      </w:r>
      <w:r w:rsidR="00326792" w:rsidRPr="00644648">
        <w:t>el intercambio de</w:t>
      </w:r>
      <w:r w:rsidR="00DA55B5" w:rsidRPr="00644648">
        <w:t xml:space="preserve"> </w:t>
      </w:r>
      <w:r w:rsidR="00DB06B7" w:rsidRPr="00644648">
        <w:t xml:space="preserve">examinadores experimentados, </w:t>
      </w:r>
      <w:r w:rsidR="00DA55B5" w:rsidRPr="00644648">
        <w:t xml:space="preserve">que </w:t>
      </w:r>
      <w:r w:rsidR="00DB06B7" w:rsidRPr="00644648">
        <w:t xml:space="preserve">a menudo </w:t>
      </w:r>
      <w:r w:rsidR="00DA55B5" w:rsidRPr="00644648">
        <w:t xml:space="preserve">forma parte </w:t>
      </w:r>
      <w:r w:rsidR="00DB06B7" w:rsidRPr="00644648">
        <w:t xml:space="preserve">de las actividades </w:t>
      </w:r>
      <w:r w:rsidR="00B168FB" w:rsidRPr="00644648">
        <w:t xml:space="preserve">habituales de cooperación entre las Oficinas </w:t>
      </w:r>
      <w:r w:rsidR="00B67DF3" w:rsidRPr="00644648">
        <w:t>con</w:t>
      </w:r>
      <w:r w:rsidR="00DA55B5" w:rsidRPr="00644648">
        <w:t xml:space="preserve"> </w:t>
      </w:r>
      <w:r w:rsidR="00921418" w:rsidRPr="00644648">
        <w:t>más</w:t>
      </w:r>
      <w:r w:rsidR="008C688F" w:rsidRPr="00644648">
        <w:t xml:space="preserve"> experiencia</w:t>
      </w:r>
      <w:r w:rsidR="00F57A49" w:rsidRPr="00644648">
        <w:t xml:space="preserve"> </w:t>
      </w:r>
      <w:r w:rsidR="00DB06B7" w:rsidRPr="00644648">
        <w:t>en el examen sustantivo de patentes.</w:t>
      </w:r>
    </w:p>
    <w:p w:rsidR="00637253" w:rsidRPr="00644648" w:rsidRDefault="00425FCB" w:rsidP="003C49E0">
      <w:pPr>
        <w:pStyle w:val="ONUMFS"/>
      </w:pPr>
      <w:r w:rsidRPr="00644648">
        <w:t>Diez</w:t>
      </w:r>
      <w:r w:rsidR="00637253" w:rsidRPr="00644648">
        <w:t xml:space="preserve"> Oficinas donantes organizaron una formación interna para nueve Oficinas beneficiarias</w:t>
      </w:r>
      <w:r w:rsidR="004A0E9B" w:rsidRPr="00644648">
        <w:t>.  C</w:t>
      </w:r>
      <w:r w:rsidR="00637253" w:rsidRPr="00644648">
        <w:t xml:space="preserve">ada actividad de formación tuvo una duración media de una a dos semanas y contó con la participación de </w:t>
      </w:r>
      <w:r w:rsidR="001D5BB6" w:rsidRPr="00644648">
        <w:t>entr</w:t>
      </w:r>
      <w:r w:rsidR="004A0E9B" w:rsidRPr="00644648">
        <w:t>e 2</w:t>
      </w:r>
      <w:r w:rsidR="001D5BB6" w:rsidRPr="00644648">
        <w:t xml:space="preserve"> </w:t>
      </w:r>
      <w:r w:rsidR="004A0E9B" w:rsidRPr="00644648">
        <w:t>y 1</w:t>
      </w:r>
      <w:r w:rsidR="001D5BB6" w:rsidRPr="00644648">
        <w:t>5</w:t>
      </w:r>
      <w:r w:rsidR="00637253" w:rsidRPr="00644648">
        <w:t xml:space="preserve"> </w:t>
      </w:r>
      <w:r w:rsidR="007A19F7" w:rsidRPr="00644648">
        <w:t>alumnos.</w:t>
      </w:r>
    </w:p>
    <w:p w:rsidR="00892411" w:rsidRPr="00644648" w:rsidRDefault="00892411" w:rsidP="003C49E0">
      <w:pPr>
        <w:pStyle w:val="ONUMFS"/>
      </w:pPr>
      <w:r w:rsidRPr="00644648">
        <w:t xml:space="preserve">En las Oficinas </w:t>
      </w:r>
      <w:r w:rsidR="00D40549" w:rsidRPr="00644648">
        <w:t>que cuentan con</w:t>
      </w:r>
      <w:r w:rsidRPr="00644648">
        <w:t xml:space="preserve"> varios examinadores o </w:t>
      </w:r>
      <w:r w:rsidR="00D40549" w:rsidRPr="00644648">
        <w:t>con</w:t>
      </w:r>
      <w:r w:rsidR="002360F7" w:rsidRPr="00644648">
        <w:t xml:space="preserve"> </w:t>
      </w:r>
      <w:r w:rsidR="004E1F75" w:rsidRPr="00644648">
        <w:t>una vasta experiencia</w:t>
      </w:r>
      <w:r w:rsidRPr="00644648">
        <w:t xml:space="preserve"> en el examen sustantivo de patentes, </w:t>
      </w:r>
      <w:r w:rsidR="00CA7234" w:rsidRPr="00644648">
        <w:t>los</w:t>
      </w:r>
      <w:r w:rsidR="00FB4B45" w:rsidRPr="00644648">
        <w:t xml:space="preserve"> examinadores experimentados </w:t>
      </w:r>
      <w:r w:rsidR="00CA7234" w:rsidRPr="00644648">
        <w:t>generalmente orientan a los más nuevos</w:t>
      </w:r>
      <w:r w:rsidR="003D2B60" w:rsidRPr="00644648">
        <w:t xml:space="preserve">, </w:t>
      </w:r>
      <w:r w:rsidR="001F7342" w:rsidRPr="00644648">
        <w:t>además de ocuparse</w:t>
      </w:r>
      <w:r w:rsidR="00D40549" w:rsidRPr="00644648">
        <w:t xml:space="preserve"> de</w:t>
      </w:r>
      <w:r w:rsidR="003D2B60" w:rsidRPr="00644648">
        <w:t xml:space="preserve"> </w:t>
      </w:r>
      <w:r w:rsidR="00D40549" w:rsidRPr="00644648">
        <w:t xml:space="preserve">las </w:t>
      </w:r>
      <w:r w:rsidR="003D2B60" w:rsidRPr="00644648">
        <w:t>solicitudes pendientes</w:t>
      </w:r>
      <w:r w:rsidR="004A0E9B" w:rsidRPr="00644648">
        <w:t>.  P</w:t>
      </w:r>
      <w:r w:rsidR="003D2B60" w:rsidRPr="00644648">
        <w:t>or consiguiente, algunas Oficinas de los países en desarrollo han contemplado la</w:t>
      </w:r>
      <w:r w:rsidR="001F7342" w:rsidRPr="00644648">
        <w:t xml:space="preserve"> posibilidad de que sus examinadores reciban</w:t>
      </w:r>
      <w:r w:rsidR="003D2B60" w:rsidRPr="00644648">
        <w:t xml:space="preserve"> formación interna en </w:t>
      </w:r>
      <w:r w:rsidR="00FA42FE" w:rsidRPr="00644648">
        <w:t>esas</w:t>
      </w:r>
      <w:r w:rsidR="003D2B60" w:rsidRPr="00644648">
        <w:t xml:space="preserve"> Oficinas como la forma más eficaz de adquirir</w:t>
      </w:r>
      <w:r w:rsidR="001F7342" w:rsidRPr="00644648">
        <w:t xml:space="preserve"> las mejores prácticas, </w:t>
      </w:r>
      <w:r w:rsidR="003D2B60" w:rsidRPr="00644648">
        <w:t xml:space="preserve">y desearían que la OMPI pudiera financiar y </w:t>
      </w:r>
      <w:r w:rsidR="00FA42FE" w:rsidRPr="00644648">
        <w:t>realizar</w:t>
      </w:r>
      <w:r w:rsidR="003D2B60" w:rsidRPr="00644648">
        <w:t xml:space="preserve"> más</w:t>
      </w:r>
      <w:r w:rsidR="0089601F" w:rsidRPr="00644648">
        <w:t xml:space="preserve"> </w:t>
      </w:r>
      <w:r w:rsidR="003D2B60" w:rsidRPr="00644648">
        <w:t xml:space="preserve">contrataciones </w:t>
      </w:r>
      <w:r w:rsidR="00FB4B45" w:rsidRPr="00644648">
        <w:t>temporales</w:t>
      </w:r>
      <w:r w:rsidR="003D2B60" w:rsidRPr="00644648">
        <w:t xml:space="preserve"> de examinadores en esas Oficinas.</w:t>
      </w:r>
    </w:p>
    <w:p w:rsidR="00197D2F" w:rsidRPr="00644648" w:rsidRDefault="00197D2F" w:rsidP="00964FE1">
      <w:pPr>
        <w:pStyle w:val="Heading1"/>
      </w:pPr>
      <w:r w:rsidRPr="00644648">
        <w:t>ACTIVIDADES DE FORMACIÓN EN EL AULA</w:t>
      </w:r>
    </w:p>
    <w:p w:rsidR="003C06D8" w:rsidRPr="00644648" w:rsidRDefault="008C0F5D" w:rsidP="003C06D8">
      <w:pPr>
        <w:pStyle w:val="ONUMFS"/>
      </w:pPr>
      <w:r w:rsidRPr="00644648">
        <w:t>Las actividades de formación en el aula</w:t>
      </w:r>
      <w:r w:rsidR="003C06D8" w:rsidRPr="00644648">
        <w:t xml:space="preserve"> </w:t>
      </w:r>
      <w:r w:rsidR="002D678B" w:rsidRPr="00644648">
        <w:t>tienen</w:t>
      </w:r>
      <w:r w:rsidR="0089601F" w:rsidRPr="00644648">
        <w:t xml:space="preserve"> carácter presencial, es decir que </w:t>
      </w:r>
      <w:r w:rsidR="003C06D8" w:rsidRPr="00644648">
        <w:t xml:space="preserve">requieren la </w:t>
      </w:r>
      <w:r w:rsidR="0089601F" w:rsidRPr="00644648">
        <w:t>presencia física</w:t>
      </w:r>
      <w:r w:rsidR="003C06D8" w:rsidRPr="00644648">
        <w:t xml:space="preserve"> de</w:t>
      </w:r>
      <w:r w:rsidR="0089601F" w:rsidRPr="00644648">
        <w:t xml:space="preserve"> instructores y alumnos</w:t>
      </w:r>
      <w:r w:rsidR="004A0E9B" w:rsidRPr="00644648">
        <w:t>.  L</w:t>
      </w:r>
      <w:r w:rsidR="0089601F" w:rsidRPr="00644648">
        <w:t>as actividades incluyen</w:t>
      </w:r>
      <w:r w:rsidR="003C06D8" w:rsidRPr="00644648">
        <w:t xml:space="preserve"> talleres o seminarios sobre clasificación de patentes, redacción de solicitudes de patente, estrategias de búsqueda</w:t>
      </w:r>
      <w:r w:rsidR="00EA0B14" w:rsidRPr="00644648">
        <w:t xml:space="preserve"> de patentes</w:t>
      </w:r>
      <w:r w:rsidR="003C06D8" w:rsidRPr="00644648">
        <w:t xml:space="preserve">, fundamentos del sistema de propiedad intelectual, </w:t>
      </w:r>
      <w:r w:rsidR="00C14B35" w:rsidRPr="00644648">
        <w:t>entre otros</w:t>
      </w:r>
      <w:r w:rsidR="003C06D8" w:rsidRPr="00644648">
        <w:t>.  Desde el punto de vista de las Oficinas beneficiaria</w:t>
      </w:r>
      <w:r w:rsidR="00F41718" w:rsidRPr="00644648">
        <w:t>s</w:t>
      </w:r>
      <w:r w:rsidR="003C06D8" w:rsidRPr="00644648">
        <w:t>,</w:t>
      </w:r>
      <w:r w:rsidR="00F41718" w:rsidRPr="00644648">
        <w:t xml:space="preserve"> el Cuestionario distingue dos subcategorías</w:t>
      </w:r>
      <w:r w:rsidR="004A0E9B" w:rsidRPr="00644648">
        <w:t>:  a</w:t>
      </w:r>
      <w:r w:rsidR="00F41718" w:rsidRPr="00644648">
        <w:t xml:space="preserve">ctividades de formación organizadas en otros países y actividades de formación organizadas en los locales de una Oficina beneficiaria donde </w:t>
      </w:r>
      <w:r w:rsidR="00494954" w:rsidRPr="00644648">
        <w:t xml:space="preserve">podrían participar </w:t>
      </w:r>
      <w:r w:rsidR="00F41718" w:rsidRPr="00644648">
        <w:t>más examinadores.</w:t>
      </w:r>
    </w:p>
    <w:p w:rsidR="00EC36AB" w:rsidRPr="00644648" w:rsidRDefault="00591198" w:rsidP="003C49E0">
      <w:pPr>
        <w:pStyle w:val="ONUMFS"/>
      </w:pPr>
      <w:r w:rsidRPr="00644648">
        <w:t>La mayoría de las actividades de formación d</w:t>
      </w:r>
      <w:r w:rsidR="004A0E9B" w:rsidRPr="00644648">
        <w:t>e 2</w:t>
      </w:r>
      <w:r w:rsidRPr="00644648">
        <w:t xml:space="preserve">013 </w:t>
      </w:r>
      <w:r w:rsidR="004A0E9B" w:rsidRPr="00644648">
        <w:t>a 2</w:t>
      </w:r>
      <w:r w:rsidRPr="00644648">
        <w:t>015 consistieron en actividades de formación en el aula</w:t>
      </w:r>
      <w:r w:rsidR="004A0E9B" w:rsidRPr="00644648">
        <w:t>:  1</w:t>
      </w:r>
      <w:r w:rsidRPr="00644648">
        <w:t>9 Oficinas donantes informaron de que habían organizado o contribuido a la organización d</w:t>
      </w:r>
      <w:r w:rsidR="004A0E9B" w:rsidRPr="00644648">
        <w:t>e 8</w:t>
      </w:r>
      <w:r w:rsidRPr="00644648">
        <w:t>1 actividades de formación de ese tipo para alrededor d</w:t>
      </w:r>
      <w:r w:rsidR="004A0E9B" w:rsidRPr="00644648">
        <w:t>e 1</w:t>
      </w:r>
      <w:r w:rsidRPr="00644648">
        <w:t>.100 participantes</w:t>
      </w:r>
      <w:r w:rsidR="004A0E9B" w:rsidRPr="00644648">
        <w:t>.  U</w:t>
      </w:r>
      <w:r w:rsidR="000827EF" w:rsidRPr="00644648">
        <w:t>n total d</w:t>
      </w:r>
      <w:r w:rsidR="004A0E9B" w:rsidRPr="00644648">
        <w:t>e 2</w:t>
      </w:r>
      <w:r w:rsidRPr="00644648">
        <w:t>9</w:t>
      </w:r>
      <w:r w:rsidR="000827EF" w:rsidRPr="00644648">
        <w:t xml:space="preserve"> Oficinas beneficiarias</w:t>
      </w:r>
      <w:r w:rsidRPr="00644648">
        <w:t xml:space="preserve"> enviaron una media d</w:t>
      </w:r>
      <w:r w:rsidR="004A0E9B" w:rsidRPr="00644648">
        <w:t>e 2</w:t>
      </w:r>
      <w:r w:rsidRPr="00644648">
        <w:t xml:space="preserve"> </w:t>
      </w:r>
      <w:r w:rsidRPr="00644648">
        <w:lastRenderedPageBreak/>
        <w:t>examinadores a tallere</w:t>
      </w:r>
      <w:r w:rsidR="000827EF" w:rsidRPr="00644648">
        <w:t xml:space="preserve">s o seminarios en el extranjero, </w:t>
      </w:r>
      <w:r w:rsidRPr="00644648">
        <w:t xml:space="preserve">y </w:t>
      </w:r>
      <w:r w:rsidR="006D76C7" w:rsidRPr="00644648">
        <w:t>las Oficinas donantes organizaron</w:t>
      </w:r>
      <w:r w:rsidR="00370D11" w:rsidRPr="00644648">
        <w:t xml:space="preserve"> </w:t>
      </w:r>
      <w:r w:rsidR="000827EF" w:rsidRPr="00644648">
        <w:t>seminarios y talleres</w:t>
      </w:r>
      <w:r w:rsidR="00493113" w:rsidRPr="00644648">
        <w:t xml:space="preserve"> </w:t>
      </w:r>
      <w:r w:rsidRPr="00644648">
        <w:t>en los locales d</w:t>
      </w:r>
      <w:r w:rsidR="004A0E9B" w:rsidRPr="00644648">
        <w:t>e 1</w:t>
      </w:r>
      <w:r w:rsidR="000827EF" w:rsidRPr="00644648">
        <w:t>3</w:t>
      </w:r>
      <w:r w:rsidRPr="00644648">
        <w:t xml:space="preserve"> Oficina</w:t>
      </w:r>
      <w:r w:rsidR="000827EF" w:rsidRPr="00644648">
        <w:t>s</w:t>
      </w:r>
      <w:r w:rsidRPr="00644648">
        <w:t xml:space="preserve"> beneficiaria</w:t>
      </w:r>
      <w:r w:rsidR="000827EF" w:rsidRPr="00644648">
        <w:t>s</w:t>
      </w:r>
      <w:r w:rsidR="00370D11" w:rsidRPr="00644648">
        <w:t>.</w:t>
      </w:r>
    </w:p>
    <w:p w:rsidR="00C67E7F" w:rsidRPr="00644648" w:rsidRDefault="00C67E7F" w:rsidP="003C49E0">
      <w:pPr>
        <w:pStyle w:val="ONUMFS"/>
      </w:pPr>
      <w:r w:rsidRPr="00644648">
        <w:t xml:space="preserve">Las Oficinas beneficiarias han </w:t>
      </w:r>
      <w:r w:rsidR="0070579B" w:rsidRPr="00644648">
        <w:t>expresado</w:t>
      </w:r>
      <w:r w:rsidRPr="00644648">
        <w:t xml:space="preserve"> la necesidad de que se realicen más cursos de formación de nivel avanzado, en particular </w:t>
      </w:r>
      <w:r w:rsidR="0070579B" w:rsidRPr="00644648">
        <w:t>sobre la b</w:t>
      </w:r>
      <w:r w:rsidR="00D56D5E" w:rsidRPr="00644648">
        <w:t xml:space="preserve">úsqueda y el examen </w:t>
      </w:r>
      <w:r w:rsidR="0070579B" w:rsidRPr="00644648">
        <w:t>en campos técnicos específicos.</w:t>
      </w:r>
    </w:p>
    <w:p w:rsidR="00EF607F" w:rsidRPr="00644648" w:rsidRDefault="00EF607F" w:rsidP="003C49E0">
      <w:pPr>
        <w:pStyle w:val="ONUMFS"/>
      </w:pPr>
      <w:r w:rsidRPr="00644648">
        <w:t xml:space="preserve">Invitar a examinadores visitantes a </w:t>
      </w:r>
      <w:r w:rsidR="00445D91" w:rsidRPr="00644648">
        <w:t xml:space="preserve">participar en </w:t>
      </w:r>
      <w:r w:rsidRPr="00644648">
        <w:t>formaciones en el aula organizadas principalmente para exa</w:t>
      </w:r>
      <w:r w:rsidR="00956052" w:rsidRPr="00644648">
        <w:t xml:space="preserve">minadores de la Oficina donante </w:t>
      </w:r>
      <w:r w:rsidR="006A30AC" w:rsidRPr="00644648">
        <w:t>parece ser</w:t>
      </w:r>
      <w:r w:rsidR="00956052" w:rsidRPr="00644648">
        <w:t xml:space="preserve"> un</w:t>
      </w:r>
      <w:r w:rsidRPr="00644648">
        <w:t xml:space="preserve"> método de formación eficaz para los examinadores de otras Oficinas</w:t>
      </w:r>
      <w:r w:rsidR="004A0E9B" w:rsidRPr="00644648">
        <w:t>.  S</w:t>
      </w:r>
      <w:r w:rsidRPr="00644648">
        <w:t xml:space="preserve">in embargo, tan solo cinco Oficinas donantes han invitado a examinadores </w:t>
      </w:r>
      <w:r w:rsidR="00C30634" w:rsidRPr="00644648">
        <w:t xml:space="preserve">extranjeros </w:t>
      </w:r>
      <w:r w:rsidRPr="00644648">
        <w:t xml:space="preserve">a </w:t>
      </w:r>
      <w:r w:rsidR="00C30634" w:rsidRPr="00644648">
        <w:t>participar en esas</w:t>
      </w:r>
      <w:r w:rsidR="00597197" w:rsidRPr="00644648">
        <w:t xml:space="preserve"> </w:t>
      </w:r>
      <w:r w:rsidRPr="00644648">
        <w:t>actividades de formaci</w:t>
      </w:r>
      <w:r w:rsidR="00597197" w:rsidRPr="00644648">
        <w:t>ón interna.</w:t>
      </w:r>
    </w:p>
    <w:p w:rsidR="00CD3778" w:rsidRPr="00AB1E33" w:rsidRDefault="00CD3778" w:rsidP="00CD3778">
      <w:pPr>
        <w:pStyle w:val="Heading1"/>
      </w:pPr>
      <w:r w:rsidRPr="00AB1E33">
        <w:t>SEMINARIOS EN iNTERNET, CURSOS DE ENSEÑANZA A DISTANCIA, MATERIAL de aprendizaje autodidacta</w:t>
      </w:r>
    </w:p>
    <w:p w:rsidR="00CD3778" w:rsidRPr="00AB1E33" w:rsidRDefault="00CD3778" w:rsidP="00CD3778">
      <w:pPr>
        <w:pStyle w:val="ONUMFS"/>
      </w:pPr>
      <w:r w:rsidRPr="00AB1E33">
        <w:t xml:space="preserve">Las actividades de formación que ofrecen una clase virtual, como, por ejemplo, los seminarios en directo o grabados por Internet (seminarios web), los cursos de enseñanza a distancia (dirigidos o no por un experto) </w:t>
      </w:r>
      <w:r w:rsidR="00F129F9">
        <w:t xml:space="preserve">y los </w:t>
      </w:r>
      <w:r w:rsidRPr="00AB1E33">
        <w:t>materi</w:t>
      </w:r>
      <w:r w:rsidR="00F129F9">
        <w:t>ales de aprendizaje autodidacta</w:t>
      </w:r>
      <w:r w:rsidRPr="00AB1E33">
        <w:t xml:space="preserve"> son un método de enseñanza que puede ser muy eficaz, puesto que evitan los desplazamientos y, cuando se imparten de forma asíncrona, pueden seguirse al ritmo de cada alumno en particular.</w:t>
      </w:r>
    </w:p>
    <w:p w:rsidR="00CD3778" w:rsidRPr="00AB1E33" w:rsidRDefault="00CD3778" w:rsidP="00CD3778">
      <w:pPr>
        <w:pStyle w:val="ONUMFS"/>
      </w:pPr>
      <w:r w:rsidRPr="00AB1E33">
        <w:t>En 24 Oficinas, s</w:t>
      </w:r>
      <w:r w:rsidR="00F129F9">
        <w:t xml:space="preserve">us examinadores participaron </w:t>
      </w:r>
      <w:r w:rsidRPr="00AB1E33">
        <w:t>en clases virtuales o en cursos de enseñanza a distancia.  En solo cuatro Oficinas, la participación en determinados cursos tuvo carácter obligatorio, por ejemplo, con respecto a los nuevos examinadores contratados.  En lo que respecta a las demás Oficinas, la participación en dichos cursos era simplemente recomendada y tenía carácter complementario.</w:t>
      </w:r>
    </w:p>
    <w:p w:rsidR="00CD3778" w:rsidRPr="00AB1E33" w:rsidRDefault="00CD3778" w:rsidP="00CD3778">
      <w:pPr>
        <w:pStyle w:val="ONUMFS"/>
      </w:pPr>
      <w:r w:rsidRPr="00AB1E33">
        <w:t xml:space="preserve">En 14 Oficinas, sus examinadores </w:t>
      </w:r>
      <w:r w:rsidR="00F129F9">
        <w:t xml:space="preserve">siguieron </w:t>
      </w:r>
      <w:r w:rsidRPr="00AB1E33">
        <w:t xml:space="preserve">los cursos o seminarios impartidos por la Oficina Europea de Patentes, en particular, la Academia Europea de Patentes;  en 13 Oficinas, sus examinadores </w:t>
      </w:r>
      <w:r w:rsidR="00F129F9">
        <w:t xml:space="preserve">siguieron </w:t>
      </w:r>
      <w:r w:rsidRPr="00AB1E33">
        <w:t xml:space="preserve">cursos o seminarios web impartidos por la OMPI, en su mayor parte, cursos de enseñanza a distancia </w:t>
      </w:r>
      <w:r w:rsidR="00F129F9">
        <w:t>creados</w:t>
      </w:r>
      <w:r w:rsidRPr="00AB1E33">
        <w:t xml:space="preserve"> por la Academia de la OMPI.  En solo cuatro Oficinas los examinadores </w:t>
      </w:r>
      <w:r w:rsidR="00F129F9">
        <w:t xml:space="preserve">siguieron </w:t>
      </w:r>
      <w:r w:rsidRPr="00AB1E33">
        <w:t>los cursos o seminarios web ofrecidos por ambas organizaciones.</w:t>
      </w:r>
    </w:p>
    <w:p w:rsidR="00CD3778" w:rsidRPr="00AB1E33" w:rsidRDefault="00CD3778" w:rsidP="00CD3778">
      <w:pPr>
        <w:pStyle w:val="ONUMFS"/>
      </w:pPr>
      <w:r w:rsidRPr="00AB1E33">
        <w:t xml:space="preserve">En tres Oficinas, los examinadores han participado en los cursos impartidos por la </w:t>
      </w:r>
      <w:r w:rsidRPr="00AB1E33">
        <w:rPr>
          <w:bCs/>
        </w:rPr>
        <w:t>Fundación Centro de Educación a Distancia para el Desarrollo Económico y Tecnológico</w:t>
      </w:r>
      <w:r w:rsidRPr="00AB1E33">
        <w:t xml:space="preserve"> (CEDDET), institución que imparte cursos de enseñanza a distancia en español.  En una Oficina, sus examinadores han asistido al curso ofrecido por la Oficina Española de Patentes y Marcas;  otra Oficina señala que sus examinadores han asistido a un curso ofrecido por el proveedor de bases de datos Minesoft.</w:t>
      </w:r>
    </w:p>
    <w:p w:rsidR="00CD3778" w:rsidRPr="00AB1E33" w:rsidRDefault="00CD3778" w:rsidP="00CD3778">
      <w:pPr>
        <w:pStyle w:val="ONUMFS"/>
      </w:pPr>
      <w:r w:rsidRPr="00AB1E33">
        <w:t>Varias Oficinas han pedido a la Oficina Internacional que amplíe e impulse las oportunidades de enseñanza a distancia de distintas maneras, por ejemplo, elaborar nuevos cursos relacionados con el examen de patentes, examinar el contenido de los cursos en vigor para adecuarlos a las necesidades de las Oficinas y ofrecer más plazas para examinadores.</w:t>
      </w:r>
    </w:p>
    <w:p w:rsidR="00CD3778" w:rsidRPr="00AB1E33" w:rsidRDefault="00CD3778" w:rsidP="00CD3778">
      <w:pPr>
        <w:pStyle w:val="ONUMFS"/>
      </w:pPr>
      <w:r w:rsidRPr="00AB1E33">
        <w:t>En 14 Oficinas (el 32%) se han elaborado materiales de aprendizaje autodidacta adecuados a la formación de examinadores, pero solo cinco han señalado haber facilitado dichos materiales a otras Oficinas.</w:t>
      </w:r>
    </w:p>
    <w:p w:rsidR="00CD3778" w:rsidRPr="00AB1E33" w:rsidRDefault="00CD3778" w:rsidP="00CD3778">
      <w:pPr>
        <w:pStyle w:val="ONUMFS"/>
      </w:pPr>
      <w:r w:rsidRPr="00AB1E33">
        <w:t>No parece que se hayan aprovechado aún el interés y las ventajas que ofrece la enseñanza a distancia para la formación de examinadores.  Tal vez se deba al acceso limitado a los cursos actuales, a la variedad y especificidad de los cursos relacionados con el examen de patentes y a la escasa sensibilización o confianza de las Oficinas beneficiarias para alentar y autorizar a sus examinadores a que asistan a tales cursos.</w:t>
      </w:r>
    </w:p>
    <w:p w:rsidR="00CD3778" w:rsidRPr="00AB1E33" w:rsidRDefault="00CD3778" w:rsidP="00CD3778">
      <w:pPr>
        <w:pStyle w:val="ONUMFS"/>
      </w:pPr>
      <w:r w:rsidRPr="00AB1E33">
        <w:lastRenderedPageBreak/>
        <w:t>A fin de fomentar la utilización de la enseñanza a distancia y facilitar el acceso a la misma, algunas Oficinas han propuesto que la Oficina Internacional recabe información sobre mecanismos de enseñan</w:t>
      </w:r>
      <w:r w:rsidR="00F129F9">
        <w:t>za a distancia adecuados para</w:t>
      </w:r>
      <w:r w:rsidRPr="00AB1E33">
        <w:t xml:space="preserve"> la formación de examinadores de patentes y la publique en una plataforma web.</w:t>
      </w:r>
    </w:p>
    <w:p w:rsidR="00CD3778" w:rsidRPr="00AB1E33" w:rsidRDefault="00CD3778" w:rsidP="00CD3778">
      <w:pPr>
        <w:pStyle w:val="Heading1"/>
      </w:pPr>
      <w:r w:rsidRPr="00AB1E33">
        <w:t>gestión de la formación de examinadores</w:t>
      </w:r>
    </w:p>
    <w:p w:rsidR="00CD3778" w:rsidRPr="00AB1E33" w:rsidRDefault="00CD3778" w:rsidP="00CD3778">
      <w:pPr>
        <w:pStyle w:val="ONUMFS"/>
        <w:rPr>
          <w:lang w:eastAsia="en-US"/>
        </w:rPr>
      </w:pPr>
      <w:r w:rsidRPr="00AB1E33">
        <w:rPr>
          <w:lang w:eastAsia="en-US"/>
        </w:rPr>
        <w:t xml:space="preserve">En sus respuestas al cuestionario, 35 Oficinas (el 75%) señalan que dan seguimiento a la formación de sus examinadores </w:t>
      </w:r>
      <w:r w:rsidR="008F786C">
        <w:rPr>
          <w:lang w:eastAsia="en-US"/>
        </w:rPr>
        <w:t>estableciendo un registro</w:t>
      </w:r>
      <w:r w:rsidR="00F129F9">
        <w:rPr>
          <w:lang w:eastAsia="en-US"/>
        </w:rPr>
        <w:t xml:space="preserve"> </w:t>
      </w:r>
      <w:r w:rsidR="004F1EA4">
        <w:rPr>
          <w:lang w:eastAsia="en-US"/>
        </w:rPr>
        <w:t>con información sobre</w:t>
      </w:r>
      <w:r w:rsidR="00F129F9">
        <w:rPr>
          <w:lang w:eastAsia="en-US"/>
        </w:rPr>
        <w:t xml:space="preserve"> cada uno de ellos</w:t>
      </w:r>
      <w:r w:rsidRPr="00AB1E33">
        <w:t>.</w:t>
      </w:r>
    </w:p>
    <w:p w:rsidR="00CD3778" w:rsidRPr="00AB1E33" w:rsidRDefault="00CD3778" w:rsidP="00CD3778">
      <w:pPr>
        <w:pStyle w:val="ONUMFS"/>
        <w:rPr>
          <w:szCs w:val="22"/>
          <w:lang w:eastAsia="en-US"/>
        </w:rPr>
      </w:pPr>
      <w:r w:rsidRPr="00AB1E33">
        <w:rPr>
          <w:szCs w:val="22"/>
          <w:lang w:eastAsia="en-US"/>
        </w:rPr>
        <w:t>El mismo número de Oficinas ha elaborado un programa de formación de examinadores constituido, por lo general, por un repertorio de módulos específicos de formación (seminarios, talleres, seminarios web, cursos de enseñanza a distancia, materiales de aprendizaje autodidacta, etc.) sobre temas que se consideran de interés para los examinadores encargados del examen sustantivo de patentes.</w:t>
      </w:r>
    </w:p>
    <w:p w:rsidR="00CD3778" w:rsidRPr="00AB1E33" w:rsidRDefault="00CD3778" w:rsidP="00CD3778">
      <w:pPr>
        <w:pStyle w:val="ONUMFS"/>
        <w:rPr>
          <w:lang w:eastAsia="en-US"/>
        </w:rPr>
      </w:pPr>
      <w:r w:rsidRPr="00AB1E33">
        <w:rPr>
          <w:lang w:eastAsia="en-US"/>
        </w:rPr>
        <w:t xml:space="preserve">En 17 Oficinas (el 39%) se evalúa la eficacia de la enseñanza mediante la realización de pruebas de </w:t>
      </w:r>
      <w:r w:rsidR="008F786C">
        <w:rPr>
          <w:lang w:eastAsia="en-US"/>
        </w:rPr>
        <w:t>selección múltiple</w:t>
      </w:r>
      <w:r w:rsidRPr="00AB1E33">
        <w:rPr>
          <w:lang w:eastAsia="en-US"/>
        </w:rPr>
        <w:t xml:space="preserve">, exámenes escritos u orales, </w:t>
      </w:r>
      <w:r w:rsidRPr="00AB1E33">
        <w:rPr>
          <w:szCs w:val="22"/>
        </w:rPr>
        <w:t>exámenes y evaluaciones prácticas por parte de los instructores.</w:t>
      </w:r>
    </w:p>
    <w:p w:rsidR="00CD3778" w:rsidRPr="00AB1E33" w:rsidRDefault="004A4B51" w:rsidP="00CD3778">
      <w:pPr>
        <w:pStyle w:val="ONUMFS"/>
        <w:rPr>
          <w:lang w:eastAsia="en-US"/>
        </w:rPr>
      </w:pPr>
      <w:r>
        <w:rPr>
          <w:lang w:eastAsia="en-US"/>
        </w:rPr>
        <w:t>Recientemente</w:t>
      </w:r>
      <w:r w:rsidR="00CD3778" w:rsidRPr="00AB1E33">
        <w:rPr>
          <w:lang w:eastAsia="en-US"/>
        </w:rPr>
        <w:t xml:space="preserve">, </w:t>
      </w:r>
      <w:r w:rsidR="004F1EA4" w:rsidRPr="00AB1E33">
        <w:rPr>
          <w:lang w:eastAsia="en-US"/>
        </w:rPr>
        <w:t>la práctica imperante</w:t>
      </w:r>
      <w:r w:rsidR="004F1EA4">
        <w:rPr>
          <w:lang w:eastAsia="en-US"/>
        </w:rPr>
        <w:t xml:space="preserve"> en </w:t>
      </w:r>
      <w:r w:rsidR="00CD3778" w:rsidRPr="00AB1E33">
        <w:rPr>
          <w:lang w:eastAsia="en-US"/>
        </w:rPr>
        <w:t>la formación de profesionales</w:t>
      </w:r>
      <w:r w:rsidR="004F1EA4">
        <w:rPr>
          <w:lang w:eastAsia="en-US"/>
        </w:rPr>
        <w:t>,</w:t>
      </w:r>
      <w:r w:rsidR="00CD3778" w:rsidRPr="00AB1E33">
        <w:rPr>
          <w:lang w:eastAsia="en-US"/>
        </w:rPr>
        <w:t xml:space="preserve"> la evaluación de la enseñanza y </w:t>
      </w:r>
      <w:r w:rsidR="004F1EA4">
        <w:rPr>
          <w:lang w:eastAsia="en-US"/>
        </w:rPr>
        <w:t xml:space="preserve">la </w:t>
      </w:r>
      <w:r w:rsidR="00CD3778" w:rsidRPr="00AB1E33">
        <w:rPr>
          <w:lang w:eastAsia="en-US"/>
        </w:rPr>
        <w:t xml:space="preserve">medición del desempeño </w:t>
      </w:r>
      <w:r w:rsidR="004F1EA4">
        <w:rPr>
          <w:lang w:eastAsia="en-US"/>
        </w:rPr>
        <w:t xml:space="preserve">se ha basado </w:t>
      </w:r>
      <w:r w:rsidR="00CD3778" w:rsidRPr="00AB1E33">
        <w:rPr>
          <w:lang w:eastAsia="en-US"/>
        </w:rPr>
        <w:t xml:space="preserve">en </w:t>
      </w:r>
      <w:r w:rsidR="004F1EA4">
        <w:rPr>
          <w:lang w:eastAsia="en-US"/>
        </w:rPr>
        <w:t xml:space="preserve">el establecimiento de </w:t>
      </w:r>
      <w:r w:rsidR="00CD3778" w:rsidRPr="00AB1E33">
        <w:rPr>
          <w:lang w:eastAsia="en-US"/>
        </w:rPr>
        <w:t>modelos de competencias.  Normalmente, un modelo de competencias es un inventario de</w:t>
      </w:r>
      <w:r w:rsidR="00CC62F2">
        <w:rPr>
          <w:lang w:eastAsia="en-US"/>
        </w:rPr>
        <w:t xml:space="preserve"> </w:t>
      </w:r>
      <w:r w:rsidR="00CD3778" w:rsidRPr="00AB1E33">
        <w:rPr>
          <w:lang w:eastAsia="en-US"/>
        </w:rPr>
        <w:t>l</w:t>
      </w:r>
      <w:r w:rsidR="00CC62F2">
        <w:rPr>
          <w:lang w:eastAsia="en-US"/>
        </w:rPr>
        <w:t>os</w:t>
      </w:r>
      <w:r w:rsidR="00CD3778" w:rsidRPr="00AB1E33">
        <w:rPr>
          <w:lang w:eastAsia="en-US"/>
        </w:rPr>
        <w:t xml:space="preserve"> conocimiento</w:t>
      </w:r>
      <w:r w:rsidR="00CC62F2">
        <w:rPr>
          <w:lang w:eastAsia="en-US"/>
        </w:rPr>
        <w:t>s</w:t>
      </w:r>
      <w:r w:rsidR="00CD3778" w:rsidRPr="00AB1E33">
        <w:rPr>
          <w:lang w:eastAsia="en-US"/>
        </w:rPr>
        <w:t xml:space="preserve"> y las aptitudes necesarios para ejecutar las tareas específicas de un determinado trabajo.  En 27</w:t>
      </w:r>
      <w:r w:rsidR="004F1EA4">
        <w:rPr>
          <w:lang w:eastAsia="en-US"/>
        </w:rPr>
        <w:t> </w:t>
      </w:r>
      <w:r w:rsidR="00CD3778" w:rsidRPr="00AB1E33">
        <w:rPr>
          <w:lang w:eastAsia="en-US"/>
        </w:rPr>
        <w:t xml:space="preserve">Oficinas (el 61%) se ha elaborado un modelo de competencias para la formación de examinadores encargados del examen sustantivo de patentes.  También se han elaborado modelos de competencias para dichos examinadores en el marco del programa regional de formación de examinadores de patentes (RPET) y del modelo de formación ideal sobre el examen de patentes (IPET) de las oficinas de patentes de los miembros de la </w:t>
      </w:r>
      <w:r w:rsidR="004F1EA4" w:rsidRPr="00AB1E33">
        <w:rPr>
          <w:lang w:eastAsia="en-US"/>
        </w:rPr>
        <w:t>ASEAN</w:t>
      </w:r>
      <w:r w:rsidR="00CD3778" w:rsidRPr="00AB1E33">
        <w:rPr>
          <w:lang w:eastAsia="en-US"/>
        </w:rPr>
        <w:t>.</w:t>
      </w:r>
    </w:p>
    <w:p w:rsidR="00CD3778" w:rsidRPr="00AB1E33" w:rsidRDefault="00CD3778" w:rsidP="00CD3778">
      <w:pPr>
        <w:pStyle w:val="ONUMFS"/>
      </w:pPr>
      <w:r w:rsidRPr="00AB1E33">
        <w:t>Por otra parte, organizar la formación y supervisar los avances de la enseñanza mediante un sistema de gestión de la enseñanza se ha convertido asimismo en la práctica imperante.  Un sistema de gestión de la enseñanza es una aplicación in</w:t>
      </w:r>
      <w:r w:rsidR="004F1EA4">
        <w:t>formática que facilita la adop</w:t>
      </w:r>
      <w:r w:rsidRPr="00AB1E33">
        <w:t>ción de enfoques de enseñanza combinada.  A menudo comprende la preparación y presentación de contenidos didácticos, el seguimiento del aprendizaje y la elaboración de informes</w:t>
      </w:r>
      <w:r w:rsidR="004F1EA4">
        <w:t xml:space="preserve"> sobre los avances realizados</w:t>
      </w:r>
      <w:r w:rsidRPr="00AB1E33">
        <w:t>, la comunicación entre los estudiantes y los instructores así como la administración de la formación y la elaboración de informes al respecto.</w:t>
      </w:r>
    </w:p>
    <w:p w:rsidR="00CD3778" w:rsidRPr="00AB1E33" w:rsidRDefault="004F1EA4" w:rsidP="00CD3778">
      <w:pPr>
        <w:pStyle w:val="ONUMFS"/>
      </w:pPr>
      <w:bookmarkStart w:id="7" w:name="_Ref448736887"/>
      <w:r>
        <w:t xml:space="preserve">Los </w:t>
      </w:r>
      <w:r w:rsidRPr="00AB1E33">
        <w:t>sistemas de gestión de la enseñanza</w:t>
      </w:r>
      <w:r>
        <w:t xml:space="preserve"> s</w:t>
      </w:r>
      <w:r w:rsidR="00CD3778" w:rsidRPr="00AB1E33">
        <w:t xml:space="preserve">olo </w:t>
      </w:r>
      <w:r>
        <w:t xml:space="preserve">se utilizan en </w:t>
      </w:r>
      <w:r w:rsidR="00CD3778" w:rsidRPr="00AB1E33">
        <w:t>seis Oficinas (el 14%), lo cual se debe, en principio, al considerable volumen de recursos necesarios para su preparación y mantenimiento</w:t>
      </w:r>
      <w:r w:rsidR="00CD3778" w:rsidRPr="00AB1E33">
        <w:rPr>
          <w:szCs w:val="22"/>
        </w:rPr>
        <w:t>.</w:t>
      </w:r>
      <w:bookmarkEnd w:id="7"/>
    </w:p>
    <w:p w:rsidR="00CD3778" w:rsidRPr="00AB1E33" w:rsidRDefault="00CD3778" w:rsidP="00CD3778">
      <w:pPr>
        <w:pStyle w:val="Heading1"/>
      </w:pPr>
      <w:r w:rsidRPr="00AB1E33">
        <w:t>CONCLUSIONES</w:t>
      </w:r>
    </w:p>
    <w:p w:rsidR="00CD3778" w:rsidRPr="00AB1E33" w:rsidRDefault="00CD3778" w:rsidP="00CD3778">
      <w:pPr>
        <w:pStyle w:val="Heading2"/>
      </w:pPr>
      <w:r w:rsidRPr="00AB1E33">
        <w:t>TENDENCIAS</w:t>
      </w:r>
    </w:p>
    <w:p w:rsidR="00CD3778" w:rsidRPr="00AB1E33" w:rsidRDefault="00CD3778" w:rsidP="00CD3778">
      <w:pPr>
        <w:pStyle w:val="ONUMFS"/>
      </w:pPr>
      <w:r w:rsidRPr="00AB1E33">
        <w:t>Al haberse recibido un número muy reducido de respuestas, éstas no pueden reflejar íntegramente la</w:t>
      </w:r>
      <w:r w:rsidR="00097CA6">
        <w:t>s</w:t>
      </w:r>
      <w:r w:rsidRPr="00AB1E33">
        <w:t xml:space="preserve"> pauta</w:t>
      </w:r>
      <w:r w:rsidR="00097CA6">
        <w:t>s existentes</w:t>
      </w:r>
      <w:r w:rsidRPr="00AB1E33">
        <w:t xml:space="preserve"> e</w:t>
      </w:r>
      <w:r w:rsidR="00097CA6">
        <w:t>n</w:t>
      </w:r>
      <w:r w:rsidRPr="00AB1E33">
        <w:t xml:space="preserve"> la cooperación internacional en la formación de examinadores de patentes ni las prácticas imperantes que se aplican para gestionar e impartir dicha formación.  No obstante, pueden entreverse algunas pautas, como se señala en los párrafos que siguen.  En los próximos meses, la Oficina Internacional intentará obtener más respuestas para completar el panorama actual y confirmar la exactitud de los datos.</w:t>
      </w:r>
    </w:p>
    <w:p w:rsidR="00CD3778" w:rsidRPr="00AB1E33" w:rsidRDefault="00CD3778" w:rsidP="00653066">
      <w:pPr>
        <w:pStyle w:val="Heading2"/>
      </w:pPr>
      <w:r w:rsidRPr="00AB1E33">
        <w:lastRenderedPageBreak/>
        <w:t>TransparencIA</w:t>
      </w:r>
    </w:p>
    <w:p w:rsidR="00CD3778" w:rsidRPr="00AB1E33" w:rsidRDefault="00CD3778" w:rsidP="00653066">
      <w:pPr>
        <w:pStyle w:val="ONUMFS"/>
        <w:keepNext/>
      </w:pPr>
      <w:r w:rsidRPr="00AB1E33">
        <w:t>Es necesario mejorar la transparencia en lo que respecta a la “oferta” y a la “demanda” de actividades de formación de examinadores encargados del examen sustantivo de patentes.</w:t>
      </w:r>
    </w:p>
    <w:p w:rsidR="00CD3778" w:rsidRPr="00AB1E33" w:rsidRDefault="00CD3778" w:rsidP="00653066">
      <w:pPr>
        <w:pStyle w:val="ONUMFS"/>
        <w:keepNext/>
        <w:ind w:left="567"/>
      </w:pPr>
      <w:bookmarkStart w:id="8" w:name="_Ref448498065"/>
      <w:r w:rsidRPr="00AB1E33">
        <w:t xml:space="preserve">Se propone, </w:t>
      </w:r>
      <w:r w:rsidR="00097CA6">
        <w:t>por lo tanto</w:t>
      </w:r>
      <w:r w:rsidRPr="00AB1E33">
        <w:t>, que la Oficina Internacional invite a las Oficinas, en particular a las Oficinas donantes, a que presenten anualmente informes a la Oficina Internacional acerca de las actividades de formación impartidas o recibidas por una Oficina.  La Oficina Internacional publicará en su sitio web un compendio de dichas actividades</w:t>
      </w:r>
      <w:bookmarkEnd w:id="8"/>
      <w:r w:rsidRPr="00AB1E33">
        <w:t>.</w:t>
      </w:r>
    </w:p>
    <w:p w:rsidR="00CD3778" w:rsidRPr="00AB1E33" w:rsidRDefault="00CD3778" w:rsidP="00CD3778">
      <w:pPr>
        <w:pStyle w:val="Heading2"/>
        <w:rPr>
          <w:szCs w:val="20"/>
        </w:rPr>
      </w:pPr>
      <w:r w:rsidRPr="00AB1E33">
        <w:t>DEMANDA Y OFERTA;  coordinaCIÓN</w:t>
      </w:r>
    </w:p>
    <w:p w:rsidR="00CD3778" w:rsidRPr="00AB1E33" w:rsidRDefault="00CD3778" w:rsidP="00CD3778">
      <w:pPr>
        <w:pStyle w:val="ONUMFS"/>
      </w:pPr>
      <w:r w:rsidRPr="00AB1E33">
        <w:t>La demanda de actividades de formación por parte de las Oficinas beneficiarias es superior a la oferta de formación por parte de las Oficinas donantes, en particular en lo que respecta a actividades de formación práctica y formación en el aula, y, más concretamente, formación avanzada en el aula.</w:t>
      </w:r>
    </w:p>
    <w:p w:rsidR="00CD3778" w:rsidRPr="00AB1E33" w:rsidRDefault="00CD3778" w:rsidP="00CD3778">
      <w:pPr>
        <w:pStyle w:val="ONUMFS"/>
        <w:ind w:left="567"/>
      </w:pPr>
      <w:bookmarkStart w:id="9" w:name="_Ref448497960"/>
      <w:r w:rsidRPr="00AB1E33">
        <w:t>Así, se propone que la Oficina Internacional invite a las Oficinas que puedan impartir dicha formación a</w:t>
      </w:r>
      <w:r w:rsidRPr="00AB1E33">
        <w:rPr>
          <w:szCs w:val="22"/>
        </w:rPr>
        <w:t>:</w:t>
      </w:r>
      <w:bookmarkEnd w:id="9"/>
    </w:p>
    <w:p w:rsidR="00CD3778" w:rsidRPr="00AB1E33" w:rsidRDefault="00CD3778" w:rsidP="00CD3778">
      <w:pPr>
        <w:pStyle w:val="ONUMFS"/>
        <w:numPr>
          <w:ilvl w:val="0"/>
          <w:numId w:val="10"/>
        </w:numPr>
        <w:ind w:left="1134"/>
      </w:pPr>
      <w:r w:rsidRPr="00AB1E33">
        <w:t xml:space="preserve">ofrecer oportunidades de formación práctica </w:t>
      </w:r>
      <w:r w:rsidR="00CC4ECA" w:rsidRPr="00AB1E33">
        <w:t xml:space="preserve">y </w:t>
      </w:r>
      <w:r w:rsidR="00CC4ECA">
        <w:t xml:space="preserve">de </w:t>
      </w:r>
      <w:r w:rsidR="00CC4ECA" w:rsidRPr="00AB1E33">
        <w:t xml:space="preserve">duración suficiente </w:t>
      </w:r>
      <w:r w:rsidRPr="00AB1E33">
        <w:t>para un mayor número de examinadores;</w:t>
      </w:r>
    </w:p>
    <w:p w:rsidR="00CD3778" w:rsidRPr="00AB1E33" w:rsidRDefault="00CD3778" w:rsidP="00CD3778">
      <w:pPr>
        <w:pStyle w:val="ONUMFS"/>
        <w:numPr>
          <w:ilvl w:val="0"/>
          <w:numId w:val="10"/>
        </w:numPr>
        <w:ind w:left="1134"/>
      </w:pPr>
      <w:r w:rsidRPr="00AB1E33">
        <w:t>ofrecer un mayor número de actividades de formación en el aula y ampliar el repertorio de contenidos;  y</w:t>
      </w:r>
    </w:p>
    <w:p w:rsidR="00CD3778" w:rsidRPr="00AB1E33" w:rsidRDefault="00CD3778" w:rsidP="00CD3778">
      <w:pPr>
        <w:pStyle w:val="ONUMFS"/>
        <w:numPr>
          <w:ilvl w:val="0"/>
          <w:numId w:val="10"/>
        </w:numPr>
        <w:ind w:left="1134"/>
      </w:pPr>
      <w:r w:rsidRPr="00AB1E33">
        <w:t xml:space="preserve">ofrecer a los examinadores de otras Oficinas más oportunidades de participación como examinadores visitantes en las actividades organizadas principalmente para los examinadores </w:t>
      </w:r>
      <w:r w:rsidR="00CC4ECA">
        <w:t>de la propia Oficina</w:t>
      </w:r>
      <w:r w:rsidRPr="00AB1E33">
        <w:t>.</w:t>
      </w:r>
    </w:p>
    <w:p w:rsidR="00CD3778" w:rsidRPr="00AB1E33" w:rsidRDefault="00CD3778" w:rsidP="00CD3778">
      <w:pPr>
        <w:pStyle w:val="ONUMFS"/>
        <w:ind w:left="567"/>
      </w:pPr>
      <w:bookmarkStart w:id="10" w:name="_Ref448498036"/>
      <w:r w:rsidRPr="00AB1E33">
        <w:t>Se propone además que la Oficina Internacional invite a los Estados miembros que puedan financiar actividades de formación a que consideren la posibilidad de establecer acuerdos de fondos fiduciarios, o de ampliar los vigentes, con miras a destinar más fondos para financiar la formación de examinadores de países en desarrollo</w:t>
      </w:r>
      <w:r w:rsidRPr="00AB1E33">
        <w:rPr>
          <w:szCs w:val="22"/>
        </w:rPr>
        <w:t>.</w:t>
      </w:r>
      <w:bookmarkEnd w:id="10"/>
    </w:p>
    <w:p w:rsidR="00CD3778" w:rsidRPr="00AB1E33" w:rsidRDefault="00CD3778" w:rsidP="00CD3778">
      <w:pPr>
        <w:pStyle w:val="ONUMFS"/>
      </w:pPr>
      <w:r w:rsidRPr="00AB1E33">
        <w:rPr>
          <w:szCs w:val="22"/>
        </w:rPr>
        <w:t>Es necesario coordinar más adecuadamente las actividades de formación de los encargados del examen sustantivo de patentes.</w:t>
      </w:r>
    </w:p>
    <w:p w:rsidR="00CD3778" w:rsidRPr="00AB1E33" w:rsidRDefault="00DC0E7E" w:rsidP="00CD3778">
      <w:pPr>
        <w:pStyle w:val="ONUMFS"/>
        <w:ind w:left="567"/>
      </w:pPr>
      <w:bookmarkStart w:id="11" w:name="_Ref448498049"/>
      <w:r>
        <w:t>Por lo tanto</w:t>
      </w:r>
      <w:r w:rsidR="00CD3778" w:rsidRPr="00AB1E33">
        <w:t xml:space="preserve">, se propone que la Oficina Internacional elabore un mecanismo para mejorar la coordinación de las actividades de formación de examinadores encargados del examen sustantivo de patentes, prestando especial interés a la coordinación con las Oficinas donantes, para que el Grupo de Trabajo lo examine en su próxima </w:t>
      </w:r>
      <w:bookmarkEnd w:id="11"/>
      <w:r>
        <w:t>reunión</w:t>
      </w:r>
      <w:r w:rsidR="00CD3778" w:rsidRPr="00AB1E33">
        <w:t>.</w:t>
      </w:r>
    </w:p>
    <w:p w:rsidR="00CD3778" w:rsidRPr="00AB1E33" w:rsidRDefault="00CD3778" w:rsidP="00CD3778">
      <w:pPr>
        <w:pStyle w:val="Heading2"/>
      </w:pPr>
      <w:r w:rsidRPr="00AB1E33">
        <w:t>aprendizaje AUTODI</w:t>
      </w:r>
      <w:r w:rsidR="00181AB7">
        <w:t>DA</w:t>
      </w:r>
      <w:r w:rsidRPr="00AB1E33">
        <w:t>CTA</w:t>
      </w:r>
    </w:p>
    <w:p w:rsidR="00CD3778" w:rsidRPr="00AB1E33" w:rsidRDefault="00D35C84" w:rsidP="00CD3778">
      <w:pPr>
        <w:pStyle w:val="ONUMFS"/>
      </w:pPr>
      <w:r>
        <w:t>T</w:t>
      </w:r>
      <w:r w:rsidRPr="00AB1E33">
        <w:t xml:space="preserve">odavía no se han analizado exhaustivamente </w:t>
      </w:r>
      <w:r>
        <w:t>e</w:t>
      </w:r>
      <w:r w:rsidR="00CD3778" w:rsidRPr="00AB1E33">
        <w:t xml:space="preserve">l interés y las ventajas que </w:t>
      </w:r>
      <w:r>
        <w:t xml:space="preserve">ofrecen la enseñanza por medio de Internet </w:t>
      </w:r>
      <w:r w:rsidR="00CD3778" w:rsidRPr="00AB1E33">
        <w:t xml:space="preserve">y </w:t>
      </w:r>
      <w:r>
        <w:t xml:space="preserve">la enseñanza </w:t>
      </w:r>
      <w:r w:rsidR="00CD3778" w:rsidRPr="00AB1E33">
        <w:t xml:space="preserve">a distancia </w:t>
      </w:r>
      <w:r>
        <w:t xml:space="preserve">y </w:t>
      </w:r>
      <w:r w:rsidR="00CD3778" w:rsidRPr="00AB1E33">
        <w:t>otras oportunidades de aprendizaje autodidacta</w:t>
      </w:r>
      <w:r w:rsidRPr="00D35C84">
        <w:t xml:space="preserve"> </w:t>
      </w:r>
      <w:r w:rsidRPr="00AB1E33">
        <w:t>para la formación de</w:t>
      </w:r>
      <w:r w:rsidRPr="00D35C84">
        <w:t xml:space="preserve"> </w:t>
      </w:r>
      <w:r w:rsidRPr="00AB1E33">
        <w:t>examinadores</w:t>
      </w:r>
      <w:r w:rsidR="00CD3778" w:rsidRPr="00AB1E33">
        <w:t>.  Sería aconsejable invertir mayores esfuerzos en ampliar el acceso a las oportunidades del aprendizaje autodidacta y en enriquecer la diversidad de los contenidos de los materiales y cursos de este tipo de enseñanza.</w:t>
      </w:r>
    </w:p>
    <w:p w:rsidR="00CD3778" w:rsidRPr="00AB1E33" w:rsidRDefault="00D35C84" w:rsidP="00CD3778">
      <w:pPr>
        <w:pStyle w:val="ONUMFS"/>
        <w:ind w:left="567"/>
      </w:pPr>
      <w:bookmarkStart w:id="12" w:name="_Ref448497933"/>
      <w:r>
        <w:t>Por lo tanto</w:t>
      </w:r>
      <w:r w:rsidR="00CD3778" w:rsidRPr="00AB1E33">
        <w:t>, se propone que la Oficina Internacional:</w:t>
      </w:r>
      <w:bookmarkEnd w:id="12"/>
    </w:p>
    <w:p w:rsidR="00CD3778" w:rsidRPr="00AB1E33" w:rsidRDefault="00CD3778" w:rsidP="0036785C">
      <w:pPr>
        <w:pStyle w:val="ONUMFS"/>
        <w:numPr>
          <w:ilvl w:val="0"/>
          <w:numId w:val="13"/>
        </w:numPr>
        <w:ind w:left="1134"/>
      </w:pPr>
      <w:r w:rsidRPr="00AB1E33">
        <w:t>invite a las Oficinas que ofrecen material y cursos de aprendizaje autodidacta a que la informen de tales ofertas y contenidos</w:t>
      </w:r>
      <w:r w:rsidRPr="00AB1E33">
        <w:rPr>
          <w:szCs w:val="22"/>
        </w:rPr>
        <w:t xml:space="preserve">; </w:t>
      </w:r>
    </w:p>
    <w:p w:rsidR="00CD3778" w:rsidRPr="00AB1E33" w:rsidRDefault="00CD3778" w:rsidP="0036785C">
      <w:pPr>
        <w:pStyle w:val="ONUMFS"/>
        <w:numPr>
          <w:ilvl w:val="0"/>
          <w:numId w:val="13"/>
        </w:numPr>
        <w:ind w:left="1134"/>
      </w:pPr>
      <w:r w:rsidRPr="00AB1E33">
        <w:lastRenderedPageBreak/>
        <w:t>reúna los materiales y cursos de aprendizaje autodidacta que sean de interés para la formación de examinadores encargados del examen sustantivo de patentes;  y</w:t>
      </w:r>
    </w:p>
    <w:p w:rsidR="00CD3778" w:rsidRPr="00AB1E33" w:rsidRDefault="00CD3778" w:rsidP="0036785C">
      <w:pPr>
        <w:pStyle w:val="ONUMFS"/>
        <w:numPr>
          <w:ilvl w:val="0"/>
          <w:numId w:val="13"/>
        </w:numPr>
        <w:ind w:left="1134"/>
      </w:pPr>
      <w:r w:rsidRPr="00AB1E33">
        <w:t>estudie la posibilidad de elaborar nuevos materiales y cursos de aprendizaje autodidacta sobre temas de particular interés para los encargados del examen sustantivo de patentes</w:t>
      </w:r>
      <w:r w:rsidRPr="00AB1E33">
        <w:rPr>
          <w:szCs w:val="22"/>
        </w:rPr>
        <w:t>.</w:t>
      </w:r>
    </w:p>
    <w:p w:rsidR="00CD3778" w:rsidRPr="00AB1E33" w:rsidRDefault="00CD3778" w:rsidP="00CD3778">
      <w:pPr>
        <w:pStyle w:val="Heading2"/>
      </w:pPr>
      <w:r w:rsidRPr="00AB1E33">
        <w:t>GESTIÓN DE LA FORMACIÓN DE EXAMINADORES</w:t>
      </w:r>
    </w:p>
    <w:p w:rsidR="00CD3778" w:rsidRPr="00AB1E33" w:rsidRDefault="00CD3778" w:rsidP="00CD3778">
      <w:pPr>
        <w:pStyle w:val="Heading3"/>
      </w:pPr>
      <w:r w:rsidRPr="00AB1E33">
        <w:t>Modelos de competencias</w:t>
      </w:r>
    </w:p>
    <w:p w:rsidR="00CD3778" w:rsidRPr="00AB1E33" w:rsidRDefault="00CD3778" w:rsidP="00CD3778">
      <w:pPr>
        <w:pStyle w:val="ONUMFS"/>
        <w:rPr>
          <w:lang w:eastAsia="en-US"/>
        </w:rPr>
      </w:pPr>
      <w:r w:rsidRPr="00AB1E33">
        <w:rPr>
          <w:lang w:eastAsia="en-US"/>
        </w:rPr>
        <w:t xml:space="preserve">Las Oficinas que organizan actividades de formación de sus examinadores </w:t>
      </w:r>
      <w:r w:rsidRPr="00AB1E33">
        <w:rPr>
          <w:i/>
          <w:iCs/>
          <w:lang w:eastAsia="en-US"/>
        </w:rPr>
        <w:t>in situ</w:t>
      </w:r>
      <w:r w:rsidRPr="00AB1E33">
        <w:rPr>
          <w:lang w:eastAsia="en-US"/>
        </w:rPr>
        <w:t xml:space="preserve"> pueden supervisar el contenido de las unidades de formación y las diferentes actividades de formación a fin de abarcar todas las competencias necesarias para sus examinadores.  No obstante, las Oficinas que dependen en gran medida de apoyo externo en materia de formación no pueden tener la seguridad de que la amplia variedad de actividades de formación organizadas por las Oficinas donantes en las que participan sus examinadores cubra íntegramente las competencias que necesitan.</w:t>
      </w:r>
    </w:p>
    <w:p w:rsidR="00CD3778" w:rsidRPr="00AB1E33" w:rsidRDefault="00CD3778" w:rsidP="00CD3778">
      <w:pPr>
        <w:pStyle w:val="ONUMFS"/>
        <w:rPr>
          <w:lang w:eastAsia="en-US"/>
        </w:rPr>
      </w:pPr>
      <w:r w:rsidRPr="00AB1E33">
        <w:rPr>
          <w:lang w:eastAsia="en-US"/>
        </w:rPr>
        <w:t>Con un modelo de competencias suficientemente detallado es más fácil señalar y comunicar mediante un procedimiento normalizado las necesidades específicas de formación (por ejemplo, a la OMPI o a las Oficinas donantes) de las Oficinas beneficiarias.  En lo que respecta a las Oficinas donantes, disponer de un modelo de competencias facilitaría la descripción normalizada de los contenidos de formación en lo que respecta a las competencias contempladas en las actividades de formación específica así como la determinación de los requisitos necesarios para participar en actividades de formación más avanzadas.</w:t>
      </w:r>
    </w:p>
    <w:p w:rsidR="00CD3778" w:rsidRPr="00AB1E33" w:rsidRDefault="00CD3778" w:rsidP="00CD3778">
      <w:pPr>
        <w:pStyle w:val="ONUMFS"/>
        <w:rPr>
          <w:lang w:eastAsia="en-US"/>
        </w:rPr>
      </w:pPr>
      <w:r w:rsidRPr="00AB1E33">
        <w:rPr>
          <w:lang w:eastAsia="en-US"/>
        </w:rPr>
        <w:t>Por otra parte, un modelo de competencias facilitaría el seguimiento de los avances logrados en la formación de cada uno de los examinadores mediante la valoración de las competencias adquiridas y permitiría señalar las necesidades individuales de formación.  Ello posibilitaría una gestión más eficiente de la formación recibida por cada examinador mediante una mayor coordinación entre los proveedores con el fin de asegurar que el abanico de las opciones de formación abarque suficientemente todas las competencias</w:t>
      </w:r>
      <w:r w:rsidRPr="00AB1E33">
        <w:t>.</w:t>
      </w:r>
    </w:p>
    <w:p w:rsidR="00CD3778" w:rsidRPr="00AB1E33" w:rsidRDefault="00CD3778" w:rsidP="00CD3778">
      <w:pPr>
        <w:pStyle w:val="ONUMFS"/>
        <w:rPr>
          <w:lang w:eastAsia="en-US"/>
        </w:rPr>
      </w:pPr>
      <w:r w:rsidRPr="00AB1E33">
        <w:rPr>
          <w:lang w:eastAsia="en-US"/>
        </w:rPr>
        <w:t>Así, sería enormemente útil para la coordinación de la formación de examinadores de patentes que todas las Oficinas beneficiarias aplicaran modelos de competencias suficientemente detallados y específicos y que las actividades de formación fueran descritas en función de las competencias contempladas</w:t>
      </w:r>
      <w:r w:rsidRPr="00AB1E33">
        <w:t>.</w:t>
      </w:r>
    </w:p>
    <w:p w:rsidR="00CD3778" w:rsidRPr="00AB1E33" w:rsidRDefault="00CD3778" w:rsidP="00CD3778">
      <w:pPr>
        <w:pStyle w:val="ONUMFS"/>
        <w:rPr>
          <w:lang w:eastAsia="en-US"/>
        </w:rPr>
      </w:pPr>
      <w:r w:rsidRPr="00AB1E33">
        <w:rPr>
          <w:lang w:eastAsia="en-US"/>
        </w:rPr>
        <w:t xml:space="preserve">Aunque no podrá aplicarse un único modelo de competencias a todos los examinadores de patentes, sí habrá muchas competencias que afecten a todos los examinadores.  Por ejemplo, determinadas competencias dependerán del campo de la tecnología en que trabajen los examinadores o de las herramientas de búsqueda de que dispongan.  Un examinador especializado en el campo de la mecánica no necesita competencias especiales para efectuar búsquedas de estructuras químicas en bases de datos especializadas.  Los modelos de competencias dependerán también del tamaño de las Oficinas.  Por ejemplo, es poco probable que una Oficina con un reducido número de examinadores pueda efectuar por su cuenta el examen o las búsquedas del estado de la técnica en todos los campos de la tecnología.  Los examinadores de dichas Oficinas </w:t>
      </w:r>
      <w:r w:rsidR="00D35C84">
        <w:rPr>
          <w:lang w:eastAsia="en-US"/>
        </w:rPr>
        <w:t>tendrán que estar capacitados</w:t>
      </w:r>
      <w:r w:rsidRPr="00AB1E33">
        <w:rPr>
          <w:lang w:eastAsia="en-US"/>
        </w:rPr>
        <w:t xml:space="preserve"> para utilizar los resultados obtenidos en otras Oficinas cuyos examinadores con aptitudes técnicas específicas hayan efectuado búsquedas del estado de la técnica sobre familias de patentes, por ejemplo.</w:t>
      </w:r>
    </w:p>
    <w:p w:rsidR="00CD3778" w:rsidRPr="00AB1E33" w:rsidRDefault="00CD3778" w:rsidP="00CD3778">
      <w:pPr>
        <w:pStyle w:val="ONUMFS"/>
        <w:rPr>
          <w:lang w:eastAsia="en-US"/>
        </w:rPr>
      </w:pPr>
      <w:r w:rsidRPr="00AB1E33">
        <w:rPr>
          <w:lang w:eastAsia="en-US"/>
        </w:rPr>
        <w:t>Por esa razón, las Oficinas deberían ser capaces de definir o determinar los mod</w:t>
      </w:r>
      <w:r w:rsidR="00D35C84">
        <w:rPr>
          <w:lang w:eastAsia="en-US"/>
        </w:rPr>
        <w:t>elos de competencias adecuados para</w:t>
      </w:r>
      <w:r w:rsidRPr="00AB1E33">
        <w:rPr>
          <w:lang w:eastAsia="en-US"/>
        </w:rPr>
        <w:t xml:space="preserve"> sus examinadores.  De esa manera, podría elaborarse un inventario de las diversas competencias necesarias para efectuar todas las tareas del examen sustantivo en diferentes campos técnicos y utilizando diversas herramientas.  Las Oficinas </w:t>
      </w:r>
      <w:r w:rsidRPr="00AB1E33">
        <w:rPr>
          <w:lang w:eastAsia="en-US"/>
        </w:rPr>
        <w:lastRenderedPageBreak/>
        <w:t>podrían, así, adaptar el modelo de competencias a cada examinador seleccionando del inventario las competencias necesarias.</w:t>
      </w:r>
    </w:p>
    <w:p w:rsidR="00CD3778" w:rsidRPr="00AB1E33" w:rsidRDefault="00CD3778" w:rsidP="00CD3778">
      <w:pPr>
        <w:pStyle w:val="ONUMFS"/>
        <w:rPr>
          <w:lang w:eastAsia="en-US"/>
        </w:rPr>
      </w:pPr>
      <w:r w:rsidRPr="00AB1E33">
        <w:rPr>
          <w:lang w:eastAsia="en-US"/>
        </w:rPr>
        <w:t xml:space="preserve">Un </w:t>
      </w:r>
      <w:r w:rsidR="00D35C84">
        <w:rPr>
          <w:lang w:eastAsia="en-US"/>
        </w:rPr>
        <w:t>modelo</w:t>
      </w:r>
      <w:r w:rsidRPr="00AB1E33">
        <w:rPr>
          <w:lang w:eastAsia="en-US"/>
        </w:rPr>
        <w:t xml:space="preserve"> de competencias de ese tipo podría, así, constituir la base para planificar y coordinar la formación de los diferentes examinadores.  Las Oficinas podrían gestionar dicha formación por sí mismas o delegar tal función en otra instancia, por ejemplo, la Oficina Internacional.  En particular, las Oficinas más pequeñas, con una capacidad limitada de gestión de los recursos humanos, podrían necesitar apoyo externo para gestionar la formación de los examinadores.</w:t>
      </w:r>
    </w:p>
    <w:p w:rsidR="00CD3778" w:rsidRPr="00AB1E33" w:rsidRDefault="00CD3778" w:rsidP="00CD3778">
      <w:pPr>
        <w:pStyle w:val="ONUMFS"/>
        <w:ind w:left="567"/>
      </w:pPr>
      <w:bookmarkStart w:id="13" w:name="_Ref448497898"/>
      <w:r w:rsidRPr="00AB1E33">
        <w:t>Así, se propone que la Oficina Internacional:</w:t>
      </w:r>
      <w:bookmarkEnd w:id="13"/>
    </w:p>
    <w:p w:rsidR="00CD3778" w:rsidRPr="00AB1E33" w:rsidRDefault="00CD3778" w:rsidP="00497DD8">
      <w:pPr>
        <w:pStyle w:val="ONUMFS"/>
        <w:numPr>
          <w:ilvl w:val="0"/>
          <w:numId w:val="14"/>
        </w:numPr>
        <w:ind w:left="1134"/>
      </w:pPr>
      <w:r w:rsidRPr="00AB1E33">
        <w:t>invite a las Oficinas a que le expongan el programa que hayan elaborado para la formación de examinadores encargados del examen sustantivo de patentes</w:t>
      </w:r>
      <w:r w:rsidRPr="00AB1E33">
        <w:rPr>
          <w:szCs w:val="22"/>
        </w:rPr>
        <w:t>;</w:t>
      </w:r>
    </w:p>
    <w:p w:rsidR="00CD3778" w:rsidRPr="00AB1E33" w:rsidRDefault="00CD3778" w:rsidP="00497DD8">
      <w:pPr>
        <w:pStyle w:val="ONUMFS"/>
        <w:numPr>
          <w:ilvl w:val="0"/>
          <w:numId w:val="14"/>
        </w:numPr>
        <w:ind w:left="1134"/>
      </w:pPr>
      <w:r w:rsidRPr="00AB1E33">
        <w:t>invite a las Oficinas a que le expongan los modelos de competencias para examinadores encargados del examen sustantivo de patentes</w:t>
      </w:r>
      <w:r w:rsidRPr="00AB1E33">
        <w:rPr>
          <w:szCs w:val="22"/>
        </w:rPr>
        <w:t>;</w:t>
      </w:r>
    </w:p>
    <w:p w:rsidR="00CD3778" w:rsidRPr="00AB1E33" w:rsidRDefault="00D35C84" w:rsidP="00497DD8">
      <w:pPr>
        <w:pStyle w:val="ONUMFS"/>
        <w:numPr>
          <w:ilvl w:val="0"/>
          <w:numId w:val="14"/>
        </w:numPr>
        <w:ind w:left="1134"/>
      </w:pPr>
      <w:r>
        <w:rPr>
          <w:szCs w:val="22"/>
        </w:rPr>
        <w:t xml:space="preserve">recopile </w:t>
      </w:r>
      <w:r w:rsidR="00CD3778" w:rsidRPr="00AB1E33">
        <w:rPr>
          <w:szCs w:val="22"/>
        </w:rPr>
        <w:t>tales modelos de competencias a fin de elaborar un inventario de las diversas competencias que podrían necesitar los examinadores encargados del examen sustantivo de patentes de Oficinas de tamaños diversos.</w:t>
      </w:r>
    </w:p>
    <w:p w:rsidR="00CD3778" w:rsidRPr="00AB1E33" w:rsidRDefault="00CD3778" w:rsidP="00CD3778">
      <w:pPr>
        <w:pStyle w:val="Heading3"/>
      </w:pPr>
      <w:r w:rsidRPr="00AB1E33">
        <w:t>Sistemas de gestión de la enseñanza</w:t>
      </w:r>
    </w:p>
    <w:p w:rsidR="00CD3778" w:rsidRPr="00AB1E33" w:rsidRDefault="00CD3778" w:rsidP="00CD3778">
      <w:pPr>
        <w:pStyle w:val="ONUMFS"/>
      </w:pPr>
      <w:r w:rsidRPr="00AB1E33">
        <w:t xml:space="preserve">Los sistemas de gestión de la enseñanza pueden facilitar la administración de formación específica a partir de un modelo de competencias o un programa de formación preciso.  Por ejemplo, dichos sistemas permiten </w:t>
      </w:r>
      <w:r w:rsidR="00D35C84">
        <w:t>dejar constancia</w:t>
      </w:r>
      <w:r w:rsidRPr="00AB1E33">
        <w:t xml:space="preserve"> de la participación de un examinador en determinadas actividades de formación o de las competencias que haya adquirido </w:t>
      </w:r>
      <w:r w:rsidR="00D35C84">
        <w:t>y reconocer</w:t>
      </w:r>
      <w:r w:rsidRPr="00AB1E33">
        <w:t xml:space="preserve"> y asignar automáticamente las actividades que todavía están pendientes para completar la formación.  También permiten </w:t>
      </w:r>
      <w:r w:rsidR="00154DAF">
        <w:t xml:space="preserve">dejar constancia </w:t>
      </w:r>
      <w:r w:rsidRPr="00AB1E33">
        <w:t>de las actividades de formación ya efectuadas con resultados satisfactorios, de forma que se repita, de forma automática, la asignación de las actividades de formación no superadas y se evite la asignación de actividades que ya se efectuaron</w:t>
      </w:r>
      <w:r w:rsidR="00154DAF">
        <w:t xml:space="preserve"> satisfactoriamente</w:t>
      </w:r>
      <w:r w:rsidRPr="00AB1E33">
        <w:t>.  Por otra parte, estos sistemas pueden facilitar la presentación automatizada de informes, por ejemplo, acerca de los progresos efectuados por los distintos alumnos o de diversas estadísticas de actividades de formación que puedan revestir interés para las Oficinas donantes y beneficiarias.</w:t>
      </w:r>
    </w:p>
    <w:p w:rsidR="00CD3778" w:rsidRPr="00AB1E33" w:rsidRDefault="00CD3778" w:rsidP="00CD3778">
      <w:pPr>
        <w:pStyle w:val="ONUMFS"/>
      </w:pPr>
      <w:r w:rsidRPr="00AB1E33">
        <w:t xml:space="preserve">No cabe duda de que un sistema de gestión de la enseñanza mejoraría la coordinación y la gestión de la formación de los examinadores de patentes.  Una Oficina ha propuesto que se cree un sistema similar a un sistema de gestión de la enseñanza, gestionado por la Oficina Internacional, que permita </w:t>
      </w:r>
      <w:r w:rsidR="00D35C84">
        <w:t>dejar constancia</w:t>
      </w:r>
      <w:r w:rsidRPr="00AB1E33">
        <w:t xml:space="preserve"> de las necesidades de formación y a cuya información tengan acceso las Oficinas donantes y beneficiarias, y poder así adaptar las necesidades a la demanda.</w:t>
      </w:r>
    </w:p>
    <w:p w:rsidR="00CD3778" w:rsidRPr="00AB1E33" w:rsidRDefault="00CD3778" w:rsidP="00CD3778">
      <w:pPr>
        <w:pStyle w:val="ONUMFS"/>
      </w:pPr>
      <w:r w:rsidRPr="00AB1E33">
        <w:t>La Academia de la OMPI dispone ya de considerable experiencia en la creación, implantación y utilización de sistemas de gestión de la enseñanza que sirvan para gestionar la formación que se imparte mediante los cursos de la OMPI de enseñanza a distancia.  En la creación de un sistema de gestión de la enseñanza adaptado específicamente a la formación de examinadores encargados del examen sustantivo de patentes podrían aprovecharse además las mejoras similares previstas en el marco de la iniciativa IPET y el acervo de experiencias de las seis Oficinas que ya están utilizando un sistema de ese tipo.</w:t>
      </w:r>
    </w:p>
    <w:p w:rsidR="00CD3778" w:rsidRPr="00AB1E33" w:rsidRDefault="00CD3778" w:rsidP="00CD3778">
      <w:pPr>
        <w:pStyle w:val="ONUMFS"/>
      </w:pPr>
      <w:r w:rsidRPr="00AB1E33">
        <w:t>También tendría interés facilitar un sistema de gestión de la enseñanza encaminado a coordinar y gestionar más adecuadamente la formación de los examinadores de patente por conducto de la OMPI a las Oficinas interesadas en gestionar la formación de sus examinadores mediante este tipo de sistemas.</w:t>
      </w:r>
    </w:p>
    <w:p w:rsidR="00CD3778" w:rsidRPr="00AB1E33" w:rsidRDefault="00D35C84" w:rsidP="00CD3778">
      <w:pPr>
        <w:pStyle w:val="ONUMFS"/>
        <w:ind w:left="567"/>
      </w:pPr>
      <w:bookmarkStart w:id="14" w:name="_Ref448497829"/>
      <w:r>
        <w:lastRenderedPageBreak/>
        <w:t>Por lo tanto</w:t>
      </w:r>
      <w:r w:rsidR="00CD3778" w:rsidRPr="00AB1E33">
        <w:t>, se propone que la Oficina Internacional estudie la posibilidad de elaborar y administrar un sistema de gestión de la enseñanza y prepare un documento a ese respecto para que el Grupo de Trabajo lo examine en su próxima sesión</w:t>
      </w:r>
      <w:r w:rsidR="00CD3778" w:rsidRPr="00AB1E33">
        <w:rPr>
          <w:szCs w:val="22"/>
        </w:rPr>
        <w:t>.</w:t>
      </w:r>
      <w:bookmarkEnd w:id="14"/>
    </w:p>
    <w:p w:rsidR="00CD3778" w:rsidRPr="00AB1E33" w:rsidRDefault="00CD3778" w:rsidP="00CD3778">
      <w:pPr>
        <w:pStyle w:val="ONUMFS"/>
        <w:ind w:left="5534"/>
        <w:rPr>
          <w:i/>
        </w:rPr>
      </w:pPr>
      <w:r w:rsidRPr="00AB1E33">
        <w:rPr>
          <w:i/>
        </w:rPr>
        <w:t xml:space="preserve">Se invita al Grupo de Trabajo a formular observaciones acerca del contenido del presente documento, en particular, de las propuestas que figuran en los párrafos </w:t>
      </w:r>
      <w:r w:rsidRPr="00AB1E33">
        <w:rPr>
          <w:i/>
        </w:rPr>
        <w:fldChar w:fldCharType="begin"/>
      </w:r>
      <w:r w:rsidRPr="00AB1E33">
        <w:rPr>
          <w:i/>
        </w:rPr>
        <w:instrText xml:space="preserve"> REF _Ref448498065 \r \h  \* MERGEFORMAT </w:instrText>
      </w:r>
      <w:r w:rsidRPr="00AB1E33">
        <w:rPr>
          <w:i/>
        </w:rPr>
      </w:r>
      <w:r w:rsidRPr="00AB1E33">
        <w:rPr>
          <w:i/>
        </w:rPr>
        <w:fldChar w:fldCharType="separate"/>
      </w:r>
      <w:r w:rsidR="00F255D7">
        <w:rPr>
          <w:i/>
        </w:rPr>
        <w:t>45</w:t>
      </w:r>
      <w:r w:rsidRPr="00AB1E33">
        <w:rPr>
          <w:i/>
        </w:rPr>
        <w:fldChar w:fldCharType="end"/>
      </w:r>
      <w:r w:rsidRPr="00AB1E33">
        <w:rPr>
          <w:i/>
        </w:rPr>
        <w:t xml:space="preserve">, </w:t>
      </w:r>
      <w:r w:rsidRPr="00AB1E33">
        <w:rPr>
          <w:i/>
        </w:rPr>
        <w:fldChar w:fldCharType="begin"/>
      </w:r>
      <w:r w:rsidRPr="00AB1E33">
        <w:rPr>
          <w:i/>
        </w:rPr>
        <w:instrText xml:space="preserve"> REF _Ref448497960 \r \h  \* MERGEFORMAT </w:instrText>
      </w:r>
      <w:r w:rsidRPr="00AB1E33">
        <w:rPr>
          <w:i/>
        </w:rPr>
      </w:r>
      <w:r w:rsidRPr="00AB1E33">
        <w:rPr>
          <w:i/>
        </w:rPr>
        <w:fldChar w:fldCharType="separate"/>
      </w:r>
      <w:r w:rsidR="00F255D7">
        <w:rPr>
          <w:i/>
        </w:rPr>
        <w:t>47</w:t>
      </w:r>
      <w:r w:rsidRPr="00AB1E33">
        <w:rPr>
          <w:i/>
        </w:rPr>
        <w:fldChar w:fldCharType="end"/>
      </w:r>
      <w:r w:rsidRPr="00AB1E33">
        <w:rPr>
          <w:i/>
        </w:rPr>
        <w:t xml:space="preserve">, </w:t>
      </w:r>
      <w:r w:rsidRPr="00AB1E33">
        <w:rPr>
          <w:i/>
        </w:rPr>
        <w:fldChar w:fldCharType="begin"/>
      </w:r>
      <w:r w:rsidRPr="00AB1E33">
        <w:rPr>
          <w:i/>
        </w:rPr>
        <w:instrText xml:space="preserve"> REF _Ref448498036 \r \h  \* MERGEFORMAT </w:instrText>
      </w:r>
      <w:r w:rsidRPr="00AB1E33">
        <w:rPr>
          <w:i/>
        </w:rPr>
      </w:r>
      <w:r w:rsidRPr="00AB1E33">
        <w:rPr>
          <w:i/>
        </w:rPr>
        <w:fldChar w:fldCharType="separate"/>
      </w:r>
      <w:r w:rsidR="00F255D7">
        <w:rPr>
          <w:i/>
        </w:rPr>
        <w:t>48</w:t>
      </w:r>
      <w:r w:rsidRPr="00AB1E33">
        <w:rPr>
          <w:i/>
        </w:rPr>
        <w:fldChar w:fldCharType="end"/>
      </w:r>
      <w:r w:rsidRPr="00AB1E33">
        <w:rPr>
          <w:i/>
        </w:rPr>
        <w:t xml:space="preserve">, </w:t>
      </w:r>
      <w:r w:rsidRPr="00AB1E33">
        <w:rPr>
          <w:i/>
        </w:rPr>
        <w:fldChar w:fldCharType="begin"/>
      </w:r>
      <w:r w:rsidRPr="00AB1E33">
        <w:rPr>
          <w:i/>
        </w:rPr>
        <w:instrText xml:space="preserve"> REF _Ref448498049 \r \h  \* MERGEFORMAT </w:instrText>
      </w:r>
      <w:r w:rsidRPr="00AB1E33">
        <w:rPr>
          <w:i/>
        </w:rPr>
      </w:r>
      <w:r w:rsidRPr="00AB1E33">
        <w:rPr>
          <w:i/>
        </w:rPr>
        <w:fldChar w:fldCharType="separate"/>
      </w:r>
      <w:r w:rsidR="00F255D7">
        <w:rPr>
          <w:i/>
        </w:rPr>
        <w:t>50</w:t>
      </w:r>
      <w:r w:rsidRPr="00AB1E33">
        <w:rPr>
          <w:i/>
        </w:rPr>
        <w:fldChar w:fldCharType="end"/>
      </w:r>
      <w:r w:rsidRPr="00AB1E33">
        <w:rPr>
          <w:i/>
        </w:rPr>
        <w:t xml:space="preserve">, </w:t>
      </w:r>
      <w:r w:rsidRPr="00AB1E33">
        <w:rPr>
          <w:i/>
        </w:rPr>
        <w:fldChar w:fldCharType="begin"/>
      </w:r>
      <w:r w:rsidRPr="00AB1E33">
        <w:rPr>
          <w:i/>
        </w:rPr>
        <w:instrText xml:space="preserve"> REF _Ref448497933 \r \h  \* MERGEFORMAT </w:instrText>
      </w:r>
      <w:r w:rsidRPr="00AB1E33">
        <w:rPr>
          <w:i/>
        </w:rPr>
      </w:r>
      <w:r w:rsidRPr="00AB1E33">
        <w:rPr>
          <w:i/>
        </w:rPr>
        <w:fldChar w:fldCharType="separate"/>
      </w:r>
      <w:r w:rsidR="00F255D7">
        <w:rPr>
          <w:i/>
        </w:rPr>
        <w:t>52</w:t>
      </w:r>
      <w:r w:rsidRPr="00AB1E33">
        <w:rPr>
          <w:i/>
        </w:rPr>
        <w:fldChar w:fldCharType="end"/>
      </w:r>
      <w:r w:rsidRPr="00AB1E33">
        <w:rPr>
          <w:i/>
        </w:rPr>
        <w:t xml:space="preserve">, </w:t>
      </w:r>
      <w:r w:rsidRPr="00AB1E33">
        <w:rPr>
          <w:i/>
        </w:rPr>
        <w:fldChar w:fldCharType="begin"/>
      </w:r>
      <w:r w:rsidRPr="00AB1E33">
        <w:rPr>
          <w:i/>
        </w:rPr>
        <w:instrText xml:space="preserve"> REF _Ref448497898 \r \h  \* MERGEFORMAT </w:instrText>
      </w:r>
      <w:r w:rsidRPr="00AB1E33">
        <w:rPr>
          <w:i/>
        </w:rPr>
      </w:r>
      <w:r w:rsidRPr="00AB1E33">
        <w:rPr>
          <w:i/>
        </w:rPr>
        <w:fldChar w:fldCharType="separate"/>
      </w:r>
      <w:r w:rsidR="00F255D7">
        <w:rPr>
          <w:i/>
        </w:rPr>
        <w:t>60</w:t>
      </w:r>
      <w:r w:rsidRPr="00AB1E33">
        <w:rPr>
          <w:i/>
        </w:rPr>
        <w:fldChar w:fldCharType="end"/>
      </w:r>
      <w:r w:rsidRPr="00AB1E33">
        <w:rPr>
          <w:i/>
        </w:rPr>
        <w:t xml:space="preserve"> y </w:t>
      </w:r>
      <w:r w:rsidRPr="00AB1E33">
        <w:rPr>
          <w:i/>
        </w:rPr>
        <w:fldChar w:fldCharType="begin"/>
      </w:r>
      <w:r w:rsidRPr="00AB1E33">
        <w:rPr>
          <w:i/>
        </w:rPr>
        <w:instrText xml:space="preserve"> REF _Ref448497829 \r \h  \* MERGEFORMAT </w:instrText>
      </w:r>
      <w:r w:rsidRPr="00AB1E33">
        <w:rPr>
          <w:i/>
        </w:rPr>
      </w:r>
      <w:r w:rsidRPr="00AB1E33">
        <w:rPr>
          <w:i/>
        </w:rPr>
        <w:fldChar w:fldCharType="separate"/>
      </w:r>
      <w:r w:rsidR="00F255D7">
        <w:rPr>
          <w:i/>
        </w:rPr>
        <w:t>65</w:t>
      </w:r>
      <w:r w:rsidRPr="00AB1E33">
        <w:rPr>
          <w:i/>
        </w:rPr>
        <w:fldChar w:fldCharType="end"/>
      </w:r>
      <w:r w:rsidRPr="00AB1E33">
        <w:rPr>
          <w:i/>
        </w:rPr>
        <w:t>.</w:t>
      </w:r>
    </w:p>
    <w:p w:rsidR="00CD3778" w:rsidRPr="00AB1E33" w:rsidRDefault="00CD3778" w:rsidP="00CD3778">
      <w:pPr>
        <w:pStyle w:val="ONUMFS"/>
        <w:numPr>
          <w:ilvl w:val="0"/>
          <w:numId w:val="0"/>
        </w:numPr>
        <w:ind w:left="5534"/>
        <w:rPr>
          <w:i/>
        </w:rPr>
      </w:pPr>
    </w:p>
    <w:p w:rsidR="00CD3778" w:rsidRPr="00300EC3" w:rsidRDefault="00CD3778" w:rsidP="00CD3778">
      <w:pPr>
        <w:pStyle w:val="Endofdocument-Annex"/>
        <w:rPr>
          <w:lang w:val="es-ES"/>
        </w:rPr>
      </w:pPr>
      <w:r w:rsidRPr="00AB1E33">
        <w:rPr>
          <w:lang w:val="es-ES"/>
        </w:rPr>
        <w:t>[Fin del documento]</w:t>
      </w:r>
    </w:p>
    <w:p w:rsidR="00CD3778" w:rsidRPr="00300EC3" w:rsidRDefault="00CD3778" w:rsidP="00CD3778"/>
    <w:p w:rsidR="00152CEA" w:rsidRDefault="00152CEA" w:rsidP="00964FE1"/>
    <w:sectPr w:rsidR="00152CEA" w:rsidSect="00964FE1">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6AB" w:rsidRDefault="00EC36AB">
      <w:r>
        <w:separator/>
      </w:r>
    </w:p>
  </w:endnote>
  <w:endnote w:type="continuationSeparator" w:id="0">
    <w:p w:rsidR="00EC36AB" w:rsidRPr="009D30E6" w:rsidRDefault="00EC36AB" w:rsidP="007E663E">
      <w:pPr>
        <w:rPr>
          <w:sz w:val="17"/>
          <w:szCs w:val="17"/>
        </w:rPr>
      </w:pPr>
      <w:r w:rsidRPr="009D30E6">
        <w:rPr>
          <w:sz w:val="17"/>
          <w:szCs w:val="17"/>
        </w:rPr>
        <w:separator/>
      </w:r>
    </w:p>
    <w:p w:rsidR="00EC36AB" w:rsidRPr="007E663E" w:rsidRDefault="00EC36AB" w:rsidP="007E663E">
      <w:pPr>
        <w:spacing w:after="60"/>
        <w:rPr>
          <w:sz w:val="17"/>
          <w:szCs w:val="17"/>
        </w:rPr>
      </w:pPr>
      <w:r>
        <w:rPr>
          <w:sz w:val="17"/>
        </w:rPr>
        <w:t>[Continuación de la nota de la página anterior]</w:t>
      </w:r>
    </w:p>
  </w:endnote>
  <w:endnote w:type="continuationNotice" w:id="1">
    <w:p w:rsidR="00EC36AB" w:rsidRPr="007E663E" w:rsidRDefault="00EC36A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6AB" w:rsidRDefault="00EC36AB">
      <w:r>
        <w:separator/>
      </w:r>
    </w:p>
  </w:footnote>
  <w:footnote w:type="continuationSeparator" w:id="0">
    <w:p w:rsidR="00EC36AB" w:rsidRPr="009D30E6" w:rsidRDefault="00EC36AB" w:rsidP="007E663E">
      <w:pPr>
        <w:rPr>
          <w:sz w:val="17"/>
          <w:szCs w:val="17"/>
        </w:rPr>
      </w:pPr>
      <w:r w:rsidRPr="009D30E6">
        <w:rPr>
          <w:sz w:val="17"/>
          <w:szCs w:val="17"/>
        </w:rPr>
        <w:separator/>
      </w:r>
    </w:p>
    <w:p w:rsidR="00EC36AB" w:rsidRPr="007E663E" w:rsidRDefault="00EC36AB" w:rsidP="007E663E">
      <w:pPr>
        <w:spacing w:after="60"/>
        <w:rPr>
          <w:sz w:val="17"/>
          <w:szCs w:val="17"/>
        </w:rPr>
      </w:pPr>
      <w:r>
        <w:rPr>
          <w:sz w:val="17"/>
        </w:rPr>
        <w:t>[Continuación de la nota de la página anterior]</w:t>
      </w:r>
    </w:p>
  </w:footnote>
  <w:footnote w:type="continuationNotice" w:id="1">
    <w:p w:rsidR="00EC36AB" w:rsidRPr="007E663E" w:rsidRDefault="00EC36A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AB" w:rsidRDefault="00EC36AB" w:rsidP="00477D6B">
    <w:pPr>
      <w:jc w:val="right"/>
    </w:pPr>
    <w:bookmarkStart w:id="15" w:name="Code2"/>
    <w:bookmarkEnd w:id="15"/>
    <w:r>
      <w:t>PCT/WG/9/18</w:t>
    </w:r>
  </w:p>
  <w:p w:rsidR="00EC36AB" w:rsidRDefault="00EC36AB" w:rsidP="00477D6B">
    <w:pPr>
      <w:jc w:val="right"/>
    </w:pPr>
    <w:r>
      <w:t xml:space="preserve">página </w:t>
    </w:r>
    <w:r>
      <w:fldChar w:fldCharType="begin"/>
    </w:r>
    <w:r>
      <w:instrText xml:space="preserve"> PAGE  \* MERGEFORMAT </w:instrText>
    </w:r>
    <w:r>
      <w:fldChar w:fldCharType="separate"/>
    </w:r>
    <w:r w:rsidR="00F255D7">
      <w:rPr>
        <w:noProof/>
      </w:rPr>
      <w:t>10</w:t>
    </w:r>
    <w:r>
      <w:fldChar w:fldCharType="end"/>
    </w:r>
  </w:p>
  <w:p w:rsidR="00EC36AB" w:rsidRDefault="00EC36A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2523342"/>
    <w:multiLevelType w:val="multilevel"/>
    <w:tmpl w:val="590C85BE"/>
    <w:lvl w:ilvl="0">
      <w:start w:val="15"/>
      <w:numFmt w:val="bullet"/>
      <w:lvlText w:val="-"/>
      <w:lvlJc w:val="left"/>
      <w:pPr>
        <w:tabs>
          <w:tab w:val="num" w:pos="567"/>
        </w:tabs>
        <w:ind w:left="0" w:firstLine="0"/>
      </w:pPr>
      <w:rPr>
        <w:rFonts w:ascii="Arial" w:eastAsia="SimSun" w:hAnsi="Arial" w:cs="Arial"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951679A"/>
    <w:multiLevelType w:val="multilevel"/>
    <w:tmpl w:val="AE129E4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7CB48E8"/>
    <w:multiLevelType w:val="multilevel"/>
    <w:tmpl w:val="69A8AAD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A634BFD"/>
    <w:multiLevelType w:val="multilevel"/>
    <w:tmpl w:val="ED1E319A"/>
    <w:lvl w:ilvl="0">
      <w:start w:val="1"/>
      <w:numFmt w:val="bullet"/>
      <w:lvlText w:val=""/>
      <w:lvlJc w:val="left"/>
      <w:pPr>
        <w:tabs>
          <w:tab w:val="num" w:pos="567"/>
        </w:tabs>
        <w:ind w:left="0" w:firstLine="0"/>
      </w:pPr>
      <w:rPr>
        <w:rFonts w:ascii="Symbol" w:hAnsi="Symbol"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4224416"/>
    <w:multiLevelType w:val="hybridMultilevel"/>
    <w:tmpl w:val="71369C08"/>
    <w:lvl w:ilvl="0" w:tplc="1624A8CE">
      <w:start w:val="15"/>
      <w:numFmt w:val="bullet"/>
      <w:lvlText w:val="-"/>
      <w:lvlJc w:val="left"/>
      <w:pPr>
        <w:ind w:left="927" w:hanging="360"/>
      </w:pPr>
      <w:rPr>
        <w:rFonts w:ascii="Arial" w:eastAsia="SimSun" w:hAnsi="Arial" w:cs="Arial"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36436058"/>
    <w:multiLevelType w:val="multilevel"/>
    <w:tmpl w:val="A7D0852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5C6EAE"/>
    <w:multiLevelType w:val="multilevel"/>
    <w:tmpl w:val="AE3E35F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67A748E5"/>
    <w:multiLevelType w:val="multilevel"/>
    <w:tmpl w:val="6C2C3A9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10"/>
  </w:num>
  <w:num w:numId="3">
    <w:abstractNumId w:val="0"/>
  </w:num>
  <w:num w:numId="4">
    <w:abstractNumId w:val="11"/>
  </w:num>
  <w:num w:numId="5">
    <w:abstractNumId w:val="2"/>
  </w:num>
  <w:num w:numId="6">
    <w:abstractNumId w:val="5"/>
  </w:num>
  <w:num w:numId="7">
    <w:abstractNumId w:val="8"/>
  </w:num>
  <w:num w:numId="8">
    <w:abstractNumId w:val="1"/>
  </w:num>
  <w:num w:numId="9">
    <w:abstractNumId w:val="7"/>
  </w:num>
  <w:num w:numId="10">
    <w:abstractNumId w:val="9"/>
  </w:num>
  <w:num w:numId="11">
    <w:abstractNumId w:val="13"/>
  </w:num>
  <w:num w:numId="12">
    <w:abstractNumId w:val="4"/>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FE1"/>
    <w:rsid w:val="000027C8"/>
    <w:rsid w:val="000034A5"/>
    <w:rsid w:val="00010686"/>
    <w:rsid w:val="0003691D"/>
    <w:rsid w:val="000500A3"/>
    <w:rsid w:val="00052915"/>
    <w:rsid w:val="00052AA0"/>
    <w:rsid w:val="00055D5F"/>
    <w:rsid w:val="0006086A"/>
    <w:rsid w:val="000635CA"/>
    <w:rsid w:val="00081700"/>
    <w:rsid w:val="000827EF"/>
    <w:rsid w:val="00084454"/>
    <w:rsid w:val="000974D0"/>
    <w:rsid w:val="00097CA6"/>
    <w:rsid w:val="000A143C"/>
    <w:rsid w:val="000C7E92"/>
    <w:rsid w:val="000E0DF9"/>
    <w:rsid w:val="000E3BB3"/>
    <w:rsid w:val="000F5E56"/>
    <w:rsid w:val="00103F42"/>
    <w:rsid w:val="0011622D"/>
    <w:rsid w:val="00117372"/>
    <w:rsid w:val="001362EE"/>
    <w:rsid w:val="00140E90"/>
    <w:rsid w:val="00144D24"/>
    <w:rsid w:val="00152CEA"/>
    <w:rsid w:val="00154DAF"/>
    <w:rsid w:val="001804DB"/>
    <w:rsid w:val="00181AB7"/>
    <w:rsid w:val="001832A6"/>
    <w:rsid w:val="00187637"/>
    <w:rsid w:val="00187A3D"/>
    <w:rsid w:val="00197D2F"/>
    <w:rsid w:val="001B0BF6"/>
    <w:rsid w:val="001B11B1"/>
    <w:rsid w:val="001B238F"/>
    <w:rsid w:val="001C5E6D"/>
    <w:rsid w:val="001D5BB6"/>
    <w:rsid w:val="001D764B"/>
    <w:rsid w:val="001E0C26"/>
    <w:rsid w:val="001E12B8"/>
    <w:rsid w:val="001E70E6"/>
    <w:rsid w:val="001F0432"/>
    <w:rsid w:val="001F7132"/>
    <w:rsid w:val="001F7342"/>
    <w:rsid w:val="002027B3"/>
    <w:rsid w:val="002037B6"/>
    <w:rsid w:val="002105AD"/>
    <w:rsid w:val="00230CEB"/>
    <w:rsid w:val="002360F7"/>
    <w:rsid w:val="00245595"/>
    <w:rsid w:val="00255647"/>
    <w:rsid w:val="002634C4"/>
    <w:rsid w:val="002742C4"/>
    <w:rsid w:val="0028139B"/>
    <w:rsid w:val="002900CD"/>
    <w:rsid w:val="00295265"/>
    <w:rsid w:val="002A49A0"/>
    <w:rsid w:val="002A6BC3"/>
    <w:rsid w:val="002B4FEA"/>
    <w:rsid w:val="002B5DDA"/>
    <w:rsid w:val="002B7A2C"/>
    <w:rsid w:val="002C1013"/>
    <w:rsid w:val="002C41AD"/>
    <w:rsid w:val="002C689D"/>
    <w:rsid w:val="002D21B8"/>
    <w:rsid w:val="002D678B"/>
    <w:rsid w:val="002E0F47"/>
    <w:rsid w:val="002F4E68"/>
    <w:rsid w:val="003007D6"/>
    <w:rsid w:val="0030603F"/>
    <w:rsid w:val="00315D01"/>
    <w:rsid w:val="003171BD"/>
    <w:rsid w:val="00326792"/>
    <w:rsid w:val="00343252"/>
    <w:rsid w:val="00354647"/>
    <w:rsid w:val="0036785C"/>
    <w:rsid w:val="00370D11"/>
    <w:rsid w:val="0037319C"/>
    <w:rsid w:val="00377048"/>
    <w:rsid w:val="00377273"/>
    <w:rsid w:val="00381A64"/>
    <w:rsid w:val="003845C1"/>
    <w:rsid w:val="00387287"/>
    <w:rsid w:val="00393B11"/>
    <w:rsid w:val="00394C26"/>
    <w:rsid w:val="003B2F77"/>
    <w:rsid w:val="003C06D8"/>
    <w:rsid w:val="003C49E0"/>
    <w:rsid w:val="003D2B60"/>
    <w:rsid w:val="003D3085"/>
    <w:rsid w:val="003D31A0"/>
    <w:rsid w:val="003E48F1"/>
    <w:rsid w:val="003E5241"/>
    <w:rsid w:val="003E62B4"/>
    <w:rsid w:val="003E752B"/>
    <w:rsid w:val="003F347A"/>
    <w:rsid w:val="00404759"/>
    <w:rsid w:val="00406E0F"/>
    <w:rsid w:val="00410132"/>
    <w:rsid w:val="00423E3E"/>
    <w:rsid w:val="00425FCB"/>
    <w:rsid w:val="00427AF4"/>
    <w:rsid w:val="00444D75"/>
    <w:rsid w:val="00445D91"/>
    <w:rsid w:val="00450904"/>
    <w:rsid w:val="00451223"/>
    <w:rsid w:val="0045231F"/>
    <w:rsid w:val="00462027"/>
    <w:rsid w:val="00463B46"/>
    <w:rsid w:val="004647DA"/>
    <w:rsid w:val="00472378"/>
    <w:rsid w:val="00475E1B"/>
    <w:rsid w:val="00477808"/>
    <w:rsid w:val="00477D6B"/>
    <w:rsid w:val="00484B6F"/>
    <w:rsid w:val="00493113"/>
    <w:rsid w:val="00494954"/>
    <w:rsid w:val="00497DD8"/>
    <w:rsid w:val="004A0A6D"/>
    <w:rsid w:val="004A0E9B"/>
    <w:rsid w:val="004A3326"/>
    <w:rsid w:val="004A4B51"/>
    <w:rsid w:val="004A6C37"/>
    <w:rsid w:val="004A7E6A"/>
    <w:rsid w:val="004E1F75"/>
    <w:rsid w:val="004E297D"/>
    <w:rsid w:val="004F186A"/>
    <w:rsid w:val="004F1EA4"/>
    <w:rsid w:val="005014AB"/>
    <w:rsid w:val="0050179F"/>
    <w:rsid w:val="00520424"/>
    <w:rsid w:val="00531DB7"/>
    <w:rsid w:val="005332F0"/>
    <w:rsid w:val="0054265E"/>
    <w:rsid w:val="00543B6E"/>
    <w:rsid w:val="0055013B"/>
    <w:rsid w:val="00553A80"/>
    <w:rsid w:val="00554961"/>
    <w:rsid w:val="00560F4A"/>
    <w:rsid w:val="00564D74"/>
    <w:rsid w:val="0056675F"/>
    <w:rsid w:val="00571B99"/>
    <w:rsid w:val="0057720F"/>
    <w:rsid w:val="005776DF"/>
    <w:rsid w:val="005876F8"/>
    <w:rsid w:val="00591198"/>
    <w:rsid w:val="00597197"/>
    <w:rsid w:val="005A0B6D"/>
    <w:rsid w:val="005A54B2"/>
    <w:rsid w:val="005B497C"/>
    <w:rsid w:val="005C052E"/>
    <w:rsid w:val="005C2D0E"/>
    <w:rsid w:val="005C377D"/>
    <w:rsid w:val="005D256E"/>
    <w:rsid w:val="005E2C60"/>
    <w:rsid w:val="005F49F5"/>
    <w:rsid w:val="00604C8E"/>
    <w:rsid w:val="00605827"/>
    <w:rsid w:val="00620183"/>
    <w:rsid w:val="0062165E"/>
    <w:rsid w:val="0062279D"/>
    <w:rsid w:val="006258E5"/>
    <w:rsid w:val="006275DF"/>
    <w:rsid w:val="00637253"/>
    <w:rsid w:val="00644648"/>
    <w:rsid w:val="00645E3E"/>
    <w:rsid w:val="00651BEB"/>
    <w:rsid w:val="00651C82"/>
    <w:rsid w:val="00653066"/>
    <w:rsid w:val="00661784"/>
    <w:rsid w:val="00675021"/>
    <w:rsid w:val="006765B3"/>
    <w:rsid w:val="00686984"/>
    <w:rsid w:val="0068728F"/>
    <w:rsid w:val="00697403"/>
    <w:rsid w:val="006A06C6"/>
    <w:rsid w:val="006A30AC"/>
    <w:rsid w:val="006A3353"/>
    <w:rsid w:val="006B15F1"/>
    <w:rsid w:val="006B6217"/>
    <w:rsid w:val="006B75E7"/>
    <w:rsid w:val="006C0466"/>
    <w:rsid w:val="006D2FD2"/>
    <w:rsid w:val="006D76C7"/>
    <w:rsid w:val="006E1EDB"/>
    <w:rsid w:val="006E63BD"/>
    <w:rsid w:val="006F0C59"/>
    <w:rsid w:val="006F2C1A"/>
    <w:rsid w:val="0070579B"/>
    <w:rsid w:val="00705F3C"/>
    <w:rsid w:val="00716CEF"/>
    <w:rsid w:val="007224C8"/>
    <w:rsid w:val="0072296D"/>
    <w:rsid w:val="00723C6B"/>
    <w:rsid w:val="007241F5"/>
    <w:rsid w:val="007618BB"/>
    <w:rsid w:val="007719C8"/>
    <w:rsid w:val="007766E8"/>
    <w:rsid w:val="00777CA0"/>
    <w:rsid w:val="00781E91"/>
    <w:rsid w:val="00794BE2"/>
    <w:rsid w:val="007A020D"/>
    <w:rsid w:val="007A19F7"/>
    <w:rsid w:val="007B71FE"/>
    <w:rsid w:val="007C6C49"/>
    <w:rsid w:val="007D781E"/>
    <w:rsid w:val="007E21EE"/>
    <w:rsid w:val="007E663E"/>
    <w:rsid w:val="007F51FA"/>
    <w:rsid w:val="00805F1C"/>
    <w:rsid w:val="00806A89"/>
    <w:rsid w:val="00815082"/>
    <w:rsid w:val="008211D7"/>
    <w:rsid w:val="008244D9"/>
    <w:rsid w:val="00834F24"/>
    <w:rsid w:val="008569E4"/>
    <w:rsid w:val="00876E82"/>
    <w:rsid w:val="0088278D"/>
    <w:rsid w:val="0088395E"/>
    <w:rsid w:val="008864DD"/>
    <w:rsid w:val="00892411"/>
    <w:rsid w:val="0089601F"/>
    <w:rsid w:val="008A349F"/>
    <w:rsid w:val="008A700B"/>
    <w:rsid w:val="008B2CC1"/>
    <w:rsid w:val="008B3633"/>
    <w:rsid w:val="008C0F5D"/>
    <w:rsid w:val="008C21FA"/>
    <w:rsid w:val="008C688F"/>
    <w:rsid w:val="008C7630"/>
    <w:rsid w:val="008E6BD6"/>
    <w:rsid w:val="008F096D"/>
    <w:rsid w:val="008F786C"/>
    <w:rsid w:val="0090198D"/>
    <w:rsid w:val="0090731E"/>
    <w:rsid w:val="00921418"/>
    <w:rsid w:val="00930463"/>
    <w:rsid w:val="009327F4"/>
    <w:rsid w:val="00956052"/>
    <w:rsid w:val="00961A5A"/>
    <w:rsid w:val="00964FE1"/>
    <w:rsid w:val="00966A22"/>
    <w:rsid w:val="00970F46"/>
    <w:rsid w:val="00972F03"/>
    <w:rsid w:val="0097440C"/>
    <w:rsid w:val="00994B0F"/>
    <w:rsid w:val="009A0100"/>
    <w:rsid w:val="009A0C8B"/>
    <w:rsid w:val="009B6241"/>
    <w:rsid w:val="009B72A2"/>
    <w:rsid w:val="009E645B"/>
    <w:rsid w:val="009F09ED"/>
    <w:rsid w:val="009F7723"/>
    <w:rsid w:val="00A16FC0"/>
    <w:rsid w:val="00A229F0"/>
    <w:rsid w:val="00A32C9E"/>
    <w:rsid w:val="00A47EB0"/>
    <w:rsid w:val="00A67F34"/>
    <w:rsid w:val="00A84C1A"/>
    <w:rsid w:val="00A91D79"/>
    <w:rsid w:val="00A9452B"/>
    <w:rsid w:val="00AB46CD"/>
    <w:rsid w:val="00AB613D"/>
    <w:rsid w:val="00AB6D47"/>
    <w:rsid w:val="00AC5DB5"/>
    <w:rsid w:val="00AD12A6"/>
    <w:rsid w:val="00AD56C6"/>
    <w:rsid w:val="00AE44A8"/>
    <w:rsid w:val="00AE7F20"/>
    <w:rsid w:val="00AF32B1"/>
    <w:rsid w:val="00AF5FED"/>
    <w:rsid w:val="00AF6573"/>
    <w:rsid w:val="00AF7943"/>
    <w:rsid w:val="00B168FB"/>
    <w:rsid w:val="00B34902"/>
    <w:rsid w:val="00B42CD5"/>
    <w:rsid w:val="00B530D6"/>
    <w:rsid w:val="00B54A49"/>
    <w:rsid w:val="00B65A0A"/>
    <w:rsid w:val="00B67CDC"/>
    <w:rsid w:val="00B67DF3"/>
    <w:rsid w:val="00B727BD"/>
    <w:rsid w:val="00B72D36"/>
    <w:rsid w:val="00B72EBA"/>
    <w:rsid w:val="00B75C6C"/>
    <w:rsid w:val="00B824E4"/>
    <w:rsid w:val="00BB3B99"/>
    <w:rsid w:val="00BB6C82"/>
    <w:rsid w:val="00BC4164"/>
    <w:rsid w:val="00BD2DCC"/>
    <w:rsid w:val="00BD47D5"/>
    <w:rsid w:val="00BD496E"/>
    <w:rsid w:val="00BD5B50"/>
    <w:rsid w:val="00BF11F0"/>
    <w:rsid w:val="00BF6FBA"/>
    <w:rsid w:val="00BF7AFB"/>
    <w:rsid w:val="00C11BDB"/>
    <w:rsid w:val="00C14B35"/>
    <w:rsid w:val="00C16149"/>
    <w:rsid w:val="00C24AD6"/>
    <w:rsid w:val="00C30634"/>
    <w:rsid w:val="00C44027"/>
    <w:rsid w:val="00C519DF"/>
    <w:rsid w:val="00C67E7F"/>
    <w:rsid w:val="00C7403C"/>
    <w:rsid w:val="00C90559"/>
    <w:rsid w:val="00CA174E"/>
    <w:rsid w:val="00CA2251"/>
    <w:rsid w:val="00CA2EC1"/>
    <w:rsid w:val="00CA7234"/>
    <w:rsid w:val="00CA77BA"/>
    <w:rsid w:val="00CC4ECA"/>
    <w:rsid w:val="00CC62F2"/>
    <w:rsid w:val="00CD107B"/>
    <w:rsid w:val="00CD3778"/>
    <w:rsid w:val="00CE0668"/>
    <w:rsid w:val="00CF2A83"/>
    <w:rsid w:val="00CF62D7"/>
    <w:rsid w:val="00D03E6D"/>
    <w:rsid w:val="00D35C84"/>
    <w:rsid w:val="00D36159"/>
    <w:rsid w:val="00D363C2"/>
    <w:rsid w:val="00D4016B"/>
    <w:rsid w:val="00D40549"/>
    <w:rsid w:val="00D54B22"/>
    <w:rsid w:val="00D56C7C"/>
    <w:rsid w:val="00D56D5E"/>
    <w:rsid w:val="00D71B4D"/>
    <w:rsid w:val="00D73FBE"/>
    <w:rsid w:val="00D8175C"/>
    <w:rsid w:val="00D81AFA"/>
    <w:rsid w:val="00D85017"/>
    <w:rsid w:val="00D900A6"/>
    <w:rsid w:val="00D90289"/>
    <w:rsid w:val="00D913A8"/>
    <w:rsid w:val="00D93D55"/>
    <w:rsid w:val="00DA55B5"/>
    <w:rsid w:val="00DA68B5"/>
    <w:rsid w:val="00DB01EE"/>
    <w:rsid w:val="00DB06B7"/>
    <w:rsid w:val="00DB1D99"/>
    <w:rsid w:val="00DC0C1E"/>
    <w:rsid w:val="00DC0E7E"/>
    <w:rsid w:val="00DC4C60"/>
    <w:rsid w:val="00DC51AF"/>
    <w:rsid w:val="00DD03D4"/>
    <w:rsid w:val="00DF5299"/>
    <w:rsid w:val="00DF65EB"/>
    <w:rsid w:val="00E0079A"/>
    <w:rsid w:val="00E0167E"/>
    <w:rsid w:val="00E0329B"/>
    <w:rsid w:val="00E0488E"/>
    <w:rsid w:val="00E13E1E"/>
    <w:rsid w:val="00E150CF"/>
    <w:rsid w:val="00E324DC"/>
    <w:rsid w:val="00E444DA"/>
    <w:rsid w:val="00E45C84"/>
    <w:rsid w:val="00E504E5"/>
    <w:rsid w:val="00E54833"/>
    <w:rsid w:val="00E607EC"/>
    <w:rsid w:val="00E7515E"/>
    <w:rsid w:val="00E84DC6"/>
    <w:rsid w:val="00E90A3D"/>
    <w:rsid w:val="00E95DDA"/>
    <w:rsid w:val="00EA0B14"/>
    <w:rsid w:val="00EB2D79"/>
    <w:rsid w:val="00EB339A"/>
    <w:rsid w:val="00EB354B"/>
    <w:rsid w:val="00EB50B7"/>
    <w:rsid w:val="00EB7A3E"/>
    <w:rsid w:val="00EC36AB"/>
    <w:rsid w:val="00EC401A"/>
    <w:rsid w:val="00ED301A"/>
    <w:rsid w:val="00ED49DD"/>
    <w:rsid w:val="00EF530A"/>
    <w:rsid w:val="00EF607F"/>
    <w:rsid w:val="00EF6622"/>
    <w:rsid w:val="00F0177C"/>
    <w:rsid w:val="00F037E0"/>
    <w:rsid w:val="00F0447E"/>
    <w:rsid w:val="00F06158"/>
    <w:rsid w:val="00F07A7C"/>
    <w:rsid w:val="00F129F9"/>
    <w:rsid w:val="00F14DBF"/>
    <w:rsid w:val="00F16D2B"/>
    <w:rsid w:val="00F22138"/>
    <w:rsid w:val="00F255D7"/>
    <w:rsid w:val="00F313DA"/>
    <w:rsid w:val="00F32425"/>
    <w:rsid w:val="00F41718"/>
    <w:rsid w:val="00F47ABF"/>
    <w:rsid w:val="00F52090"/>
    <w:rsid w:val="00F55408"/>
    <w:rsid w:val="00F57A49"/>
    <w:rsid w:val="00F66152"/>
    <w:rsid w:val="00F66DDD"/>
    <w:rsid w:val="00F80845"/>
    <w:rsid w:val="00F84474"/>
    <w:rsid w:val="00FA012C"/>
    <w:rsid w:val="00FA0F0D"/>
    <w:rsid w:val="00FA42FE"/>
    <w:rsid w:val="00FA5902"/>
    <w:rsid w:val="00FB34D6"/>
    <w:rsid w:val="00FB4B45"/>
    <w:rsid w:val="00FB5A02"/>
    <w:rsid w:val="00FC3C30"/>
    <w:rsid w:val="00FD09EF"/>
    <w:rsid w:val="00FD59D1"/>
    <w:rsid w:val="00FD5B5F"/>
    <w:rsid w:val="00FE3B47"/>
    <w:rsid w:val="00FE5115"/>
    <w:rsid w:val="00FF45A2"/>
    <w:rsid w:val="00FF4E54"/>
    <w:rsid w:val="00FF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E70E6"/>
    <w:rPr>
      <w:rFonts w:ascii="Tahoma" w:hAnsi="Tahoma" w:cs="Tahoma"/>
      <w:sz w:val="16"/>
      <w:szCs w:val="16"/>
    </w:rPr>
  </w:style>
  <w:style w:type="character" w:customStyle="1" w:styleId="BalloonTextChar">
    <w:name w:val="Balloon Text Char"/>
    <w:basedOn w:val="DefaultParagraphFont"/>
    <w:link w:val="BalloonText"/>
    <w:rsid w:val="001E70E6"/>
    <w:rPr>
      <w:rFonts w:ascii="Tahoma" w:eastAsia="SimSun" w:hAnsi="Tahoma" w:cs="Tahoma"/>
      <w:sz w:val="16"/>
      <w:szCs w:val="16"/>
      <w:lang w:val="es-ES" w:eastAsia="zh-CN"/>
    </w:rPr>
  </w:style>
  <w:style w:type="character" w:customStyle="1" w:styleId="ONUMEChar">
    <w:name w:val="ONUM E Char"/>
    <w:link w:val="ONUME"/>
    <w:locked/>
    <w:rsid w:val="00964FE1"/>
    <w:rPr>
      <w:rFonts w:ascii="Arial" w:eastAsia="SimSun" w:hAnsi="Arial" w:cs="Arial"/>
      <w:sz w:val="22"/>
      <w:lang w:val="es-ES" w:eastAsia="zh-CN"/>
    </w:rPr>
  </w:style>
  <w:style w:type="character" w:styleId="Hyperlink">
    <w:name w:val="Hyperlink"/>
    <w:basedOn w:val="DefaultParagraphFont"/>
    <w:rsid w:val="00964F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E70E6"/>
    <w:rPr>
      <w:rFonts w:ascii="Tahoma" w:hAnsi="Tahoma" w:cs="Tahoma"/>
      <w:sz w:val="16"/>
      <w:szCs w:val="16"/>
    </w:rPr>
  </w:style>
  <w:style w:type="character" w:customStyle="1" w:styleId="BalloonTextChar">
    <w:name w:val="Balloon Text Char"/>
    <w:basedOn w:val="DefaultParagraphFont"/>
    <w:link w:val="BalloonText"/>
    <w:rsid w:val="001E70E6"/>
    <w:rPr>
      <w:rFonts w:ascii="Tahoma" w:eastAsia="SimSun" w:hAnsi="Tahoma" w:cs="Tahoma"/>
      <w:sz w:val="16"/>
      <w:szCs w:val="16"/>
      <w:lang w:val="es-ES" w:eastAsia="zh-CN"/>
    </w:rPr>
  </w:style>
  <w:style w:type="character" w:customStyle="1" w:styleId="ONUMEChar">
    <w:name w:val="ONUM E Char"/>
    <w:link w:val="ONUME"/>
    <w:locked/>
    <w:rsid w:val="00964FE1"/>
    <w:rPr>
      <w:rFonts w:ascii="Arial" w:eastAsia="SimSun" w:hAnsi="Arial" w:cs="Arial"/>
      <w:sz w:val="22"/>
      <w:lang w:val="es-ES" w:eastAsia="zh-CN"/>
    </w:rPr>
  </w:style>
  <w:style w:type="character" w:styleId="Hyperlink">
    <w:name w:val="Hyperlink"/>
    <w:basedOn w:val="DefaultParagraphFont"/>
    <w:rsid w:val="00964F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32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export/sites/www/pct/en/circulars/2016/146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PCT-WG-9 (S)</Template>
  <TotalTime>0</TotalTime>
  <Pages>10</Pages>
  <Words>4695</Words>
  <Characters>26273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PCT/WG/9/18</vt:lpstr>
    </vt:vector>
  </TitlesOfParts>
  <Company>WIPO</Company>
  <LinksUpToDate>false</LinksUpToDate>
  <CharactersWithSpaces>30907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PCT/WG/9/18</dc:title>
  <dc:subject>Training of Examiners</dc:subject>
  <dc:creator>CEVALLOS DUQUE Nilo</dc:creator>
  <cp:lastModifiedBy>MARLOW Thomas</cp:lastModifiedBy>
  <cp:revision>2</cp:revision>
  <cp:lastPrinted>2016-04-28T13:38:00Z</cp:lastPrinted>
  <dcterms:created xsi:type="dcterms:W3CDTF">2016-04-29T09:42:00Z</dcterms:created>
  <dcterms:modified xsi:type="dcterms:W3CDTF">2016-04-29T09:42:00Z</dcterms:modified>
</cp:coreProperties>
</file>