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A8372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A8372B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8372B" w:rsidRDefault="00E0488E" w:rsidP="00AB613D">
            <w:r w:rsidRPr="00A8372B">
              <w:rPr>
                <w:noProof/>
                <w:lang w:val="en-US" w:eastAsia="en-US"/>
              </w:rPr>
              <w:drawing>
                <wp:inline distT="0" distB="0" distL="0" distR="0" wp14:anchorId="0079801F" wp14:editId="5034D6B7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8372B" w:rsidRDefault="00E504E5" w:rsidP="00AB613D">
            <w:pPr>
              <w:jc w:val="right"/>
            </w:pPr>
            <w:r w:rsidRPr="00A8372B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A8372B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8372B" w:rsidRDefault="00E0488E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8372B">
              <w:rPr>
                <w:rFonts w:ascii="Arial Black" w:hAnsi="Arial Black"/>
                <w:caps/>
                <w:sz w:val="15"/>
              </w:rPr>
              <w:t>PCT/WG/9/</w:t>
            </w:r>
            <w:bookmarkStart w:id="0" w:name="Code"/>
            <w:bookmarkEnd w:id="0"/>
            <w:r w:rsidR="001B184B" w:rsidRPr="00A8372B">
              <w:rPr>
                <w:rFonts w:ascii="Arial Black" w:hAnsi="Arial Black"/>
                <w:caps/>
                <w:sz w:val="15"/>
              </w:rPr>
              <w:t>25</w:t>
            </w:r>
          </w:p>
        </w:tc>
      </w:tr>
      <w:tr w:rsidR="008B2CC1" w:rsidRPr="00A8372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8372B" w:rsidRDefault="008B2CC1" w:rsidP="001E70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8372B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EB2AAE">
              <w:rPr>
                <w:rFonts w:ascii="Arial Black" w:hAnsi="Arial Black"/>
                <w:caps/>
                <w:sz w:val="15"/>
              </w:rPr>
              <w:t xml:space="preserve"> </w:t>
            </w:r>
            <w:r w:rsidR="001B184B" w:rsidRPr="00A8372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A8372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8372B" w:rsidRDefault="00675021" w:rsidP="001E70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8372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A8372B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7472BF" w:rsidRPr="00A8372B">
              <w:rPr>
                <w:rFonts w:ascii="Arial Black" w:hAnsi="Arial Black"/>
                <w:caps/>
                <w:sz w:val="15"/>
              </w:rPr>
              <w:t xml:space="preserve"> </w:t>
            </w:r>
            <w:r w:rsidR="001B184B" w:rsidRPr="00A8372B">
              <w:rPr>
                <w:rFonts w:ascii="Arial Black" w:hAnsi="Arial Black"/>
                <w:caps/>
                <w:sz w:val="15"/>
              </w:rPr>
              <w:t>18 DE ABRIL DE 2016</w:t>
            </w:r>
          </w:p>
        </w:tc>
      </w:tr>
    </w:tbl>
    <w:p w:rsidR="008B2CC1" w:rsidRPr="00A8372B" w:rsidRDefault="008B2CC1" w:rsidP="008B2CC1"/>
    <w:p w:rsidR="008B2CC1" w:rsidRPr="00A8372B" w:rsidRDefault="008B2CC1" w:rsidP="008B2CC1"/>
    <w:p w:rsidR="008B2CC1" w:rsidRPr="00A8372B" w:rsidRDefault="008B2CC1" w:rsidP="008B2CC1"/>
    <w:p w:rsidR="008B2CC1" w:rsidRPr="00A8372B" w:rsidRDefault="008B2CC1" w:rsidP="008B2CC1"/>
    <w:p w:rsidR="008B2CC1" w:rsidRPr="00A8372B" w:rsidRDefault="008B2CC1" w:rsidP="008B2CC1"/>
    <w:p w:rsidR="00B67CDC" w:rsidRPr="00A8372B" w:rsidRDefault="00E0488E" w:rsidP="00B67CDC">
      <w:pPr>
        <w:rPr>
          <w:b/>
          <w:sz w:val="28"/>
          <w:szCs w:val="28"/>
        </w:rPr>
      </w:pPr>
      <w:r w:rsidRPr="00A8372B">
        <w:rPr>
          <w:b/>
          <w:sz w:val="28"/>
          <w:szCs w:val="28"/>
        </w:rPr>
        <w:t>Grupo de Trabajo del Tratado de Cooperac</w:t>
      </w:r>
      <w:r w:rsidR="00B67CDC" w:rsidRPr="00A8372B">
        <w:rPr>
          <w:b/>
          <w:sz w:val="28"/>
          <w:szCs w:val="28"/>
        </w:rPr>
        <w:t xml:space="preserve">ión </w:t>
      </w:r>
      <w:r w:rsidRPr="00A8372B">
        <w:rPr>
          <w:b/>
          <w:sz w:val="28"/>
          <w:szCs w:val="28"/>
        </w:rPr>
        <w:t>en materia de Patentes (PCT)</w:t>
      </w:r>
    </w:p>
    <w:p w:rsidR="003845C1" w:rsidRPr="00A8372B" w:rsidRDefault="003845C1" w:rsidP="003845C1"/>
    <w:p w:rsidR="003845C1" w:rsidRPr="00A8372B" w:rsidRDefault="003845C1" w:rsidP="003845C1"/>
    <w:p w:rsidR="00B67CDC" w:rsidRPr="00A8372B" w:rsidRDefault="00E0488E" w:rsidP="00B67CDC">
      <w:pPr>
        <w:rPr>
          <w:b/>
          <w:sz w:val="24"/>
          <w:szCs w:val="24"/>
        </w:rPr>
      </w:pPr>
      <w:r w:rsidRPr="00A8372B">
        <w:rPr>
          <w:b/>
          <w:sz w:val="24"/>
          <w:szCs w:val="24"/>
        </w:rPr>
        <w:t>Novena reun</w:t>
      </w:r>
      <w:r w:rsidR="00B67CDC" w:rsidRPr="00A8372B">
        <w:rPr>
          <w:b/>
          <w:sz w:val="24"/>
          <w:szCs w:val="24"/>
        </w:rPr>
        <w:t>ión</w:t>
      </w:r>
    </w:p>
    <w:p w:rsidR="00B67CDC" w:rsidRPr="00A8372B" w:rsidRDefault="00E0488E" w:rsidP="00B67CDC">
      <w:pPr>
        <w:rPr>
          <w:b/>
          <w:sz w:val="24"/>
          <w:szCs w:val="24"/>
        </w:rPr>
      </w:pPr>
      <w:r w:rsidRPr="00A8372B">
        <w:rPr>
          <w:b/>
          <w:sz w:val="24"/>
          <w:szCs w:val="24"/>
        </w:rPr>
        <w:t>Ginebra, 17 a 20 de mayo de 2016</w:t>
      </w:r>
    </w:p>
    <w:p w:rsidR="008B2CC1" w:rsidRPr="00A8372B" w:rsidRDefault="008B2CC1" w:rsidP="008B2CC1"/>
    <w:p w:rsidR="008B2CC1" w:rsidRPr="00A8372B" w:rsidRDefault="008B2CC1" w:rsidP="008B2CC1"/>
    <w:p w:rsidR="008B2CC1" w:rsidRPr="00A8372B" w:rsidRDefault="008B2CC1" w:rsidP="008B2CC1"/>
    <w:p w:rsidR="008B569F" w:rsidRPr="00A8372B" w:rsidRDefault="008B569F" w:rsidP="001B184B">
      <w:pPr>
        <w:rPr>
          <w:caps/>
          <w:sz w:val="24"/>
        </w:rPr>
      </w:pPr>
      <w:bookmarkStart w:id="3" w:name="TitleOfDoc"/>
      <w:bookmarkEnd w:id="3"/>
      <w:r w:rsidRPr="00A8372B">
        <w:rPr>
          <w:caps/>
          <w:sz w:val="24"/>
        </w:rPr>
        <w:t xml:space="preserve">propuesta sobre la política de tasas del PCT para estimular la presentación de solicitudes de patente por parte de las </w:t>
      </w:r>
      <w:r w:rsidR="00EB2AAE" w:rsidRPr="00A8372B">
        <w:rPr>
          <w:caps/>
          <w:sz w:val="24"/>
        </w:rPr>
        <w:t>UNIVERSIDADES</w:t>
      </w:r>
      <w:r w:rsidRPr="00A8372B">
        <w:rPr>
          <w:caps/>
          <w:sz w:val="24"/>
        </w:rPr>
        <w:t xml:space="preserve"> y las </w:t>
      </w:r>
      <w:r w:rsidR="00672BF3">
        <w:rPr>
          <w:caps/>
          <w:sz w:val="24"/>
        </w:rPr>
        <w:t>instituciones públicas de investigación</w:t>
      </w:r>
      <w:r w:rsidRPr="00A8372B">
        <w:rPr>
          <w:caps/>
          <w:sz w:val="24"/>
        </w:rPr>
        <w:t xml:space="preserve"> de determinados países, en especial países en desarrollo y países menos adelantados</w:t>
      </w:r>
    </w:p>
    <w:p w:rsidR="001B184B" w:rsidRPr="00A8372B" w:rsidRDefault="001B184B" w:rsidP="001B184B"/>
    <w:p w:rsidR="001B184B" w:rsidRPr="00A8372B" w:rsidRDefault="008B569F" w:rsidP="001B184B">
      <w:pPr>
        <w:rPr>
          <w:i/>
        </w:rPr>
      </w:pPr>
      <w:bookmarkStart w:id="4" w:name="Prepared"/>
      <w:bookmarkEnd w:id="4"/>
      <w:r w:rsidRPr="00A8372B">
        <w:rPr>
          <w:i/>
        </w:rPr>
        <w:t>Documento presentado por el</w:t>
      </w:r>
      <w:r w:rsidR="001B184B" w:rsidRPr="00A8372B">
        <w:rPr>
          <w:i/>
        </w:rPr>
        <w:t xml:space="preserve"> Bra</w:t>
      </w:r>
      <w:r w:rsidRPr="00A8372B">
        <w:rPr>
          <w:i/>
        </w:rPr>
        <w:t>s</w:t>
      </w:r>
      <w:r w:rsidR="001B184B" w:rsidRPr="00A8372B">
        <w:rPr>
          <w:i/>
        </w:rPr>
        <w:t>il</w:t>
      </w:r>
    </w:p>
    <w:p w:rsidR="001B184B" w:rsidRPr="00A8372B" w:rsidRDefault="001B184B" w:rsidP="001B184B"/>
    <w:p w:rsidR="001B184B" w:rsidRPr="00A8372B" w:rsidRDefault="001B184B" w:rsidP="001B184B"/>
    <w:p w:rsidR="001B184B" w:rsidRPr="00A8372B" w:rsidRDefault="001B184B" w:rsidP="001B184B"/>
    <w:p w:rsidR="001B184B" w:rsidRPr="00A8372B" w:rsidRDefault="001B184B" w:rsidP="001B184B"/>
    <w:p w:rsidR="001B184B" w:rsidRPr="00A8372B" w:rsidRDefault="008B569F" w:rsidP="001B184B">
      <w:pPr>
        <w:pStyle w:val="Heading1"/>
      </w:pPr>
      <w:r w:rsidRPr="00A8372B">
        <w:t>resumen</w:t>
      </w:r>
    </w:p>
    <w:p w:rsidR="005F4DB7" w:rsidRPr="00A8372B" w:rsidRDefault="008B569F" w:rsidP="0074540D">
      <w:pPr>
        <w:pStyle w:val="ONUMFS"/>
      </w:pPr>
      <w:r w:rsidRPr="00A8372B">
        <w:t xml:space="preserve">Se invita al Grupo de Trabajo a debatir y aprobar una reducción de las tasas del PCT del 50% </w:t>
      </w:r>
      <w:r w:rsidR="005F4DB7" w:rsidRPr="00A8372B">
        <w:t xml:space="preserve">para las universidades y las </w:t>
      </w:r>
      <w:r w:rsidR="00672BF3">
        <w:t>instituciones públicas de investigación</w:t>
      </w:r>
      <w:r w:rsidR="00672BF3" w:rsidRPr="00A8372B">
        <w:t xml:space="preserve"> </w:t>
      </w:r>
      <w:r w:rsidR="005F4DB7" w:rsidRPr="00A8372B">
        <w:t xml:space="preserve">de determinados países, en especial países en desarrollo y países menos adelantados.  El objetivo de la propuesta es:  i) estimular el uso del Sistema del PCT por parte de las universidades y las </w:t>
      </w:r>
      <w:r w:rsidR="00672BF3">
        <w:t>instituciones públicas de investigación</w:t>
      </w:r>
      <w:r w:rsidR="005F4DB7" w:rsidRPr="00A8372B">
        <w:t xml:space="preserve"> y ii) aumentar la diversidad de la composición geográfica de la demanda de protección por patente y de las actividades de presentación de solicitudes internacionales.</w:t>
      </w:r>
    </w:p>
    <w:p w:rsidR="001B184B" w:rsidRPr="00A8372B" w:rsidRDefault="005F4DB7" w:rsidP="0074540D">
      <w:pPr>
        <w:pStyle w:val="Heading1"/>
      </w:pPr>
      <w:r w:rsidRPr="00A8372B">
        <w:t>antecedentes</w:t>
      </w:r>
    </w:p>
    <w:p w:rsidR="005F4DB7" w:rsidRPr="00A8372B" w:rsidRDefault="005F4DB7" w:rsidP="0074540D">
      <w:pPr>
        <w:pStyle w:val="ONUMFS"/>
      </w:pPr>
      <w:r w:rsidRPr="00A8372B">
        <w:t xml:space="preserve">En la séptima reunión del Grupo de Trabajo, celebrada en 2014, la Oficina Internacional presentó un estudio titulado “Estimación de la elasticidad de las tasas del PCT” (documento PCT/WG/7/6), </w:t>
      </w:r>
      <w:r w:rsidR="000771A0" w:rsidRPr="00A8372B">
        <w:t>en el que se calcula</w:t>
      </w:r>
      <w:r w:rsidR="00A43A0F">
        <w:t>ba</w:t>
      </w:r>
      <w:r w:rsidR="000771A0" w:rsidRPr="00A8372B">
        <w:t xml:space="preserve"> por primera vez la elasticidad </w:t>
      </w:r>
      <w:r w:rsidR="00672BF3">
        <w:t xml:space="preserve">general </w:t>
      </w:r>
      <w:r w:rsidR="000771A0" w:rsidRPr="00A8372B">
        <w:t>de la</w:t>
      </w:r>
      <w:r w:rsidR="00A43A0F">
        <w:t>s</w:t>
      </w:r>
      <w:r w:rsidR="000771A0" w:rsidRPr="00A8372B">
        <w:t xml:space="preserve"> tasa</w:t>
      </w:r>
      <w:r w:rsidR="00A43A0F">
        <w:t>s</w:t>
      </w:r>
      <w:r w:rsidR="000771A0" w:rsidRPr="00A8372B">
        <w:t xml:space="preserve"> de presentación de solicitudes PCT, es decir, </w:t>
      </w:r>
      <w:r w:rsidR="006356E1">
        <w:t>la manera en que</w:t>
      </w:r>
      <w:r w:rsidR="000771A0" w:rsidRPr="00A8372B">
        <w:t xml:space="preserve"> la decisión del solicitante de si ha de </w:t>
      </w:r>
      <w:r w:rsidR="00F2491C" w:rsidRPr="00A8372B">
        <w:t>recurrir a</w:t>
      </w:r>
      <w:r w:rsidR="000771A0" w:rsidRPr="00A8372B">
        <w:t xml:space="preserve">l PCT o </w:t>
      </w:r>
      <w:r w:rsidR="00F2491C" w:rsidRPr="00A8372B">
        <w:t xml:space="preserve">a </w:t>
      </w:r>
      <w:r w:rsidR="000771A0" w:rsidRPr="00A8372B">
        <w:t>la vía de París para presentar solicitud</w:t>
      </w:r>
      <w:r w:rsidR="006356E1">
        <w:t>es</w:t>
      </w:r>
      <w:r w:rsidR="000771A0" w:rsidRPr="00A8372B">
        <w:t xml:space="preserve"> de patente en el extranjero se ve afectada por l</w:t>
      </w:r>
      <w:r w:rsidR="00A43A0F">
        <w:t>os</w:t>
      </w:r>
      <w:r w:rsidR="000771A0" w:rsidRPr="00A8372B">
        <w:t xml:space="preserve"> cambio</w:t>
      </w:r>
      <w:r w:rsidR="00A43A0F">
        <w:t>s</w:t>
      </w:r>
      <w:r w:rsidR="000771A0" w:rsidRPr="00A8372B">
        <w:t xml:space="preserve"> e</w:t>
      </w:r>
      <w:r w:rsidR="00A43A0F">
        <w:t>n</w:t>
      </w:r>
      <w:r w:rsidR="000771A0" w:rsidRPr="00A8372B">
        <w:t xml:space="preserve"> la tasa de presentación internacional.</w:t>
      </w:r>
      <w:r w:rsidR="00F2491C" w:rsidRPr="00A8372B">
        <w:t xml:space="preserve">  </w:t>
      </w:r>
      <w:r w:rsidR="00A43A0F">
        <w:t>En el estudio se i</w:t>
      </w:r>
      <w:r w:rsidR="00F2491C" w:rsidRPr="00A8372B">
        <w:t>ndica</w:t>
      </w:r>
      <w:r w:rsidR="00A43A0F">
        <w:t>ba</w:t>
      </w:r>
      <w:r w:rsidR="00F2491C" w:rsidRPr="00A8372B">
        <w:t xml:space="preserve"> que </w:t>
      </w:r>
      <w:r w:rsidR="00BE0B6D" w:rsidRPr="00A8372B">
        <w:t>el precio</w:t>
      </w:r>
      <w:r w:rsidR="00BE0B6D">
        <w:t xml:space="preserve"> influía más </w:t>
      </w:r>
      <w:r w:rsidR="006356E1">
        <w:t>en</w:t>
      </w:r>
      <w:r w:rsidR="00F2491C" w:rsidRPr="00A8372B">
        <w:t xml:space="preserve"> las universidades e </w:t>
      </w:r>
      <w:r w:rsidR="00672BF3">
        <w:t>instituciones públicas de investigación</w:t>
      </w:r>
      <w:r w:rsidR="00A43A0F">
        <w:t xml:space="preserve"> </w:t>
      </w:r>
      <w:r w:rsidR="00672BF3">
        <w:t xml:space="preserve">que </w:t>
      </w:r>
      <w:r w:rsidR="006356E1">
        <w:t>en</w:t>
      </w:r>
      <w:r w:rsidR="00672BF3">
        <w:t xml:space="preserve"> otros solicitantes</w:t>
      </w:r>
      <w:r w:rsidR="00F2491C" w:rsidRPr="00A8372B">
        <w:t>.</w:t>
      </w:r>
    </w:p>
    <w:p w:rsidR="00F2491C" w:rsidRPr="00A8372B" w:rsidRDefault="00F2491C" w:rsidP="006557A5">
      <w:pPr>
        <w:pStyle w:val="ONUMFS"/>
      </w:pPr>
      <w:r w:rsidRPr="00A8372B">
        <w:lastRenderedPageBreak/>
        <w:t xml:space="preserve">En la octava reunión del Grupo de Trabajo, que se celebró en 2015, la Oficina Internacional confirmó que </w:t>
      </w:r>
      <w:r w:rsidR="006356E1" w:rsidRPr="00A8372B">
        <w:t xml:space="preserve">los precios </w:t>
      </w:r>
      <w:r w:rsidR="006356E1">
        <w:t xml:space="preserve">influían </w:t>
      </w:r>
      <w:r w:rsidR="006356E1" w:rsidRPr="00A8372B">
        <w:t xml:space="preserve">en mayor medida </w:t>
      </w:r>
      <w:r w:rsidR="006356E1">
        <w:t>en</w:t>
      </w:r>
      <w:r w:rsidRPr="00A8372B">
        <w:t xml:space="preserve"> </w:t>
      </w:r>
      <w:r w:rsidR="006356E1">
        <w:t xml:space="preserve">el volumen de presentación de solicitudes de </w:t>
      </w:r>
      <w:r w:rsidRPr="00A8372B">
        <w:t xml:space="preserve">las universidades e </w:t>
      </w:r>
      <w:r w:rsidR="00672BF3">
        <w:t>instituciones públicas de investigación</w:t>
      </w:r>
      <w:r w:rsidRPr="00A8372B">
        <w:t xml:space="preserve"> de países en desarrollo (véase el documento PCT/WG/8/11).  La Secretaría calculó que una reducción de la tasa del 50% daría lugar a la presentación de 139 solicitudes más al año </w:t>
      </w:r>
      <w:r w:rsidR="00672BF3">
        <w:t>y a</w:t>
      </w:r>
      <w:r w:rsidRPr="00A8372B">
        <w:t xml:space="preserve"> un descenso de los ingresos de 1.058 millones de </w:t>
      </w:r>
      <w:r w:rsidR="00921978" w:rsidRPr="00A8372B">
        <w:t>francos</w:t>
      </w:r>
      <w:r w:rsidRPr="00A8372B">
        <w:t xml:space="preserve"> suizos (véase </w:t>
      </w:r>
      <w:r w:rsidR="00921978" w:rsidRPr="00A8372B">
        <w:t>el Cuadro 4 del documento PCT/WG/8/11</w:t>
      </w:r>
      <w:r w:rsidRPr="00A8372B">
        <w:t>)</w:t>
      </w:r>
      <w:r w:rsidR="00921978" w:rsidRPr="00A8372B">
        <w:t>.</w:t>
      </w:r>
    </w:p>
    <w:p w:rsidR="00F82CBF" w:rsidRPr="00A8372B" w:rsidRDefault="00921978" w:rsidP="0074540D">
      <w:pPr>
        <w:pStyle w:val="ONUMFS"/>
      </w:pPr>
      <w:r w:rsidRPr="00A8372B">
        <w:t xml:space="preserve">El Presidente, en su resumen, </w:t>
      </w:r>
      <w:r w:rsidR="00F82CBF" w:rsidRPr="00A8372B">
        <w:t>declaró que “varias delegaciones son partidarias de reducir las tasas del PCT en el caso de las universidades e instituciones públicas de investigación […]. En cualquier caso, sin un aumento importante del número de solicitudes presentadas, la reducción daría lugar a una pérdida de ingresos para la OMPI.</w:t>
      </w:r>
      <w:r w:rsidR="00672BF3">
        <w:t xml:space="preserve"> </w:t>
      </w:r>
      <w:r w:rsidR="00F82CBF" w:rsidRPr="00A8372B">
        <w:t xml:space="preserve"> Por lo tanto, la cuestión tiene que considerarse de manera global, teniendo en cuenta igualmente el problema de la compensación de las pérdidas.</w:t>
      </w:r>
      <w:r w:rsidR="00672BF3">
        <w:t xml:space="preserve"> </w:t>
      </w:r>
      <w:r w:rsidR="00F82CBF" w:rsidRPr="00A8372B">
        <w:t xml:space="preserve"> El Presidente invitó a los Estados miembros a presentar propuestas en este sentido para que sean examinadas en una futura reunión del Grupo de Trabajo” (véase el párrafo 19 del documento PCT/WG/8/25).</w:t>
      </w:r>
    </w:p>
    <w:p w:rsidR="00F82CBF" w:rsidRPr="00A8372B" w:rsidRDefault="00F82CBF" w:rsidP="0074540D">
      <w:pPr>
        <w:pStyle w:val="ONUMFS"/>
      </w:pPr>
      <w:r w:rsidRPr="00A8372B">
        <w:t xml:space="preserve">Durante la vigésima cuarta </w:t>
      </w:r>
      <w:r w:rsidR="006356E1">
        <w:t>sesión</w:t>
      </w:r>
      <w:r w:rsidRPr="00A8372B">
        <w:t xml:space="preserve"> del Comité del Programa y Presupuesto, celebrada en septiembre de 2015, la Secretaría informó</w:t>
      </w:r>
      <w:r w:rsidR="00EC718D" w:rsidRPr="00A8372B">
        <w:t xml:space="preserve"> a</w:t>
      </w:r>
      <w:r w:rsidRPr="00A8372B">
        <w:t xml:space="preserve"> los miembros de </w:t>
      </w:r>
      <w:r w:rsidR="00EC718D" w:rsidRPr="00A8372B">
        <w:t>que un descuento hipotético del 50</w:t>
      </w:r>
      <w:r w:rsidR="00672BF3">
        <w:t>%</w:t>
      </w:r>
      <w:r w:rsidR="00EC718D" w:rsidRPr="00A8372B">
        <w:t xml:space="preserve"> en las tasas para los solicitantes de universidades de países en desarrollo y países desarrollados supondría dejar de percibir ingresos por un total de 1,02 millones de francos suizos, en relación con el primer grupo de países, y de 6,92 millones de francos suizos, en relación con el segundo, en 2016, y dejar de percibir ingresos por un total de 1,05 millones de francos suizos, en relación con el primer grupo de países, y de 7,08 millones de francos suizos, en relación con el segundo, en 2017 (véase </w:t>
      </w:r>
      <w:r w:rsidR="006356E1">
        <w:t xml:space="preserve">la respuesta </w:t>
      </w:r>
      <w:r w:rsidR="00EC718D" w:rsidRPr="00A8372B">
        <w:t xml:space="preserve">28, </w:t>
      </w:r>
      <w:r w:rsidR="006356E1">
        <w:t xml:space="preserve">que figura en la </w:t>
      </w:r>
      <w:r w:rsidR="00EC718D" w:rsidRPr="00A8372B">
        <w:t>pág</w:t>
      </w:r>
      <w:r w:rsidR="006356E1">
        <w:t>ina</w:t>
      </w:r>
      <w:r w:rsidR="00EC718D" w:rsidRPr="00A8372B">
        <w:t> 16 del documento WO/PBC/24/Q</w:t>
      </w:r>
      <w:r w:rsidR="00672BF3">
        <w:t> </w:t>
      </w:r>
      <w:r w:rsidR="00EC718D" w:rsidRPr="00A8372B">
        <w:t>&amp;</w:t>
      </w:r>
      <w:r w:rsidR="00672BF3">
        <w:t> </w:t>
      </w:r>
      <w:r w:rsidR="00EC718D" w:rsidRPr="00A8372B">
        <w:t>A).</w:t>
      </w:r>
    </w:p>
    <w:p w:rsidR="00EC718D" w:rsidRPr="00A8372B" w:rsidRDefault="00EC718D" w:rsidP="0074540D">
      <w:pPr>
        <w:pStyle w:val="ONUMFS"/>
      </w:pPr>
      <w:r w:rsidRPr="00A8372B">
        <w:t xml:space="preserve">En febrero de 2016, el Director General anunció un superávit de 80 millones de francos </w:t>
      </w:r>
      <w:r w:rsidR="009963B0" w:rsidRPr="00A8372B">
        <w:t xml:space="preserve">suizos a favor de la OMPI </w:t>
      </w:r>
      <w:r w:rsidRPr="00A8372B">
        <w:t>en el bienio 2014/15.</w:t>
      </w:r>
    </w:p>
    <w:p w:rsidR="009963B0" w:rsidRPr="00A8372B" w:rsidRDefault="009963B0" w:rsidP="0074540D">
      <w:pPr>
        <w:pStyle w:val="ONUMFS"/>
      </w:pPr>
      <w:r w:rsidRPr="00A8372B">
        <w:t xml:space="preserve">Dada la situación, la posible pérdida de ingresos en el bienio 2016/17 representaría una pequeña fracción del superávit previsto con efectos concretos y positivos en la presentación de solicitudes por parte de las universidades y las </w:t>
      </w:r>
      <w:r w:rsidR="00672BF3">
        <w:t>instituciones públicas de investigación</w:t>
      </w:r>
      <w:r w:rsidRPr="00A8372B">
        <w:t>.</w:t>
      </w:r>
    </w:p>
    <w:p w:rsidR="001B184B" w:rsidRPr="00A8372B" w:rsidRDefault="009963B0" w:rsidP="006557A5">
      <w:pPr>
        <w:pStyle w:val="Heading1"/>
        <w:keepNext w:val="0"/>
      </w:pPr>
      <w:r w:rsidRPr="00A8372B">
        <w:t>propuesta</w:t>
      </w:r>
    </w:p>
    <w:p w:rsidR="009963B0" w:rsidRPr="00A8372B" w:rsidRDefault="003D500A" w:rsidP="0074540D">
      <w:pPr>
        <w:pStyle w:val="ONUMFS"/>
      </w:pPr>
      <w:r w:rsidRPr="00A8372B">
        <w:t>Atendiendo a la</w:t>
      </w:r>
      <w:r w:rsidR="009963B0" w:rsidRPr="00A8372B">
        <w:t xml:space="preserve"> invitaci</w:t>
      </w:r>
      <w:r w:rsidRPr="00A8372B">
        <w:t xml:space="preserve">ón que formuló </w:t>
      </w:r>
      <w:r w:rsidR="00672BF3" w:rsidRPr="00A8372B">
        <w:t xml:space="preserve">el Presidente </w:t>
      </w:r>
      <w:r w:rsidRPr="00A8372B">
        <w:t xml:space="preserve">en la octava reunión del Grupo de Trabajo de presentar propuestas </w:t>
      </w:r>
      <w:r w:rsidR="00672BF3">
        <w:t xml:space="preserve">para abordar el problema de los </w:t>
      </w:r>
      <w:r w:rsidRPr="00A8372B">
        <w:t xml:space="preserve">ingresos </w:t>
      </w:r>
      <w:r w:rsidR="00672BF3">
        <w:t>que se deja</w:t>
      </w:r>
      <w:r w:rsidR="00212D40">
        <w:t>ría</w:t>
      </w:r>
      <w:r w:rsidR="00672BF3">
        <w:t xml:space="preserve"> de </w:t>
      </w:r>
      <w:r w:rsidR="006356E1">
        <w:t>percibir</w:t>
      </w:r>
      <w:r w:rsidR="00672BF3">
        <w:t xml:space="preserve"> a consecuencia de</w:t>
      </w:r>
      <w:r w:rsidRPr="00A8372B">
        <w:t xml:space="preserve"> la nueva política de tasas (véase el párrafo 4 del presente documento)</w:t>
      </w:r>
      <w:r w:rsidR="009963B0" w:rsidRPr="00A8372B">
        <w:t xml:space="preserve">, </w:t>
      </w:r>
      <w:r w:rsidRPr="00A8372B">
        <w:t xml:space="preserve">proponemos un enfoque </w:t>
      </w:r>
      <w:r w:rsidR="006356E1">
        <w:t>secuencial</w:t>
      </w:r>
      <w:r w:rsidRPr="00A8372B">
        <w:t>.</w:t>
      </w:r>
    </w:p>
    <w:p w:rsidR="003D500A" w:rsidRPr="00A8372B" w:rsidRDefault="003D500A" w:rsidP="0074540D">
      <w:pPr>
        <w:pStyle w:val="ONUMFS"/>
      </w:pPr>
      <w:r w:rsidRPr="00A8372B">
        <w:t xml:space="preserve">En la primera fase, </w:t>
      </w:r>
      <w:r w:rsidR="0081279F">
        <w:t>se aprobará</w:t>
      </w:r>
      <w:r w:rsidRPr="00A8372B">
        <w:t xml:space="preserve"> una reducción de tasas de al menos un 50% para universidades e </w:t>
      </w:r>
      <w:r w:rsidR="00672BF3">
        <w:t>instituciones públicas de investigación</w:t>
      </w:r>
      <w:r w:rsidRPr="00A8372B">
        <w:t xml:space="preserve"> de determinados países, en especial países en desarrollo y países menos adelantados, aprovechando los criterios en función de los países que se </w:t>
      </w:r>
      <w:r w:rsidR="00672BF3">
        <w:t>aplica</w:t>
      </w:r>
      <w:r w:rsidRPr="00A8372B">
        <w:t xml:space="preserve">n actualmente en la reducción de tasas.  </w:t>
      </w:r>
      <w:r w:rsidR="00672BF3">
        <w:t>En esta fase, el impacto económico es relativamente reducido si se compara con una reducción horizontal para todos los Estados miembros.</w:t>
      </w:r>
    </w:p>
    <w:p w:rsidR="007F1A2E" w:rsidRPr="00A8372B" w:rsidRDefault="007F1A2E" w:rsidP="0074540D">
      <w:pPr>
        <w:pStyle w:val="ONUMFS"/>
      </w:pPr>
      <w:r w:rsidRPr="00A8372B">
        <w:t xml:space="preserve">En </w:t>
      </w:r>
      <w:r w:rsidR="00672BF3">
        <w:t>un</w:t>
      </w:r>
      <w:r w:rsidRPr="00A8372B">
        <w:t>a segunda fase</w:t>
      </w:r>
      <w:r w:rsidR="00431016">
        <w:t xml:space="preserve">, </w:t>
      </w:r>
      <w:r w:rsidR="0081279F">
        <w:t>los Estados miembros evaluarán</w:t>
      </w:r>
      <w:r w:rsidR="00431016" w:rsidRPr="00A8372B">
        <w:t xml:space="preserve">, </w:t>
      </w:r>
      <w:r w:rsidR="00431016">
        <w:t>en</w:t>
      </w:r>
      <w:r w:rsidR="00431016" w:rsidRPr="00A8372B">
        <w:t xml:space="preserve"> una reunión del Grupo de Trabajo, </w:t>
      </w:r>
      <w:r w:rsidRPr="00A8372B">
        <w:t xml:space="preserve">los resultados de la nueva política de tasas para incrementar </w:t>
      </w:r>
      <w:r w:rsidR="00A912A1">
        <w:t xml:space="preserve">el número de </w:t>
      </w:r>
      <w:r w:rsidRPr="00A8372B">
        <w:t xml:space="preserve">solicitudes </w:t>
      </w:r>
      <w:r w:rsidR="00A912A1">
        <w:t xml:space="preserve">presentadas </w:t>
      </w:r>
      <w:r w:rsidRPr="00A8372B">
        <w:t xml:space="preserve">por las universidades y las </w:t>
      </w:r>
      <w:r w:rsidR="00672BF3">
        <w:t>instituciones públicas de investigación</w:t>
      </w:r>
      <w:r w:rsidRPr="00A8372B">
        <w:t xml:space="preserve"> de p</w:t>
      </w:r>
      <w:r w:rsidR="0081279F">
        <w:t>aíses en desarrollo, y decidirá</w:t>
      </w:r>
      <w:r w:rsidRPr="00A8372B">
        <w:t xml:space="preserve">n si conviene aumentar la reducción de la tasa o ampliarla a las universidades y las </w:t>
      </w:r>
      <w:r w:rsidR="00672BF3">
        <w:t>instituciones públicas</w:t>
      </w:r>
      <w:bookmarkStart w:id="5" w:name="_GoBack"/>
      <w:bookmarkEnd w:id="5"/>
      <w:r w:rsidR="00672BF3">
        <w:t xml:space="preserve"> de investigación</w:t>
      </w:r>
      <w:r w:rsidRPr="00A8372B">
        <w:t xml:space="preserve"> de los países desarrollados.</w:t>
      </w:r>
    </w:p>
    <w:p w:rsidR="007F1A2E" w:rsidRPr="00A8372B" w:rsidRDefault="007F1A2E" w:rsidP="006557A5">
      <w:pPr>
        <w:pStyle w:val="ONUMFS"/>
        <w:keepNext/>
        <w:keepLines/>
        <w:ind w:left="5529"/>
      </w:pPr>
      <w:r w:rsidRPr="00A8372B">
        <w:lastRenderedPageBreak/>
        <w:t>Se invita al Grupo de Trabajo a examinar la propuesta que se expone en el presente documento.</w:t>
      </w:r>
    </w:p>
    <w:p w:rsidR="001B184B" w:rsidRPr="00A8372B" w:rsidRDefault="001B184B" w:rsidP="006557A5">
      <w:pPr>
        <w:pStyle w:val="ONUMFS"/>
        <w:keepNext/>
        <w:keepLines/>
        <w:numPr>
          <w:ilvl w:val="0"/>
          <w:numId w:val="0"/>
        </w:numPr>
      </w:pPr>
    </w:p>
    <w:p w:rsidR="00152CEA" w:rsidRPr="00A8372B" w:rsidRDefault="001B184B" w:rsidP="006557A5">
      <w:pPr>
        <w:pStyle w:val="Endofdocument-Annex"/>
        <w:keepNext/>
        <w:keepLines/>
        <w:rPr>
          <w:lang w:val="es-ES"/>
        </w:rPr>
      </w:pPr>
      <w:r w:rsidRPr="00A8372B">
        <w:rPr>
          <w:lang w:val="es-ES"/>
        </w:rPr>
        <w:t>[</w:t>
      </w:r>
      <w:r w:rsidR="007F1A2E" w:rsidRPr="00A8372B">
        <w:rPr>
          <w:lang w:val="es-ES"/>
        </w:rPr>
        <w:t>Fin del documento</w:t>
      </w:r>
      <w:r w:rsidRPr="00A8372B">
        <w:rPr>
          <w:lang w:val="es-ES"/>
        </w:rPr>
        <w:t>]</w:t>
      </w:r>
    </w:p>
    <w:sectPr w:rsidR="00152CEA" w:rsidRPr="00A8372B" w:rsidSect="00EB2AAE">
      <w:headerReference w:type="default" r:id="rId9"/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4B" w:rsidRDefault="001B184B">
      <w:r>
        <w:separator/>
      </w:r>
    </w:p>
  </w:endnote>
  <w:endnote w:type="continuationSeparator" w:id="0">
    <w:p w:rsidR="001B184B" w:rsidRPr="009D30E6" w:rsidRDefault="001B184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B184B" w:rsidRPr="007E663E" w:rsidRDefault="001B184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B184B" w:rsidRPr="007E663E" w:rsidRDefault="001B184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4B" w:rsidRDefault="001B184B">
      <w:r>
        <w:separator/>
      </w:r>
    </w:p>
  </w:footnote>
  <w:footnote w:type="continuationSeparator" w:id="0">
    <w:p w:rsidR="001B184B" w:rsidRPr="009D30E6" w:rsidRDefault="001B184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B184B" w:rsidRPr="007E663E" w:rsidRDefault="001B184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B184B" w:rsidRPr="007E663E" w:rsidRDefault="001B184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1B184B" w:rsidP="00477D6B">
    <w:pPr>
      <w:jc w:val="right"/>
    </w:pPr>
    <w:bookmarkStart w:id="6" w:name="Code2"/>
    <w:bookmarkEnd w:id="6"/>
    <w:r>
      <w:t>PCT/WG/9/25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426411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4B"/>
    <w:rsid w:val="00010686"/>
    <w:rsid w:val="00052915"/>
    <w:rsid w:val="000771A0"/>
    <w:rsid w:val="000E3BB3"/>
    <w:rsid w:val="000F5E56"/>
    <w:rsid w:val="000F68C4"/>
    <w:rsid w:val="001362EE"/>
    <w:rsid w:val="00152CEA"/>
    <w:rsid w:val="001832A6"/>
    <w:rsid w:val="001B184B"/>
    <w:rsid w:val="001E70E6"/>
    <w:rsid w:val="00212D40"/>
    <w:rsid w:val="002634C4"/>
    <w:rsid w:val="002E0F47"/>
    <w:rsid w:val="002F4E68"/>
    <w:rsid w:val="00354647"/>
    <w:rsid w:val="00377273"/>
    <w:rsid w:val="003845C1"/>
    <w:rsid w:val="00387287"/>
    <w:rsid w:val="003D500A"/>
    <w:rsid w:val="003E48F1"/>
    <w:rsid w:val="003F347A"/>
    <w:rsid w:val="00423E3E"/>
    <w:rsid w:val="00426411"/>
    <w:rsid w:val="00427AF4"/>
    <w:rsid w:val="00431016"/>
    <w:rsid w:val="0045231F"/>
    <w:rsid w:val="004647DA"/>
    <w:rsid w:val="00477808"/>
    <w:rsid w:val="00477D6B"/>
    <w:rsid w:val="004A6C37"/>
    <w:rsid w:val="004E297D"/>
    <w:rsid w:val="005332F0"/>
    <w:rsid w:val="0055013B"/>
    <w:rsid w:val="00571B99"/>
    <w:rsid w:val="005F4DB7"/>
    <w:rsid w:val="00605827"/>
    <w:rsid w:val="006356E1"/>
    <w:rsid w:val="006557A5"/>
    <w:rsid w:val="00672BF3"/>
    <w:rsid w:val="00675021"/>
    <w:rsid w:val="006A06C6"/>
    <w:rsid w:val="007224C8"/>
    <w:rsid w:val="0074540D"/>
    <w:rsid w:val="007472BF"/>
    <w:rsid w:val="00794BE2"/>
    <w:rsid w:val="007B71FE"/>
    <w:rsid w:val="007D781E"/>
    <w:rsid w:val="007E663E"/>
    <w:rsid w:val="007F1A2E"/>
    <w:rsid w:val="008023B6"/>
    <w:rsid w:val="0081279F"/>
    <w:rsid w:val="00815082"/>
    <w:rsid w:val="0088395E"/>
    <w:rsid w:val="008B2CC1"/>
    <w:rsid w:val="008B569F"/>
    <w:rsid w:val="008E6BD6"/>
    <w:rsid w:val="0090731E"/>
    <w:rsid w:val="00921978"/>
    <w:rsid w:val="00966A22"/>
    <w:rsid w:val="00972F03"/>
    <w:rsid w:val="009963B0"/>
    <w:rsid w:val="009A0C8B"/>
    <w:rsid w:val="009B6241"/>
    <w:rsid w:val="00A16FC0"/>
    <w:rsid w:val="00A32C9E"/>
    <w:rsid w:val="00A43A0F"/>
    <w:rsid w:val="00A8372B"/>
    <w:rsid w:val="00A912A1"/>
    <w:rsid w:val="00AB613D"/>
    <w:rsid w:val="00AE7F20"/>
    <w:rsid w:val="00B65A0A"/>
    <w:rsid w:val="00B67CDC"/>
    <w:rsid w:val="00B72D36"/>
    <w:rsid w:val="00BC4164"/>
    <w:rsid w:val="00BD2DCC"/>
    <w:rsid w:val="00BE0B6D"/>
    <w:rsid w:val="00C90559"/>
    <w:rsid w:val="00C95BFE"/>
    <w:rsid w:val="00CA2251"/>
    <w:rsid w:val="00D56C7C"/>
    <w:rsid w:val="00D71B4D"/>
    <w:rsid w:val="00D90289"/>
    <w:rsid w:val="00D93D55"/>
    <w:rsid w:val="00DC4C60"/>
    <w:rsid w:val="00E0079A"/>
    <w:rsid w:val="00E0488E"/>
    <w:rsid w:val="00E444DA"/>
    <w:rsid w:val="00E45C84"/>
    <w:rsid w:val="00E504E5"/>
    <w:rsid w:val="00EB2AAE"/>
    <w:rsid w:val="00EB7A3E"/>
    <w:rsid w:val="00EC401A"/>
    <w:rsid w:val="00EC718D"/>
    <w:rsid w:val="00EF530A"/>
    <w:rsid w:val="00EF6622"/>
    <w:rsid w:val="00F2491C"/>
    <w:rsid w:val="00F55408"/>
    <w:rsid w:val="00F66152"/>
    <w:rsid w:val="00F80845"/>
    <w:rsid w:val="00F82CBF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E7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0E6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E7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0E6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PCT-WG-9 (S)</Template>
  <TotalTime>2</TotalTime>
  <Pages>3</Pages>
  <Words>896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PCT/WG/9/25</vt:lpstr>
    </vt:vector>
  </TitlesOfParts>
  <Company>WIPO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PCT/WG/9/25</dc:title>
  <dc:subject>Proposal on PCT Fee Policy to Stimulate Patent Filing by Universities and Public Funded Research Institutions from Certain Countries, Notably Developing and Least Developed Countries</dc:subject>
  <dc:creator>MARLOW Thomas</dc:creator>
  <dc:description>EC - 22.4.2016
JC (QC) - 22.4.2016</dc:description>
  <cp:lastModifiedBy>MARLOW Thomas</cp:lastModifiedBy>
  <cp:revision>2</cp:revision>
  <cp:lastPrinted>2016-04-22T12:44:00Z</cp:lastPrinted>
  <dcterms:created xsi:type="dcterms:W3CDTF">2016-04-22T14:07:00Z</dcterms:created>
  <dcterms:modified xsi:type="dcterms:W3CDTF">2016-04-22T14:07:00Z</dcterms:modified>
</cp:coreProperties>
</file>