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B765A6" w:rsidRPr="00B765A6" w:rsidTr="0088395E">
        <w:tc>
          <w:tcPr>
            <w:tcW w:w="4513" w:type="dxa"/>
            <w:tcBorders>
              <w:bottom w:val="single" w:sz="4" w:space="0" w:color="auto"/>
            </w:tcBorders>
            <w:tcMar>
              <w:bottom w:w="170" w:type="dxa"/>
            </w:tcMar>
          </w:tcPr>
          <w:p w:rsidR="00E504E5" w:rsidRPr="00B765A6" w:rsidRDefault="00E504E5" w:rsidP="00AB613D"/>
        </w:tc>
        <w:tc>
          <w:tcPr>
            <w:tcW w:w="4337" w:type="dxa"/>
            <w:tcBorders>
              <w:bottom w:val="single" w:sz="4" w:space="0" w:color="auto"/>
            </w:tcBorders>
            <w:tcMar>
              <w:left w:w="0" w:type="dxa"/>
              <w:right w:w="0" w:type="dxa"/>
            </w:tcMar>
          </w:tcPr>
          <w:p w:rsidR="00E504E5" w:rsidRPr="00B765A6" w:rsidRDefault="00E0488E" w:rsidP="00AB613D">
            <w:r w:rsidRPr="00B765A6">
              <w:rPr>
                <w:noProof/>
                <w:lang w:val="en-US" w:eastAsia="en-US"/>
              </w:rPr>
              <w:drawing>
                <wp:inline distT="0" distB="0" distL="0" distR="0" wp14:anchorId="5F9BFB27" wp14:editId="7DFEFF2A">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B765A6" w:rsidRDefault="00E504E5" w:rsidP="00AB613D">
            <w:pPr>
              <w:jc w:val="right"/>
            </w:pPr>
            <w:r w:rsidRPr="00B765A6">
              <w:rPr>
                <w:b/>
                <w:sz w:val="40"/>
                <w:szCs w:val="40"/>
              </w:rPr>
              <w:t>S</w:t>
            </w:r>
          </w:p>
        </w:tc>
      </w:tr>
      <w:tr w:rsidR="00B765A6" w:rsidRPr="00B765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B765A6" w:rsidRDefault="00E0488E" w:rsidP="00AB613D">
            <w:pPr>
              <w:jc w:val="right"/>
              <w:rPr>
                <w:rFonts w:ascii="Arial Black" w:hAnsi="Arial Black"/>
                <w:caps/>
                <w:sz w:val="15"/>
              </w:rPr>
            </w:pPr>
            <w:r w:rsidRPr="00B765A6">
              <w:rPr>
                <w:rFonts w:ascii="Arial Black" w:hAnsi="Arial Black"/>
                <w:caps/>
                <w:sz w:val="15"/>
              </w:rPr>
              <w:t>PCT/WG/9/</w:t>
            </w:r>
            <w:bookmarkStart w:id="0" w:name="Code"/>
            <w:bookmarkEnd w:id="0"/>
            <w:r w:rsidR="009E2B1E" w:rsidRPr="00B765A6">
              <w:rPr>
                <w:rFonts w:ascii="Arial Black" w:hAnsi="Arial Black"/>
                <w:caps/>
                <w:sz w:val="15"/>
              </w:rPr>
              <w:t>4</w:t>
            </w:r>
          </w:p>
        </w:tc>
      </w:tr>
      <w:tr w:rsidR="00B765A6" w:rsidRPr="00B765A6" w:rsidTr="00AB613D">
        <w:trPr>
          <w:trHeight w:hRule="exact" w:val="170"/>
        </w:trPr>
        <w:tc>
          <w:tcPr>
            <w:tcW w:w="9356" w:type="dxa"/>
            <w:gridSpan w:val="3"/>
            <w:noWrap/>
            <w:tcMar>
              <w:left w:w="0" w:type="dxa"/>
              <w:right w:w="0" w:type="dxa"/>
            </w:tcMar>
            <w:vAlign w:val="bottom"/>
          </w:tcPr>
          <w:p w:rsidR="008B2CC1" w:rsidRPr="00B765A6" w:rsidRDefault="008B2CC1" w:rsidP="001E70E6">
            <w:pPr>
              <w:jc w:val="right"/>
              <w:rPr>
                <w:rFonts w:ascii="Arial Black" w:hAnsi="Arial Black"/>
                <w:caps/>
                <w:sz w:val="15"/>
              </w:rPr>
            </w:pPr>
            <w:r w:rsidRPr="00B765A6">
              <w:rPr>
                <w:rFonts w:ascii="Arial Black" w:hAnsi="Arial Black"/>
                <w:caps/>
                <w:sz w:val="15"/>
              </w:rPr>
              <w:t xml:space="preserve">ORIGINAL: </w:t>
            </w:r>
            <w:bookmarkStart w:id="1" w:name="Original"/>
            <w:bookmarkEnd w:id="1"/>
            <w:r w:rsidR="009E2B1E" w:rsidRPr="00B765A6">
              <w:rPr>
                <w:rFonts w:ascii="Arial Black" w:hAnsi="Arial Black"/>
                <w:caps/>
                <w:sz w:val="15"/>
              </w:rPr>
              <w:t>INGLÉS</w:t>
            </w:r>
          </w:p>
        </w:tc>
      </w:tr>
      <w:tr w:rsidR="008B2CC1" w:rsidRPr="00B765A6" w:rsidTr="00AB613D">
        <w:trPr>
          <w:trHeight w:hRule="exact" w:val="198"/>
        </w:trPr>
        <w:tc>
          <w:tcPr>
            <w:tcW w:w="9356" w:type="dxa"/>
            <w:gridSpan w:val="3"/>
            <w:tcMar>
              <w:left w:w="0" w:type="dxa"/>
              <w:right w:w="0" w:type="dxa"/>
            </w:tcMar>
            <w:vAlign w:val="bottom"/>
          </w:tcPr>
          <w:p w:rsidR="008B2CC1" w:rsidRPr="00B765A6" w:rsidRDefault="00675021" w:rsidP="001E70E6">
            <w:pPr>
              <w:jc w:val="right"/>
              <w:rPr>
                <w:rFonts w:ascii="Arial Black" w:hAnsi="Arial Black"/>
                <w:caps/>
                <w:sz w:val="15"/>
              </w:rPr>
            </w:pPr>
            <w:r w:rsidRPr="00B765A6">
              <w:rPr>
                <w:rFonts w:ascii="Arial Black" w:hAnsi="Arial Black"/>
                <w:caps/>
                <w:sz w:val="15"/>
              </w:rPr>
              <w:t>fecha</w:t>
            </w:r>
            <w:r w:rsidR="008B2CC1" w:rsidRPr="00B765A6">
              <w:rPr>
                <w:rFonts w:ascii="Arial Black" w:hAnsi="Arial Black"/>
                <w:caps/>
                <w:sz w:val="15"/>
              </w:rPr>
              <w:t xml:space="preserve">: </w:t>
            </w:r>
            <w:bookmarkStart w:id="2" w:name="Date"/>
            <w:bookmarkEnd w:id="2"/>
            <w:r w:rsidR="009E2B1E" w:rsidRPr="00B765A6">
              <w:rPr>
                <w:rFonts w:ascii="Arial Black" w:hAnsi="Arial Black"/>
                <w:caps/>
                <w:sz w:val="15"/>
              </w:rPr>
              <w:t>17 DE FEBRERO DE 2016</w:t>
            </w:r>
          </w:p>
        </w:tc>
      </w:tr>
    </w:tbl>
    <w:p w:rsidR="008B2CC1" w:rsidRPr="00B765A6" w:rsidRDefault="008B2CC1" w:rsidP="008B2CC1"/>
    <w:p w:rsidR="008B2CC1" w:rsidRPr="00B765A6" w:rsidRDefault="008B2CC1" w:rsidP="008B2CC1"/>
    <w:p w:rsidR="008B2CC1" w:rsidRPr="00B765A6" w:rsidRDefault="008B2CC1" w:rsidP="008B2CC1"/>
    <w:p w:rsidR="008B2CC1" w:rsidRPr="00B765A6" w:rsidRDefault="008B2CC1" w:rsidP="008B2CC1"/>
    <w:p w:rsidR="008B2CC1" w:rsidRPr="00B765A6" w:rsidRDefault="008B2CC1" w:rsidP="008B2CC1"/>
    <w:p w:rsidR="00B67CDC" w:rsidRPr="00B765A6" w:rsidRDefault="00E0488E" w:rsidP="00B67CDC">
      <w:pPr>
        <w:rPr>
          <w:b/>
          <w:sz w:val="28"/>
          <w:szCs w:val="28"/>
        </w:rPr>
      </w:pPr>
      <w:r w:rsidRPr="00B765A6">
        <w:rPr>
          <w:b/>
          <w:sz w:val="28"/>
          <w:szCs w:val="28"/>
        </w:rPr>
        <w:t>Grupo de Trabajo del Tratado de Cooperac</w:t>
      </w:r>
      <w:r w:rsidR="00B67CDC" w:rsidRPr="00B765A6">
        <w:rPr>
          <w:b/>
          <w:sz w:val="28"/>
          <w:szCs w:val="28"/>
        </w:rPr>
        <w:t xml:space="preserve">ión </w:t>
      </w:r>
      <w:r w:rsidRPr="00B765A6">
        <w:rPr>
          <w:b/>
          <w:sz w:val="28"/>
          <w:szCs w:val="28"/>
        </w:rPr>
        <w:t>en materia de Patentes (PCT)</w:t>
      </w:r>
    </w:p>
    <w:p w:rsidR="003845C1" w:rsidRPr="00B765A6" w:rsidRDefault="003845C1" w:rsidP="003845C1"/>
    <w:p w:rsidR="003845C1" w:rsidRPr="00B765A6" w:rsidRDefault="003845C1" w:rsidP="003845C1"/>
    <w:p w:rsidR="00B67CDC" w:rsidRPr="00B765A6" w:rsidRDefault="00E0488E" w:rsidP="00B67CDC">
      <w:pPr>
        <w:rPr>
          <w:b/>
          <w:sz w:val="24"/>
          <w:szCs w:val="24"/>
        </w:rPr>
      </w:pPr>
      <w:r w:rsidRPr="00B765A6">
        <w:rPr>
          <w:b/>
          <w:sz w:val="24"/>
          <w:szCs w:val="24"/>
        </w:rPr>
        <w:t>Novena reun</w:t>
      </w:r>
      <w:r w:rsidR="00B67CDC" w:rsidRPr="00B765A6">
        <w:rPr>
          <w:b/>
          <w:sz w:val="24"/>
          <w:szCs w:val="24"/>
        </w:rPr>
        <w:t>ión</w:t>
      </w:r>
    </w:p>
    <w:p w:rsidR="00B67CDC" w:rsidRPr="00B765A6" w:rsidRDefault="00E0488E" w:rsidP="00B67CDC">
      <w:pPr>
        <w:rPr>
          <w:b/>
          <w:sz w:val="24"/>
          <w:szCs w:val="24"/>
        </w:rPr>
      </w:pPr>
      <w:r w:rsidRPr="00B765A6">
        <w:rPr>
          <w:b/>
          <w:sz w:val="24"/>
          <w:szCs w:val="24"/>
        </w:rPr>
        <w:t>Ginebra, 17 a 20 de mayo de 2016</w:t>
      </w:r>
    </w:p>
    <w:p w:rsidR="008B2CC1" w:rsidRPr="00B765A6" w:rsidRDefault="008B2CC1" w:rsidP="008B2CC1"/>
    <w:p w:rsidR="008B2CC1" w:rsidRPr="00B765A6" w:rsidRDefault="008B2CC1" w:rsidP="008B2CC1"/>
    <w:p w:rsidR="008B2CC1" w:rsidRPr="00B765A6" w:rsidRDefault="008B2CC1" w:rsidP="008B2CC1"/>
    <w:p w:rsidR="009E2B1E" w:rsidRPr="00B765A6" w:rsidRDefault="00391519" w:rsidP="009E2B1E">
      <w:pPr>
        <w:rPr>
          <w:caps/>
          <w:sz w:val="24"/>
        </w:rPr>
      </w:pPr>
      <w:bookmarkStart w:id="3" w:name="TitleOfDoc"/>
      <w:bookmarkEnd w:id="3"/>
      <w:r w:rsidRPr="00B765A6">
        <w:rPr>
          <w:caps/>
          <w:sz w:val="24"/>
        </w:rPr>
        <w:t>reutilización eficaz de los resultados de la búsqueda y el examen más allá de los informes internacionales</w:t>
      </w:r>
      <w:r w:rsidR="009E2B1E" w:rsidRPr="00B765A6">
        <w:rPr>
          <w:caps/>
          <w:sz w:val="24"/>
        </w:rPr>
        <w:t>:  Utiliza</w:t>
      </w:r>
      <w:r w:rsidR="005E6E7A" w:rsidRPr="00B765A6">
        <w:rPr>
          <w:caps/>
          <w:sz w:val="24"/>
        </w:rPr>
        <w:t xml:space="preserve">ción de la plataforma </w:t>
      </w:r>
      <w:r w:rsidRPr="00B765A6">
        <w:rPr>
          <w:caps/>
          <w:sz w:val="24"/>
        </w:rPr>
        <w:t xml:space="preserve">de la ompi de acceso centralizado a los resultados de la búsqueda y el examen, </w:t>
      </w:r>
      <w:r w:rsidR="009E2B1E" w:rsidRPr="00B765A6">
        <w:rPr>
          <w:caps/>
          <w:sz w:val="24"/>
        </w:rPr>
        <w:t xml:space="preserve">WIPO CASE </w:t>
      </w:r>
    </w:p>
    <w:p w:rsidR="009E2B1E" w:rsidRPr="00B765A6" w:rsidRDefault="009E2B1E" w:rsidP="009E2B1E"/>
    <w:p w:rsidR="009E2B1E" w:rsidRPr="00B765A6" w:rsidRDefault="009E2B1E" w:rsidP="009E2B1E">
      <w:pPr>
        <w:rPr>
          <w:i/>
        </w:rPr>
      </w:pPr>
      <w:bookmarkStart w:id="4" w:name="Prepared"/>
      <w:bookmarkEnd w:id="4"/>
      <w:r w:rsidRPr="00B765A6">
        <w:rPr>
          <w:i/>
          <w:lang w:val="es-ES_tradnl"/>
        </w:rPr>
        <w:t>Documento preparado por la Oficina Internacional</w:t>
      </w:r>
    </w:p>
    <w:p w:rsidR="009E2B1E" w:rsidRPr="00B765A6" w:rsidRDefault="009E2B1E" w:rsidP="009E2B1E"/>
    <w:p w:rsidR="009E2B1E" w:rsidRPr="00B765A6" w:rsidRDefault="009E2B1E" w:rsidP="009E2B1E"/>
    <w:p w:rsidR="009E2B1E" w:rsidRPr="00B765A6" w:rsidRDefault="009E2B1E" w:rsidP="009E2B1E"/>
    <w:p w:rsidR="009E2B1E" w:rsidRPr="00B765A6" w:rsidRDefault="009E2B1E" w:rsidP="009E2B1E"/>
    <w:p w:rsidR="009E2B1E" w:rsidRPr="00B765A6" w:rsidRDefault="009E2B1E" w:rsidP="00126251">
      <w:pPr>
        <w:pStyle w:val="Heading1"/>
      </w:pPr>
      <w:r w:rsidRPr="00B765A6">
        <w:rPr>
          <w:lang w:val="es-ES_tradnl"/>
        </w:rPr>
        <w:t>RESUMEN</w:t>
      </w:r>
    </w:p>
    <w:p w:rsidR="009E2B1E" w:rsidRPr="00B765A6" w:rsidRDefault="006A0FBF" w:rsidP="006A0FBF">
      <w:pPr>
        <w:pStyle w:val="ONUME"/>
      </w:pPr>
      <w:r w:rsidRPr="00B765A6">
        <w:t xml:space="preserve">La Oficina Internacional invita a las Oficinas de todos los Estados miembros del PCT </w:t>
      </w:r>
      <w:r w:rsidR="002E7A80" w:rsidRPr="00B765A6">
        <w:t xml:space="preserve">y demás </w:t>
      </w:r>
      <w:r w:rsidRPr="00B765A6">
        <w:t xml:space="preserve">organizaciones intergubernamentales </w:t>
      </w:r>
      <w:r w:rsidR="002D1879" w:rsidRPr="00B765A6">
        <w:t>que actúa</w:t>
      </w:r>
      <w:r w:rsidRPr="00B765A6">
        <w:t xml:space="preserve">n </w:t>
      </w:r>
      <w:r w:rsidR="00567908" w:rsidRPr="00B765A6">
        <w:t>en el marco del</w:t>
      </w:r>
      <w:r w:rsidR="009E2B1E" w:rsidRPr="00B765A6">
        <w:t xml:space="preserve"> PCT (</w:t>
      </w:r>
      <w:r w:rsidR="00567908" w:rsidRPr="00B765A6">
        <w:t xml:space="preserve">incluidas </w:t>
      </w:r>
      <w:r w:rsidRPr="00B765A6">
        <w:t xml:space="preserve">las Oficinas </w:t>
      </w:r>
      <w:r w:rsidR="00567908" w:rsidRPr="00B765A6">
        <w:t>que actú</w:t>
      </w:r>
      <w:r w:rsidR="002D1879" w:rsidRPr="00B765A6">
        <w:t>a</w:t>
      </w:r>
      <w:r w:rsidR="00567908" w:rsidRPr="00B765A6">
        <w:t xml:space="preserve">n </w:t>
      </w:r>
      <w:r w:rsidRPr="00B765A6">
        <w:t>en calidad de Administraciones encargadas de la búsqueda internacional y del examen preliminar internacional</w:t>
      </w:r>
      <w:r w:rsidR="00567908" w:rsidRPr="00B765A6">
        <w:t xml:space="preserve">, </w:t>
      </w:r>
      <w:r w:rsidR="002E7A80" w:rsidRPr="00B765A6">
        <w:t>y/</w:t>
      </w:r>
      <w:r w:rsidR="00567908" w:rsidRPr="00B765A6">
        <w:t>o en calidad de</w:t>
      </w:r>
      <w:r w:rsidRPr="00B765A6">
        <w:t xml:space="preserve"> Oficina</w:t>
      </w:r>
      <w:r w:rsidR="002D1879" w:rsidRPr="00B765A6">
        <w:t>s</w:t>
      </w:r>
      <w:r w:rsidRPr="00B765A6">
        <w:t xml:space="preserve"> designada</w:t>
      </w:r>
      <w:r w:rsidR="002D1879" w:rsidRPr="00B765A6">
        <w:t>s</w:t>
      </w:r>
      <w:r w:rsidRPr="00B765A6">
        <w:t>/elegida</w:t>
      </w:r>
      <w:r w:rsidR="002D1879" w:rsidRPr="00B765A6">
        <w:t>s</w:t>
      </w:r>
      <w:r w:rsidR="00567908" w:rsidRPr="00B765A6">
        <w:t xml:space="preserve"> en el marco del PCT</w:t>
      </w:r>
      <w:r w:rsidRPr="00B765A6">
        <w:t xml:space="preserve">, </w:t>
      </w:r>
      <w:r w:rsidR="002D1879" w:rsidRPr="00B765A6">
        <w:t xml:space="preserve">así como </w:t>
      </w:r>
      <w:r w:rsidR="00AF4FD4" w:rsidRPr="00B765A6">
        <w:t>las</w:t>
      </w:r>
      <w:r w:rsidR="002D1879" w:rsidRPr="00B765A6">
        <w:t xml:space="preserve"> </w:t>
      </w:r>
      <w:r w:rsidR="00567908" w:rsidRPr="00B765A6">
        <w:t>Oficina</w:t>
      </w:r>
      <w:r w:rsidR="002D1879" w:rsidRPr="00B765A6">
        <w:t>s</w:t>
      </w:r>
      <w:r w:rsidR="00567908" w:rsidRPr="00B765A6">
        <w:t xml:space="preserve"> que reali</w:t>
      </w:r>
      <w:r w:rsidR="002D1879" w:rsidRPr="00B765A6">
        <w:t xml:space="preserve">zan </w:t>
      </w:r>
      <w:r w:rsidR="00567908" w:rsidRPr="00B765A6">
        <w:t xml:space="preserve">la búsqueda y el examen de solicitudes de patente </w:t>
      </w:r>
      <w:r w:rsidR="0004298F" w:rsidRPr="00B765A6">
        <w:t xml:space="preserve">con arreglo a su </w:t>
      </w:r>
      <w:r w:rsidR="006C70C6" w:rsidRPr="00B765A6">
        <w:t>legislación</w:t>
      </w:r>
      <w:r w:rsidR="0004298F" w:rsidRPr="00B765A6">
        <w:t xml:space="preserve"> nacional) a que aprovechen la plataforma </w:t>
      </w:r>
      <w:r w:rsidR="002D1879" w:rsidRPr="00B765A6">
        <w:t xml:space="preserve">WIPO CASE, tanto para proporcionar información </w:t>
      </w:r>
      <w:r w:rsidR="006C70C6" w:rsidRPr="00B765A6">
        <w:t xml:space="preserve">como para acceder a ella en relación con </w:t>
      </w:r>
      <w:r w:rsidR="002D1879" w:rsidRPr="00B765A6">
        <w:t xml:space="preserve">la búsqueda y el examen de las solicitudes nacionales e internacionales (en la fase internacional </w:t>
      </w:r>
      <w:r w:rsidR="006C70C6" w:rsidRPr="00B765A6">
        <w:t xml:space="preserve">y </w:t>
      </w:r>
      <w:r w:rsidR="002D1879" w:rsidRPr="00B765A6">
        <w:t>en la fase nacional del procedimiento) y de las solicitudes de familias de patentes</w:t>
      </w:r>
      <w:r w:rsidR="006C70C6" w:rsidRPr="00B765A6">
        <w:t xml:space="preserve"> conexas</w:t>
      </w:r>
      <w:r w:rsidR="002D1879" w:rsidRPr="00B765A6">
        <w:t>.</w:t>
      </w:r>
    </w:p>
    <w:p w:rsidR="009E2B1E" w:rsidRPr="00B765A6" w:rsidRDefault="009E2B1E" w:rsidP="009E2B1E">
      <w:pPr>
        <w:pStyle w:val="Heading1"/>
      </w:pPr>
      <w:r w:rsidRPr="00B765A6">
        <w:t>antecedentes</w:t>
      </w:r>
    </w:p>
    <w:p w:rsidR="009E2B1E" w:rsidRPr="00B765A6" w:rsidRDefault="00E24E8D" w:rsidP="009E2B1E">
      <w:pPr>
        <w:pStyle w:val="ONUME"/>
      </w:pPr>
      <w:bookmarkStart w:id="5" w:name="_Ref377712795"/>
      <w:r w:rsidRPr="00B765A6">
        <w:t>El sistema de la Organización Mundial de la Propiedad Intelectual de acceso centralizado a los resultados de la búsqueda y el examen</w:t>
      </w:r>
      <w:r w:rsidR="00176D91" w:rsidRPr="00B765A6">
        <w:t>,</w:t>
      </w:r>
      <w:r w:rsidRPr="00B765A6">
        <w:t xml:space="preserve"> </w:t>
      </w:r>
      <w:r w:rsidR="00176D91" w:rsidRPr="00B765A6">
        <w:t>WIPO CASE</w:t>
      </w:r>
      <w:r w:rsidR="00D22475" w:rsidRPr="00B765A6">
        <w:t xml:space="preserve"> (por sus siglas en inglés)</w:t>
      </w:r>
      <w:r w:rsidR="00176D91" w:rsidRPr="00B765A6">
        <w:t xml:space="preserve">, </w:t>
      </w:r>
      <w:r w:rsidRPr="00B765A6">
        <w:t xml:space="preserve">es una plataforma que la Oficina Internacional de la OMPI ofrece gratuitamente y </w:t>
      </w:r>
      <w:r w:rsidR="00176D91" w:rsidRPr="00B765A6">
        <w:t xml:space="preserve">que permite </w:t>
      </w:r>
      <w:r w:rsidRPr="00B765A6">
        <w:t>a las Oficinas de P.I. participantes</w:t>
      </w:r>
      <w:r w:rsidR="00176D91" w:rsidRPr="00B765A6">
        <w:t xml:space="preserve"> </w:t>
      </w:r>
      <w:r w:rsidR="001A1006" w:rsidRPr="00B765A6">
        <w:t>compartir</w:t>
      </w:r>
      <w:r w:rsidR="00176D91" w:rsidRPr="00B765A6">
        <w:t xml:space="preserve"> la información contenida en sus expedientes relativa a los resultados de la búsqueda y el examen de patentes de las solicitudes tramitadas ante dichas Oficinas</w:t>
      </w:r>
      <w:r w:rsidR="009E2B1E" w:rsidRPr="00B765A6">
        <w:t>.</w:t>
      </w:r>
    </w:p>
    <w:p w:rsidR="009E2B1E" w:rsidRPr="00B765A6" w:rsidRDefault="0005296D" w:rsidP="009E2B1E">
      <w:pPr>
        <w:pStyle w:val="ONUME"/>
        <w:keepNext/>
        <w:keepLines/>
      </w:pPr>
      <w:r w:rsidRPr="00B765A6">
        <w:lastRenderedPageBreak/>
        <w:t xml:space="preserve">Las principales características del sistema </w:t>
      </w:r>
      <w:r w:rsidR="009E2B1E" w:rsidRPr="00B765A6">
        <w:t>(</w:t>
      </w:r>
      <w:r w:rsidRPr="00B765A6">
        <w:t xml:space="preserve">puede consultarse más información </w:t>
      </w:r>
      <w:r w:rsidR="002342C4" w:rsidRPr="00B765A6">
        <w:t xml:space="preserve">al respecto </w:t>
      </w:r>
      <w:r w:rsidRPr="00B765A6">
        <w:t>en el sitio web de la OMPI</w:t>
      </w:r>
      <w:r w:rsidR="009E2B1E" w:rsidRPr="00B765A6">
        <w:rPr>
          <w:rStyle w:val="FootnoteReference"/>
        </w:rPr>
        <w:footnoteReference w:id="2"/>
      </w:r>
      <w:r w:rsidR="009E2B1E" w:rsidRPr="00B765A6">
        <w:t xml:space="preserve">) </w:t>
      </w:r>
      <w:r w:rsidR="00E42208" w:rsidRPr="00B765A6">
        <w:t>son</w:t>
      </w:r>
      <w:r w:rsidRPr="00B765A6">
        <w:t xml:space="preserve"> resumidamente </w:t>
      </w:r>
      <w:r w:rsidR="00E42208" w:rsidRPr="00B765A6">
        <w:t>las siguientes</w:t>
      </w:r>
      <w:r w:rsidR="009E2B1E" w:rsidRPr="00B765A6">
        <w:t>:</w:t>
      </w:r>
    </w:p>
    <w:p w:rsidR="009E2B1E" w:rsidRPr="00B765A6" w:rsidRDefault="002342C4" w:rsidP="009E2B1E">
      <w:pPr>
        <w:pStyle w:val="ONUME"/>
        <w:keepNext/>
        <w:keepLines/>
        <w:numPr>
          <w:ilvl w:val="1"/>
          <w:numId w:val="5"/>
        </w:numPr>
      </w:pPr>
      <w:r w:rsidRPr="00B765A6">
        <w:t xml:space="preserve">Las </w:t>
      </w:r>
      <w:r w:rsidR="009E2B1E" w:rsidRPr="00B765A6">
        <w:t>O</w:t>
      </w:r>
      <w:r w:rsidRPr="00B765A6">
        <w:t xml:space="preserve">ficinas </w:t>
      </w:r>
      <w:r w:rsidR="001D3B56" w:rsidRPr="00B765A6">
        <w:t>podrán</w:t>
      </w:r>
      <w:r w:rsidRPr="00B765A6">
        <w:t xml:space="preserve"> participar como </w:t>
      </w:r>
      <w:r w:rsidR="00C06739" w:rsidRPr="00B765A6">
        <w:t>O</w:t>
      </w:r>
      <w:r w:rsidRPr="00B765A6">
        <w:t xml:space="preserve">ficinas </w:t>
      </w:r>
      <w:r w:rsidR="00C06739" w:rsidRPr="00B765A6">
        <w:t>“</w:t>
      </w:r>
      <w:r w:rsidRPr="00B765A6">
        <w:t>proveedoras</w:t>
      </w:r>
      <w:r w:rsidR="00C06739" w:rsidRPr="00B765A6">
        <w:t>”</w:t>
      </w:r>
      <w:r w:rsidRPr="00B765A6">
        <w:t xml:space="preserve"> y/o como Oficinas </w:t>
      </w:r>
      <w:r w:rsidR="00C06739" w:rsidRPr="00B765A6">
        <w:t>“</w:t>
      </w:r>
      <w:r w:rsidRPr="00B765A6">
        <w:t>con derecho de acceso</w:t>
      </w:r>
      <w:r w:rsidR="00C06739" w:rsidRPr="00B765A6">
        <w:t>”</w:t>
      </w:r>
      <w:r w:rsidR="009E2B1E" w:rsidRPr="00B765A6">
        <w:t>.</w:t>
      </w:r>
    </w:p>
    <w:p w:rsidR="009E2B1E" w:rsidRPr="00B765A6" w:rsidRDefault="002342C4" w:rsidP="009E2B1E">
      <w:pPr>
        <w:pStyle w:val="ONUME"/>
        <w:keepLines/>
        <w:numPr>
          <w:ilvl w:val="1"/>
          <w:numId w:val="5"/>
        </w:numPr>
        <w:ind w:left="562"/>
      </w:pPr>
      <w:r w:rsidRPr="00B765A6">
        <w:t xml:space="preserve">Las Oficinas con derecho de acceso </w:t>
      </w:r>
      <w:r w:rsidR="00AE6422" w:rsidRPr="00B765A6">
        <w:t>podrán</w:t>
      </w:r>
      <w:r w:rsidRPr="00B765A6">
        <w:t xml:space="preserve"> acceder al portal </w:t>
      </w:r>
      <w:r w:rsidR="004D2EC3" w:rsidRPr="00B765A6">
        <w:t xml:space="preserve">web de WIPO CASE, donde podrán buscar las solicitudes de patentes </w:t>
      </w:r>
      <w:r w:rsidR="00C06739" w:rsidRPr="00B765A6">
        <w:t>que hayan sido puestas a disposición</w:t>
      </w:r>
      <w:r w:rsidR="004D2EC3" w:rsidRPr="00B765A6">
        <w:t xml:space="preserve"> por las Oficinas proveedoras, visualizar los datos sobre familias de patentes conexas y </w:t>
      </w:r>
      <w:r w:rsidR="00E42208" w:rsidRPr="00B765A6">
        <w:t>la información</w:t>
      </w:r>
      <w:r w:rsidR="004D2EC3" w:rsidRPr="00B765A6">
        <w:t xml:space="preserve"> bibliográfic</w:t>
      </w:r>
      <w:r w:rsidR="00E42208" w:rsidRPr="00B765A6">
        <w:t>a</w:t>
      </w:r>
      <w:r w:rsidR="00AE6422" w:rsidRPr="00B765A6">
        <w:t>, los datos relativos a las citas y las listas de documentos disponibles, y visualizar, descargar y/o imprimir los documentos contenidos en los expedientes de la Oficina proveedora correspondiente en cada caso</w:t>
      </w:r>
      <w:r w:rsidR="009E2B1E" w:rsidRPr="00B765A6">
        <w:t>.</w:t>
      </w:r>
    </w:p>
    <w:p w:rsidR="009E2B1E" w:rsidRPr="00B765A6" w:rsidRDefault="00AE6422" w:rsidP="009E2B1E">
      <w:pPr>
        <w:pStyle w:val="ONUME"/>
        <w:numPr>
          <w:ilvl w:val="1"/>
          <w:numId w:val="5"/>
        </w:numPr>
      </w:pPr>
      <w:r w:rsidRPr="00B765A6">
        <w:t xml:space="preserve">El sistema también ofrece determinadas </w:t>
      </w:r>
      <w:r w:rsidR="00E42208" w:rsidRPr="00B765A6">
        <w:t>funciones</w:t>
      </w:r>
      <w:r w:rsidRPr="00B765A6">
        <w:t xml:space="preserve"> avanzadas, </w:t>
      </w:r>
      <w:r w:rsidR="001020FC" w:rsidRPr="00B765A6">
        <w:t>tales como,</w:t>
      </w:r>
      <w:r w:rsidRPr="00B765A6">
        <w:t xml:space="preserve"> por ejemplo</w:t>
      </w:r>
      <w:r w:rsidR="001020FC" w:rsidRPr="00B765A6">
        <w:t>,</w:t>
      </w:r>
      <w:r w:rsidRPr="00B765A6">
        <w:t xml:space="preserve"> </w:t>
      </w:r>
      <w:r w:rsidR="001D3B56" w:rsidRPr="00B765A6">
        <w:t xml:space="preserve">un servicio </w:t>
      </w:r>
      <w:r w:rsidRPr="00B765A6">
        <w:t xml:space="preserve">de notificaciones </w:t>
      </w:r>
      <w:r w:rsidR="001D3B56" w:rsidRPr="00B765A6">
        <w:t xml:space="preserve">cuando se produzcan novedades en los expedientes </w:t>
      </w:r>
      <w:r w:rsidRPr="00B765A6">
        <w:t xml:space="preserve">de </w:t>
      </w:r>
      <w:r w:rsidR="00E42208" w:rsidRPr="00B765A6">
        <w:t>algunas</w:t>
      </w:r>
      <w:r w:rsidRPr="00B765A6">
        <w:t xml:space="preserve"> Oficinas</w:t>
      </w:r>
      <w:r w:rsidR="001020FC" w:rsidRPr="00B765A6">
        <w:t xml:space="preserve">, la comparación de documentos en paralelo y un foro en Internet a través del cual los examinadores </w:t>
      </w:r>
      <w:r w:rsidR="001D3B56" w:rsidRPr="00B765A6">
        <w:t>podrán</w:t>
      </w:r>
      <w:r w:rsidR="001020FC" w:rsidRPr="00B765A6">
        <w:t xml:space="preserve"> </w:t>
      </w:r>
      <w:r w:rsidR="00E42208" w:rsidRPr="00B765A6">
        <w:t>intercambiar</w:t>
      </w:r>
      <w:r w:rsidR="001020FC" w:rsidRPr="00B765A6">
        <w:t xml:space="preserve"> información de manera informal</w:t>
      </w:r>
      <w:r w:rsidR="009E2B1E" w:rsidRPr="00B765A6">
        <w:t>.</w:t>
      </w:r>
    </w:p>
    <w:p w:rsidR="009E2B1E" w:rsidRPr="00B765A6" w:rsidRDefault="00E42208" w:rsidP="009E2B1E">
      <w:pPr>
        <w:pStyle w:val="ONUME"/>
        <w:numPr>
          <w:ilvl w:val="1"/>
          <w:numId w:val="5"/>
        </w:numPr>
      </w:pPr>
      <w:r w:rsidRPr="00B765A6">
        <w:t xml:space="preserve">Cuando se proporcionan datos relativos a las citas, </w:t>
      </w:r>
      <w:r w:rsidR="009E2B1E" w:rsidRPr="00B765A6">
        <w:t>WIPO CASE</w:t>
      </w:r>
      <w:r w:rsidRPr="00B765A6">
        <w:t xml:space="preserve"> </w:t>
      </w:r>
      <w:r w:rsidR="004F62FF" w:rsidRPr="00B765A6">
        <w:t>dispone</w:t>
      </w:r>
      <w:r w:rsidRPr="00B765A6">
        <w:t xml:space="preserve"> </w:t>
      </w:r>
      <w:r w:rsidR="004F62FF" w:rsidRPr="00B765A6">
        <w:t xml:space="preserve">un enlace al documento de patente citado en </w:t>
      </w:r>
      <w:r w:rsidR="009E2B1E" w:rsidRPr="00B765A6">
        <w:t>PATENTSCOPE</w:t>
      </w:r>
      <w:r w:rsidR="004F62FF" w:rsidRPr="00B765A6">
        <w:t>, facilitando así su consulta</w:t>
      </w:r>
      <w:r w:rsidR="009E2B1E" w:rsidRPr="00B765A6">
        <w:t>.</w:t>
      </w:r>
    </w:p>
    <w:p w:rsidR="009E2B1E" w:rsidRPr="00B765A6" w:rsidRDefault="006B44DC" w:rsidP="009E2B1E">
      <w:pPr>
        <w:pStyle w:val="ONUME"/>
        <w:numPr>
          <w:ilvl w:val="1"/>
          <w:numId w:val="5"/>
        </w:numPr>
      </w:pPr>
      <w:r w:rsidRPr="00B765A6">
        <w:t xml:space="preserve">Las Oficinas proveedoras </w:t>
      </w:r>
      <w:r w:rsidR="001D3B56" w:rsidRPr="00B765A6">
        <w:t>pondrán</w:t>
      </w:r>
      <w:r w:rsidRPr="00B765A6">
        <w:t xml:space="preserve"> a disposición</w:t>
      </w:r>
      <w:r w:rsidR="001D3B56" w:rsidRPr="00B765A6">
        <w:t xml:space="preserve"> del sistema</w:t>
      </w:r>
      <w:r w:rsidRPr="00B765A6">
        <w:t xml:space="preserve"> </w:t>
      </w:r>
      <w:r w:rsidR="00C06739" w:rsidRPr="00B765A6">
        <w:t xml:space="preserve">la información contenida en </w:t>
      </w:r>
      <w:r w:rsidRPr="00B765A6">
        <w:t>sus expedientes</w:t>
      </w:r>
      <w:r w:rsidR="00B50F5B" w:rsidRPr="00B765A6">
        <w:t>,</w:t>
      </w:r>
      <w:r w:rsidRPr="00B765A6">
        <w:t xml:space="preserve"> bien cargando </w:t>
      </w:r>
      <w:r w:rsidR="00B50F5B" w:rsidRPr="00B765A6">
        <w:t xml:space="preserve">los documentos </w:t>
      </w:r>
      <w:r w:rsidRPr="00B765A6">
        <w:t xml:space="preserve">por vía electrónica en </w:t>
      </w:r>
      <w:r w:rsidR="00B50F5B" w:rsidRPr="00B765A6">
        <w:t xml:space="preserve">la biblioteca de documentos de </w:t>
      </w:r>
      <w:r w:rsidR="009E2B1E" w:rsidRPr="00B765A6">
        <w:t>WIPO CASE</w:t>
      </w:r>
      <w:r w:rsidR="001D3B56" w:rsidRPr="00B765A6">
        <w:t>,</w:t>
      </w:r>
      <w:r w:rsidR="00B50F5B" w:rsidRPr="00B765A6">
        <w:t xml:space="preserve"> albergada por la Oficina Internacional, o bien mediante una conexión de </w:t>
      </w:r>
      <w:r w:rsidR="00C06739" w:rsidRPr="00B765A6">
        <w:t>I</w:t>
      </w:r>
      <w:r w:rsidR="00B50F5B" w:rsidRPr="00B765A6">
        <w:t xml:space="preserve">nternet segura en tiempo real.  El alcance exacto de la información </w:t>
      </w:r>
      <w:r w:rsidR="00C06739" w:rsidRPr="00B765A6">
        <w:t xml:space="preserve">contenida en </w:t>
      </w:r>
      <w:r w:rsidR="00B50F5B" w:rsidRPr="00B765A6">
        <w:t xml:space="preserve">los expedientes </w:t>
      </w:r>
      <w:r w:rsidR="00780FA6" w:rsidRPr="00B765A6">
        <w:t>susceptible de ser compartida</w:t>
      </w:r>
      <w:r w:rsidR="00B50F5B" w:rsidRPr="00B765A6">
        <w:t xml:space="preserve"> </w:t>
      </w:r>
      <w:r w:rsidR="001D3B56" w:rsidRPr="00B765A6">
        <w:t>quedará delimitado</w:t>
      </w:r>
      <w:r w:rsidR="00B50F5B" w:rsidRPr="00B765A6">
        <w:t xml:space="preserve"> por cada Oficina proveedora.  En todo caso, las Oficinas proveedoras sólo </w:t>
      </w:r>
      <w:r w:rsidR="001D3B56" w:rsidRPr="00B765A6">
        <w:t>intercambiarán</w:t>
      </w:r>
      <w:r w:rsidR="00B50F5B" w:rsidRPr="00B765A6">
        <w:t xml:space="preserve"> información relativa a solicitudes de patentes ya publicadas</w:t>
      </w:r>
      <w:r w:rsidR="00F00572" w:rsidRPr="00B765A6">
        <w:t xml:space="preserve"> y </w:t>
      </w:r>
      <w:r w:rsidR="00F73470" w:rsidRPr="00B765A6">
        <w:t xml:space="preserve">cuyo contenido con frecuencia </w:t>
      </w:r>
      <w:r w:rsidR="00A34253" w:rsidRPr="00B765A6">
        <w:t>ya ha</w:t>
      </w:r>
      <w:r w:rsidR="001D3B56" w:rsidRPr="00B765A6">
        <w:t>brá</w:t>
      </w:r>
      <w:r w:rsidR="00A34253" w:rsidRPr="00B765A6">
        <w:t xml:space="preserve"> </w:t>
      </w:r>
      <w:r w:rsidR="00F73470" w:rsidRPr="00B765A6">
        <w:t>pasado</w:t>
      </w:r>
      <w:r w:rsidR="00A34253" w:rsidRPr="00B765A6">
        <w:t xml:space="preserve"> a </w:t>
      </w:r>
      <w:r w:rsidR="001D3B56" w:rsidRPr="00B765A6">
        <w:t>estar a disposición del público por otro</w:t>
      </w:r>
      <w:r w:rsidR="00A34253" w:rsidRPr="00B765A6">
        <w:t xml:space="preserve">s </w:t>
      </w:r>
      <w:r w:rsidR="001D3B56" w:rsidRPr="00B765A6">
        <w:t>cauces</w:t>
      </w:r>
      <w:r w:rsidR="00A34253" w:rsidRPr="00B765A6">
        <w:t>.  Las Oficinas proveedoras también facilita</w:t>
      </w:r>
      <w:r w:rsidR="001D3B56" w:rsidRPr="00B765A6">
        <w:t>rá</w:t>
      </w:r>
      <w:r w:rsidR="00A34253" w:rsidRPr="00B765A6">
        <w:t xml:space="preserve">n información bibliográfica, los datos relativos a la clasificación y a las citas, cuando </w:t>
      </w:r>
      <w:r w:rsidR="001D3B56" w:rsidRPr="00B765A6">
        <w:t>estén disponibles</w:t>
      </w:r>
      <w:r w:rsidR="00A34253" w:rsidRPr="00B765A6">
        <w:t>.</w:t>
      </w:r>
    </w:p>
    <w:p w:rsidR="009E2B1E" w:rsidRPr="00B765A6" w:rsidRDefault="000520B8" w:rsidP="000520B8">
      <w:pPr>
        <w:pStyle w:val="ONUME"/>
        <w:numPr>
          <w:ilvl w:val="1"/>
          <w:numId w:val="5"/>
        </w:numPr>
      </w:pPr>
      <w:r w:rsidRPr="00B765A6">
        <w:t xml:space="preserve">Un </w:t>
      </w:r>
      <w:r w:rsidR="004A16CD" w:rsidRPr="00B765A6">
        <w:t>enlace</w:t>
      </w:r>
      <w:r w:rsidRPr="00B765A6">
        <w:t xml:space="preserve"> con el sistema </w:t>
      </w:r>
      <w:r w:rsidRPr="00B765A6">
        <w:rPr>
          <w:i/>
        </w:rPr>
        <w:t>One Portal Dossier</w:t>
      </w:r>
      <w:r w:rsidRPr="00B765A6">
        <w:t xml:space="preserve"> </w:t>
      </w:r>
      <w:r w:rsidR="004A16CD" w:rsidRPr="00B765A6">
        <w:t xml:space="preserve">de la Cooperación Pentalateral (IP5) </w:t>
      </w:r>
      <w:r w:rsidRPr="00B765A6">
        <w:t xml:space="preserve">permite a las Oficinas de la </w:t>
      </w:r>
      <w:r w:rsidR="004A16CD" w:rsidRPr="00B765A6">
        <w:t xml:space="preserve">Cooperación Pentalateral </w:t>
      </w:r>
      <w:r w:rsidRPr="00B765A6">
        <w:t xml:space="preserve">poner </w:t>
      </w:r>
      <w:r w:rsidR="00F73470" w:rsidRPr="00B765A6">
        <w:t xml:space="preserve">la información contenida en </w:t>
      </w:r>
      <w:r w:rsidRPr="00B765A6">
        <w:t xml:space="preserve">sus expedientes a disposición de </w:t>
      </w:r>
      <w:r w:rsidR="009E2B1E" w:rsidRPr="00B765A6">
        <w:t xml:space="preserve">WIPO CASE </w:t>
      </w:r>
      <w:r w:rsidR="00672D21" w:rsidRPr="00B765A6">
        <w:t xml:space="preserve">a través de servicios </w:t>
      </w:r>
      <w:r w:rsidR="00F73470" w:rsidRPr="00B765A6">
        <w:t>web</w:t>
      </w:r>
      <w:r w:rsidR="00672D21" w:rsidRPr="00B765A6">
        <w:t xml:space="preserve">.  </w:t>
      </w:r>
      <w:r w:rsidR="006F6CBB" w:rsidRPr="00B765A6">
        <w:t xml:space="preserve">Actualmente, dicho </w:t>
      </w:r>
      <w:r w:rsidR="004A16CD" w:rsidRPr="00B765A6">
        <w:t>sistema de enlace</w:t>
      </w:r>
      <w:r w:rsidR="006F6CBB" w:rsidRPr="00B765A6">
        <w:t xml:space="preserve"> </w:t>
      </w:r>
      <w:r w:rsidR="004A16CD" w:rsidRPr="00B765A6">
        <w:t>es</w:t>
      </w:r>
      <w:r w:rsidR="00F73470" w:rsidRPr="00B765A6">
        <w:t xml:space="preserve"> implementado por </w:t>
      </w:r>
      <w:r w:rsidR="006F6CBB" w:rsidRPr="00B765A6">
        <w:t>las Oficinas de patentes de China, el Japón, la República de Corea y los Estados Unidos de América</w:t>
      </w:r>
      <w:r w:rsidR="009E2B1E" w:rsidRPr="00B765A6">
        <w:t>.</w:t>
      </w:r>
    </w:p>
    <w:p w:rsidR="009E2B1E" w:rsidRPr="00B765A6" w:rsidRDefault="009E7B73" w:rsidP="009E2B1E">
      <w:pPr>
        <w:pStyle w:val="ONUME"/>
      </w:pPr>
      <w:r w:rsidRPr="00B765A6">
        <w:t xml:space="preserve">Desde el 1 de febrero de </w:t>
      </w:r>
      <w:r w:rsidR="009E2B1E" w:rsidRPr="00B765A6">
        <w:t xml:space="preserve">2016, </w:t>
      </w:r>
      <w:r w:rsidRPr="00B765A6">
        <w:t xml:space="preserve">las Oficinas </w:t>
      </w:r>
      <w:r w:rsidR="00B7453E" w:rsidRPr="00B765A6">
        <w:t xml:space="preserve">de patentes </w:t>
      </w:r>
      <w:r w:rsidRPr="00B765A6">
        <w:t xml:space="preserve">de los países que se indican a continuación participan en </w:t>
      </w:r>
      <w:r w:rsidR="009E2B1E" w:rsidRPr="00B765A6">
        <w:t>WIPO CASE</w:t>
      </w:r>
      <w:r w:rsidRPr="00B765A6">
        <w:t xml:space="preserve"> tanto en calidad de Oficinas proveedoras como en calidad de Oficinas con derecho </w:t>
      </w:r>
      <w:r w:rsidR="00A3032B" w:rsidRPr="00B765A6">
        <w:t>de</w:t>
      </w:r>
      <w:r w:rsidRPr="00B765A6">
        <w:t xml:space="preserve"> acceso:  Australia, </w:t>
      </w:r>
      <w:r w:rsidR="00A3032B" w:rsidRPr="00B765A6">
        <w:t xml:space="preserve">el </w:t>
      </w:r>
      <w:r w:rsidRPr="00B765A6">
        <w:t>Canadá</w:t>
      </w:r>
      <w:r w:rsidR="009E2B1E" w:rsidRPr="00B765A6">
        <w:t xml:space="preserve">, China, Israel, </w:t>
      </w:r>
      <w:r w:rsidRPr="00B765A6">
        <w:t xml:space="preserve">el </w:t>
      </w:r>
      <w:r w:rsidR="009E2B1E" w:rsidRPr="00B765A6">
        <w:t>Jap</w:t>
      </w:r>
      <w:r w:rsidRPr="00B765A6">
        <w:t>ón</w:t>
      </w:r>
      <w:r w:rsidR="009E2B1E" w:rsidRPr="00B765A6">
        <w:t>,</w:t>
      </w:r>
      <w:r w:rsidRPr="00B765A6">
        <w:t xml:space="preserve"> la República de Corea y el Reino Unido.  La Oficina de patentes de </w:t>
      </w:r>
      <w:r w:rsidR="009E2B1E" w:rsidRPr="00B765A6">
        <w:t xml:space="preserve">Brunei Darussalam </w:t>
      </w:r>
      <w:r w:rsidRPr="00B765A6">
        <w:t xml:space="preserve">ha acordado </w:t>
      </w:r>
      <w:r w:rsidR="00CB21F8" w:rsidRPr="00B765A6">
        <w:t>establecerse</w:t>
      </w:r>
      <w:r w:rsidRPr="00B765A6">
        <w:t xml:space="preserve"> </w:t>
      </w:r>
      <w:r w:rsidR="00A3032B" w:rsidRPr="00B765A6">
        <w:t>como Oficina proveedora y con derecho de acceso pero aún no ha</w:t>
      </w:r>
      <w:r w:rsidR="00CB21F8" w:rsidRPr="00B765A6">
        <w:t xml:space="preserve"> comenzado a utilizar el sistema.  La Oficina Internacional </w:t>
      </w:r>
      <w:r w:rsidR="004A16CD" w:rsidRPr="00B765A6">
        <w:t xml:space="preserve">de la OMPI </w:t>
      </w:r>
      <w:r w:rsidR="00CB21F8" w:rsidRPr="00B765A6">
        <w:t xml:space="preserve">también actúa como Oficina proveedora poniendo a disposición </w:t>
      </w:r>
      <w:r w:rsidR="00B7453E" w:rsidRPr="00B765A6">
        <w:t xml:space="preserve">del sistema </w:t>
      </w:r>
      <w:r w:rsidR="00CB21F8" w:rsidRPr="00B765A6">
        <w:t>todos los documentos relativos a la fase internacional de las solicitudes internacionales</w:t>
      </w:r>
      <w:r w:rsidR="009E2B1E" w:rsidRPr="00B765A6">
        <w:t>.</w:t>
      </w:r>
    </w:p>
    <w:p w:rsidR="009E2B1E" w:rsidRPr="00B765A6" w:rsidRDefault="00CB21F8" w:rsidP="009E2B1E">
      <w:pPr>
        <w:pStyle w:val="ONUME"/>
      </w:pPr>
      <w:r w:rsidRPr="00B765A6">
        <w:t xml:space="preserve">Desde el 1 de febrero de </w:t>
      </w:r>
      <w:r w:rsidR="009E2B1E" w:rsidRPr="00B765A6">
        <w:t>2016,</w:t>
      </w:r>
      <w:r w:rsidRPr="00B765A6">
        <w:t xml:space="preserve"> la Oficina de patentes de los Estados Unidos de América es la única Oficina que participa en </w:t>
      </w:r>
      <w:r w:rsidR="009E2B1E" w:rsidRPr="00B765A6">
        <w:t xml:space="preserve">WIPO CASE </w:t>
      </w:r>
      <w:r w:rsidRPr="00B765A6">
        <w:t>sólo en calidad de Oficina proveedora</w:t>
      </w:r>
      <w:r w:rsidR="009E2B1E" w:rsidRPr="00B765A6">
        <w:t>.</w:t>
      </w:r>
    </w:p>
    <w:p w:rsidR="009E2B1E" w:rsidRPr="00B765A6" w:rsidRDefault="00CB21F8" w:rsidP="009E2B1E">
      <w:pPr>
        <w:pStyle w:val="ONUME"/>
      </w:pPr>
      <w:r w:rsidRPr="00B765A6">
        <w:t xml:space="preserve">Desde el 1 de febrero de </w:t>
      </w:r>
      <w:r w:rsidR="009E2B1E" w:rsidRPr="00B765A6">
        <w:t xml:space="preserve">2016, </w:t>
      </w:r>
      <w:r w:rsidR="00B7453E" w:rsidRPr="00B765A6">
        <w:t xml:space="preserve">las Oficinas de patentes de los países que se indican a continuación participan en WIPO CASE </w:t>
      </w:r>
      <w:r w:rsidR="00C34B63" w:rsidRPr="00B765A6">
        <w:t>únicamente</w:t>
      </w:r>
      <w:r w:rsidR="00B7453E" w:rsidRPr="00B765A6">
        <w:t xml:space="preserve"> en calidad de Oficinas con derecho de acceso:  </w:t>
      </w:r>
      <w:r w:rsidR="009E2B1E" w:rsidRPr="00B765A6">
        <w:t>Chile,</w:t>
      </w:r>
      <w:r w:rsidR="00C34B63" w:rsidRPr="00B765A6">
        <w:t xml:space="preserve"> la</w:t>
      </w:r>
      <w:r w:rsidR="009E2B1E" w:rsidRPr="00B765A6">
        <w:t xml:space="preserve"> India, Indonesia, </w:t>
      </w:r>
      <w:r w:rsidR="00C34B63" w:rsidRPr="00B765A6">
        <w:t>RDP Lao</w:t>
      </w:r>
      <w:r w:rsidR="009E2B1E" w:rsidRPr="00B765A6">
        <w:t xml:space="preserve">, Malasia, Mongolia, </w:t>
      </w:r>
      <w:r w:rsidR="007E6AAF" w:rsidRPr="00B765A6">
        <w:t>Nueva Zelandia</w:t>
      </w:r>
      <w:r w:rsidR="009E2B1E" w:rsidRPr="00B765A6">
        <w:t xml:space="preserve">, </w:t>
      </w:r>
      <w:r w:rsidR="007E6AAF" w:rsidRPr="00B765A6">
        <w:t>Filipinas</w:t>
      </w:r>
      <w:r w:rsidR="009E2B1E" w:rsidRPr="00B765A6">
        <w:t xml:space="preserve">, </w:t>
      </w:r>
      <w:r w:rsidR="009E2B1E" w:rsidRPr="00B765A6">
        <w:lastRenderedPageBreak/>
        <w:t>Singap</w:t>
      </w:r>
      <w:r w:rsidR="007E6AAF" w:rsidRPr="00B765A6">
        <w:t>ur</w:t>
      </w:r>
      <w:r w:rsidR="009E2B1E" w:rsidRPr="00B765A6">
        <w:t>, T</w:t>
      </w:r>
      <w:r w:rsidR="007E6AAF" w:rsidRPr="00B765A6">
        <w:t>ailandia y</w:t>
      </w:r>
      <w:r w:rsidR="009E2B1E" w:rsidRPr="00B765A6">
        <w:t xml:space="preserve"> Viet Nam.  </w:t>
      </w:r>
      <w:r w:rsidR="007E6AAF" w:rsidRPr="00B765A6">
        <w:t xml:space="preserve">Varias de estas Oficinas han acordado constituirse también en Oficinas proveedoras en el futuro, una vez que </w:t>
      </w:r>
      <w:r w:rsidR="00DD4CE3" w:rsidRPr="00B765A6">
        <w:t>tengan capacidad jurídica, técnica y de funcionamiento para ello</w:t>
      </w:r>
      <w:r w:rsidR="009E2B1E" w:rsidRPr="00B765A6">
        <w:t>.</w:t>
      </w:r>
    </w:p>
    <w:p w:rsidR="009E2B1E" w:rsidRPr="00B765A6" w:rsidRDefault="00DD7F36" w:rsidP="009E2B1E">
      <w:pPr>
        <w:pStyle w:val="ONUME"/>
      </w:pPr>
      <w:r w:rsidRPr="00B765A6">
        <w:t xml:space="preserve">De las 20 Administraciones encargadas de la búsqueda internacional y del examen preliminar internacional que se encuentran operativas, seis participan en </w:t>
      </w:r>
      <w:r w:rsidR="009E2B1E" w:rsidRPr="00B765A6">
        <w:t xml:space="preserve">WIPO CASE </w:t>
      </w:r>
      <w:r w:rsidRPr="00B765A6">
        <w:t xml:space="preserve">en calidad de Oficinas proveedoras y con derecho de acceso (las Oficinas </w:t>
      </w:r>
      <w:r w:rsidR="00997DF3" w:rsidRPr="00B765A6">
        <w:t xml:space="preserve">de patentes </w:t>
      </w:r>
      <w:r w:rsidRPr="00B765A6">
        <w:t xml:space="preserve">de </w:t>
      </w:r>
      <w:r w:rsidR="009E2B1E" w:rsidRPr="00B765A6">
        <w:t xml:space="preserve">Australia, </w:t>
      </w:r>
      <w:r w:rsidRPr="00B765A6">
        <w:t xml:space="preserve">el </w:t>
      </w:r>
      <w:r w:rsidR="009E2B1E" w:rsidRPr="00B765A6">
        <w:t>Canad</w:t>
      </w:r>
      <w:r w:rsidRPr="00B765A6">
        <w:t>á</w:t>
      </w:r>
      <w:r w:rsidR="009E2B1E" w:rsidRPr="00B765A6">
        <w:t xml:space="preserve">, China, Israel, </w:t>
      </w:r>
      <w:r w:rsidRPr="00B765A6">
        <w:t>el Japón y la República de Corea</w:t>
      </w:r>
      <w:r w:rsidR="009E2B1E" w:rsidRPr="00B765A6">
        <w:t xml:space="preserve">), </w:t>
      </w:r>
      <w:r w:rsidRPr="00B765A6">
        <w:t xml:space="preserve">tres participan </w:t>
      </w:r>
      <w:r w:rsidR="00997DF3" w:rsidRPr="00B765A6">
        <w:t xml:space="preserve">sólo </w:t>
      </w:r>
      <w:r w:rsidRPr="00B765A6">
        <w:t xml:space="preserve">en calidad de Oficinas con derecho de acceso </w:t>
      </w:r>
      <w:r w:rsidR="009E2B1E" w:rsidRPr="00B765A6">
        <w:t>(</w:t>
      </w:r>
      <w:r w:rsidR="00997DF3" w:rsidRPr="00B765A6">
        <w:t xml:space="preserve">las Oficinas de patentes de </w:t>
      </w:r>
      <w:r w:rsidR="009E2B1E" w:rsidRPr="00B765A6">
        <w:t xml:space="preserve">Chile, </w:t>
      </w:r>
      <w:r w:rsidR="00997DF3" w:rsidRPr="00B765A6">
        <w:t xml:space="preserve">la </w:t>
      </w:r>
      <w:r w:rsidR="009E2B1E" w:rsidRPr="00B765A6">
        <w:t xml:space="preserve">India </w:t>
      </w:r>
      <w:r w:rsidR="00997DF3" w:rsidRPr="00B765A6">
        <w:t>y Singapur) y una participa únicamente en calidad de Oficina proveedora (la Oficina de patentes de los Estados Unidos de América</w:t>
      </w:r>
      <w:r w:rsidR="009E2B1E" w:rsidRPr="00B765A6">
        <w:t>).</w:t>
      </w:r>
    </w:p>
    <w:p w:rsidR="009E2B1E" w:rsidRPr="00B765A6" w:rsidRDefault="009E2B1E" w:rsidP="009E2B1E">
      <w:pPr>
        <w:pStyle w:val="ONUME"/>
      </w:pPr>
      <w:r w:rsidRPr="00B765A6">
        <w:t xml:space="preserve">WIPO CASE </w:t>
      </w:r>
      <w:r w:rsidR="005E6E7A" w:rsidRPr="00B765A6">
        <w:t xml:space="preserve">está en funcionamiento desde marzo de </w:t>
      </w:r>
      <w:r w:rsidRPr="00B765A6">
        <w:t>2011.</w:t>
      </w:r>
      <w:r w:rsidR="005E6E7A" w:rsidRPr="00B765A6">
        <w:t xml:space="preserve">  Las fases más importantes del desarrollo del sistema se resumen en los siguientes puntos</w:t>
      </w:r>
      <w:r w:rsidRPr="00B765A6">
        <w:t>.</w:t>
      </w:r>
    </w:p>
    <w:p w:rsidR="009E2B1E" w:rsidRPr="00B765A6" w:rsidRDefault="005E6E7A" w:rsidP="009E2B1E">
      <w:pPr>
        <w:pStyle w:val="ONUME"/>
        <w:numPr>
          <w:ilvl w:val="1"/>
          <w:numId w:val="5"/>
        </w:numPr>
      </w:pPr>
      <w:r w:rsidRPr="00B765A6">
        <w:t xml:space="preserve">Marzo de </w:t>
      </w:r>
      <w:r w:rsidR="009E2B1E" w:rsidRPr="00B765A6">
        <w:t>2011</w:t>
      </w:r>
      <w:r w:rsidR="001D3B56" w:rsidRPr="00B765A6">
        <w:t xml:space="preserve"> – E</w:t>
      </w:r>
      <w:r w:rsidR="00780FA6" w:rsidRPr="00B765A6">
        <w:t xml:space="preserve">l sistema </w:t>
      </w:r>
      <w:r w:rsidR="009E2B1E" w:rsidRPr="00B765A6">
        <w:t xml:space="preserve">WIPO CASE </w:t>
      </w:r>
      <w:r w:rsidR="00780FA6" w:rsidRPr="00B765A6">
        <w:t>se puso en marcha por primera vez para las tres Oficinas del Grupo de Van</w:t>
      </w:r>
      <w:r w:rsidR="009E2B1E" w:rsidRPr="00B765A6">
        <w:t xml:space="preserve">couver (Australia, </w:t>
      </w:r>
      <w:r w:rsidR="00780FA6" w:rsidRPr="00B765A6">
        <w:t xml:space="preserve">el </w:t>
      </w:r>
      <w:r w:rsidR="009E2B1E" w:rsidRPr="00B765A6">
        <w:t>Canad</w:t>
      </w:r>
      <w:r w:rsidR="00780FA6" w:rsidRPr="00B765A6">
        <w:t>á y el Reino Unido</w:t>
      </w:r>
      <w:r w:rsidR="009E2B1E" w:rsidRPr="00B765A6">
        <w:t>).</w:t>
      </w:r>
    </w:p>
    <w:p w:rsidR="009E2B1E" w:rsidRPr="00B765A6" w:rsidRDefault="009E2B1E" w:rsidP="009E2B1E">
      <w:pPr>
        <w:pStyle w:val="ONUME"/>
        <w:numPr>
          <w:ilvl w:val="1"/>
          <w:numId w:val="5"/>
        </w:numPr>
      </w:pPr>
      <w:r w:rsidRPr="00B765A6">
        <w:t>M</w:t>
      </w:r>
      <w:r w:rsidR="005E6E7A" w:rsidRPr="00B765A6">
        <w:t xml:space="preserve">arzo de </w:t>
      </w:r>
      <w:r w:rsidRPr="00B765A6">
        <w:t>2013</w:t>
      </w:r>
      <w:r w:rsidR="001D3B56" w:rsidRPr="00B765A6">
        <w:t xml:space="preserve"> – Con la adopción de </w:t>
      </w:r>
      <w:r w:rsidR="004A5C4A" w:rsidRPr="00B765A6">
        <w:t>las nuevas Disposiciones Marco</w:t>
      </w:r>
      <w:r w:rsidR="00DA3FB0" w:rsidRPr="00B765A6">
        <w:t>,</w:t>
      </w:r>
      <w:r w:rsidR="004A5C4A" w:rsidRPr="00B765A6">
        <w:t xml:space="preserve"> </w:t>
      </w:r>
      <w:r w:rsidR="00642760" w:rsidRPr="00B765A6">
        <w:t xml:space="preserve">el sistema </w:t>
      </w:r>
      <w:r w:rsidRPr="00B765A6">
        <w:t>WIPO CASE</w:t>
      </w:r>
      <w:r w:rsidR="00642760" w:rsidRPr="00B765A6">
        <w:t xml:space="preserve"> </w:t>
      </w:r>
      <w:r w:rsidR="00246CEC" w:rsidRPr="00B765A6">
        <w:t>se abrió</w:t>
      </w:r>
      <w:r w:rsidR="00642760" w:rsidRPr="00B765A6">
        <w:t xml:space="preserve"> a la participación de todas las Oficinas de P.I. de los Estados miembros de la OMPI</w:t>
      </w:r>
      <w:r w:rsidRPr="00B765A6">
        <w:t>.</w:t>
      </w:r>
    </w:p>
    <w:p w:rsidR="009E2B1E" w:rsidRPr="00B765A6" w:rsidRDefault="009E2B1E" w:rsidP="00FF054F">
      <w:pPr>
        <w:pStyle w:val="ONUME"/>
        <w:numPr>
          <w:ilvl w:val="1"/>
          <w:numId w:val="5"/>
        </w:numPr>
      </w:pPr>
      <w:r w:rsidRPr="00B765A6">
        <w:t>A</w:t>
      </w:r>
      <w:r w:rsidR="005E6E7A" w:rsidRPr="00B765A6">
        <w:t>bril de</w:t>
      </w:r>
      <w:r w:rsidRPr="00B765A6">
        <w:t xml:space="preserve"> 2014</w:t>
      </w:r>
      <w:r w:rsidR="006334D2" w:rsidRPr="00B765A6">
        <w:t xml:space="preserve"> – S</w:t>
      </w:r>
      <w:r w:rsidR="00DA3FB0" w:rsidRPr="00B765A6">
        <w:t xml:space="preserve">e </w:t>
      </w:r>
      <w:r w:rsidR="000F702A" w:rsidRPr="00B765A6">
        <w:t>acordaron,</w:t>
      </w:r>
      <w:r w:rsidR="00DA3FB0" w:rsidRPr="00B765A6">
        <w:t xml:space="preserve"> con las Oficinas de la Cooperación Pentalateral</w:t>
      </w:r>
      <w:r w:rsidR="002C6C12" w:rsidRPr="00B765A6">
        <w:t xml:space="preserve">, </w:t>
      </w:r>
      <w:r w:rsidR="000F702A" w:rsidRPr="00B765A6">
        <w:t>las</w:t>
      </w:r>
      <w:r w:rsidR="00DA3FB0" w:rsidRPr="00B765A6">
        <w:t xml:space="preserve"> </w:t>
      </w:r>
      <w:r w:rsidR="004A16CD" w:rsidRPr="00B765A6">
        <w:t xml:space="preserve">Directrices </w:t>
      </w:r>
      <w:r w:rsidR="002C6C12" w:rsidRPr="00B765A6">
        <w:t>para</w:t>
      </w:r>
      <w:r w:rsidR="004A16CD" w:rsidRPr="00B765A6">
        <w:t xml:space="preserve"> el uso del sistema de acceso </w:t>
      </w:r>
      <w:r w:rsidR="00FF054F" w:rsidRPr="00B765A6">
        <w:t xml:space="preserve">que enlaza </w:t>
      </w:r>
      <w:r w:rsidR="00FF054F" w:rsidRPr="00B765A6">
        <w:rPr>
          <w:i/>
        </w:rPr>
        <w:t>O</w:t>
      </w:r>
      <w:r w:rsidR="006B3F06" w:rsidRPr="00B765A6">
        <w:rPr>
          <w:i/>
        </w:rPr>
        <w:t>ne Portal Dossier</w:t>
      </w:r>
      <w:r w:rsidR="006B3F06" w:rsidRPr="00B765A6">
        <w:t xml:space="preserve"> </w:t>
      </w:r>
      <w:r w:rsidR="00AD6E0E" w:rsidRPr="00B765A6">
        <w:t xml:space="preserve">de la Cooperación Pentalateral </w:t>
      </w:r>
      <w:r w:rsidR="006B3F06" w:rsidRPr="00B765A6">
        <w:t xml:space="preserve">con WIPO-CASE.  El Japón y otras cinco Oficinas de patentes participantes en </w:t>
      </w:r>
      <w:r w:rsidRPr="00B765A6">
        <w:t xml:space="preserve">WIPO CASE </w:t>
      </w:r>
      <w:r w:rsidR="006B3F06" w:rsidRPr="00B765A6">
        <w:t>se incorporaron al proyecto piloto</w:t>
      </w:r>
      <w:r w:rsidRPr="00B765A6">
        <w:t>.</w:t>
      </w:r>
    </w:p>
    <w:p w:rsidR="009E2B1E" w:rsidRPr="00B765A6" w:rsidRDefault="009E2B1E" w:rsidP="009E2B1E">
      <w:pPr>
        <w:pStyle w:val="ONUME"/>
        <w:numPr>
          <w:ilvl w:val="1"/>
          <w:numId w:val="5"/>
        </w:numPr>
      </w:pPr>
      <w:r w:rsidRPr="00B765A6">
        <w:t>Jun</w:t>
      </w:r>
      <w:r w:rsidR="005E6E7A" w:rsidRPr="00B765A6">
        <w:t xml:space="preserve">io de </w:t>
      </w:r>
      <w:r w:rsidRPr="00B765A6">
        <w:t>2015</w:t>
      </w:r>
      <w:r w:rsidR="006334D2" w:rsidRPr="00B765A6">
        <w:t xml:space="preserve"> – E</w:t>
      </w:r>
      <w:r w:rsidR="006C70C6" w:rsidRPr="00B765A6">
        <w:t>n las nuevas cláusulas y c</w:t>
      </w:r>
      <w:r w:rsidR="002C6C12" w:rsidRPr="00B765A6">
        <w:t>ondiciones</w:t>
      </w:r>
      <w:r w:rsidR="006334D2" w:rsidRPr="00B765A6">
        <w:t xml:space="preserve"> establecidas para el uso del sistema</w:t>
      </w:r>
      <w:r w:rsidR="002C6C12" w:rsidRPr="00B765A6">
        <w:t>, se simplific</w:t>
      </w:r>
      <w:r w:rsidR="000F702A" w:rsidRPr="00B765A6">
        <w:t>ó</w:t>
      </w:r>
      <w:r w:rsidR="002C6C12" w:rsidRPr="00B765A6">
        <w:t xml:space="preserve"> la estructura de gobernanza y se contempl</w:t>
      </w:r>
      <w:r w:rsidR="000F702A" w:rsidRPr="00B765A6">
        <w:t>ó</w:t>
      </w:r>
      <w:r w:rsidR="002C6C12" w:rsidRPr="00B765A6">
        <w:t xml:space="preserve"> la posibilidad de acceso </w:t>
      </w:r>
      <w:r w:rsidR="00396486" w:rsidRPr="00B765A6">
        <w:t xml:space="preserve">público a </w:t>
      </w:r>
      <w:r w:rsidRPr="00B765A6">
        <w:t>WIPO CASE.</w:t>
      </w:r>
      <w:r w:rsidR="00396486" w:rsidRPr="00B765A6">
        <w:t xml:space="preserve">  </w:t>
      </w:r>
      <w:r w:rsidR="006334D2" w:rsidRPr="00B765A6">
        <w:t>También se estipuló que, a partir de es</w:t>
      </w:r>
      <w:r w:rsidR="00396486" w:rsidRPr="00B765A6">
        <w:t>e m</w:t>
      </w:r>
      <w:r w:rsidR="008058B6" w:rsidRPr="00B765A6">
        <w:t>o</w:t>
      </w:r>
      <w:r w:rsidR="00396486" w:rsidRPr="00B765A6">
        <w:t xml:space="preserve">mento, las Oficinas de la Cooperación Pentalateral </w:t>
      </w:r>
      <w:r w:rsidR="006334D2" w:rsidRPr="00B765A6">
        <w:t>ya podrían</w:t>
      </w:r>
      <w:r w:rsidR="00396486" w:rsidRPr="00B765A6">
        <w:t xml:space="preserve"> participar en </w:t>
      </w:r>
      <w:r w:rsidRPr="00B765A6">
        <w:t>WIPO CASE</w:t>
      </w:r>
      <w:r w:rsidR="00396486" w:rsidRPr="00B765A6">
        <w:t xml:space="preserve"> en los mismos términos y condiciones que las demás Oficinas</w:t>
      </w:r>
      <w:r w:rsidRPr="00B765A6">
        <w:t>.</w:t>
      </w:r>
    </w:p>
    <w:p w:rsidR="009E2B1E" w:rsidRPr="00B765A6" w:rsidRDefault="00D540F7" w:rsidP="009E2B1E">
      <w:pPr>
        <w:pStyle w:val="ONUME"/>
      </w:pPr>
      <w:r w:rsidRPr="00B765A6">
        <w:t xml:space="preserve">A lo largo de </w:t>
      </w:r>
      <w:r w:rsidR="006334D2" w:rsidRPr="00B765A6">
        <w:t xml:space="preserve">todo </w:t>
      </w:r>
      <w:r w:rsidRPr="00B765A6">
        <w:t xml:space="preserve">este </w:t>
      </w:r>
      <w:r w:rsidR="006334D2" w:rsidRPr="00B765A6">
        <w:t>tiempo</w:t>
      </w:r>
      <w:r w:rsidRPr="00B765A6">
        <w:t xml:space="preserve">, se han ido introduciendo </w:t>
      </w:r>
      <w:r w:rsidR="006334D2" w:rsidRPr="00B765A6">
        <w:t>además continuas mejoras en la</w:t>
      </w:r>
      <w:r w:rsidR="006C4EB3" w:rsidRPr="00B765A6">
        <w:t xml:space="preserve"> funcionalidad y en el contenido de los datos del sistema.  En 2012 se implementaron los servicios web y en 2015 se desplegó un nuevo portal </w:t>
      </w:r>
      <w:r w:rsidR="006C70C6" w:rsidRPr="00B765A6">
        <w:t>en Internet</w:t>
      </w:r>
      <w:r w:rsidR="006C4EB3" w:rsidRPr="00B765A6">
        <w:t xml:space="preserve"> con </w:t>
      </w:r>
      <w:r w:rsidR="00D519B4" w:rsidRPr="00B765A6">
        <w:t xml:space="preserve">nuevas </w:t>
      </w:r>
      <w:r w:rsidR="006C4EB3" w:rsidRPr="00B765A6">
        <w:t xml:space="preserve">funciones, </w:t>
      </w:r>
      <w:r w:rsidR="00345CCF" w:rsidRPr="00B765A6">
        <w:t>entre ellas una vista cronológica de las familias de patentes, nuevas características para la comparación de documentos, servicios de notificaciones y una navegación simplificada.  También se cre</w:t>
      </w:r>
      <w:r w:rsidR="006334D2" w:rsidRPr="00B765A6">
        <w:t>ó</w:t>
      </w:r>
      <w:r w:rsidR="00345CCF" w:rsidRPr="00B765A6">
        <w:t xml:space="preserve"> un foro </w:t>
      </w:r>
      <w:r w:rsidR="00D519B4" w:rsidRPr="00B765A6">
        <w:t xml:space="preserve">de debate </w:t>
      </w:r>
      <w:r w:rsidR="00345CCF" w:rsidRPr="00B765A6">
        <w:t xml:space="preserve">que se encuentra disponible </w:t>
      </w:r>
      <w:r w:rsidR="006C70C6" w:rsidRPr="00B765A6">
        <w:t>a modo de prueba</w:t>
      </w:r>
      <w:r w:rsidR="00345CCF" w:rsidRPr="00B765A6">
        <w:t xml:space="preserve">.  Paralelamente, se ha seguido trabajando </w:t>
      </w:r>
      <w:r w:rsidR="00A74DEE" w:rsidRPr="00B765A6">
        <w:t xml:space="preserve">por mejorar la cobertura de los datos del sistema y por crear una base de datos </w:t>
      </w:r>
      <w:r w:rsidR="006C70C6" w:rsidRPr="00B765A6">
        <w:t>complementaria</w:t>
      </w:r>
      <w:r w:rsidR="00701D04" w:rsidRPr="00B765A6">
        <w:t xml:space="preserve"> </w:t>
      </w:r>
      <w:r w:rsidR="00A74DEE" w:rsidRPr="00B765A6">
        <w:t xml:space="preserve">con la información de patentes de las Oficinas participantes.  </w:t>
      </w:r>
    </w:p>
    <w:p w:rsidR="009E2B1E" w:rsidRPr="00B765A6" w:rsidRDefault="00701D04" w:rsidP="009E2B1E">
      <w:pPr>
        <w:pStyle w:val="ONUME"/>
      </w:pPr>
      <w:r w:rsidRPr="00B765A6">
        <w:t>El sistema está siendo utilizado activamente por la mayoría de las Oficinas participantes.  Se registr</w:t>
      </w:r>
      <w:r w:rsidR="006334D2" w:rsidRPr="00B765A6">
        <w:t>ó</w:t>
      </w:r>
      <w:r w:rsidRPr="00B765A6">
        <w:t xml:space="preserve"> el acceso a más de 7</w:t>
      </w:r>
      <w:r w:rsidR="00D519B4" w:rsidRPr="00B765A6">
        <w:t>.</w:t>
      </w:r>
      <w:r w:rsidRPr="00B765A6">
        <w:t xml:space="preserve">600 documentos durante los seis últimos meses de 2015;  el número de documentos </w:t>
      </w:r>
      <w:r w:rsidR="006C70C6" w:rsidRPr="00B765A6">
        <w:t>consultados</w:t>
      </w:r>
      <w:r w:rsidRPr="00B765A6">
        <w:t xml:space="preserve"> </w:t>
      </w:r>
      <w:r w:rsidR="0053188B" w:rsidRPr="00B765A6">
        <w:t>está aumentando</w:t>
      </w:r>
      <w:r w:rsidRPr="00B765A6">
        <w:t>, a la par que se van incorporando al sistema más contenidos procedentes de Oficinas de patentes proveedoras de mayor tamaño, como por ejemplo las Oficinas de patentes de la República de Corea y de los Estados Unidos de América</w:t>
      </w:r>
      <w:r w:rsidR="009E2B1E" w:rsidRPr="00B765A6">
        <w:t>.</w:t>
      </w:r>
    </w:p>
    <w:p w:rsidR="009E2B1E" w:rsidRPr="00B765A6" w:rsidRDefault="00235050" w:rsidP="00CD65E5">
      <w:pPr>
        <w:pStyle w:val="ONUME"/>
      </w:pPr>
      <w:r w:rsidRPr="00B765A6">
        <w:t xml:space="preserve">El sistema WIPO CASE está siendo activamente impulsado por </w:t>
      </w:r>
      <w:r w:rsidR="00664811" w:rsidRPr="00B765A6">
        <w:t xml:space="preserve">La Oficina Internacional, con el respaldo de algunas </w:t>
      </w:r>
      <w:r w:rsidR="00F75623" w:rsidRPr="00B765A6">
        <w:t xml:space="preserve">de las Oficinas proveedoras.  A nivel regional se han celebrado cuatro talleres para la promoción del uso de WIPO CASE, y también </w:t>
      </w:r>
      <w:r w:rsidRPr="00B765A6">
        <w:t>han tenido lugar ya tres</w:t>
      </w:r>
      <w:r w:rsidR="00F75623" w:rsidRPr="00B765A6">
        <w:t xml:space="preserve"> sesiones formativas a escala nacional.  </w:t>
      </w:r>
      <w:r w:rsidR="00CD65E5" w:rsidRPr="00B765A6">
        <w:t>Varias de estas acciones se han concentrado en la región de la ASEAN, en el marco del apoyo que la Oficina Internacional presta</w:t>
      </w:r>
      <w:r w:rsidR="008076B4" w:rsidRPr="00B765A6">
        <w:t xml:space="preserve"> </w:t>
      </w:r>
      <w:r w:rsidR="00CD65E5" w:rsidRPr="00B765A6">
        <w:t>al programa de Cooperación para el Examen de Patentes de la ASEAN (ASPEC)</w:t>
      </w:r>
      <w:r w:rsidR="009E2B1E" w:rsidRPr="00B765A6">
        <w:t>.</w:t>
      </w:r>
    </w:p>
    <w:p w:rsidR="009E2B1E" w:rsidRPr="00B765A6" w:rsidRDefault="009E2B1E" w:rsidP="00126251">
      <w:pPr>
        <w:pStyle w:val="Heading1"/>
      </w:pPr>
      <w:r w:rsidRPr="00B765A6">
        <w:lastRenderedPageBreak/>
        <w:t>Utiliza</w:t>
      </w:r>
      <w:r w:rsidR="00FD7632" w:rsidRPr="00B765A6">
        <w:t xml:space="preserve">ción de </w:t>
      </w:r>
      <w:r w:rsidRPr="00B765A6">
        <w:t xml:space="preserve">WIPO CASE </w:t>
      </w:r>
      <w:r w:rsidR="00C0005F" w:rsidRPr="00B765A6">
        <w:t>co</w:t>
      </w:r>
      <w:r w:rsidR="00E71A95" w:rsidRPr="00B765A6">
        <w:t xml:space="preserve">n EL FIN DE </w:t>
      </w:r>
      <w:r w:rsidR="00C0005F" w:rsidRPr="00B765A6">
        <w:t xml:space="preserve">FOMENTAR </w:t>
      </w:r>
      <w:r w:rsidR="00FD7632" w:rsidRPr="00B765A6">
        <w:t xml:space="preserve">la </w:t>
      </w:r>
      <w:r w:rsidR="00391519" w:rsidRPr="00B765A6">
        <w:t>reutilización de los resultados de la búsqueda y el examen</w:t>
      </w:r>
    </w:p>
    <w:p w:rsidR="009E2B1E" w:rsidRPr="00B765A6" w:rsidRDefault="00235050" w:rsidP="009E2B1E">
      <w:pPr>
        <w:pStyle w:val="ONUME"/>
      </w:pPr>
      <w:r w:rsidRPr="00B765A6">
        <w:t xml:space="preserve">Los Estados miembros han venido debatiendo diversas propuestas </w:t>
      </w:r>
      <w:r w:rsidR="00352640" w:rsidRPr="00B765A6">
        <w:t xml:space="preserve">con vistas a mejorar </w:t>
      </w:r>
      <w:r w:rsidRPr="00B765A6">
        <w:t xml:space="preserve">el intercambio de información entre las Oficinas, tanto en la </w:t>
      </w:r>
      <w:r w:rsidR="002919D4" w:rsidRPr="00B765A6">
        <w:t xml:space="preserve">fase internacional como </w:t>
      </w:r>
      <w:r w:rsidR="00352640" w:rsidRPr="00B765A6">
        <w:t xml:space="preserve">en la fase </w:t>
      </w:r>
      <w:r w:rsidR="002919D4" w:rsidRPr="00B765A6">
        <w:t xml:space="preserve">nacional, en varias ocasiones, y en particular en el contexto de las deliberaciones </w:t>
      </w:r>
      <w:r w:rsidR="00352640" w:rsidRPr="00B765A6">
        <w:t xml:space="preserve">mantenidas </w:t>
      </w:r>
      <w:r w:rsidR="008416AB" w:rsidRPr="00B765A6">
        <w:t>sobre</w:t>
      </w:r>
      <w:r w:rsidR="0053188B" w:rsidRPr="00B765A6">
        <w:t xml:space="preserve"> la H</w:t>
      </w:r>
      <w:r w:rsidR="002919D4" w:rsidRPr="00B765A6">
        <w:t xml:space="preserve">oja de ruta del </w:t>
      </w:r>
      <w:r w:rsidR="009E2B1E" w:rsidRPr="00B765A6">
        <w:t>PCT.</w:t>
      </w:r>
      <w:r w:rsidR="002919D4" w:rsidRPr="00B765A6">
        <w:t xml:space="preserve">  Do</w:t>
      </w:r>
      <w:r w:rsidR="0053188B" w:rsidRPr="00B765A6">
        <w:t>s de las recomendaciones de la H</w:t>
      </w:r>
      <w:r w:rsidR="002919D4" w:rsidRPr="00B765A6">
        <w:t xml:space="preserve">oja de ruta del PCT, respaldadas por los Estados miembros, se refieren </w:t>
      </w:r>
      <w:r w:rsidR="00352640" w:rsidRPr="00B765A6">
        <w:t xml:space="preserve">específicamente al tema de la </w:t>
      </w:r>
      <w:r w:rsidR="002919D4" w:rsidRPr="00B765A6">
        <w:t xml:space="preserve">utilización de los informes elaborados por otras Oficinas como </w:t>
      </w:r>
      <w:r w:rsidR="008416AB" w:rsidRPr="00B765A6">
        <w:rPr>
          <w:i/>
        </w:rPr>
        <w:t>ayuda</w:t>
      </w:r>
      <w:r w:rsidR="008416AB" w:rsidRPr="00B765A6">
        <w:t xml:space="preserve"> para la realización de la búsqueda y del examen nacionales (véanse los documentos </w:t>
      </w:r>
      <w:r w:rsidR="009E2B1E" w:rsidRPr="00B765A6">
        <w:t xml:space="preserve">PCT/WG/3/2 </w:t>
      </w:r>
      <w:r w:rsidR="008416AB" w:rsidRPr="00B765A6">
        <w:t>y</w:t>
      </w:r>
      <w:r w:rsidR="009E2B1E" w:rsidRPr="00B765A6">
        <w:t xml:space="preserve"> PCT/WG/3/14 Rev):</w:t>
      </w:r>
    </w:p>
    <w:p w:rsidR="009E2B1E" w:rsidRPr="00B765A6" w:rsidRDefault="009E2B1E" w:rsidP="009E2B1E">
      <w:pPr>
        <w:pStyle w:val="ONUME"/>
        <w:numPr>
          <w:ilvl w:val="0"/>
          <w:numId w:val="0"/>
        </w:numPr>
        <w:ind w:left="567"/>
      </w:pPr>
      <w:r w:rsidRPr="00B765A6">
        <w:t>“146.  </w:t>
      </w:r>
      <w:r w:rsidRPr="00B765A6">
        <w:rPr>
          <w:i/>
        </w:rPr>
        <w:t>Recom</w:t>
      </w:r>
      <w:r w:rsidR="00CD65E5" w:rsidRPr="00B765A6">
        <w:rPr>
          <w:i/>
        </w:rPr>
        <w:t>endación</w:t>
      </w:r>
      <w:r w:rsidRPr="00B765A6">
        <w:t xml:space="preserve"> – </w:t>
      </w:r>
      <w:r w:rsidR="00D46215" w:rsidRPr="00B765A6">
        <w:t xml:space="preserve">Por lo que se refiere a otros informes </w:t>
      </w:r>
      <w:r w:rsidR="001755BF" w:rsidRPr="00B765A6">
        <w:t xml:space="preserve">[aparte de los informes de búsqueda internacional y </w:t>
      </w:r>
      <w:r w:rsidR="008416AB" w:rsidRPr="00B765A6">
        <w:t xml:space="preserve">de </w:t>
      </w:r>
      <w:r w:rsidR="001755BF" w:rsidRPr="00B765A6">
        <w:t xml:space="preserve">examen preliminar internacional], </w:t>
      </w:r>
      <w:r w:rsidR="00D46215" w:rsidRPr="00B765A6">
        <w:t xml:space="preserve">se recomienda que las Oficinas </w:t>
      </w:r>
      <w:r w:rsidR="001755BF" w:rsidRPr="00B765A6">
        <w:t xml:space="preserve">designadas y elegidas que realicen la búsqueda y procedan al examen en la fase nacional </w:t>
      </w:r>
      <w:r w:rsidR="00E71A95" w:rsidRPr="00B765A6">
        <w:t xml:space="preserve">consulten </w:t>
      </w:r>
      <w:r w:rsidR="00775261" w:rsidRPr="00B765A6">
        <w:t>con</w:t>
      </w:r>
      <w:r w:rsidR="001755BF" w:rsidRPr="00B765A6">
        <w:t xml:space="preserve"> la Oficina Internacional </w:t>
      </w:r>
      <w:r w:rsidR="00775261" w:rsidRPr="00B765A6">
        <w:t xml:space="preserve">de qué formas podrían </w:t>
      </w:r>
      <w:r w:rsidR="001755BF" w:rsidRPr="00B765A6">
        <w:t xml:space="preserve">poner sus informes nacionales a disposición de otras Oficinas designadas y elegidas, bien </w:t>
      </w:r>
      <w:r w:rsidR="00074FDF" w:rsidRPr="00B765A6">
        <w:t>transfiriendo</w:t>
      </w:r>
      <w:r w:rsidR="001755BF" w:rsidRPr="00B765A6">
        <w:t xml:space="preserve"> </w:t>
      </w:r>
      <w:r w:rsidR="00775261" w:rsidRPr="00B765A6">
        <w:t>dichos</w:t>
      </w:r>
      <w:r w:rsidR="001755BF" w:rsidRPr="00B765A6">
        <w:t xml:space="preserve"> informes nacionales para </w:t>
      </w:r>
      <w:r w:rsidR="00690682" w:rsidRPr="00B765A6">
        <w:t xml:space="preserve">su inclusión en </w:t>
      </w:r>
      <w:r w:rsidRPr="00B765A6">
        <w:rPr>
          <w:szCs w:val="24"/>
        </w:rPr>
        <w:t>PATENTSCOPE</w:t>
      </w:r>
      <w:r w:rsidRPr="00B765A6">
        <w:t xml:space="preserve">, </w:t>
      </w:r>
      <w:r w:rsidR="00690682" w:rsidRPr="00B765A6">
        <w:t>o bien mediante l</w:t>
      </w:r>
      <w:r w:rsidR="0053188B" w:rsidRPr="00B765A6">
        <w:t>as</w:t>
      </w:r>
      <w:r w:rsidR="00775261" w:rsidRPr="00B765A6">
        <w:t xml:space="preserve"> oportun</w:t>
      </w:r>
      <w:r w:rsidR="0053188B" w:rsidRPr="00B765A6">
        <w:t>a</w:t>
      </w:r>
      <w:r w:rsidR="00775261" w:rsidRPr="00B765A6">
        <w:t xml:space="preserve">s </w:t>
      </w:r>
      <w:r w:rsidR="0053188B" w:rsidRPr="00B765A6">
        <w:t>notificaciones anunciando la</w:t>
      </w:r>
      <w:r w:rsidR="00775261" w:rsidRPr="00B765A6">
        <w:t xml:space="preserve"> d</w:t>
      </w:r>
      <w:r w:rsidR="00690682" w:rsidRPr="00B765A6">
        <w:t xml:space="preserve">isponibilidad de los informes </w:t>
      </w:r>
      <w:r w:rsidR="00E71A95" w:rsidRPr="00B765A6">
        <w:t>al incluir</w:t>
      </w:r>
      <w:r w:rsidR="00690682" w:rsidRPr="00B765A6">
        <w:t xml:space="preserve"> en </w:t>
      </w:r>
      <w:r w:rsidRPr="00B765A6">
        <w:rPr>
          <w:szCs w:val="24"/>
        </w:rPr>
        <w:t>PATENTSCOPE</w:t>
      </w:r>
      <w:r w:rsidRPr="00B765A6">
        <w:t xml:space="preserve"> </w:t>
      </w:r>
      <w:r w:rsidR="00690682" w:rsidRPr="00B765A6">
        <w:t xml:space="preserve">un enlace </w:t>
      </w:r>
      <w:r w:rsidR="0053188B" w:rsidRPr="00B765A6">
        <w:t xml:space="preserve">que dirija al usuario </w:t>
      </w:r>
      <w:r w:rsidR="00690682" w:rsidRPr="00B765A6">
        <w:t>a</w:t>
      </w:r>
      <w:r w:rsidR="00775261" w:rsidRPr="00B765A6">
        <w:t>l</w:t>
      </w:r>
      <w:r w:rsidR="00690682" w:rsidRPr="00B765A6">
        <w:t xml:space="preserve"> </w:t>
      </w:r>
      <w:r w:rsidR="00775261" w:rsidRPr="00B765A6">
        <w:t xml:space="preserve">correspondiente </w:t>
      </w:r>
      <w:r w:rsidR="00690682" w:rsidRPr="00B765A6">
        <w:t>sistema nacional de inspección de expedientes.</w:t>
      </w:r>
      <w:r w:rsidR="00775261" w:rsidRPr="00B765A6">
        <w:t xml:space="preserve">  Convendría coordinar esta iniciativa con otras acciones destinadas a favorecer el intercambio de los informes de búsqueda nacionales entre las Oficinas nacionales (por ejemplo, las descritas en los párrafos 45 a 47 del </w:t>
      </w:r>
      <w:r w:rsidRPr="00B765A6">
        <w:t>document</w:t>
      </w:r>
      <w:r w:rsidR="00174CE7" w:rsidRPr="00B765A6">
        <w:t>o</w:t>
      </w:r>
      <w:r w:rsidRPr="00B765A6">
        <w:t xml:space="preserve"> SCP/14/3)</w:t>
      </w:r>
      <w:r w:rsidR="00174CE7" w:rsidRPr="00B765A6">
        <w:t xml:space="preserve">, para minimizar la carga que para las Oficinas suponga el hecho de </w:t>
      </w:r>
      <w:r w:rsidR="00352640" w:rsidRPr="00B765A6">
        <w:t>poner a disposición</w:t>
      </w:r>
      <w:r w:rsidR="00174CE7" w:rsidRPr="00B765A6">
        <w:t xml:space="preserve"> sus informes para que puedan ser compartidos, y conseguir que </w:t>
      </w:r>
      <w:r w:rsidR="0053188B" w:rsidRPr="00B765A6">
        <w:t>los documentos</w:t>
      </w:r>
      <w:r w:rsidR="00174CE7" w:rsidRPr="00B765A6">
        <w:t xml:space="preserve"> se encuentre</w:t>
      </w:r>
      <w:r w:rsidR="0053188B" w:rsidRPr="00B765A6">
        <w:t>n</w:t>
      </w:r>
      <w:r w:rsidR="00174CE7" w:rsidRPr="00B765A6">
        <w:t xml:space="preserve"> a disposición de las demás Oficinas de la manera más fácil y eficaz posible.</w:t>
      </w:r>
    </w:p>
    <w:p w:rsidR="009E2B1E" w:rsidRPr="00B765A6" w:rsidRDefault="009E2B1E" w:rsidP="009E2B1E">
      <w:pPr>
        <w:pStyle w:val="ONUME"/>
        <w:numPr>
          <w:ilvl w:val="0"/>
          <w:numId w:val="0"/>
        </w:numPr>
        <w:ind w:left="567"/>
      </w:pPr>
      <w:r w:rsidRPr="00B765A6">
        <w:t>“147.  </w:t>
      </w:r>
      <w:r w:rsidR="001B0FA9" w:rsidRPr="00B765A6">
        <w:t xml:space="preserve">La Oficina Internacional debería garantizar que los informes estén disponibles a través de </w:t>
      </w:r>
      <w:r w:rsidRPr="00B765A6">
        <w:rPr>
          <w:szCs w:val="24"/>
        </w:rPr>
        <w:t>PATENTSCOPE</w:t>
      </w:r>
      <w:r w:rsidR="008D5408" w:rsidRPr="00B765A6">
        <w:t xml:space="preserve">, de modo que las Oficinas nacionales </w:t>
      </w:r>
      <w:r w:rsidR="008058B6" w:rsidRPr="00B765A6">
        <w:t>pudieran</w:t>
      </w:r>
      <w:r w:rsidR="008D5408" w:rsidRPr="00B765A6">
        <w:t xml:space="preserve"> acceder eficazmente a los mismos, tanto consultando las páginas web de forma convencional, como utilizando procesos automatizados para recuperar todos los documentos pertinentes.  Lo deseable sería que las citas estuvieran disponibles en un formato legible por máquina que permita </w:t>
      </w:r>
      <w:r w:rsidR="008058B6" w:rsidRPr="00B765A6">
        <w:t xml:space="preserve">establecer enlaces directos al menos a </w:t>
      </w:r>
      <w:r w:rsidR="00B812CC" w:rsidRPr="00B765A6">
        <w:t>aquel</w:t>
      </w:r>
      <w:r w:rsidR="008058B6" w:rsidRPr="00B765A6">
        <w:t>los documentos de patentes citados que fueran fácilmente accesibles</w:t>
      </w:r>
      <w:r w:rsidRPr="00B765A6">
        <w:t>.”</w:t>
      </w:r>
    </w:p>
    <w:p w:rsidR="009E2B1E" w:rsidRPr="00B765A6" w:rsidRDefault="008058B6" w:rsidP="009E2B1E">
      <w:pPr>
        <w:pStyle w:val="ONUME"/>
      </w:pPr>
      <w:r w:rsidRPr="00B765A6">
        <w:t>Desde el establecimie</w:t>
      </w:r>
      <w:r w:rsidR="00E71A95" w:rsidRPr="00B765A6">
        <w:t>nto de las nuevas c</w:t>
      </w:r>
      <w:r w:rsidRPr="00B765A6">
        <w:t xml:space="preserve">láusulas y </w:t>
      </w:r>
      <w:r w:rsidR="00E71A95" w:rsidRPr="00B765A6">
        <w:t>c</w:t>
      </w:r>
      <w:r w:rsidRPr="00B765A6">
        <w:t xml:space="preserve">ondiciones para el uso de </w:t>
      </w:r>
      <w:r w:rsidR="009E2B1E" w:rsidRPr="00B765A6">
        <w:t xml:space="preserve">WIPO CASE </w:t>
      </w:r>
      <w:r w:rsidRPr="00B765A6">
        <w:t xml:space="preserve">en junio de </w:t>
      </w:r>
      <w:r w:rsidR="009E2B1E" w:rsidRPr="00B765A6">
        <w:t>2015,</w:t>
      </w:r>
      <w:r w:rsidRPr="00B765A6">
        <w:t xml:space="preserve"> las Oficinas proveedoras podrán</w:t>
      </w:r>
      <w:r w:rsidR="00074FDF" w:rsidRPr="00B765A6">
        <w:t xml:space="preserve"> prestar su autorización para que la información contenida en sus expedientes pueda ser divulgada al público a través de </w:t>
      </w:r>
      <w:r w:rsidR="009E2B1E" w:rsidRPr="00B765A6">
        <w:t xml:space="preserve">WIPO CASE. </w:t>
      </w:r>
      <w:r w:rsidR="00074FDF" w:rsidRPr="00B765A6">
        <w:t xml:space="preserve"> La Oficina Internacional está trabajando activamente con objeto de implementar este acceso público.  El acceso público se </w:t>
      </w:r>
      <w:r w:rsidR="009C5AF4" w:rsidRPr="00B765A6">
        <w:t xml:space="preserve">articulará sobre las funciones de búsqueda y recuperación de </w:t>
      </w:r>
      <w:r w:rsidR="009E2B1E" w:rsidRPr="00B765A6">
        <w:t>PATENTSCOPE</w:t>
      </w:r>
      <w:r w:rsidR="009C5AF4" w:rsidRPr="00B765A6">
        <w:t xml:space="preserve">, y la información contenida en los expedientes de las Oficinas proveedoras que éstas proporcionen a través de </w:t>
      </w:r>
      <w:r w:rsidR="009E2B1E" w:rsidRPr="00B765A6">
        <w:t>WIPO CASE</w:t>
      </w:r>
      <w:r w:rsidR="009C5AF4" w:rsidRPr="00B765A6">
        <w:t xml:space="preserve"> </w:t>
      </w:r>
      <w:r w:rsidR="003D3FD6" w:rsidRPr="00B765A6">
        <w:t xml:space="preserve">se mostrará a los usuarios públicos </w:t>
      </w:r>
      <w:r w:rsidR="00352640" w:rsidRPr="00B765A6">
        <w:t xml:space="preserve">por </w:t>
      </w:r>
      <w:r w:rsidR="00E71A95" w:rsidRPr="00B765A6">
        <w:t>medio</w:t>
      </w:r>
      <w:r w:rsidR="00352640" w:rsidRPr="00B765A6">
        <w:t xml:space="preserve"> </w:t>
      </w:r>
      <w:r w:rsidR="003D3FD6" w:rsidRPr="00B765A6">
        <w:t xml:space="preserve">de </w:t>
      </w:r>
      <w:r w:rsidR="009E2B1E" w:rsidRPr="00B765A6">
        <w:t>PATENTSCOPE.</w:t>
      </w:r>
      <w:r w:rsidR="003D3FD6" w:rsidRPr="00B765A6">
        <w:t xml:space="preserve">  El objetivo es que </w:t>
      </w:r>
      <w:r w:rsidR="00DF1F0D" w:rsidRPr="00B765A6">
        <w:t>el</w:t>
      </w:r>
      <w:r w:rsidR="003D3FD6" w:rsidRPr="00B765A6">
        <w:t xml:space="preserve"> </w:t>
      </w:r>
      <w:r w:rsidR="00DF1F0D" w:rsidRPr="00B765A6">
        <w:t>servicio comience a estar operativo a mediados de 2016 y que permita acceder a</w:t>
      </w:r>
      <w:r w:rsidR="00352640" w:rsidRPr="00B765A6">
        <w:t xml:space="preserve"> la información </w:t>
      </w:r>
      <w:r w:rsidR="00DF1F0D" w:rsidRPr="00B765A6">
        <w:t>contenid</w:t>
      </w:r>
      <w:r w:rsidR="00352640" w:rsidRPr="00B765A6">
        <w:t>a en</w:t>
      </w:r>
      <w:r w:rsidR="00DF1F0D" w:rsidRPr="00B765A6">
        <w:t xml:space="preserve"> los expedientes de las Oficinas proveedoras que hayan autorizado expresamente dicho acceso</w:t>
      </w:r>
      <w:r w:rsidR="009E2B1E" w:rsidRPr="00B765A6">
        <w:t xml:space="preserve">. </w:t>
      </w:r>
    </w:p>
    <w:p w:rsidR="009E2B1E" w:rsidRPr="00B765A6" w:rsidRDefault="00DA1156" w:rsidP="009E2B1E">
      <w:pPr>
        <w:pStyle w:val="ONUME"/>
      </w:pPr>
      <w:r w:rsidRPr="00B765A6">
        <w:t xml:space="preserve">El sistema </w:t>
      </w:r>
      <w:r w:rsidR="009E2B1E" w:rsidRPr="00B765A6">
        <w:t xml:space="preserve">WIPO CASE </w:t>
      </w:r>
      <w:r w:rsidR="0053188B" w:rsidRPr="00B765A6">
        <w:t>contribuirá a</w:t>
      </w:r>
      <w:r w:rsidRPr="00B765A6">
        <w:t xml:space="preserve"> facilitar el intercambio de información entre Oficinas, tanto en </w:t>
      </w:r>
      <w:r w:rsidR="00352640" w:rsidRPr="00B765A6">
        <w:t xml:space="preserve">la </w:t>
      </w:r>
      <w:r w:rsidRPr="00B765A6">
        <w:t>fase internacional como en la fase nacional, de varias maneras</w:t>
      </w:r>
      <w:r w:rsidR="009E2B1E" w:rsidRPr="00B765A6">
        <w:t>:</w:t>
      </w:r>
    </w:p>
    <w:p w:rsidR="009E2B1E" w:rsidRPr="00B765A6" w:rsidRDefault="009E2B1E" w:rsidP="009E2B1E">
      <w:pPr>
        <w:pStyle w:val="ONUME"/>
        <w:numPr>
          <w:ilvl w:val="1"/>
          <w:numId w:val="5"/>
        </w:numPr>
      </w:pPr>
      <w:r w:rsidRPr="00B765A6">
        <w:t>Dur</w:t>
      </w:r>
      <w:r w:rsidR="00DA1156" w:rsidRPr="00B765A6">
        <w:t>ante la fase inter</w:t>
      </w:r>
      <w:r w:rsidR="00D22475" w:rsidRPr="00B765A6">
        <w:t>nacional, las Administraciones i</w:t>
      </w:r>
      <w:r w:rsidR="00DA1156" w:rsidRPr="00B765A6">
        <w:t>nternacionales</w:t>
      </w:r>
      <w:r w:rsidR="00D22475" w:rsidRPr="00B765A6">
        <w:t xml:space="preserve"> podrán acceder a los resultados de la búsqueda, a las estrategias de búsqueda y a los resultados del examen relativos a las solicitudes nacionales anteriores cuya prioridad se reivindique en una solicitud internacional.  </w:t>
      </w:r>
      <w:r w:rsidR="006F5A92" w:rsidRPr="00B765A6">
        <w:t xml:space="preserve">Esto podría resultar de escasa relevancia para la Administración encargada de la búsqueda internacional, puesto que, en la fecha de la búsqueda internacional, </w:t>
      </w:r>
      <w:r w:rsidR="00C5576C" w:rsidRPr="00B765A6">
        <w:t xml:space="preserve">es </w:t>
      </w:r>
      <w:r w:rsidR="006F5A92" w:rsidRPr="00B765A6">
        <w:t>probab</w:t>
      </w:r>
      <w:r w:rsidR="00352640" w:rsidRPr="00B765A6">
        <w:t>le que</w:t>
      </w:r>
      <w:r w:rsidR="006F5A92" w:rsidRPr="00B765A6">
        <w:t xml:space="preserve"> las solicitudes anteriores todavía no hayan sido publicadas.  Sin embargo, sí podría beneficiar significativamente a la Administración encargada del examen preliminar internacional</w:t>
      </w:r>
      <w:r w:rsidRPr="00B765A6">
        <w:t>.</w:t>
      </w:r>
    </w:p>
    <w:p w:rsidR="009E2B1E" w:rsidRPr="00B765A6" w:rsidRDefault="00637868" w:rsidP="009E2B1E">
      <w:pPr>
        <w:pStyle w:val="ONUME"/>
        <w:numPr>
          <w:ilvl w:val="1"/>
          <w:numId w:val="5"/>
        </w:numPr>
      </w:pPr>
      <w:r w:rsidRPr="00B765A6">
        <w:lastRenderedPageBreak/>
        <w:t>Si bien</w:t>
      </w:r>
      <w:r w:rsidR="0034039A" w:rsidRPr="00B765A6">
        <w:t xml:space="preserve"> </w:t>
      </w:r>
      <w:r w:rsidR="0053188B" w:rsidRPr="00B765A6">
        <w:t xml:space="preserve">ya es un hecho que </w:t>
      </w:r>
      <w:r w:rsidR="0034039A" w:rsidRPr="00B765A6">
        <w:t xml:space="preserve">los informes internacionales de búsqueda y examen ya son accesibles a través de </w:t>
      </w:r>
      <w:r w:rsidR="009E2B1E" w:rsidRPr="00B765A6">
        <w:t xml:space="preserve">WIPO CASE, </w:t>
      </w:r>
      <w:r w:rsidR="0034039A" w:rsidRPr="00B765A6">
        <w:t xml:space="preserve">y </w:t>
      </w:r>
      <w:r w:rsidR="0053188B" w:rsidRPr="00B765A6">
        <w:t xml:space="preserve">que estarán </w:t>
      </w:r>
      <w:r w:rsidR="0034039A" w:rsidRPr="00B765A6">
        <w:t xml:space="preserve">a disposición del público </w:t>
      </w:r>
      <w:r w:rsidRPr="00B765A6">
        <w:t xml:space="preserve">por </w:t>
      </w:r>
      <w:r w:rsidR="00E71A95" w:rsidRPr="00B765A6">
        <w:t>medio</w:t>
      </w:r>
      <w:r w:rsidR="0034039A" w:rsidRPr="00B765A6">
        <w:t xml:space="preserve"> de </w:t>
      </w:r>
      <w:r w:rsidR="009E2B1E" w:rsidRPr="00B765A6">
        <w:t>PATENTSCOPE,</w:t>
      </w:r>
      <w:r w:rsidR="0053188B" w:rsidRPr="00B765A6">
        <w:t xml:space="preserve"> también podría considerarse la posibilidad de que</w:t>
      </w:r>
      <w:r w:rsidR="009E2B1E" w:rsidRPr="00B765A6">
        <w:t xml:space="preserve"> </w:t>
      </w:r>
      <w:r w:rsidR="0034039A" w:rsidRPr="00B765A6">
        <w:t xml:space="preserve">los resultados </w:t>
      </w:r>
      <w:r w:rsidR="00E71A95" w:rsidRPr="00B765A6">
        <w:t xml:space="preserve">intermedios </w:t>
      </w:r>
      <w:r w:rsidR="0034039A" w:rsidRPr="00B765A6">
        <w:t xml:space="preserve">de </w:t>
      </w:r>
      <w:r w:rsidR="00E71A95" w:rsidRPr="00B765A6">
        <w:t>la labor</w:t>
      </w:r>
      <w:r w:rsidR="0034039A" w:rsidRPr="00B765A6">
        <w:t xml:space="preserve">, tales como las estrategias de búsqueda y la correspondencia con el solicitante, también </w:t>
      </w:r>
      <w:r w:rsidR="0053188B" w:rsidRPr="00B765A6">
        <w:t>pudieran</w:t>
      </w:r>
      <w:r w:rsidR="0034039A" w:rsidRPr="00B765A6">
        <w:t xml:space="preserve"> ser compartidos a través de </w:t>
      </w:r>
      <w:r w:rsidR="009E2B1E" w:rsidRPr="00B765A6">
        <w:t>WIPO</w:t>
      </w:r>
      <w:r w:rsidR="008A1967" w:rsidRPr="00B765A6">
        <w:t> </w:t>
      </w:r>
      <w:r w:rsidR="009E2B1E" w:rsidRPr="00B765A6">
        <w:t>CASE</w:t>
      </w:r>
      <w:r w:rsidR="0034039A" w:rsidRPr="00B765A6">
        <w:t xml:space="preserve"> si las Oficinas proveedoras los pusieran a disposición</w:t>
      </w:r>
      <w:r w:rsidR="0053188B" w:rsidRPr="00B765A6">
        <w:t xml:space="preserve"> del sistema</w:t>
      </w:r>
      <w:r w:rsidR="0034039A" w:rsidRPr="00B765A6">
        <w:t xml:space="preserve">.  </w:t>
      </w:r>
      <w:r w:rsidR="009E2B1E" w:rsidRPr="00B765A6">
        <w:t>WIPO</w:t>
      </w:r>
      <w:r w:rsidR="008A1967" w:rsidRPr="00B765A6">
        <w:t> </w:t>
      </w:r>
      <w:r w:rsidR="009E2B1E" w:rsidRPr="00B765A6">
        <w:t>CASE</w:t>
      </w:r>
      <w:r w:rsidR="00BE4D11" w:rsidRPr="00B765A6">
        <w:t xml:space="preserve"> también permite que las Oficinas proveedoras </w:t>
      </w:r>
      <w:r w:rsidR="0053188B" w:rsidRPr="00B765A6">
        <w:t>delimiten</w:t>
      </w:r>
      <w:r w:rsidR="00BE4D11" w:rsidRPr="00B765A6">
        <w:t xml:space="preserve"> </w:t>
      </w:r>
      <w:r w:rsidR="00632DBB" w:rsidRPr="00B765A6">
        <w:t xml:space="preserve">el alcance y la naturaleza </w:t>
      </w:r>
      <w:r w:rsidR="00BE4D11" w:rsidRPr="00B765A6">
        <w:t xml:space="preserve">de la información contenida en sus expedientes </w:t>
      </w:r>
      <w:r w:rsidR="00632DBB" w:rsidRPr="00B765A6">
        <w:t xml:space="preserve">que </w:t>
      </w:r>
      <w:r w:rsidR="00BE4D11" w:rsidRPr="00B765A6">
        <w:t xml:space="preserve">podrá ser puesta a disposición del público y </w:t>
      </w:r>
      <w:r w:rsidRPr="00B765A6">
        <w:t xml:space="preserve">aquella </w:t>
      </w:r>
      <w:r w:rsidR="00BE4D11" w:rsidRPr="00B765A6">
        <w:t>otra</w:t>
      </w:r>
      <w:r w:rsidR="00632DBB" w:rsidRPr="00B765A6">
        <w:t xml:space="preserve"> parte de la</w:t>
      </w:r>
      <w:r w:rsidR="00BE4D11" w:rsidRPr="00B765A6">
        <w:t xml:space="preserve"> información </w:t>
      </w:r>
      <w:r w:rsidRPr="00B765A6">
        <w:t xml:space="preserve">a la que </w:t>
      </w:r>
      <w:r w:rsidR="00BE4D11" w:rsidRPr="00B765A6">
        <w:t xml:space="preserve">sólo podrán acceder las demás Oficinas participantes.  Gracias a esta característica, las Administraciones internacionales </w:t>
      </w:r>
      <w:r w:rsidRPr="00B765A6">
        <w:t>dispondrían de</w:t>
      </w:r>
      <w:r w:rsidR="00BE4D11" w:rsidRPr="00B765A6">
        <w:t xml:space="preserve"> un medio </w:t>
      </w:r>
      <w:r w:rsidR="00632DBB" w:rsidRPr="00B765A6">
        <w:t xml:space="preserve">que les permitiría </w:t>
      </w:r>
      <w:r w:rsidR="00BE4D11" w:rsidRPr="00B765A6">
        <w:t xml:space="preserve">compartir las estrategias de búsqueda </w:t>
      </w:r>
      <w:r w:rsidR="00E71A95" w:rsidRPr="00B765A6">
        <w:t xml:space="preserve">íntegras </w:t>
      </w:r>
      <w:r w:rsidR="00BE4D11" w:rsidRPr="00B765A6">
        <w:t xml:space="preserve">con las demás Oficinas sin tener que hacerlas públicas necesariamente en </w:t>
      </w:r>
      <w:r w:rsidR="009E2B1E" w:rsidRPr="00B765A6">
        <w:t>PATENTSCOPE.</w:t>
      </w:r>
    </w:p>
    <w:p w:rsidR="009E2B1E" w:rsidRPr="00B765A6" w:rsidRDefault="00FF4BAF" w:rsidP="009E2B1E">
      <w:pPr>
        <w:pStyle w:val="ONUME"/>
        <w:numPr>
          <w:ilvl w:val="1"/>
          <w:numId w:val="5"/>
        </w:numPr>
      </w:pPr>
      <w:r w:rsidRPr="00B765A6">
        <w:t xml:space="preserve">Todos los resultados del trabajo realizado por las Oficinas designadas y elegidas durante el procedimiento de la fase nacional serán accesibles a través de </w:t>
      </w:r>
      <w:r w:rsidR="009E2B1E" w:rsidRPr="00B765A6">
        <w:t xml:space="preserve">WIPO CASE.  </w:t>
      </w:r>
      <w:r w:rsidRPr="00B765A6">
        <w:t xml:space="preserve">Entre </w:t>
      </w:r>
      <w:r w:rsidR="0053188B" w:rsidRPr="00B765A6">
        <w:t>tales documentos</w:t>
      </w:r>
      <w:r w:rsidRPr="00B765A6">
        <w:t xml:space="preserve"> figurarán </w:t>
      </w:r>
      <w:r w:rsidR="0053188B" w:rsidRPr="00B765A6">
        <w:t xml:space="preserve">la información sobre </w:t>
      </w:r>
      <w:r w:rsidRPr="00B765A6">
        <w:t xml:space="preserve">las reivindicaciones que hayan sido objeto de búsqueda, </w:t>
      </w:r>
      <w:r w:rsidR="006509FE" w:rsidRPr="00B765A6">
        <w:t xml:space="preserve">los resultados de </w:t>
      </w:r>
      <w:r w:rsidR="00637868" w:rsidRPr="00B765A6">
        <w:t xml:space="preserve">las </w:t>
      </w:r>
      <w:r w:rsidR="006509FE" w:rsidRPr="00B765A6">
        <w:t xml:space="preserve">búsquedas complementarias y todos los demás resultados normalizados del procedimiento.  </w:t>
      </w:r>
    </w:p>
    <w:p w:rsidR="009E2B1E" w:rsidRPr="00B765A6" w:rsidRDefault="001B69C1" w:rsidP="001B69C1">
      <w:pPr>
        <w:pStyle w:val="ONUME"/>
        <w:numPr>
          <w:ilvl w:val="1"/>
          <w:numId w:val="5"/>
        </w:numPr>
      </w:pPr>
      <w:r w:rsidRPr="00B765A6">
        <w:t xml:space="preserve">Los documentos presentados a los efectos del procedimiento acelerado de examen de solicitudes de patente del PCT (PCT-PPH) también se considerarán parte del expediente de solicitud de patente y podrán ser consultados a través de </w:t>
      </w:r>
      <w:r w:rsidR="009E2B1E" w:rsidRPr="00B765A6">
        <w:t>WIPO CASE.</w:t>
      </w:r>
    </w:p>
    <w:p w:rsidR="009E2B1E" w:rsidRPr="00B765A6" w:rsidRDefault="001B69C1" w:rsidP="003161C9">
      <w:pPr>
        <w:pStyle w:val="ONUME"/>
        <w:numPr>
          <w:ilvl w:val="1"/>
          <w:numId w:val="5"/>
        </w:numPr>
      </w:pPr>
      <w:r w:rsidRPr="00B765A6">
        <w:t xml:space="preserve">El foro </w:t>
      </w:r>
      <w:r w:rsidR="003161C9" w:rsidRPr="00B765A6">
        <w:t xml:space="preserve">en línea para el intercambio de información podrá resultar beneficioso con respecto a las tareas relacionadas con la calidad desempeñadas por las Administraciones internacionales.  </w:t>
      </w:r>
    </w:p>
    <w:p w:rsidR="009E2B1E" w:rsidRPr="00B765A6" w:rsidRDefault="003161C9" w:rsidP="002A73B2">
      <w:pPr>
        <w:pStyle w:val="ONUME"/>
      </w:pPr>
      <w:r w:rsidRPr="00B765A6">
        <w:t xml:space="preserve">La Oficina Internacional ha asumido el compromiso de continuar desarrollando </w:t>
      </w:r>
      <w:r w:rsidR="009E2B1E" w:rsidRPr="00B765A6">
        <w:t>WIPO</w:t>
      </w:r>
      <w:r w:rsidR="00E71A95" w:rsidRPr="00B765A6">
        <w:t> </w:t>
      </w:r>
      <w:r w:rsidR="009E2B1E" w:rsidRPr="00B765A6">
        <w:t xml:space="preserve">CASE </w:t>
      </w:r>
      <w:r w:rsidRPr="00B765A6">
        <w:t>para mejorar su funcionalidad, con vistas a satisfacer las necesidades de los usuarios y a fomentar la reutilización de los resultados de la búsqueda y el examen entre las Oficinas de patentes.  Si todas las Administraciones internacionales se adhirieran al sistema</w:t>
      </w:r>
      <w:r w:rsidR="00CF3DC9" w:rsidRPr="00B765A6">
        <w:t xml:space="preserve"> y aumentara la participación de otras Oficinas examinadoras de solicitudes de patentes, particularmente en lo relativo a su trabajo en calidad de Oficinas designadas y/o elegidas, </w:t>
      </w:r>
      <w:r w:rsidR="009E2B1E" w:rsidRPr="00B765A6">
        <w:t>WIPO CASE</w:t>
      </w:r>
      <w:r w:rsidR="00CF3DC9" w:rsidRPr="00B765A6">
        <w:t xml:space="preserve"> se convertiría en un valio</w:t>
      </w:r>
      <w:r w:rsidR="00E71A95" w:rsidRPr="00B765A6">
        <w:t>so complemento añadido para el S</w:t>
      </w:r>
      <w:r w:rsidR="00CF3DC9" w:rsidRPr="00B765A6">
        <w:t xml:space="preserve">istema del </w:t>
      </w:r>
      <w:r w:rsidR="009E2B1E" w:rsidRPr="00B765A6">
        <w:t>PCT</w:t>
      </w:r>
      <w:r w:rsidR="00CF3DC9" w:rsidRPr="00B765A6">
        <w:t xml:space="preserve">, proporcionando una plataforma </w:t>
      </w:r>
      <w:r w:rsidR="002A73B2" w:rsidRPr="00B765A6">
        <w:t xml:space="preserve">desde la cual se podría acceder a la mayor parte de los resultados del procedimiento del PCT tanto durante su fase internacional como en su fase nacional, a través de una interfaz única, </w:t>
      </w:r>
      <w:r w:rsidR="003B4245" w:rsidRPr="00B765A6">
        <w:t>reduciéndose</w:t>
      </w:r>
      <w:r w:rsidR="002A73B2" w:rsidRPr="00B765A6">
        <w:t xml:space="preserve"> de manera importante las barreras que en la práctica dificultan la identificación y obtención de los documentos necesarios para </w:t>
      </w:r>
      <w:r w:rsidR="00925849" w:rsidRPr="00B765A6">
        <w:t>una fructífera</w:t>
      </w:r>
      <w:r w:rsidR="002A73B2" w:rsidRPr="00B765A6">
        <w:t xml:space="preserve"> reutilización de los resultados de la búsqueda y el examen</w:t>
      </w:r>
      <w:r w:rsidR="00925849" w:rsidRPr="00B765A6">
        <w:t xml:space="preserve">.  Ante la importancia de una plataforma semejante, la Oficina Internacional se ha comprometido plenamente a continuar promoviendo activamente el sistema y </w:t>
      </w:r>
      <w:r w:rsidR="003B4245" w:rsidRPr="00B765A6">
        <w:t xml:space="preserve">a </w:t>
      </w:r>
      <w:r w:rsidR="00925849" w:rsidRPr="00B765A6">
        <w:t>anima</w:t>
      </w:r>
      <w:r w:rsidR="003B4245" w:rsidRPr="00B765A6">
        <w:t>r</w:t>
      </w:r>
      <w:r w:rsidR="00925849" w:rsidRPr="00B765A6">
        <w:t xml:space="preserve"> a más Oficinas examinadoras a </w:t>
      </w:r>
      <w:r w:rsidR="003B4245" w:rsidRPr="00B765A6">
        <w:t>que se adhieran</w:t>
      </w:r>
      <w:r w:rsidR="00925849" w:rsidRPr="00B765A6">
        <w:t xml:space="preserve"> a </w:t>
      </w:r>
      <w:r w:rsidR="009E2B1E" w:rsidRPr="00B765A6">
        <w:t>WIPO CASE.</w:t>
      </w:r>
    </w:p>
    <w:p w:rsidR="009E2B1E" w:rsidRPr="00B765A6" w:rsidRDefault="00AD215E" w:rsidP="00AD215E">
      <w:pPr>
        <w:pStyle w:val="ONUME"/>
      </w:pPr>
      <w:bookmarkStart w:id="7" w:name="_Ref443404089"/>
      <w:r w:rsidRPr="00B765A6">
        <w:t xml:space="preserve">La utilización de la plataforma </w:t>
      </w:r>
      <w:r w:rsidR="009E2B1E" w:rsidRPr="00B765A6">
        <w:t>WIPO CASE</w:t>
      </w:r>
      <w:r w:rsidRPr="00B765A6">
        <w:t xml:space="preserve"> como elemento de apoyo para conseguir una reutilización más eficaz de los resultados de la búsqueda y el examen</w:t>
      </w:r>
      <w:r w:rsidR="004814E1" w:rsidRPr="00B765A6">
        <w:t>,</w:t>
      </w:r>
      <w:r w:rsidRPr="00B765A6">
        <w:t xml:space="preserve"> más allá de los informes internacionales</w:t>
      </w:r>
      <w:r w:rsidR="004814E1" w:rsidRPr="00B765A6">
        <w:t>,</w:t>
      </w:r>
      <w:r w:rsidRPr="00B765A6">
        <w:t xml:space="preserve"> fue objeto de deliberaci</w:t>
      </w:r>
      <w:r w:rsidR="004814E1" w:rsidRPr="00B765A6">
        <w:t>ón</w:t>
      </w:r>
      <w:r w:rsidRPr="00B765A6">
        <w:t xml:space="preserve"> en el marco de la Reunión de las Administraciones</w:t>
      </w:r>
      <w:r w:rsidR="004814E1" w:rsidRPr="00B765A6">
        <w:t xml:space="preserve"> Internacionales en su sesión más reciente, celebrada en Santiago en enero de 2016.</w:t>
      </w:r>
      <w:r w:rsidR="009E2B1E" w:rsidRPr="00B765A6">
        <w:t xml:space="preserve">  </w:t>
      </w:r>
      <w:bookmarkEnd w:id="7"/>
      <w:r w:rsidR="009E2B1E" w:rsidRPr="00B765A6">
        <w:t xml:space="preserve">En los párrafos 27 </w:t>
      </w:r>
      <w:r w:rsidR="00A744F1" w:rsidRPr="00B765A6">
        <w:t>a</w:t>
      </w:r>
      <w:r w:rsidR="009E2B1E" w:rsidRPr="00B765A6">
        <w:t xml:space="preserve"> 31 del resumen de la </w:t>
      </w:r>
      <w:r w:rsidR="00A744F1" w:rsidRPr="00B765A6">
        <w:t xml:space="preserve">Presidencia </w:t>
      </w:r>
      <w:r w:rsidR="009E2B1E" w:rsidRPr="00B765A6">
        <w:t>(documento PCT/</w:t>
      </w:r>
      <w:r w:rsidR="00A744F1" w:rsidRPr="00B765A6">
        <w:t>MIA</w:t>
      </w:r>
      <w:r w:rsidR="009E2B1E" w:rsidRPr="00B765A6">
        <w:t>/23/14), se resumen los debates acerca de ese tema de la manera siguiente:</w:t>
      </w:r>
    </w:p>
    <w:p w:rsidR="009E2B1E" w:rsidRPr="00B765A6" w:rsidRDefault="00A744F1" w:rsidP="009E2B1E">
      <w:pPr>
        <w:pStyle w:val="ONUME"/>
        <w:keepNext/>
        <w:keepLines/>
        <w:numPr>
          <w:ilvl w:val="0"/>
          <w:numId w:val="0"/>
        </w:numPr>
        <w:ind w:left="562"/>
      </w:pPr>
      <w:r w:rsidRPr="00B765A6">
        <w:lastRenderedPageBreak/>
        <w:t>“27.</w:t>
      </w:r>
      <w:r w:rsidRPr="00B765A6">
        <w:tab/>
      </w:r>
      <w:r w:rsidR="009E2B1E" w:rsidRPr="00B765A6">
        <w:t>Los debates se basa</w:t>
      </w:r>
      <w:r w:rsidR="00962D15" w:rsidRPr="00B765A6">
        <w:t>ro</w:t>
      </w:r>
      <w:r w:rsidR="009E2B1E" w:rsidRPr="00B765A6">
        <w:t>n en el documento PCT/MIA/23/2.</w:t>
      </w:r>
    </w:p>
    <w:p w:rsidR="009E2B1E" w:rsidRPr="00B765A6" w:rsidRDefault="009E2B1E" w:rsidP="009E2B1E">
      <w:pPr>
        <w:pStyle w:val="ONUME"/>
        <w:keepLines/>
        <w:numPr>
          <w:ilvl w:val="0"/>
          <w:numId w:val="0"/>
        </w:numPr>
        <w:ind w:left="567"/>
      </w:pPr>
      <w:r w:rsidRPr="00B765A6">
        <w:t>28.  </w:t>
      </w:r>
      <w:r w:rsidR="004814E1" w:rsidRPr="00B765A6">
        <w:t xml:space="preserve">Las Administraciones </w:t>
      </w:r>
      <w:r w:rsidR="00632DBB" w:rsidRPr="00B765A6">
        <w:t xml:space="preserve">que ya se han adherido a </w:t>
      </w:r>
      <w:r w:rsidRPr="00B765A6">
        <w:t xml:space="preserve">WIPO CASE </w:t>
      </w:r>
      <w:r w:rsidR="00632DBB" w:rsidRPr="00B765A6">
        <w:t xml:space="preserve">en calidad de Oficinas proveedoras y/o con derecho de acceso manifestaron su firme respaldo a </w:t>
      </w:r>
      <w:r w:rsidRPr="00B765A6">
        <w:t xml:space="preserve">WIPO CASE, </w:t>
      </w:r>
      <w:r w:rsidR="00632DBB" w:rsidRPr="00B765A6">
        <w:t xml:space="preserve">y subrayaron su potencial como plataforma global de acceso a la información sobre la búsqueda y el examen </w:t>
      </w:r>
      <w:r w:rsidR="0005779A" w:rsidRPr="00B765A6">
        <w:t>en las solicitudes nacionales e internacionales</w:t>
      </w:r>
      <w:r w:rsidR="00095FFE" w:rsidRPr="00B765A6">
        <w:t xml:space="preserve">, y por ende, como herramienta facilitadora de la reutilización de los resultados de la búsqueda y el examen entre las Oficinas, y animaron vivamente a las demás Administraciones a participar en el sistema.  Algunas Administraciones quisieron expresar particularmente su agradecimiento a la Oficina Japonesa de Patentes por sus esfuerzos dedicados </w:t>
      </w:r>
      <w:r w:rsidR="0053188B" w:rsidRPr="00B765A6">
        <w:t>a lograr e</w:t>
      </w:r>
      <w:r w:rsidR="00095FFE" w:rsidRPr="00B765A6">
        <w:t xml:space="preserve">l enlace de la plataforma del </w:t>
      </w:r>
      <w:r w:rsidRPr="00B765A6">
        <w:rPr>
          <w:i/>
        </w:rPr>
        <w:t>One Portal Dossier</w:t>
      </w:r>
      <w:r w:rsidRPr="00B765A6">
        <w:t xml:space="preserve"> (OPD)</w:t>
      </w:r>
      <w:r w:rsidR="00095FFE" w:rsidRPr="00B765A6">
        <w:t xml:space="preserve"> de la Cooperación Pentalateral con el sistema </w:t>
      </w:r>
      <w:r w:rsidRPr="00B765A6">
        <w:t>WIPO CASE.</w:t>
      </w:r>
    </w:p>
    <w:p w:rsidR="009E2B1E" w:rsidRPr="00B765A6" w:rsidRDefault="009E2B1E" w:rsidP="009E2B1E">
      <w:pPr>
        <w:pStyle w:val="ONUME"/>
        <w:numPr>
          <w:ilvl w:val="0"/>
          <w:numId w:val="0"/>
        </w:numPr>
        <w:ind w:left="567"/>
      </w:pPr>
      <w:r w:rsidRPr="00B765A6">
        <w:t>29.  </w:t>
      </w:r>
      <w:r w:rsidR="001065EA" w:rsidRPr="00B765A6">
        <w:t xml:space="preserve">Varias de las Administraciones que, hasta la fecha, no se han adherido a </w:t>
      </w:r>
      <w:r w:rsidRPr="00B765A6">
        <w:t>WIPO CASE, o</w:t>
      </w:r>
      <w:r w:rsidR="001065EA" w:rsidRPr="00B765A6">
        <w:t xml:space="preserve"> que no </w:t>
      </w:r>
      <w:r w:rsidR="00126251" w:rsidRPr="00B765A6">
        <w:t xml:space="preserve">lo han hecho en la doble condición de Oficina con derecho de acceso y Oficina proveedora, manifestaron su intención de </w:t>
      </w:r>
      <w:r w:rsidR="0053188B" w:rsidRPr="00B765A6">
        <w:t>dar el paso</w:t>
      </w:r>
      <w:r w:rsidR="00126251" w:rsidRPr="00B765A6">
        <w:t xml:space="preserve"> en un futuro próximo</w:t>
      </w:r>
      <w:r w:rsidRPr="00B765A6">
        <w:t>.</w:t>
      </w:r>
    </w:p>
    <w:p w:rsidR="009E2B1E" w:rsidRPr="00B765A6" w:rsidRDefault="009E2B1E" w:rsidP="009E2B1E">
      <w:pPr>
        <w:pStyle w:val="ONUME"/>
        <w:numPr>
          <w:ilvl w:val="0"/>
          <w:numId w:val="0"/>
        </w:numPr>
        <w:ind w:left="567"/>
      </w:pPr>
      <w:r w:rsidRPr="00B765A6">
        <w:t>30.  </w:t>
      </w:r>
      <w:r w:rsidR="00C0005F" w:rsidRPr="00B765A6">
        <w:t xml:space="preserve">Una Administración sugirió considerar la posibilidad de utilizar </w:t>
      </w:r>
      <w:r w:rsidRPr="00B765A6">
        <w:t>WIPO CASE</w:t>
      </w:r>
      <w:r w:rsidR="00C0005F" w:rsidRPr="00B765A6">
        <w:t xml:space="preserve"> para la transmisión segura de documentos en el marco del servicio de la OMPI de Cooperación Internacional para el Examen de Patentes (ICE), y se ofreció a participar en una experiencia piloto en ese sentido.  </w:t>
      </w:r>
      <w:r w:rsidR="00D71549" w:rsidRPr="00B765A6">
        <w:t xml:space="preserve">También propuso mejorar el acceso al material didáctico sobre </w:t>
      </w:r>
      <w:r w:rsidRPr="00B765A6">
        <w:t>WIPO CASE</w:t>
      </w:r>
      <w:r w:rsidR="00D71549" w:rsidRPr="00B765A6">
        <w:t xml:space="preserve"> </w:t>
      </w:r>
      <w:r w:rsidR="0053188B" w:rsidRPr="00B765A6">
        <w:t>actualmente existente</w:t>
      </w:r>
      <w:r w:rsidR="00D71549" w:rsidRPr="00B765A6">
        <w:t xml:space="preserve"> en el sitio web de la OMPI.  Otra Administración </w:t>
      </w:r>
      <w:r w:rsidR="00B812CC" w:rsidRPr="00B765A6">
        <w:t xml:space="preserve">planteó la conveniencia de que la Oficina Internacional concentre su atención en la accesibilidad y facilidad de uso de </w:t>
      </w:r>
      <w:r w:rsidRPr="00B765A6">
        <w:t>WIPO CASE a</w:t>
      </w:r>
      <w:r w:rsidR="00B812CC" w:rsidRPr="00B765A6">
        <w:t xml:space="preserve"> medida que se incremente</w:t>
      </w:r>
      <w:r w:rsidR="00637868" w:rsidRPr="00B765A6">
        <w:t>n</w:t>
      </w:r>
      <w:r w:rsidR="00B812CC" w:rsidRPr="00B765A6">
        <w:t xml:space="preserve"> la demanda y </w:t>
      </w:r>
      <w:r w:rsidR="00637868" w:rsidRPr="00B765A6">
        <w:t xml:space="preserve">la </w:t>
      </w:r>
      <w:r w:rsidR="00B812CC" w:rsidRPr="00B765A6">
        <w:t>utilización del sistema</w:t>
      </w:r>
      <w:r w:rsidRPr="00B765A6">
        <w:t xml:space="preserve">. </w:t>
      </w:r>
    </w:p>
    <w:p w:rsidR="009E2B1E" w:rsidRPr="00B765A6" w:rsidRDefault="00A744F1" w:rsidP="009E2B1E">
      <w:pPr>
        <w:pStyle w:val="ONUME"/>
        <w:numPr>
          <w:ilvl w:val="0"/>
          <w:numId w:val="0"/>
        </w:numPr>
        <w:ind w:left="567"/>
      </w:pPr>
      <w:r w:rsidRPr="00B765A6">
        <w:rPr>
          <w:lang w:val="es-ES_tradnl"/>
        </w:rPr>
        <w:t>31.</w:t>
      </w:r>
      <w:r w:rsidRPr="00B765A6">
        <w:rPr>
          <w:lang w:val="es-ES_tradnl"/>
        </w:rPr>
        <w:tab/>
      </w:r>
      <w:r w:rsidR="009E2B1E" w:rsidRPr="00B765A6">
        <w:rPr>
          <w:lang w:val="es-ES_tradnl"/>
        </w:rPr>
        <w:t>La Reunión tom</w:t>
      </w:r>
      <w:r w:rsidRPr="00B765A6">
        <w:rPr>
          <w:lang w:val="es-ES_tradnl"/>
        </w:rPr>
        <w:t>ó</w:t>
      </w:r>
      <w:r w:rsidR="009E2B1E" w:rsidRPr="00B765A6">
        <w:rPr>
          <w:lang w:val="es-ES_tradnl"/>
        </w:rPr>
        <w:t xml:space="preserve"> nota del contenido del documento PCT/MIA/23/2.</w:t>
      </w:r>
      <w:r w:rsidRPr="00B765A6">
        <w:rPr>
          <w:lang w:val="es-ES_tradnl"/>
        </w:rPr>
        <w:t>”</w:t>
      </w:r>
    </w:p>
    <w:p w:rsidR="009E2B1E" w:rsidRPr="00B765A6" w:rsidRDefault="00D73D8C" w:rsidP="009E2B1E">
      <w:pPr>
        <w:pStyle w:val="ONUME"/>
      </w:pPr>
      <w:r w:rsidRPr="00B765A6">
        <w:t>Por lo que se refiere a la sugerencia relativa al servicio de la OMPI de Cooperación Internacional para el Examen de Patentes</w:t>
      </w:r>
      <w:r w:rsidR="00C059D8" w:rsidRPr="00B765A6">
        <w:t xml:space="preserve"> (ICE)</w:t>
      </w:r>
      <w:r w:rsidRPr="00B765A6">
        <w:t xml:space="preserve">, mencionado en el párrafo </w:t>
      </w:r>
      <w:r w:rsidR="009E2B1E" w:rsidRPr="00B765A6">
        <w:t>30</w:t>
      </w:r>
      <w:r w:rsidRPr="00B765A6">
        <w:t xml:space="preserve"> del Resumen de la Presidencia de la última Reunión de las Administraciones Internacionales, </w:t>
      </w:r>
      <w:r w:rsidR="00C059D8" w:rsidRPr="00B765A6">
        <w:t xml:space="preserve">que figura </w:t>
      </w:r>
      <w:r w:rsidRPr="00B765A6">
        <w:t>reproducido en el párrafo 16 precedente,</w:t>
      </w:r>
      <w:r w:rsidR="00C059D8" w:rsidRPr="00B765A6">
        <w:t xml:space="preserve"> cabe señalar que </w:t>
      </w:r>
      <w:r w:rsidR="00B546CC" w:rsidRPr="00B765A6">
        <w:t>en el marco de</w:t>
      </w:r>
      <w:r w:rsidR="00C059D8" w:rsidRPr="00B765A6">
        <w:t xml:space="preserve">l citado servicio ICE de la OMPI </w:t>
      </w:r>
      <w:r w:rsidR="00B546CC" w:rsidRPr="00B765A6">
        <w:t xml:space="preserve">se proporciona asistencia de expertos y capacitación a los examinadores de patentes de las Oficinas de P.I. de los países en desarrollo, y se facilita la cooperación </w:t>
      </w:r>
      <w:r w:rsidR="0028436D" w:rsidRPr="00B765A6">
        <w:t xml:space="preserve">en materia de examen de patentes entre las Oficinas de P.I. donantes y las Oficinas de P.I. de los países en desarrollo.  Tradicionalmente, el intercambio de solicitudes de patentes e informes de búsqueda entre las Oficinas de P.I. donantes y receptoras se hacía en soporte </w:t>
      </w:r>
      <w:r w:rsidR="00AB5C0E" w:rsidRPr="00B765A6">
        <w:t>impreso</w:t>
      </w:r>
      <w:r w:rsidR="0028436D" w:rsidRPr="00B765A6">
        <w:t xml:space="preserve">.  La Oficina Internacional está analizando la posibilidad de que la plataforma de </w:t>
      </w:r>
      <w:r w:rsidR="009E2B1E" w:rsidRPr="00B765A6">
        <w:t xml:space="preserve">WIPO CASE </w:t>
      </w:r>
      <w:r w:rsidR="0028436D" w:rsidRPr="00B765A6">
        <w:t>pudiera ser utilizada para facilitar el intercambio de documentación entre Oficinas al amparo del programa ICE, y también como una herramienta al servicio de los examinadores de las Oficinas de P.I. de los países en desarrollo que les permita utilizar eficazmente los resultados de la búsqueda y del examen elaborados por otras Oficinas.</w:t>
      </w:r>
      <w:r w:rsidR="009E2B1E" w:rsidRPr="00B765A6">
        <w:t xml:space="preserve"> </w:t>
      </w:r>
    </w:p>
    <w:p w:rsidR="009E2B1E" w:rsidRPr="00B765A6" w:rsidRDefault="00F64B22" w:rsidP="009E2B1E">
      <w:pPr>
        <w:pStyle w:val="ONUME"/>
      </w:pPr>
      <w:r w:rsidRPr="00B765A6">
        <w:t xml:space="preserve">Por lo que se refiere al tema planteado sobre la accesibilidad y facilidad de uso de WIPO CASE, mencionado en el párrafo 30 del Resumen de la Presidencia de la última Reunión de las Administraciones Internacionales, que figura reproducido en el párrafo 16 precedente, la Oficina Internacional está </w:t>
      </w:r>
      <w:r w:rsidR="00AB5C0E" w:rsidRPr="00B765A6">
        <w:t>supervisando</w:t>
      </w:r>
      <w:r w:rsidRPr="00B765A6">
        <w:t xml:space="preserve"> activamente el uso de </w:t>
      </w:r>
      <w:r w:rsidR="009E2B1E" w:rsidRPr="00B765A6">
        <w:t>WIPO CASE</w:t>
      </w:r>
      <w:r w:rsidRPr="00B765A6">
        <w:t xml:space="preserve"> con el fin de garantizar que el sistema </w:t>
      </w:r>
      <w:r w:rsidR="00967B53" w:rsidRPr="00B765A6">
        <w:t>continúe respondiendo a las necesidades de los usuarios en buenas condiciones aun ante una demanda creciente.  Se añadirán los recursos adicionales necesarios para incrementar la capacidad de los sistemas y la Oficina Internacional continuará mejorando el sistema teniendo en cuenta las necesidades de los usuarios</w:t>
      </w:r>
      <w:r w:rsidR="009E2B1E" w:rsidRPr="00B765A6">
        <w:t>.</w:t>
      </w:r>
    </w:p>
    <w:bookmarkEnd w:id="5"/>
    <w:p w:rsidR="009E2B1E" w:rsidRPr="00B765A6" w:rsidRDefault="00126251" w:rsidP="00A25DD8">
      <w:pPr>
        <w:pStyle w:val="ONUME"/>
        <w:keepNext/>
        <w:keepLines/>
        <w:ind w:left="5534"/>
        <w:jc w:val="both"/>
        <w:rPr>
          <w:i/>
          <w:iCs/>
        </w:rPr>
      </w:pPr>
      <w:r w:rsidRPr="00B765A6">
        <w:rPr>
          <w:i/>
          <w:iCs/>
        </w:rPr>
        <w:lastRenderedPageBreak/>
        <w:t xml:space="preserve">Se invita al Grupo de Trabajo a formular comentarios sobre la posible utilización de </w:t>
      </w:r>
      <w:r w:rsidR="009E2B1E" w:rsidRPr="00B765A6">
        <w:rPr>
          <w:i/>
          <w:iCs/>
        </w:rPr>
        <w:t>WIPO CASE</w:t>
      </w:r>
      <w:r w:rsidRPr="00B765A6">
        <w:rPr>
          <w:i/>
        </w:rPr>
        <w:t xml:space="preserve"> como elemento de apoyo para </w:t>
      </w:r>
      <w:r w:rsidR="00C0005F" w:rsidRPr="00B765A6">
        <w:rPr>
          <w:i/>
        </w:rPr>
        <w:t>fomentar</w:t>
      </w:r>
      <w:r w:rsidRPr="00B765A6">
        <w:rPr>
          <w:i/>
        </w:rPr>
        <w:t xml:space="preserve"> una reutilización eficaz de los resultados de la búsqueda y el examen</w:t>
      </w:r>
      <w:r w:rsidR="009E2B1E" w:rsidRPr="00B765A6">
        <w:rPr>
          <w:i/>
          <w:iCs/>
        </w:rPr>
        <w:t>.</w:t>
      </w:r>
    </w:p>
    <w:p w:rsidR="009E2B1E" w:rsidRPr="00B765A6" w:rsidRDefault="009E2B1E" w:rsidP="009E2B1E">
      <w:pPr>
        <w:pStyle w:val="Endofdocument-Annex"/>
        <w:rPr>
          <w:lang w:val="es-ES"/>
        </w:rPr>
      </w:pPr>
    </w:p>
    <w:p w:rsidR="009E2B1E" w:rsidRPr="00B765A6" w:rsidRDefault="009E2B1E" w:rsidP="009E2B1E">
      <w:pPr>
        <w:pStyle w:val="Endofdocument-Annex"/>
      </w:pPr>
      <w:r w:rsidRPr="00B765A6">
        <w:rPr>
          <w:lang w:val="es-ES_tradnl"/>
        </w:rPr>
        <w:t>[Fin del documento]</w:t>
      </w:r>
    </w:p>
    <w:p w:rsidR="009E2B1E" w:rsidRPr="00B765A6" w:rsidRDefault="009E2B1E" w:rsidP="009E2B1E"/>
    <w:p w:rsidR="009E2B1E" w:rsidRPr="00B765A6" w:rsidRDefault="009E2B1E" w:rsidP="009E2B1E"/>
    <w:p w:rsidR="00152CEA" w:rsidRPr="00B765A6" w:rsidRDefault="00152CEA" w:rsidP="009E2B1E"/>
    <w:sectPr w:rsidR="00152CEA" w:rsidRPr="00B765A6" w:rsidSect="009E2B1E">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908" w:rsidRDefault="001F2908">
      <w:r>
        <w:separator/>
      </w:r>
    </w:p>
  </w:endnote>
  <w:endnote w:type="continuationSeparator" w:id="0">
    <w:p w:rsidR="001F2908" w:rsidRPr="009D30E6" w:rsidRDefault="001F2908" w:rsidP="007E663E">
      <w:pPr>
        <w:rPr>
          <w:sz w:val="17"/>
          <w:szCs w:val="17"/>
        </w:rPr>
      </w:pPr>
      <w:r w:rsidRPr="009D30E6">
        <w:rPr>
          <w:sz w:val="17"/>
          <w:szCs w:val="17"/>
        </w:rPr>
        <w:separator/>
      </w:r>
    </w:p>
    <w:p w:rsidR="001F2908" w:rsidRPr="007E663E" w:rsidRDefault="001F2908" w:rsidP="007E663E">
      <w:pPr>
        <w:spacing w:after="60"/>
        <w:rPr>
          <w:sz w:val="17"/>
          <w:szCs w:val="17"/>
        </w:rPr>
      </w:pPr>
      <w:r>
        <w:rPr>
          <w:sz w:val="17"/>
        </w:rPr>
        <w:t>[Continuación de la nota de la página anterior]</w:t>
      </w:r>
    </w:p>
  </w:endnote>
  <w:endnote w:type="continuationNotice" w:id="1">
    <w:p w:rsidR="001F2908" w:rsidRPr="007E663E" w:rsidRDefault="001F290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908" w:rsidRDefault="001F2908">
      <w:r>
        <w:separator/>
      </w:r>
    </w:p>
  </w:footnote>
  <w:footnote w:type="continuationSeparator" w:id="0">
    <w:p w:rsidR="001F2908" w:rsidRPr="009D30E6" w:rsidRDefault="001F2908" w:rsidP="007E663E">
      <w:pPr>
        <w:rPr>
          <w:sz w:val="17"/>
          <w:szCs w:val="17"/>
        </w:rPr>
      </w:pPr>
      <w:r w:rsidRPr="009D30E6">
        <w:rPr>
          <w:sz w:val="17"/>
          <w:szCs w:val="17"/>
        </w:rPr>
        <w:separator/>
      </w:r>
    </w:p>
    <w:p w:rsidR="001F2908" w:rsidRPr="007E663E" w:rsidRDefault="001F2908" w:rsidP="007E663E">
      <w:pPr>
        <w:spacing w:after="60"/>
        <w:rPr>
          <w:sz w:val="17"/>
          <w:szCs w:val="17"/>
        </w:rPr>
      </w:pPr>
      <w:r>
        <w:rPr>
          <w:sz w:val="17"/>
        </w:rPr>
        <w:t>[Continuación de la nota de la página anterior]</w:t>
      </w:r>
    </w:p>
  </w:footnote>
  <w:footnote w:type="continuationNotice" w:id="1">
    <w:p w:rsidR="001F2908" w:rsidRPr="007E663E" w:rsidRDefault="001F2908" w:rsidP="007E663E">
      <w:pPr>
        <w:spacing w:before="60"/>
        <w:jc w:val="right"/>
        <w:rPr>
          <w:sz w:val="17"/>
          <w:szCs w:val="17"/>
        </w:rPr>
      </w:pPr>
      <w:r w:rsidRPr="007E663E">
        <w:rPr>
          <w:sz w:val="17"/>
          <w:szCs w:val="17"/>
        </w:rPr>
        <w:t>[Sigue la nota en la página siguiente]</w:t>
      </w:r>
    </w:p>
  </w:footnote>
  <w:footnote w:id="2">
    <w:p w:rsidR="00637868" w:rsidRPr="00FA7357" w:rsidRDefault="00637868" w:rsidP="009E2B1E">
      <w:pPr>
        <w:pStyle w:val="FootnoteText"/>
      </w:pPr>
      <w:r>
        <w:rPr>
          <w:rStyle w:val="FootnoteReference"/>
        </w:rPr>
        <w:footnoteRef/>
      </w:r>
      <w:r>
        <w:t xml:space="preserve"> </w:t>
      </w:r>
      <w:r w:rsidRPr="009E2B1E">
        <w:tab/>
      </w:r>
      <w:hyperlink r:id="rId1" w:history="1">
        <w:r w:rsidRPr="00CD4799">
          <w:rPr>
            <w:rStyle w:val="Hyperlink"/>
            <w:color w:val="auto"/>
            <w:u w:val="none"/>
            <w:lang w:val="fr-CH"/>
          </w:rPr>
          <w:t>http://www.wipo.int/case/es</w:t>
        </w:r>
        <w:r w:rsidRPr="00456540">
          <w:rPr>
            <w:rStyle w:val="Hyperlink"/>
            <w:lang w:val="fr-CH"/>
          </w:rPr>
          <w:t>/</w:t>
        </w:r>
      </w:hyperlink>
      <w:bookmarkStart w:id="6" w:name="_GoBack"/>
      <w:bookmarkEnd w:id="6"/>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868" w:rsidRDefault="00637868" w:rsidP="00477D6B">
    <w:pPr>
      <w:jc w:val="right"/>
    </w:pPr>
    <w:bookmarkStart w:id="8" w:name="Code2"/>
    <w:bookmarkEnd w:id="8"/>
    <w:r>
      <w:t>PCT/WG/9/4</w:t>
    </w:r>
  </w:p>
  <w:p w:rsidR="00637868" w:rsidRDefault="00637868" w:rsidP="00477D6B">
    <w:pPr>
      <w:jc w:val="right"/>
    </w:pPr>
    <w:r>
      <w:t xml:space="preserve">página </w:t>
    </w:r>
    <w:r>
      <w:fldChar w:fldCharType="begin"/>
    </w:r>
    <w:r>
      <w:instrText xml:space="preserve"> PAGE  \* MERGEFORMAT </w:instrText>
    </w:r>
    <w:r>
      <w:fldChar w:fldCharType="separate"/>
    </w:r>
    <w:r w:rsidR="00CD4799">
      <w:rPr>
        <w:noProof/>
      </w:rPr>
      <w:t>6</w:t>
    </w:r>
    <w:r>
      <w:fldChar w:fldCharType="end"/>
    </w:r>
  </w:p>
  <w:p w:rsidR="00637868" w:rsidRDefault="00637868"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3F3C3C3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B1E"/>
    <w:rsid w:val="00010686"/>
    <w:rsid w:val="0004298F"/>
    <w:rsid w:val="000520B8"/>
    <w:rsid w:val="00052915"/>
    <w:rsid w:val="0005296D"/>
    <w:rsid w:val="0005779A"/>
    <w:rsid w:val="00074FDF"/>
    <w:rsid w:val="00083F09"/>
    <w:rsid w:val="00095FFE"/>
    <w:rsid w:val="000D00A5"/>
    <w:rsid w:val="000E3BB3"/>
    <w:rsid w:val="000F5E56"/>
    <w:rsid w:val="000F702A"/>
    <w:rsid w:val="001020FC"/>
    <w:rsid w:val="001065EA"/>
    <w:rsid w:val="00126251"/>
    <w:rsid w:val="001362EE"/>
    <w:rsid w:val="00152CEA"/>
    <w:rsid w:val="00174CE7"/>
    <w:rsid w:val="001755BF"/>
    <w:rsid w:val="00176D91"/>
    <w:rsid w:val="001832A6"/>
    <w:rsid w:val="001A1006"/>
    <w:rsid w:val="001A7480"/>
    <w:rsid w:val="001B0FA9"/>
    <w:rsid w:val="001B69C1"/>
    <w:rsid w:val="001D3B56"/>
    <w:rsid w:val="001E70E6"/>
    <w:rsid w:val="001F2908"/>
    <w:rsid w:val="002342C4"/>
    <w:rsid w:val="00235050"/>
    <w:rsid w:val="00246CEC"/>
    <w:rsid w:val="002634C4"/>
    <w:rsid w:val="0028436D"/>
    <w:rsid w:val="002919D4"/>
    <w:rsid w:val="002A73B2"/>
    <w:rsid w:val="002C5C6B"/>
    <w:rsid w:val="002C6C12"/>
    <w:rsid w:val="002C6CF1"/>
    <w:rsid w:val="002D1879"/>
    <w:rsid w:val="002E0F47"/>
    <w:rsid w:val="002E7A80"/>
    <w:rsid w:val="002F4E68"/>
    <w:rsid w:val="002F5615"/>
    <w:rsid w:val="003161C9"/>
    <w:rsid w:val="0034039A"/>
    <w:rsid w:val="00345CCF"/>
    <w:rsid w:val="00352640"/>
    <w:rsid w:val="00354647"/>
    <w:rsid w:val="00377273"/>
    <w:rsid w:val="003845C1"/>
    <w:rsid w:val="00387287"/>
    <w:rsid w:val="00391519"/>
    <w:rsid w:val="00396486"/>
    <w:rsid w:val="003B3E27"/>
    <w:rsid w:val="003B4245"/>
    <w:rsid w:val="003D3FD6"/>
    <w:rsid w:val="003E35BA"/>
    <w:rsid w:val="003E48F1"/>
    <w:rsid w:val="003F347A"/>
    <w:rsid w:val="00423E3E"/>
    <w:rsid w:val="00427AF4"/>
    <w:rsid w:val="0045231F"/>
    <w:rsid w:val="004647DA"/>
    <w:rsid w:val="00477808"/>
    <w:rsid w:val="00477D6B"/>
    <w:rsid w:val="004814E1"/>
    <w:rsid w:val="004A16CD"/>
    <w:rsid w:val="004A5C4A"/>
    <w:rsid w:val="004A6C37"/>
    <w:rsid w:val="004D2EC3"/>
    <w:rsid w:val="004E297D"/>
    <w:rsid w:val="004E68DE"/>
    <w:rsid w:val="004F62FF"/>
    <w:rsid w:val="00523D7D"/>
    <w:rsid w:val="0053188B"/>
    <w:rsid w:val="005332F0"/>
    <w:rsid w:val="0055013B"/>
    <w:rsid w:val="00560876"/>
    <w:rsid w:val="00567908"/>
    <w:rsid w:val="00571B99"/>
    <w:rsid w:val="005E6E7A"/>
    <w:rsid w:val="00605827"/>
    <w:rsid w:val="00632DBB"/>
    <w:rsid w:val="006334D2"/>
    <w:rsid w:val="00637868"/>
    <w:rsid w:val="00642760"/>
    <w:rsid w:val="006509FE"/>
    <w:rsid w:val="00664811"/>
    <w:rsid w:val="00672D21"/>
    <w:rsid w:val="00675021"/>
    <w:rsid w:val="00690682"/>
    <w:rsid w:val="006A06C6"/>
    <w:rsid w:val="006A0FBF"/>
    <w:rsid w:val="006B3F06"/>
    <w:rsid w:val="006B44DC"/>
    <w:rsid w:val="006C4EB3"/>
    <w:rsid w:val="006C70C6"/>
    <w:rsid w:val="006D7C7E"/>
    <w:rsid w:val="006F5A92"/>
    <w:rsid w:val="006F6CBB"/>
    <w:rsid w:val="00701D04"/>
    <w:rsid w:val="007224C8"/>
    <w:rsid w:val="0076305D"/>
    <w:rsid w:val="00775261"/>
    <w:rsid w:val="00780FA6"/>
    <w:rsid w:val="00794BE2"/>
    <w:rsid w:val="007B71FE"/>
    <w:rsid w:val="007D781E"/>
    <w:rsid w:val="007E663E"/>
    <w:rsid w:val="007E6AAF"/>
    <w:rsid w:val="008058B6"/>
    <w:rsid w:val="008076B4"/>
    <w:rsid w:val="00815082"/>
    <w:rsid w:val="008416AB"/>
    <w:rsid w:val="0088395E"/>
    <w:rsid w:val="008A1967"/>
    <w:rsid w:val="008B2CC1"/>
    <w:rsid w:val="008D5408"/>
    <w:rsid w:val="008E499A"/>
    <w:rsid w:val="008E6BD6"/>
    <w:rsid w:val="0090731E"/>
    <w:rsid w:val="00925849"/>
    <w:rsid w:val="00962D15"/>
    <w:rsid w:val="00966A22"/>
    <w:rsid w:val="00967B53"/>
    <w:rsid w:val="00972F03"/>
    <w:rsid w:val="00997DF3"/>
    <w:rsid w:val="009A0C8B"/>
    <w:rsid w:val="009B6241"/>
    <w:rsid w:val="009C2705"/>
    <w:rsid w:val="009C5AF4"/>
    <w:rsid w:val="009E2B1E"/>
    <w:rsid w:val="009E7B73"/>
    <w:rsid w:val="00A16FC0"/>
    <w:rsid w:val="00A25DD8"/>
    <w:rsid w:val="00A3032B"/>
    <w:rsid w:val="00A32C9E"/>
    <w:rsid w:val="00A34253"/>
    <w:rsid w:val="00A61D74"/>
    <w:rsid w:val="00A744F1"/>
    <w:rsid w:val="00A74DEE"/>
    <w:rsid w:val="00AB5C0E"/>
    <w:rsid w:val="00AB613D"/>
    <w:rsid w:val="00AD215E"/>
    <w:rsid w:val="00AD6E0E"/>
    <w:rsid w:val="00AE6422"/>
    <w:rsid w:val="00AE7F20"/>
    <w:rsid w:val="00AF4FD4"/>
    <w:rsid w:val="00B44B8B"/>
    <w:rsid w:val="00B50F5B"/>
    <w:rsid w:val="00B546CC"/>
    <w:rsid w:val="00B65A0A"/>
    <w:rsid w:val="00B67CDC"/>
    <w:rsid w:val="00B72D36"/>
    <w:rsid w:val="00B7453E"/>
    <w:rsid w:val="00B765A6"/>
    <w:rsid w:val="00B812CC"/>
    <w:rsid w:val="00BC4164"/>
    <w:rsid w:val="00BD2DCC"/>
    <w:rsid w:val="00BE4D11"/>
    <w:rsid w:val="00C0005F"/>
    <w:rsid w:val="00C059D8"/>
    <w:rsid w:val="00C06739"/>
    <w:rsid w:val="00C34B63"/>
    <w:rsid w:val="00C4449B"/>
    <w:rsid w:val="00C5576C"/>
    <w:rsid w:val="00C757B4"/>
    <w:rsid w:val="00C90559"/>
    <w:rsid w:val="00CA2251"/>
    <w:rsid w:val="00CB21F8"/>
    <w:rsid w:val="00CD4799"/>
    <w:rsid w:val="00CD65E5"/>
    <w:rsid w:val="00CF3DC9"/>
    <w:rsid w:val="00D22475"/>
    <w:rsid w:val="00D46215"/>
    <w:rsid w:val="00D519B4"/>
    <w:rsid w:val="00D540F7"/>
    <w:rsid w:val="00D56C7C"/>
    <w:rsid w:val="00D71549"/>
    <w:rsid w:val="00D71B4D"/>
    <w:rsid w:val="00D73D8C"/>
    <w:rsid w:val="00D90289"/>
    <w:rsid w:val="00D93D55"/>
    <w:rsid w:val="00DA1156"/>
    <w:rsid w:val="00DA3FB0"/>
    <w:rsid w:val="00DC4C60"/>
    <w:rsid w:val="00DD4CE3"/>
    <w:rsid w:val="00DD7F36"/>
    <w:rsid w:val="00DF1F0D"/>
    <w:rsid w:val="00E0079A"/>
    <w:rsid w:val="00E0488E"/>
    <w:rsid w:val="00E24E8D"/>
    <w:rsid w:val="00E42208"/>
    <w:rsid w:val="00E444DA"/>
    <w:rsid w:val="00E45C84"/>
    <w:rsid w:val="00E504E5"/>
    <w:rsid w:val="00E53BE7"/>
    <w:rsid w:val="00E71A95"/>
    <w:rsid w:val="00EB7A3E"/>
    <w:rsid w:val="00EC401A"/>
    <w:rsid w:val="00EF530A"/>
    <w:rsid w:val="00EF6622"/>
    <w:rsid w:val="00F00572"/>
    <w:rsid w:val="00F3409C"/>
    <w:rsid w:val="00F41B47"/>
    <w:rsid w:val="00F55408"/>
    <w:rsid w:val="00F64B22"/>
    <w:rsid w:val="00F66152"/>
    <w:rsid w:val="00F73470"/>
    <w:rsid w:val="00F75623"/>
    <w:rsid w:val="00F80845"/>
    <w:rsid w:val="00F8389D"/>
    <w:rsid w:val="00F84474"/>
    <w:rsid w:val="00FA0F0D"/>
    <w:rsid w:val="00FA7357"/>
    <w:rsid w:val="00FB181C"/>
    <w:rsid w:val="00FD59D1"/>
    <w:rsid w:val="00FD7632"/>
    <w:rsid w:val="00FF054F"/>
    <w:rsid w:val="00FF4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uiPriority w:val="99"/>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E70E6"/>
    <w:rPr>
      <w:rFonts w:ascii="Tahoma" w:hAnsi="Tahoma" w:cs="Tahoma"/>
      <w:sz w:val="16"/>
      <w:szCs w:val="16"/>
    </w:rPr>
  </w:style>
  <w:style w:type="character" w:customStyle="1" w:styleId="BalloonTextChar">
    <w:name w:val="Balloon Text Char"/>
    <w:basedOn w:val="DefaultParagraphFont"/>
    <w:link w:val="BalloonText"/>
    <w:rsid w:val="001E70E6"/>
    <w:rPr>
      <w:rFonts w:ascii="Tahoma" w:eastAsia="SimSun" w:hAnsi="Tahoma" w:cs="Tahoma"/>
      <w:sz w:val="16"/>
      <w:szCs w:val="16"/>
      <w:lang w:val="es-ES" w:eastAsia="zh-CN"/>
    </w:rPr>
  </w:style>
  <w:style w:type="character" w:styleId="FootnoteReference">
    <w:name w:val="footnote reference"/>
    <w:basedOn w:val="DefaultParagraphFont"/>
    <w:rsid w:val="009E2B1E"/>
    <w:rPr>
      <w:vertAlign w:val="superscript"/>
    </w:rPr>
  </w:style>
  <w:style w:type="character" w:customStyle="1" w:styleId="ONUMEChar">
    <w:name w:val="ONUM E Char"/>
    <w:link w:val="ONUME"/>
    <w:uiPriority w:val="99"/>
    <w:locked/>
    <w:rsid w:val="009E2B1E"/>
    <w:rPr>
      <w:rFonts w:ascii="Arial" w:eastAsia="SimSun" w:hAnsi="Arial" w:cs="Arial"/>
      <w:sz w:val="22"/>
      <w:lang w:val="es-ES" w:eastAsia="zh-CN"/>
    </w:rPr>
  </w:style>
  <w:style w:type="character" w:styleId="Hyperlink">
    <w:name w:val="Hyperlink"/>
    <w:basedOn w:val="DefaultParagraphFont"/>
    <w:rsid w:val="00FA73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uiPriority w:val="99"/>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E70E6"/>
    <w:rPr>
      <w:rFonts w:ascii="Tahoma" w:hAnsi="Tahoma" w:cs="Tahoma"/>
      <w:sz w:val="16"/>
      <w:szCs w:val="16"/>
    </w:rPr>
  </w:style>
  <w:style w:type="character" w:customStyle="1" w:styleId="BalloonTextChar">
    <w:name w:val="Balloon Text Char"/>
    <w:basedOn w:val="DefaultParagraphFont"/>
    <w:link w:val="BalloonText"/>
    <w:rsid w:val="001E70E6"/>
    <w:rPr>
      <w:rFonts w:ascii="Tahoma" w:eastAsia="SimSun" w:hAnsi="Tahoma" w:cs="Tahoma"/>
      <w:sz w:val="16"/>
      <w:szCs w:val="16"/>
      <w:lang w:val="es-ES" w:eastAsia="zh-CN"/>
    </w:rPr>
  </w:style>
  <w:style w:type="character" w:styleId="FootnoteReference">
    <w:name w:val="footnote reference"/>
    <w:basedOn w:val="DefaultParagraphFont"/>
    <w:rsid w:val="009E2B1E"/>
    <w:rPr>
      <w:vertAlign w:val="superscript"/>
    </w:rPr>
  </w:style>
  <w:style w:type="character" w:customStyle="1" w:styleId="ONUMEChar">
    <w:name w:val="ONUM E Char"/>
    <w:link w:val="ONUME"/>
    <w:uiPriority w:val="99"/>
    <w:locked/>
    <w:rsid w:val="009E2B1E"/>
    <w:rPr>
      <w:rFonts w:ascii="Arial" w:eastAsia="SimSun" w:hAnsi="Arial" w:cs="Arial"/>
      <w:sz w:val="22"/>
      <w:lang w:val="es-ES" w:eastAsia="zh-CN"/>
    </w:rPr>
  </w:style>
  <w:style w:type="character" w:styleId="Hyperlink">
    <w:name w:val="Hyperlink"/>
    <w:basedOn w:val="DefaultParagraphFont"/>
    <w:rsid w:val="00FA73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wipo.int/cas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83C22-E7AD-4978-85F0-1F880D5EF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3268</Words>
  <Characters>17482</Characters>
  <Application>Microsoft Office Word</Application>
  <DocSecurity>0</DocSecurity>
  <Lines>5827</Lines>
  <Paragraphs>1596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PCT/WG/9/4</vt:lpstr>
      <vt:lpstr>PCT/WG/9/</vt:lpstr>
    </vt:vector>
  </TitlesOfParts>
  <Company>WIPO</Company>
  <LinksUpToDate>false</LinksUpToDate>
  <CharactersWithSpaces>19154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PCT/WG/9/4</dc:title>
  <dc:subject>Effective Work Sharing Beyond International Reports:  Utlization of the WIPO CASE Platform</dc:subject>
  <dc:creator>MARLOW Thomas</dc:creator>
  <dc:description>CF (trad. ext.) - 26.2.2016
JC (QC) - 3.3.2016</dc:description>
  <cp:lastModifiedBy>MARLOW Thomas</cp:lastModifiedBy>
  <cp:revision>3</cp:revision>
  <dcterms:created xsi:type="dcterms:W3CDTF">2016-03-03T15:39:00Z</dcterms:created>
  <dcterms:modified xsi:type="dcterms:W3CDTF">2016-03-03T15:41:00Z</dcterms:modified>
</cp:coreProperties>
</file>