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11922" w:rsidRPr="00DB6C66" w:rsidTr="00A67287">
        <w:tc>
          <w:tcPr>
            <w:tcW w:w="4513" w:type="dxa"/>
            <w:tcBorders>
              <w:bottom w:val="single" w:sz="4" w:space="0" w:color="auto"/>
            </w:tcBorders>
            <w:tcMar>
              <w:bottom w:w="170" w:type="dxa"/>
            </w:tcMar>
          </w:tcPr>
          <w:p w:rsidR="00111922" w:rsidRPr="00DB6C66" w:rsidRDefault="00111922" w:rsidP="00A67287">
            <w:pPr>
              <w:rPr>
                <w:lang w:val="fr-FR"/>
              </w:rPr>
            </w:pPr>
          </w:p>
        </w:tc>
        <w:tc>
          <w:tcPr>
            <w:tcW w:w="4337" w:type="dxa"/>
            <w:tcBorders>
              <w:bottom w:val="single" w:sz="4" w:space="0" w:color="auto"/>
            </w:tcBorders>
            <w:tcMar>
              <w:left w:w="0" w:type="dxa"/>
              <w:bottom w:w="170" w:type="dxa"/>
              <w:right w:w="0" w:type="dxa"/>
            </w:tcMar>
          </w:tcPr>
          <w:p w:rsidR="00111922" w:rsidRPr="00DB6C66" w:rsidRDefault="00111922" w:rsidP="003033C3">
            <w:pPr>
              <w:jc w:val="both"/>
              <w:rPr>
                <w:lang w:val="fr-FR"/>
              </w:rPr>
            </w:pPr>
            <w:r w:rsidRPr="00DB6C66">
              <w:rPr>
                <w:noProof/>
                <w:lang w:eastAsia="en-US"/>
              </w:rPr>
              <w:drawing>
                <wp:inline distT="0" distB="0" distL="0" distR="0" wp14:anchorId="6419708B" wp14:editId="3EFF7D6E">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11922" w:rsidRPr="00DB6C66" w:rsidRDefault="00111922" w:rsidP="003033C3">
            <w:pPr>
              <w:jc w:val="both"/>
              <w:rPr>
                <w:lang w:val="fr-FR"/>
              </w:rPr>
            </w:pPr>
            <w:r w:rsidRPr="00DB6C66">
              <w:rPr>
                <w:b/>
                <w:sz w:val="40"/>
                <w:szCs w:val="40"/>
                <w:lang w:val="fr-FR"/>
              </w:rPr>
              <w:t>F</w:t>
            </w:r>
          </w:p>
        </w:tc>
      </w:tr>
      <w:tr w:rsidR="00111922" w:rsidRPr="00DB6C66" w:rsidTr="006F05E0">
        <w:trPr>
          <w:trHeight w:hRule="exact" w:val="340"/>
        </w:trPr>
        <w:tc>
          <w:tcPr>
            <w:tcW w:w="9356" w:type="dxa"/>
            <w:gridSpan w:val="3"/>
            <w:tcBorders>
              <w:top w:val="single" w:sz="4" w:space="0" w:color="auto"/>
            </w:tcBorders>
            <w:tcMar>
              <w:top w:w="170" w:type="dxa"/>
              <w:left w:w="0" w:type="dxa"/>
              <w:right w:w="0" w:type="dxa"/>
            </w:tcMar>
            <w:vAlign w:val="bottom"/>
          </w:tcPr>
          <w:p w:rsidR="00111922" w:rsidRPr="00DB6C66" w:rsidRDefault="00111922" w:rsidP="002F2C23">
            <w:pPr>
              <w:jc w:val="right"/>
              <w:rPr>
                <w:rFonts w:ascii="Arial Black" w:hAnsi="Arial Black"/>
                <w:caps/>
                <w:sz w:val="15"/>
                <w:lang w:val="fr-FR"/>
              </w:rPr>
            </w:pPr>
            <w:r w:rsidRPr="00DB6C66">
              <w:rPr>
                <w:rFonts w:ascii="Arial Black" w:hAnsi="Arial Black"/>
                <w:caps/>
                <w:sz w:val="15"/>
                <w:lang w:val="fr-FR"/>
              </w:rPr>
              <w:t>PCT/CTC/28/</w:t>
            </w:r>
            <w:bookmarkStart w:id="0" w:name="Code"/>
            <w:bookmarkEnd w:id="0"/>
            <w:r w:rsidRPr="00DB6C66">
              <w:rPr>
                <w:rFonts w:ascii="Arial Black" w:hAnsi="Arial Black"/>
                <w:caps/>
                <w:sz w:val="15"/>
                <w:lang w:val="fr-FR"/>
              </w:rPr>
              <w:t xml:space="preserve">2 </w:t>
            </w:r>
          </w:p>
        </w:tc>
      </w:tr>
      <w:tr w:rsidR="00111922" w:rsidRPr="00DB6C66" w:rsidTr="006F05E0">
        <w:trPr>
          <w:trHeight w:hRule="exact" w:val="170"/>
        </w:trPr>
        <w:tc>
          <w:tcPr>
            <w:tcW w:w="9356" w:type="dxa"/>
            <w:gridSpan w:val="3"/>
            <w:noWrap/>
            <w:tcMar>
              <w:left w:w="0" w:type="dxa"/>
              <w:right w:w="0" w:type="dxa"/>
            </w:tcMar>
            <w:vAlign w:val="bottom"/>
          </w:tcPr>
          <w:p w:rsidR="00111922" w:rsidRPr="00DB6C66" w:rsidRDefault="00111922" w:rsidP="002F2C23">
            <w:pPr>
              <w:jc w:val="right"/>
              <w:rPr>
                <w:rFonts w:ascii="Arial Black" w:hAnsi="Arial Black"/>
                <w:caps/>
                <w:sz w:val="15"/>
                <w:lang w:val="fr-FR"/>
              </w:rPr>
            </w:pPr>
            <w:r w:rsidRPr="00DB6C66">
              <w:rPr>
                <w:rFonts w:ascii="Arial Black" w:hAnsi="Arial Black"/>
                <w:caps/>
                <w:sz w:val="15"/>
                <w:lang w:val="fr-FR"/>
              </w:rPr>
              <w:t xml:space="preserve">ORIGINAL : </w:t>
            </w:r>
            <w:bookmarkStart w:id="1" w:name="Original"/>
            <w:bookmarkEnd w:id="1"/>
            <w:r w:rsidRPr="00DB6C66">
              <w:rPr>
                <w:rFonts w:ascii="Arial Black" w:hAnsi="Arial Black"/>
                <w:caps/>
                <w:sz w:val="15"/>
                <w:lang w:val="fr-FR"/>
              </w:rPr>
              <w:t>anglais</w:t>
            </w:r>
          </w:p>
        </w:tc>
      </w:tr>
      <w:tr w:rsidR="00111922" w:rsidRPr="00DB6C66" w:rsidTr="006F05E0">
        <w:trPr>
          <w:trHeight w:hRule="exact" w:val="198"/>
        </w:trPr>
        <w:tc>
          <w:tcPr>
            <w:tcW w:w="9356" w:type="dxa"/>
            <w:gridSpan w:val="3"/>
            <w:tcMar>
              <w:left w:w="0" w:type="dxa"/>
              <w:right w:w="0" w:type="dxa"/>
            </w:tcMar>
            <w:vAlign w:val="bottom"/>
          </w:tcPr>
          <w:p w:rsidR="00111922" w:rsidRPr="00DB6C66" w:rsidRDefault="00111922" w:rsidP="002F2C23">
            <w:pPr>
              <w:jc w:val="right"/>
              <w:rPr>
                <w:rFonts w:ascii="Arial Black" w:hAnsi="Arial Black"/>
                <w:caps/>
                <w:sz w:val="15"/>
                <w:lang w:val="fr-FR"/>
              </w:rPr>
            </w:pPr>
            <w:r w:rsidRPr="00DB6C66">
              <w:rPr>
                <w:rFonts w:ascii="Arial Black" w:hAnsi="Arial Black"/>
                <w:caps/>
                <w:sz w:val="15"/>
                <w:lang w:val="fr-FR"/>
              </w:rPr>
              <w:t xml:space="preserve">DATE : </w:t>
            </w:r>
            <w:bookmarkStart w:id="2" w:name="Date"/>
            <w:bookmarkEnd w:id="2"/>
            <w:r w:rsidRPr="00DB6C66">
              <w:rPr>
                <w:rFonts w:ascii="Arial Black" w:hAnsi="Arial Black"/>
                <w:caps/>
                <w:sz w:val="15"/>
                <w:lang w:val="fr-FR"/>
              </w:rPr>
              <w:t>1</w:t>
            </w:r>
            <w:r w:rsidRPr="00DB6C66">
              <w:rPr>
                <w:rFonts w:ascii="Arial Black" w:hAnsi="Arial Black"/>
                <w:caps/>
                <w:sz w:val="15"/>
                <w:vertAlign w:val="superscript"/>
                <w:lang w:val="fr-FR"/>
              </w:rPr>
              <w:t>er</w:t>
            </w:r>
            <w:r w:rsidRPr="00DB6C66">
              <w:rPr>
                <w:rFonts w:ascii="Arial Black" w:hAnsi="Arial Black"/>
                <w:caps/>
                <w:sz w:val="15"/>
                <w:lang w:val="fr-FR"/>
              </w:rPr>
              <w:t> avril 2015</w:t>
            </w:r>
          </w:p>
        </w:tc>
      </w:tr>
    </w:tbl>
    <w:p w:rsidR="00111922" w:rsidRPr="00DB6C66" w:rsidRDefault="00111922" w:rsidP="003033C3">
      <w:pPr>
        <w:jc w:val="both"/>
        <w:rPr>
          <w:lang w:val="fr-FR"/>
        </w:rPr>
      </w:pPr>
    </w:p>
    <w:p w:rsidR="00111922" w:rsidRPr="00DB6C66" w:rsidRDefault="00111922" w:rsidP="003033C3">
      <w:pPr>
        <w:jc w:val="both"/>
        <w:rPr>
          <w:lang w:val="fr-FR"/>
        </w:rPr>
      </w:pPr>
    </w:p>
    <w:p w:rsidR="00111922" w:rsidRPr="00DB6C66" w:rsidRDefault="00111922" w:rsidP="003033C3">
      <w:pPr>
        <w:jc w:val="both"/>
        <w:rPr>
          <w:lang w:val="fr-FR"/>
        </w:rPr>
      </w:pPr>
    </w:p>
    <w:p w:rsidR="00111922" w:rsidRPr="00DB6C66" w:rsidRDefault="00111922" w:rsidP="003033C3">
      <w:pPr>
        <w:jc w:val="both"/>
        <w:rPr>
          <w:lang w:val="fr-FR"/>
        </w:rPr>
      </w:pPr>
    </w:p>
    <w:p w:rsidR="00111922" w:rsidRPr="00DB6C66" w:rsidRDefault="00111922" w:rsidP="003033C3">
      <w:pPr>
        <w:jc w:val="both"/>
        <w:rPr>
          <w:lang w:val="fr-FR"/>
        </w:rPr>
      </w:pPr>
    </w:p>
    <w:p w:rsidR="00111922" w:rsidRPr="00DB6C66" w:rsidRDefault="00111922" w:rsidP="003033C3">
      <w:pPr>
        <w:jc w:val="both"/>
        <w:rPr>
          <w:b/>
          <w:sz w:val="28"/>
          <w:szCs w:val="28"/>
          <w:lang w:val="fr-FR"/>
        </w:rPr>
      </w:pPr>
      <w:r w:rsidRPr="00DB6C66">
        <w:rPr>
          <w:b/>
          <w:sz w:val="28"/>
          <w:szCs w:val="28"/>
          <w:lang w:val="fr-FR"/>
        </w:rPr>
        <w:t>Traité de coopération en matière de brevets (PCT)</w:t>
      </w:r>
    </w:p>
    <w:p w:rsidR="00111922" w:rsidRPr="00DB6C66" w:rsidRDefault="00111922" w:rsidP="003033C3">
      <w:pPr>
        <w:jc w:val="both"/>
        <w:rPr>
          <w:b/>
          <w:sz w:val="28"/>
          <w:szCs w:val="28"/>
          <w:lang w:val="fr-FR"/>
        </w:rPr>
      </w:pPr>
      <w:r w:rsidRPr="00DB6C66">
        <w:rPr>
          <w:b/>
          <w:sz w:val="28"/>
          <w:szCs w:val="28"/>
          <w:lang w:val="fr-FR"/>
        </w:rPr>
        <w:t>Comité de coopération technique</w:t>
      </w:r>
    </w:p>
    <w:p w:rsidR="00111922" w:rsidRPr="00DB6C66" w:rsidRDefault="00111922" w:rsidP="003033C3">
      <w:pPr>
        <w:jc w:val="both"/>
        <w:rPr>
          <w:lang w:val="fr-FR"/>
        </w:rPr>
      </w:pPr>
    </w:p>
    <w:p w:rsidR="00111922" w:rsidRPr="00DB6C66" w:rsidRDefault="00111922" w:rsidP="003033C3">
      <w:pPr>
        <w:jc w:val="both"/>
        <w:rPr>
          <w:lang w:val="fr-FR"/>
        </w:rPr>
      </w:pPr>
    </w:p>
    <w:p w:rsidR="00111922" w:rsidRPr="00DB6C66" w:rsidRDefault="00111922" w:rsidP="003033C3">
      <w:pPr>
        <w:jc w:val="both"/>
        <w:rPr>
          <w:b/>
          <w:sz w:val="24"/>
          <w:szCs w:val="24"/>
          <w:lang w:val="fr-FR"/>
        </w:rPr>
      </w:pPr>
      <w:r w:rsidRPr="00DB6C66">
        <w:rPr>
          <w:b/>
          <w:sz w:val="24"/>
          <w:szCs w:val="24"/>
          <w:lang w:val="fr-FR"/>
        </w:rPr>
        <w:t>Vingt</w:t>
      </w:r>
      <w:r w:rsidR="008117E3">
        <w:rPr>
          <w:b/>
          <w:sz w:val="24"/>
          <w:szCs w:val="24"/>
          <w:lang w:val="fr-FR"/>
        </w:rPr>
        <w:noBreakHyphen/>
      </w:r>
      <w:r w:rsidRPr="00DB6C66">
        <w:rPr>
          <w:b/>
          <w:sz w:val="24"/>
          <w:szCs w:val="24"/>
          <w:lang w:val="fr-FR"/>
        </w:rPr>
        <w:t>huitième</w:t>
      </w:r>
      <w:r w:rsidR="004E047D" w:rsidRPr="00DB6C66">
        <w:rPr>
          <w:b/>
          <w:sz w:val="24"/>
          <w:szCs w:val="24"/>
          <w:lang w:val="fr-FR"/>
        </w:rPr>
        <w:t> </w:t>
      </w:r>
      <w:r w:rsidRPr="00DB6C66">
        <w:rPr>
          <w:b/>
          <w:sz w:val="24"/>
          <w:szCs w:val="24"/>
          <w:lang w:val="fr-FR"/>
        </w:rPr>
        <w:t>session</w:t>
      </w:r>
    </w:p>
    <w:p w:rsidR="00111922" w:rsidRPr="00DB6C66" w:rsidRDefault="00111922" w:rsidP="003033C3">
      <w:pPr>
        <w:jc w:val="both"/>
        <w:rPr>
          <w:b/>
          <w:sz w:val="24"/>
          <w:szCs w:val="24"/>
          <w:lang w:val="fr-FR"/>
        </w:rPr>
      </w:pPr>
      <w:r w:rsidRPr="00DB6C66">
        <w:rPr>
          <w:b/>
          <w:sz w:val="24"/>
          <w:szCs w:val="24"/>
          <w:lang w:val="fr-FR"/>
        </w:rPr>
        <w:t>Genève, 26 – 2</w:t>
      </w:r>
      <w:r w:rsidR="00E01D11" w:rsidRPr="00DB6C66">
        <w:rPr>
          <w:b/>
          <w:sz w:val="24"/>
          <w:szCs w:val="24"/>
          <w:lang w:val="fr-FR"/>
        </w:rPr>
        <w:t>9 mai 20</w:t>
      </w:r>
      <w:r w:rsidRPr="00DB6C66">
        <w:rPr>
          <w:b/>
          <w:sz w:val="24"/>
          <w:szCs w:val="24"/>
          <w:lang w:val="fr-FR"/>
        </w:rPr>
        <w:t>15</w:t>
      </w:r>
    </w:p>
    <w:p w:rsidR="00DB3999" w:rsidRPr="00DB6C66" w:rsidRDefault="00DB3999" w:rsidP="003033C3">
      <w:pPr>
        <w:jc w:val="both"/>
        <w:rPr>
          <w:lang w:val="fr-FR"/>
        </w:rPr>
      </w:pPr>
    </w:p>
    <w:p w:rsidR="00DB3999" w:rsidRPr="00DB6C66" w:rsidRDefault="00DB3999" w:rsidP="003033C3">
      <w:pPr>
        <w:jc w:val="both"/>
        <w:rPr>
          <w:lang w:val="fr-FR"/>
        </w:rPr>
      </w:pPr>
    </w:p>
    <w:p w:rsidR="00DB3999" w:rsidRPr="00DB6C66" w:rsidRDefault="00DB3999" w:rsidP="003033C3">
      <w:pPr>
        <w:jc w:val="both"/>
        <w:rPr>
          <w:lang w:val="fr-FR"/>
        </w:rPr>
      </w:pPr>
    </w:p>
    <w:p w:rsidR="00DB3999" w:rsidRPr="00DB6C66" w:rsidRDefault="00B7611D" w:rsidP="007B02FE">
      <w:pPr>
        <w:rPr>
          <w:caps/>
          <w:sz w:val="24"/>
          <w:lang w:val="fr-FR"/>
        </w:rPr>
      </w:pPr>
      <w:bookmarkStart w:id="3" w:name="TitleOfDoc"/>
      <w:bookmarkEnd w:id="3"/>
      <w:r w:rsidRPr="00DB6C66">
        <w:rPr>
          <w:caps/>
          <w:sz w:val="24"/>
          <w:lang w:val="fr-FR"/>
        </w:rPr>
        <w:t>Nomination de l</w:t>
      </w:r>
      <w:r w:rsidR="00280EEC">
        <w:rPr>
          <w:caps/>
          <w:sz w:val="24"/>
          <w:lang w:val="fr-FR"/>
        </w:rPr>
        <w:t>’</w:t>
      </w:r>
      <w:r w:rsidRPr="00DB6C66">
        <w:rPr>
          <w:caps/>
          <w:sz w:val="24"/>
          <w:lang w:val="fr-FR"/>
        </w:rPr>
        <w:t>institut de visegrad des brevets en qualité d</w:t>
      </w:r>
      <w:r w:rsidR="00280EEC">
        <w:rPr>
          <w:caps/>
          <w:sz w:val="24"/>
          <w:lang w:val="fr-FR"/>
        </w:rPr>
        <w:t>’</w:t>
      </w:r>
      <w:r w:rsidRPr="00DB6C66">
        <w:rPr>
          <w:caps/>
          <w:sz w:val="24"/>
          <w:lang w:val="fr-FR"/>
        </w:rPr>
        <w:t>administration chargée</w:t>
      </w:r>
      <w:r w:rsidR="000244F2" w:rsidRPr="00DB6C66">
        <w:rPr>
          <w:caps/>
          <w:sz w:val="24"/>
          <w:lang w:val="fr-FR"/>
        </w:rPr>
        <w:t xml:space="preserve"> de la recherche internationale</w:t>
      </w:r>
      <w:r w:rsidR="000244F2" w:rsidRPr="00DB6C66">
        <w:rPr>
          <w:caps/>
          <w:sz w:val="24"/>
          <w:lang w:val="fr-FR"/>
        </w:rPr>
        <w:br/>
      </w:r>
      <w:r w:rsidRPr="00DB6C66">
        <w:rPr>
          <w:caps/>
          <w:sz w:val="24"/>
          <w:lang w:val="fr-FR"/>
        </w:rPr>
        <w:t>et de l</w:t>
      </w:r>
      <w:r w:rsidR="00280EEC">
        <w:rPr>
          <w:caps/>
          <w:sz w:val="24"/>
          <w:lang w:val="fr-FR"/>
        </w:rPr>
        <w:t>’</w:t>
      </w:r>
      <w:r w:rsidRPr="00DB6C66">
        <w:rPr>
          <w:caps/>
          <w:sz w:val="24"/>
          <w:lang w:val="fr-FR"/>
        </w:rPr>
        <w:t>examen préliminaire international selon</w:t>
      </w:r>
      <w:r w:rsidR="00E01D11" w:rsidRPr="00DB6C66">
        <w:rPr>
          <w:caps/>
          <w:sz w:val="24"/>
          <w:lang w:val="fr-FR"/>
        </w:rPr>
        <w:t xml:space="preserve"> le PCT</w:t>
      </w:r>
    </w:p>
    <w:p w:rsidR="00DB3999" w:rsidRPr="00DB6C66" w:rsidRDefault="00DB3999" w:rsidP="007B02FE">
      <w:pPr>
        <w:rPr>
          <w:lang w:val="fr-FR"/>
        </w:rPr>
      </w:pPr>
    </w:p>
    <w:p w:rsidR="00DB3999" w:rsidRPr="00DB6C66" w:rsidRDefault="00DB3999" w:rsidP="007B02FE">
      <w:pPr>
        <w:rPr>
          <w:i/>
          <w:lang w:val="fr-FR"/>
        </w:rPr>
      </w:pPr>
      <w:bookmarkStart w:id="4" w:name="Prepared"/>
      <w:bookmarkEnd w:id="4"/>
      <w:r w:rsidRPr="00DB6C66">
        <w:rPr>
          <w:i/>
          <w:lang w:val="fr-FR"/>
        </w:rPr>
        <w:t>Document établi par le Bureau international</w:t>
      </w:r>
    </w:p>
    <w:p w:rsidR="00E01D11" w:rsidRPr="00DB6C66" w:rsidRDefault="00E01D11" w:rsidP="007B02FE">
      <w:pPr>
        <w:rPr>
          <w:lang w:val="fr-FR"/>
        </w:rPr>
      </w:pPr>
    </w:p>
    <w:p w:rsidR="00DB3999" w:rsidRPr="00DB6C66" w:rsidRDefault="00DB3999" w:rsidP="007B02FE">
      <w:pPr>
        <w:rPr>
          <w:lang w:val="fr-FR"/>
        </w:rPr>
      </w:pPr>
    </w:p>
    <w:p w:rsidR="00DB3999" w:rsidRPr="00DB6C66" w:rsidRDefault="00DB3999" w:rsidP="007B02FE">
      <w:pPr>
        <w:rPr>
          <w:lang w:val="fr-FR"/>
        </w:rPr>
      </w:pPr>
    </w:p>
    <w:p w:rsidR="00DB3999" w:rsidRPr="00DB6C66" w:rsidRDefault="00DB3999" w:rsidP="006D3583">
      <w:pPr>
        <w:rPr>
          <w:lang w:val="fr-FR"/>
        </w:rPr>
      </w:pPr>
    </w:p>
    <w:p w:rsidR="006D3583" w:rsidRPr="00DB6C66" w:rsidRDefault="006D3583" w:rsidP="00620A17">
      <w:pPr>
        <w:pStyle w:val="Heading1"/>
        <w:rPr>
          <w:lang w:val="fr-FR"/>
        </w:rPr>
      </w:pPr>
      <w:r w:rsidRPr="00DB6C66">
        <w:rPr>
          <w:lang w:val="fr-FR"/>
        </w:rPr>
        <w:t>Introduction</w:t>
      </w:r>
    </w:p>
    <w:p w:rsidR="00A36F61" w:rsidRPr="00DB6C66" w:rsidRDefault="00A36F61" w:rsidP="006D3583">
      <w:pPr>
        <w:pStyle w:val="ONUMFS"/>
        <w:rPr>
          <w:lang w:val="fr-FR"/>
        </w:rPr>
      </w:pPr>
      <w:r w:rsidRPr="00DB6C66">
        <w:rPr>
          <w:lang w:val="fr-FR"/>
        </w:rPr>
        <w:t xml:space="preserve">Le </w:t>
      </w:r>
      <w:r w:rsidR="002B7EFC" w:rsidRPr="00DB6C66">
        <w:rPr>
          <w:lang w:val="fr-FR"/>
        </w:rPr>
        <w:t>C</w:t>
      </w:r>
      <w:r w:rsidRPr="00DB6C66">
        <w:rPr>
          <w:lang w:val="fr-FR"/>
        </w:rPr>
        <w:t>omité est invité à donner son avis à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sur la nomination de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en qualité d</w:t>
      </w:r>
      <w:r w:rsidR="00280EEC">
        <w:rPr>
          <w:lang w:val="fr-FR"/>
        </w:rPr>
        <w:t>’</w:t>
      </w:r>
      <w:r w:rsidRPr="00DB6C66">
        <w:rPr>
          <w:lang w:val="fr-FR"/>
        </w:rPr>
        <w:t>administration chargée de la recherche internationale et de l</w:t>
      </w:r>
      <w:r w:rsidR="00280EEC">
        <w:rPr>
          <w:lang w:val="fr-FR"/>
        </w:rPr>
        <w:t>’</w:t>
      </w:r>
      <w:r w:rsidRPr="00DB6C66">
        <w:rPr>
          <w:lang w:val="fr-FR"/>
        </w:rPr>
        <w:t>examen préliminaire international selon</w:t>
      </w:r>
      <w:r w:rsidR="00E01D11" w:rsidRPr="00DB6C66">
        <w:rPr>
          <w:lang w:val="fr-FR"/>
        </w:rPr>
        <w:t xml:space="preserve"> le PCT</w:t>
      </w:r>
      <w:r w:rsidRPr="00DB6C66">
        <w:rPr>
          <w:lang w:val="fr-FR"/>
        </w:rPr>
        <w:t>.</w:t>
      </w:r>
    </w:p>
    <w:p w:rsidR="006D3583" w:rsidRPr="00DB6C66" w:rsidRDefault="00A36F61" w:rsidP="00620A17">
      <w:pPr>
        <w:pStyle w:val="Heading1"/>
        <w:rPr>
          <w:lang w:val="fr-FR"/>
        </w:rPr>
      </w:pPr>
      <w:r w:rsidRPr="00DB6C66">
        <w:rPr>
          <w:lang w:val="fr-FR"/>
        </w:rPr>
        <w:t>Généralités</w:t>
      </w:r>
    </w:p>
    <w:p w:rsidR="0050581D" w:rsidRPr="00DB6C66" w:rsidRDefault="002B7EFC" w:rsidP="006D3583">
      <w:pPr>
        <w:pStyle w:val="ONUMFS"/>
        <w:rPr>
          <w:lang w:val="fr-FR"/>
        </w:rPr>
      </w:pPr>
      <w:r w:rsidRPr="00DB6C66">
        <w:rPr>
          <w:lang w:val="fr-FR"/>
        </w:rPr>
        <w:t>D</w:t>
      </w:r>
      <w:r w:rsidR="0050581D" w:rsidRPr="00DB6C66">
        <w:rPr>
          <w:lang w:val="fr-FR"/>
        </w:rPr>
        <w:t xml:space="preserve">ans une lettre datée </w:t>
      </w:r>
      <w:r w:rsidR="0095335E" w:rsidRPr="00DB6C66">
        <w:rPr>
          <w:lang w:val="fr-FR"/>
        </w:rPr>
        <w:t>du 26 février </w:t>
      </w:r>
      <w:r w:rsidR="0050581D" w:rsidRPr="00DB6C66">
        <w:rPr>
          <w:lang w:val="fr-FR"/>
        </w:rPr>
        <w:t xml:space="preserve">2015, </w:t>
      </w:r>
      <w:r w:rsidR="001F3348" w:rsidRPr="00DB6C66">
        <w:rPr>
          <w:lang w:val="fr-FR"/>
        </w:rPr>
        <w:t>dont le texte figure à l</w:t>
      </w:r>
      <w:r w:rsidR="00280EEC">
        <w:rPr>
          <w:lang w:val="fr-FR"/>
        </w:rPr>
        <w:t>’</w:t>
      </w:r>
      <w:r w:rsidR="001F3348" w:rsidRPr="00DB6C66">
        <w:rPr>
          <w:lang w:val="fr-FR"/>
        </w:rPr>
        <w:t>annexe </w:t>
      </w:r>
      <w:r w:rsidR="0050581D" w:rsidRPr="00DB6C66">
        <w:rPr>
          <w:lang w:val="fr-FR"/>
        </w:rPr>
        <w:t xml:space="preserve">I, </w:t>
      </w:r>
      <w:r w:rsidRPr="00DB6C66">
        <w:rPr>
          <w:lang w:val="fr-FR"/>
        </w:rPr>
        <w:t>M.</w:t>
      </w:r>
      <w:r w:rsidR="004E047D" w:rsidRPr="00DB6C66">
        <w:rPr>
          <w:lang w:val="fr-FR"/>
        </w:rPr>
        <w:t> </w:t>
      </w:r>
      <w:r w:rsidR="00C87214" w:rsidRPr="00DB6C66">
        <w:rPr>
          <w:lang w:val="fr-FR"/>
        </w:rPr>
        <w:t>Josef </w:t>
      </w:r>
      <w:proofErr w:type="spellStart"/>
      <w:r w:rsidR="00C87214" w:rsidRPr="00DB6C66">
        <w:rPr>
          <w:lang w:val="fr-FR"/>
        </w:rPr>
        <w:t>Kratochvíl</w:t>
      </w:r>
      <w:proofErr w:type="spellEnd"/>
      <w:r w:rsidR="00C87214" w:rsidRPr="00DB6C66">
        <w:rPr>
          <w:lang w:val="fr-FR"/>
        </w:rPr>
        <w:t>, p</w:t>
      </w:r>
      <w:r w:rsidR="0050581D" w:rsidRPr="00DB6C66">
        <w:rPr>
          <w:lang w:val="fr-FR"/>
        </w:rPr>
        <w:t>résident de l</w:t>
      </w:r>
      <w:r w:rsidR="00280EEC">
        <w:rPr>
          <w:lang w:val="fr-FR"/>
        </w:rPr>
        <w:t>’</w:t>
      </w:r>
      <w:r w:rsidR="0050581D" w:rsidRPr="00DB6C66">
        <w:rPr>
          <w:lang w:val="fr-FR"/>
        </w:rPr>
        <w:t>Office de la propriété industrielle de la République tchèque, M. </w:t>
      </w:r>
      <w:r w:rsidR="00C87214" w:rsidRPr="00DB6C66">
        <w:rPr>
          <w:lang w:val="fr-FR"/>
        </w:rPr>
        <w:t>Miklós </w:t>
      </w:r>
      <w:proofErr w:type="spellStart"/>
      <w:r w:rsidR="000D307A" w:rsidRPr="00DB6C66">
        <w:rPr>
          <w:lang w:val="fr-FR"/>
        </w:rPr>
        <w:t>Bendzsel</w:t>
      </w:r>
      <w:proofErr w:type="spellEnd"/>
      <w:r w:rsidR="000D307A" w:rsidRPr="00DB6C66">
        <w:rPr>
          <w:lang w:val="fr-FR"/>
        </w:rPr>
        <w:t xml:space="preserve">, </w:t>
      </w:r>
      <w:r w:rsidR="00C87214" w:rsidRPr="00DB6C66">
        <w:rPr>
          <w:lang w:val="fr-FR"/>
        </w:rPr>
        <w:t>p</w:t>
      </w:r>
      <w:r w:rsidRPr="00DB6C66">
        <w:rPr>
          <w:lang w:val="fr-FR"/>
        </w:rPr>
        <w:t>résident de l</w:t>
      </w:r>
      <w:r w:rsidR="00280EEC">
        <w:rPr>
          <w:lang w:val="fr-FR"/>
        </w:rPr>
        <w:t>’</w:t>
      </w:r>
      <w:r w:rsidRPr="00DB6C66">
        <w:rPr>
          <w:lang w:val="fr-FR"/>
        </w:rPr>
        <w:t xml:space="preserve">Office </w:t>
      </w:r>
      <w:r w:rsidR="003F07D0" w:rsidRPr="00DB6C66">
        <w:rPr>
          <w:lang w:val="fr-FR"/>
        </w:rPr>
        <w:t xml:space="preserve">hongrois </w:t>
      </w:r>
      <w:r w:rsidRPr="00DB6C66">
        <w:rPr>
          <w:lang w:val="fr-FR"/>
        </w:rPr>
        <w:t xml:space="preserve">de propriété intellectuelle, </w:t>
      </w:r>
      <w:r w:rsidR="0050581D" w:rsidRPr="00DB6C66">
        <w:rPr>
          <w:lang w:val="fr-FR"/>
        </w:rPr>
        <w:t>Mme </w:t>
      </w:r>
      <w:proofErr w:type="spellStart"/>
      <w:r w:rsidR="000D307A" w:rsidRPr="00DB6C66">
        <w:rPr>
          <w:lang w:val="fr-FR"/>
        </w:rPr>
        <w:t>Al</w:t>
      </w:r>
      <w:r w:rsidR="00C87214" w:rsidRPr="00DB6C66">
        <w:rPr>
          <w:lang w:val="fr-FR"/>
        </w:rPr>
        <w:t>icja</w:t>
      </w:r>
      <w:proofErr w:type="spellEnd"/>
      <w:r w:rsidR="00C87214" w:rsidRPr="00DB6C66">
        <w:rPr>
          <w:lang w:val="fr-FR"/>
        </w:rPr>
        <w:t> </w:t>
      </w:r>
      <w:proofErr w:type="spellStart"/>
      <w:r w:rsidR="0050581D" w:rsidRPr="00DB6C66">
        <w:rPr>
          <w:lang w:val="fr-FR"/>
        </w:rPr>
        <w:t>Adamczak</w:t>
      </w:r>
      <w:proofErr w:type="spellEnd"/>
      <w:r w:rsidR="00C87214" w:rsidRPr="00DB6C66">
        <w:rPr>
          <w:lang w:val="fr-FR"/>
        </w:rPr>
        <w:t>, p</w:t>
      </w:r>
      <w:r w:rsidRPr="00DB6C66">
        <w:rPr>
          <w:lang w:val="fr-FR"/>
        </w:rPr>
        <w:t>résidente de l</w:t>
      </w:r>
      <w:r w:rsidR="00280EEC">
        <w:rPr>
          <w:lang w:val="fr-FR"/>
        </w:rPr>
        <w:t>’</w:t>
      </w:r>
      <w:r w:rsidRPr="00DB6C66">
        <w:rPr>
          <w:lang w:val="fr-FR"/>
        </w:rPr>
        <w:t xml:space="preserve">Office des brevets de la République de Pologne </w:t>
      </w:r>
      <w:r w:rsidR="0050581D" w:rsidRPr="00DB6C66">
        <w:rPr>
          <w:lang w:val="fr-FR"/>
        </w:rPr>
        <w:t>et M. </w:t>
      </w:r>
      <w:proofErr w:type="spellStart"/>
      <w:r w:rsidR="000D307A" w:rsidRPr="00DB6C66">
        <w:rPr>
          <w:lang w:val="fr-FR"/>
        </w:rPr>
        <w:t>Lubo</w:t>
      </w:r>
      <w:r w:rsidR="000D307A" w:rsidRPr="00DB6C66">
        <w:rPr>
          <w:rFonts w:ascii="Microsoft Sans Serif" w:hAnsi="Microsoft Sans Serif" w:cs="Microsoft Sans Serif"/>
          <w:lang w:val="fr-FR"/>
        </w:rPr>
        <w:t>š</w:t>
      </w:r>
      <w:proofErr w:type="spellEnd"/>
      <w:r w:rsidR="00C87214" w:rsidRPr="00DB6C66">
        <w:rPr>
          <w:lang w:val="fr-FR"/>
        </w:rPr>
        <w:t> </w:t>
      </w:r>
      <w:proofErr w:type="spellStart"/>
      <w:r w:rsidR="00E80955" w:rsidRPr="00DB6C66">
        <w:rPr>
          <w:lang w:val="fr-FR"/>
        </w:rPr>
        <w:t>Knoth</w:t>
      </w:r>
      <w:proofErr w:type="spellEnd"/>
      <w:r w:rsidR="00E80955" w:rsidRPr="00DB6C66">
        <w:rPr>
          <w:lang w:val="fr-FR"/>
        </w:rPr>
        <w:t>,</w:t>
      </w:r>
      <w:r w:rsidR="00C87214" w:rsidRPr="00DB6C66">
        <w:rPr>
          <w:lang w:val="fr-FR"/>
        </w:rPr>
        <w:t xml:space="preserve"> p</w:t>
      </w:r>
      <w:r w:rsidRPr="00DB6C66">
        <w:rPr>
          <w:lang w:val="fr-FR"/>
        </w:rPr>
        <w:t>résident de l</w:t>
      </w:r>
      <w:r w:rsidR="00280EEC">
        <w:rPr>
          <w:lang w:val="fr-FR"/>
        </w:rPr>
        <w:t>’</w:t>
      </w:r>
      <w:r w:rsidRPr="00DB6C66">
        <w:rPr>
          <w:lang w:val="fr-FR"/>
        </w:rPr>
        <w:t>Office de la propriété industrielle de la République slovaque,</w:t>
      </w:r>
      <w:r w:rsidR="0050581D" w:rsidRPr="00DB6C66">
        <w:rPr>
          <w:lang w:val="fr-FR"/>
        </w:rPr>
        <w:t xml:space="preserve"> ont indiqué au </w:t>
      </w:r>
      <w:r w:rsidR="00C87214" w:rsidRPr="00DB6C66">
        <w:rPr>
          <w:lang w:val="fr-FR"/>
        </w:rPr>
        <w:t>D</w:t>
      </w:r>
      <w:r w:rsidR="0050581D" w:rsidRPr="00DB6C66">
        <w:rPr>
          <w:lang w:val="fr-FR"/>
        </w:rPr>
        <w:t>irecteur général</w:t>
      </w:r>
      <w:r w:rsidR="00E80955" w:rsidRPr="00DB6C66">
        <w:rPr>
          <w:lang w:val="fr-FR"/>
        </w:rPr>
        <w:t xml:space="preserve"> </w:t>
      </w:r>
      <w:r w:rsidR="0050581D" w:rsidRPr="00DB6C66">
        <w:rPr>
          <w:lang w:val="fr-FR"/>
        </w:rPr>
        <w:t xml:space="preserve">que les gouvernements de la République tchèque, de la Hongrie, de la </w:t>
      </w:r>
      <w:r w:rsidRPr="00DB6C66">
        <w:rPr>
          <w:lang w:val="fr-FR"/>
        </w:rPr>
        <w:t>R</w:t>
      </w:r>
      <w:r w:rsidR="0050581D" w:rsidRPr="00DB6C66">
        <w:rPr>
          <w:lang w:val="fr-FR"/>
        </w:rPr>
        <w:t xml:space="preserve">épublique de Pologne et de la </w:t>
      </w:r>
      <w:r w:rsidRPr="00DB6C66">
        <w:rPr>
          <w:lang w:val="fr-FR"/>
        </w:rPr>
        <w:t>R</w:t>
      </w:r>
      <w:r w:rsidR="0050581D" w:rsidRPr="00DB6C66">
        <w:rPr>
          <w:lang w:val="fr-FR"/>
        </w:rPr>
        <w:t>épublique slovaque souhaitaient que l</w:t>
      </w:r>
      <w:r w:rsidR="00280EEC">
        <w:rPr>
          <w:lang w:val="fr-FR"/>
        </w:rPr>
        <w:t>’</w:t>
      </w:r>
      <w:r w:rsidRPr="00DB6C66">
        <w:rPr>
          <w:lang w:val="fr-FR"/>
        </w:rPr>
        <w:t>A</w:t>
      </w:r>
      <w:r w:rsidR="0050581D" w:rsidRPr="00DB6C66">
        <w:rPr>
          <w:lang w:val="fr-FR"/>
        </w:rPr>
        <w:t>ssemblée de l</w:t>
      </w:r>
      <w:r w:rsidR="00280EEC">
        <w:rPr>
          <w:lang w:val="fr-FR"/>
        </w:rPr>
        <w:t>’</w:t>
      </w:r>
      <w:r w:rsidRPr="00DB6C66">
        <w:rPr>
          <w:lang w:val="fr-FR"/>
        </w:rPr>
        <w:t>U</w:t>
      </w:r>
      <w:r w:rsidR="0050581D" w:rsidRPr="00DB6C66">
        <w:rPr>
          <w:lang w:val="fr-FR"/>
        </w:rPr>
        <w:t>nion</w:t>
      </w:r>
      <w:r w:rsidR="00E01D11" w:rsidRPr="00DB6C66">
        <w:rPr>
          <w:lang w:val="fr-FR"/>
        </w:rPr>
        <w:t xml:space="preserve"> du PCT</w:t>
      </w:r>
      <w:r w:rsidR="0050581D" w:rsidRPr="00DB6C66">
        <w:rPr>
          <w:lang w:val="fr-FR"/>
        </w:rPr>
        <w:t xml:space="preserve"> nomme l</w:t>
      </w:r>
      <w:r w:rsidR="00280EEC">
        <w:rPr>
          <w:lang w:val="fr-FR"/>
        </w:rPr>
        <w:t>’</w:t>
      </w:r>
      <w:r w:rsidRPr="00DB6C66">
        <w:rPr>
          <w:lang w:val="fr-FR"/>
        </w:rPr>
        <w:t>I</w:t>
      </w:r>
      <w:r w:rsidR="0050581D" w:rsidRPr="00DB6C66">
        <w:rPr>
          <w:lang w:val="fr-FR"/>
        </w:rPr>
        <w:t xml:space="preserve">nstitut de </w:t>
      </w:r>
      <w:proofErr w:type="spellStart"/>
      <w:r w:rsidR="0050581D" w:rsidRPr="00DB6C66">
        <w:rPr>
          <w:lang w:val="fr-FR"/>
        </w:rPr>
        <w:t>Visegrad</w:t>
      </w:r>
      <w:proofErr w:type="spellEnd"/>
      <w:r w:rsidR="0050581D" w:rsidRPr="00DB6C66">
        <w:rPr>
          <w:lang w:val="fr-FR"/>
        </w:rPr>
        <w:t xml:space="preserve"> des brevets en qualité d</w:t>
      </w:r>
      <w:r w:rsidR="00280EEC">
        <w:rPr>
          <w:lang w:val="fr-FR"/>
        </w:rPr>
        <w:t>’</w:t>
      </w:r>
      <w:r w:rsidR="0050581D" w:rsidRPr="00DB6C66">
        <w:rPr>
          <w:lang w:val="fr-FR"/>
        </w:rPr>
        <w:t xml:space="preserve">administration chargée de la recherche internationale et </w:t>
      </w:r>
      <w:r w:rsidR="0061788E" w:rsidRPr="00DB6C66">
        <w:rPr>
          <w:lang w:val="fr-FR"/>
        </w:rPr>
        <w:t>d</w:t>
      </w:r>
      <w:r w:rsidR="00280EEC">
        <w:rPr>
          <w:lang w:val="fr-FR"/>
        </w:rPr>
        <w:t>’</w:t>
      </w:r>
      <w:r w:rsidR="0061788E" w:rsidRPr="00DB6C66">
        <w:rPr>
          <w:lang w:val="fr-FR"/>
        </w:rPr>
        <w:t xml:space="preserve">administration chargée </w:t>
      </w:r>
      <w:r w:rsidR="0050581D" w:rsidRPr="00DB6C66">
        <w:rPr>
          <w:lang w:val="fr-FR"/>
        </w:rPr>
        <w:t>de l</w:t>
      </w:r>
      <w:r w:rsidR="00280EEC">
        <w:rPr>
          <w:lang w:val="fr-FR"/>
        </w:rPr>
        <w:t>’</w:t>
      </w:r>
      <w:r w:rsidR="0050581D" w:rsidRPr="00DB6C66">
        <w:rPr>
          <w:lang w:val="fr-FR"/>
        </w:rPr>
        <w:t>examen préliminaire international selon</w:t>
      </w:r>
      <w:r w:rsidR="00E01D11" w:rsidRPr="00DB6C66">
        <w:rPr>
          <w:lang w:val="fr-FR"/>
        </w:rPr>
        <w:t xml:space="preserve"> le PCT</w:t>
      </w:r>
      <w:r w:rsidR="0050581D" w:rsidRPr="00DB6C66">
        <w:rPr>
          <w:lang w:val="fr-FR"/>
        </w:rPr>
        <w:t xml:space="preserve">, et ont demandé à ce que le </w:t>
      </w:r>
      <w:r w:rsidRPr="00DB6C66">
        <w:rPr>
          <w:lang w:val="fr-FR"/>
        </w:rPr>
        <w:t>C</w:t>
      </w:r>
      <w:r w:rsidR="0050581D" w:rsidRPr="00DB6C66">
        <w:rPr>
          <w:lang w:val="fr-FR"/>
        </w:rPr>
        <w:t>omité de coopération technique</w:t>
      </w:r>
      <w:r w:rsidR="00E01D11" w:rsidRPr="00DB6C66">
        <w:rPr>
          <w:lang w:val="fr-FR"/>
        </w:rPr>
        <w:t xml:space="preserve"> du PCT</w:t>
      </w:r>
      <w:r w:rsidR="0050581D" w:rsidRPr="00DB6C66">
        <w:rPr>
          <w:lang w:val="fr-FR"/>
        </w:rPr>
        <w:t xml:space="preserve"> soit saisi de la question pour avis </w:t>
      </w:r>
      <w:r w:rsidR="009D1CFC" w:rsidRPr="00DB6C66">
        <w:rPr>
          <w:lang w:val="fr-FR"/>
        </w:rPr>
        <w:t xml:space="preserve">comme le préconise </w:t>
      </w:r>
      <w:r w:rsidR="0050581D" w:rsidRPr="00DB6C66">
        <w:rPr>
          <w:lang w:val="fr-FR"/>
        </w:rPr>
        <w:t>l</w:t>
      </w:r>
      <w:r w:rsidR="00280EEC">
        <w:rPr>
          <w:lang w:val="fr-FR"/>
        </w:rPr>
        <w:t>’</w:t>
      </w:r>
      <w:r w:rsidR="0050581D" w:rsidRPr="00DB6C66">
        <w:rPr>
          <w:lang w:val="fr-FR"/>
        </w:rPr>
        <w:t>article</w:t>
      </w:r>
      <w:r w:rsidR="0095335E" w:rsidRPr="00DB6C66">
        <w:rPr>
          <w:lang w:val="fr-FR"/>
        </w:rPr>
        <w:t> </w:t>
      </w:r>
      <w:r w:rsidR="009D1CFC" w:rsidRPr="00DB6C66">
        <w:rPr>
          <w:lang w:val="fr-FR"/>
        </w:rPr>
        <w:t>16</w:t>
      </w:r>
      <w:r w:rsidR="004B38D2" w:rsidRPr="00DB6C66">
        <w:rPr>
          <w:lang w:val="fr-FR"/>
        </w:rPr>
        <w:t>.</w:t>
      </w:r>
      <w:r w:rsidR="009D1CFC" w:rsidRPr="00DB6C66">
        <w:rPr>
          <w:lang w:val="fr-FR"/>
        </w:rPr>
        <w:t>3)</w:t>
      </w:r>
      <w:r w:rsidR="0050581D" w:rsidRPr="00DB6C66">
        <w:rPr>
          <w:lang w:val="fr-FR"/>
        </w:rPr>
        <w:t>e)</w:t>
      </w:r>
      <w:r w:rsidR="005B1965" w:rsidRPr="00DB6C66">
        <w:rPr>
          <w:lang w:val="fr-FR"/>
        </w:rPr>
        <w:t>, et à ce que la question soit inscrite à l</w:t>
      </w:r>
      <w:r w:rsidR="00280EEC">
        <w:rPr>
          <w:lang w:val="fr-FR"/>
        </w:rPr>
        <w:t>’</w:t>
      </w:r>
      <w:r w:rsidR="005B1965" w:rsidRPr="00DB6C66">
        <w:rPr>
          <w:lang w:val="fr-FR"/>
        </w:rPr>
        <w:t>ordre du jour</w:t>
      </w:r>
      <w:r w:rsidRPr="00DB6C66">
        <w:rPr>
          <w:lang w:val="fr-FR"/>
        </w:rPr>
        <w:t xml:space="preserve"> de l</w:t>
      </w:r>
      <w:r w:rsidR="00280EEC">
        <w:rPr>
          <w:lang w:val="fr-FR"/>
        </w:rPr>
        <w:t>’</w:t>
      </w:r>
      <w:r w:rsidRPr="00DB6C66">
        <w:rPr>
          <w:lang w:val="fr-FR"/>
        </w:rPr>
        <w:t>A</w:t>
      </w:r>
      <w:r w:rsidR="005B1965" w:rsidRPr="00DB6C66">
        <w:rPr>
          <w:lang w:val="fr-FR"/>
        </w:rPr>
        <w:t>ssemblée de l</w:t>
      </w:r>
      <w:r w:rsidR="00280EEC">
        <w:rPr>
          <w:lang w:val="fr-FR"/>
        </w:rPr>
        <w:t>’</w:t>
      </w:r>
      <w:r w:rsidRPr="00DB6C66">
        <w:rPr>
          <w:lang w:val="fr-FR"/>
        </w:rPr>
        <w:t>U</w:t>
      </w:r>
      <w:r w:rsidR="005B1965" w:rsidRPr="00DB6C66">
        <w:rPr>
          <w:lang w:val="fr-FR"/>
        </w:rPr>
        <w:t>nion</w:t>
      </w:r>
      <w:r w:rsidR="00E01D11" w:rsidRPr="00DB6C66">
        <w:rPr>
          <w:lang w:val="fr-FR"/>
        </w:rPr>
        <w:t xml:space="preserve"> du PCT</w:t>
      </w:r>
      <w:r w:rsidR="005B1965" w:rsidRPr="00DB6C66">
        <w:rPr>
          <w:lang w:val="fr-FR"/>
        </w:rPr>
        <w:t xml:space="preserve"> pour décision lors de la 55</w:t>
      </w:r>
      <w:r w:rsidR="00B477DC" w:rsidRPr="00DB6C66">
        <w:rPr>
          <w:vertAlign w:val="superscript"/>
          <w:lang w:val="fr-FR"/>
        </w:rPr>
        <w:t>e</w:t>
      </w:r>
      <w:r w:rsidR="0095335E" w:rsidRPr="00DB6C66">
        <w:rPr>
          <w:lang w:val="fr-FR"/>
        </w:rPr>
        <w:t> </w:t>
      </w:r>
      <w:r w:rsidR="005B1965" w:rsidRPr="00DB6C66">
        <w:rPr>
          <w:lang w:val="fr-FR"/>
        </w:rPr>
        <w:t xml:space="preserve">série de réunions des </w:t>
      </w:r>
      <w:r w:rsidR="004A2E87" w:rsidRPr="00DB6C66">
        <w:rPr>
          <w:lang w:val="fr-FR"/>
        </w:rPr>
        <w:t>a</w:t>
      </w:r>
      <w:r w:rsidR="005B1965" w:rsidRPr="00DB6C66">
        <w:rPr>
          <w:lang w:val="fr-FR"/>
        </w:rPr>
        <w:t xml:space="preserve">ssemblées des </w:t>
      </w:r>
      <w:r w:rsidR="00DF641F" w:rsidRPr="00DB6C66">
        <w:rPr>
          <w:lang w:val="fr-FR"/>
        </w:rPr>
        <w:t>États</w:t>
      </w:r>
      <w:r w:rsidR="00964DB7" w:rsidRPr="00DB6C66">
        <w:rPr>
          <w:lang w:val="fr-FR"/>
        </w:rPr>
        <w:t xml:space="preserve"> </w:t>
      </w:r>
      <w:r w:rsidR="005B1965" w:rsidRPr="00DB6C66">
        <w:rPr>
          <w:lang w:val="fr-FR"/>
        </w:rPr>
        <w:t>membres de l</w:t>
      </w:r>
      <w:r w:rsidR="00280EEC">
        <w:rPr>
          <w:lang w:val="fr-FR"/>
        </w:rPr>
        <w:t>’</w:t>
      </w:r>
      <w:r w:rsidR="005B1965" w:rsidRPr="00DB6C66">
        <w:rPr>
          <w:lang w:val="fr-FR"/>
        </w:rPr>
        <w:t>OMPI, qui doit se tenir en octobre</w:t>
      </w:r>
      <w:r w:rsidR="0095335E" w:rsidRPr="00DB6C66">
        <w:rPr>
          <w:lang w:val="fr-FR"/>
        </w:rPr>
        <w:t> </w:t>
      </w:r>
      <w:r w:rsidR="005B1965" w:rsidRPr="00DB6C66">
        <w:rPr>
          <w:lang w:val="fr-FR"/>
        </w:rPr>
        <w:t>2015</w:t>
      </w:r>
      <w:r w:rsidR="0095335E" w:rsidRPr="00DB6C66">
        <w:rPr>
          <w:lang w:val="fr-FR"/>
        </w:rPr>
        <w:t>.</w:t>
      </w:r>
    </w:p>
    <w:p w:rsidR="00E01D11" w:rsidRPr="00DB6C66" w:rsidRDefault="001524D4" w:rsidP="006D3583">
      <w:pPr>
        <w:pStyle w:val="ONUMFS"/>
        <w:rPr>
          <w:lang w:val="fr-FR"/>
        </w:rPr>
      </w:pPr>
      <w:r w:rsidRPr="00DB6C66">
        <w:rPr>
          <w:lang w:val="fr-FR"/>
        </w:rPr>
        <w:lastRenderedPageBreak/>
        <w:t>L</w:t>
      </w:r>
      <w:r w:rsidR="00280EEC">
        <w:rPr>
          <w:lang w:val="fr-FR"/>
        </w:rPr>
        <w:t>’</w:t>
      </w:r>
      <w:r w:rsidR="00DE2008" w:rsidRPr="00DB6C66">
        <w:rPr>
          <w:lang w:val="fr-FR"/>
        </w:rPr>
        <w:t>annexe II du présent document contient le document présenté à l</w:t>
      </w:r>
      <w:r w:rsidR="00280EEC">
        <w:rPr>
          <w:lang w:val="fr-FR"/>
        </w:rPr>
        <w:t>’</w:t>
      </w:r>
      <w:r w:rsidR="00DE2008" w:rsidRPr="00DB6C66">
        <w:rPr>
          <w:lang w:val="fr-FR"/>
        </w:rPr>
        <w:t xml:space="preserve">appui de la demande, </w:t>
      </w:r>
      <w:r w:rsidRPr="00DB6C66">
        <w:rPr>
          <w:lang w:val="fr-FR"/>
        </w:rPr>
        <w:t xml:space="preserve">reçu </w:t>
      </w:r>
      <w:r w:rsidR="0095335E" w:rsidRPr="00DB6C66">
        <w:rPr>
          <w:lang w:val="fr-FR"/>
        </w:rPr>
        <w:t>le 30 mars </w:t>
      </w:r>
      <w:r w:rsidRPr="00DB6C66">
        <w:rPr>
          <w:lang w:val="fr-FR"/>
        </w:rPr>
        <w:t>2015</w:t>
      </w:r>
      <w:r w:rsidR="00FC003C" w:rsidRPr="00DB6C66">
        <w:rPr>
          <w:lang w:val="fr-FR"/>
        </w:rPr>
        <w:t xml:space="preserve"> par le Bureau international</w:t>
      </w:r>
      <w:r w:rsidRPr="00DB6C66">
        <w:rPr>
          <w:lang w:val="fr-FR"/>
        </w:rPr>
        <w:t xml:space="preserve">. </w:t>
      </w:r>
      <w:r w:rsidR="0095335E" w:rsidRPr="00DB6C66">
        <w:rPr>
          <w:lang w:val="fr-FR"/>
        </w:rPr>
        <w:t xml:space="preserve"> </w:t>
      </w:r>
      <w:r w:rsidR="00F0724D" w:rsidRPr="00DB6C66">
        <w:rPr>
          <w:lang w:val="fr-FR"/>
        </w:rPr>
        <w:t xml:space="preserve">Des </w:t>
      </w:r>
      <w:r w:rsidRPr="00DB6C66">
        <w:rPr>
          <w:lang w:val="fr-FR"/>
        </w:rPr>
        <w:t>informations supplémentaires</w:t>
      </w:r>
      <w:r w:rsidR="00F0724D" w:rsidRPr="00DB6C66">
        <w:rPr>
          <w:lang w:val="fr-FR"/>
        </w:rPr>
        <w:t xml:space="preserve"> ont</w:t>
      </w:r>
      <w:r w:rsidR="00C81C99" w:rsidRPr="00DB6C66">
        <w:rPr>
          <w:lang w:val="fr-FR"/>
        </w:rPr>
        <w:t xml:space="preserve"> également</w:t>
      </w:r>
      <w:r w:rsidR="00F0724D" w:rsidRPr="00DB6C66">
        <w:rPr>
          <w:lang w:val="fr-FR"/>
        </w:rPr>
        <w:t xml:space="preserve"> été </w:t>
      </w:r>
      <w:r w:rsidRPr="00DB6C66">
        <w:rPr>
          <w:lang w:val="fr-FR"/>
        </w:rPr>
        <w:t xml:space="preserve">reçues </w:t>
      </w:r>
      <w:r w:rsidR="00FC003C" w:rsidRPr="00DB6C66">
        <w:rPr>
          <w:lang w:val="fr-FR"/>
        </w:rPr>
        <w:t>à la même date par le Bureau international</w:t>
      </w:r>
      <w:r w:rsidR="00B621D9" w:rsidRPr="00DB6C66">
        <w:rPr>
          <w:lang w:val="fr-FR"/>
        </w:rPr>
        <w:t xml:space="preserve"> et </w:t>
      </w:r>
      <w:r w:rsidR="00FC003C" w:rsidRPr="00DB6C66">
        <w:rPr>
          <w:lang w:val="fr-FR"/>
        </w:rPr>
        <w:t xml:space="preserve">figurent </w:t>
      </w:r>
      <w:r w:rsidRPr="00DB6C66">
        <w:rPr>
          <w:lang w:val="fr-FR"/>
        </w:rPr>
        <w:t>dans le document PCT/CTC/28/3.</w:t>
      </w:r>
    </w:p>
    <w:p w:rsidR="00DB3999" w:rsidRPr="00DB6C66" w:rsidRDefault="00DB3999" w:rsidP="006D3583">
      <w:pPr>
        <w:pStyle w:val="ONUMFS"/>
        <w:rPr>
          <w:lang w:val="fr-FR"/>
        </w:rPr>
      </w:pPr>
      <w:r w:rsidRPr="00DB6C66">
        <w:rPr>
          <w:lang w:val="fr-FR"/>
        </w:rPr>
        <w:t>La nomination des administrations chargées de la recherche internationale et de l</w:t>
      </w:r>
      <w:r w:rsidR="00280EEC">
        <w:rPr>
          <w:lang w:val="fr-FR"/>
        </w:rPr>
        <w:t>’</w:t>
      </w:r>
      <w:r w:rsidRPr="00DB6C66">
        <w:rPr>
          <w:lang w:val="fr-FR"/>
        </w:rPr>
        <w:t>examen préliminaire international selon</w:t>
      </w:r>
      <w:r w:rsidR="00E01D11" w:rsidRPr="00DB6C66">
        <w:rPr>
          <w:lang w:val="fr-FR"/>
        </w:rPr>
        <w:t xml:space="preserve"> le PCT</w:t>
      </w:r>
      <w:r w:rsidRPr="00DB6C66">
        <w:rPr>
          <w:lang w:val="fr-FR"/>
        </w:rPr>
        <w:t xml:space="preserve"> relève de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et elle est régie par les articles</w:t>
      </w:r>
      <w:r w:rsidR="004E047D" w:rsidRPr="00DB6C66">
        <w:rPr>
          <w:lang w:val="fr-FR"/>
        </w:rPr>
        <w:t> </w:t>
      </w:r>
      <w:r w:rsidRPr="00DB6C66">
        <w:rPr>
          <w:lang w:val="fr-FR"/>
        </w:rPr>
        <w:t>16 et 32.3)</w:t>
      </w:r>
      <w:r w:rsidR="00E01D11" w:rsidRPr="00DB6C66">
        <w:rPr>
          <w:lang w:val="fr-FR"/>
        </w:rPr>
        <w:t xml:space="preserve"> du PCT</w:t>
      </w:r>
      <w:r w:rsidRPr="00DB6C66">
        <w:rPr>
          <w:lang w:val="fr-FR"/>
        </w:rPr>
        <w:t>.</w:t>
      </w:r>
    </w:p>
    <w:p w:rsidR="00DB3999" w:rsidRPr="00DB6C66" w:rsidRDefault="00DB3999" w:rsidP="006D3583">
      <w:pPr>
        <w:pStyle w:val="ONUMFS"/>
        <w:rPr>
          <w:lang w:val="fr-FR"/>
        </w:rPr>
      </w:pPr>
      <w:r w:rsidRPr="00DB6C66">
        <w:rPr>
          <w:lang w:val="fr-FR"/>
        </w:rPr>
        <w:t>En vertu des articles</w:t>
      </w:r>
      <w:r w:rsidR="004E047D" w:rsidRPr="00DB6C66">
        <w:rPr>
          <w:lang w:val="fr-FR"/>
        </w:rPr>
        <w:t> </w:t>
      </w:r>
      <w:r w:rsidRPr="00DB6C66">
        <w:rPr>
          <w:lang w:val="fr-FR"/>
        </w:rPr>
        <w:t>16.3)e) et 32.3)</w:t>
      </w:r>
      <w:r w:rsidR="00E01D11" w:rsidRPr="00DB6C66">
        <w:rPr>
          <w:lang w:val="fr-FR"/>
        </w:rPr>
        <w:t xml:space="preserve"> du PCT</w:t>
      </w:r>
      <w:r w:rsidRPr="00DB6C66">
        <w:rPr>
          <w:lang w:val="fr-FR"/>
        </w:rPr>
        <w:t>, avant de prendre une décision sur cette nomination, l</w:t>
      </w:r>
      <w:r w:rsidR="00280EEC">
        <w:rPr>
          <w:lang w:val="fr-FR"/>
        </w:rPr>
        <w:t>’</w:t>
      </w:r>
      <w:r w:rsidRPr="00DB6C66">
        <w:rPr>
          <w:lang w:val="fr-FR"/>
        </w:rPr>
        <w:t>assemblée doit solliciter l</w:t>
      </w:r>
      <w:r w:rsidR="00280EEC">
        <w:rPr>
          <w:lang w:val="fr-FR"/>
        </w:rPr>
        <w:t>’</w:t>
      </w:r>
      <w:r w:rsidRPr="00DB6C66">
        <w:rPr>
          <w:lang w:val="fr-FR"/>
        </w:rPr>
        <w:t>avis du Comité de coopération technique</w:t>
      </w:r>
      <w:r w:rsidR="00E01D11" w:rsidRPr="00DB6C66">
        <w:rPr>
          <w:lang w:val="fr-FR"/>
        </w:rPr>
        <w:t xml:space="preserve"> du PCT</w:t>
      </w:r>
      <w:r w:rsidRPr="00DB6C66">
        <w:rPr>
          <w:lang w:val="fr-FR"/>
        </w:rPr>
        <w:t>.</w:t>
      </w:r>
    </w:p>
    <w:p w:rsidR="00B477DC" w:rsidRPr="00DB6C66" w:rsidRDefault="00707BF1" w:rsidP="006D3583">
      <w:pPr>
        <w:pStyle w:val="ONUMFS"/>
        <w:rPr>
          <w:lang w:val="fr-FR"/>
        </w:rPr>
      </w:pPr>
      <w:r w:rsidRPr="00DB6C66">
        <w:rPr>
          <w:lang w:val="fr-FR"/>
        </w:rPr>
        <w:t>À</w:t>
      </w:r>
      <w:r w:rsidR="00B477DC" w:rsidRPr="00DB6C66">
        <w:rPr>
          <w:lang w:val="fr-FR"/>
        </w:rPr>
        <w:t xml:space="preserve"> sa quarante</w:t>
      </w:r>
      <w:r w:rsidR="008117E3">
        <w:rPr>
          <w:lang w:val="fr-FR"/>
        </w:rPr>
        <w:noBreakHyphen/>
      </w:r>
      <w:r w:rsidR="00B477DC" w:rsidRPr="00DB6C66">
        <w:rPr>
          <w:lang w:val="fr-FR"/>
        </w:rPr>
        <w:t>sixième</w:t>
      </w:r>
      <w:r w:rsidR="0095335E" w:rsidRPr="00DB6C66">
        <w:rPr>
          <w:lang w:val="fr-FR"/>
        </w:rPr>
        <w:t> </w:t>
      </w:r>
      <w:r w:rsidR="00B477DC" w:rsidRPr="00DB6C66">
        <w:rPr>
          <w:lang w:val="fr-FR"/>
        </w:rPr>
        <w:t>session (27</w:t>
      </w:r>
      <w:r w:rsidR="00B477DC" w:rsidRPr="00DB6C66">
        <w:rPr>
          <w:vertAlign w:val="superscript"/>
          <w:lang w:val="fr-FR"/>
        </w:rPr>
        <w:t>e</w:t>
      </w:r>
      <w:r w:rsidR="0095335E" w:rsidRPr="00DB6C66">
        <w:rPr>
          <w:lang w:val="fr-FR"/>
        </w:rPr>
        <w:t> </w:t>
      </w:r>
      <w:r w:rsidR="00B477DC" w:rsidRPr="00DB6C66">
        <w:rPr>
          <w:lang w:val="fr-FR"/>
        </w:rPr>
        <w:t>session extraordinaire), qui s</w:t>
      </w:r>
      <w:r w:rsidR="00280EEC">
        <w:rPr>
          <w:lang w:val="fr-FR"/>
        </w:rPr>
        <w:t>’</w:t>
      </w:r>
      <w:r w:rsidR="00E25D87" w:rsidRPr="00DB6C66">
        <w:rPr>
          <w:lang w:val="fr-FR"/>
        </w:rPr>
        <w:t>est tenue à Genève du 22 au 30 septembre </w:t>
      </w:r>
      <w:r w:rsidR="00B477DC" w:rsidRPr="00DB6C66">
        <w:rPr>
          <w:lang w:val="fr-FR"/>
        </w:rPr>
        <w:t>2014, l</w:t>
      </w:r>
      <w:r w:rsidR="00280EEC">
        <w:rPr>
          <w:lang w:val="fr-FR"/>
        </w:rPr>
        <w:t>’</w:t>
      </w:r>
      <w:r w:rsidR="00B477DC" w:rsidRPr="00DB6C66">
        <w:rPr>
          <w:lang w:val="fr-FR"/>
        </w:rPr>
        <w:t>Assemblée de l</w:t>
      </w:r>
      <w:r w:rsidR="00280EEC">
        <w:rPr>
          <w:lang w:val="fr-FR"/>
        </w:rPr>
        <w:t>’</w:t>
      </w:r>
      <w:r w:rsidR="00B477DC" w:rsidRPr="00DB6C66">
        <w:rPr>
          <w:lang w:val="fr-FR"/>
        </w:rPr>
        <w:t>Union</w:t>
      </w:r>
      <w:r w:rsidR="00E01D11" w:rsidRPr="00DB6C66">
        <w:rPr>
          <w:lang w:val="fr-FR"/>
        </w:rPr>
        <w:t xml:space="preserve"> du PCT</w:t>
      </w:r>
      <w:r w:rsidR="00B477DC" w:rsidRPr="00DB6C66">
        <w:rPr>
          <w:lang w:val="fr-FR"/>
        </w:rPr>
        <w:t xml:space="preserve"> a adopté </w:t>
      </w:r>
      <w:r w:rsidR="00FB3011" w:rsidRPr="00DB6C66">
        <w:rPr>
          <w:lang w:val="fr-FR"/>
        </w:rPr>
        <w:t>l</w:t>
      </w:r>
      <w:r w:rsidR="00280EEC">
        <w:rPr>
          <w:lang w:val="fr-FR"/>
        </w:rPr>
        <w:t>’</w:t>
      </w:r>
      <w:r w:rsidR="00FB3011" w:rsidRPr="00DB6C66">
        <w:rPr>
          <w:lang w:val="fr-FR"/>
        </w:rPr>
        <w:t>accord de principe suivant</w:t>
      </w:r>
      <w:r w:rsidR="00B477DC" w:rsidRPr="00DB6C66">
        <w:rPr>
          <w:lang w:val="fr-FR"/>
        </w:rPr>
        <w:t xml:space="preserve"> </w:t>
      </w:r>
      <w:r w:rsidR="00E72A0D" w:rsidRPr="00DB6C66">
        <w:rPr>
          <w:lang w:val="fr-FR"/>
        </w:rPr>
        <w:t>sur</w:t>
      </w:r>
      <w:r w:rsidR="00B477DC" w:rsidRPr="00DB6C66">
        <w:rPr>
          <w:lang w:val="fr-FR"/>
        </w:rPr>
        <w:t xml:space="preserve"> </w:t>
      </w:r>
      <w:r w:rsidR="00E72A0D" w:rsidRPr="00DB6C66">
        <w:rPr>
          <w:lang w:val="fr-FR"/>
        </w:rPr>
        <w:t>les procédures de nomination</w:t>
      </w:r>
      <w:r w:rsidR="00B477DC" w:rsidRPr="00DB6C66">
        <w:rPr>
          <w:lang w:val="fr-FR"/>
        </w:rPr>
        <w:t xml:space="preserve"> des administrations internationales :</w:t>
      </w:r>
    </w:p>
    <w:p w:rsidR="00DB3999" w:rsidRPr="00DB6C66" w:rsidRDefault="00DB3999" w:rsidP="009C72E7">
      <w:pPr>
        <w:pStyle w:val="ONUMFS"/>
        <w:numPr>
          <w:ilvl w:val="0"/>
          <w:numId w:val="0"/>
        </w:numPr>
        <w:ind w:left="567"/>
        <w:rPr>
          <w:lang w:val="fr-FR"/>
        </w:rPr>
      </w:pPr>
      <w:r w:rsidRPr="00DB6C66">
        <w:rPr>
          <w:lang w:val="fr-FR"/>
        </w:rPr>
        <w:t>“</w:t>
      </w:r>
      <w:r w:rsidRPr="00DB6C66">
        <w:rPr>
          <w:u w:val="single"/>
          <w:lang w:val="fr-FR"/>
        </w:rPr>
        <w:t>Procédures de nomination des administrations internationales</w:t>
      </w:r>
      <w:r w:rsidR="004E047D" w:rsidRPr="00DB6C66">
        <w:rPr>
          <w:lang w:val="fr-FR"/>
        </w:rPr>
        <w:t> </w:t>
      </w:r>
      <w:r w:rsidRPr="00DB6C66">
        <w:rPr>
          <w:lang w:val="fr-FR"/>
        </w:rPr>
        <w:t>:</w:t>
      </w:r>
    </w:p>
    <w:p w:rsidR="00DB3999" w:rsidRPr="00DB6C66" w:rsidRDefault="00DB3999" w:rsidP="009C72E7">
      <w:pPr>
        <w:pStyle w:val="ONUMFS"/>
        <w:numPr>
          <w:ilvl w:val="0"/>
          <w:numId w:val="0"/>
        </w:numPr>
        <w:ind w:left="567"/>
        <w:rPr>
          <w:lang w:val="fr-FR"/>
        </w:rPr>
      </w:pPr>
      <w:r w:rsidRPr="00DB6C66">
        <w:rPr>
          <w:lang w:val="fr-FR"/>
        </w:rPr>
        <w:t>“</w:t>
      </w:r>
      <w:proofErr w:type="gramStart"/>
      <w:r w:rsidRPr="00DB6C66">
        <w:rPr>
          <w:lang w:val="fr-FR"/>
        </w:rPr>
        <w:t>a</w:t>
      </w:r>
      <w:proofErr w:type="gramEnd"/>
      <w:r w:rsidRPr="00DB6C66">
        <w:rPr>
          <w:lang w:val="fr-FR"/>
        </w:rPr>
        <w:t>)</w:t>
      </w:r>
      <w:r w:rsidRPr="00DB6C66">
        <w:rPr>
          <w:lang w:val="fr-FR"/>
        </w:rPr>
        <w:tab/>
        <w:t>Tout office national ou organisation intergouvernementale (ci</w:t>
      </w:r>
      <w:r w:rsidR="008117E3">
        <w:rPr>
          <w:lang w:val="fr-FR"/>
        </w:rPr>
        <w:noBreakHyphen/>
      </w:r>
      <w:r w:rsidRPr="00DB6C66">
        <w:rPr>
          <w:lang w:val="fr-FR"/>
        </w:rPr>
        <w:t>après dénommés “office”) candidat à la nomination est vivement encouragé à demander l</w:t>
      </w:r>
      <w:r w:rsidR="00280EEC">
        <w:rPr>
          <w:lang w:val="fr-FR"/>
        </w:rPr>
        <w:t>’</w:t>
      </w:r>
      <w:r w:rsidRPr="00DB6C66">
        <w:rPr>
          <w:lang w:val="fr-FR"/>
        </w:rPr>
        <w:t>assistance d</w:t>
      </w:r>
      <w:r w:rsidR="00280EEC">
        <w:rPr>
          <w:lang w:val="fr-FR"/>
        </w:rPr>
        <w:t>’</w:t>
      </w:r>
      <w:r w:rsidRPr="00DB6C66">
        <w:rPr>
          <w:lang w:val="fr-FR"/>
        </w:rPr>
        <w:t>une ou plusieurs administrations internationales existantes avant de présenter sa candidature formelle, afin de déterminer plus précisément dans quelle mesure il remplit les critères.</w:t>
      </w:r>
    </w:p>
    <w:p w:rsidR="00DB3999" w:rsidRPr="00DB6C66" w:rsidRDefault="00DB3999" w:rsidP="009C72E7">
      <w:pPr>
        <w:pStyle w:val="ONUMFS"/>
        <w:numPr>
          <w:ilvl w:val="0"/>
          <w:numId w:val="0"/>
        </w:numPr>
        <w:ind w:left="567"/>
        <w:rPr>
          <w:lang w:val="fr-FR"/>
        </w:rPr>
      </w:pPr>
      <w:r w:rsidRPr="00DB6C66">
        <w:rPr>
          <w:lang w:val="fr-FR"/>
        </w:rPr>
        <w:t>“</w:t>
      </w:r>
      <w:proofErr w:type="gramStart"/>
      <w:r w:rsidRPr="00DB6C66">
        <w:rPr>
          <w:lang w:val="fr-FR"/>
        </w:rPr>
        <w:t>b</w:t>
      </w:r>
      <w:proofErr w:type="gramEnd"/>
      <w:r w:rsidRPr="00DB6C66">
        <w:rPr>
          <w:lang w:val="fr-FR"/>
        </w:rPr>
        <w:t>)</w:t>
      </w:r>
      <w:r w:rsidRPr="00DB6C66">
        <w:rPr>
          <w:lang w:val="fr-FR"/>
        </w:rPr>
        <w:tab/>
        <w:t>Toute candidature d</w:t>
      </w:r>
      <w:r w:rsidR="00280EEC">
        <w:rPr>
          <w:lang w:val="fr-FR"/>
        </w:rPr>
        <w:t>’</w:t>
      </w:r>
      <w:r w:rsidRPr="00DB6C66">
        <w:rPr>
          <w:lang w:val="fr-FR"/>
        </w:rPr>
        <w:t>un office en vue de sa nomination en qualité d</w:t>
      </w:r>
      <w:r w:rsidR="00280EEC">
        <w:rPr>
          <w:lang w:val="fr-FR"/>
        </w:rPr>
        <w:t>’</w:t>
      </w:r>
      <w:r w:rsidRPr="00DB6C66">
        <w:rPr>
          <w:lang w:val="fr-FR"/>
        </w:rPr>
        <w:t>administration internationale doit être présentée avec une marge suffisante avant sa soumission à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afin de laisser au Comité de coopération technique</w:t>
      </w:r>
      <w:r w:rsidR="00E01D11" w:rsidRPr="00DB6C66">
        <w:rPr>
          <w:lang w:val="fr-FR"/>
        </w:rPr>
        <w:t xml:space="preserve"> du PCT</w:t>
      </w:r>
      <w:r w:rsidRPr="00DB6C66">
        <w:rPr>
          <w:lang w:val="fr-FR"/>
        </w:rPr>
        <w:t xml:space="preserve"> (CTC) le temps de procéder à un examen approprié.</w:t>
      </w:r>
      <w:r w:rsidR="000677A4" w:rsidRPr="00DB6C66">
        <w:rPr>
          <w:lang w:val="fr-FR"/>
        </w:rPr>
        <w:t xml:space="preserve"> </w:t>
      </w:r>
      <w:r w:rsidR="00E01D11" w:rsidRPr="00DB6C66">
        <w:rPr>
          <w:lang w:val="fr-FR"/>
        </w:rPr>
        <w:t xml:space="preserve"> Le CTC</w:t>
      </w:r>
      <w:r w:rsidRPr="00DB6C66">
        <w:rPr>
          <w:lang w:val="fr-FR"/>
        </w:rPr>
        <w:t xml:space="preserve"> devrait se réunir en qualité d</w:t>
      </w:r>
      <w:r w:rsidR="00280EEC">
        <w:rPr>
          <w:lang w:val="fr-FR"/>
        </w:rPr>
        <w:t>’</w:t>
      </w:r>
      <w:r w:rsidRPr="00DB6C66">
        <w:rPr>
          <w:lang w:val="fr-FR"/>
        </w:rPr>
        <w:t>organe d</w:t>
      </w:r>
      <w:r w:rsidR="00280EEC">
        <w:rPr>
          <w:lang w:val="fr-FR"/>
        </w:rPr>
        <w:t>’</w:t>
      </w:r>
      <w:r w:rsidRPr="00DB6C66">
        <w:rPr>
          <w:lang w:val="fr-FR"/>
        </w:rPr>
        <w:t>experts au moins trois</w:t>
      </w:r>
      <w:r w:rsidR="004E047D" w:rsidRPr="00DB6C66">
        <w:rPr>
          <w:lang w:val="fr-FR"/>
        </w:rPr>
        <w:t> </w:t>
      </w:r>
      <w:r w:rsidRPr="00DB6C66">
        <w:rPr>
          <w:lang w:val="fr-FR"/>
        </w:rPr>
        <w:t>mois avant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si possible en marge d</w:t>
      </w:r>
      <w:r w:rsidR="00280EEC">
        <w:rPr>
          <w:lang w:val="fr-FR"/>
        </w:rPr>
        <w:t>’</w:t>
      </w:r>
      <w:r w:rsidRPr="00DB6C66">
        <w:rPr>
          <w:lang w:val="fr-FR"/>
        </w:rPr>
        <w:t>une session du Groupe de travail</w:t>
      </w:r>
      <w:r w:rsidR="00E01D11" w:rsidRPr="00DB6C66">
        <w:rPr>
          <w:lang w:val="fr-FR"/>
        </w:rPr>
        <w:t xml:space="preserve"> du PCT</w:t>
      </w:r>
      <w:r w:rsidRPr="00DB6C66">
        <w:rPr>
          <w:lang w:val="fr-FR"/>
        </w:rPr>
        <w:t xml:space="preserve"> (généralement convoquée en mai</w:t>
      </w:r>
      <w:r w:rsidR="008117E3">
        <w:rPr>
          <w:lang w:val="fr-FR"/>
        </w:rPr>
        <w:noBreakHyphen/>
      </w:r>
      <w:r w:rsidRPr="00DB6C66">
        <w:rPr>
          <w:lang w:val="fr-FR"/>
        </w:rPr>
        <w:t>juin), afin de pouvoir donner à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un avis éclairé sur la candidature.</w:t>
      </w:r>
    </w:p>
    <w:p w:rsidR="00DB3999" w:rsidRPr="00DB6C66" w:rsidRDefault="00DB3999" w:rsidP="009C72E7">
      <w:pPr>
        <w:pStyle w:val="ONUMFS"/>
        <w:numPr>
          <w:ilvl w:val="0"/>
          <w:numId w:val="0"/>
        </w:numPr>
        <w:ind w:left="567"/>
        <w:rPr>
          <w:lang w:val="fr-FR"/>
        </w:rPr>
      </w:pPr>
      <w:r w:rsidRPr="00DB6C66">
        <w:rPr>
          <w:lang w:val="fr-FR"/>
        </w:rPr>
        <w:t>“c)</w:t>
      </w:r>
      <w:r w:rsidRPr="00DB6C66">
        <w:rPr>
          <w:lang w:val="fr-FR"/>
        </w:rPr>
        <w:tab/>
        <w:t>En conséquence, une demande écrite invitant le Directeur général à convoquer</w:t>
      </w:r>
      <w:r w:rsidR="00E01D11" w:rsidRPr="00DB6C66">
        <w:rPr>
          <w:lang w:val="fr-FR"/>
        </w:rPr>
        <w:t xml:space="preserve"> le CTC</w:t>
      </w:r>
      <w:r w:rsidRPr="00DB6C66">
        <w:rPr>
          <w:lang w:val="fr-FR"/>
        </w:rPr>
        <w:t xml:space="preserve"> doit être envoyée par l</w:t>
      </w:r>
      <w:r w:rsidR="00280EEC">
        <w:rPr>
          <w:lang w:val="fr-FR"/>
        </w:rPr>
        <w:t>’</w:t>
      </w:r>
      <w:r w:rsidRPr="00DB6C66">
        <w:rPr>
          <w:lang w:val="fr-FR"/>
        </w:rPr>
        <w:t xml:space="preserve">office de préférence avant le </w:t>
      </w:r>
      <w:r w:rsidR="00E01D11" w:rsidRPr="00DB6C66">
        <w:rPr>
          <w:lang w:val="fr-FR"/>
        </w:rPr>
        <w:t>1er </w:t>
      </w:r>
      <w:r w:rsidRPr="00DB6C66">
        <w:rPr>
          <w:lang w:val="fr-FR"/>
        </w:rPr>
        <w:t>mars de l</w:t>
      </w:r>
      <w:r w:rsidR="00280EEC">
        <w:rPr>
          <w:lang w:val="fr-FR"/>
        </w:rPr>
        <w:t>’</w:t>
      </w:r>
      <w:r w:rsidRPr="00DB6C66">
        <w:rPr>
          <w:lang w:val="fr-FR"/>
        </w:rPr>
        <w:t>année au cours de laquelle la candidature doit être examinée par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et, en tout état de cause, suffisamment tôt pour permettre au Directeur général d</w:t>
      </w:r>
      <w:r w:rsidR="00280EEC">
        <w:rPr>
          <w:lang w:val="fr-FR"/>
        </w:rPr>
        <w:t>’</w:t>
      </w:r>
      <w:r w:rsidRPr="00DB6C66">
        <w:rPr>
          <w:lang w:val="fr-FR"/>
        </w:rPr>
        <w:t>envoyer les lettres de convocation deux</w:t>
      </w:r>
      <w:r w:rsidR="004E047D" w:rsidRPr="00DB6C66">
        <w:rPr>
          <w:lang w:val="fr-FR"/>
        </w:rPr>
        <w:t> </w:t>
      </w:r>
      <w:r w:rsidRPr="00DB6C66">
        <w:rPr>
          <w:lang w:val="fr-FR"/>
        </w:rPr>
        <w:t>mois au moins avant l</w:t>
      </w:r>
      <w:r w:rsidR="00280EEC">
        <w:rPr>
          <w:lang w:val="fr-FR"/>
        </w:rPr>
        <w:t>’</w:t>
      </w:r>
      <w:r w:rsidRPr="00DB6C66">
        <w:rPr>
          <w:lang w:val="fr-FR"/>
        </w:rPr>
        <w:t>ouverture de la session du comité.</w:t>
      </w:r>
    </w:p>
    <w:p w:rsidR="00DB3999" w:rsidRPr="00DB6C66" w:rsidRDefault="00DB3999" w:rsidP="009C72E7">
      <w:pPr>
        <w:pStyle w:val="ONUMFS"/>
        <w:numPr>
          <w:ilvl w:val="0"/>
          <w:numId w:val="0"/>
        </w:numPr>
        <w:ind w:left="567"/>
        <w:rPr>
          <w:lang w:val="fr-FR"/>
        </w:rPr>
      </w:pPr>
      <w:r w:rsidRPr="00DB6C66">
        <w:rPr>
          <w:lang w:val="fr-FR"/>
        </w:rPr>
        <w:t>“</w:t>
      </w:r>
      <w:proofErr w:type="gramStart"/>
      <w:r w:rsidRPr="00DB6C66">
        <w:rPr>
          <w:lang w:val="fr-FR"/>
        </w:rPr>
        <w:t>d</w:t>
      </w:r>
      <w:proofErr w:type="gramEnd"/>
      <w:r w:rsidRPr="00DB6C66">
        <w:rPr>
          <w:lang w:val="fr-FR"/>
        </w:rPr>
        <w:t>)</w:t>
      </w:r>
      <w:r w:rsidRPr="00DB6C66">
        <w:rPr>
          <w:lang w:val="fr-FR"/>
        </w:rPr>
        <w:tab/>
        <w:t>Il est entendu que tout office qui présente sa candidature doit remplir tous les critères matériels applicables au moment de sa nomination par l</w:t>
      </w:r>
      <w:r w:rsidR="00280EEC">
        <w:rPr>
          <w:lang w:val="fr-FR"/>
        </w:rPr>
        <w:t>’</w:t>
      </w:r>
      <w:r w:rsidRPr="00DB6C66">
        <w:rPr>
          <w:lang w:val="fr-FR"/>
        </w:rPr>
        <w:t>assemblée et être prêt à débuter ses activités en qualité d</w:t>
      </w:r>
      <w:r w:rsidR="00280EEC">
        <w:rPr>
          <w:lang w:val="fr-FR"/>
        </w:rPr>
        <w:t>’</w:t>
      </w:r>
      <w:r w:rsidRPr="00DB6C66">
        <w:rPr>
          <w:lang w:val="fr-FR"/>
        </w:rPr>
        <w:t>administration internationale dans les meilleurs délais, et au plus tard dans les 18</w:t>
      </w:r>
      <w:r w:rsidR="000F69D9" w:rsidRPr="00DB6C66">
        <w:rPr>
          <w:lang w:val="fr-FR"/>
        </w:rPr>
        <w:t> </w:t>
      </w:r>
      <w:r w:rsidRPr="00DB6C66">
        <w:rPr>
          <w:lang w:val="fr-FR"/>
        </w:rPr>
        <w:t>mois qui suivent sa nomination.</w:t>
      </w:r>
      <w:r w:rsidR="000677A4" w:rsidRPr="00DB6C66">
        <w:rPr>
          <w:lang w:val="fr-FR"/>
        </w:rPr>
        <w:t xml:space="preserve">  </w:t>
      </w:r>
      <w:r w:rsidRPr="00DB6C66">
        <w:rPr>
          <w:lang w:val="fr-FR"/>
        </w:rPr>
        <w:t>En ce qui concerne l</w:t>
      </w:r>
      <w:r w:rsidR="00280EEC">
        <w:rPr>
          <w:lang w:val="fr-FR"/>
        </w:rPr>
        <w:t>’</w:t>
      </w:r>
      <w:r w:rsidRPr="00DB6C66">
        <w:rPr>
          <w:lang w:val="fr-FR"/>
        </w:rPr>
        <w:t>exigence selon laquelle l</w:t>
      </w:r>
      <w:r w:rsidR="00280EEC">
        <w:rPr>
          <w:lang w:val="fr-FR"/>
        </w:rPr>
        <w:t>’</w:t>
      </w:r>
      <w:r w:rsidRPr="00DB6C66">
        <w:rPr>
          <w:lang w:val="fr-FR"/>
        </w:rPr>
        <w:t>office qui présente sa candidature doit disposer d</w:t>
      </w:r>
      <w:r w:rsidR="00280EEC">
        <w:rPr>
          <w:lang w:val="fr-FR"/>
        </w:rPr>
        <w:t>’</w:t>
      </w:r>
      <w:r w:rsidRPr="00DB6C66">
        <w:rPr>
          <w:lang w:val="fr-FR"/>
        </w:rPr>
        <w:t>un système de gestion de la qualité et de dispositions internes en matière d</w:t>
      </w:r>
      <w:r w:rsidR="00280EEC">
        <w:rPr>
          <w:lang w:val="fr-FR"/>
        </w:rPr>
        <w:t>’</w:t>
      </w:r>
      <w:r w:rsidRPr="00DB6C66">
        <w:rPr>
          <w:lang w:val="fr-FR"/>
        </w:rPr>
        <w:t>évaluation conformément aux règles communes de la recherche internationale, lorsqu</w:t>
      </w:r>
      <w:r w:rsidR="00280EEC">
        <w:rPr>
          <w:lang w:val="fr-FR"/>
        </w:rPr>
        <w:t>’</w:t>
      </w:r>
      <w:r w:rsidRPr="00DB6C66">
        <w:rPr>
          <w:lang w:val="fr-FR"/>
        </w:rPr>
        <w:t>un tel système n</w:t>
      </w:r>
      <w:r w:rsidR="00280EEC">
        <w:rPr>
          <w:lang w:val="fr-FR"/>
        </w:rPr>
        <w:t>’</w:t>
      </w:r>
      <w:r w:rsidRPr="00DB6C66">
        <w:rPr>
          <w:lang w:val="fr-FR"/>
        </w:rPr>
        <w:t>est pas encore en place au moment de la nomination par l</w:t>
      </w:r>
      <w:r w:rsidR="00280EEC">
        <w:rPr>
          <w:lang w:val="fr-FR"/>
        </w:rPr>
        <w:t>’</w:t>
      </w:r>
      <w:r w:rsidRPr="00DB6C66">
        <w:rPr>
          <w:lang w:val="fr-FR"/>
        </w:rPr>
        <w:t>assemblée, il suffit que ce système soit complètement programmé et, de préférence, que des systèmes similaires soient déjà opérationnels en ce qui concerne les travaux de recherche et d</w:t>
      </w:r>
      <w:r w:rsidR="00280EEC">
        <w:rPr>
          <w:lang w:val="fr-FR"/>
        </w:rPr>
        <w:t>’</w:t>
      </w:r>
      <w:r w:rsidRPr="00DB6C66">
        <w:rPr>
          <w:lang w:val="fr-FR"/>
        </w:rPr>
        <w:t>examen nationaux pour témoigner d</w:t>
      </w:r>
      <w:r w:rsidR="00280EEC">
        <w:rPr>
          <w:lang w:val="fr-FR"/>
        </w:rPr>
        <w:t>’</w:t>
      </w:r>
      <w:r w:rsidRPr="00DB6C66">
        <w:rPr>
          <w:lang w:val="fr-FR"/>
        </w:rPr>
        <w:t>une expérience appropriée.</w:t>
      </w:r>
    </w:p>
    <w:p w:rsidR="00DB3999" w:rsidRPr="00DB6C66" w:rsidRDefault="00DB3999" w:rsidP="009C72E7">
      <w:pPr>
        <w:pStyle w:val="ONUMFS"/>
        <w:numPr>
          <w:ilvl w:val="0"/>
          <w:numId w:val="0"/>
        </w:numPr>
        <w:ind w:left="567"/>
        <w:rPr>
          <w:lang w:val="fr-FR"/>
        </w:rPr>
      </w:pPr>
      <w:r w:rsidRPr="00DB6C66">
        <w:rPr>
          <w:lang w:val="fr-FR"/>
        </w:rPr>
        <w:t>“</w:t>
      </w:r>
      <w:proofErr w:type="gramStart"/>
      <w:r w:rsidRPr="00DB6C66">
        <w:rPr>
          <w:lang w:val="fr-FR"/>
        </w:rPr>
        <w:t>e</w:t>
      </w:r>
      <w:proofErr w:type="gramEnd"/>
      <w:r w:rsidRPr="00DB6C66">
        <w:rPr>
          <w:lang w:val="fr-FR"/>
        </w:rPr>
        <w:t>)</w:t>
      </w:r>
      <w:r w:rsidRPr="00DB6C66">
        <w:rPr>
          <w:lang w:val="fr-FR"/>
        </w:rPr>
        <w:tab/>
        <w:t>Tout document étayant la candidature de l</w:t>
      </w:r>
      <w:r w:rsidR="00280EEC">
        <w:rPr>
          <w:lang w:val="fr-FR"/>
        </w:rPr>
        <w:t>’</w:t>
      </w:r>
      <w:r w:rsidRPr="00DB6C66">
        <w:rPr>
          <w:lang w:val="fr-FR"/>
        </w:rPr>
        <w:t>office à prendre en considération par</w:t>
      </w:r>
      <w:r w:rsidR="00E01D11" w:rsidRPr="00DB6C66">
        <w:rPr>
          <w:lang w:val="fr-FR"/>
        </w:rPr>
        <w:t xml:space="preserve"> le CTC</w:t>
      </w:r>
      <w:r w:rsidRPr="00DB6C66">
        <w:rPr>
          <w:lang w:val="fr-FR"/>
        </w:rPr>
        <w:t xml:space="preserve"> doit être soumis au Directeur général au plus tard deux</w:t>
      </w:r>
      <w:r w:rsidR="004E047D" w:rsidRPr="00DB6C66">
        <w:rPr>
          <w:lang w:val="fr-FR"/>
        </w:rPr>
        <w:t> </w:t>
      </w:r>
      <w:r w:rsidRPr="00DB6C66">
        <w:rPr>
          <w:lang w:val="fr-FR"/>
        </w:rPr>
        <w:t>mois avant l</w:t>
      </w:r>
      <w:r w:rsidR="00280EEC">
        <w:rPr>
          <w:lang w:val="fr-FR"/>
        </w:rPr>
        <w:t>’</w:t>
      </w:r>
      <w:r w:rsidRPr="00DB6C66">
        <w:rPr>
          <w:lang w:val="fr-FR"/>
        </w:rPr>
        <w:t>ouverture de la session</w:t>
      </w:r>
      <w:r w:rsidR="00E01D11" w:rsidRPr="00DB6C66">
        <w:rPr>
          <w:lang w:val="fr-FR"/>
        </w:rPr>
        <w:t xml:space="preserve"> du CTC</w:t>
      </w:r>
      <w:r w:rsidRPr="00DB6C66">
        <w:rPr>
          <w:lang w:val="fr-FR"/>
        </w:rPr>
        <w:t>.</w:t>
      </w:r>
    </w:p>
    <w:p w:rsidR="00DB3999" w:rsidRPr="00DB6C66" w:rsidRDefault="00DB3999" w:rsidP="009C72E7">
      <w:pPr>
        <w:pStyle w:val="ONUMFS"/>
        <w:numPr>
          <w:ilvl w:val="0"/>
          <w:numId w:val="0"/>
        </w:numPr>
        <w:ind w:left="567"/>
        <w:rPr>
          <w:lang w:val="fr-FR"/>
        </w:rPr>
      </w:pPr>
      <w:r w:rsidRPr="00DB6C66">
        <w:rPr>
          <w:lang w:val="fr-FR"/>
        </w:rPr>
        <w:t>“f)</w:t>
      </w:r>
      <w:r w:rsidRPr="00DB6C66">
        <w:rPr>
          <w:lang w:val="fr-FR"/>
        </w:rPr>
        <w:tab/>
        <w:t>La candidature doit ensuite être soumise à l</w:t>
      </w:r>
      <w:r w:rsidR="00280EEC">
        <w:rPr>
          <w:lang w:val="fr-FR"/>
        </w:rPr>
        <w:t>’</w:t>
      </w:r>
      <w:r w:rsidRPr="00DB6C66">
        <w:rPr>
          <w:lang w:val="fr-FR"/>
        </w:rPr>
        <w:t>Assemblée de l</w:t>
      </w:r>
      <w:r w:rsidR="00280EEC">
        <w:rPr>
          <w:lang w:val="fr-FR"/>
        </w:rPr>
        <w:t>’</w:t>
      </w:r>
      <w:r w:rsidRPr="00DB6C66">
        <w:rPr>
          <w:lang w:val="fr-FR"/>
        </w:rPr>
        <w:t>Union</w:t>
      </w:r>
      <w:r w:rsidR="00E01D11" w:rsidRPr="00DB6C66">
        <w:rPr>
          <w:lang w:val="fr-FR"/>
        </w:rPr>
        <w:t xml:space="preserve"> du PCT</w:t>
      </w:r>
      <w:r w:rsidRPr="00DB6C66">
        <w:rPr>
          <w:lang w:val="fr-FR"/>
        </w:rPr>
        <w:t xml:space="preserve"> (habituellement convoquée en septembre</w:t>
      </w:r>
      <w:r w:rsidR="008117E3">
        <w:rPr>
          <w:lang w:val="fr-FR"/>
        </w:rPr>
        <w:noBreakHyphen/>
      </w:r>
      <w:r w:rsidRPr="00DB6C66">
        <w:rPr>
          <w:lang w:val="fr-FR"/>
        </w:rPr>
        <w:t>octobre), assortie de tout avis à cet égard donné par</w:t>
      </w:r>
      <w:r w:rsidR="00E01D11" w:rsidRPr="00DB6C66">
        <w:rPr>
          <w:lang w:val="fr-FR"/>
        </w:rPr>
        <w:t xml:space="preserve"> le CTC</w:t>
      </w:r>
      <w:r w:rsidRPr="00DB6C66">
        <w:rPr>
          <w:lang w:val="fr-FR"/>
        </w:rPr>
        <w:t>, afin qu</w:t>
      </w:r>
      <w:r w:rsidR="00280EEC">
        <w:rPr>
          <w:lang w:val="fr-FR"/>
        </w:rPr>
        <w:t>’</w:t>
      </w:r>
      <w:r w:rsidRPr="00DB6C66">
        <w:rPr>
          <w:lang w:val="fr-FR"/>
        </w:rPr>
        <w:t>elle se prononce sur la candidature.”</w:t>
      </w:r>
    </w:p>
    <w:p w:rsidR="0095335E" w:rsidRPr="00DB6C66" w:rsidRDefault="002A004F" w:rsidP="006D3583">
      <w:pPr>
        <w:pStyle w:val="ONUMFS"/>
        <w:rPr>
          <w:lang w:val="fr-FR"/>
        </w:rPr>
      </w:pPr>
      <w:r w:rsidRPr="00DB6C66">
        <w:rPr>
          <w:lang w:val="fr-FR"/>
        </w:rPr>
        <w:lastRenderedPageBreak/>
        <w:t>En outre, l</w:t>
      </w:r>
      <w:r w:rsidR="00280EEC">
        <w:rPr>
          <w:lang w:val="fr-FR"/>
        </w:rPr>
        <w:t>’</w:t>
      </w:r>
      <w:r w:rsidR="0095335E" w:rsidRPr="00DB6C66">
        <w:rPr>
          <w:lang w:val="fr-FR"/>
        </w:rPr>
        <w:t xml:space="preserve">Assemblée a décidé que les procédures de nomination des administrations internationales énoncées dans </w:t>
      </w:r>
      <w:r w:rsidR="00FB3011" w:rsidRPr="00DB6C66">
        <w:rPr>
          <w:lang w:val="fr-FR"/>
        </w:rPr>
        <w:t>l</w:t>
      </w:r>
      <w:r w:rsidR="00280EEC">
        <w:rPr>
          <w:lang w:val="fr-FR"/>
        </w:rPr>
        <w:t>’</w:t>
      </w:r>
      <w:r w:rsidR="00FB3011" w:rsidRPr="00DB6C66">
        <w:rPr>
          <w:lang w:val="fr-FR"/>
        </w:rPr>
        <w:t xml:space="preserve">accord de principe </w:t>
      </w:r>
      <w:r w:rsidR="0095335E" w:rsidRPr="00DB6C66">
        <w:rPr>
          <w:lang w:val="fr-FR"/>
        </w:rPr>
        <w:t>ci</w:t>
      </w:r>
      <w:r w:rsidR="008117E3">
        <w:rPr>
          <w:lang w:val="fr-FR"/>
        </w:rPr>
        <w:noBreakHyphen/>
      </w:r>
      <w:r w:rsidR="0095335E" w:rsidRPr="00DB6C66">
        <w:rPr>
          <w:lang w:val="fr-FR"/>
        </w:rPr>
        <w:t xml:space="preserve">dessus </w:t>
      </w:r>
      <w:r w:rsidR="0015116E" w:rsidRPr="00DB6C66">
        <w:rPr>
          <w:lang w:val="fr-FR"/>
        </w:rPr>
        <w:t>s</w:t>
      </w:r>
      <w:r w:rsidR="00280EEC">
        <w:rPr>
          <w:lang w:val="fr-FR"/>
        </w:rPr>
        <w:t>’</w:t>
      </w:r>
      <w:r w:rsidR="0015116E" w:rsidRPr="00DB6C66">
        <w:rPr>
          <w:lang w:val="fr-FR"/>
        </w:rPr>
        <w:t>appliqu</w:t>
      </w:r>
      <w:r w:rsidR="00C961B6" w:rsidRPr="00DB6C66">
        <w:rPr>
          <w:lang w:val="fr-FR"/>
        </w:rPr>
        <w:t>ai</w:t>
      </w:r>
      <w:r w:rsidR="0015116E" w:rsidRPr="00DB6C66">
        <w:rPr>
          <w:lang w:val="fr-FR"/>
        </w:rPr>
        <w:t>ent</w:t>
      </w:r>
      <w:r w:rsidR="0095335E" w:rsidRPr="00DB6C66">
        <w:rPr>
          <w:lang w:val="fr-FR"/>
        </w:rPr>
        <w:t xml:space="preserve"> à toute demande de nomination en qualité d</w:t>
      </w:r>
      <w:r w:rsidR="00280EEC">
        <w:rPr>
          <w:lang w:val="fr-FR"/>
        </w:rPr>
        <w:t>’</w:t>
      </w:r>
      <w:r w:rsidR="0095335E" w:rsidRPr="00DB6C66">
        <w:rPr>
          <w:lang w:val="fr-FR"/>
        </w:rPr>
        <w:t>administration internationale soumise après la clôture de sa quarante</w:t>
      </w:r>
      <w:r w:rsidR="008117E3">
        <w:rPr>
          <w:lang w:val="fr-FR"/>
        </w:rPr>
        <w:noBreakHyphen/>
      </w:r>
      <w:r w:rsidR="0095335E" w:rsidRPr="00DB6C66">
        <w:rPr>
          <w:lang w:val="fr-FR"/>
        </w:rPr>
        <w:t>sixième session (27</w:t>
      </w:r>
      <w:r w:rsidR="0095335E" w:rsidRPr="00DB6C66">
        <w:rPr>
          <w:vertAlign w:val="superscript"/>
          <w:lang w:val="fr-FR"/>
        </w:rPr>
        <w:t>e</w:t>
      </w:r>
      <w:r w:rsidR="0095335E" w:rsidRPr="00DB6C66">
        <w:rPr>
          <w:lang w:val="fr-FR"/>
        </w:rPr>
        <w:t> session extraordinaire).</w:t>
      </w:r>
    </w:p>
    <w:p w:rsidR="00796421" w:rsidRPr="00DB6C66" w:rsidRDefault="00796421" w:rsidP="006D3583">
      <w:pPr>
        <w:pStyle w:val="ONUMFS"/>
        <w:rPr>
          <w:lang w:val="fr-FR"/>
        </w:rPr>
      </w:pPr>
      <w:r w:rsidRPr="00DB6C66">
        <w:rPr>
          <w:lang w:val="fr-FR"/>
        </w:rPr>
        <w:t>L</w:t>
      </w:r>
      <w:r w:rsidR="00280EEC">
        <w:rPr>
          <w:lang w:val="fr-FR"/>
        </w:rPr>
        <w:t>’</w:t>
      </w:r>
      <w:r w:rsidRPr="00DB6C66">
        <w:rPr>
          <w:lang w:val="fr-FR"/>
        </w:rPr>
        <w:t xml:space="preserve">avis du Comité, qui est </w:t>
      </w:r>
      <w:r w:rsidR="00C56E6B" w:rsidRPr="00DB6C66">
        <w:rPr>
          <w:lang w:val="fr-FR"/>
        </w:rPr>
        <w:t xml:space="preserve">demandé dans </w:t>
      </w:r>
      <w:r w:rsidRPr="00DB6C66">
        <w:rPr>
          <w:lang w:val="fr-FR"/>
        </w:rPr>
        <w:t xml:space="preserve">le présent document, sera </w:t>
      </w:r>
      <w:r w:rsidR="00C56E6B" w:rsidRPr="00DB6C66">
        <w:rPr>
          <w:lang w:val="fr-FR"/>
        </w:rPr>
        <w:t xml:space="preserve">communiqué </w:t>
      </w:r>
      <w:r w:rsidR="00C961B6" w:rsidRPr="00DB6C66">
        <w:rPr>
          <w:lang w:val="fr-FR"/>
        </w:rPr>
        <w:t>à l</w:t>
      </w:r>
      <w:r w:rsidR="00280EEC">
        <w:rPr>
          <w:lang w:val="fr-FR"/>
        </w:rPr>
        <w:t>’</w:t>
      </w:r>
      <w:r w:rsidR="00C961B6" w:rsidRPr="00DB6C66">
        <w:rPr>
          <w:lang w:val="fr-FR"/>
        </w:rPr>
        <w:t>Assemblée pendant</w:t>
      </w:r>
      <w:r w:rsidRPr="00DB6C66">
        <w:rPr>
          <w:lang w:val="fr-FR"/>
        </w:rPr>
        <w:t xml:space="preserve"> sa quarante</w:t>
      </w:r>
      <w:r w:rsidR="008117E3">
        <w:rPr>
          <w:lang w:val="fr-FR"/>
        </w:rPr>
        <w:noBreakHyphen/>
      </w:r>
      <w:r w:rsidR="007A17F0" w:rsidRPr="00DB6C66">
        <w:rPr>
          <w:lang w:val="fr-FR"/>
        </w:rPr>
        <w:t>septième</w:t>
      </w:r>
      <w:r w:rsidRPr="00DB6C66">
        <w:rPr>
          <w:lang w:val="fr-FR"/>
        </w:rPr>
        <w:t> session, qui se tiendra du 5 au 14 octobre 2015.</w:t>
      </w:r>
    </w:p>
    <w:p w:rsidR="006D3583" w:rsidRPr="00DB6C66" w:rsidRDefault="00DB3999" w:rsidP="00620A17">
      <w:pPr>
        <w:pStyle w:val="Heading1"/>
        <w:rPr>
          <w:lang w:val="fr-FR"/>
        </w:rPr>
      </w:pPr>
      <w:r w:rsidRPr="00DB6C66">
        <w:rPr>
          <w:lang w:val="fr-FR"/>
        </w:rPr>
        <w:t>Conditions à remplir</w:t>
      </w:r>
    </w:p>
    <w:p w:rsidR="00DB3999" w:rsidRPr="00DB6C66" w:rsidRDefault="00DB3999" w:rsidP="006D3583">
      <w:pPr>
        <w:pStyle w:val="ONUMFS"/>
        <w:rPr>
          <w:lang w:val="fr-FR"/>
        </w:rPr>
      </w:pPr>
      <w:r w:rsidRPr="00DB6C66">
        <w:rPr>
          <w:lang w:val="fr-FR"/>
        </w:rPr>
        <w:t>La règle</w:t>
      </w:r>
      <w:r w:rsidR="004E047D" w:rsidRPr="00DB6C66">
        <w:rPr>
          <w:lang w:val="fr-FR"/>
        </w:rPr>
        <w:t> </w:t>
      </w:r>
      <w:r w:rsidRPr="00DB6C66">
        <w:rPr>
          <w:lang w:val="fr-FR"/>
        </w:rPr>
        <w:t>36.1 du règlement d</w:t>
      </w:r>
      <w:r w:rsidR="00280EEC">
        <w:rPr>
          <w:lang w:val="fr-FR"/>
        </w:rPr>
        <w:t>’</w:t>
      </w:r>
      <w:r w:rsidRPr="00DB6C66">
        <w:rPr>
          <w:lang w:val="fr-FR"/>
        </w:rPr>
        <w:t>exécution</w:t>
      </w:r>
      <w:r w:rsidR="00E01D11" w:rsidRPr="00DB6C66">
        <w:rPr>
          <w:lang w:val="fr-FR"/>
        </w:rPr>
        <w:t xml:space="preserve"> du PCT</w:t>
      </w:r>
      <w:r w:rsidRPr="00DB6C66">
        <w:rPr>
          <w:lang w:val="fr-FR"/>
        </w:rPr>
        <w:t>, reproduite ci</w:t>
      </w:r>
      <w:r w:rsidR="008117E3">
        <w:rPr>
          <w:lang w:val="fr-FR"/>
        </w:rPr>
        <w:noBreakHyphen/>
      </w:r>
      <w:r w:rsidRPr="00DB6C66">
        <w:rPr>
          <w:lang w:val="fr-FR"/>
        </w:rPr>
        <w:t>après, énonce les exigences minimales à remplir par un office pour pouvoir agir en qualité d</w:t>
      </w:r>
      <w:r w:rsidR="00280EEC">
        <w:rPr>
          <w:lang w:val="fr-FR"/>
        </w:rPr>
        <w:t>’</w:t>
      </w:r>
      <w:r w:rsidRPr="00DB6C66">
        <w:rPr>
          <w:lang w:val="fr-FR"/>
        </w:rPr>
        <w:t>administration chargée de la recherche internationale</w:t>
      </w:r>
      <w:r w:rsidR="004E047D" w:rsidRPr="00DB6C66">
        <w:rPr>
          <w:lang w:val="fr-FR"/>
        </w:rPr>
        <w:t> </w:t>
      </w:r>
      <w:r w:rsidRPr="00DB6C66">
        <w:rPr>
          <w:lang w:val="fr-FR"/>
        </w:rPr>
        <w:t>:</w:t>
      </w:r>
    </w:p>
    <w:p w:rsidR="00DB3999" w:rsidRPr="00DB6C66" w:rsidRDefault="00DB3999" w:rsidP="009C72E7">
      <w:pPr>
        <w:pStyle w:val="ONUMFS"/>
        <w:numPr>
          <w:ilvl w:val="0"/>
          <w:numId w:val="0"/>
        </w:numPr>
        <w:ind w:left="567"/>
        <w:rPr>
          <w:lang w:val="fr-FR"/>
        </w:rPr>
      </w:pPr>
      <w:r w:rsidRPr="00DB6C66">
        <w:rPr>
          <w:lang w:val="fr-FR"/>
        </w:rPr>
        <w:t>“Les exigences minimales mentionnées à l</w:t>
      </w:r>
      <w:r w:rsidR="00280EEC">
        <w:rPr>
          <w:lang w:val="fr-FR"/>
        </w:rPr>
        <w:t>’</w:t>
      </w:r>
      <w:r w:rsidRPr="00DB6C66">
        <w:rPr>
          <w:lang w:val="fr-FR"/>
        </w:rPr>
        <w:t>article</w:t>
      </w:r>
      <w:r w:rsidR="004E047D" w:rsidRPr="00DB6C66">
        <w:rPr>
          <w:lang w:val="fr-FR"/>
        </w:rPr>
        <w:t> </w:t>
      </w:r>
      <w:r w:rsidRPr="00DB6C66">
        <w:rPr>
          <w:lang w:val="fr-FR"/>
        </w:rPr>
        <w:t>16.3)c) sont les suivantes</w:t>
      </w:r>
      <w:r w:rsidR="004E047D" w:rsidRPr="00DB6C66">
        <w:rPr>
          <w:lang w:val="fr-FR"/>
        </w:rPr>
        <w:t> </w:t>
      </w:r>
      <w:r w:rsidRPr="00DB6C66">
        <w:rPr>
          <w:lang w:val="fr-FR"/>
        </w:rPr>
        <w:t>:</w:t>
      </w:r>
    </w:p>
    <w:p w:rsidR="00DB3999" w:rsidRPr="00DB6C66" w:rsidRDefault="00DB3999" w:rsidP="009C72E7">
      <w:pPr>
        <w:pStyle w:val="ONUMFS"/>
        <w:numPr>
          <w:ilvl w:val="0"/>
          <w:numId w:val="0"/>
        </w:numPr>
        <w:ind w:left="567"/>
        <w:rPr>
          <w:lang w:val="fr-FR"/>
        </w:rPr>
      </w:pPr>
      <w:r w:rsidRPr="00DB6C66">
        <w:rPr>
          <w:lang w:val="fr-FR"/>
        </w:rPr>
        <w:t>“i)</w:t>
      </w:r>
      <w:r w:rsidRPr="00DB6C66">
        <w:rPr>
          <w:lang w:val="fr-FR"/>
        </w:rPr>
        <w:tab/>
        <w:t>l</w:t>
      </w:r>
      <w:r w:rsidR="00280EEC">
        <w:rPr>
          <w:lang w:val="fr-FR"/>
        </w:rPr>
        <w:t>’</w:t>
      </w:r>
      <w:r w:rsidRPr="00DB6C66">
        <w:rPr>
          <w:lang w:val="fr-FR"/>
        </w:rPr>
        <w:t>office national ou l</w:t>
      </w:r>
      <w:r w:rsidR="00280EEC">
        <w:rPr>
          <w:lang w:val="fr-FR"/>
        </w:rPr>
        <w:t>’</w:t>
      </w:r>
      <w:r w:rsidRPr="00DB6C66">
        <w:rPr>
          <w:lang w:val="fr-FR"/>
        </w:rPr>
        <w:t>organisation intergouvernementale doit avoir au moins cent employés à plein temps possédant des qualifications techniques suffisantes pour procéder aux recherches;</w:t>
      </w:r>
    </w:p>
    <w:p w:rsidR="00DB3999" w:rsidRPr="00DB6C66" w:rsidRDefault="00DB3999" w:rsidP="009C72E7">
      <w:pPr>
        <w:pStyle w:val="ONUMFS"/>
        <w:numPr>
          <w:ilvl w:val="0"/>
          <w:numId w:val="0"/>
        </w:numPr>
        <w:ind w:left="567"/>
        <w:rPr>
          <w:lang w:val="fr-FR"/>
        </w:rPr>
      </w:pPr>
      <w:r w:rsidRPr="00DB6C66">
        <w:rPr>
          <w:lang w:val="fr-FR"/>
        </w:rPr>
        <w:t>“ii)</w:t>
      </w:r>
      <w:r w:rsidRPr="00DB6C66">
        <w:rPr>
          <w:lang w:val="fr-FR"/>
        </w:rPr>
        <w:tab/>
        <w:t>cet office ou cette organisation doit avoir en sa possession au moins la documentation minimale de la règle</w:t>
      </w:r>
      <w:r w:rsidR="004E047D" w:rsidRPr="00DB6C66">
        <w:rPr>
          <w:lang w:val="fr-FR"/>
        </w:rPr>
        <w:t> </w:t>
      </w:r>
      <w:r w:rsidRPr="00DB6C66">
        <w:rPr>
          <w:lang w:val="fr-FR"/>
        </w:rPr>
        <w:t>34, ou avoir accès à cette documentation minimale, laquelle doit être disposée d</w:t>
      </w:r>
      <w:r w:rsidR="00280EEC">
        <w:rPr>
          <w:lang w:val="fr-FR"/>
        </w:rPr>
        <w:t>’</w:t>
      </w:r>
      <w:r w:rsidRPr="00DB6C66">
        <w:rPr>
          <w:lang w:val="fr-FR"/>
        </w:rPr>
        <w:t>une manière adéquate aux fins de la recherche et se présenter sur papier, sur microforme ou sur un support électronique;</w:t>
      </w:r>
    </w:p>
    <w:p w:rsidR="00DB3999" w:rsidRPr="00DB6C66" w:rsidRDefault="00DB3999" w:rsidP="009C72E7">
      <w:pPr>
        <w:pStyle w:val="ONUMFS"/>
        <w:numPr>
          <w:ilvl w:val="0"/>
          <w:numId w:val="0"/>
        </w:numPr>
        <w:ind w:left="567"/>
        <w:rPr>
          <w:lang w:val="fr-FR"/>
        </w:rPr>
      </w:pPr>
      <w:r w:rsidRPr="00DB6C66">
        <w:rPr>
          <w:lang w:val="fr-FR"/>
        </w:rPr>
        <w:t>“iii)</w:t>
      </w:r>
      <w:r w:rsidRPr="00DB6C66">
        <w:rPr>
          <w:lang w:val="fr-FR"/>
        </w:rPr>
        <w:tab/>
        <w:t>cet office ou cette organisation doit disposer d</w:t>
      </w:r>
      <w:r w:rsidR="00280EEC">
        <w:rPr>
          <w:lang w:val="fr-FR"/>
        </w:rPr>
        <w:t>’</w:t>
      </w:r>
      <w:r w:rsidRPr="00DB6C66">
        <w:rPr>
          <w:lang w:val="fr-FR"/>
        </w:rPr>
        <w:t>un personnel capable de procéder à la recherche dans les domaines techniques sur lesquels la recherche doit porter et possédant les connaissances linguistiques nécessaires à la compréhension au moins des langues dans lesquelles la documentation minimale de la règle</w:t>
      </w:r>
      <w:r w:rsidR="004E047D" w:rsidRPr="00DB6C66">
        <w:rPr>
          <w:lang w:val="fr-FR"/>
        </w:rPr>
        <w:t> </w:t>
      </w:r>
      <w:r w:rsidRPr="00DB6C66">
        <w:rPr>
          <w:lang w:val="fr-FR"/>
        </w:rPr>
        <w:t>34 est rédigée ou traduite;</w:t>
      </w:r>
    </w:p>
    <w:p w:rsidR="00DB3999" w:rsidRPr="00DB6C66" w:rsidRDefault="00DB3999" w:rsidP="009C72E7">
      <w:pPr>
        <w:pStyle w:val="ONUMFS"/>
        <w:numPr>
          <w:ilvl w:val="0"/>
          <w:numId w:val="0"/>
        </w:numPr>
        <w:ind w:left="567"/>
        <w:rPr>
          <w:lang w:val="fr-FR"/>
        </w:rPr>
      </w:pPr>
      <w:r w:rsidRPr="00DB6C66">
        <w:rPr>
          <w:lang w:val="fr-FR"/>
        </w:rPr>
        <w:t>“iv)</w:t>
      </w:r>
      <w:r w:rsidRPr="00DB6C66">
        <w:rPr>
          <w:lang w:val="fr-FR"/>
        </w:rPr>
        <w:tab/>
        <w:t>cet office ou cette organisation doit disposer d</w:t>
      </w:r>
      <w:r w:rsidR="00280EEC">
        <w:rPr>
          <w:lang w:val="fr-FR"/>
        </w:rPr>
        <w:t>’</w:t>
      </w:r>
      <w:r w:rsidRPr="00DB6C66">
        <w:rPr>
          <w:lang w:val="fr-FR"/>
        </w:rPr>
        <w:t>un système de gestion de la qualité et de dispositions internes en matière d</w:t>
      </w:r>
      <w:r w:rsidR="00280EEC">
        <w:rPr>
          <w:lang w:val="fr-FR"/>
        </w:rPr>
        <w:t>’</w:t>
      </w:r>
      <w:r w:rsidRPr="00DB6C66">
        <w:rPr>
          <w:lang w:val="fr-FR"/>
        </w:rPr>
        <w:t>évaluation conformément aux règles communes de la recherche internationale;</w:t>
      </w:r>
    </w:p>
    <w:p w:rsidR="00DB3999" w:rsidRPr="00DB6C66" w:rsidRDefault="00DB3999" w:rsidP="009C72E7">
      <w:pPr>
        <w:pStyle w:val="ONUMFS"/>
        <w:numPr>
          <w:ilvl w:val="0"/>
          <w:numId w:val="0"/>
        </w:numPr>
        <w:ind w:left="567"/>
        <w:rPr>
          <w:lang w:val="fr-FR"/>
        </w:rPr>
      </w:pPr>
      <w:r w:rsidRPr="00DB6C66">
        <w:rPr>
          <w:lang w:val="fr-FR"/>
        </w:rPr>
        <w:t>“v)</w:t>
      </w:r>
      <w:r w:rsidRPr="00DB6C66">
        <w:rPr>
          <w:lang w:val="fr-FR"/>
        </w:rPr>
        <w:tab/>
        <w:t>cet office ou cette organisation doit être nommé en qualité d</w:t>
      </w:r>
      <w:r w:rsidR="00280EEC">
        <w:rPr>
          <w:lang w:val="fr-FR"/>
        </w:rPr>
        <w:t>’</w:t>
      </w:r>
      <w:r w:rsidRPr="00DB6C66">
        <w:rPr>
          <w:lang w:val="fr-FR"/>
        </w:rPr>
        <w:t>administration chargée de l</w:t>
      </w:r>
      <w:r w:rsidR="00280EEC">
        <w:rPr>
          <w:lang w:val="fr-FR"/>
        </w:rPr>
        <w:t>’</w:t>
      </w:r>
      <w:r w:rsidRPr="00DB6C66">
        <w:rPr>
          <w:lang w:val="fr-FR"/>
        </w:rPr>
        <w:t>examen préliminaire international.”</w:t>
      </w:r>
    </w:p>
    <w:p w:rsidR="00DB3999" w:rsidRPr="00DB6C66" w:rsidRDefault="00DB3999" w:rsidP="006D3583">
      <w:pPr>
        <w:pStyle w:val="ONUMFS"/>
        <w:rPr>
          <w:lang w:val="fr-FR"/>
        </w:rPr>
      </w:pPr>
      <w:r w:rsidRPr="00DB6C66">
        <w:rPr>
          <w:lang w:val="fr-FR"/>
        </w:rPr>
        <w:t>La règle</w:t>
      </w:r>
      <w:r w:rsidR="004E047D" w:rsidRPr="00DB6C66">
        <w:rPr>
          <w:lang w:val="fr-FR"/>
        </w:rPr>
        <w:t> </w:t>
      </w:r>
      <w:r w:rsidRPr="00DB6C66">
        <w:rPr>
          <w:lang w:val="fr-FR"/>
        </w:rPr>
        <w:t>63.1 du règlement d</w:t>
      </w:r>
      <w:r w:rsidR="00280EEC">
        <w:rPr>
          <w:lang w:val="fr-FR"/>
        </w:rPr>
        <w:t>’</w:t>
      </w:r>
      <w:r w:rsidRPr="00DB6C66">
        <w:rPr>
          <w:lang w:val="fr-FR"/>
        </w:rPr>
        <w:t>exécution</w:t>
      </w:r>
      <w:r w:rsidR="00E01D11" w:rsidRPr="00DB6C66">
        <w:rPr>
          <w:lang w:val="fr-FR"/>
        </w:rPr>
        <w:t xml:space="preserve"> du PCT</w:t>
      </w:r>
      <w:r w:rsidRPr="00DB6C66">
        <w:rPr>
          <w:lang w:val="fr-FR"/>
        </w:rPr>
        <w:t xml:space="preserve"> énonce des exigences minimales équivalentes pour les administrations chargées de l</w:t>
      </w:r>
      <w:r w:rsidR="00280EEC">
        <w:rPr>
          <w:lang w:val="fr-FR"/>
        </w:rPr>
        <w:t>’</w:t>
      </w:r>
      <w:r w:rsidRPr="00DB6C66">
        <w:rPr>
          <w:lang w:val="fr-FR"/>
        </w:rPr>
        <w:t>examen préliminaire international, à l</w:t>
      </w:r>
      <w:r w:rsidR="00280EEC">
        <w:rPr>
          <w:lang w:val="fr-FR"/>
        </w:rPr>
        <w:t>’</w:t>
      </w:r>
      <w:r w:rsidRPr="00DB6C66">
        <w:rPr>
          <w:lang w:val="fr-FR"/>
        </w:rPr>
        <w:t>exception du point</w:t>
      </w:r>
      <w:r w:rsidR="004E047D" w:rsidRPr="00DB6C66">
        <w:rPr>
          <w:lang w:val="fr-FR"/>
        </w:rPr>
        <w:t> </w:t>
      </w:r>
      <w:r w:rsidRPr="00DB6C66">
        <w:rPr>
          <w:lang w:val="fr-FR"/>
        </w:rPr>
        <w:t>v), qui exige la nomination de l</w:t>
      </w:r>
      <w:r w:rsidR="00280EEC">
        <w:rPr>
          <w:lang w:val="fr-FR"/>
        </w:rPr>
        <w:t>’</w:t>
      </w:r>
      <w:r w:rsidRPr="00DB6C66">
        <w:rPr>
          <w:lang w:val="fr-FR"/>
        </w:rPr>
        <w:t>office en qualité d</w:t>
      </w:r>
      <w:r w:rsidR="00280EEC">
        <w:rPr>
          <w:lang w:val="fr-FR"/>
        </w:rPr>
        <w:t>’</w:t>
      </w:r>
      <w:r w:rsidRPr="00DB6C66">
        <w:rPr>
          <w:lang w:val="fr-FR"/>
        </w:rPr>
        <w:t>administration chargée de la recherche internationale, de sorte que, pour que ces exigences soient remplies, il est indispensable que l</w:t>
      </w:r>
      <w:r w:rsidR="00280EEC">
        <w:rPr>
          <w:lang w:val="fr-FR"/>
        </w:rPr>
        <w:t>’</w:t>
      </w:r>
      <w:r w:rsidRPr="00DB6C66">
        <w:rPr>
          <w:lang w:val="fr-FR"/>
        </w:rPr>
        <w:t>office soit nommé à la fois en qualité d</w:t>
      </w:r>
      <w:r w:rsidR="00280EEC">
        <w:rPr>
          <w:lang w:val="fr-FR"/>
        </w:rPr>
        <w:t>’</w:t>
      </w:r>
      <w:r w:rsidRPr="00DB6C66">
        <w:rPr>
          <w:lang w:val="fr-FR"/>
        </w:rPr>
        <w:t>administration chargée de la recherche internationale et d</w:t>
      </w:r>
      <w:r w:rsidR="00280EEC">
        <w:rPr>
          <w:lang w:val="fr-FR"/>
        </w:rPr>
        <w:t>’</w:t>
      </w:r>
      <w:r w:rsidRPr="00DB6C66">
        <w:rPr>
          <w:lang w:val="fr-FR"/>
        </w:rPr>
        <w:t>administration chargée de l</w:t>
      </w:r>
      <w:r w:rsidR="00280EEC">
        <w:rPr>
          <w:lang w:val="fr-FR"/>
        </w:rPr>
        <w:t>’</w:t>
      </w:r>
      <w:r w:rsidRPr="00DB6C66">
        <w:rPr>
          <w:lang w:val="fr-FR"/>
        </w:rPr>
        <w:t>examen préliminaire international.</w:t>
      </w:r>
    </w:p>
    <w:p w:rsidR="00DB3999" w:rsidRPr="00DB6C66" w:rsidRDefault="00525167" w:rsidP="006D3583">
      <w:pPr>
        <w:pStyle w:val="ONUMFS"/>
        <w:numPr>
          <w:ilvl w:val="0"/>
          <w:numId w:val="0"/>
        </w:numPr>
        <w:ind w:left="5533"/>
        <w:rPr>
          <w:lang w:val="fr-FR"/>
        </w:rPr>
      </w:pPr>
      <w:r w:rsidRPr="00DB6C66">
        <w:rPr>
          <w:i/>
          <w:lang w:val="fr-FR"/>
        </w:rPr>
        <w:t>11.</w:t>
      </w:r>
      <w:r w:rsidRPr="00DB6C66">
        <w:rPr>
          <w:i/>
          <w:lang w:val="fr-FR"/>
        </w:rPr>
        <w:tab/>
      </w:r>
      <w:r w:rsidR="00DB3999" w:rsidRPr="00DB6C66">
        <w:rPr>
          <w:lang w:val="fr-FR"/>
        </w:rPr>
        <w:t>Le comité est invité à faire part de son avis sur cette question.</w:t>
      </w:r>
    </w:p>
    <w:p w:rsidR="007B02FE" w:rsidRPr="00620A17" w:rsidRDefault="007B02FE" w:rsidP="006D3583">
      <w:pPr>
        <w:rPr>
          <w:lang w:val="fr-FR"/>
        </w:rPr>
      </w:pPr>
    </w:p>
    <w:p w:rsidR="00DB3999" w:rsidRPr="00DB6C66" w:rsidRDefault="00DB3999" w:rsidP="006D3583">
      <w:pPr>
        <w:rPr>
          <w:lang w:val="fr-FR"/>
        </w:rPr>
      </w:pPr>
    </w:p>
    <w:p w:rsidR="00DB3999" w:rsidRPr="00DB6C66" w:rsidRDefault="000D307A" w:rsidP="006D3583">
      <w:pPr>
        <w:pStyle w:val="Endofdocument-Annex"/>
        <w:rPr>
          <w:lang w:val="fr-FR"/>
        </w:rPr>
      </w:pPr>
      <w:r w:rsidRPr="00DB6C66">
        <w:rPr>
          <w:lang w:val="fr-FR"/>
        </w:rPr>
        <w:t>[</w:t>
      </w:r>
      <w:r w:rsidR="001F3A4A" w:rsidRPr="00DB6C66">
        <w:rPr>
          <w:lang w:val="fr-FR"/>
        </w:rPr>
        <w:t xml:space="preserve">Les </w:t>
      </w:r>
      <w:r w:rsidR="001F3A4A" w:rsidRPr="00620A17">
        <w:rPr>
          <w:lang w:val="fr-FR"/>
        </w:rPr>
        <w:t>a</w:t>
      </w:r>
      <w:r w:rsidRPr="00620A17">
        <w:rPr>
          <w:lang w:val="fr-FR"/>
        </w:rPr>
        <w:t>nnex</w:t>
      </w:r>
      <w:r w:rsidR="001F3A4A" w:rsidRPr="00620A17">
        <w:rPr>
          <w:lang w:val="fr-FR"/>
        </w:rPr>
        <w:t>es</w:t>
      </w:r>
      <w:r w:rsidR="001F3A4A" w:rsidRPr="00DB6C66">
        <w:rPr>
          <w:lang w:val="fr-FR"/>
        </w:rPr>
        <w:t xml:space="preserve"> suivent</w:t>
      </w:r>
      <w:r w:rsidRPr="00DB6C66">
        <w:rPr>
          <w:lang w:val="fr-FR"/>
        </w:rPr>
        <w:t>]</w:t>
      </w:r>
    </w:p>
    <w:p w:rsidR="006D3583" w:rsidRPr="00DB6C66" w:rsidRDefault="006D3583" w:rsidP="006D3583">
      <w:pPr>
        <w:rPr>
          <w:lang w:val="fr-FR"/>
        </w:rPr>
      </w:pPr>
    </w:p>
    <w:p w:rsidR="000D307A" w:rsidRPr="00DB6C66" w:rsidRDefault="000D307A" w:rsidP="006D3583">
      <w:pPr>
        <w:rPr>
          <w:lang w:val="fr-FR"/>
        </w:rPr>
        <w:sectPr w:rsidR="000D307A" w:rsidRPr="00DB6C66" w:rsidSect="006D3583">
          <w:headerReference w:type="default" r:id="rId13"/>
          <w:footerReference w:type="first" r:id="rId14"/>
          <w:endnotePr>
            <w:numFmt w:val="decimal"/>
          </w:endnotePr>
          <w:pgSz w:w="11907" w:h="16840" w:code="9"/>
          <w:pgMar w:top="567" w:right="1134" w:bottom="1417" w:left="1417" w:header="510" w:footer="1020" w:gutter="0"/>
          <w:cols w:space="720"/>
          <w:titlePg/>
          <w:docGrid w:linePitch="299"/>
        </w:sectPr>
      </w:pPr>
    </w:p>
    <w:p w:rsidR="00DB3999" w:rsidRPr="00DB6C66" w:rsidRDefault="006F2AE7" w:rsidP="006D3583">
      <w:pPr>
        <w:pStyle w:val="Heading2"/>
        <w:rPr>
          <w:lang w:val="fr-FR"/>
        </w:rPr>
      </w:pPr>
      <w:r w:rsidRPr="00DB6C66">
        <w:rPr>
          <w:lang w:val="fr-FR"/>
        </w:rPr>
        <w:lastRenderedPageBreak/>
        <w:t>Lettre du président de l</w:t>
      </w:r>
      <w:r w:rsidR="00280EEC">
        <w:rPr>
          <w:lang w:val="fr-FR"/>
        </w:rPr>
        <w:t>’</w:t>
      </w:r>
      <w:r w:rsidRPr="00DB6C66">
        <w:rPr>
          <w:lang w:val="fr-FR"/>
        </w:rPr>
        <w:t xml:space="preserve">office de </w:t>
      </w:r>
      <w:r w:rsidR="000F69D9" w:rsidRPr="00DB6C66">
        <w:rPr>
          <w:lang w:val="fr-FR"/>
        </w:rPr>
        <w:t>la propriété industrielle de la </w:t>
      </w:r>
      <w:r w:rsidRPr="00DB6C66">
        <w:rPr>
          <w:lang w:val="fr-FR"/>
        </w:rPr>
        <w:t>République tchèque, du président de l</w:t>
      </w:r>
      <w:r w:rsidR="00280EEC">
        <w:rPr>
          <w:lang w:val="fr-FR"/>
        </w:rPr>
        <w:t>’</w:t>
      </w:r>
      <w:r w:rsidRPr="00DB6C66">
        <w:rPr>
          <w:lang w:val="fr-FR"/>
        </w:rPr>
        <w:t>Office</w:t>
      </w:r>
      <w:r w:rsidR="003F07D0" w:rsidRPr="00DB6C66">
        <w:rPr>
          <w:lang w:val="fr-FR"/>
        </w:rPr>
        <w:t xml:space="preserve"> hongrois</w:t>
      </w:r>
      <w:r w:rsidRPr="00DB6C66">
        <w:rPr>
          <w:lang w:val="fr-FR"/>
        </w:rPr>
        <w:t xml:space="preserve"> de propriété intellectuelle, de la présidente</w:t>
      </w:r>
      <w:r w:rsidR="00E9144B" w:rsidRPr="00DB6C66">
        <w:rPr>
          <w:lang w:val="fr-FR"/>
        </w:rPr>
        <w:t xml:space="preserve"> de l</w:t>
      </w:r>
      <w:r w:rsidR="00280EEC">
        <w:rPr>
          <w:lang w:val="fr-FR"/>
        </w:rPr>
        <w:t>’</w:t>
      </w:r>
      <w:r w:rsidR="00E9144B" w:rsidRPr="00DB6C66">
        <w:rPr>
          <w:lang w:val="fr-FR"/>
        </w:rPr>
        <w:t>office des brevets de la république de Pologne et du président de l</w:t>
      </w:r>
      <w:r w:rsidR="00280EEC">
        <w:rPr>
          <w:lang w:val="fr-FR"/>
        </w:rPr>
        <w:t>’</w:t>
      </w:r>
      <w:r w:rsidR="00E9144B" w:rsidRPr="00DB6C66">
        <w:rPr>
          <w:lang w:val="fr-FR"/>
        </w:rPr>
        <w:t>Office de la propriété industrielle de la</w:t>
      </w:r>
      <w:r w:rsidR="000F69D9" w:rsidRPr="00DB6C66">
        <w:rPr>
          <w:lang w:val="fr-FR"/>
        </w:rPr>
        <w:t> </w:t>
      </w:r>
      <w:r w:rsidR="00E9144B" w:rsidRPr="00DB6C66">
        <w:rPr>
          <w:lang w:val="fr-FR"/>
        </w:rPr>
        <w:t xml:space="preserve">république slovaque au </w:t>
      </w:r>
      <w:r w:rsidR="004E047D" w:rsidRPr="00DB6C66">
        <w:rPr>
          <w:lang w:val="fr-FR"/>
        </w:rPr>
        <w:t>Directeur</w:t>
      </w:r>
      <w:r w:rsidR="00E9144B" w:rsidRPr="00DB6C66">
        <w:rPr>
          <w:lang w:val="fr-FR"/>
        </w:rPr>
        <w:t xml:space="preserve"> général de l</w:t>
      </w:r>
      <w:r w:rsidR="00280EEC">
        <w:rPr>
          <w:lang w:val="fr-FR"/>
        </w:rPr>
        <w:t>’</w:t>
      </w:r>
      <w:r w:rsidR="00E9144B" w:rsidRPr="00DB6C66">
        <w:rPr>
          <w:lang w:val="fr-FR"/>
        </w:rPr>
        <w:t>OMPI</w:t>
      </w:r>
    </w:p>
    <w:p w:rsidR="00DB3999" w:rsidRPr="00DB6C66" w:rsidRDefault="00DB3999" w:rsidP="006D3583">
      <w:pPr>
        <w:rPr>
          <w:caps/>
          <w:lang w:val="fr-FR"/>
        </w:rPr>
      </w:pPr>
    </w:p>
    <w:p w:rsidR="00DB3999" w:rsidRPr="00DB6C66" w:rsidRDefault="00DB3999" w:rsidP="006D3583">
      <w:pPr>
        <w:rPr>
          <w:caps/>
          <w:lang w:val="fr-FR"/>
        </w:rPr>
      </w:pPr>
    </w:p>
    <w:p w:rsidR="00DB3999" w:rsidRPr="00DB6C66" w:rsidRDefault="00DB3999" w:rsidP="006D3583">
      <w:pPr>
        <w:rPr>
          <w:caps/>
          <w:lang w:val="fr-FR"/>
        </w:rPr>
      </w:pPr>
    </w:p>
    <w:p w:rsidR="00DB3999" w:rsidRPr="00DB6C66" w:rsidRDefault="00DB3999" w:rsidP="006D3583">
      <w:pPr>
        <w:rPr>
          <w:caps/>
          <w:lang w:val="fr-FR"/>
        </w:rPr>
      </w:pPr>
    </w:p>
    <w:p w:rsidR="00DB3999" w:rsidRPr="00DB6C66" w:rsidRDefault="00F977F2" w:rsidP="006D3583">
      <w:pPr>
        <w:rPr>
          <w:szCs w:val="22"/>
          <w:lang w:val="fr-FR"/>
        </w:rPr>
      </w:pPr>
      <w:r w:rsidRPr="00DB6C66">
        <w:rPr>
          <w:szCs w:val="22"/>
          <w:lang w:val="fr-FR"/>
        </w:rPr>
        <w:t xml:space="preserve">Bratislava, </w:t>
      </w:r>
      <w:r w:rsidR="009527B7" w:rsidRPr="00DB6C66">
        <w:rPr>
          <w:szCs w:val="22"/>
          <w:lang w:val="fr-FR"/>
        </w:rPr>
        <w:t>26 février </w:t>
      </w:r>
      <w:r w:rsidRPr="00DB6C66">
        <w:rPr>
          <w:szCs w:val="22"/>
          <w:lang w:val="fr-FR"/>
        </w:rPr>
        <w:t>2015</w:t>
      </w:r>
    </w:p>
    <w:p w:rsidR="00DB3999" w:rsidRPr="00DB6C66" w:rsidRDefault="00DB3999" w:rsidP="006D3583">
      <w:pPr>
        <w:rPr>
          <w:szCs w:val="22"/>
          <w:lang w:val="fr-FR"/>
        </w:rPr>
      </w:pPr>
    </w:p>
    <w:p w:rsidR="00DB3999" w:rsidRPr="00DB6C66" w:rsidRDefault="00DB3999" w:rsidP="006D3583">
      <w:pPr>
        <w:rPr>
          <w:szCs w:val="22"/>
          <w:lang w:val="fr-FR"/>
        </w:rPr>
      </w:pPr>
    </w:p>
    <w:p w:rsidR="00DB3999" w:rsidRPr="00DB6C66" w:rsidRDefault="00DB3999" w:rsidP="006D3583">
      <w:pPr>
        <w:rPr>
          <w:szCs w:val="22"/>
          <w:lang w:val="fr-FR"/>
        </w:rPr>
      </w:pPr>
    </w:p>
    <w:p w:rsidR="00DB3999" w:rsidRPr="00DB6C66" w:rsidRDefault="00C87214" w:rsidP="006D3583">
      <w:pPr>
        <w:rPr>
          <w:szCs w:val="22"/>
          <w:lang w:val="fr-FR"/>
        </w:rPr>
      </w:pPr>
      <w:r w:rsidRPr="00DB6C66">
        <w:rPr>
          <w:szCs w:val="22"/>
          <w:lang w:val="fr-FR"/>
        </w:rPr>
        <w:t>M.</w:t>
      </w:r>
      <w:r w:rsidR="00942A6B">
        <w:rPr>
          <w:szCs w:val="22"/>
          <w:lang w:val="fr-FR"/>
        </w:rPr>
        <w:t> </w:t>
      </w:r>
      <w:r w:rsidR="00F977F2" w:rsidRPr="00DB6C66">
        <w:rPr>
          <w:szCs w:val="22"/>
          <w:lang w:val="fr-FR"/>
        </w:rPr>
        <w:t>Francis Gurry</w:t>
      </w:r>
    </w:p>
    <w:p w:rsidR="00E01D11" w:rsidRPr="00DB6C66" w:rsidRDefault="009527B7" w:rsidP="006D3583">
      <w:pPr>
        <w:rPr>
          <w:szCs w:val="22"/>
          <w:lang w:val="fr-FR"/>
        </w:rPr>
      </w:pPr>
      <w:r w:rsidRPr="00DB6C66">
        <w:rPr>
          <w:szCs w:val="22"/>
          <w:lang w:val="fr-FR"/>
        </w:rPr>
        <w:t>Directeur général</w:t>
      </w:r>
    </w:p>
    <w:p w:rsidR="00DB3999" w:rsidRPr="00DB6C66" w:rsidRDefault="009527B7" w:rsidP="006D3583">
      <w:pPr>
        <w:rPr>
          <w:szCs w:val="22"/>
          <w:lang w:val="fr-FR"/>
        </w:rPr>
      </w:pPr>
      <w:r w:rsidRPr="00DB6C66">
        <w:rPr>
          <w:szCs w:val="22"/>
          <w:lang w:val="fr-FR"/>
        </w:rPr>
        <w:t xml:space="preserve">Organisation </w:t>
      </w:r>
      <w:r w:rsidR="004E047D" w:rsidRPr="00DB6C66">
        <w:rPr>
          <w:szCs w:val="22"/>
          <w:lang w:val="fr-FR"/>
        </w:rPr>
        <w:t>Mondiale</w:t>
      </w:r>
      <w:r w:rsidRPr="00DB6C66">
        <w:rPr>
          <w:szCs w:val="22"/>
          <w:lang w:val="fr-FR"/>
        </w:rPr>
        <w:t xml:space="preserve"> de la </w:t>
      </w:r>
      <w:r w:rsidR="004E047D" w:rsidRPr="00DB6C66">
        <w:rPr>
          <w:szCs w:val="22"/>
          <w:lang w:val="fr-FR"/>
        </w:rPr>
        <w:t>Propriété Intellectuelle</w:t>
      </w:r>
    </w:p>
    <w:p w:rsidR="00DB3999" w:rsidRPr="00DB6C66" w:rsidRDefault="00F977F2" w:rsidP="006D3583">
      <w:pPr>
        <w:rPr>
          <w:szCs w:val="22"/>
          <w:lang w:val="fr-FR"/>
        </w:rPr>
      </w:pPr>
      <w:r w:rsidRPr="00DB6C66">
        <w:rPr>
          <w:szCs w:val="22"/>
          <w:lang w:val="fr-FR"/>
        </w:rPr>
        <w:t>34 Chemin des Colombettes</w:t>
      </w:r>
    </w:p>
    <w:p w:rsidR="00DB3999" w:rsidRPr="00DB6C66" w:rsidRDefault="0061788E" w:rsidP="006D3583">
      <w:pPr>
        <w:rPr>
          <w:szCs w:val="22"/>
          <w:lang w:val="fr-FR"/>
        </w:rPr>
      </w:pPr>
      <w:r w:rsidRPr="00DB6C66">
        <w:rPr>
          <w:szCs w:val="22"/>
          <w:lang w:val="fr-FR"/>
        </w:rPr>
        <w:t>Boîte postale</w:t>
      </w:r>
      <w:r w:rsidR="00F977F2" w:rsidRPr="00DB6C66">
        <w:rPr>
          <w:szCs w:val="22"/>
          <w:lang w:val="fr-FR"/>
        </w:rPr>
        <w:t xml:space="preserve"> 18</w:t>
      </w:r>
    </w:p>
    <w:p w:rsidR="00DB3999" w:rsidRPr="00DB6C66" w:rsidRDefault="00F977F2" w:rsidP="006D3583">
      <w:pPr>
        <w:rPr>
          <w:szCs w:val="22"/>
          <w:lang w:val="fr-FR"/>
        </w:rPr>
      </w:pPr>
      <w:r w:rsidRPr="00DB6C66">
        <w:rPr>
          <w:szCs w:val="22"/>
          <w:lang w:val="fr-FR"/>
        </w:rPr>
        <w:t>CH</w:t>
      </w:r>
      <w:r w:rsidR="008117E3">
        <w:rPr>
          <w:szCs w:val="22"/>
          <w:lang w:val="fr-FR"/>
        </w:rPr>
        <w:noBreakHyphen/>
      </w:r>
      <w:r w:rsidRPr="00DB6C66">
        <w:rPr>
          <w:szCs w:val="22"/>
          <w:lang w:val="fr-FR"/>
        </w:rPr>
        <w:t xml:space="preserve">1211 </w:t>
      </w:r>
      <w:r w:rsidR="009527B7" w:rsidRPr="00DB6C66">
        <w:rPr>
          <w:szCs w:val="22"/>
          <w:lang w:val="fr-FR"/>
        </w:rPr>
        <w:t xml:space="preserve">Genève </w:t>
      </w:r>
      <w:r w:rsidRPr="00DB6C66">
        <w:rPr>
          <w:szCs w:val="22"/>
          <w:lang w:val="fr-FR"/>
        </w:rPr>
        <w:t>20</w:t>
      </w:r>
    </w:p>
    <w:p w:rsidR="00DB3999" w:rsidRPr="00DB6C66" w:rsidRDefault="009527B7" w:rsidP="006D3583">
      <w:pPr>
        <w:rPr>
          <w:szCs w:val="22"/>
          <w:lang w:val="fr-FR"/>
        </w:rPr>
      </w:pPr>
      <w:r w:rsidRPr="00DB6C66">
        <w:rPr>
          <w:szCs w:val="22"/>
          <w:lang w:val="fr-FR"/>
        </w:rPr>
        <w:t>Suisse</w:t>
      </w:r>
    </w:p>
    <w:p w:rsidR="00DB3999" w:rsidRPr="00DB6C66" w:rsidRDefault="00DB3999" w:rsidP="006D3583">
      <w:pPr>
        <w:rPr>
          <w:szCs w:val="22"/>
          <w:lang w:val="fr-FR"/>
        </w:rPr>
      </w:pPr>
    </w:p>
    <w:p w:rsidR="00DB3999" w:rsidRPr="00DB6C66" w:rsidRDefault="00DB3999" w:rsidP="006D3583">
      <w:pPr>
        <w:rPr>
          <w:szCs w:val="22"/>
          <w:lang w:val="fr-FR"/>
        </w:rPr>
      </w:pPr>
    </w:p>
    <w:p w:rsidR="00DB3999" w:rsidRPr="00DB6C66" w:rsidRDefault="00DB3999" w:rsidP="006D3583">
      <w:pPr>
        <w:rPr>
          <w:i/>
          <w:szCs w:val="22"/>
          <w:lang w:val="fr-FR"/>
        </w:rPr>
      </w:pPr>
    </w:p>
    <w:p w:rsidR="00DB3999" w:rsidRPr="00DB6C66" w:rsidRDefault="00684356" w:rsidP="006D3583">
      <w:pPr>
        <w:rPr>
          <w:b/>
          <w:szCs w:val="22"/>
          <w:lang w:val="fr-FR"/>
        </w:rPr>
      </w:pPr>
      <w:r w:rsidRPr="00DB6C66">
        <w:rPr>
          <w:i/>
          <w:szCs w:val="22"/>
          <w:lang w:val="fr-FR"/>
        </w:rPr>
        <w:t>Objet</w:t>
      </w:r>
      <w:r w:rsidR="004E047D" w:rsidRPr="00DB6C66">
        <w:rPr>
          <w:i/>
          <w:szCs w:val="22"/>
          <w:lang w:val="fr-FR"/>
        </w:rPr>
        <w:t> </w:t>
      </w:r>
      <w:r w:rsidR="00F977F2" w:rsidRPr="00DB6C66">
        <w:rPr>
          <w:i/>
          <w:szCs w:val="22"/>
          <w:lang w:val="fr-FR"/>
        </w:rPr>
        <w:t xml:space="preserve">: </w:t>
      </w:r>
      <w:r w:rsidR="003A346A" w:rsidRPr="00DB6C66">
        <w:rPr>
          <w:i/>
          <w:szCs w:val="22"/>
          <w:lang w:val="fr-FR"/>
        </w:rPr>
        <w:t>Nomination de l</w:t>
      </w:r>
      <w:r w:rsidR="00280EEC">
        <w:rPr>
          <w:i/>
          <w:szCs w:val="22"/>
          <w:lang w:val="fr-FR"/>
        </w:rPr>
        <w:t>’</w:t>
      </w:r>
      <w:r w:rsidR="003A346A" w:rsidRPr="00DB6C66">
        <w:rPr>
          <w:i/>
          <w:szCs w:val="22"/>
          <w:lang w:val="fr-FR"/>
        </w:rPr>
        <w:t xml:space="preserve">Institut de </w:t>
      </w:r>
      <w:proofErr w:type="spellStart"/>
      <w:r w:rsidR="003A346A" w:rsidRPr="00DB6C66">
        <w:rPr>
          <w:i/>
          <w:szCs w:val="22"/>
          <w:lang w:val="fr-FR"/>
        </w:rPr>
        <w:t>Visegrad</w:t>
      </w:r>
      <w:proofErr w:type="spellEnd"/>
      <w:r w:rsidR="003A346A" w:rsidRPr="00DB6C66">
        <w:rPr>
          <w:i/>
          <w:szCs w:val="22"/>
          <w:lang w:val="fr-FR"/>
        </w:rPr>
        <w:t xml:space="preserve"> des brevets en qualité d</w:t>
      </w:r>
      <w:r w:rsidR="00280EEC">
        <w:rPr>
          <w:i/>
          <w:szCs w:val="22"/>
          <w:lang w:val="fr-FR"/>
        </w:rPr>
        <w:t>’</w:t>
      </w:r>
      <w:r w:rsidR="003A346A" w:rsidRPr="00DB6C66">
        <w:rPr>
          <w:i/>
          <w:szCs w:val="22"/>
          <w:lang w:val="fr-FR"/>
        </w:rPr>
        <w:t>administration internationale selon</w:t>
      </w:r>
      <w:r w:rsidR="00E01D11" w:rsidRPr="00DB6C66">
        <w:rPr>
          <w:i/>
          <w:szCs w:val="22"/>
          <w:lang w:val="fr-FR"/>
        </w:rPr>
        <w:t xml:space="preserve"> le PCT</w:t>
      </w:r>
    </w:p>
    <w:p w:rsidR="00DB3999" w:rsidRPr="00DB6C66" w:rsidRDefault="00DB3999" w:rsidP="006D3583">
      <w:pPr>
        <w:rPr>
          <w:b/>
          <w:szCs w:val="22"/>
          <w:lang w:val="fr-FR"/>
        </w:rPr>
      </w:pPr>
    </w:p>
    <w:p w:rsidR="00DB3999" w:rsidRPr="00DB6C66" w:rsidRDefault="00DB3999" w:rsidP="006D3583">
      <w:pPr>
        <w:rPr>
          <w:b/>
          <w:szCs w:val="22"/>
          <w:lang w:val="fr-FR"/>
        </w:rPr>
      </w:pPr>
    </w:p>
    <w:p w:rsidR="00DB3999" w:rsidRPr="00DB6C66" w:rsidRDefault="000A4890" w:rsidP="006D3583">
      <w:pPr>
        <w:rPr>
          <w:szCs w:val="22"/>
          <w:lang w:val="fr-FR"/>
        </w:rPr>
      </w:pPr>
      <w:r w:rsidRPr="00DB6C66">
        <w:rPr>
          <w:szCs w:val="22"/>
          <w:lang w:val="fr-FR"/>
        </w:rPr>
        <w:t>Monsieur</w:t>
      </w:r>
      <w:r w:rsidR="006F0E91" w:rsidRPr="00DB6C66">
        <w:rPr>
          <w:szCs w:val="22"/>
          <w:lang w:val="fr-FR"/>
        </w:rPr>
        <w:t xml:space="preserve"> le Directeur général</w:t>
      </w:r>
      <w:r w:rsidR="00F977F2" w:rsidRPr="00DB6C66">
        <w:rPr>
          <w:szCs w:val="22"/>
          <w:lang w:val="fr-FR"/>
        </w:rPr>
        <w:t>,</w:t>
      </w:r>
    </w:p>
    <w:p w:rsidR="00DB3999" w:rsidRPr="00DB6C66" w:rsidRDefault="00DB3999" w:rsidP="006D3583">
      <w:pPr>
        <w:rPr>
          <w:szCs w:val="22"/>
          <w:lang w:val="fr-FR"/>
        </w:rPr>
      </w:pPr>
    </w:p>
    <w:p w:rsidR="00E01D11" w:rsidRPr="00DB6C66" w:rsidRDefault="009563E1" w:rsidP="006D3583">
      <w:pPr>
        <w:rPr>
          <w:i/>
          <w:szCs w:val="22"/>
          <w:lang w:val="fr-FR"/>
        </w:rPr>
      </w:pPr>
      <w:r w:rsidRPr="00DB6C66">
        <w:rPr>
          <w:szCs w:val="22"/>
          <w:lang w:val="fr-FR"/>
        </w:rPr>
        <w:t>Par la présente, permettez</w:t>
      </w:r>
      <w:r w:rsidR="008117E3">
        <w:rPr>
          <w:szCs w:val="22"/>
          <w:lang w:val="fr-FR"/>
        </w:rPr>
        <w:noBreakHyphen/>
      </w:r>
      <w:r w:rsidRPr="00DB6C66">
        <w:rPr>
          <w:szCs w:val="22"/>
          <w:lang w:val="fr-FR"/>
        </w:rPr>
        <w:t xml:space="preserve">nous de vous informer que les gouvernements des pays du groupe de </w:t>
      </w:r>
      <w:proofErr w:type="spellStart"/>
      <w:r w:rsidRPr="00DB6C66">
        <w:rPr>
          <w:szCs w:val="22"/>
          <w:lang w:val="fr-FR"/>
        </w:rPr>
        <w:t>Visegrad</w:t>
      </w:r>
      <w:proofErr w:type="spellEnd"/>
      <w:r w:rsidR="001A1B8D" w:rsidRPr="00DB6C66">
        <w:rPr>
          <w:szCs w:val="22"/>
          <w:lang w:val="fr-FR"/>
        </w:rPr>
        <w:t xml:space="preserve">, </w:t>
      </w:r>
      <w:r w:rsidR="00280EEC">
        <w:rPr>
          <w:szCs w:val="22"/>
          <w:lang w:val="fr-FR"/>
        </w:rPr>
        <w:t>à savoir</w:t>
      </w:r>
      <w:r w:rsidR="001A1B8D" w:rsidRPr="00DB6C66">
        <w:rPr>
          <w:szCs w:val="22"/>
          <w:lang w:val="fr-FR"/>
        </w:rPr>
        <w:t xml:space="preserve"> la Hongrie,</w:t>
      </w:r>
      <w:r w:rsidR="0061788E" w:rsidRPr="00DB6C66">
        <w:rPr>
          <w:szCs w:val="22"/>
          <w:lang w:val="fr-FR"/>
        </w:rPr>
        <w:t xml:space="preserve"> la République de Pologne, </w:t>
      </w:r>
      <w:r w:rsidR="001A1B8D" w:rsidRPr="00DB6C66">
        <w:rPr>
          <w:szCs w:val="22"/>
          <w:lang w:val="fr-FR"/>
        </w:rPr>
        <w:t xml:space="preserve">la République slovaque </w:t>
      </w:r>
      <w:r w:rsidR="0061788E" w:rsidRPr="00DB6C66">
        <w:rPr>
          <w:szCs w:val="22"/>
          <w:lang w:val="fr-FR"/>
        </w:rPr>
        <w:t>et la République tchèque (</w:t>
      </w:r>
      <w:r w:rsidR="00605EC4" w:rsidRPr="00DB6C66">
        <w:rPr>
          <w:szCs w:val="22"/>
          <w:lang w:val="fr-FR"/>
        </w:rPr>
        <w:t>ci</w:t>
      </w:r>
      <w:r w:rsidR="008117E3">
        <w:rPr>
          <w:szCs w:val="22"/>
          <w:lang w:val="fr-FR"/>
        </w:rPr>
        <w:noBreakHyphen/>
      </w:r>
      <w:r w:rsidR="00605EC4" w:rsidRPr="00DB6C66">
        <w:rPr>
          <w:szCs w:val="22"/>
          <w:lang w:val="fr-FR"/>
        </w:rPr>
        <w:t xml:space="preserve">après </w:t>
      </w:r>
      <w:r w:rsidR="004E047D" w:rsidRPr="00DB6C66">
        <w:rPr>
          <w:szCs w:val="22"/>
          <w:lang w:val="fr-FR"/>
        </w:rPr>
        <w:t>“</w:t>
      </w:r>
      <w:r w:rsidR="001A1B8D" w:rsidRPr="00DB6C66">
        <w:rPr>
          <w:szCs w:val="22"/>
          <w:lang w:val="fr-FR"/>
        </w:rPr>
        <w:t>le V4</w:t>
      </w:r>
      <w:r w:rsidR="004E047D" w:rsidRPr="00DB6C66">
        <w:rPr>
          <w:szCs w:val="22"/>
          <w:lang w:val="fr-FR"/>
        </w:rPr>
        <w:t>”</w:t>
      </w:r>
      <w:r w:rsidR="001A1B8D" w:rsidRPr="00DB6C66">
        <w:rPr>
          <w:szCs w:val="22"/>
          <w:lang w:val="fr-FR"/>
        </w:rPr>
        <w:t xml:space="preserve">), ont </w:t>
      </w:r>
      <w:r w:rsidR="0056182E" w:rsidRPr="00DB6C66">
        <w:rPr>
          <w:szCs w:val="22"/>
          <w:lang w:val="fr-FR"/>
        </w:rPr>
        <w:t>institué</w:t>
      </w:r>
      <w:r w:rsidR="001A1B8D" w:rsidRPr="00DB6C66">
        <w:rPr>
          <w:szCs w:val="22"/>
          <w:lang w:val="fr-FR"/>
        </w:rPr>
        <w:t xml:space="preserve"> l</w:t>
      </w:r>
      <w:r w:rsidR="00280EEC">
        <w:rPr>
          <w:szCs w:val="22"/>
          <w:lang w:val="fr-FR"/>
        </w:rPr>
        <w:t>’</w:t>
      </w:r>
      <w:r w:rsidR="001A1B8D" w:rsidRPr="00DB6C66">
        <w:rPr>
          <w:szCs w:val="22"/>
          <w:lang w:val="fr-FR"/>
        </w:rPr>
        <w:t xml:space="preserve">Institut de </w:t>
      </w:r>
      <w:proofErr w:type="spellStart"/>
      <w:r w:rsidR="001A1B8D" w:rsidRPr="00DB6C66">
        <w:rPr>
          <w:szCs w:val="22"/>
          <w:lang w:val="fr-FR"/>
        </w:rPr>
        <w:t>Visegrad</w:t>
      </w:r>
      <w:proofErr w:type="spellEnd"/>
      <w:r w:rsidR="001A1B8D" w:rsidRPr="00DB6C66">
        <w:rPr>
          <w:szCs w:val="22"/>
          <w:lang w:val="fr-FR"/>
        </w:rPr>
        <w:t xml:space="preserve"> des brevets en </w:t>
      </w:r>
      <w:r w:rsidR="00CA37B9" w:rsidRPr="00DB6C66">
        <w:rPr>
          <w:szCs w:val="22"/>
          <w:lang w:val="fr-FR"/>
        </w:rPr>
        <w:t>qualité</w:t>
      </w:r>
      <w:r w:rsidR="00707BF1" w:rsidRPr="00DB6C66">
        <w:rPr>
          <w:szCs w:val="22"/>
          <w:lang w:val="fr-FR"/>
        </w:rPr>
        <w:t xml:space="preserve"> d</w:t>
      </w:r>
      <w:r w:rsidR="00280EEC">
        <w:rPr>
          <w:szCs w:val="22"/>
          <w:lang w:val="fr-FR"/>
        </w:rPr>
        <w:t>’</w:t>
      </w:r>
      <w:r w:rsidR="001A1B8D" w:rsidRPr="00DB6C66">
        <w:rPr>
          <w:szCs w:val="22"/>
          <w:lang w:val="fr-FR"/>
        </w:rPr>
        <w:t xml:space="preserve">organisation intergouvernementale de coopération dans le domaine des brevets. </w:t>
      </w:r>
      <w:r w:rsidR="004E047D" w:rsidRPr="00DB6C66">
        <w:rPr>
          <w:szCs w:val="22"/>
          <w:lang w:val="fr-FR"/>
        </w:rPr>
        <w:t xml:space="preserve"> </w:t>
      </w:r>
      <w:r w:rsidR="001A1B8D" w:rsidRPr="00DB6C66">
        <w:rPr>
          <w:szCs w:val="22"/>
          <w:lang w:val="fr-FR"/>
        </w:rPr>
        <w:t>L</w:t>
      </w:r>
      <w:r w:rsidR="00280EEC">
        <w:rPr>
          <w:szCs w:val="22"/>
          <w:lang w:val="fr-FR"/>
        </w:rPr>
        <w:t>’</w:t>
      </w:r>
      <w:r w:rsidR="001A1B8D" w:rsidRPr="00DB6C66">
        <w:rPr>
          <w:szCs w:val="22"/>
          <w:lang w:val="fr-FR"/>
        </w:rPr>
        <w:t xml:space="preserve">Accord </w:t>
      </w:r>
      <w:r w:rsidR="00A851B8" w:rsidRPr="00DB6C66">
        <w:rPr>
          <w:szCs w:val="22"/>
          <w:lang w:val="fr-FR"/>
        </w:rPr>
        <w:t>sur</w:t>
      </w:r>
      <w:r w:rsidR="001A1B8D" w:rsidRPr="00DB6C66">
        <w:rPr>
          <w:szCs w:val="22"/>
          <w:lang w:val="fr-FR"/>
        </w:rPr>
        <w:t xml:space="preserve"> l</w:t>
      </w:r>
      <w:r w:rsidR="00280EEC">
        <w:rPr>
          <w:szCs w:val="22"/>
          <w:lang w:val="fr-FR"/>
        </w:rPr>
        <w:t>’</w:t>
      </w:r>
      <w:r w:rsidR="001A1B8D" w:rsidRPr="00DB6C66">
        <w:rPr>
          <w:szCs w:val="22"/>
          <w:lang w:val="fr-FR"/>
        </w:rPr>
        <w:t xml:space="preserve">Institut de </w:t>
      </w:r>
      <w:proofErr w:type="spellStart"/>
      <w:r w:rsidR="001A1B8D" w:rsidRPr="00DB6C66">
        <w:rPr>
          <w:szCs w:val="22"/>
          <w:lang w:val="fr-FR"/>
        </w:rPr>
        <w:t>Visegrad</w:t>
      </w:r>
      <w:proofErr w:type="spellEnd"/>
      <w:r w:rsidR="001A1B8D" w:rsidRPr="00DB6C66">
        <w:rPr>
          <w:szCs w:val="22"/>
          <w:lang w:val="fr-FR"/>
        </w:rPr>
        <w:t xml:space="preserve"> des brevets (ci</w:t>
      </w:r>
      <w:r w:rsidR="008117E3">
        <w:rPr>
          <w:szCs w:val="22"/>
          <w:lang w:val="fr-FR"/>
        </w:rPr>
        <w:noBreakHyphen/>
      </w:r>
      <w:r w:rsidR="001A1B8D" w:rsidRPr="00DB6C66">
        <w:rPr>
          <w:szCs w:val="22"/>
          <w:lang w:val="fr-FR"/>
        </w:rPr>
        <w:t xml:space="preserve">après </w:t>
      </w:r>
      <w:r w:rsidR="004E047D" w:rsidRPr="00DB6C66">
        <w:rPr>
          <w:szCs w:val="22"/>
          <w:lang w:val="fr-FR"/>
        </w:rPr>
        <w:t>“</w:t>
      </w:r>
      <w:r w:rsidR="001A1B8D" w:rsidRPr="00DB6C66">
        <w:rPr>
          <w:szCs w:val="22"/>
          <w:lang w:val="fr-FR"/>
        </w:rPr>
        <w:t>l</w:t>
      </w:r>
      <w:r w:rsidR="00280EEC">
        <w:rPr>
          <w:szCs w:val="22"/>
          <w:lang w:val="fr-FR"/>
        </w:rPr>
        <w:t>’</w:t>
      </w:r>
      <w:r w:rsidR="001A1B8D" w:rsidRPr="00DB6C66">
        <w:rPr>
          <w:szCs w:val="22"/>
          <w:lang w:val="fr-FR"/>
        </w:rPr>
        <w:t>Accord</w:t>
      </w:r>
      <w:r w:rsidR="004E047D" w:rsidRPr="00DB6C66">
        <w:rPr>
          <w:szCs w:val="22"/>
          <w:lang w:val="fr-FR"/>
        </w:rPr>
        <w:t>”</w:t>
      </w:r>
      <w:r w:rsidR="001A1B8D" w:rsidRPr="00DB6C66">
        <w:rPr>
          <w:szCs w:val="22"/>
          <w:lang w:val="fr-FR"/>
        </w:rPr>
        <w:t>) a été signé à Bratislava le 26 février 2015.</w:t>
      </w:r>
      <w:r w:rsidR="004E047D" w:rsidRPr="00DB6C66">
        <w:rPr>
          <w:szCs w:val="22"/>
          <w:lang w:val="fr-FR"/>
        </w:rPr>
        <w:t xml:space="preserve"> </w:t>
      </w:r>
      <w:r w:rsidR="001A1B8D" w:rsidRPr="00DB6C66">
        <w:rPr>
          <w:szCs w:val="22"/>
          <w:lang w:val="fr-FR"/>
        </w:rPr>
        <w:t xml:space="preserve"> Veuillez trouver ci</w:t>
      </w:r>
      <w:r w:rsidR="008117E3">
        <w:rPr>
          <w:szCs w:val="22"/>
          <w:lang w:val="fr-FR"/>
        </w:rPr>
        <w:noBreakHyphen/>
      </w:r>
      <w:r w:rsidR="001A1B8D" w:rsidRPr="00DB6C66">
        <w:rPr>
          <w:szCs w:val="22"/>
          <w:lang w:val="fr-FR"/>
        </w:rPr>
        <w:t>joint le texte de l</w:t>
      </w:r>
      <w:r w:rsidR="00280EEC">
        <w:rPr>
          <w:szCs w:val="22"/>
          <w:lang w:val="fr-FR"/>
        </w:rPr>
        <w:t>’</w:t>
      </w:r>
      <w:r w:rsidR="001A1B8D" w:rsidRPr="00DB6C66">
        <w:rPr>
          <w:szCs w:val="22"/>
          <w:lang w:val="fr-FR"/>
        </w:rPr>
        <w:t xml:space="preserve">Accord pour votre information </w:t>
      </w:r>
      <w:r w:rsidR="001A1B8D" w:rsidRPr="00DB6C66">
        <w:rPr>
          <w:i/>
          <w:szCs w:val="22"/>
          <w:lang w:val="fr-FR"/>
        </w:rPr>
        <w:t>[le texte de l</w:t>
      </w:r>
      <w:r w:rsidR="00280EEC">
        <w:rPr>
          <w:i/>
          <w:szCs w:val="22"/>
          <w:lang w:val="fr-FR"/>
        </w:rPr>
        <w:t>’</w:t>
      </w:r>
      <w:r w:rsidR="001A1B8D" w:rsidRPr="00DB6C66">
        <w:rPr>
          <w:i/>
          <w:szCs w:val="22"/>
          <w:lang w:val="fr-FR"/>
        </w:rPr>
        <w:t>Accord n</w:t>
      </w:r>
      <w:r w:rsidR="00280EEC">
        <w:rPr>
          <w:i/>
          <w:szCs w:val="22"/>
          <w:lang w:val="fr-FR"/>
        </w:rPr>
        <w:t>’</w:t>
      </w:r>
      <w:r w:rsidR="001A1B8D" w:rsidRPr="00DB6C66">
        <w:rPr>
          <w:i/>
          <w:szCs w:val="22"/>
          <w:lang w:val="fr-FR"/>
        </w:rPr>
        <w:t>est pas reproduit dans le présent document].</w:t>
      </w:r>
    </w:p>
    <w:p w:rsidR="00481F93" w:rsidRPr="00DB6C66" w:rsidRDefault="00481F93" w:rsidP="006D3583">
      <w:pPr>
        <w:rPr>
          <w:szCs w:val="22"/>
          <w:lang w:val="fr-FR"/>
        </w:rPr>
      </w:pPr>
    </w:p>
    <w:p w:rsidR="00E05A74" w:rsidRPr="00DB6C66" w:rsidRDefault="003B788B" w:rsidP="006D3583">
      <w:pPr>
        <w:rPr>
          <w:szCs w:val="22"/>
          <w:lang w:val="fr-FR"/>
        </w:rPr>
      </w:pPr>
      <w:r w:rsidRPr="00DB6C66">
        <w:rPr>
          <w:szCs w:val="22"/>
          <w:lang w:val="fr-FR"/>
        </w:rPr>
        <w:t>Les gouvernements de</w:t>
      </w:r>
      <w:r w:rsidR="0061788E" w:rsidRPr="00DB6C66">
        <w:rPr>
          <w:szCs w:val="22"/>
          <w:lang w:val="fr-FR"/>
        </w:rPr>
        <w:t xml:space="preserve"> </w:t>
      </w:r>
      <w:r w:rsidRPr="00DB6C66">
        <w:rPr>
          <w:szCs w:val="22"/>
          <w:lang w:val="fr-FR"/>
        </w:rPr>
        <w:t>la Hongr</w:t>
      </w:r>
      <w:r w:rsidR="0061788E" w:rsidRPr="00DB6C66">
        <w:rPr>
          <w:szCs w:val="22"/>
          <w:lang w:val="fr-FR"/>
        </w:rPr>
        <w:t xml:space="preserve">ie, de la République de Pologne, </w:t>
      </w:r>
      <w:r w:rsidRPr="00DB6C66">
        <w:rPr>
          <w:szCs w:val="22"/>
          <w:lang w:val="fr-FR"/>
        </w:rPr>
        <w:t xml:space="preserve">de la République slovaque </w:t>
      </w:r>
      <w:r w:rsidR="0061788E" w:rsidRPr="00DB6C66">
        <w:rPr>
          <w:szCs w:val="22"/>
          <w:lang w:val="fr-FR"/>
        </w:rPr>
        <w:t xml:space="preserve">et de la République tchèque </w:t>
      </w:r>
      <w:r w:rsidRPr="00DB6C66">
        <w:rPr>
          <w:szCs w:val="22"/>
          <w:lang w:val="fr-FR"/>
        </w:rPr>
        <w:t>souhaiteraient que l</w:t>
      </w:r>
      <w:r w:rsidR="00280EEC">
        <w:rPr>
          <w:szCs w:val="22"/>
          <w:lang w:val="fr-FR"/>
        </w:rPr>
        <w:t>’</w:t>
      </w:r>
      <w:r w:rsidRPr="00DB6C66">
        <w:rPr>
          <w:szCs w:val="22"/>
          <w:lang w:val="fr-FR"/>
        </w:rPr>
        <w:t>Assemblée de l</w:t>
      </w:r>
      <w:r w:rsidR="00280EEC">
        <w:rPr>
          <w:szCs w:val="22"/>
          <w:lang w:val="fr-FR"/>
        </w:rPr>
        <w:t>’</w:t>
      </w:r>
      <w:r w:rsidRPr="00DB6C66">
        <w:rPr>
          <w:szCs w:val="22"/>
          <w:lang w:val="fr-FR"/>
        </w:rPr>
        <w:t>Union</w:t>
      </w:r>
      <w:r w:rsidR="00E01D11" w:rsidRPr="00DB6C66">
        <w:rPr>
          <w:szCs w:val="22"/>
          <w:lang w:val="fr-FR"/>
        </w:rPr>
        <w:t xml:space="preserve"> du PCT</w:t>
      </w:r>
      <w:r w:rsidRPr="00DB6C66">
        <w:rPr>
          <w:szCs w:val="22"/>
          <w:lang w:val="fr-FR"/>
        </w:rPr>
        <w:t xml:space="preserve"> nomme l</w:t>
      </w:r>
      <w:r w:rsidR="00280EEC">
        <w:rPr>
          <w:szCs w:val="22"/>
          <w:lang w:val="fr-FR"/>
        </w:rPr>
        <w:t>’</w:t>
      </w:r>
      <w:r w:rsidRPr="00DB6C66">
        <w:rPr>
          <w:szCs w:val="22"/>
          <w:lang w:val="fr-FR"/>
        </w:rPr>
        <w:t xml:space="preserve">Institut de </w:t>
      </w:r>
      <w:proofErr w:type="spellStart"/>
      <w:r w:rsidRPr="00DB6C66">
        <w:rPr>
          <w:szCs w:val="22"/>
          <w:lang w:val="fr-FR"/>
        </w:rPr>
        <w:t>Visegrad</w:t>
      </w:r>
      <w:proofErr w:type="spellEnd"/>
      <w:r w:rsidRPr="00DB6C66">
        <w:rPr>
          <w:szCs w:val="22"/>
          <w:lang w:val="fr-FR"/>
        </w:rPr>
        <w:t xml:space="preserve"> des brevets en qualité d</w:t>
      </w:r>
      <w:r w:rsidR="00280EEC">
        <w:rPr>
          <w:szCs w:val="22"/>
          <w:lang w:val="fr-FR"/>
        </w:rPr>
        <w:t>’</w:t>
      </w:r>
      <w:r w:rsidRPr="00DB6C66">
        <w:rPr>
          <w:szCs w:val="22"/>
          <w:lang w:val="fr-FR"/>
        </w:rPr>
        <w:t xml:space="preserve">administration chargée de la recherche internationale et </w:t>
      </w:r>
      <w:r w:rsidR="0061788E" w:rsidRPr="00DB6C66">
        <w:rPr>
          <w:szCs w:val="22"/>
          <w:lang w:val="fr-FR"/>
        </w:rPr>
        <w:t>d</w:t>
      </w:r>
      <w:r w:rsidR="00280EEC">
        <w:rPr>
          <w:szCs w:val="22"/>
          <w:lang w:val="fr-FR"/>
        </w:rPr>
        <w:t>’</w:t>
      </w:r>
      <w:r w:rsidR="0061788E" w:rsidRPr="00DB6C66">
        <w:rPr>
          <w:szCs w:val="22"/>
          <w:lang w:val="fr-FR"/>
        </w:rPr>
        <w:t xml:space="preserve">administration chargée </w:t>
      </w:r>
      <w:r w:rsidRPr="00DB6C66">
        <w:rPr>
          <w:szCs w:val="22"/>
          <w:lang w:val="fr-FR"/>
        </w:rPr>
        <w:t>de l</w:t>
      </w:r>
      <w:r w:rsidR="00280EEC">
        <w:rPr>
          <w:szCs w:val="22"/>
          <w:lang w:val="fr-FR"/>
        </w:rPr>
        <w:t>’</w:t>
      </w:r>
      <w:r w:rsidRPr="00DB6C66">
        <w:rPr>
          <w:szCs w:val="22"/>
          <w:lang w:val="fr-FR"/>
        </w:rPr>
        <w:t>examen préliminaire international selon le Traité de coop</w:t>
      </w:r>
      <w:r w:rsidR="0061788E" w:rsidRPr="00DB6C66">
        <w:rPr>
          <w:szCs w:val="22"/>
          <w:lang w:val="fr-FR"/>
        </w:rPr>
        <w:t>ération en matière de brevets (</w:t>
      </w:r>
      <w:r w:rsidRPr="00DB6C66">
        <w:rPr>
          <w:szCs w:val="22"/>
          <w:lang w:val="fr-FR"/>
        </w:rPr>
        <w:t>PCT).</w:t>
      </w:r>
      <w:r w:rsidR="00E05A74" w:rsidRPr="00DB6C66">
        <w:rPr>
          <w:szCs w:val="22"/>
          <w:lang w:val="fr-FR"/>
        </w:rPr>
        <w:t xml:space="preserve">  Nous nous permettons donc de </w:t>
      </w:r>
      <w:r w:rsidR="00E05A74" w:rsidRPr="00DB6C66">
        <w:rPr>
          <w:lang w:val="fr-FR"/>
        </w:rPr>
        <w:t>demander que le Comité de coopération technique</w:t>
      </w:r>
      <w:r w:rsidR="00E01D11" w:rsidRPr="00DB6C66">
        <w:rPr>
          <w:lang w:val="fr-FR"/>
        </w:rPr>
        <w:t xml:space="preserve"> du PCT</w:t>
      </w:r>
      <w:r w:rsidR="00E05A74" w:rsidRPr="00DB6C66">
        <w:rPr>
          <w:lang w:val="fr-FR"/>
        </w:rPr>
        <w:t xml:space="preserve"> (CTC) soit saisi de la question pour avis, comme le préconise l</w:t>
      </w:r>
      <w:r w:rsidR="00280EEC">
        <w:rPr>
          <w:lang w:val="fr-FR"/>
        </w:rPr>
        <w:t>’</w:t>
      </w:r>
      <w:r w:rsidR="00E05A74" w:rsidRPr="00DB6C66">
        <w:rPr>
          <w:lang w:val="fr-FR"/>
        </w:rPr>
        <w:t>article 16.3)e)</w:t>
      </w:r>
      <w:r w:rsidR="00E01D11" w:rsidRPr="00DB6C66">
        <w:rPr>
          <w:lang w:val="fr-FR"/>
        </w:rPr>
        <w:t xml:space="preserve"> du PCT</w:t>
      </w:r>
      <w:r w:rsidR="00E05A74" w:rsidRPr="00DB6C66">
        <w:rPr>
          <w:lang w:val="fr-FR"/>
        </w:rPr>
        <w:t>, et que la question soit inscrite à l</w:t>
      </w:r>
      <w:r w:rsidR="00280EEC">
        <w:rPr>
          <w:lang w:val="fr-FR"/>
        </w:rPr>
        <w:t>’</w:t>
      </w:r>
      <w:r w:rsidR="00E05A74" w:rsidRPr="00DB6C66">
        <w:rPr>
          <w:lang w:val="fr-FR"/>
        </w:rPr>
        <w:t>ordre du jour de l</w:t>
      </w:r>
      <w:r w:rsidR="00280EEC">
        <w:rPr>
          <w:lang w:val="fr-FR"/>
        </w:rPr>
        <w:t>’</w:t>
      </w:r>
      <w:r w:rsidR="00E05A74" w:rsidRPr="00DB6C66">
        <w:rPr>
          <w:lang w:val="fr-FR"/>
        </w:rPr>
        <w:t>Assemblée de l</w:t>
      </w:r>
      <w:r w:rsidR="00280EEC">
        <w:rPr>
          <w:lang w:val="fr-FR"/>
        </w:rPr>
        <w:t>’</w:t>
      </w:r>
      <w:r w:rsidR="00E05A74" w:rsidRPr="00DB6C66">
        <w:rPr>
          <w:lang w:val="fr-FR"/>
        </w:rPr>
        <w:t>Union</w:t>
      </w:r>
      <w:r w:rsidR="00E01D11" w:rsidRPr="00DB6C66">
        <w:rPr>
          <w:lang w:val="fr-FR"/>
        </w:rPr>
        <w:t xml:space="preserve"> du PCT</w:t>
      </w:r>
      <w:r w:rsidR="00E05A74" w:rsidRPr="00DB6C66">
        <w:rPr>
          <w:lang w:val="fr-FR"/>
        </w:rPr>
        <w:t xml:space="preserve"> pour décision lors de la 55</w:t>
      </w:r>
      <w:r w:rsidR="00E05A74" w:rsidRPr="00DB6C66">
        <w:rPr>
          <w:vertAlign w:val="superscript"/>
          <w:lang w:val="fr-FR"/>
        </w:rPr>
        <w:t>e</w:t>
      </w:r>
      <w:r w:rsidR="00707BF1" w:rsidRPr="00DB6C66">
        <w:rPr>
          <w:lang w:val="fr-FR"/>
        </w:rPr>
        <w:t> série de réunions des a</w:t>
      </w:r>
      <w:r w:rsidR="00E05A74" w:rsidRPr="00DB6C66">
        <w:rPr>
          <w:lang w:val="fr-FR"/>
        </w:rPr>
        <w:t xml:space="preserve">ssemblées des </w:t>
      </w:r>
      <w:r w:rsidR="00DF641F" w:rsidRPr="00DB6C66">
        <w:rPr>
          <w:lang w:val="fr-FR"/>
        </w:rPr>
        <w:t>États</w:t>
      </w:r>
      <w:r w:rsidR="00E05A74" w:rsidRPr="00DB6C66">
        <w:rPr>
          <w:lang w:val="fr-FR"/>
        </w:rPr>
        <w:t xml:space="preserve"> membres de l</w:t>
      </w:r>
      <w:r w:rsidR="00280EEC">
        <w:rPr>
          <w:lang w:val="fr-FR"/>
        </w:rPr>
        <w:t>’</w:t>
      </w:r>
      <w:r w:rsidR="00E05A74" w:rsidRPr="00DB6C66">
        <w:rPr>
          <w:lang w:val="fr-FR"/>
        </w:rPr>
        <w:t xml:space="preserve">OMPI, qui </w:t>
      </w:r>
      <w:r w:rsidR="00AF41DB" w:rsidRPr="00DB6C66">
        <w:rPr>
          <w:lang w:val="fr-FR"/>
        </w:rPr>
        <w:t>doit avoir lieu</w:t>
      </w:r>
      <w:r w:rsidR="00E05A74" w:rsidRPr="00DB6C66">
        <w:rPr>
          <w:lang w:val="fr-FR"/>
        </w:rPr>
        <w:t xml:space="preserve"> du 5 au 14 octobre 2015.</w:t>
      </w:r>
      <w:r w:rsidR="00EE287E" w:rsidRPr="00DB6C66">
        <w:rPr>
          <w:lang w:val="fr-FR"/>
        </w:rPr>
        <w:t xml:space="preserve">  Nous comprenons que la réunion</w:t>
      </w:r>
      <w:r w:rsidR="00E01D11" w:rsidRPr="00DB6C66">
        <w:rPr>
          <w:lang w:val="fr-FR"/>
        </w:rPr>
        <w:t xml:space="preserve"> du CTC</w:t>
      </w:r>
      <w:r w:rsidR="00EE287E" w:rsidRPr="00DB6C66">
        <w:rPr>
          <w:lang w:val="fr-FR"/>
        </w:rPr>
        <w:t xml:space="preserve"> se tiendra en parallèle de la réunion du Groupe de travail</w:t>
      </w:r>
      <w:r w:rsidR="00E01D11" w:rsidRPr="00DB6C66">
        <w:rPr>
          <w:lang w:val="fr-FR"/>
        </w:rPr>
        <w:t xml:space="preserve"> du PCT</w:t>
      </w:r>
      <w:r w:rsidR="00EE287E" w:rsidRPr="00DB6C66">
        <w:rPr>
          <w:lang w:val="fr-FR"/>
        </w:rPr>
        <w:t>, qui doit avoir lieu du 26 au 29 mai 2015, conformément à l</w:t>
      </w:r>
      <w:r w:rsidR="00280EEC">
        <w:rPr>
          <w:lang w:val="fr-FR"/>
        </w:rPr>
        <w:t>’</w:t>
      </w:r>
      <w:r w:rsidR="00EE287E" w:rsidRPr="00DB6C66">
        <w:rPr>
          <w:lang w:val="fr-FR"/>
        </w:rPr>
        <w:t xml:space="preserve">accord de principe </w:t>
      </w:r>
      <w:r w:rsidR="00AF41DB" w:rsidRPr="00DB6C66">
        <w:rPr>
          <w:lang w:val="fr-FR"/>
        </w:rPr>
        <w:t>sur</w:t>
      </w:r>
      <w:r w:rsidR="00EE287E" w:rsidRPr="00DB6C66">
        <w:rPr>
          <w:lang w:val="fr-FR"/>
        </w:rPr>
        <w:t xml:space="preserve"> les </w:t>
      </w:r>
      <w:r w:rsidR="004E047D" w:rsidRPr="00DB6C66">
        <w:rPr>
          <w:lang w:val="fr-FR"/>
        </w:rPr>
        <w:t>“</w:t>
      </w:r>
      <w:r w:rsidR="00EE287E" w:rsidRPr="00DB6C66">
        <w:rPr>
          <w:lang w:val="fr-FR"/>
        </w:rPr>
        <w:t xml:space="preserve"> Procédures de nomination des administrations internationales</w:t>
      </w:r>
      <w:r w:rsidR="004E047D" w:rsidRPr="00DB6C66">
        <w:rPr>
          <w:lang w:val="fr-FR"/>
        </w:rPr>
        <w:t>”</w:t>
      </w:r>
      <w:r w:rsidR="00EE287E" w:rsidRPr="00DB6C66">
        <w:rPr>
          <w:lang w:val="fr-FR"/>
        </w:rPr>
        <w:t xml:space="preserve"> adoptées</w:t>
      </w:r>
      <w:r w:rsidR="00AF41DB" w:rsidRPr="00DB6C66">
        <w:rPr>
          <w:lang w:val="fr-FR"/>
        </w:rPr>
        <w:t xml:space="preserve"> par l</w:t>
      </w:r>
      <w:r w:rsidR="00280EEC">
        <w:rPr>
          <w:lang w:val="fr-FR"/>
        </w:rPr>
        <w:t>’</w:t>
      </w:r>
      <w:r w:rsidR="00AF41DB" w:rsidRPr="00DB6C66">
        <w:rPr>
          <w:lang w:val="fr-FR"/>
        </w:rPr>
        <w:t>A</w:t>
      </w:r>
      <w:r w:rsidR="00EE287E" w:rsidRPr="00DB6C66">
        <w:rPr>
          <w:lang w:val="fr-FR"/>
        </w:rPr>
        <w:t>ssemblée de l</w:t>
      </w:r>
      <w:r w:rsidR="00280EEC">
        <w:rPr>
          <w:lang w:val="fr-FR"/>
        </w:rPr>
        <w:t>’</w:t>
      </w:r>
      <w:r w:rsidR="00AF41DB" w:rsidRPr="00DB6C66">
        <w:rPr>
          <w:lang w:val="fr-FR"/>
        </w:rPr>
        <w:t>U</w:t>
      </w:r>
      <w:r w:rsidR="00EE287E" w:rsidRPr="00DB6C66">
        <w:rPr>
          <w:lang w:val="fr-FR"/>
        </w:rPr>
        <w:t>nion</w:t>
      </w:r>
      <w:r w:rsidR="00E01D11" w:rsidRPr="00DB6C66">
        <w:rPr>
          <w:lang w:val="fr-FR"/>
        </w:rPr>
        <w:t xml:space="preserve"> du PCT</w:t>
      </w:r>
      <w:r w:rsidR="00525167" w:rsidRPr="00DB6C66">
        <w:rPr>
          <w:lang w:val="fr-FR"/>
        </w:rPr>
        <w:t xml:space="preserve"> à sa </w:t>
      </w:r>
      <w:r w:rsidR="00EE287E" w:rsidRPr="00DB6C66">
        <w:rPr>
          <w:lang w:val="fr-FR"/>
        </w:rPr>
        <w:t>46</w:t>
      </w:r>
      <w:r w:rsidR="00EE287E" w:rsidRPr="00DB6C66">
        <w:rPr>
          <w:vertAlign w:val="superscript"/>
          <w:lang w:val="fr-FR"/>
        </w:rPr>
        <w:t>e</w:t>
      </w:r>
      <w:r w:rsidR="00525167" w:rsidRPr="00DB6C66">
        <w:rPr>
          <w:lang w:val="fr-FR"/>
        </w:rPr>
        <w:t> </w:t>
      </w:r>
      <w:r w:rsidR="00EE287E" w:rsidRPr="00DB6C66">
        <w:rPr>
          <w:lang w:val="fr-FR"/>
        </w:rPr>
        <w:t>session, tenue à Genève du 22 au 30 </w:t>
      </w:r>
      <w:r w:rsidR="00E01D11" w:rsidRPr="00DB6C66">
        <w:rPr>
          <w:lang w:val="fr-FR"/>
        </w:rPr>
        <w:t>septembre 20</w:t>
      </w:r>
      <w:r w:rsidR="00EE287E" w:rsidRPr="00DB6C66">
        <w:rPr>
          <w:lang w:val="fr-FR"/>
        </w:rPr>
        <w:t>14.</w:t>
      </w:r>
    </w:p>
    <w:p w:rsidR="00A851B8" w:rsidRPr="00DB6C66" w:rsidRDefault="00A851B8" w:rsidP="006D3583">
      <w:pPr>
        <w:rPr>
          <w:szCs w:val="22"/>
          <w:lang w:val="fr-FR"/>
        </w:rPr>
      </w:pPr>
    </w:p>
    <w:p w:rsidR="00E01D11" w:rsidRPr="00DB6C66" w:rsidRDefault="00987DCB" w:rsidP="006D3583">
      <w:pPr>
        <w:rPr>
          <w:lang w:val="fr-FR"/>
        </w:rPr>
      </w:pPr>
      <w:r w:rsidRPr="00DB6C66">
        <w:rPr>
          <w:lang w:val="fr-FR"/>
        </w:rPr>
        <w:t xml:space="preserve">Dans une économie du </w:t>
      </w:r>
      <w:r w:rsidR="00C87214" w:rsidRPr="00DB6C66">
        <w:rPr>
          <w:lang w:val="fr-FR"/>
        </w:rPr>
        <w:t>XXI</w:t>
      </w:r>
      <w:r w:rsidRPr="00DB6C66">
        <w:rPr>
          <w:vertAlign w:val="superscript"/>
          <w:lang w:val="fr-FR"/>
        </w:rPr>
        <w:t>e</w:t>
      </w:r>
      <w:r w:rsidR="00C87214" w:rsidRPr="00DB6C66">
        <w:rPr>
          <w:lang w:val="fr-FR"/>
        </w:rPr>
        <w:t> </w:t>
      </w:r>
      <w:r w:rsidRPr="00DB6C66">
        <w:rPr>
          <w:lang w:val="fr-FR"/>
        </w:rPr>
        <w:t xml:space="preserve">siècle fondée sur le savoir, </w:t>
      </w:r>
      <w:r w:rsidR="001124CA" w:rsidRPr="00DB6C66">
        <w:rPr>
          <w:lang w:val="fr-FR"/>
        </w:rPr>
        <w:t xml:space="preserve">et </w:t>
      </w:r>
      <w:r w:rsidRPr="00DB6C66">
        <w:rPr>
          <w:lang w:val="fr-FR"/>
        </w:rPr>
        <w:t>marquée par des technologies de pointe, une concurrence accrue et la nécessité d</w:t>
      </w:r>
      <w:r w:rsidR="00280EEC">
        <w:rPr>
          <w:lang w:val="fr-FR"/>
        </w:rPr>
        <w:t>’</w:t>
      </w:r>
      <w:r w:rsidRPr="00DB6C66">
        <w:rPr>
          <w:lang w:val="fr-FR"/>
        </w:rPr>
        <w:t xml:space="preserve">améliorer la compétitivité, la protection par brevet à une échelle </w:t>
      </w:r>
      <w:r w:rsidR="00FE79B5" w:rsidRPr="00DB6C66">
        <w:rPr>
          <w:lang w:val="fr-FR"/>
        </w:rPr>
        <w:t xml:space="preserve">mondiale </w:t>
      </w:r>
      <w:r w:rsidR="001124CA" w:rsidRPr="00DB6C66">
        <w:rPr>
          <w:lang w:val="fr-FR"/>
        </w:rPr>
        <w:t>a acquis une importance cruciale</w:t>
      </w:r>
      <w:r w:rsidRPr="00DB6C66">
        <w:rPr>
          <w:lang w:val="fr-FR"/>
        </w:rPr>
        <w:t xml:space="preserve">. </w:t>
      </w:r>
      <w:r w:rsidR="00EF0E4F" w:rsidRPr="00DB6C66">
        <w:rPr>
          <w:lang w:val="fr-FR"/>
        </w:rPr>
        <w:t xml:space="preserve"> </w:t>
      </w:r>
      <w:r w:rsidR="00D23E56" w:rsidRPr="00DB6C66">
        <w:rPr>
          <w:lang w:val="fr-FR"/>
        </w:rPr>
        <w:t xml:space="preserve">Le </w:t>
      </w:r>
      <w:r w:rsidR="001124CA" w:rsidRPr="00DB6C66">
        <w:rPr>
          <w:lang w:val="fr-FR"/>
        </w:rPr>
        <w:t>système de protection</w:t>
      </w:r>
      <w:r w:rsidR="00FB0332" w:rsidRPr="00DB6C66">
        <w:rPr>
          <w:lang w:val="fr-FR"/>
        </w:rPr>
        <w:t xml:space="preserve"> </w:t>
      </w:r>
      <w:r w:rsidR="00FB0332" w:rsidRPr="00DB6C66">
        <w:rPr>
          <w:lang w:val="fr-FR"/>
        </w:rPr>
        <w:lastRenderedPageBreak/>
        <w:t>internationale</w:t>
      </w:r>
      <w:r w:rsidR="001124CA" w:rsidRPr="00DB6C66">
        <w:rPr>
          <w:lang w:val="fr-FR"/>
        </w:rPr>
        <w:t xml:space="preserve"> par brevet</w:t>
      </w:r>
      <w:r w:rsidR="00787706" w:rsidRPr="00DB6C66">
        <w:rPr>
          <w:lang w:val="fr-FR"/>
        </w:rPr>
        <w:t xml:space="preserve"> et ses </w:t>
      </w:r>
      <w:r w:rsidR="001124CA" w:rsidRPr="00DB6C66">
        <w:rPr>
          <w:lang w:val="fr-FR"/>
        </w:rPr>
        <w:t xml:space="preserve">services de haute qualité </w:t>
      </w:r>
      <w:r w:rsidR="00D23E56" w:rsidRPr="00DB6C66">
        <w:rPr>
          <w:lang w:val="fr-FR"/>
        </w:rPr>
        <w:t>joue</w:t>
      </w:r>
      <w:r w:rsidR="00787706" w:rsidRPr="00DB6C66">
        <w:rPr>
          <w:lang w:val="fr-FR"/>
        </w:rPr>
        <w:t>nt</w:t>
      </w:r>
      <w:r w:rsidR="00D23E56" w:rsidRPr="00DB6C66">
        <w:rPr>
          <w:lang w:val="fr-FR"/>
        </w:rPr>
        <w:t xml:space="preserve"> donc un rôle de plus en plus important</w:t>
      </w:r>
      <w:r w:rsidR="001124CA" w:rsidRPr="00DB6C66">
        <w:rPr>
          <w:lang w:val="fr-FR"/>
        </w:rPr>
        <w:t>.</w:t>
      </w:r>
      <w:r w:rsidR="00EF0E4F" w:rsidRPr="00DB6C66">
        <w:rPr>
          <w:lang w:val="fr-FR"/>
        </w:rPr>
        <w:t xml:space="preserve"> </w:t>
      </w:r>
      <w:r w:rsidR="001124CA" w:rsidRPr="00DB6C66">
        <w:rPr>
          <w:lang w:val="fr-FR"/>
        </w:rPr>
        <w:t xml:space="preserve"> Selon nous, le système</w:t>
      </w:r>
      <w:r w:rsidR="00E01D11" w:rsidRPr="00DB6C66">
        <w:rPr>
          <w:lang w:val="fr-FR"/>
        </w:rPr>
        <w:t xml:space="preserve"> du PCT</w:t>
      </w:r>
      <w:r w:rsidR="001124CA" w:rsidRPr="00DB6C66">
        <w:rPr>
          <w:lang w:val="fr-FR"/>
        </w:rPr>
        <w:t xml:space="preserve"> </w:t>
      </w:r>
      <w:r w:rsidR="00FB0332" w:rsidRPr="00DB6C66">
        <w:rPr>
          <w:lang w:val="fr-FR"/>
        </w:rPr>
        <w:t xml:space="preserve">fournit </w:t>
      </w:r>
      <w:r w:rsidR="001124CA" w:rsidRPr="00DB6C66">
        <w:rPr>
          <w:lang w:val="fr-FR"/>
        </w:rPr>
        <w:t>une protection internationale par brevet efficace.</w:t>
      </w:r>
      <w:r w:rsidR="00FB0332" w:rsidRPr="00DB6C66">
        <w:rPr>
          <w:lang w:val="fr-FR"/>
        </w:rPr>
        <w:t xml:space="preserve"> </w:t>
      </w:r>
      <w:r w:rsidR="00EF0E4F" w:rsidRPr="00DB6C66">
        <w:rPr>
          <w:lang w:val="fr-FR"/>
        </w:rPr>
        <w:t xml:space="preserve"> </w:t>
      </w:r>
      <w:r w:rsidR="00FB0332" w:rsidRPr="00DB6C66">
        <w:rPr>
          <w:lang w:val="fr-FR"/>
        </w:rPr>
        <w:t>Nous a</w:t>
      </w:r>
      <w:r w:rsidR="00E639DD" w:rsidRPr="00DB6C66">
        <w:rPr>
          <w:lang w:val="fr-FR"/>
        </w:rPr>
        <w:t xml:space="preserve">pprécions au plus haut point la qualité des prestations du </w:t>
      </w:r>
      <w:r w:rsidR="00FB0332" w:rsidRPr="00DB6C66">
        <w:rPr>
          <w:lang w:val="fr-FR"/>
        </w:rPr>
        <w:t>système</w:t>
      </w:r>
      <w:r w:rsidR="00E01D11" w:rsidRPr="00DB6C66">
        <w:rPr>
          <w:lang w:val="fr-FR"/>
        </w:rPr>
        <w:t xml:space="preserve"> du PCT</w:t>
      </w:r>
      <w:r w:rsidR="00FB0332" w:rsidRPr="00DB6C66">
        <w:rPr>
          <w:lang w:val="fr-FR"/>
        </w:rPr>
        <w:t xml:space="preserve"> </w:t>
      </w:r>
      <w:r w:rsidR="00E639DD" w:rsidRPr="00DB6C66">
        <w:rPr>
          <w:lang w:val="fr-FR"/>
        </w:rPr>
        <w:t xml:space="preserve">ainsi que </w:t>
      </w:r>
      <w:r w:rsidR="00FB0332" w:rsidRPr="00DB6C66">
        <w:rPr>
          <w:lang w:val="fr-FR"/>
        </w:rPr>
        <w:t>le</w:t>
      </w:r>
      <w:r w:rsidR="00605EC4" w:rsidRPr="00DB6C66">
        <w:rPr>
          <w:lang w:val="fr-FR"/>
        </w:rPr>
        <w:t xml:space="preserve">s avantages </w:t>
      </w:r>
      <w:r w:rsidR="00FB0332" w:rsidRPr="00DB6C66">
        <w:rPr>
          <w:lang w:val="fr-FR"/>
        </w:rPr>
        <w:t>qu</w:t>
      </w:r>
      <w:r w:rsidR="00280EEC">
        <w:rPr>
          <w:lang w:val="fr-FR"/>
        </w:rPr>
        <w:t>’</w:t>
      </w:r>
      <w:r w:rsidR="00FB0332" w:rsidRPr="00DB6C66">
        <w:rPr>
          <w:lang w:val="fr-FR"/>
        </w:rPr>
        <w:t xml:space="preserve">il </w:t>
      </w:r>
      <w:r w:rsidR="00E639DD" w:rsidRPr="00DB6C66">
        <w:rPr>
          <w:lang w:val="fr-FR"/>
        </w:rPr>
        <w:t xml:space="preserve">procure </w:t>
      </w:r>
      <w:r w:rsidR="00FB0332" w:rsidRPr="00DB6C66">
        <w:rPr>
          <w:lang w:val="fr-FR"/>
        </w:rPr>
        <w:t>aux utilisateurs du monde entier.</w:t>
      </w:r>
    </w:p>
    <w:p w:rsidR="001124CA" w:rsidRPr="00DB6C66" w:rsidRDefault="001124CA" w:rsidP="006D3583">
      <w:pPr>
        <w:keepLines/>
        <w:rPr>
          <w:szCs w:val="22"/>
          <w:lang w:val="fr-FR"/>
        </w:rPr>
      </w:pPr>
    </w:p>
    <w:p w:rsidR="008F1BA6" w:rsidRPr="00DB6C66" w:rsidRDefault="00605EC4" w:rsidP="006D3583">
      <w:pPr>
        <w:rPr>
          <w:szCs w:val="22"/>
          <w:lang w:val="fr-FR"/>
        </w:rPr>
      </w:pPr>
      <w:r w:rsidRPr="00DB6C66">
        <w:rPr>
          <w:szCs w:val="22"/>
          <w:lang w:val="fr-FR"/>
        </w:rPr>
        <w:t>Cela étant</w:t>
      </w:r>
      <w:r w:rsidR="00EF0E4F" w:rsidRPr="00DB6C66">
        <w:rPr>
          <w:szCs w:val="22"/>
          <w:lang w:val="fr-FR"/>
        </w:rPr>
        <w:t xml:space="preserve">, </w:t>
      </w:r>
      <w:r w:rsidR="00D26C80" w:rsidRPr="00DB6C66">
        <w:rPr>
          <w:szCs w:val="22"/>
          <w:lang w:val="fr-FR"/>
        </w:rPr>
        <w:t>la</w:t>
      </w:r>
      <w:r w:rsidR="00EF0E4F" w:rsidRPr="00DB6C66">
        <w:rPr>
          <w:szCs w:val="22"/>
          <w:lang w:val="fr-FR"/>
        </w:rPr>
        <w:t xml:space="preserve"> région de l</w:t>
      </w:r>
      <w:r w:rsidR="00280EEC">
        <w:rPr>
          <w:szCs w:val="22"/>
          <w:lang w:val="fr-FR"/>
        </w:rPr>
        <w:t>’</w:t>
      </w:r>
      <w:r w:rsidR="00EF0E4F" w:rsidRPr="00DB6C66">
        <w:rPr>
          <w:szCs w:val="22"/>
          <w:lang w:val="fr-FR"/>
        </w:rPr>
        <w:t xml:space="preserve">Europe centrale et orientale </w:t>
      </w:r>
      <w:r w:rsidR="00BD333C" w:rsidRPr="00DB6C66">
        <w:rPr>
          <w:szCs w:val="22"/>
          <w:lang w:val="fr-FR"/>
        </w:rPr>
        <w:t>ne compte pas d</w:t>
      </w:r>
      <w:r w:rsidR="00280EEC">
        <w:rPr>
          <w:szCs w:val="22"/>
          <w:lang w:val="fr-FR"/>
        </w:rPr>
        <w:t>’</w:t>
      </w:r>
      <w:r w:rsidR="00EF0E4F" w:rsidRPr="00DB6C66">
        <w:rPr>
          <w:szCs w:val="22"/>
          <w:lang w:val="fr-FR"/>
        </w:rPr>
        <w:t>administration</w:t>
      </w:r>
      <w:r w:rsidR="00E01D11" w:rsidRPr="00DB6C66">
        <w:rPr>
          <w:szCs w:val="22"/>
          <w:lang w:val="fr-FR"/>
        </w:rPr>
        <w:t xml:space="preserve"> du PCT</w:t>
      </w:r>
      <w:r w:rsidR="00EF0E4F" w:rsidRPr="00DB6C66">
        <w:rPr>
          <w:szCs w:val="22"/>
          <w:lang w:val="fr-FR"/>
        </w:rPr>
        <w:t xml:space="preserve"> qui, en </w:t>
      </w:r>
      <w:r w:rsidR="007758B7" w:rsidRPr="00DB6C66">
        <w:rPr>
          <w:szCs w:val="22"/>
          <w:lang w:val="fr-FR"/>
        </w:rPr>
        <w:t xml:space="preserve">absorbant une partie de </w:t>
      </w:r>
      <w:r w:rsidR="00EF0E4F" w:rsidRPr="00DB6C66">
        <w:rPr>
          <w:szCs w:val="22"/>
          <w:lang w:val="fr-FR"/>
        </w:rPr>
        <w:t xml:space="preserve">la charge de travail, pourrait contribuer à </w:t>
      </w:r>
      <w:r w:rsidR="00D26C80" w:rsidRPr="00DB6C66">
        <w:rPr>
          <w:szCs w:val="22"/>
          <w:lang w:val="fr-FR"/>
        </w:rPr>
        <w:t xml:space="preserve">soutenir </w:t>
      </w:r>
      <w:r w:rsidR="00EF0E4F" w:rsidRPr="00DB6C66">
        <w:rPr>
          <w:szCs w:val="22"/>
          <w:lang w:val="fr-FR"/>
        </w:rPr>
        <w:t>les services de haute qualité offert</w:t>
      </w:r>
      <w:r w:rsidR="00D26C80" w:rsidRPr="00DB6C66">
        <w:rPr>
          <w:szCs w:val="22"/>
          <w:lang w:val="fr-FR"/>
        </w:rPr>
        <w:t>s</w:t>
      </w:r>
      <w:r w:rsidR="00F27D48" w:rsidRPr="00DB6C66">
        <w:rPr>
          <w:szCs w:val="22"/>
          <w:lang w:val="fr-FR"/>
        </w:rPr>
        <w:t xml:space="preserve"> par le système</w:t>
      </w:r>
      <w:r w:rsidR="00E01D11" w:rsidRPr="00DB6C66">
        <w:rPr>
          <w:szCs w:val="22"/>
          <w:lang w:val="fr-FR"/>
        </w:rPr>
        <w:t xml:space="preserve"> du PCT</w:t>
      </w:r>
      <w:r w:rsidR="00F27D48" w:rsidRPr="00DB6C66">
        <w:rPr>
          <w:szCs w:val="22"/>
          <w:lang w:val="fr-FR"/>
        </w:rPr>
        <w:t xml:space="preserve">.  </w:t>
      </w:r>
      <w:r w:rsidR="00EF0E4F" w:rsidRPr="00DB6C66">
        <w:rPr>
          <w:szCs w:val="22"/>
          <w:lang w:val="fr-FR"/>
        </w:rPr>
        <w:t>L</w:t>
      </w:r>
      <w:r w:rsidR="00280EEC">
        <w:rPr>
          <w:szCs w:val="22"/>
          <w:lang w:val="fr-FR"/>
        </w:rPr>
        <w:t>’</w:t>
      </w:r>
      <w:r w:rsidR="00D26C80" w:rsidRPr="00DB6C66">
        <w:rPr>
          <w:szCs w:val="22"/>
          <w:lang w:val="fr-FR"/>
        </w:rPr>
        <w:t>I</w:t>
      </w:r>
      <w:r w:rsidR="00EF0E4F" w:rsidRPr="00DB6C66">
        <w:rPr>
          <w:szCs w:val="22"/>
          <w:lang w:val="fr-FR"/>
        </w:rPr>
        <w:t xml:space="preserve">nstitut de </w:t>
      </w:r>
      <w:proofErr w:type="spellStart"/>
      <w:r w:rsidR="00EF0E4F" w:rsidRPr="00DB6C66">
        <w:rPr>
          <w:szCs w:val="22"/>
          <w:lang w:val="fr-FR"/>
        </w:rPr>
        <w:t>Visegrad</w:t>
      </w:r>
      <w:proofErr w:type="spellEnd"/>
      <w:r w:rsidR="00EF0E4F" w:rsidRPr="00DB6C66">
        <w:rPr>
          <w:szCs w:val="22"/>
          <w:lang w:val="fr-FR"/>
        </w:rPr>
        <w:t xml:space="preserve"> des brevets a été créé dans </w:t>
      </w:r>
      <w:r w:rsidR="00D26C80" w:rsidRPr="00DB6C66">
        <w:rPr>
          <w:szCs w:val="22"/>
          <w:lang w:val="fr-FR"/>
        </w:rPr>
        <w:t>le souci</w:t>
      </w:r>
      <w:r w:rsidR="00EF0E4F" w:rsidRPr="00DB6C66">
        <w:rPr>
          <w:szCs w:val="22"/>
          <w:lang w:val="fr-FR"/>
        </w:rPr>
        <w:t xml:space="preserve"> d</w:t>
      </w:r>
      <w:r w:rsidR="00280EEC">
        <w:rPr>
          <w:szCs w:val="22"/>
          <w:lang w:val="fr-FR"/>
        </w:rPr>
        <w:t>’</w:t>
      </w:r>
      <w:r w:rsidR="00EF0E4F" w:rsidRPr="00DB6C66">
        <w:rPr>
          <w:szCs w:val="22"/>
          <w:lang w:val="fr-FR"/>
        </w:rPr>
        <w:t>encourager l</w:t>
      </w:r>
      <w:r w:rsidR="00280EEC">
        <w:rPr>
          <w:szCs w:val="22"/>
          <w:lang w:val="fr-FR"/>
        </w:rPr>
        <w:t>’</w:t>
      </w:r>
      <w:r w:rsidR="00EF0E4F" w:rsidRPr="00DB6C66">
        <w:rPr>
          <w:szCs w:val="22"/>
          <w:lang w:val="fr-FR"/>
        </w:rPr>
        <w:t xml:space="preserve">innovation et la créativité dans cette région en </w:t>
      </w:r>
      <w:r w:rsidR="00D26C80" w:rsidRPr="00DB6C66">
        <w:rPr>
          <w:szCs w:val="22"/>
          <w:lang w:val="fr-FR"/>
        </w:rPr>
        <w:t>regroupant</w:t>
      </w:r>
      <w:r w:rsidR="00EF0E4F" w:rsidRPr="00DB6C66">
        <w:rPr>
          <w:szCs w:val="22"/>
          <w:lang w:val="fr-FR"/>
        </w:rPr>
        <w:t xml:space="preserve"> les ressources des offices de la propriété industrielle des pays du V4 </w:t>
      </w:r>
      <w:r w:rsidR="00922177" w:rsidRPr="00DB6C66">
        <w:rPr>
          <w:szCs w:val="22"/>
          <w:lang w:val="fr-FR"/>
        </w:rPr>
        <w:t xml:space="preserve">au profit </w:t>
      </w:r>
      <w:r w:rsidR="00EF0E4F" w:rsidRPr="00DB6C66">
        <w:rPr>
          <w:szCs w:val="22"/>
          <w:lang w:val="fr-FR"/>
        </w:rPr>
        <w:t>de leurs utilisateurs, en particulier les inventeurs, les petites et moyennes entreprises et les organismes de recherche financé</w:t>
      </w:r>
      <w:r w:rsidR="00601296" w:rsidRPr="00DB6C66">
        <w:rPr>
          <w:szCs w:val="22"/>
          <w:lang w:val="fr-FR"/>
        </w:rPr>
        <w:t>s</w:t>
      </w:r>
      <w:r w:rsidR="00EF0E4F" w:rsidRPr="00DB6C66">
        <w:rPr>
          <w:szCs w:val="22"/>
          <w:lang w:val="fr-FR"/>
        </w:rPr>
        <w:t xml:space="preserve"> par </w:t>
      </w:r>
      <w:r w:rsidR="00D26C80" w:rsidRPr="00DB6C66">
        <w:rPr>
          <w:szCs w:val="22"/>
          <w:lang w:val="fr-FR"/>
        </w:rPr>
        <w:t>les autorités publiques</w:t>
      </w:r>
      <w:r w:rsidR="00EF0E4F" w:rsidRPr="00DB6C66">
        <w:rPr>
          <w:szCs w:val="22"/>
          <w:lang w:val="fr-FR"/>
        </w:rPr>
        <w:t xml:space="preserve">.  </w:t>
      </w:r>
      <w:r w:rsidR="00601296" w:rsidRPr="00DB6C66">
        <w:rPr>
          <w:szCs w:val="22"/>
          <w:lang w:val="fr-FR"/>
        </w:rPr>
        <w:t xml:space="preserve">Les synergies et les ressources accumulées des </w:t>
      </w:r>
      <w:r w:rsidR="007758B7" w:rsidRPr="00DB6C66">
        <w:rPr>
          <w:szCs w:val="22"/>
          <w:lang w:val="fr-FR"/>
        </w:rPr>
        <w:t>o</w:t>
      </w:r>
      <w:r w:rsidR="00601296" w:rsidRPr="00DB6C66">
        <w:rPr>
          <w:szCs w:val="22"/>
          <w:lang w:val="fr-FR"/>
        </w:rPr>
        <w:t>ffice</w:t>
      </w:r>
      <w:r w:rsidR="007758B7" w:rsidRPr="00DB6C66">
        <w:rPr>
          <w:szCs w:val="22"/>
          <w:lang w:val="fr-FR"/>
        </w:rPr>
        <w:t>s</w:t>
      </w:r>
      <w:r w:rsidR="00601296" w:rsidRPr="00DB6C66">
        <w:rPr>
          <w:szCs w:val="22"/>
          <w:lang w:val="fr-FR"/>
        </w:rPr>
        <w:t xml:space="preserve"> de la propriété industrielle du V4 permettront à l</w:t>
      </w:r>
      <w:r w:rsidR="00280EEC">
        <w:rPr>
          <w:szCs w:val="22"/>
          <w:lang w:val="fr-FR"/>
        </w:rPr>
        <w:t>’</w:t>
      </w:r>
      <w:r w:rsidR="00972D5A" w:rsidRPr="00DB6C66">
        <w:rPr>
          <w:szCs w:val="22"/>
          <w:lang w:val="fr-FR"/>
        </w:rPr>
        <w:t>I</w:t>
      </w:r>
      <w:r w:rsidR="00601296" w:rsidRPr="00DB6C66">
        <w:rPr>
          <w:szCs w:val="22"/>
          <w:lang w:val="fr-FR"/>
        </w:rPr>
        <w:t xml:space="preserve">nstitut de </w:t>
      </w:r>
      <w:proofErr w:type="spellStart"/>
      <w:r w:rsidR="00601296" w:rsidRPr="00DB6C66">
        <w:rPr>
          <w:szCs w:val="22"/>
          <w:lang w:val="fr-FR"/>
        </w:rPr>
        <w:t>Visegrad</w:t>
      </w:r>
      <w:proofErr w:type="spellEnd"/>
      <w:r w:rsidR="00601296" w:rsidRPr="00DB6C66">
        <w:rPr>
          <w:szCs w:val="22"/>
          <w:lang w:val="fr-FR"/>
        </w:rPr>
        <w:t xml:space="preserve"> des brevets de remplir les critères de nomination en qualité d</w:t>
      </w:r>
      <w:r w:rsidR="00280EEC">
        <w:rPr>
          <w:szCs w:val="22"/>
          <w:lang w:val="fr-FR"/>
        </w:rPr>
        <w:t>’</w:t>
      </w:r>
      <w:r w:rsidR="00601296" w:rsidRPr="00DB6C66">
        <w:rPr>
          <w:szCs w:val="22"/>
          <w:lang w:val="fr-FR"/>
        </w:rPr>
        <w:t xml:space="preserve">administration chargée de la recherche internationale et </w:t>
      </w:r>
      <w:r w:rsidR="00BC4AC8" w:rsidRPr="00DB6C66">
        <w:rPr>
          <w:szCs w:val="22"/>
          <w:lang w:val="fr-FR"/>
        </w:rPr>
        <w:t>d</w:t>
      </w:r>
      <w:r w:rsidR="00280EEC">
        <w:rPr>
          <w:szCs w:val="22"/>
          <w:lang w:val="fr-FR"/>
        </w:rPr>
        <w:t>’</w:t>
      </w:r>
      <w:r w:rsidR="00BC4AC8" w:rsidRPr="00DB6C66">
        <w:rPr>
          <w:szCs w:val="22"/>
          <w:lang w:val="fr-FR"/>
        </w:rPr>
        <w:t xml:space="preserve">administration chargée </w:t>
      </w:r>
      <w:r w:rsidR="00601296" w:rsidRPr="00DB6C66">
        <w:rPr>
          <w:szCs w:val="22"/>
          <w:lang w:val="fr-FR"/>
        </w:rPr>
        <w:t>de l</w:t>
      </w:r>
      <w:r w:rsidR="00280EEC">
        <w:rPr>
          <w:szCs w:val="22"/>
          <w:lang w:val="fr-FR"/>
        </w:rPr>
        <w:t>’</w:t>
      </w:r>
      <w:r w:rsidR="00601296" w:rsidRPr="00DB6C66">
        <w:rPr>
          <w:szCs w:val="22"/>
          <w:lang w:val="fr-FR"/>
        </w:rPr>
        <w:t>examen préliminaire international, et d</w:t>
      </w:r>
      <w:r w:rsidR="00280EEC">
        <w:rPr>
          <w:szCs w:val="22"/>
          <w:lang w:val="fr-FR"/>
        </w:rPr>
        <w:t>’</w:t>
      </w:r>
      <w:r w:rsidR="00601296" w:rsidRPr="00DB6C66">
        <w:rPr>
          <w:szCs w:val="22"/>
          <w:lang w:val="fr-FR"/>
        </w:rPr>
        <w:t xml:space="preserve">offrir de meilleurs services </w:t>
      </w:r>
      <w:r w:rsidR="00BC4AC8" w:rsidRPr="00DB6C66">
        <w:rPr>
          <w:szCs w:val="22"/>
          <w:lang w:val="fr-FR"/>
        </w:rPr>
        <w:t xml:space="preserve">répondant </w:t>
      </w:r>
      <w:r w:rsidR="00F27D48" w:rsidRPr="00DB6C66">
        <w:rPr>
          <w:szCs w:val="22"/>
          <w:lang w:val="fr-FR"/>
        </w:rPr>
        <w:t xml:space="preserve">aux </w:t>
      </w:r>
      <w:r w:rsidR="00601296" w:rsidRPr="00DB6C66">
        <w:rPr>
          <w:szCs w:val="22"/>
          <w:lang w:val="fr-FR"/>
        </w:rPr>
        <w:t xml:space="preserve">normes internationales.  </w:t>
      </w:r>
      <w:r w:rsidR="008F1FAA" w:rsidRPr="00DB6C66">
        <w:rPr>
          <w:szCs w:val="22"/>
          <w:lang w:val="fr-FR"/>
        </w:rPr>
        <w:t>Par ailleurs, la coopération devrait accroître la qualité et l</w:t>
      </w:r>
      <w:r w:rsidR="00280EEC">
        <w:rPr>
          <w:szCs w:val="22"/>
          <w:lang w:val="fr-FR"/>
        </w:rPr>
        <w:t>’</w:t>
      </w:r>
      <w:r w:rsidR="008F1FAA" w:rsidRPr="00DB6C66">
        <w:rPr>
          <w:szCs w:val="22"/>
          <w:lang w:val="fr-FR"/>
        </w:rPr>
        <w:t xml:space="preserve">efficacité des travaux exécutés par chaque </w:t>
      </w:r>
      <w:r w:rsidR="006333AD" w:rsidRPr="00DB6C66">
        <w:rPr>
          <w:szCs w:val="22"/>
          <w:lang w:val="fr-FR"/>
        </w:rPr>
        <w:t>o</w:t>
      </w:r>
      <w:r w:rsidR="008F1FAA" w:rsidRPr="00DB6C66">
        <w:rPr>
          <w:szCs w:val="22"/>
          <w:lang w:val="fr-FR"/>
        </w:rPr>
        <w:t>ffice de la propriété industrielle.</w:t>
      </w:r>
    </w:p>
    <w:p w:rsidR="008F1BA6" w:rsidRPr="00DB6C66" w:rsidRDefault="008F1BA6" w:rsidP="006D3583">
      <w:pPr>
        <w:rPr>
          <w:szCs w:val="22"/>
          <w:lang w:val="fr-FR"/>
        </w:rPr>
      </w:pPr>
    </w:p>
    <w:p w:rsidR="00E01D11" w:rsidRPr="00DB6C66" w:rsidRDefault="000374FB" w:rsidP="006D3583">
      <w:pPr>
        <w:rPr>
          <w:szCs w:val="22"/>
          <w:lang w:val="fr-FR"/>
        </w:rPr>
      </w:pPr>
      <w:r w:rsidRPr="00DB6C66">
        <w:rPr>
          <w:szCs w:val="22"/>
          <w:lang w:val="fr-FR"/>
        </w:rPr>
        <w:t>Par conséquent, les utilisateurs des pays du V4 apportent leur plein soutien à l</w:t>
      </w:r>
      <w:r w:rsidR="00280EEC">
        <w:rPr>
          <w:szCs w:val="22"/>
          <w:lang w:val="fr-FR"/>
        </w:rPr>
        <w:t>’</w:t>
      </w:r>
      <w:r w:rsidRPr="00DB6C66">
        <w:rPr>
          <w:szCs w:val="22"/>
          <w:lang w:val="fr-FR"/>
        </w:rPr>
        <w:t>instauration de l</w:t>
      </w:r>
      <w:r w:rsidR="00280EEC">
        <w:rPr>
          <w:szCs w:val="22"/>
          <w:lang w:val="fr-FR"/>
        </w:rPr>
        <w:t>’</w:t>
      </w:r>
      <w:r w:rsidRPr="00DB6C66">
        <w:rPr>
          <w:szCs w:val="22"/>
          <w:lang w:val="fr-FR"/>
        </w:rPr>
        <w:t xml:space="preserve">Institut de </w:t>
      </w:r>
      <w:proofErr w:type="spellStart"/>
      <w:r w:rsidRPr="00DB6C66">
        <w:rPr>
          <w:szCs w:val="22"/>
          <w:lang w:val="fr-FR"/>
        </w:rPr>
        <w:t>Visegrad</w:t>
      </w:r>
      <w:proofErr w:type="spellEnd"/>
      <w:r w:rsidRPr="00DB6C66">
        <w:rPr>
          <w:szCs w:val="22"/>
          <w:lang w:val="fr-FR"/>
        </w:rPr>
        <w:t xml:space="preserve"> des brevets en </w:t>
      </w:r>
      <w:r w:rsidR="00B27168" w:rsidRPr="00DB6C66">
        <w:rPr>
          <w:szCs w:val="22"/>
          <w:lang w:val="fr-FR"/>
        </w:rPr>
        <w:t>tant qu</w:t>
      </w:r>
      <w:r w:rsidR="00280EEC">
        <w:rPr>
          <w:szCs w:val="22"/>
          <w:lang w:val="fr-FR"/>
        </w:rPr>
        <w:t>’</w:t>
      </w:r>
      <w:r w:rsidRPr="00DB6C66">
        <w:rPr>
          <w:szCs w:val="22"/>
          <w:lang w:val="fr-FR"/>
        </w:rPr>
        <w:t>administration</w:t>
      </w:r>
      <w:r w:rsidR="00E01D11" w:rsidRPr="00DB6C66">
        <w:rPr>
          <w:szCs w:val="22"/>
          <w:lang w:val="fr-FR"/>
        </w:rPr>
        <w:t xml:space="preserve"> du PCT</w:t>
      </w:r>
      <w:r w:rsidRPr="00DB6C66">
        <w:rPr>
          <w:szCs w:val="22"/>
          <w:lang w:val="fr-FR"/>
        </w:rPr>
        <w:t xml:space="preserve"> dans la région.  Le siège de l</w:t>
      </w:r>
      <w:r w:rsidR="00280EEC">
        <w:rPr>
          <w:szCs w:val="22"/>
          <w:lang w:val="fr-FR"/>
        </w:rPr>
        <w:t>’</w:t>
      </w:r>
      <w:r w:rsidR="0095528C" w:rsidRPr="00DB6C66">
        <w:rPr>
          <w:szCs w:val="22"/>
          <w:lang w:val="fr-FR"/>
        </w:rPr>
        <w:t>i</w:t>
      </w:r>
      <w:r w:rsidRPr="00DB6C66">
        <w:rPr>
          <w:szCs w:val="22"/>
          <w:lang w:val="fr-FR"/>
        </w:rPr>
        <w:t xml:space="preserve">nstitut sera situé à Budapest et des </w:t>
      </w:r>
      <w:r w:rsidR="0044142D" w:rsidRPr="00DB6C66">
        <w:rPr>
          <w:szCs w:val="22"/>
          <w:lang w:val="fr-FR"/>
        </w:rPr>
        <w:t xml:space="preserve">succursales </w:t>
      </w:r>
      <w:r w:rsidRPr="00DB6C66">
        <w:rPr>
          <w:szCs w:val="22"/>
          <w:lang w:val="fr-FR"/>
        </w:rPr>
        <w:t>seront créé</w:t>
      </w:r>
      <w:r w:rsidR="0044142D" w:rsidRPr="00DB6C66">
        <w:rPr>
          <w:szCs w:val="22"/>
          <w:lang w:val="fr-FR"/>
        </w:rPr>
        <w:t>e</w:t>
      </w:r>
      <w:r w:rsidRPr="00DB6C66">
        <w:rPr>
          <w:szCs w:val="22"/>
          <w:lang w:val="fr-FR"/>
        </w:rPr>
        <w:t xml:space="preserve">s dans chaque </w:t>
      </w:r>
      <w:r w:rsidR="00DF641F" w:rsidRPr="00DB6C66">
        <w:rPr>
          <w:szCs w:val="22"/>
          <w:lang w:val="fr-FR"/>
        </w:rPr>
        <w:t>État</w:t>
      </w:r>
      <w:r w:rsidRPr="00DB6C66">
        <w:rPr>
          <w:szCs w:val="22"/>
          <w:lang w:val="fr-FR"/>
        </w:rPr>
        <w:t xml:space="preserve"> contractant. </w:t>
      </w:r>
      <w:r w:rsidR="0044142D" w:rsidRPr="00DB6C66">
        <w:rPr>
          <w:szCs w:val="22"/>
          <w:lang w:val="fr-FR"/>
        </w:rPr>
        <w:t xml:space="preserve"> L</w:t>
      </w:r>
      <w:r w:rsidR="00280EEC">
        <w:rPr>
          <w:szCs w:val="22"/>
          <w:lang w:val="fr-FR"/>
        </w:rPr>
        <w:t>’</w:t>
      </w:r>
      <w:r w:rsidR="0095528C" w:rsidRPr="00DB6C66">
        <w:rPr>
          <w:szCs w:val="22"/>
          <w:lang w:val="fr-FR"/>
        </w:rPr>
        <w:t>i</w:t>
      </w:r>
      <w:r w:rsidR="0044142D" w:rsidRPr="00DB6C66">
        <w:rPr>
          <w:szCs w:val="22"/>
          <w:lang w:val="fr-FR"/>
        </w:rPr>
        <w:t xml:space="preserve">nstitut sera régi par un conseil </w:t>
      </w:r>
      <w:r w:rsidR="00B27168" w:rsidRPr="00DB6C66">
        <w:rPr>
          <w:szCs w:val="22"/>
          <w:lang w:val="fr-FR"/>
        </w:rPr>
        <w:t>d</w:t>
      </w:r>
      <w:r w:rsidR="00280EEC">
        <w:rPr>
          <w:szCs w:val="22"/>
          <w:lang w:val="fr-FR"/>
        </w:rPr>
        <w:t>’</w:t>
      </w:r>
      <w:r w:rsidR="0044142D" w:rsidRPr="00DB6C66">
        <w:rPr>
          <w:szCs w:val="22"/>
          <w:lang w:val="fr-FR"/>
        </w:rPr>
        <w:t>administrati</w:t>
      </w:r>
      <w:r w:rsidR="00B27168" w:rsidRPr="00DB6C66">
        <w:rPr>
          <w:szCs w:val="22"/>
          <w:lang w:val="fr-FR"/>
        </w:rPr>
        <w:t>on</w:t>
      </w:r>
      <w:r w:rsidR="0044142D" w:rsidRPr="00DB6C66">
        <w:rPr>
          <w:szCs w:val="22"/>
          <w:lang w:val="fr-FR"/>
        </w:rPr>
        <w:t xml:space="preserve"> et administré par un secrétariat</w:t>
      </w:r>
      <w:r w:rsidR="00AE1AC4" w:rsidRPr="00DB6C66">
        <w:rPr>
          <w:szCs w:val="22"/>
          <w:lang w:val="fr-FR"/>
        </w:rPr>
        <w:t>,</w:t>
      </w:r>
      <w:r w:rsidR="00AA79A2" w:rsidRPr="00DB6C66">
        <w:rPr>
          <w:szCs w:val="22"/>
          <w:lang w:val="fr-FR"/>
        </w:rPr>
        <w:t xml:space="preserve"> placé</w:t>
      </w:r>
      <w:r w:rsidR="00AE1AC4" w:rsidRPr="00DB6C66">
        <w:rPr>
          <w:szCs w:val="22"/>
          <w:lang w:val="fr-FR"/>
        </w:rPr>
        <w:t xml:space="preserve"> </w:t>
      </w:r>
      <w:r w:rsidR="00B3690E" w:rsidRPr="00DB6C66">
        <w:rPr>
          <w:szCs w:val="22"/>
          <w:lang w:val="fr-FR"/>
        </w:rPr>
        <w:t>sous la responsabilité d</w:t>
      </w:r>
      <w:r w:rsidR="00280EEC">
        <w:rPr>
          <w:szCs w:val="22"/>
          <w:lang w:val="fr-FR"/>
        </w:rPr>
        <w:t>’</w:t>
      </w:r>
      <w:r w:rsidR="00AE1AC4" w:rsidRPr="00DB6C66">
        <w:rPr>
          <w:szCs w:val="22"/>
          <w:lang w:val="fr-FR"/>
        </w:rPr>
        <w:t xml:space="preserve">un directeur.  </w:t>
      </w:r>
      <w:r w:rsidR="00CB7CE1" w:rsidRPr="00DB6C66">
        <w:rPr>
          <w:szCs w:val="22"/>
          <w:lang w:val="fr-FR"/>
        </w:rPr>
        <w:t>Sur le modèle de l</w:t>
      </w:r>
      <w:r w:rsidR="00280EEC">
        <w:rPr>
          <w:szCs w:val="22"/>
          <w:lang w:val="fr-FR"/>
        </w:rPr>
        <w:t>’</w:t>
      </w:r>
      <w:r w:rsidR="00CB7CE1" w:rsidRPr="00DB6C66">
        <w:rPr>
          <w:szCs w:val="22"/>
          <w:lang w:val="fr-FR"/>
        </w:rPr>
        <w:t>Institut nordique des brevets, les activités de l</w:t>
      </w:r>
      <w:r w:rsidR="00280EEC">
        <w:rPr>
          <w:szCs w:val="22"/>
          <w:lang w:val="fr-FR"/>
        </w:rPr>
        <w:t>’</w:t>
      </w:r>
      <w:r w:rsidR="00CB7CE1" w:rsidRPr="00DB6C66">
        <w:rPr>
          <w:szCs w:val="22"/>
          <w:lang w:val="fr-FR"/>
        </w:rPr>
        <w:t xml:space="preserve">Institut de </w:t>
      </w:r>
      <w:proofErr w:type="spellStart"/>
      <w:r w:rsidR="00CB7CE1" w:rsidRPr="00DB6C66">
        <w:rPr>
          <w:szCs w:val="22"/>
          <w:lang w:val="fr-FR"/>
        </w:rPr>
        <w:t>Visegrad</w:t>
      </w:r>
      <w:proofErr w:type="spellEnd"/>
      <w:r w:rsidR="00CB7CE1" w:rsidRPr="00DB6C66">
        <w:rPr>
          <w:szCs w:val="22"/>
          <w:lang w:val="fr-FR"/>
        </w:rPr>
        <w:t xml:space="preserve"> des brevets en qualité d</w:t>
      </w:r>
      <w:r w:rsidR="00280EEC">
        <w:rPr>
          <w:szCs w:val="22"/>
          <w:lang w:val="fr-FR"/>
        </w:rPr>
        <w:t>’</w:t>
      </w:r>
      <w:r w:rsidR="00CB7CE1" w:rsidRPr="00DB6C66">
        <w:rPr>
          <w:szCs w:val="22"/>
          <w:lang w:val="fr-FR"/>
        </w:rPr>
        <w:t>administration chargée de la recherche internationale et</w:t>
      </w:r>
      <w:r w:rsidR="008F1F46" w:rsidRPr="00DB6C66">
        <w:rPr>
          <w:szCs w:val="22"/>
          <w:lang w:val="fr-FR"/>
        </w:rPr>
        <w:t xml:space="preserve"> d</w:t>
      </w:r>
      <w:r w:rsidR="00280EEC">
        <w:rPr>
          <w:szCs w:val="22"/>
          <w:lang w:val="fr-FR"/>
        </w:rPr>
        <w:t>’</w:t>
      </w:r>
      <w:r w:rsidR="008F1F46" w:rsidRPr="00DB6C66">
        <w:rPr>
          <w:szCs w:val="22"/>
          <w:lang w:val="fr-FR"/>
        </w:rPr>
        <w:t>administration chargée</w:t>
      </w:r>
      <w:r w:rsidR="00CB7CE1" w:rsidRPr="00DB6C66">
        <w:rPr>
          <w:szCs w:val="22"/>
          <w:lang w:val="fr-FR"/>
        </w:rPr>
        <w:t xml:space="preserve"> de l</w:t>
      </w:r>
      <w:r w:rsidR="00280EEC">
        <w:rPr>
          <w:szCs w:val="22"/>
          <w:lang w:val="fr-FR"/>
        </w:rPr>
        <w:t>’</w:t>
      </w:r>
      <w:r w:rsidR="00CB7CE1" w:rsidRPr="00DB6C66">
        <w:rPr>
          <w:szCs w:val="22"/>
          <w:lang w:val="fr-FR"/>
        </w:rPr>
        <w:t xml:space="preserve">examen préliminaire international seront menées par les offices nationaux des pays du V4, pour </w:t>
      </w:r>
      <w:r w:rsidR="006318D6" w:rsidRPr="00DB6C66">
        <w:rPr>
          <w:szCs w:val="22"/>
          <w:lang w:val="fr-FR"/>
        </w:rPr>
        <w:t xml:space="preserve">le </w:t>
      </w:r>
      <w:r w:rsidR="00CB7CE1" w:rsidRPr="00DB6C66">
        <w:rPr>
          <w:szCs w:val="22"/>
          <w:lang w:val="fr-FR"/>
        </w:rPr>
        <w:t>compte</w:t>
      </w:r>
      <w:r w:rsidR="006318D6" w:rsidRPr="00DB6C66">
        <w:rPr>
          <w:szCs w:val="22"/>
          <w:lang w:val="fr-FR"/>
        </w:rPr>
        <w:t xml:space="preserve"> de l</w:t>
      </w:r>
      <w:r w:rsidR="00280EEC">
        <w:rPr>
          <w:szCs w:val="22"/>
          <w:lang w:val="fr-FR"/>
        </w:rPr>
        <w:t>’</w:t>
      </w:r>
      <w:r w:rsidR="0095528C" w:rsidRPr="00DB6C66">
        <w:rPr>
          <w:szCs w:val="22"/>
          <w:lang w:val="fr-FR"/>
        </w:rPr>
        <w:t>i</w:t>
      </w:r>
      <w:r w:rsidR="006318D6" w:rsidRPr="00DB6C66">
        <w:rPr>
          <w:szCs w:val="22"/>
          <w:lang w:val="fr-FR"/>
        </w:rPr>
        <w:t>nstitut</w:t>
      </w:r>
      <w:r w:rsidR="00CB7CE1" w:rsidRPr="00DB6C66">
        <w:rPr>
          <w:szCs w:val="22"/>
          <w:lang w:val="fr-FR"/>
        </w:rPr>
        <w:t>.</w:t>
      </w:r>
    </w:p>
    <w:p w:rsidR="00DB3999" w:rsidRPr="00DB6C66" w:rsidRDefault="00DB3999" w:rsidP="006D3583">
      <w:pPr>
        <w:rPr>
          <w:szCs w:val="22"/>
          <w:lang w:val="fr-FR"/>
        </w:rPr>
      </w:pPr>
    </w:p>
    <w:p w:rsidR="00AA79A2" w:rsidRPr="00DB6C66" w:rsidRDefault="00554990" w:rsidP="006D3583">
      <w:pPr>
        <w:rPr>
          <w:szCs w:val="22"/>
          <w:lang w:val="fr-FR"/>
        </w:rPr>
      </w:pPr>
      <w:r w:rsidRPr="00DB6C66">
        <w:rPr>
          <w:szCs w:val="22"/>
          <w:lang w:val="fr-FR"/>
        </w:rPr>
        <w:t>N</w:t>
      </w:r>
      <w:r w:rsidR="00AA79A2" w:rsidRPr="00DB6C66">
        <w:rPr>
          <w:szCs w:val="22"/>
          <w:lang w:val="fr-FR"/>
        </w:rPr>
        <w:t>ous nous réjouissons de l</w:t>
      </w:r>
      <w:r w:rsidR="00280EEC">
        <w:rPr>
          <w:szCs w:val="22"/>
          <w:lang w:val="fr-FR"/>
        </w:rPr>
        <w:t>’</w:t>
      </w:r>
      <w:r w:rsidR="00AA79A2" w:rsidRPr="00DB6C66">
        <w:rPr>
          <w:szCs w:val="22"/>
          <w:lang w:val="fr-FR"/>
        </w:rPr>
        <w:t>attention que vous porterez à la présente</w:t>
      </w:r>
      <w:r w:rsidRPr="00DB6C66">
        <w:rPr>
          <w:szCs w:val="22"/>
          <w:lang w:val="fr-FR"/>
        </w:rPr>
        <w:t>, en espérant avoir le plaisir de collaborer prochainement avec vous.</w:t>
      </w:r>
    </w:p>
    <w:p w:rsidR="00AA79A2" w:rsidRPr="00DB6C66" w:rsidRDefault="00AA79A2" w:rsidP="006D3583">
      <w:pPr>
        <w:rPr>
          <w:szCs w:val="22"/>
          <w:lang w:val="fr-FR"/>
        </w:rPr>
      </w:pPr>
    </w:p>
    <w:p w:rsidR="00554990" w:rsidRPr="00DB6C66" w:rsidRDefault="00554990" w:rsidP="006D3583">
      <w:pPr>
        <w:rPr>
          <w:szCs w:val="22"/>
          <w:lang w:val="fr-FR"/>
        </w:rPr>
      </w:pPr>
      <w:r w:rsidRPr="00DB6C66">
        <w:rPr>
          <w:szCs w:val="22"/>
          <w:lang w:val="fr-FR"/>
        </w:rPr>
        <w:t>Nous vous prions d</w:t>
      </w:r>
      <w:r w:rsidR="00280EEC">
        <w:rPr>
          <w:szCs w:val="22"/>
          <w:lang w:val="fr-FR"/>
        </w:rPr>
        <w:t>’</w:t>
      </w:r>
      <w:r w:rsidRPr="00DB6C66">
        <w:rPr>
          <w:szCs w:val="22"/>
          <w:lang w:val="fr-FR"/>
        </w:rPr>
        <w:t>agréer, Monsieur le Directeur général, l</w:t>
      </w:r>
      <w:r w:rsidR="00280EEC">
        <w:rPr>
          <w:szCs w:val="22"/>
          <w:lang w:val="fr-FR"/>
        </w:rPr>
        <w:t>’</w:t>
      </w:r>
      <w:r w:rsidRPr="00DB6C66">
        <w:rPr>
          <w:szCs w:val="22"/>
          <w:lang w:val="fr-FR"/>
        </w:rPr>
        <w:t>expression de notre plus haute considération.</w:t>
      </w:r>
    </w:p>
    <w:p w:rsidR="00DB3999" w:rsidRPr="00DB6C66" w:rsidRDefault="00DB3999" w:rsidP="006D3583">
      <w:pPr>
        <w:rPr>
          <w:szCs w:val="22"/>
          <w:lang w:val="fr-FR"/>
        </w:rPr>
      </w:pPr>
    </w:p>
    <w:p w:rsidR="00DB3999" w:rsidRPr="00DB6C66" w:rsidRDefault="00DB3999" w:rsidP="006D3583">
      <w:pPr>
        <w:rPr>
          <w:szCs w:val="22"/>
          <w:lang w:val="fr-FR"/>
        </w:rPr>
      </w:pPr>
    </w:p>
    <w:p w:rsidR="00DB3999" w:rsidRPr="00DB6C66" w:rsidRDefault="00DB3999" w:rsidP="006D3583">
      <w:pPr>
        <w:rPr>
          <w:szCs w:val="22"/>
          <w:lang w:val="fr-FR"/>
        </w:rPr>
      </w:pPr>
    </w:p>
    <w:p w:rsidR="00DB3999" w:rsidRPr="00DB6C66" w:rsidRDefault="00DB3999" w:rsidP="006D3583">
      <w:pPr>
        <w:rPr>
          <w:szCs w:val="22"/>
          <w:lang w:val="fr-FR"/>
        </w:rPr>
      </w:pPr>
    </w:p>
    <w:p w:rsidR="00F977F2" w:rsidRPr="00DB6C66" w:rsidRDefault="00F977F2" w:rsidP="006D3583">
      <w:pPr>
        <w:rPr>
          <w:szCs w:val="22"/>
          <w:lang w:val="fr-FR"/>
        </w:rPr>
      </w:pPr>
    </w:p>
    <w:tbl>
      <w:tblPr>
        <w:tblW w:w="0" w:type="auto"/>
        <w:tblLook w:val="04A0" w:firstRow="1" w:lastRow="0" w:firstColumn="1" w:lastColumn="0" w:noHBand="0" w:noVBand="1"/>
      </w:tblPr>
      <w:tblGrid>
        <w:gridCol w:w="2303"/>
        <w:gridCol w:w="2303"/>
        <w:gridCol w:w="2303"/>
        <w:gridCol w:w="2303"/>
      </w:tblGrid>
      <w:tr w:rsidR="00F977F2" w:rsidRPr="00DB6C66" w:rsidTr="002F2C23">
        <w:trPr>
          <w:trHeight w:val="562"/>
        </w:trPr>
        <w:tc>
          <w:tcPr>
            <w:tcW w:w="2303" w:type="dxa"/>
            <w:vAlign w:val="center"/>
          </w:tcPr>
          <w:p w:rsidR="00DB3999" w:rsidRPr="00DB6C66" w:rsidRDefault="00764097" w:rsidP="006D3583">
            <w:pPr>
              <w:jc w:val="center"/>
              <w:rPr>
                <w:szCs w:val="22"/>
                <w:lang w:val="fr-FR"/>
              </w:rPr>
            </w:pPr>
            <w:r w:rsidRPr="00DB6C66">
              <w:rPr>
                <w:szCs w:val="22"/>
                <w:lang w:val="fr-FR"/>
              </w:rPr>
              <w:t>[</w:t>
            </w:r>
            <w:r w:rsidR="0049616A" w:rsidRPr="00DB6C66">
              <w:rPr>
                <w:szCs w:val="22"/>
                <w:lang w:val="fr-FR"/>
              </w:rPr>
              <w:t>Signature</w:t>
            </w:r>
            <w:r w:rsidRPr="00DB6C66">
              <w:rPr>
                <w:szCs w:val="22"/>
                <w:lang w:val="fr-FR"/>
              </w:rPr>
              <w:t>]</w:t>
            </w:r>
          </w:p>
          <w:p w:rsidR="00F977F2" w:rsidRPr="00DB6C66" w:rsidRDefault="00F977F2" w:rsidP="006D3583">
            <w:pPr>
              <w:jc w:val="center"/>
              <w:rPr>
                <w:szCs w:val="22"/>
                <w:lang w:val="fr-FR"/>
              </w:rPr>
            </w:pPr>
            <w:r w:rsidRPr="00DB6C66">
              <w:rPr>
                <w:szCs w:val="22"/>
                <w:lang w:val="fr-FR"/>
              </w:rPr>
              <w:t xml:space="preserve">Josef </w:t>
            </w:r>
            <w:proofErr w:type="spellStart"/>
            <w:r w:rsidRPr="00DB6C66">
              <w:rPr>
                <w:szCs w:val="22"/>
                <w:lang w:val="fr-FR"/>
              </w:rPr>
              <w:t>Kratochvíl</w:t>
            </w:r>
            <w:proofErr w:type="spellEnd"/>
          </w:p>
        </w:tc>
        <w:tc>
          <w:tcPr>
            <w:tcW w:w="2303" w:type="dxa"/>
            <w:vAlign w:val="center"/>
          </w:tcPr>
          <w:p w:rsidR="00DB3999" w:rsidRPr="00DB6C66" w:rsidRDefault="00764097" w:rsidP="006D3583">
            <w:pPr>
              <w:jc w:val="center"/>
              <w:rPr>
                <w:szCs w:val="22"/>
                <w:lang w:val="fr-FR"/>
              </w:rPr>
            </w:pPr>
            <w:r w:rsidRPr="00DB6C66">
              <w:rPr>
                <w:szCs w:val="22"/>
                <w:lang w:val="fr-FR"/>
              </w:rPr>
              <w:t>[</w:t>
            </w:r>
            <w:r w:rsidR="0049616A" w:rsidRPr="00DB6C66">
              <w:rPr>
                <w:szCs w:val="22"/>
                <w:lang w:val="fr-FR"/>
              </w:rPr>
              <w:t>Signature</w:t>
            </w:r>
            <w:r w:rsidRPr="00DB6C66">
              <w:rPr>
                <w:szCs w:val="22"/>
                <w:lang w:val="fr-FR"/>
              </w:rPr>
              <w:t>]</w:t>
            </w:r>
          </w:p>
          <w:p w:rsidR="00F977F2" w:rsidRPr="00DB6C66" w:rsidRDefault="00F977F2" w:rsidP="006D3583">
            <w:pPr>
              <w:jc w:val="center"/>
              <w:rPr>
                <w:szCs w:val="22"/>
                <w:lang w:val="fr-FR"/>
              </w:rPr>
            </w:pPr>
            <w:r w:rsidRPr="00DB6C66">
              <w:rPr>
                <w:szCs w:val="22"/>
                <w:lang w:val="fr-FR"/>
              </w:rPr>
              <w:t xml:space="preserve">Miklós </w:t>
            </w:r>
            <w:proofErr w:type="spellStart"/>
            <w:r w:rsidRPr="00DB6C66">
              <w:rPr>
                <w:szCs w:val="22"/>
                <w:lang w:val="fr-FR"/>
              </w:rPr>
              <w:t>Bendzsel</w:t>
            </w:r>
            <w:proofErr w:type="spellEnd"/>
          </w:p>
        </w:tc>
        <w:tc>
          <w:tcPr>
            <w:tcW w:w="2303" w:type="dxa"/>
            <w:vAlign w:val="center"/>
          </w:tcPr>
          <w:p w:rsidR="00DB3999" w:rsidRPr="00DB6C66" w:rsidRDefault="00764097" w:rsidP="006D3583">
            <w:pPr>
              <w:jc w:val="center"/>
              <w:rPr>
                <w:szCs w:val="22"/>
                <w:lang w:val="fr-FR"/>
              </w:rPr>
            </w:pPr>
            <w:r w:rsidRPr="00DB6C66">
              <w:rPr>
                <w:szCs w:val="22"/>
                <w:lang w:val="fr-FR"/>
              </w:rPr>
              <w:t>[</w:t>
            </w:r>
            <w:r w:rsidR="0049616A" w:rsidRPr="00DB6C66">
              <w:rPr>
                <w:szCs w:val="22"/>
                <w:lang w:val="fr-FR"/>
              </w:rPr>
              <w:t>Signature</w:t>
            </w:r>
            <w:r w:rsidRPr="00DB6C66">
              <w:rPr>
                <w:szCs w:val="22"/>
                <w:lang w:val="fr-FR"/>
              </w:rPr>
              <w:t>]</w:t>
            </w:r>
          </w:p>
          <w:p w:rsidR="00F977F2" w:rsidRPr="00DB6C66" w:rsidRDefault="00F977F2" w:rsidP="006D3583">
            <w:pPr>
              <w:jc w:val="center"/>
              <w:rPr>
                <w:szCs w:val="22"/>
                <w:lang w:val="fr-FR"/>
              </w:rPr>
            </w:pPr>
            <w:proofErr w:type="spellStart"/>
            <w:r w:rsidRPr="00DB6C66">
              <w:rPr>
                <w:szCs w:val="22"/>
                <w:lang w:val="fr-FR"/>
              </w:rPr>
              <w:t>Alicja</w:t>
            </w:r>
            <w:proofErr w:type="spellEnd"/>
            <w:r w:rsidRPr="00DB6C66">
              <w:rPr>
                <w:szCs w:val="22"/>
                <w:lang w:val="fr-FR"/>
              </w:rPr>
              <w:t xml:space="preserve"> </w:t>
            </w:r>
            <w:proofErr w:type="spellStart"/>
            <w:r w:rsidRPr="00DB6C66">
              <w:rPr>
                <w:szCs w:val="22"/>
                <w:lang w:val="fr-FR"/>
              </w:rPr>
              <w:t>Adamczak</w:t>
            </w:r>
            <w:proofErr w:type="spellEnd"/>
          </w:p>
        </w:tc>
        <w:tc>
          <w:tcPr>
            <w:tcW w:w="2303" w:type="dxa"/>
            <w:vAlign w:val="center"/>
          </w:tcPr>
          <w:p w:rsidR="00DB3999" w:rsidRPr="00DB6C66" w:rsidRDefault="00764097" w:rsidP="006D3583">
            <w:pPr>
              <w:jc w:val="center"/>
              <w:rPr>
                <w:szCs w:val="22"/>
                <w:lang w:val="fr-FR"/>
              </w:rPr>
            </w:pPr>
            <w:r w:rsidRPr="00DB6C66">
              <w:rPr>
                <w:szCs w:val="22"/>
                <w:lang w:val="fr-FR"/>
              </w:rPr>
              <w:t>[</w:t>
            </w:r>
            <w:r w:rsidR="0049616A" w:rsidRPr="00DB6C66">
              <w:rPr>
                <w:szCs w:val="22"/>
                <w:lang w:val="fr-FR"/>
              </w:rPr>
              <w:t>Signature</w:t>
            </w:r>
            <w:r w:rsidRPr="00DB6C66">
              <w:rPr>
                <w:szCs w:val="22"/>
                <w:lang w:val="fr-FR"/>
              </w:rPr>
              <w:t>]</w:t>
            </w:r>
          </w:p>
          <w:p w:rsidR="00F977F2" w:rsidRPr="00DB6C66" w:rsidRDefault="00F977F2" w:rsidP="006D3583">
            <w:pPr>
              <w:jc w:val="center"/>
              <w:rPr>
                <w:szCs w:val="22"/>
                <w:lang w:val="fr-FR"/>
              </w:rPr>
            </w:pPr>
            <w:proofErr w:type="spellStart"/>
            <w:r w:rsidRPr="00DB6C66">
              <w:rPr>
                <w:szCs w:val="22"/>
                <w:lang w:val="fr-FR"/>
              </w:rPr>
              <w:t>Ľuboš</w:t>
            </w:r>
            <w:proofErr w:type="spellEnd"/>
            <w:r w:rsidRPr="00DB6C66">
              <w:rPr>
                <w:szCs w:val="22"/>
                <w:lang w:val="fr-FR"/>
              </w:rPr>
              <w:t xml:space="preserve"> </w:t>
            </w:r>
            <w:proofErr w:type="spellStart"/>
            <w:r w:rsidRPr="00DB6C66">
              <w:rPr>
                <w:szCs w:val="22"/>
                <w:lang w:val="fr-FR"/>
              </w:rPr>
              <w:t>Knoth</w:t>
            </w:r>
            <w:proofErr w:type="spellEnd"/>
          </w:p>
        </w:tc>
      </w:tr>
      <w:tr w:rsidR="00F977F2" w:rsidRPr="00DB6C66" w:rsidTr="002F2C23">
        <w:tc>
          <w:tcPr>
            <w:tcW w:w="2303" w:type="dxa"/>
            <w:vAlign w:val="center"/>
          </w:tcPr>
          <w:p w:rsidR="00F977F2" w:rsidRPr="00DB6C66" w:rsidRDefault="00DE49AF" w:rsidP="006D3583">
            <w:pPr>
              <w:jc w:val="center"/>
              <w:rPr>
                <w:szCs w:val="22"/>
                <w:lang w:val="fr-FR"/>
              </w:rPr>
            </w:pPr>
            <w:r w:rsidRPr="00DB6C66">
              <w:rPr>
                <w:szCs w:val="22"/>
                <w:lang w:val="fr-FR"/>
              </w:rPr>
              <w:t>Pré</w:t>
            </w:r>
            <w:r w:rsidR="00F977F2" w:rsidRPr="00DB6C66">
              <w:rPr>
                <w:szCs w:val="22"/>
                <w:lang w:val="fr-FR"/>
              </w:rPr>
              <w:t>sident</w:t>
            </w:r>
          </w:p>
        </w:tc>
        <w:tc>
          <w:tcPr>
            <w:tcW w:w="2303" w:type="dxa"/>
            <w:vAlign w:val="center"/>
          </w:tcPr>
          <w:p w:rsidR="00F977F2" w:rsidRPr="00DB6C66" w:rsidRDefault="00F977F2" w:rsidP="006D3583">
            <w:pPr>
              <w:jc w:val="center"/>
              <w:rPr>
                <w:szCs w:val="22"/>
                <w:lang w:val="fr-FR"/>
              </w:rPr>
            </w:pPr>
            <w:r w:rsidRPr="00DB6C66">
              <w:rPr>
                <w:szCs w:val="22"/>
                <w:lang w:val="fr-FR"/>
              </w:rPr>
              <w:t>Pr</w:t>
            </w:r>
            <w:r w:rsidR="00DE49AF" w:rsidRPr="00DB6C66">
              <w:rPr>
                <w:szCs w:val="22"/>
                <w:lang w:val="fr-FR"/>
              </w:rPr>
              <w:t>é</w:t>
            </w:r>
            <w:r w:rsidRPr="00DB6C66">
              <w:rPr>
                <w:szCs w:val="22"/>
                <w:lang w:val="fr-FR"/>
              </w:rPr>
              <w:t>sident</w:t>
            </w:r>
          </w:p>
        </w:tc>
        <w:tc>
          <w:tcPr>
            <w:tcW w:w="2303" w:type="dxa"/>
            <w:vAlign w:val="center"/>
          </w:tcPr>
          <w:p w:rsidR="00F977F2" w:rsidRPr="00DB6C66" w:rsidRDefault="00F977F2" w:rsidP="006D3583">
            <w:pPr>
              <w:jc w:val="center"/>
              <w:rPr>
                <w:szCs w:val="22"/>
                <w:lang w:val="fr-FR"/>
              </w:rPr>
            </w:pPr>
            <w:r w:rsidRPr="00DB6C66">
              <w:rPr>
                <w:szCs w:val="22"/>
                <w:lang w:val="fr-FR"/>
              </w:rPr>
              <w:t>Pr</w:t>
            </w:r>
            <w:r w:rsidR="00DE49AF" w:rsidRPr="00DB6C66">
              <w:rPr>
                <w:szCs w:val="22"/>
                <w:lang w:val="fr-FR"/>
              </w:rPr>
              <w:t>é</w:t>
            </w:r>
            <w:r w:rsidRPr="00DB6C66">
              <w:rPr>
                <w:szCs w:val="22"/>
                <w:lang w:val="fr-FR"/>
              </w:rPr>
              <w:t>sident</w:t>
            </w:r>
            <w:r w:rsidR="0050118D" w:rsidRPr="00DB6C66">
              <w:rPr>
                <w:szCs w:val="22"/>
                <w:lang w:val="fr-FR"/>
              </w:rPr>
              <w:t>e</w:t>
            </w:r>
          </w:p>
        </w:tc>
        <w:tc>
          <w:tcPr>
            <w:tcW w:w="2303" w:type="dxa"/>
            <w:vAlign w:val="center"/>
          </w:tcPr>
          <w:p w:rsidR="00F977F2" w:rsidRPr="00DB6C66" w:rsidRDefault="00F977F2" w:rsidP="006D3583">
            <w:pPr>
              <w:jc w:val="center"/>
              <w:rPr>
                <w:szCs w:val="22"/>
                <w:lang w:val="fr-FR"/>
              </w:rPr>
            </w:pPr>
            <w:r w:rsidRPr="00DB6C66">
              <w:rPr>
                <w:szCs w:val="22"/>
                <w:lang w:val="fr-FR"/>
              </w:rPr>
              <w:t>Pr</w:t>
            </w:r>
            <w:r w:rsidR="00DE49AF" w:rsidRPr="00DB6C66">
              <w:rPr>
                <w:szCs w:val="22"/>
                <w:lang w:val="fr-FR"/>
              </w:rPr>
              <w:t>é</w:t>
            </w:r>
            <w:r w:rsidRPr="00DB6C66">
              <w:rPr>
                <w:szCs w:val="22"/>
                <w:lang w:val="fr-FR"/>
              </w:rPr>
              <w:t>sident</w:t>
            </w:r>
          </w:p>
        </w:tc>
      </w:tr>
      <w:tr w:rsidR="00DB6C66" w:rsidRPr="00620A17" w:rsidTr="006D3583">
        <w:trPr>
          <w:trHeight w:val="562"/>
        </w:trPr>
        <w:tc>
          <w:tcPr>
            <w:tcW w:w="2303" w:type="dxa"/>
          </w:tcPr>
          <w:p w:rsidR="00DB3999" w:rsidRPr="00DB6C66" w:rsidRDefault="0050118D" w:rsidP="006D3583">
            <w:pPr>
              <w:jc w:val="center"/>
              <w:rPr>
                <w:szCs w:val="22"/>
                <w:lang w:val="fr-FR"/>
              </w:rPr>
            </w:pPr>
            <w:r w:rsidRPr="00DB6C66">
              <w:rPr>
                <w:szCs w:val="22"/>
                <w:lang w:val="fr-FR"/>
              </w:rPr>
              <w:t xml:space="preserve">Office </w:t>
            </w:r>
            <w:r w:rsidR="006D3583" w:rsidRPr="00DB6C66">
              <w:rPr>
                <w:szCs w:val="22"/>
                <w:lang w:val="fr-FR"/>
              </w:rPr>
              <w:br/>
            </w:r>
            <w:r w:rsidRPr="00DB6C66">
              <w:rPr>
                <w:szCs w:val="22"/>
                <w:lang w:val="fr-FR"/>
              </w:rPr>
              <w:t xml:space="preserve">de la propriété industrielle </w:t>
            </w:r>
            <w:r w:rsidR="006D3583" w:rsidRPr="00DB6C66">
              <w:rPr>
                <w:szCs w:val="22"/>
                <w:lang w:val="fr-FR"/>
              </w:rPr>
              <w:br/>
            </w:r>
            <w:r w:rsidRPr="00DB6C66">
              <w:rPr>
                <w:szCs w:val="22"/>
                <w:lang w:val="fr-FR"/>
              </w:rPr>
              <w:t>de la République tchèque</w:t>
            </w:r>
          </w:p>
          <w:p w:rsidR="00F977F2" w:rsidRPr="00DB6C66" w:rsidRDefault="00F977F2" w:rsidP="006D3583">
            <w:pPr>
              <w:jc w:val="center"/>
              <w:rPr>
                <w:szCs w:val="22"/>
                <w:lang w:val="fr-FR"/>
              </w:rPr>
            </w:pPr>
          </w:p>
        </w:tc>
        <w:tc>
          <w:tcPr>
            <w:tcW w:w="2303" w:type="dxa"/>
          </w:tcPr>
          <w:p w:rsidR="00DB3999" w:rsidRPr="00DB6C66" w:rsidRDefault="0050118D" w:rsidP="006D3583">
            <w:pPr>
              <w:jc w:val="center"/>
              <w:rPr>
                <w:szCs w:val="22"/>
                <w:lang w:val="fr-FR"/>
              </w:rPr>
            </w:pPr>
            <w:r w:rsidRPr="00DB6C66">
              <w:rPr>
                <w:szCs w:val="22"/>
                <w:lang w:val="fr-FR"/>
              </w:rPr>
              <w:t xml:space="preserve">Office </w:t>
            </w:r>
            <w:r w:rsidR="003F07D0" w:rsidRPr="00DB6C66">
              <w:rPr>
                <w:szCs w:val="22"/>
                <w:lang w:val="fr-FR"/>
              </w:rPr>
              <w:t xml:space="preserve">hongrois </w:t>
            </w:r>
            <w:r w:rsidR="006D3583" w:rsidRPr="00DB6C66">
              <w:rPr>
                <w:szCs w:val="22"/>
                <w:lang w:val="fr-FR"/>
              </w:rPr>
              <w:br/>
            </w:r>
            <w:r w:rsidRPr="00DB6C66">
              <w:rPr>
                <w:szCs w:val="22"/>
                <w:lang w:val="fr-FR"/>
              </w:rPr>
              <w:t xml:space="preserve">de </w:t>
            </w:r>
            <w:r w:rsidR="006D3583" w:rsidRPr="00DB6C66">
              <w:rPr>
                <w:szCs w:val="22"/>
                <w:lang w:val="fr-FR"/>
              </w:rPr>
              <w:t xml:space="preserve">la </w:t>
            </w:r>
            <w:r w:rsidRPr="00DB6C66">
              <w:rPr>
                <w:szCs w:val="22"/>
                <w:lang w:val="fr-FR"/>
              </w:rPr>
              <w:t>propriété intellectuelle</w:t>
            </w:r>
          </w:p>
          <w:p w:rsidR="00F977F2" w:rsidRPr="00DB6C66" w:rsidRDefault="00F977F2" w:rsidP="006D3583">
            <w:pPr>
              <w:jc w:val="center"/>
              <w:rPr>
                <w:szCs w:val="22"/>
                <w:lang w:val="fr-FR"/>
              </w:rPr>
            </w:pPr>
          </w:p>
        </w:tc>
        <w:tc>
          <w:tcPr>
            <w:tcW w:w="2303" w:type="dxa"/>
          </w:tcPr>
          <w:p w:rsidR="00DB3999" w:rsidRPr="00DB6C66" w:rsidRDefault="0050118D" w:rsidP="006D3583">
            <w:pPr>
              <w:jc w:val="center"/>
              <w:rPr>
                <w:szCs w:val="22"/>
                <w:lang w:val="fr-FR"/>
              </w:rPr>
            </w:pPr>
            <w:r w:rsidRPr="00DB6C66">
              <w:rPr>
                <w:szCs w:val="22"/>
                <w:lang w:val="fr-FR"/>
              </w:rPr>
              <w:t xml:space="preserve">Office des brevets </w:t>
            </w:r>
            <w:r w:rsidR="006D3583" w:rsidRPr="00DB6C66">
              <w:rPr>
                <w:szCs w:val="22"/>
                <w:lang w:val="fr-FR"/>
              </w:rPr>
              <w:br/>
            </w:r>
            <w:r w:rsidRPr="00DB6C66">
              <w:rPr>
                <w:szCs w:val="22"/>
                <w:lang w:val="fr-FR"/>
              </w:rPr>
              <w:t xml:space="preserve">de la République </w:t>
            </w:r>
            <w:r w:rsidR="006D3583" w:rsidRPr="00DB6C66">
              <w:rPr>
                <w:szCs w:val="22"/>
                <w:lang w:val="fr-FR"/>
              </w:rPr>
              <w:br/>
            </w:r>
            <w:r w:rsidRPr="00DB6C66">
              <w:rPr>
                <w:szCs w:val="22"/>
                <w:lang w:val="fr-FR"/>
              </w:rPr>
              <w:t>de Pologne</w:t>
            </w:r>
          </w:p>
          <w:p w:rsidR="00F977F2" w:rsidRPr="00DB6C66" w:rsidRDefault="00F977F2" w:rsidP="006D3583">
            <w:pPr>
              <w:jc w:val="center"/>
              <w:rPr>
                <w:szCs w:val="22"/>
                <w:lang w:val="fr-FR"/>
              </w:rPr>
            </w:pPr>
          </w:p>
        </w:tc>
        <w:tc>
          <w:tcPr>
            <w:tcW w:w="2303" w:type="dxa"/>
          </w:tcPr>
          <w:p w:rsidR="00DB3999" w:rsidRPr="00DB6C66" w:rsidRDefault="0050118D" w:rsidP="006D3583">
            <w:pPr>
              <w:jc w:val="center"/>
              <w:rPr>
                <w:szCs w:val="22"/>
                <w:lang w:val="fr-FR"/>
              </w:rPr>
            </w:pPr>
            <w:r w:rsidRPr="00DB6C66">
              <w:rPr>
                <w:szCs w:val="22"/>
                <w:lang w:val="fr-FR"/>
              </w:rPr>
              <w:t xml:space="preserve">Office </w:t>
            </w:r>
            <w:r w:rsidR="006D3583" w:rsidRPr="00DB6C66">
              <w:rPr>
                <w:szCs w:val="22"/>
                <w:lang w:val="fr-FR"/>
              </w:rPr>
              <w:br/>
            </w:r>
            <w:r w:rsidRPr="00DB6C66">
              <w:rPr>
                <w:szCs w:val="22"/>
                <w:lang w:val="fr-FR"/>
              </w:rPr>
              <w:t xml:space="preserve">de la propriété industrielle </w:t>
            </w:r>
            <w:r w:rsidR="006D3583" w:rsidRPr="00DB6C66">
              <w:rPr>
                <w:szCs w:val="22"/>
                <w:lang w:val="fr-FR"/>
              </w:rPr>
              <w:br/>
            </w:r>
            <w:r w:rsidRPr="00DB6C66">
              <w:rPr>
                <w:szCs w:val="22"/>
                <w:lang w:val="fr-FR"/>
              </w:rPr>
              <w:t>de la République slovaque</w:t>
            </w:r>
          </w:p>
          <w:p w:rsidR="00F977F2" w:rsidRPr="00DB6C66" w:rsidRDefault="00F977F2" w:rsidP="006D3583">
            <w:pPr>
              <w:jc w:val="center"/>
              <w:rPr>
                <w:szCs w:val="22"/>
                <w:lang w:val="fr-FR"/>
              </w:rPr>
            </w:pPr>
          </w:p>
        </w:tc>
      </w:tr>
    </w:tbl>
    <w:p w:rsidR="00DB3999" w:rsidRPr="00DB6C66" w:rsidRDefault="00DB3999" w:rsidP="006D3583">
      <w:pPr>
        <w:rPr>
          <w:caps/>
          <w:lang w:val="fr-FR"/>
        </w:rPr>
      </w:pPr>
    </w:p>
    <w:p w:rsidR="00DB3999" w:rsidRPr="00DB6C66" w:rsidRDefault="00DB3999" w:rsidP="006D3583">
      <w:pPr>
        <w:rPr>
          <w:caps/>
          <w:lang w:val="fr-FR"/>
        </w:rPr>
      </w:pPr>
    </w:p>
    <w:p w:rsidR="00DB3999" w:rsidRPr="00DB6C66" w:rsidRDefault="00AC092C" w:rsidP="006D3583">
      <w:pPr>
        <w:pStyle w:val="Endofdocument-Annex"/>
        <w:rPr>
          <w:lang w:val="fr-FR"/>
        </w:rPr>
      </w:pPr>
      <w:r w:rsidRPr="00DB6C66">
        <w:rPr>
          <w:lang w:val="fr-FR"/>
        </w:rPr>
        <w:t>[</w:t>
      </w:r>
      <w:r w:rsidR="001F3A4A" w:rsidRPr="00DB6C66">
        <w:rPr>
          <w:lang w:val="fr-FR"/>
        </w:rPr>
        <w:t>L</w:t>
      </w:r>
      <w:r w:rsidR="00280EEC">
        <w:rPr>
          <w:lang w:val="fr-FR"/>
        </w:rPr>
        <w:t>’</w:t>
      </w:r>
      <w:r w:rsidR="001F3A4A" w:rsidRPr="00DB6C66">
        <w:rPr>
          <w:lang w:val="fr-FR"/>
        </w:rPr>
        <w:t>a</w:t>
      </w:r>
      <w:r w:rsidRPr="00DB6C66">
        <w:rPr>
          <w:lang w:val="fr-FR"/>
        </w:rPr>
        <w:t>nnex</w:t>
      </w:r>
      <w:r w:rsidR="001F3A4A" w:rsidRPr="00DB6C66">
        <w:rPr>
          <w:lang w:val="fr-FR"/>
        </w:rPr>
        <w:t>e </w:t>
      </w:r>
      <w:r w:rsidRPr="00DB6C66">
        <w:rPr>
          <w:lang w:val="fr-FR"/>
        </w:rPr>
        <w:t xml:space="preserve">II </w:t>
      </w:r>
      <w:r w:rsidR="001F3A4A" w:rsidRPr="00DB6C66">
        <w:rPr>
          <w:lang w:val="fr-FR"/>
        </w:rPr>
        <w:t>suit</w:t>
      </w:r>
      <w:r w:rsidRPr="00DB6C66">
        <w:rPr>
          <w:lang w:val="fr-FR"/>
        </w:rPr>
        <w:t>]</w:t>
      </w:r>
    </w:p>
    <w:p w:rsidR="00AC092C" w:rsidRPr="00DB6C66" w:rsidRDefault="00AC092C" w:rsidP="006D3583">
      <w:pPr>
        <w:rPr>
          <w:lang w:val="fr-FR"/>
        </w:rPr>
        <w:sectPr w:rsidR="00AC092C" w:rsidRPr="00DB6C66" w:rsidSect="006D3583">
          <w:headerReference w:type="default" r:id="rId15"/>
          <w:headerReference w:type="first" r:id="rId16"/>
          <w:footerReference w:type="first" r:id="rId17"/>
          <w:endnotePr>
            <w:numFmt w:val="decimal"/>
          </w:endnotePr>
          <w:pgSz w:w="11907" w:h="16840" w:code="9"/>
          <w:pgMar w:top="567" w:right="1134" w:bottom="1417" w:left="1417" w:header="510" w:footer="1020" w:gutter="0"/>
          <w:pgNumType w:start="1"/>
          <w:cols w:space="720"/>
          <w:titlePg/>
          <w:docGrid w:linePitch="299"/>
        </w:sectPr>
      </w:pPr>
    </w:p>
    <w:p w:rsidR="00E01D11" w:rsidRPr="00DB6C66" w:rsidRDefault="00236361" w:rsidP="006D3583">
      <w:pPr>
        <w:rPr>
          <w:caps/>
          <w:lang w:val="fr-FR"/>
        </w:rPr>
      </w:pPr>
      <w:r w:rsidRPr="00DB6C66">
        <w:rPr>
          <w:caps/>
          <w:lang w:val="fr-FR"/>
        </w:rPr>
        <w:lastRenderedPageBreak/>
        <w:t>nomination de l</w:t>
      </w:r>
      <w:r w:rsidR="00280EEC">
        <w:rPr>
          <w:caps/>
          <w:lang w:val="fr-FR"/>
        </w:rPr>
        <w:t>’</w:t>
      </w:r>
      <w:r w:rsidRPr="00DB6C66">
        <w:rPr>
          <w:caps/>
          <w:lang w:val="fr-FR"/>
        </w:rPr>
        <w:t>institut de visegrad des brevets en qualité d</w:t>
      </w:r>
      <w:r w:rsidR="00280EEC">
        <w:rPr>
          <w:caps/>
          <w:lang w:val="fr-FR"/>
        </w:rPr>
        <w:t>’</w:t>
      </w:r>
      <w:r w:rsidRPr="00DB6C66">
        <w:rPr>
          <w:caps/>
          <w:lang w:val="fr-FR"/>
        </w:rPr>
        <w:t>administration chargée de la recherche internationale</w:t>
      </w:r>
      <w:r w:rsidR="00D50218" w:rsidRPr="00DB6C66">
        <w:rPr>
          <w:caps/>
          <w:lang w:val="fr-FR"/>
        </w:rPr>
        <w:t xml:space="preserve"> et de</w:t>
      </w:r>
    </w:p>
    <w:p w:rsidR="00236361" w:rsidRPr="00DB6C66" w:rsidRDefault="00236361" w:rsidP="006D3583">
      <w:pPr>
        <w:rPr>
          <w:caps/>
          <w:lang w:val="fr-FR"/>
        </w:rPr>
      </w:pPr>
      <w:r w:rsidRPr="00DB6C66">
        <w:rPr>
          <w:caps/>
          <w:lang w:val="fr-FR"/>
        </w:rPr>
        <w:t>l</w:t>
      </w:r>
      <w:r w:rsidR="00280EEC">
        <w:rPr>
          <w:caps/>
          <w:lang w:val="fr-FR"/>
        </w:rPr>
        <w:t>’</w:t>
      </w:r>
      <w:r w:rsidRPr="00DB6C66">
        <w:rPr>
          <w:caps/>
          <w:lang w:val="fr-FR"/>
        </w:rPr>
        <w:t>examen préliminaire international selon le pct</w:t>
      </w:r>
    </w:p>
    <w:p w:rsidR="00DB3999" w:rsidRDefault="00DB3999" w:rsidP="006D3583">
      <w:pPr>
        <w:rPr>
          <w:caps/>
          <w:lang w:val="fr-FR"/>
        </w:rPr>
      </w:pPr>
    </w:p>
    <w:p w:rsidR="00620A17" w:rsidRDefault="00620A17" w:rsidP="006D3583">
      <w:pPr>
        <w:rPr>
          <w:caps/>
          <w:lang w:val="fr-FR"/>
        </w:rPr>
      </w:pPr>
    </w:p>
    <w:p w:rsidR="00620A17" w:rsidRPr="00DB6C66" w:rsidRDefault="00620A17" w:rsidP="006D3583">
      <w:pPr>
        <w:rPr>
          <w:caps/>
          <w:lang w:val="fr-FR"/>
        </w:rPr>
      </w:pPr>
    </w:p>
    <w:p w:rsidR="00DB3999" w:rsidRPr="00DB6C66" w:rsidRDefault="00DB3999" w:rsidP="006D3583">
      <w:pPr>
        <w:rPr>
          <w:lang w:val="fr-FR"/>
        </w:rPr>
      </w:pPr>
    </w:p>
    <w:p w:rsidR="00E01D11" w:rsidRPr="00DB6C66" w:rsidRDefault="0075654E" w:rsidP="006D3583">
      <w:pPr>
        <w:pStyle w:val="Heading1"/>
        <w:rPr>
          <w:lang w:val="fr-FR"/>
        </w:rPr>
      </w:pPr>
      <w:r w:rsidRPr="00DB6C66">
        <w:rPr>
          <w:lang w:val="fr-FR"/>
        </w:rPr>
        <w:t>I.</w:t>
      </w:r>
      <w:r w:rsidR="006D3583" w:rsidRPr="00DB6C66">
        <w:rPr>
          <w:lang w:val="fr-FR"/>
        </w:rPr>
        <w:tab/>
        <w:t>Présentation de l</w:t>
      </w:r>
      <w:r w:rsidR="00280EEC">
        <w:rPr>
          <w:lang w:val="fr-FR"/>
        </w:rPr>
        <w:t>’</w:t>
      </w:r>
      <w:r w:rsidR="006D3583" w:rsidRPr="00DB6C66">
        <w:rPr>
          <w:lang w:val="fr-FR"/>
        </w:rPr>
        <w:t>institut de Visegrad des brevets</w:t>
      </w:r>
    </w:p>
    <w:p w:rsidR="006D3583" w:rsidRPr="00DB6C66" w:rsidRDefault="0075654E" w:rsidP="00620A17">
      <w:pPr>
        <w:pStyle w:val="Heading2"/>
        <w:rPr>
          <w:lang w:val="fr-FR"/>
        </w:rPr>
      </w:pPr>
      <w:r w:rsidRPr="00DB6C66">
        <w:rPr>
          <w:lang w:val="fr-FR"/>
        </w:rPr>
        <w:t>1.1.</w:t>
      </w:r>
      <w:r w:rsidR="00917B88" w:rsidRPr="00DB6C66">
        <w:rPr>
          <w:lang w:val="fr-FR"/>
        </w:rPr>
        <w:tab/>
      </w:r>
      <w:r w:rsidR="006D3583" w:rsidRPr="00DB6C66">
        <w:rPr>
          <w:lang w:val="fr-FR"/>
        </w:rPr>
        <w:t>Principaux objectifs de l</w:t>
      </w:r>
      <w:r w:rsidR="00280EEC">
        <w:rPr>
          <w:lang w:val="fr-FR"/>
        </w:rPr>
        <w:t>’</w:t>
      </w:r>
      <w:r w:rsidR="006D3583" w:rsidRPr="00DB6C66">
        <w:rPr>
          <w:lang w:val="fr-FR"/>
        </w:rPr>
        <w:t>Institut de Visegrad des brevets</w:t>
      </w:r>
    </w:p>
    <w:p w:rsidR="00DB3999" w:rsidRPr="00DB6C66" w:rsidRDefault="00EA0179" w:rsidP="006D3583">
      <w:pPr>
        <w:pStyle w:val="ONUMFS"/>
        <w:numPr>
          <w:ilvl w:val="0"/>
          <w:numId w:val="31"/>
        </w:numPr>
        <w:rPr>
          <w:lang w:val="fr-FR"/>
        </w:rPr>
      </w:pPr>
      <w:r w:rsidRPr="00DB6C66">
        <w:rPr>
          <w:lang w:val="fr-FR"/>
        </w:rPr>
        <w:t>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(ci</w:t>
      </w:r>
      <w:r w:rsidR="008117E3">
        <w:rPr>
          <w:lang w:val="fr-FR"/>
        </w:rPr>
        <w:noBreakHyphen/>
      </w:r>
      <w:r w:rsidRPr="00DB6C66">
        <w:rPr>
          <w:lang w:val="fr-FR"/>
        </w:rPr>
        <w:t xml:space="preserve">après dénommé </w:t>
      </w:r>
      <w:r w:rsidR="004E047D" w:rsidRPr="00DB6C66">
        <w:rPr>
          <w:lang w:val="fr-FR"/>
        </w:rPr>
        <w:t>“</w:t>
      </w:r>
      <w:r w:rsidRPr="00DB6C66">
        <w:rPr>
          <w:lang w:val="fr-FR"/>
        </w:rPr>
        <w:t>VPI</w:t>
      </w:r>
      <w:r w:rsidR="004E047D" w:rsidRPr="00DB6C66">
        <w:rPr>
          <w:lang w:val="fr-FR"/>
        </w:rPr>
        <w:t>”</w:t>
      </w:r>
      <w:r w:rsidR="0095528C" w:rsidRPr="00DB6C66">
        <w:rPr>
          <w:lang w:val="fr-FR"/>
        </w:rPr>
        <w:t xml:space="preserve"> ou “institut”</w:t>
      </w:r>
      <w:r w:rsidRPr="00DB6C66">
        <w:rPr>
          <w:lang w:val="fr-FR"/>
        </w:rPr>
        <w:t>) est une organisation intergouvernementale de coopération dans le domaine des brevets, établie dans les quatre</w:t>
      </w:r>
      <w:r w:rsidR="004E047D" w:rsidRPr="00DB6C66">
        <w:rPr>
          <w:lang w:val="fr-FR"/>
        </w:rPr>
        <w:t> </w:t>
      </w:r>
      <w:r w:rsidRPr="00DB6C66">
        <w:rPr>
          <w:lang w:val="fr-FR"/>
        </w:rPr>
        <w:t xml:space="preserve">pays du groupe de </w:t>
      </w:r>
      <w:proofErr w:type="spellStart"/>
      <w:r w:rsidRPr="00DB6C66">
        <w:rPr>
          <w:lang w:val="fr-FR"/>
        </w:rPr>
        <w:t>Visegrad</w:t>
      </w:r>
      <w:proofErr w:type="spellEnd"/>
      <w:r w:rsidRPr="00DB6C66">
        <w:rPr>
          <w:lang w:val="fr-FR"/>
        </w:rPr>
        <w:t xml:space="preserve">, </w:t>
      </w:r>
      <w:r w:rsidR="00280EEC">
        <w:rPr>
          <w:lang w:val="fr-FR"/>
        </w:rPr>
        <w:t>à savoir</w:t>
      </w:r>
      <w:r w:rsidRPr="00DB6C66">
        <w:rPr>
          <w:lang w:val="fr-FR"/>
        </w:rPr>
        <w:t xml:space="preserve"> la Hongrie, la République de Pologne, la République tchèque et la République slovaque (également appelés </w:t>
      </w:r>
      <w:r w:rsidR="004E047D" w:rsidRPr="00DB6C66">
        <w:rPr>
          <w:lang w:val="fr-FR"/>
        </w:rPr>
        <w:t>“</w:t>
      </w:r>
      <w:r w:rsidRPr="00DB6C66">
        <w:rPr>
          <w:lang w:val="fr-FR"/>
        </w:rPr>
        <w:t>les pays du V4</w:t>
      </w:r>
      <w:r w:rsidR="004E047D" w:rsidRPr="00DB6C66">
        <w:rPr>
          <w:lang w:val="fr-FR"/>
        </w:rPr>
        <w:t>”</w:t>
      </w:r>
      <w:r w:rsidRPr="00DB6C66">
        <w:rPr>
          <w:lang w:val="fr-FR"/>
        </w:rPr>
        <w:t>)</w:t>
      </w:r>
      <w:r w:rsidR="001B77C7" w:rsidRPr="00DB6C66">
        <w:rPr>
          <w:lang w:val="fr-FR"/>
        </w:rPr>
        <w:t>.</w:t>
      </w:r>
    </w:p>
    <w:p w:rsidR="00E01D11" w:rsidRPr="00DB6C66" w:rsidRDefault="001B77C7" w:rsidP="006D3583">
      <w:pPr>
        <w:pStyle w:val="ONUMFS"/>
        <w:rPr>
          <w:lang w:val="fr-FR"/>
        </w:rPr>
      </w:pPr>
      <w:r w:rsidRPr="00DB6C66">
        <w:rPr>
          <w:lang w:val="fr-FR"/>
        </w:rPr>
        <w:t xml:space="preserve">Le VPI et ses </w:t>
      </w:r>
      <w:r w:rsidR="00DF641F" w:rsidRPr="00DB6C66">
        <w:rPr>
          <w:lang w:val="fr-FR"/>
        </w:rPr>
        <w:t>États</w:t>
      </w:r>
      <w:r w:rsidRPr="00DB6C66">
        <w:rPr>
          <w:lang w:val="fr-FR"/>
        </w:rPr>
        <w:t xml:space="preserve"> contractants sollicitent la nomination de l</w:t>
      </w:r>
      <w:r w:rsidR="00280EEC">
        <w:rPr>
          <w:lang w:val="fr-FR"/>
        </w:rPr>
        <w:t>’</w:t>
      </w:r>
      <w:r w:rsidR="0095528C" w:rsidRPr="00DB6C66">
        <w:rPr>
          <w:lang w:val="fr-FR"/>
        </w:rPr>
        <w:t>i</w:t>
      </w:r>
      <w:r w:rsidRPr="00DB6C66">
        <w:rPr>
          <w:lang w:val="fr-FR"/>
        </w:rPr>
        <w:t>nstitut en qualité d</w:t>
      </w:r>
      <w:r w:rsidR="00280EEC">
        <w:rPr>
          <w:lang w:val="fr-FR"/>
        </w:rPr>
        <w:t>’</w:t>
      </w:r>
      <w:r w:rsidRPr="00DB6C66">
        <w:rPr>
          <w:lang w:val="fr-FR"/>
        </w:rPr>
        <w:t xml:space="preserve">administration chargée de la recherche internationale et </w:t>
      </w:r>
      <w:r w:rsidR="00235032" w:rsidRPr="00DB6C66">
        <w:rPr>
          <w:lang w:val="fr-FR"/>
        </w:rPr>
        <w:t>d</w:t>
      </w:r>
      <w:r w:rsidR="00280EEC">
        <w:rPr>
          <w:lang w:val="fr-FR"/>
        </w:rPr>
        <w:t>’</w:t>
      </w:r>
      <w:r w:rsidR="00235032" w:rsidRPr="00DB6C66">
        <w:rPr>
          <w:lang w:val="fr-FR"/>
        </w:rPr>
        <w:t xml:space="preserve">administration chargée </w:t>
      </w:r>
      <w:r w:rsidRPr="00DB6C66">
        <w:rPr>
          <w:lang w:val="fr-FR"/>
        </w:rPr>
        <w:t>de l</w:t>
      </w:r>
      <w:r w:rsidR="00280EEC">
        <w:rPr>
          <w:lang w:val="fr-FR"/>
        </w:rPr>
        <w:t>’</w:t>
      </w:r>
      <w:r w:rsidRPr="00DB6C66">
        <w:rPr>
          <w:lang w:val="fr-FR"/>
        </w:rPr>
        <w:t xml:space="preserve">examen préliminaire international selon le Traité de coopération en matière de brevets (PCT) </w:t>
      </w:r>
      <w:r w:rsidR="00593420" w:rsidRPr="00DB6C66">
        <w:rPr>
          <w:lang w:val="fr-FR"/>
        </w:rPr>
        <w:t>dans le but</w:t>
      </w:r>
      <w:r w:rsidRPr="00DB6C66">
        <w:rPr>
          <w:lang w:val="fr-FR"/>
        </w:rPr>
        <w:t xml:space="preserve"> d</w:t>
      </w:r>
      <w:r w:rsidR="00280EEC">
        <w:rPr>
          <w:lang w:val="fr-FR"/>
        </w:rPr>
        <w:t>’</w:t>
      </w:r>
      <w:r w:rsidRPr="00DB6C66">
        <w:rPr>
          <w:lang w:val="fr-FR"/>
        </w:rPr>
        <w:t>atteindre toute une série d</w:t>
      </w:r>
      <w:r w:rsidR="00280EEC">
        <w:rPr>
          <w:lang w:val="fr-FR"/>
        </w:rPr>
        <w:t>’</w:t>
      </w:r>
      <w:r w:rsidRPr="00DB6C66">
        <w:rPr>
          <w:lang w:val="fr-FR"/>
        </w:rPr>
        <w:t>objectifs importants à différents niveaux (mondial, européen, régional et national).</w:t>
      </w:r>
    </w:p>
    <w:p w:rsidR="00E01D11" w:rsidRPr="00DB6C66" w:rsidRDefault="001552E9" w:rsidP="006D3583">
      <w:pPr>
        <w:pStyle w:val="ONUMFS"/>
        <w:rPr>
          <w:lang w:val="fr-FR"/>
        </w:rPr>
      </w:pPr>
      <w:r w:rsidRPr="00DB6C66">
        <w:rPr>
          <w:lang w:val="fr-FR"/>
        </w:rPr>
        <w:t xml:space="preserve">Le système des brevets est un facteur </w:t>
      </w:r>
      <w:r w:rsidR="00950CDF" w:rsidRPr="00DB6C66">
        <w:rPr>
          <w:lang w:val="fr-FR"/>
        </w:rPr>
        <w:t>essentiel</w:t>
      </w:r>
      <w:r w:rsidRPr="00DB6C66">
        <w:rPr>
          <w:lang w:val="fr-FR"/>
        </w:rPr>
        <w:t xml:space="preserve"> de promotion du développement économique par l</w:t>
      </w:r>
      <w:r w:rsidR="00280EEC">
        <w:rPr>
          <w:lang w:val="fr-FR"/>
        </w:rPr>
        <w:t>’</w:t>
      </w:r>
      <w:r w:rsidRPr="00DB6C66">
        <w:rPr>
          <w:lang w:val="fr-FR"/>
        </w:rPr>
        <w:t xml:space="preserve">innovation. </w:t>
      </w:r>
      <w:r w:rsidR="004E047D" w:rsidRPr="00DB6C66">
        <w:rPr>
          <w:lang w:val="fr-FR"/>
        </w:rPr>
        <w:t xml:space="preserve"> </w:t>
      </w:r>
      <w:r w:rsidR="0051198D" w:rsidRPr="00DB6C66">
        <w:rPr>
          <w:lang w:val="fr-FR"/>
        </w:rPr>
        <w:t xml:space="preserve">Quoique les brevets soient avant tout des instruments juridiques, ils </w:t>
      </w:r>
      <w:r w:rsidR="00AF7A4A" w:rsidRPr="00DB6C66">
        <w:rPr>
          <w:lang w:val="fr-FR"/>
        </w:rPr>
        <w:t xml:space="preserve">servent </w:t>
      </w:r>
      <w:r w:rsidR="00334D1E" w:rsidRPr="00DB6C66">
        <w:rPr>
          <w:lang w:val="fr-FR"/>
        </w:rPr>
        <w:t xml:space="preserve">effectivement </w:t>
      </w:r>
      <w:r w:rsidR="0051198D" w:rsidRPr="00DB6C66">
        <w:rPr>
          <w:lang w:val="fr-FR"/>
        </w:rPr>
        <w:t xml:space="preserve">un objectif économique </w:t>
      </w:r>
      <w:r w:rsidR="00AF7A4A" w:rsidRPr="00DB6C66">
        <w:rPr>
          <w:lang w:val="fr-FR"/>
        </w:rPr>
        <w:t xml:space="preserve">fondamental, </w:t>
      </w:r>
      <w:r w:rsidR="00280EEC">
        <w:rPr>
          <w:lang w:val="fr-FR"/>
        </w:rPr>
        <w:t>à savoir</w:t>
      </w:r>
      <w:r w:rsidR="00AF7A4A" w:rsidRPr="00DB6C66">
        <w:rPr>
          <w:lang w:val="fr-FR"/>
        </w:rPr>
        <w:t xml:space="preserve"> stimuler l</w:t>
      </w:r>
      <w:r w:rsidR="00280EEC">
        <w:rPr>
          <w:lang w:val="fr-FR"/>
        </w:rPr>
        <w:t>’</w:t>
      </w:r>
      <w:r w:rsidR="00AF7A4A" w:rsidRPr="00DB6C66">
        <w:rPr>
          <w:lang w:val="fr-FR"/>
        </w:rPr>
        <w:t>innovation et la croissance économique</w:t>
      </w:r>
      <w:r w:rsidR="0051198D" w:rsidRPr="00DB6C66">
        <w:rPr>
          <w:lang w:val="fr-FR"/>
        </w:rPr>
        <w:t>.</w:t>
      </w:r>
      <w:r w:rsidR="00AF7A4A" w:rsidRPr="00DB6C66">
        <w:rPr>
          <w:lang w:val="fr-FR"/>
        </w:rPr>
        <w:t xml:space="preserve">  </w:t>
      </w:r>
      <w:r w:rsidR="00913CA4" w:rsidRPr="00DB6C66">
        <w:rPr>
          <w:lang w:val="fr-FR"/>
        </w:rPr>
        <w:t>Il existe également un lien direct entre le niveau d</w:t>
      </w:r>
      <w:r w:rsidR="00280EEC">
        <w:rPr>
          <w:lang w:val="fr-FR"/>
        </w:rPr>
        <w:t>’</w:t>
      </w:r>
      <w:r w:rsidR="00913CA4" w:rsidRPr="00DB6C66">
        <w:rPr>
          <w:lang w:val="fr-FR"/>
        </w:rPr>
        <w:t>innovation d</w:t>
      </w:r>
      <w:r w:rsidR="00280EEC">
        <w:rPr>
          <w:lang w:val="fr-FR"/>
        </w:rPr>
        <w:t>’</w:t>
      </w:r>
      <w:r w:rsidR="00913CA4" w:rsidRPr="00DB6C66">
        <w:rPr>
          <w:lang w:val="fr-FR"/>
        </w:rPr>
        <w:t>un pays (ou d</w:t>
      </w:r>
      <w:r w:rsidR="00280EEC">
        <w:rPr>
          <w:lang w:val="fr-FR"/>
        </w:rPr>
        <w:t>’</w:t>
      </w:r>
      <w:r w:rsidR="00913CA4" w:rsidRPr="00DB6C66">
        <w:rPr>
          <w:lang w:val="fr-FR"/>
        </w:rPr>
        <w:t xml:space="preserve">une région) et la qualité du cadre national (ou régional) applicable à la protection par </w:t>
      </w:r>
      <w:r w:rsidR="00CF5EC2" w:rsidRPr="00DB6C66">
        <w:rPr>
          <w:lang w:val="fr-FR"/>
        </w:rPr>
        <w:t>brevet.  En outre, les offices nationaux de propriété intellectuelle et les administrations</w:t>
      </w:r>
      <w:r w:rsidR="00E01D11" w:rsidRPr="00DB6C66">
        <w:rPr>
          <w:lang w:val="fr-FR"/>
        </w:rPr>
        <w:t xml:space="preserve"> du PCT</w:t>
      </w:r>
      <w:r w:rsidR="00CF5EC2" w:rsidRPr="00DB6C66">
        <w:rPr>
          <w:lang w:val="fr-FR"/>
        </w:rPr>
        <w:t xml:space="preserve"> constituent une part importante </w:t>
      </w:r>
      <w:r w:rsidR="003413B7" w:rsidRPr="00DB6C66">
        <w:rPr>
          <w:lang w:val="fr-FR"/>
        </w:rPr>
        <w:t xml:space="preserve">de </w:t>
      </w:r>
      <w:r w:rsidR="006514E9" w:rsidRPr="00DB6C66">
        <w:rPr>
          <w:lang w:val="fr-FR"/>
        </w:rPr>
        <w:t>ce cadre</w:t>
      </w:r>
      <w:r w:rsidR="00FA55C9" w:rsidRPr="00DB6C66">
        <w:rPr>
          <w:lang w:val="fr-FR"/>
        </w:rPr>
        <w:t>.</w:t>
      </w:r>
    </w:p>
    <w:p w:rsidR="00DB3999" w:rsidRPr="00DB6C66" w:rsidRDefault="00334D1E" w:rsidP="006D3583">
      <w:pPr>
        <w:pStyle w:val="ONUMFS"/>
        <w:rPr>
          <w:lang w:val="fr-FR"/>
        </w:rPr>
      </w:pPr>
      <w:r w:rsidRPr="00DB6C66">
        <w:rPr>
          <w:lang w:val="fr-FR"/>
        </w:rPr>
        <w:t>La protection par brevet à une échelle mondiale joue un rôle de plus en plus important dans l</w:t>
      </w:r>
      <w:r w:rsidR="00280EEC">
        <w:rPr>
          <w:lang w:val="fr-FR"/>
        </w:rPr>
        <w:t>’</w:t>
      </w:r>
      <w:r w:rsidRPr="00DB6C66">
        <w:rPr>
          <w:lang w:val="fr-FR"/>
        </w:rPr>
        <w:t>économie fondée sur le savoir et la société de l</w:t>
      </w:r>
      <w:r w:rsidR="00280EEC">
        <w:rPr>
          <w:lang w:val="fr-FR"/>
        </w:rPr>
        <w:t>’</w:t>
      </w:r>
      <w:r w:rsidR="00525167" w:rsidRPr="00DB6C66">
        <w:rPr>
          <w:lang w:val="fr-FR"/>
        </w:rPr>
        <w:t xml:space="preserve">information </w:t>
      </w:r>
      <w:proofErr w:type="gramStart"/>
      <w:r w:rsidR="00525167" w:rsidRPr="00DB6C66">
        <w:rPr>
          <w:lang w:val="fr-FR"/>
        </w:rPr>
        <w:t>du XXI</w:t>
      </w:r>
      <w:r w:rsidRPr="00DB6C66">
        <w:rPr>
          <w:vertAlign w:val="superscript"/>
          <w:lang w:val="fr-FR"/>
        </w:rPr>
        <w:t>e</w:t>
      </w:r>
      <w:r w:rsidR="00917B88" w:rsidRPr="00DB6C66">
        <w:rPr>
          <w:lang w:val="fr-FR"/>
        </w:rPr>
        <w:t> </w:t>
      </w:r>
      <w:r w:rsidRPr="00DB6C66">
        <w:rPr>
          <w:lang w:val="fr-FR"/>
        </w:rPr>
        <w:t>siècle</w:t>
      </w:r>
      <w:r w:rsidR="00820FC2" w:rsidRPr="00DB6C66">
        <w:rPr>
          <w:lang w:val="fr-FR"/>
        </w:rPr>
        <w:t>, marquées</w:t>
      </w:r>
      <w:proofErr w:type="gramEnd"/>
      <w:r w:rsidR="00820FC2" w:rsidRPr="00DB6C66">
        <w:rPr>
          <w:lang w:val="fr-FR"/>
        </w:rPr>
        <w:t xml:space="preserve"> par des technologies de pointe, une concurrence accrue et la nécessité d</w:t>
      </w:r>
      <w:r w:rsidR="00280EEC">
        <w:rPr>
          <w:lang w:val="fr-FR"/>
        </w:rPr>
        <w:t>’</w:t>
      </w:r>
      <w:r w:rsidR="00820FC2" w:rsidRPr="00DB6C66">
        <w:rPr>
          <w:lang w:val="fr-FR"/>
        </w:rPr>
        <w:t xml:space="preserve">améliorer la compétitivité.  </w:t>
      </w:r>
      <w:r w:rsidR="00937F15" w:rsidRPr="00DB6C66">
        <w:rPr>
          <w:lang w:val="fr-FR"/>
        </w:rPr>
        <w:t xml:space="preserve">Le </w:t>
      </w:r>
      <w:r w:rsidR="00820FC2" w:rsidRPr="00DB6C66">
        <w:rPr>
          <w:lang w:val="fr-FR"/>
        </w:rPr>
        <w:t>besoin d</w:t>
      </w:r>
      <w:r w:rsidR="00280EEC">
        <w:rPr>
          <w:lang w:val="fr-FR"/>
        </w:rPr>
        <w:t>’</w:t>
      </w:r>
      <w:r w:rsidR="00820FC2" w:rsidRPr="00DB6C66">
        <w:rPr>
          <w:lang w:val="fr-FR"/>
        </w:rPr>
        <w:t>un système</w:t>
      </w:r>
      <w:r w:rsidR="00937F15" w:rsidRPr="00DB6C66">
        <w:rPr>
          <w:lang w:val="fr-FR"/>
        </w:rPr>
        <w:t xml:space="preserve"> efficace</w:t>
      </w:r>
      <w:r w:rsidR="00820FC2" w:rsidRPr="00DB6C66">
        <w:rPr>
          <w:lang w:val="fr-FR"/>
        </w:rPr>
        <w:t xml:space="preserve"> de protection par brevet, offrant des produits et des services de haute qualité, </w:t>
      </w:r>
      <w:r w:rsidR="00937F15" w:rsidRPr="00DB6C66">
        <w:rPr>
          <w:lang w:val="fr-FR"/>
        </w:rPr>
        <w:t xml:space="preserve">est donc toujours </w:t>
      </w:r>
      <w:r w:rsidR="00820FC2" w:rsidRPr="00DB6C66">
        <w:rPr>
          <w:lang w:val="fr-FR"/>
        </w:rPr>
        <w:t xml:space="preserve">plus </w:t>
      </w:r>
      <w:r w:rsidR="00937F15" w:rsidRPr="00DB6C66">
        <w:rPr>
          <w:lang w:val="fr-FR"/>
        </w:rPr>
        <w:t>présent</w:t>
      </w:r>
      <w:r w:rsidR="00820FC2" w:rsidRPr="00DB6C66">
        <w:rPr>
          <w:lang w:val="fr-FR"/>
        </w:rPr>
        <w:t xml:space="preserve">. </w:t>
      </w:r>
      <w:r w:rsidR="00E01D11" w:rsidRPr="00DB6C66">
        <w:rPr>
          <w:lang w:val="fr-FR"/>
        </w:rPr>
        <w:t xml:space="preserve"> Le PCT</w:t>
      </w:r>
      <w:r w:rsidR="00820FC2" w:rsidRPr="00DB6C66">
        <w:rPr>
          <w:lang w:val="fr-FR"/>
        </w:rPr>
        <w:t xml:space="preserve"> </w:t>
      </w:r>
      <w:r w:rsidR="00903D6A" w:rsidRPr="00DB6C66">
        <w:rPr>
          <w:lang w:val="fr-FR"/>
        </w:rPr>
        <w:t>propose</w:t>
      </w:r>
      <w:r w:rsidR="00937F15" w:rsidRPr="00DB6C66">
        <w:rPr>
          <w:lang w:val="fr-FR"/>
        </w:rPr>
        <w:t xml:space="preserve"> </w:t>
      </w:r>
      <w:r w:rsidR="00820FC2" w:rsidRPr="00DB6C66">
        <w:rPr>
          <w:lang w:val="fr-FR"/>
        </w:rPr>
        <w:t>un excellent cadre pour la création et la pérennité d</w:t>
      </w:r>
      <w:r w:rsidR="00280EEC">
        <w:rPr>
          <w:lang w:val="fr-FR"/>
        </w:rPr>
        <w:t>’</w:t>
      </w:r>
      <w:r w:rsidR="00820FC2" w:rsidRPr="00DB6C66">
        <w:rPr>
          <w:lang w:val="fr-FR"/>
        </w:rPr>
        <w:t>un tel système mondial des brevets, et il assure déjà une protection internationale par brevet très efficace.</w:t>
      </w:r>
    </w:p>
    <w:p w:rsidR="00DB3999" w:rsidRPr="00DB6C66" w:rsidRDefault="00450833" w:rsidP="006D3583">
      <w:pPr>
        <w:pStyle w:val="ONUMFS"/>
        <w:rPr>
          <w:lang w:val="fr-FR"/>
        </w:rPr>
      </w:pPr>
      <w:r w:rsidRPr="00DB6C66">
        <w:rPr>
          <w:lang w:val="fr-FR"/>
        </w:rPr>
        <w:t>Le VPI peut combler une lacune territoriale dans le système mondial</w:t>
      </w:r>
      <w:r w:rsidR="00E01D11" w:rsidRPr="00DB6C66">
        <w:rPr>
          <w:lang w:val="fr-FR"/>
        </w:rPr>
        <w:t xml:space="preserve"> du PCT</w:t>
      </w:r>
      <w:r w:rsidRPr="00DB6C66">
        <w:rPr>
          <w:lang w:val="fr-FR"/>
        </w:rPr>
        <w:t xml:space="preserve"> en agissant en qualité d</w:t>
      </w:r>
      <w:r w:rsidR="00280EEC">
        <w:rPr>
          <w:lang w:val="fr-FR"/>
        </w:rPr>
        <w:t>’</w:t>
      </w:r>
      <w:r w:rsidRPr="00DB6C66">
        <w:rPr>
          <w:lang w:val="fr-FR"/>
        </w:rPr>
        <w:t>administration internationale pour l</w:t>
      </w:r>
      <w:r w:rsidR="00280EEC">
        <w:rPr>
          <w:lang w:val="fr-FR"/>
        </w:rPr>
        <w:t>’</w:t>
      </w:r>
      <w:r w:rsidRPr="00DB6C66">
        <w:rPr>
          <w:lang w:val="fr-FR"/>
        </w:rPr>
        <w:t xml:space="preserve">Europe centrale et orientale.  Il </w:t>
      </w:r>
      <w:r w:rsidR="00CA61A6" w:rsidRPr="00DB6C66">
        <w:rPr>
          <w:lang w:val="fr-FR"/>
        </w:rPr>
        <w:t xml:space="preserve">convient de noter </w:t>
      </w:r>
      <w:r w:rsidRPr="00DB6C66">
        <w:rPr>
          <w:lang w:val="fr-FR"/>
        </w:rPr>
        <w:t>que le groupe des pays d</w:t>
      </w:r>
      <w:r w:rsidR="00280EEC">
        <w:rPr>
          <w:lang w:val="fr-FR"/>
        </w:rPr>
        <w:t>’</w:t>
      </w:r>
      <w:r w:rsidRPr="00DB6C66">
        <w:rPr>
          <w:lang w:val="fr-FR"/>
        </w:rPr>
        <w:t xml:space="preserve">Europe centrale et des </w:t>
      </w:r>
      <w:r w:rsidR="00DF641F" w:rsidRPr="00DB6C66">
        <w:rPr>
          <w:lang w:val="fr-FR"/>
        </w:rPr>
        <w:t>États</w:t>
      </w:r>
      <w:r w:rsidRPr="00DB6C66">
        <w:rPr>
          <w:lang w:val="fr-FR"/>
        </w:rPr>
        <w:t xml:space="preserve"> baltes est le seul groupe régional de l</w:t>
      </w:r>
      <w:r w:rsidR="00280EEC">
        <w:rPr>
          <w:lang w:val="fr-FR"/>
        </w:rPr>
        <w:t>’</w:t>
      </w:r>
      <w:r w:rsidRPr="00DB6C66">
        <w:rPr>
          <w:lang w:val="fr-FR"/>
        </w:rPr>
        <w:t xml:space="preserve">OMPI </w:t>
      </w:r>
      <w:r w:rsidR="004F7755" w:rsidRPr="00DB6C66">
        <w:rPr>
          <w:lang w:val="fr-FR"/>
        </w:rPr>
        <w:t xml:space="preserve">à ne compter </w:t>
      </w:r>
      <w:r w:rsidRPr="00DB6C66">
        <w:rPr>
          <w:lang w:val="fr-FR"/>
        </w:rPr>
        <w:t>aucune administration internationale opérationnelle selon</w:t>
      </w:r>
      <w:r w:rsidR="00E01D11" w:rsidRPr="00DB6C66">
        <w:rPr>
          <w:lang w:val="fr-FR"/>
        </w:rPr>
        <w:t xml:space="preserve"> le PCT</w:t>
      </w:r>
      <w:r w:rsidR="00CA61A6" w:rsidRPr="00DB6C66">
        <w:rPr>
          <w:lang w:val="fr-FR"/>
        </w:rPr>
        <w:t xml:space="preserve">. </w:t>
      </w:r>
      <w:r w:rsidR="00E01D11" w:rsidRPr="00DB6C66">
        <w:rPr>
          <w:lang w:val="fr-FR"/>
        </w:rPr>
        <w:t xml:space="preserve"> Le VPI</w:t>
      </w:r>
      <w:r w:rsidR="00185E54" w:rsidRPr="00DB6C66">
        <w:rPr>
          <w:lang w:val="fr-FR"/>
        </w:rPr>
        <w:t xml:space="preserve"> peut également combler ce manque dans le réseau des administrations européennes</w:t>
      </w:r>
      <w:r w:rsidR="00E01D11" w:rsidRPr="00DB6C66">
        <w:rPr>
          <w:lang w:val="fr-FR"/>
        </w:rPr>
        <w:t xml:space="preserve"> du PCT</w:t>
      </w:r>
      <w:r w:rsidR="00185E54" w:rsidRPr="00DB6C66">
        <w:rPr>
          <w:lang w:val="fr-FR"/>
        </w:rPr>
        <w:t>.  Il a donc pour objet de soutenir le développement et l</w:t>
      </w:r>
      <w:r w:rsidR="00280EEC">
        <w:rPr>
          <w:lang w:val="fr-FR"/>
        </w:rPr>
        <w:t>’</w:t>
      </w:r>
      <w:r w:rsidR="00185E54" w:rsidRPr="00DB6C66">
        <w:rPr>
          <w:lang w:val="fr-FR"/>
        </w:rPr>
        <w:t>utilité du système</w:t>
      </w:r>
      <w:r w:rsidR="00E01D11" w:rsidRPr="00DB6C66">
        <w:rPr>
          <w:lang w:val="fr-FR"/>
        </w:rPr>
        <w:t xml:space="preserve"> du PCT</w:t>
      </w:r>
      <w:r w:rsidR="00185E54" w:rsidRPr="00DB6C66">
        <w:rPr>
          <w:lang w:val="fr-FR"/>
        </w:rPr>
        <w:t xml:space="preserve"> en ajoutant d</w:t>
      </w:r>
      <w:r w:rsidR="00280EEC">
        <w:rPr>
          <w:lang w:val="fr-FR"/>
        </w:rPr>
        <w:t>’</w:t>
      </w:r>
      <w:r w:rsidR="00185E54" w:rsidRPr="00DB6C66">
        <w:rPr>
          <w:lang w:val="fr-FR"/>
        </w:rPr>
        <w:t xml:space="preserve">autres ressources </w:t>
      </w:r>
      <w:r w:rsidR="00903D6A" w:rsidRPr="00DB6C66">
        <w:rPr>
          <w:lang w:val="fr-FR"/>
        </w:rPr>
        <w:t>adéquates</w:t>
      </w:r>
      <w:r w:rsidR="00185E54" w:rsidRPr="00DB6C66">
        <w:rPr>
          <w:lang w:val="fr-FR"/>
        </w:rPr>
        <w:t xml:space="preserve"> à celles déjà disponibles, notamment pour une région</w:t>
      </w:r>
      <w:r w:rsidR="004F7755" w:rsidRPr="00DB6C66">
        <w:rPr>
          <w:lang w:val="fr-FR"/>
        </w:rPr>
        <w:t xml:space="preserve"> qui, à l</w:t>
      </w:r>
      <w:r w:rsidR="00280EEC">
        <w:rPr>
          <w:lang w:val="fr-FR"/>
        </w:rPr>
        <w:t>’</w:t>
      </w:r>
      <w:r w:rsidR="004F7755" w:rsidRPr="00DB6C66">
        <w:rPr>
          <w:lang w:val="fr-FR"/>
        </w:rPr>
        <w:t xml:space="preserve">heure actuelle, </w:t>
      </w:r>
      <w:r w:rsidR="00185E54" w:rsidRPr="00DB6C66">
        <w:rPr>
          <w:lang w:val="fr-FR"/>
        </w:rPr>
        <w:t>n</w:t>
      </w:r>
      <w:r w:rsidR="00280EEC">
        <w:rPr>
          <w:lang w:val="fr-FR"/>
        </w:rPr>
        <w:t>’</w:t>
      </w:r>
      <w:r w:rsidR="004F7755" w:rsidRPr="00DB6C66">
        <w:rPr>
          <w:lang w:val="fr-FR"/>
        </w:rPr>
        <w:t xml:space="preserve">a </w:t>
      </w:r>
      <w:r w:rsidR="00185E54" w:rsidRPr="00DB6C66">
        <w:rPr>
          <w:lang w:val="fr-FR"/>
        </w:rPr>
        <w:t>pas sa propre administration internationale.  En complétant la portée mondiale des administrations internationales,</w:t>
      </w:r>
      <w:r w:rsidR="00E01D11" w:rsidRPr="00DB6C66">
        <w:rPr>
          <w:lang w:val="fr-FR"/>
        </w:rPr>
        <w:t xml:space="preserve"> le VPI</w:t>
      </w:r>
      <w:r w:rsidR="00185E54" w:rsidRPr="00DB6C66">
        <w:rPr>
          <w:lang w:val="fr-FR"/>
        </w:rPr>
        <w:t xml:space="preserve"> contribuera à une meilleure compréhension et à une utilisation élargie</w:t>
      </w:r>
      <w:r w:rsidR="00E01D11" w:rsidRPr="00DB6C66">
        <w:rPr>
          <w:lang w:val="fr-FR"/>
        </w:rPr>
        <w:t xml:space="preserve"> du PCT</w:t>
      </w:r>
      <w:r w:rsidR="00185E54" w:rsidRPr="00DB6C66">
        <w:rPr>
          <w:lang w:val="fr-FR"/>
        </w:rPr>
        <w:t xml:space="preserve"> dans la région de l</w:t>
      </w:r>
      <w:r w:rsidR="00280EEC">
        <w:rPr>
          <w:lang w:val="fr-FR"/>
        </w:rPr>
        <w:t>’</w:t>
      </w:r>
      <w:r w:rsidR="00185E54" w:rsidRPr="00DB6C66">
        <w:rPr>
          <w:lang w:val="fr-FR"/>
        </w:rPr>
        <w:t xml:space="preserve">Europe centrale et orientale, ce qui </w:t>
      </w:r>
      <w:r w:rsidR="002A5121" w:rsidRPr="00DB6C66">
        <w:rPr>
          <w:lang w:val="fr-FR"/>
        </w:rPr>
        <w:t>permettra aussi d</w:t>
      </w:r>
      <w:r w:rsidR="00280EEC">
        <w:rPr>
          <w:lang w:val="fr-FR"/>
        </w:rPr>
        <w:t>’</w:t>
      </w:r>
      <w:r w:rsidR="002A5121" w:rsidRPr="00DB6C66">
        <w:rPr>
          <w:lang w:val="fr-FR"/>
        </w:rPr>
        <w:t xml:space="preserve">améliorer </w:t>
      </w:r>
      <w:r w:rsidR="00185E54" w:rsidRPr="00DB6C66">
        <w:rPr>
          <w:lang w:val="fr-FR"/>
        </w:rPr>
        <w:t xml:space="preserve">la qualité des demandes internationales provenant de cette région.  </w:t>
      </w:r>
      <w:r w:rsidR="002A5121" w:rsidRPr="00DB6C66">
        <w:rPr>
          <w:lang w:val="fr-FR"/>
        </w:rPr>
        <w:t>S</w:t>
      </w:r>
      <w:r w:rsidR="00280EEC">
        <w:rPr>
          <w:lang w:val="fr-FR"/>
        </w:rPr>
        <w:t>’</w:t>
      </w:r>
      <w:r w:rsidR="002A5121" w:rsidRPr="00DB6C66">
        <w:rPr>
          <w:lang w:val="fr-FR"/>
        </w:rPr>
        <w:t xml:space="preserve">appuyant sur les traditions et les compétences de longue date des offices nationaux engagés dans la coopération </w:t>
      </w:r>
      <w:r w:rsidR="00903D6A" w:rsidRPr="00DB6C66">
        <w:rPr>
          <w:lang w:val="fr-FR"/>
        </w:rPr>
        <w:t>selon</w:t>
      </w:r>
      <w:r w:rsidR="00E01D11" w:rsidRPr="00DB6C66">
        <w:rPr>
          <w:lang w:val="fr-FR"/>
        </w:rPr>
        <w:t xml:space="preserve"> le VPI</w:t>
      </w:r>
      <w:r w:rsidR="002A5121" w:rsidRPr="00DB6C66">
        <w:rPr>
          <w:lang w:val="fr-FR"/>
        </w:rPr>
        <w:t>, ainsi que sur leurs ressources existantes, et s</w:t>
      </w:r>
      <w:r w:rsidR="00280EEC">
        <w:rPr>
          <w:lang w:val="fr-FR"/>
        </w:rPr>
        <w:t>’</w:t>
      </w:r>
      <w:r w:rsidR="002A5121" w:rsidRPr="00DB6C66">
        <w:rPr>
          <w:lang w:val="fr-FR"/>
        </w:rPr>
        <w:t>appuyant aussi sur les bons résultats attendus</w:t>
      </w:r>
      <w:r w:rsidR="00E01D11" w:rsidRPr="00DB6C66">
        <w:rPr>
          <w:lang w:val="fr-FR"/>
        </w:rPr>
        <w:t xml:space="preserve"> du VPI</w:t>
      </w:r>
      <w:r w:rsidR="002A5121" w:rsidRPr="00DB6C66">
        <w:rPr>
          <w:lang w:val="fr-FR"/>
        </w:rPr>
        <w:t xml:space="preserve"> en matière de gestion de la qualité,</w:t>
      </w:r>
      <w:r w:rsidR="00E01D11" w:rsidRPr="00DB6C66">
        <w:rPr>
          <w:lang w:val="fr-FR"/>
        </w:rPr>
        <w:t xml:space="preserve"> le VPI</w:t>
      </w:r>
      <w:r w:rsidR="00F22A85" w:rsidRPr="00DB6C66">
        <w:rPr>
          <w:lang w:val="fr-FR"/>
        </w:rPr>
        <w:t xml:space="preserve"> </w:t>
      </w:r>
      <w:r w:rsidR="002A5121" w:rsidRPr="00DB6C66">
        <w:rPr>
          <w:lang w:val="fr-FR"/>
        </w:rPr>
        <w:t xml:space="preserve">cherchera à </w:t>
      </w:r>
      <w:r w:rsidR="00F22A85" w:rsidRPr="00DB6C66">
        <w:rPr>
          <w:lang w:val="fr-FR"/>
        </w:rPr>
        <w:t xml:space="preserve">devenir un partenaire </w:t>
      </w:r>
      <w:r w:rsidR="002A5121" w:rsidRPr="00DB6C66">
        <w:rPr>
          <w:lang w:val="fr-FR"/>
        </w:rPr>
        <w:t>fiable, efficace</w:t>
      </w:r>
      <w:r w:rsidR="00F22A85" w:rsidRPr="00DB6C66">
        <w:rPr>
          <w:lang w:val="fr-FR"/>
        </w:rPr>
        <w:t xml:space="preserve"> et constructif </w:t>
      </w:r>
      <w:r w:rsidR="004F7755" w:rsidRPr="00DB6C66">
        <w:rPr>
          <w:lang w:val="fr-FR"/>
        </w:rPr>
        <w:t xml:space="preserve">des </w:t>
      </w:r>
      <w:r w:rsidR="00F22A85" w:rsidRPr="00DB6C66">
        <w:rPr>
          <w:lang w:val="fr-FR"/>
        </w:rPr>
        <w:t>efforts visant à renforcer la qualité et l</w:t>
      </w:r>
      <w:r w:rsidR="00280EEC">
        <w:rPr>
          <w:lang w:val="fr-FR"/>
        </w:rPr>
        <w:t>’</w:t>
      </w:r>
      <w:r w:rsidR="00F22A85" w:rsidRPr="00DB6C66">
        <w:rPr>
          <w:lang w:val="fr-FR"/>
        </w:rPr>
        <w:t>efficacité du fonctionnement du système mondial des brevets.  Il entend rester ouvert et, si possible,</w:t>
      </w:r>
      <w:r w:rsidR="004F7755" w:rsidRPr="00DB6C66">
        <w:rPr>
          <w:lang w:val="fr-FR"/>
        </w:rPr>
        <w:t xml:space="preserve"> participer</w:t>
      </w:r>
      <w:r w:rsidR="00F22A85" w:rsidRPr="00DB6C66">
        <w:rPr>
          <w:lang w:val="fr-FR"/>
        </w:rPr>
        <w:t xml:space="preserve"> activement à d</w:t>
      </w:r>
      <w:r w:rsidR="00280EEC">
        <w:rPr>
          <w:lang w:val="fr-FR"/>
        </w:rPr>
        <w:t>’</w:t>
      </w:r>
      <w:r w:rsidR="00F22A85" w:rsidRPr="00DB6C66">
        <w:rPr>
          <w:lang w:val="fr-FR"/>
        </w:rPr>
        <w:t>autres initiatives et projets internationaux destinés à partager la charge de travail, à améliorer la qualité, à renforcer l</w:t>
      </w:r>
      <w:r w:rsidR="00280EEC">
        <w:rPr>
          <w:lang w:val="fr-FR"/>
        </w:rPr>
        <w:t>’</w:t>
      </w:r>
      <w:r w:rsidR="00F22A85" w:rsidRPr="00DB6C66">
        <w:rPr>
          <w:lang w:val="fr-FR"/>
        </w:rPr>
        <w:t xml:space="preserve">harmonisation et à développer des </w:t>
      </w:r>
      <w:r w:rsidR="00F22A85" w:rsidRPr="00DB6C66">
        <w:rPr>
          <w:lang w:val="fr-FR"/>
        </w:rPr>
        <w:lastRenderedPageBreak/>
        <w:t>services mieux adaptés au profit des utilisateurs, comme le programme GPPH (</w:t>
      </w:r>
      <w:r w:rsidR="00F22A85" w:rsidRPr="00DB6C66">
        <w:rPr>
          <w:i/>
          <w:lang w:val="fr-FR"/>
        </w:rPr>
        <w:t xml:space="preserve">Global Patent </w:t>
      </w:r>
      <w:proofErr w:type="spellStart"/>
      <w:r w:rsidR="00F22A85" w:rsidRPr="00DB6C66">
        <w:rPr>
          <w:i/>
          <w:lang w:val="fr-FR"/>
        </w:rPr>
        <w:t>Prosecution</w:t>
      </w:r>
      <w:proofErr w:type="spellEnd"/>
      <w:r w:rsidR="00F22A85" w:rsidRPr="00DB6C66">
        <w:rPr>
          <w:i/>
          <w:lang w:val="fr-FR"/>
        </w:rPr>
        <w:t xml:space="preserve"> </w:t>
      </w:r>
      <w:proofErr w:type="spellStart"/>
      <w:r w:rsidR="00F22A85" w:rsidRPr="00DB6C66">
        <w:rPr>
          <w:i/>
          <w:lang w:val="fr-FR"/>
        </w:rPr>
        <w:t>Highway</w:t>
      </w:r>
      <w:proofErr w:type="spellEnd"/>
      <w:r w:rsidR="00F22A85" w:rsidRPr="00DB6C66">
        <w:rPr>
          <w:lang w:val="fr-FR"/>
        </w:rPr>
        <w:t xml:space="preserve">) ou </w:t>
      </w:r>
      <w:r w:rsidR="00903D6A" w:rsidRPr="00DB6C66">
        <w:rPr>
          <w:lang w:val="fr-FR"/>
        </w:rPr>
        <w:t>des</w:t>
      </w:r>
      <w:r w:rsidR="00F22A85" w:rsidRPr="00DB6C66">
        <w:rPr>
          <w:lang w:val="fr-FR"/>
        </w:rPr>
        <w:t xml:space="preserve"> accords bilatéraux de coopération relatifs à des activités de recherche et d</w:t>
      </w:r>
      <w:r w:rsidR="00280EEC">
        <w:rPr>
          <w:lang w:val="fr-FR"/>
        </w:rPr>
        <w:t>’</w:t>
      </w:r>
      <w:r w:rsidR="00F22A85" w:rsidRPr="00DB6C66">
        <w:rPr>
          <w:lang w:val="fr-FR"/>
        </w:rPr>
        <w:t>examen.</w:t>
      </w:r>
    </w:p>
    <w:p w:rsidR="00DB3999" w:rsidRPr="00DB6C66" w:rsidRDefault="00792170" w:rsidP="006D3583">
      <w:pPr>
        <w:pStyle w:val="ONUMFS"/>
        <w:rPr>
          <w:lang w:val="fr-FR"/>
        </w:rPr>
      </w:pPr>
      <w:r w:rsidRPr="00DB6C66">
        <w:rPr>
          <w:lang w:val="fr-FR"/>
        </w:rPr>
        <w:t>En outre, la création</w:t>
      </w:r>
      <w:r w:rsidR="00E01D11" w:rsidRPr="00DB6C66">
        <w:rPr>
          <w:lang w:val="fr-FR"/>
        </w:rPr>
        <w:t xml:space="preserve"> du VPI</w:t>
      </w:r>
      <w:r w:rsidRPr="00DB6C66">
        <w:rPr>
          <w:lang w:val="fr-FR"/>
        </w:rPr>
        <w:t xml:space="preserve"> s</w:t>
      </w:r>
      <w:r w:rsidR="00280EEC">
        <w:rPr>
          <w:lang w:val="fr-FR"/>
        </w:rPr>
        <w:t>’</w:t>
      </w:r>
      <w:r w:rsidRPr="00DB6C66">
        <w:rPr>
          <w:lang w:val="fr-FR"/>
        </w:rPr>
        <w:t>inscrit dans le cadre du Réseau européen des brevets de l</w:t>
      </w:r>
      <w:r w:rsidR="00280EEC">
        <w:rPr>
          <w:lang w:val="fr-FR"/>
        </w:rPr>
        <w:t>’</w:t>
      </w:r>
      <w:r w:rsidRPr="00DB6C66">
        <w:rPr>
          <w:lang w:val="fr-FR"/>
        </w:rPr>
        <w:t>Organisation européenne des brevets</w:t>
      </w:r>
      <w:r w:rsidR="00D70326" w:rsidRPr="00DB6C66">
        <w:rPr>
          <w:lang w:val="fr-FR"/>
        </w:rPr>
        <w:t xml:space="preserve"> </w:t>
      </w:r>
      <w:r w:rsidRPr="00DB6C66">
        <w:rPr>
          <w:lang w:val="fr-FR"/>
        </w:rPr>
        <w:t>et garantira une interaction harmonieuse avec le tout nouveau régime de protection par brevet unitaire de l</w:t>
      </w:r>
      <w:r w:rsidR="00280EEC">
        <w:rPr>
          <w:lang w:val="fr-FR"/>
        </w:rPr>
        <w:t>’</w:t>
      </w:r>
      <w:r w:rsidRPr="00DB6C66">
        <w:rPr>
          <w:lang w:val="fr-FR"/>
        </w:rPr>
        <w:t xml:space="preserve">Union européenne. </w:t>
      </w:r>
      <w:r w:rsidR="00E01D11" w:rsidRPr="00DB6C66">
        <w:rPr>
          <w:lang w:val="fr-FR"/>
        </w:rPr>
        <w:t xml:space="preserve"> Le VPI</w:t>
      </w:r>
      <w:r w:rsidRPr="00DB6C66">
        <w:rPr>
          <w:lang w:val="fr-FR"/>
        </w:rPr>
        <w:t xml:space="preserve"> poursuit donc un autre objectif important, </w:t>
      </w:r>
      <w:r w:rsidR="00280EEC">
        <w:rPr>
          <w:lang w:val="fr-FR"/>
        </w:rPr>
        <w:t>à savoir</w:t>
      </w:r>
      <w:r w:rsidRPr="00DB6C66">
        <w:rPr>
          <w:lang w:val="fr-FR"/>
        </w:rPr>
        <w:t xml:space="preserve"> contribuer positivement au développement d</w:t>
      </w:r>
      <w:r w:rsidR="00280EEC">
        <w:rPr>
          <w:lang w:val="fr-FR"/>
        </w:rPr>
        <w:t>’</w:t>
      </w:r>
      <w:r w:rsidRPr="00DB6C66">
        <w:rPr>
          <w:lang w:val="fr-FR"/>
        </w:rPr>
        <w:t xml:space="preserve">un système européen des brevets, cohérent et efficace, fondé sur la Convention sur le brevet européen </w:t>
      </w:r>
      <w:r w:rsidR="00D70326" w:rsidRPr="00DB6C66">
        <w:rPr>
          <w:lang w:val="fr-FR"/>
        </w:rPr>
        <w:t xml:space="preserve">(CBE) </w:t>
      </w:r>
      <w:r w:rsidRPr="00DB6C66">
        <w:rPr>
          <w:lang w:val="fr-FR"/>
        </w:rPr>
        <w:t>et sur la coopération bien établie entre l</w:t>
      </w:r>
      <w:r w:rsidR="00280EEC">
        <w:rPr>
          <w:lang w:val="fr-FR"/>
        </w:rPr>
        <w:t>’</w:t>
      </w:r>
      <w:r w:rsidRPr="00DB6C66">
        <w:rPr>
          <w:lang w:val="fr-FR"/>
        </w:rPr>
        <w:t xml:space="preserve">Office européen des brevets </w:t>
      </w:r>
      <w:r w:rsidR="00D70326" w:rsidRPr="00DB6C66">
        <w:rPr>
          <w:lang w:val="fr-FR"/>
        </w:rPr>
        <w:t xml:space="preserve">(OEB) </w:t>
      </w:r>
      <w:r w:rsidRPr="00DB6C66">
        <w:rPr>
          <w:lang w:val="fr-FR"/>
        </w:rPr>
        <w:t>et les offices nationaux, et offrir aux utilisateurs de l</w:t>
      </w:r>
      <w:r w:rsidR="00280EEC">
        <w:rPr>
          <w:lang w:val="fr-FR"/>
        </w:rPr>
        <w:t>’</w:t>
      </w:r>
      <w:r w:rsidRPr="00DB6C66">
        <w:rPr>
          <w:lang w:val="fr-FR"/>
        </w:rPr>
        <w:t>Europe centrale et orientale le meilleur cadre possible pour tirer parti d</w:t>
      </w:r>
      <w:r w:rsidR="00280EEC">
        <w:rPr>
          <w:lang w:val="fr-FR"/>
        </w:rPr>
        <w:t>’</w:t>
      </w:r>
      <w:r w:rsidRPr="00DB6C66">
        <w:rPr>
          <w:lang w:val="fr-FR"/>
        </w:rPr>
        <w:t>une telle coopération européenne.</w:t>
      </w:r>
    </w:p>
    <w:p w:rsidR="00E01D11" w:rsidRPr="00DB6C66" w:rsidRDefault="005E6DD9" w:rsidP="006D3583">
      <w:pPr>
        <w:pStyle w:val="ONUMFS"/>
        <w:rPr>
          <w:lang w:val="fr-FR"/>
        </w:rPr>
      </w:pPr>
      <w:r w:rsidRPr="00DB6C66">
        <w:rPr>
          <w:lang w:val="fr-FR"/>
        </w:rPr>
        <w:t>Le VPI aura pour objectif d</w:t>
      </w:r>
      <w:r w:rsidR="00280EEC">
        <w:rPr>
          <w:lang w:val="fr-FR"/>
        </w:rPr>
        <w:t>’</w:t>
      </w:r>
      <w:r w:rsidRPr="00DB6C66">
        <w:rPr>
          <w:lang w:val="fr-FR"/>
        </w:rPr>
        <w:t>encourager l</w:t>
      </w:r>
      <w:r w:rsidR="00280EEC">
        <w:rPr>
          <w:lang w:val="fr-FR"/>
        </w:rPr>
        <w:t>’</w:t>
      </w:r>
      <w:r w:rsidRPr="00DB6C66">
        <w:rPr>
          <w:lang w:val="fr-FR"/>
        </w:rPr>
        <w:t>innovation et la créativité et de promouvoir la croissance économique et la compétitivité en Europe centrale et orientale.  Pour atteindre ces objectifs,</w:t>
      </w:r>
      <w:r w:rsidR="00E01D11" w:rsidRPr="00DB6C66">
        <w:rPr>
          <w:lang w:val="fr-FR"/>
        </w:rPr>
        <w:t xml:space="preserve"> le VPI</w:t>
      </w:r>
      <w:r w:rsidRPr="00DB6C66">
        <w:rPr>
          <w:lang w:val="fr-FR"/>
        </w:rPr>
        <w:t xml:space="preserve"> doit</w:t>
      </w:r>
      <w:r w:rsidR="004E047D" w:rsidRPr="00DB6C66">
        <w:rPr>
          <w:lang w:val="fr-FR"/>
        </w:rPr>
        <w:t> </w:t>
      </w:r>
      <w:r w:rsidRPr="00DB6C66">
        <w:rPr>
          <w:lang w:val="fr-FR"/>
        </w:rPr>
        <w:t>:</w:t>
      </w:r>
    </w:p>
    <w:p w:rsidR="00E01D11" w:rsidRPr="00DB6C66" w:rsidRDefault="00645894" w:rsidP="009C72E7">
      <w:pPr>
        <w:pStyle w:val="ONUMFS"/>
        <w:numPr>
          <w:ilvl w:val="2"/>
          <w:numId w:val="6"/>
        </w:numPr>
        <w:tabs>
          <w:tab w:val="clear" w:pos="1701"/>
        </w:tabs>
        <w:ind w:left="567"/>
        <w:rPr>
          <w:lang w:val="fr-FR"/>
        </w:rPr>
      </w:pPr>
      <w:r w:rsidRPr="00DB6C66">
        <w:rPr>
          <w:lang w:val="fr-FR"/>
        </w:rPr>
        <w:t xml:space="preserve">offrir aux </w:t>
      </w:r>
      <w:r w:rsidR="00BD7811" w:rsidRPr="00DB6C66">
        <w:rPr>
          <w:lang w:val="fr-FR"/>
        </w:rPr>
        <w:t xml:space="preserve">déposants </w:t>
      </w:r>
      <w:r w:rsidRPr="00DB6C66">
        <w:rPr>
          <w:lang w:val="fr-FR"/>
        </w:rPr>
        <w:t xml:space="preserve">une solution favorable et efficace pour </w:t>
      </w:r>
      <w:r w:rsidR="00623D9D" w:rsidRPr="00DB6C66">
        <w:rPr>
          <w:lang w:val="fr-FR"/>
        </w:rPr>
        <w:t>entrer dans</w:t>
      </w:r>
      <w:r w:rsidRPr="00DB6C66">
        <w:rPr>
          <w:lang w:val="fr-FR"/>
        </w:rPr>
        <w:t xml:space="preserve"> le système</w:t>
      </w:r>
      <w:r w:rsidR="00E01D11" w:rsidRPr="00DB6C66">
        <w:rPr>
          <w:lang w:val="fr-FR"/>
        </w:rPr>
        <w:t xml:space="preserve"> du PCT</w:t>
      </w:r>
      <w:r w:rsidRPr="00DB6C66">
        <w:rPr>
          <w:lang w:val="fr-FR"/>
        </w:rPr>
        <w:t xml:space="preserve"> (</w:t>
      </w:r>
      <w:r w:rsidR="00623D9D" w:rsidRPr="00DB6C66">
        <w:rPr>
          <w:lang w:val="fr-FR"/>
        </w:rPr>
        <w:t>en permettant l</w:t>
      </w:r>
      <w:r w:rsidR="00280EEC">
        <w:rPr>
          <w:lang w:val="fr-FR"/>
        </w:rPr>
        <w:t>’</w:t>
      </w:r>
      <w:r w:rsidR="00623D9D" w:rsidRPr="00DB6C66">
        <w:rPr>
          <w:lang w:val="fr-FR"/>
        </w:rPr>
        <w:t xml:space="preserve">utilisation de </w:t>
      </w:r>
      <w:r w:rsidRPr="00DB6C66">
        <w:rPr>
          <w:lang w:val="fr-FR"/>
        </w:rPr>
        <w:t>langues locales et en favorisant la proximité avec les utilisateurs, notamment</w:t>
      </w:r>
      <w:r w:rsidR="00E01D11" w:rsidRPr="00DB6C66">
        <w:rPr>
          <w:lang w:val="fr-FR"/>
        </w:rPr>
        <w:t xml:space="preserve"> les PME</w:t>
      </w:r>
      <w:r w:rsidRPr="00DB6C66">
        <w:rPr>
          <w:lang w:val="fr-FR"/>
        </w:rPr>
        <w:t>, les inventeurs et apparentés);</w:t>
      </w:r>
    </w:p>
    <w:p w:rsidR="00B04EC3" w:rsidRPr="00DB6C66" w:rsidRDefault="00B04EC3" w:rsidP="009C72E7">
      <w:pPr>
        <w:pStyle w:val="ONUMFS"/>
        <w:numPr>
          <w:ilvl w:val="2"/>
          <w:numId w:val="6"/>
        </w:numPr>
        <w:tabs>
          <w:tab w:val="clear" w:pos="1701"/>
        </w:tabs>
        <w:ind w:left="567"/>
        <w:rPr>
          <w:lang w:val="fr-FR"/>
        </w:rPr>
      </w:pPr>
      <w:r w:rsidRPr="00DB6C66">
        <w:rPr>
          <w:lang w:val="fr-FR"/>
        </w:rPr>
        <w:t xml:space="preserve">tenir à jour, et renforcer, les compétences relatives aux brevets des offices nationaux participants </w:t>
      </w:r>
      <w:r w:rsidR="00623D9D" w:rsidRPr="00DB6C66">
        <w:rPr>
          <w:lang w:val="fr-FR"/>
        </w:rPr>
        <w:t>dans l</w:t>
      </w:r>
      <w:r w:rsidR="00280EEC">
        <w:rPr>
          <w:lang w:val="fr-FR"/>
        </w:rPr>
        <w:t>’</w:t>
      </w:r>
      <w:r w:rsidR="00623D9D" w:rsidRPr="00DB6C66">
        <w:rPr>
          <w:lang w:val="fr-FR"/>
        </w:rPr>
        <w:t xml:space="preserve">intérêt des </w:t>
      </w:r>
      <w:r w:rsidRPr="00DB6C66">
        <w:rPr>
          <w:lang w:val="fr-FR"/>
        </w:rPr>
        <w:t>inventeurs et des industries qu</w:t>
      </w:r>
      <w:r w:rsidR="00280EEC">
        <w:rPr>
          <w:lang w:val="fr-FR"/>
        </w:rPr>
        <w:t>’</w:t>
      </w:r>
      <w:r w:rsidRPr="00DB6C66">
        <w:rPr>
          <w:lang w:val="fr-FR"/>
        </w:rPr>
        <w:t xml:space="preserve">ils </w:t>
      </w:r>
      <w:r w:rsidR="00623D9D" w:rsidRPr="00DB6C66">
        <w:rPr>
          <w:lang w:val="fr-FR"/>
        </w:rPr>
        <w:t>servent</w:t>
      </w:r>
      <w:r w:rsidRPr="00DB6C66">
        <w:rPr>
          <w:lang w:val="fr-FR"/>
        </w:rPr>
        <w:t>.</w:t>
      </w:r>
    </w:p>
    <w:p w:rsidR="00E01D11" w:rsidRPr="00DB6C66" w:rsidRDefault="00B55A80" w:rsidP="009C72E7">
      <w:pPr>
        <w:pStyle w:val="ONUMFS"/>
        <w:numPr>
          <w:ilvl w:val="0"/>
          <w:numId w:val="0"/>
        </w:numPr>
        <w:rPr>
          <w:lang w:val="fr-FR"/>
        </w:rPr>
      </w:pPr>
      <w:r w:rsidRPr="00DB6C66">
        <w:rPr>
          <w:lang w:val="fr-FR"/>
        </w:rPr>
        <w:t xml:space="preserve">Les utilisateurs de tous les </w:t>
      </w:r>
      <w:r w:rsidR="00DF641F" w:rsidRPr="00DB6C66">
        <w:rPr>
          <w:lang w:val="fr-FR"/>
        </w:rPr>
        <w:t>États</w:t>
      </w:r>
      <w:r w:rsidRPr="00DB6C66">
        <w:rPr>
          <w:lang w:val="fr-FR"/>
        </w:rPr>
        <w:t xml:space="preserve"> contractants soutiennent pleinement la création</w:t>
      </w:r>
      <w:r w:rsidR="00E01D11" w:rsidRPr="00DB6C66">
        <w:rPr>
          <w:lang w:val="fr-FR"/>
        </w:rPr>
        <w:t xml:space="preserve"> du VPI</w:t>
      </w:r>
      <w:r w:rsidRPr="00DB6C66">
        <w:rPr>
          <w:lang w:val="fr-FR"/>
        </w:rPr>
        <w:t xml:space="preserve"> et la </w:t>
      </w:r>
      <w:r w:rsidR="00623D9D" w:rsidRPr="00DB6C66">
        <w:rPr>
          <w:lang w:val="fr-FR"/>
        </w:rPr>
        <w:t>demande</w:t>
      </w:r>
      <w:r w:rsidRPr="00DB6C66">
        <w:rPr>
          <w:lang w:val="fr-FR"/>
        </w:rPr>
        <w:t xml:space="preserve"> </w:t>
      </w:r>
      <w:r w:rsidR="00097573" w:rsidRPr="00DB6C66">
        <w:rPr>
          <w:lang w:val="fr-FR"/>
        </w:rPr>
        <w:t>en vue de</w:t>
      </w:r>
      <w:r w:rsidR="00623D9D" w:rsidRPr="00DB6C66">
        <w:rPr>
          <w:lang w:val="fr-FR"/>
        </w:rPr>
        <w:t xml:space="preserve"> </w:t>
      </w:r>
      <w:r w:rsidRPr="00DB6C66">
        <w:rPr>
          <w:lang w:val="fr-FR"/>
        </w:rPr>
        <w:t>sa nomination en qualité d</w:t>
      </w:r>
      <w:r w:rsidR="00280EEC">
        <w:rPr>
          <w:lang w:val="fr-FR"/>
        </w:rPr>
        <w:t>’</w:t>
      </w:r>
      <w:r w:rsidRPr="00DB6C66">
        <w:rPr>
          <w:lang w:val="fr-FR"/>
        </w:rPr>
        <w:t xml:space="preserve">administration chargée de la recherche internationale et </w:t>
      </w:r>
      <w:r w:rsidR="00623D9D" w:rsidRPr="00DB6C66">
        <w:rPr>
          <w:lang w:val="fr-FR"/>
        </w:rPr>
        <w:t>d</w:t>
      </w:r>
      <w:r w:rsidR="00280EEC">
        <w:rPr>
          <w:lang w:val="fr-FR"/>
        </w:rPr>
        <w:t>’</w:t>
      </w:r>
      <w:r w:rsidR="00623D9D" w:rsidRPr="00DB6C66">
        <w:rPr>
          <w:lang w:val="fr-FR"/>
        </w:rPr>
        <w:t xml:space="preserve">administration chargée </w:t>
      </w:r>
      <w:r w:rsidRPr="00DB6C66">
        <w:rPr>
          <w:lang w:val="fr-FR"/>
        </w:rPr>
        <w:t>de l</w:t>
      </w:r>
      <w:r w:rsidR="00280EEC">
        <w:rPr>
          <w:lang w:val="fr-FR"/>
        </w:rPr>
        <w:t>’</w:t>
      </w:r>
      <w:r w:rsidRPr="00DB6C66">
        <w:rPr>
          <w:lang w:val="fr-FR"/>
        </w:rPr>
        <w:t>examen préliminaire international selon</w:t>
      </w:r>
      <w:r w:rsidR="00E01D11" w:rsidRPr="00DB6C66">
        <w:rPr>
          <w:lang w:val="fr-FR"/>
        </w:rPr>
        <w:t xml:space="preserve"> le PCT</w:t>
      </w:r>
      <w:r w:rsidRPr="00DB6C66">
        <w:rPr>
          <w:lang w:val="fr-FR"/>
        </w:rPr>
        <w:t>.</w:t>
      </w:r>
    </w:p>
    <w:p w:rsidR="006D3583" w:rsidRPr="00DB6C66" w:rsidRDefault="0075654E" w:rsidP="00620A17">
      <w:pPr>
        <w:pStyle w:val="Heading2"/>
        <w:rPr>
          <w:lang w:val="fr-FR"/>
        </w:rPr>
      </w:pPr>
      <w:r w:rsidRPr="00DB6C66">
        <w:rPr>
          <w:lang w:val="fr-FR"/>
        </w:rPr>
        <w:t>1.2.</w:t>
      </w:r>
      <w:r w:rsidR="00917B88" w:rsidRPr="00DB6C66">
        <w:rPr>
          <w:lang w:val="fr-FR"/>
        </w:rPr>
        <w:tab/>
      </w:r>
      <w:r w:rsidR="006D3583" w:rsidRPr="00DB6C66">
        <w:rPr>
          <w:lang w:val="fr-FR"/>
        </w:rPr>
        <w:t>Rôle du VPI dans le contexte du groupe de Visegrad</w:t>
      </w:r>
    </w:p>
    <w:p w:rsidR="00E01D11" w:rsidRPr="00DB6C66" w:rsidRDefault="00DF73F4" w:rsidP="006D3583">
      <w:pPr>
        <w:pStyle w:val="ONUMFS"/>
        <w:rPr>
          <w:lang w:val="fr-FR"/>
        </w:rPr>
      </w:pPr>
      <w:r w:rsidRPr="00DB6C66">
        <w:rPr>
          <w:lang w:val="fr-FR"/>
        </w:rPr>
        <w:t xml:space="preserve">Les pays du groupe de </w:t>
      </w:r>
      <w:proofErr w:type="spellStart"/>
      <w:r w:rsidRPr="00DB6C66">
        <w:rPr>
          <w:lang w:val="fr-FR"/>
        </w:rPr>
        <w:t>Visegrad</w:t>
      </w:r>
      <w:proofErr w:type="spellEnd"/>
      <w:r w:rsidRPr="00DB6C66">
        <w:rPr>
          <w:lang w:val="fr-FR"/>
        </w:rPr>
        <w:t xml:space="preserve"> sont bien placés pour jouer un plus grand rôle dans le système des brevets international.  Ils représentent des pays émergents caractérisés par une production économique de plus en plus importante, </w:t>
      </w:r>
      <w:r w:rsidR="00A00C4E" w:rsidRPr="00DB6C66">
        <w:rPr>
          <w:lang w:val="fr-FR"/>
        </w:rPr>
        <w:t>une participation toujours plus grande au commerce européen et mondial, une compétitivité sans cesse accrue et un</w:t>
      </w:r>
      <w:r w:rsidR="00A17382" w:rsidRPr="00DB6C66">
        <w:rPr>
          <w:lang w:val="fr-FR"/>
        </w:rPr>
        <w:t>e attention de plus en plus marquée pour l</w:t>
      </w:r>
      <w:r w:rsidR="00280EEC">
        <w:rPr>
          <w:lang w:val="fr-FR"/>
        </w:rPr>
        <w:t>’</w:t>
      </w:r>
      <w:r w:rsidR="00A00C4E" w:rsidRPr="00DB6C66">
        <w:rPr>
          <w:lang w:val="fr-FR"/>
        </w:rPr>
        <w:t xml:space="preserve">innovation. </w:t>
      </w:r>
      <w:r w:rsidRPr="00DB6C66">
        <w:rPr>
          <w:lang w:val="fr-FR"/>
        </w:rPr>
        <w:t xml:space="preserve"> </w:t>
      </w:r>
      <w:r w:rsidR="00941E22" w:rsidRPr="00DB6C66">
        <w:rPr>
          <w:lang w:val="fr-FR"/>
        </w:rPr>
        <w:t>En outre, la création</w:t>
      </w:r>
      <w:r w:rsidR="00E01D11" w:rsidRPr="00DB6C66">
        <w:rPr>
          <w:lang w:val="fr-FR"/>
        </w:rPr>
        <w:t xml:space="preserve"> du VPI</w:t>
      </w:r>
      <w:r w:rsidR="00941E22" w:rsidRPr="00DB6C66">
        <w:rPr>
          <w:lang w:val="fr-FR"/>
        </w:rPr>
        <w:t xml:space="preserve"> et la demande </w:t>
      </w:r>
      <w:r w:rsidR="00097573" w:rsidRPr="00DB6C66">
        <w:rPr>
          <w:lang w:val="fr-FR"/>
        </w:rPr>
        <w:t>en vue de</w:t>
      </w:r>
      <w:r w:rsidR="00941E22" w:rsidRPr="00DB6C66">
        <w:rPr>
          <w:lang w:val="fr-FR"/>
        </w:rPr>
        <w:t xml:space="preserve"> sa nomination en qualité d</w:t>
      </w:r>
      <w:r w:rsidR="00280EEC">
        <w:rPr>
          <w:lang w:val="fr-FR"/>
        </w:rPr>
        <w:t>’</w:t>
      </w:r>
      <w:r w:rsidR="00941E22" w:rsidRPr="00DB6C66">
        <w:rPr>
          <w:lang w:val="fr-FR"/>
        </w:rPr>
        <w:t xml:space="preserve">administration chargée de la recherche internationale et </w:t>
      </w:r>
      <w:r w:rsidR="00097573" w:rsidRPr="00DB6C66">
        <w:rPr>
          <w:lang w:val="fr-FR"/>
        </w:rPr>
        <w:t>d</w:t>
      </w:r>
      <w:r w:rsidR="00280EEC">
        <w:rPr>
          <w:lang w:val="fr-FR"/>
        </w:rPr>
        <w:t>’</w:t>
      </w:r>
      <w:r w:rsidR="00097573" w:rsidRPr="00DB6C66">
        <w:rPr>
          <w:lang w:val="fr-FR"/>
        </w:rPr>
        <w:t xml:space="preserve">administration chargée </w:t>
      </w:r>
      <w:r w:rsidR="00941E22" w:rsidRPr="00DB6C66">
        <w:rPr>
          <w:lang w:val="fr-FR"/>
        </w:rPr>
        <w:t>de l</w:t>
      </w:r>
      <w:r w:rsidR="00280EEC">
        <w:rPr>
          <w:lang w:val="fr-FR"/>
        </w:rPr>
        <w:t>’</w:t>
      </w:r>
      <w:r w:rsidR="00941E22" w:rsidRPr="00DB6C66">
        <w:rPr>
          <w:lang w:val="fr-FR"/>
        </w:rPr>
        <w:t>examen pr</w:t>
      </w:r>
      <w:r w:rsidR="00055C4B" w:rsidRPr="00DB6C66">
        <w:rPr>
          <w:lang w:val="fr-FR"/>
        </w:rPr>
        <w:t>éliminaire international</w:t>
      </w:r>
      <w:r w:rsidR="00941E22" w:rsidRPr="00DB6C66">
        <w:rPr>
          <w:lang w:val="fr-FR"/>
        </w:rPr>
        <w:t xml:space="preserve"> </w:t>
      </w:r>
      <w:r w:rsidR="00055C4B" w:rsidRPr="00DB6C66">
        <w:rPr>
          <w:lang w:val="fr-FR"/>
        </w:rPr>
        <w:t xml:space="preserve">sont bien conformes aux </w:t>
      </w:r>
      <w:r w:rsidR="00941E22" w:rsidRPr="00DB6C66">
        <w:rPr>
          <w:lang w:val="fr-FR"/>
        </w:rPr>
        <w:t xml:space="preserve">objectifs politiques généraux et de haut niveau de la coopération </w:t>
      </w:r>
      <w:r w:rsidR="00E27EC3" w:rsidRPr="00DB6C66">
        <w:rPr>
          <w:lang w:val="fr-FR"/>
        </w:rPr>
        <w:t>dans le cadre du</w:t>
      </w:r>
      <w:r w:rsidR="00097573" w:rsidRPr="00DB6C66">
        <w:rPr>
          <w:lang w:val="fr-FR"/>
        </w:rPr>
        <w:t xml:space="preserve"> groupe de</w:t>
      </w:r>
      <w:r w:rsidR="00941E22" w:rsidRPr="00DB6C66">
        <w:rPr>
          <w:lang w:val="fr-FR"/>
        </w:rPr>
        <w:t xml:space="preserve"> </w:t>
      </w:r>
      <w:proofErr w:type="spellStart"/>
      <w:r w:rsidR="00941E22" w:rsidRPr="00DB6C66">
        <w:rPr>
          <w:lang w:val="fr-FR"/>
        </w:rPr>
        <w:t>Visegrad</w:t>
      </w:r>
      <w:proofErr w:type="spellEnd"/>
      <w:r w:rsidR="00941E22" w:rsidRPr="00DB6C66">
        <w:rPr>
          <w:lang w:val="fr-FR"/>
        </w:rPr>
        <w:t>.</w:t>
      </w:r>
    </w:p>
    <w:p w:rsidR="00CD6952" w:rsidRPr="00DB6C66" w:rsidRDefault="00CD6952" w:rsidP="006D3583">
      <w:pPr>
        <w:pStyle w:val="ONUMFS"/>
        <w:rPr>
          <w:lang w:val="fr-FR"/>
        </w:rPr>
      </w:pPr>
      <w:r w:rsidRPr="00DB6C66">
        <w:rPr>
          <w:lang w:val="fr-FR"/>
        </w:rPr>
        <w:t xml:space="preserve">Le groupe de </w:t>
      </w:r>
      <w:proofErr w:type="spellStart"/>
      <w:r w:rsidRPr="00DB6C66">
        <w:rPr>
          <w:lang w:val="fr-FR"/>
        </w:rPr>
        <w:t>Visegrad</w:t>
      </w:r>
      <w:proofErr w:type="spellEnd"/>
      <w:r w:rsidRPr="00DB6C66">
        <w:rPr>
          <w:lang w:val="fr-FR"/>
        </w:rPr>
        <w:t xml:space="preserve"> (également appel</w:t>
      </w:r>
      <w:r w:rsidR="009B07E8" w:rsidRPr="00DB6C66">
        <w:rPr>
          <w:lang w:val="fr-FR"/>
        </w:rPr>
        <w:t>é</w:t>
      </w:r>
      <w:r w:rsidRPr="00DB6C66">
        <w:rPr>
          <w:lang w:val="fr-FR"/>
        </w:rPr>
        <w:t xml:space="preserve"> “les Quatre</w:t>
      </w:r>
      <w:r w:rsidR="004E047D" w:rsidRPr="00DB6C66">
        <w:rPr>
          <w:lang w:val="fr-FR"/>
        </w:rPr>
        <w:t> </w:t>
      </w:r>
      <w:r w:rsidRPr="00DB6C66">
        <w:rPr>
          <w:lang w:val="fr-FR"/>
        </w:rPr>
        <w:t xml:space="preserve">de </w:t>
      </w:r>
      <w:proofErr w:type="spellStart"/>
      <w:r w:rsidRPr="00DB6C66">
        <w:rPr>
          <w:lang w:val="fr-FR"/>
        </w:rPr>
        <w:t>Visegrad</w:t>
      </w:r>
      <w:proofErr w:type="spellEnd"/>
      <w:r w:rsidRPr="00DB6C66">
        <w:rPr>
          <w:lang w:val="fr-FR"/>
        </w:rPr>
        <w:t>”</w:t>
      </w:r>
      <w:r w:rsidR="00097573" w:rsidRPr="00DB6C66">
        <w:rPr>
          <w:lang w:val="fr-FR"/>
        </w:rPr>
        <w:t xml:space="preserve"> </w:t>
      </w:r>
      <w:r w:rsidRPr="00DB6C66">
        <w:rPr>
          <w:lang w:val="fr-FR"/>
        </w:rPr>
        <w:t>ou, simplement, “le V4”) reflète les efforts consentis par les pays de l</w:t>
      </w:r>
      <w:r w:rsidR="00280EEC">
        <w:rPr>
          <w:lang w:val="fr-FR"/>
        </w:rPr>
        <w:t>’</w:t>
      </w:r>
      <w:r w:rsidRPr="00DB6C66">
        <w:rPr>
          <w:lang w:val="fr-FR"/>
        </w:rPr>
        <w:t>Europe centrale pour collaborer dans un certain nombre de domaines d</w:t>
      </w:r>
      <w:r w:rsidR="00280EEC">
        <w:rPr>
          <w:lang w:val="fr-FR"/>
        </w:rPr>
        <w:t>’</w:t>
      </w:r>
      <w:r w:rsidRPr="00DB6C66">
        <w:rPr>
          <w:lang w:val="fr-FR"/>
        </w:rPr>
        <w:t>intérêt commun dans le cadre de l</w:t>
      </w:r>
      <w:r w:rsidR="00280EEC">
        <w:rPr>
          <w:lang w:val="fr-FR"/>
        </w:rPr>
        <w:t>’</w:t>
      </w:r>
      <w:r w:rsidRPr="00DB6C66">
        <w:rPr>
          <w:lang w:val="fr-FR"/>
        </w:rPr>
        <w:t xml:space="preserve">intégration européenne. </w:t>
      </w:r>
      <w:r w:rsidR="009B07E8" w:rsidRPr="00DB6C66">
        <w:rPr>
          <w:lang w:val="fr-FR"/>
        </w:rPr>
        <w:t xml:space="preserve"> La Hongrie, la République de Pologne, la République slovaque </w:t>
      </w:r>
      <w:r w:rsidR="00B57060" w:rsidRPr="00DB6C66">
        <w:rPr>
          <w:lang w:val="fr-FR"/>
        </w:rPr>
        <w:t xml:space="preserve">et la République tchèque </w:t>
      </w:r>
      <w:r w:rsidR="009B07E8" w:rsidRPr="00DB6C66">
        <w:rPr>
          <w:lang w:val="fr-FR"/>
        </w:rPr>
        <w:t>ont toujours fait partie d</w:t>
      </w:r>
      <w:r w:rsidR="00280EEC">
        <w:rPr>
          <w:lang w:val="fr-FR"/>
        </w:rPr>
        <w:t>’</w:t>
      </w:r>
      <w:r w:rsidR="009B07E8" w:rsidRPr="00DB6C66">
        <w:rPr>
          <w:lang w:val="fr-FR"/>
        </w:rPr>
        <w:t>une seule civilisation, partageant des valeurs culturelles et intellectuelles et des racines communes, qu</w:t>
      </w:r>
      <w:r w:rsidR="00280EEC">
        <w:rPr>
          <w:lang w:val="fr-FR"/>
        </w:rPr>
        <w:t>’</w:t>
      </w:r>
      <w:r w:rsidR="009B07E8" w:rsidRPr="00DB6C66">
        <w:rPr>
          <w:lang w:val="fr-FR"/>
        </w:rPr>
        <w:t>ils souhaitent préserve</w:t>
      </w:r>
      <w:r w:rsidR="00443E84" w:rsidRPr="00DB6C66">
        <w:rPr>
          <w:lang w:val="fr-FR"/>
        </w:rPr>
        <w:t>r</w:t>
      </w:r>
      <w:r w:rsidR="009B07E8" w:rsidRPr="00DB6C66">
        <w:rPr>
          <w:lang w:val="fr-FR"/>
        </w:rPr>
        <w:t xml:space="preserve"> et renforcer encore.</w:t>
      </w:r>
    </w:p>
    <w:p w:rsidR="00E01D11" w:rsidRPr="00DB6C66" w:rsidRDefault="008F2304" w:rsidP="006D3583">
      <w:pPr>
        <w:pStyle w:val="ONUMFS"/>
        <w:rPr>
          <w:lang w:val="fr-FR"/>
        </w:rPr>
      </w:pPr>
      <w:r w:rsidRPr="00DB6C66">
        <w:rPr>
          <w:lang w:val="fr-FR"/>
        </w:rPr>
        <w:t>Tous les pays du V4 aspiraient à devenir membres de l</w:t>
      </w:r>
      <w:r w:rsidR="00280EEC">
        <w:rPr>
          <w:lang w:val="fr-FR"/>
        </w:rPr>
        <w:t>’</w:t>
      </w:r>
      <w:r w:rsidRPr="00DB6C66">
        <w:rPr>
          <w:lang w:val="fr-FR"/>
        </w:rPr>
        <w:t xml:space="preserve">Union européenne, </w:t>
      </w:r>
      <w:r w:rsidR="006350FF" w:rsidRPr="00DB6C66">
        <w:rPr>
          <w:lang w:val="fr-FR"/>
        </w:rPr>
        <w:t xml:space="preserve">percevant </w:t>
      </w:r>
      <w:r w:rsidRPr="00DB6C66">
        <w:rPr>
          <w:lang w:val="fr-FR"/>
        </w:rPr>
        <w:t>leur intégration dans l</w:t>
      </w:r>
      <w:r w:rsidR="00280EEC">
        <w:rPr>
          <w:lang w:val="fr-FR"/>
        </w:rPr>
        <w:t>’</w:t>
      </w:r>
      <w:r w:rsidR="004C50CB" w:rsidRPr="00DB6C66">
        <w:rPr>
          <w:lang w:val="fr-FR"/>
        </w:rPr>
        <w:t>Union européenne</w:t>
      </w:r>
      <w:r w:rsidR="006350FF" w:rsidRPr="00DB6C66">
        <w:rPr>
          <w:lang w:val="fr-FR"/>
        </w:rPr>
        <w:t xml:space="preserve"> </w:t>
      </w:r>
      <w:r w:rsidRPr="00DB6C66">
        <w:rPr>
          <w:lang w:val="fr-FR"/>
        </w:rPr>
        <w:t>comme une</w:t>
      </w:r>
      <w:r w:rsidR="00B57060" w:rsidRPr="00DB6C66">
        <w:rPr>
          <w:lang w:val="fr-FR"/>
        </w:rPr>
        <w:t xml:space="preserve"> autre</w:t>
      </w:r>
      <w:r w:rsidRPr="00DB6C66">
        <w:rPr>
          <w:lang w:val="fr-FR"/>
        </w:rPr>
        <w:t xml:space="preserve"> étape </w:t>
      </w:r>
      <w:r w:rsidR="0023044D" w:rsidRPr="00DB6C66">
        <w:rPr>
          <w:lang w:val="fr-FR"/>
        </w:rPr>
        <w:t>dans le processus qui permettrait de</w:t>
      </w:r>
      <w:r w:rsidR="006350FF" w:rsidRPr="00DB6C66">
        <w:rPr>
          <w:lang w:val="fr-FR"/>
        </w:rPr>
        <w:t xml:space="preserve"> surmonter les </w:t>
      </w:r>
      <w:r w:rsidR="00B57060" w:rsidRPr="00DB6C66">
        <w:rPr>
          <w:lang w:val="fr-FR"/>
        </w:rPr>
        <w:t>clivages artificiel</w:t>
      </w:r>
      <w:r w:rsidR="006350FF" w:rsidRPr="00DB6C66">
        <w:rPr>
          <w:lang w:val="fr-FR"/>
        </w:rPr>
        <w:t>s en Europe</w:t>
      </w:r>
      <w:r w:rsidR="00B57060" w:rsidRPr="00DB6C66">
        <w:rPr>
          <w:lang w:val="fr-FR"/>
        </w:rPr>
        <w:t xml:space="preserve"> par l</w:t>
      </w:r>
      <w:r w:rsidR="00280EEC">
        <w:rPr>
          <w:lang w:val="fr-FR"/>
        </w:rPr>
        <w:t>’</w:t>
      </w:r>
      <w:r w:rsidR="00B57060" w:rsidRPr="00DB6C66">
        <w:rPr>
          <w:lang w:val="fr-FR"/>
        </w:rPr>
        <w:t xml:space="preserve">entraide, un </w:t>
      </w:r>
      <w:r w:rsidR="00233EC0" w:rsidRPr="00DB6C66">
        <w:rPr>
          <w:lang w:val="fr-FR"/>
        </w:rPr>
        <w:t xml:space="preserve">objectif </w:t>
      </w:r>
      <w:r w:rsidR="00B57060" w:rsidRPr="00DB6C66">
        <w:rPr>
          <w:lang w:val="fr-FR"/>
        </w:rPr>
        <w:t>qu</w:t>
      </w:r>
      <w:r w:rsidR="00280EEC">
        <w:rPr>
          <w:lang w:val="fr-FR"/>
        </w:rPr>
        <w:t>’</w:t>
      </w:r>
      <w:r w:rsidR="00B57060" w:rsidRPr="00DB6C66">
        <w:rPr>
          <w:lang w:val="fr-FR"/>
        </w:rPr>
        <w:t xml:space="preserve">ils ont atteint </w:t>
      </w:r>
      <w:r w:rsidR="00233EC0" w:rsidRPr="00DB6C66">
        <w:rPr>
          <w:lang w:val="fr-FR"/>
        </w:rPr>
        <w:t>en</w:t>
      </w:r>
      <w:r w:rsidR="004E047D" w:rsidRPr="00DB6C66">
        <w:rPr>
          <w:lang w:val="fr-FR"/>
        </w:rPr>
        <w:t> </w:t>
      </w:r>
      <w:r w:rsidR="00233EC0" w:rsidRPr="00DB6C66">
        <w:rPr>
          <w:lang w:val="fr-FR"/>
        </w:rPr>
        <w:t xml:space="preserve">2004 </w:t>
      </w:r>
      <w:r w:rsidR="00B57060" w:rsidRPr="00DB6C66">
        <w:rPr>
          <w:lang w:val="fr-FR"/>
        </w:rPr>
        <w:t xml:space="preserve">au moment de leur entrée dans </w:t>
      </w:r>
      <w:r w:rsidR="00233EC0" w:rsidRPr="00DB6C66">
        <w:rPr>
          <w:lang w:val="fr-FR"/>
        </w:rPr>
        <w:t>l</w:t>
      </w:r>
      <w:r w:rsidR="00280EEC">
        <w:rPr>
          <w:lang w:val="fr-FR"/>
        </w:rPr>
        <w:t>’</w:t>
      </w:r>
      <w:r w:rsidR="004C50CB" w:rsidRPr="00DB6C66">
        <w:rPr>
          <w:lang w:val="fr-FR"/>
        </w:rPr>
        <w:t>Union européenne</w:t>
      </w:r>
      <w:r w:rsidR="00233EC0" w:rsidRPr="00DB6C66">
        <w:rPr>
          <w:lang w:val="fr-FR"/>
        </w:rPr>
        <w:t>.</w:t>
      </w:r>
    </w:p>
    <w:p w:rsidR="00E01D11" w:rsidRPr="00DB6C66" w:rsidRDefault="00233EC0" w:rsidP="006D3583">
      <w:pPr>
        <w:pStyle w:val="ONUMFS"/>
        <w:rPr>
          <w:lang w:val="fr-FR"/>
        </w:rPr>
      </w:pPr>
      <w:r w:rsidRPr="00DB6C66">
        <w:rPr>
          <w:lang w:val="fr-FR"/>
        </w:rPr>
        <w:t xml:space="preserve">Le groupe de </w:t>
      </w:r>
      <w:proofErr w:type="spellStart"/>
      <w:r w:rsidRPr="00DB6C66">
        <w:rPr>
          <w:lang w:val="fr-FR"/>
        </w:rPr>
        <w:t>Visegrad</w:t>
      </w:r>
      <w:proofErr w:type="spellEnd"/>
      <w:r w:rsidRPr="00DB6C66">
        <w:rPr>
          <w:lang w:val="fr-FR"/>
        </w:rPr>
        <w:t xml:space="preserve"> a pour objet d</w:t>
      </w:r>
      <w:r w:rsidR="00280EEC">
        <w:rPr>
          <w:lang w:val="fr-FR"/>
        </w:rPr>
        <w:t>’</w:t>
      </w:r>
      <w:r w:rsidRPr="00DB6C66">
        <w:rPr>
          <w:lang w:val="fr-FR"/>
        </w:rPr>
        <w:t>encourager une coopération optimale avec tous les pays, plus particuli</w:t>
      </w:r>
      <w:r w:rsidR="00DE095A" w:rsidRPr="00DB6C66">
        <w:rPr>
          <w:lang w:val="fr-FR"/>
        </w:rPr>
        <w:t>èrement s</w:t>
      </w:r>
      <w:r w:rsidRPr="00DB6C66">
        <w:rPr>
          <w:lang w:val="fr-FR"/>
        </w:rPr>
        <w:t>es voisins, le développement démocratique de toutes les régions de l</w:t>
      </w:r>
      <w:r w:rsidR="00280EEC">
        <w:rPr>
          <w:lang w:val="fr-FR"/>
        </w:rPr>
        <w:t>’</w:t>
      </w:r>
      <w:r w:rsidRPr="00DB6C66">
        <w:rPr>
          <w:lang w:val="fr-FR"/>
        </w:rPr>
        <w:t xml:space="preserve">Europe étant son intérêt </w:t>
      </w:r>
      <w:r w:rsidR="00DE095A" w:rsidRPr="00DB6C66">
        <w:rPr>
          <w:lang w:val="fr-FR"/>
        </w:rPr>
        <w:t>supérieur</w:t>
      </w:r>
      <w:r w:rsidRPr="00DB6C66">
        <w:rPr>
          <w:lang w:val="fr-FR"/>
        </w:rPr>
        <w:t>.</w:t>
      </w:r>
    </w:p>
    <w:p w:rsidR="00DB3999" w:rsidRPr="00DB6C66" w:rsidRDefault="00DE095A" w:rsidP="006D3583">
      <w:pPr>
        <w:pStyle w:val="ONUMFS"/>
        <w:keepNext/>
        <w:rPr>
          <w:lang w:val="fr-FR"/>
        </w:rPr>
      </w:pPr>
      <w:r w:rsidRPr="00DB6C66">
        <w:rPr>
          <w:lang w:val="fr-FR"/>
        </w:rPr>
        <w:lastRenderedPageBreak/>
        <w:t xml:space="preserve">La composition du groupe de </w:t>
      </w:r>
      <w:proofErr w:type="spellStart"/>
      <w:r w:rsidRPr="00DB6C66">
        <w:rPr>
          <w:lang w:val="fr-FR"/>
        </w:rPr>
        <w:t>Visegrad</w:t>
      </w:r>
      <w:proofErr w:type="spellEnd"/>
      <w:r w:rsidRPr="00DB6C66">
        <w:rPr>
          <w:lang w:val="fr-FR"/>
        </w:rPr>
        <w:t xml:space="preserve"> est la suivante</w:t>
      </w:r>
      <w:r w:rsidR="004E047D" w:rsidRPr="00DB6C66">
        <w:rPr>
          <w:lang w:val="fr-FR"/>
        </w:rPr>
        <w:t> </w:t>
      </w:r>
      <w:r w:rsidRPr="00DB6C66">
        <w:rPr>
          <w:lang w:val="fr-FR"/>
        </w:rPr>
        <w:t>:</w:t>
      </w:r>
    </w:p>
    <w:p w:rsidR="00DB3999" w:rsidRPr="00DB6C66" w:rsidRDefault="00DE095A" w:rsidP="009C72E7">
      <w:pPr>
        <w:pStyle w:val="ONUMFS"/>
        <w:numPr>
          <w:ilvl w:val="0"/>
          <w:numId w:val="32"/>
        </w:numPr>
        <w:ind w:left="567"/>
        <w:rPr>
          <w:lang w:val="fr-FR"/>
        </w:rPr>
      </w:pPr>
      <w:r w:rsidRPr="00DB6C66">
        <w:rPr>
          <w:lang w:val="fr-FR"/>
        </w:rPr>
        <w:t>Hongrie</w:t>
      </w:r>
      <w:r w:rsidR="0075654E" w:rsidRPr="00DB6C66">
        <w:rPr>
          <w:lang w:val="fr-FR"/>
        </w:rPr>
        <w:t xml:space="preserve"> (</w:t>
      </w:r>
      <w:r w:rsidRPr="00DB6C66">
        <w:rPr>
          <w:lang w:val="fr-FR"/>
        </w:rPr>
        <w:t>depuis</w:t>
      </w:r>
      <w:r w:rsidR="004E047D" w:rsidRPr="00DB6C66">
        <w:rPr>
          <w:lang w:val="fr-FR"/>
        </w:rPr>
        <w:t> </w:t>
      </w:r>
      <w:r w:rsidR="0075654E" w:rsidRPr="00DB6C66">
        <w:rPr>
          <w:lang w:val="fr-FR"/>
        </w:rPr>
        <w:t>1991)</w:t>
      </w:r>
      <w:r w:rsidR="00AC46D5" w:rsidRPr="00DB6C66">
        <w:rPr>
          <w:lang w:val="fr-FR"/>
        </w:rPr>
        <w:t>;</w:t>
      </w:r>
    </w:p>
    <w:p w:rsidR="00DB3999" w:rsidRPr="00DB6C66" w:rsidRDefault="0075654E" w:rsidP="009C72E7">
      <w:pPr>
        <w:pStyle w:val="ONUMFS"/>
        <w:numPr>
          <w:ilvl w:val="0"/>
          <w:numId w:val="32"/>
        </w:numPr>
        <w:ind w:left="567"/>
        <w:rPr>
          <w:lang w:val="fr-FR"/>
        </w:rPr>
      </w:pPr>
      <w:r w:rsidRPr="00DB6C66">
        <w:rPr>
          <w:lang w:val="fr-FR"/>
        </w:rPr>
        <w:t>R</w:t>
      </w:r>
      <w:r w:rsidR="00DE095A" w:rsidRPr="00DB6C66">
        <w:rPr>
          <w:lang w:val="fr-FR"/>
        </w:rPr>
        <w:t>épublique de Pologne</w:t>
      </w:r>
      <w:r w:rsidRPr="00DB6C66">
        <w:rPr>
          <w:lang w:val="fr-FR"/>
        </w:rPr>
        <w:t xml:space="preserve"> (</w:t>
      </w:r>
      <w:r w:rsidR="00DE095A" w:rsidRPr="00DB6C66">
        <w:rPr>
          <w:lang w:val="fr-FR"/>
        </w:rPr>
        <w:t>depuis</w:t>
      </w:r>
      <w:r w:rsidR="004E047D" w:rsidRPr="00DB6C66">
        <w:rPr>
          <w:lang w:val="fr-FR"/>
        </w:rPr>
        <w:t> </w:t>
      </w:r>
      <w:r w:rsidRPr="00DB6C66">
        <w:rPr>
          <w:lang w:val="fr-FR"/>
        </w:rPr>
        <w:t>1991)</w:t>
      </w:r>
      <w:r w:rsidR="00AC46D5" w:rsidRPr="00DB6C66">
        <w:rPr>
          <w:lang w:val="fr-FR"/>
        </w:rPr>
        <w:t>;</w:t>
      </w:r>
    </w:p>
    <w:p w:rsidR="00E01D11" w:rsidRPr="00DB6C66" w:rsidRDefault="00DF641F" w:rsidP="009C72E7">
      <w:pPr>
        <w:pStyle w:val="ONUMFS"/>
        <w:numPr>
          <w:ilvl w:val="0"/>
          <w:numId w:val="32"/>
        </w:numPr>
        <w:ind w:left="567"/>
        <w:rPr>
          <w:lang w:val="fr-FR"/>
        </w:rPr>
      </w:pPr>
      <w:r w:rsidRPr="00DB6C66">
        <w:rPr>
          <w:lang w:val="fr-FR"/>
        </w:rPr>
        <w:t>Tchécoslovaquie</w:t>
      </w:r>
      <w:r w:rsidR="00DE095A" w:rsidRPr="00DB6C66">
        <w:rPr>
          <w:lang w:val="fr-FR"/>
        </w:rPr>
        <w:t xml:space="preserve"> (1991</w:t>
      </w:r>
      <w:r w:rsidR="008117E3">
        <w:rPr>
          <w:lang w:val="fr-FR"/>
        </w:rPr>
        <w:noBreakHyphen/>
      </w:r>
      <w:r w:rsidR="00DE095A" w:rsidRPr="00DB6C66">
        <w:rPr>
          <w:lang w:val="fr-FR"/>
        </w:rPr>
        <w:t xml:space="preserve">1993), remplacé par les </w:t>
      </w:r>
      <w:r w:rsidRPr="00DB6C66">
        <w:rPr>
          <w:lang w:val="fr-FR"/>
        </w:rPr>
        <w:t>États</w:t>
      </w:r>
      <w:r w:rsidR="00DE095A" w:rsidRPr="00DB6C66">
        <w:rPr>
          <w:lang w:val="fr-FR"/>
        </w:rPr>
        <w:t xml:space="preserve"> suivants</w:t>
      </w:r>
      <w:r w:rsidR="004E047D" w:rsidRPr="00DB6C66">
        <w:rPr>
          <w:lang w:val="fr-FR"/>
        </w:rPr>
        <w:t> </w:t>
      </w:r>
      <w:r w:rsidR="00DE095A" w:rsidRPr="00DB6C66">
        <w:rPr>
          <w:lang w:val="fr-FR"/>
        </w:rPr>
        <w:t>:</w:t>
      </w:r>
    </w:p>
    <w:p w:rsidR="00DB3999" w:rsidRPr="00DB6C66" w:rsidRDefault="00DE095A" w:rsidP="009C72E7">
      <w:pPr>
        <w:pStyle w:val="ONUMFS"/>
        <w:numPr>
          <w:ilvl w:val="2"/>
          <w:numId w:val="34"/>
        </w:numPr>
        <w:rPr>
          <w:lang w:val="fr-FR"/>
        </w:rPr>
      </w:pPr>
      <w:r w:rsidRPr="00DB6C66">
        <w:rPr>
          <w:lang w:val="fr-FR"/>
        </w:rPr>
        <w:t xml:space="preserve">République slovaque </w:t>
      </w:r>
      <w:r w:rsidR="0075654E" w:rsidRPr="00DB6C66">
        <w:rPr>
          <w:lang w:val="fr-FR"/>
        </w:rPr>
        <w:t>(</w:t>
      </w:r>
      <w:r w:rsidRPr="00DB6C66">
        <w:rPr>
          <w:lang w:val="fr-FR"/>
        </w:rPr>
        <w:t>depuis</w:t>
      </w:r>
      <w:r w:rsidR="004E047D" w:rsidRPr="00DB6C66">
        <w:rPr>
          <w:lang w:val="fr-FR"/>
        </w:rPr>
        <w:t> </w:t>
      </w:r>
      <w:r w:rsidR="0075654E" w:rsidRPr="00DB6C66">
        <w:rPr>
          <w:lang w:val="fr-FR"/>
        </w:rPr>
        <w:t>1993)</w:t>
      </w:r>
      <w:r w:rsidR="00955743" w:rsidRPr="00DB6C66">
        <w:rPr>
          <w:lang w:val="fr-FR"/>
        </w:rPr>
        <w:t>;</w:t>
      </w:r>
    </w:p>
    <w:p w:rsidR="00DB3999" w:rsidRPr="00DB6C66" w:rsidRDefault="00DE095A" w:rsidP="009C72E7">
      <w:pPr>
        <w:pStyle w:val="ONUMFS"/>
        <w:numPr>
          <w:ilvl w:val="2"/>
          <w:numId w:val="34"/>
        </w:numPr>
        <w:rPr>
          <w:lang w:val="fr-FR"/>
        </w:rPr>
      </w:pPr>
      <w:r w:rsidRPr="00DB6C66">
        <w:rPr>
          <w:lang w:val="fr-FR"/>
        </w:rPr>
        <w:t xml:space="preserve">République tchèque </w:t>
      </w:r>
      <w:r w:rsidR="0075654E" w:rsidRPr="00DB6C66">
        <w:rPr>
          <w:lang w:val="fr-FR"/>
        </w:rPr>
        <w:t>(</w:t>
      </w:r>
      <w:r w:rsidRPr="00DB6C66">
        <w:rPr>
          <w:lang w:val="fr-FR"/>
        </w:rPr>
        <w:t>depuis</w:t>
      </w:r>
      <w:r w:rsidR="004E047D" w:rsidRPr="00DB6C66">
        <w:rPr>
          <w:lang w:val="fr-FR"/>
        </w:rPr>
        <w:t> </w:t>
      </w:r>
      <w:r w:rsidR="0075654E" w:rsidRPr="00DB6C66">
        <w:rPr>
          <w:lang w:val="fr-FR"/>
        </w:rPr>
        <w:t>1993)</w:t>
      </w:r>
      <w:r w:rsidR="00955743" w:rsidRPr="00DB6C66">
        <w:rPr>
          <w:lang w:val="fr-FR"/>
        </w:rPr>
        <w:t>.</w:t>
      </w:r>
    </w:p>
    <w:p w:rsidR="00E01D11" w:rsidRPr="00DB6C66" w:rsidRDefault="009228DB" w:rsidP="006D3583">
      <w:pPr>
        <w:pStyle w:val="ONUMFS"/>
        <w:rPr>
          <w:lang w:val="fr-FR"/>
        </w:rPr>
      </w:pPr>
      <w:r w:rsidRPr="00DB6C66">
        <w:rPr>
          <w:lang w:val="fr-FR"/>
        </w:rPr>
        <w:t>On peut dire que la coopération dans le cadre du V4 est actuellement l</w:t>
      </w:r>
      <w:r w:rsidR="00280EEC">
        <w:rPr>
          <w:lang w:val="fr-FR"/>
        </w:rPr>
        <w:t>’</w:t>
      </w:r>
      <w:r w:rsidRPr="00DB6C66">
        <w:rPr>
          <w:lang w:val="fr-FR"/>
        </w:rPr>
        <w:t xml:space="preserve">initiative la plus clairement </w:t>
      </w:r>
      <w:r w:rsidR="00C47644" w:rsidRPr="00DB6C66">
        <w:rPr>
          <w:lang w:val="fr-FR"/>
        </w:rPr>
        <w:t>définie</w:t>
      </w:r>
      <w:r w:rsidRPr="00DB6C66">
        <w:rPr>
          <w:lang w:val="fr-FR"/>
        </w:rPr>
        <w:t xml:space="preserve"> en Europe centrale.</w:t>
      </w:r>
      <w:r w:rsidR="00C47644" w:rsidRPr="00DB6C66">
        <w:rPr>
          <w:lang w:val="fr-FR"/>
        </w:rPr>
        <w:t xml:space="preserve">  Cette coopération s</w:t>
      </w:r>
      <w:r w:rsidR="00280EEC">
        <w:rPr>
          <w:lang w:val="fr-FR"/>
        </w:rPr>
        <w:t>’</w:t>
      </w:r>
      <w:r w:rsidR="00C47644" w:rsidRPr="00DB6C66">
        <w:rPr>
          <w:lang w:val="fr-FR"/>
        </w:rPr>
        <w:t>appuie sur des réunions périodiques de ses représentants à différents niveaux – de</w:t>
      </w:r>
      <w:r w:rsidR="0036069B" w:rsidRPr="00DB6C66">
        <w:rPr>
          <w:lang w:val="fr-FR"/>
        </w:rPr>
        <w:t>s</w:t>
      </w:r>
      <w:r w:rsidR="00C47644" w:rsidRPr="00DB6C66">
        <w:rPr>
          <w:lang w:val="fr-FR"/>
        </w:rPr>
        <w:t xml:space="preserve"> sommets politiques de haut niveau à des consultations d</w:t>
      </w:r>
      <w:r w:rsidR="00280EEC">
        <w:rPr>
          <w:lang w:val="fr-FR"/>
        </w:rPr>
        <w:t>’</w:t>
      </w:r>
      <w:r w:rsidR="00C47644" w:rsidRPr="00DB6C66">
        <w:rPr>
          <w:lang w:val="fr-FR"/>
        </w:rPr>
        <w:t xml:space="preserve">experts et des réunions diplomatiques, </w:t>
      </w:r>
      <w:r w:rsidR="00AE56A2" w:rsidRPr="00DB6C66">
        <w:rPr>
          <w:lang w:val="fr-FR"/>
        </w:rPr>
        <w:t>en passant par les activités d</w:t>
      </w:r>
      <w:r w:rsidR="00280EEC">
        <w:rPr>
          <w:lang w:val="fr-FR"/>
        </w:rPr>
        <w:t>’</w:t>
      </w:r>
      <w:r w:rsidR="00AE56A2" w:rsidRPr="00DB6C66">
        <w:rPr>
          <w:lang w:val="fr-FR"/>
        </w:rPr>
        <w:t>associations non gouvernementales dans la région, de centres de réflexion et d</w:t>
      </w:r>
      <w:r w:rsidR="00280EEC">
        <w:rPr>
          <w:lang w:val="fr-FR"/>
        </w:rPr>
        <w:t>’</w:t>
      </w:r>
      <w:r w:rsidR="00AE56A2" w:rsidRPr="00DB6C66">
        <w:rPr>
          <w:lang w:val="fr-FR"/>
        </w:rPr>
        <w:t>organismes de recherche, d</w:t>
      </w:r>
      <w:r w:rsidR="00280EEC">
        <w:rPr>
          <w:lang w:val="fr-FR"/>
        </w:rPr>
        <w:t>’</w:t>
      </w:r>
      <w:r w:rsidR="00AE56A2" w:rsidRPr="00DB6C66">
        <w:rPr>
          <w:lang w:val="fr-FR"/>
        </w:rPr>
        <w:t>institutions culturelles ou de nombreux réseaux de personnes.</w:t>
      </w:r>
    </w:p>
    <w:p w:rsidR="00E01D11" w:rsidRPr="00DB6C66" w:rsidRDefault="00AE56A2" w:rsidP="006D3583">
      <w:pPr>
        <w:pStyle w:val="ONUMFS"/>
        <w:rPr>
          <w:lang w:val="fr-FR"/>
        </w:rPr>
      </w:pPr>
      <w:r w:rsidRPr="00DB6C66">
        <w:rPr>
          <w:lang w:val="fr-FR"/>
        </w:rPr>
        <w:t>Les sommets officiels des premiers ministres du V4, qui ont lieu chaque année, sont des exemples bien établis de</w:t>
      </w:r>
      <w:r w:rsidR="003A44C1" w:rsidRPr="00DB6C66">
        <w:rPr>
          <w:lang w:val="fr-FR"/>
        </w:rPr>
        <w:t xml:space="preserve"> ce</w:t>
      </w:r>
      <w:r w:rsidR="00D85839" w:rsidRPr="00DB6C66">
        <w:rPr>
          <w:lang w:val="fr-FR"/>
        </w:rPr>
        <w:t>s</w:t>
      </w:r>
      <w:r w:rsidRPr="00DB6C66">
        <w:rPr>
          <w:lang w:val="fr-FR"/>
        </w:rPr>
        <w:t xml:space="preserve"> réunions </w:t>
      </w:r>
      <w:r w:rsidR="00B57060" w:rsidRPr="00DB6C66">
        <w:rPr>
          <w:lang w:val="fr-FR"/>
        </w:rPr>
        <w:t>périodiques</w:t>
      </w:r>
      <w:r w:rsidRPr="00DB6C66">
        <w:rPr>
          <w:lang w:val="fr-FR"/>
        </w:rPr>
        <w:t xml:space="preserve">. </w:t>
      </w:r>
      <w:r w:rsidR="001C3584" w:rsidRPr="00DB6C66">
        <w:rPr>
          <w:lang w:val="fr-FR"/>
        </w:rPr>
        <w:t xml:space="preserve"> </w:t>
      </w:r>
      <w:r w:rsidR="00B32458" w:rsidRPr="00DB6C66">
        <w:rPr>
          <w:lang w:val="fr-FR"/>
        </w:rPr>
        <w:t xml:space="preserve">Entre ces sommets, </w:t>
      </w:r>
      <w:r w:rsidR="00B57060" w:rsidRPr="00DB6C66">
        <w:rPr>
          <w:lang w:val="fr-FR"/>
        </w:rPr>
        <w:t>la présidence est assurée par l</w:t>
      </w:r>
      <w:r w:rsidR="00280EEC">
        <w:rPr>
          <w:lang w:val="fr-FR"/>
        </w:rPr>
        <w:t>’</w:t>
      </w:r>
      <w:r w:rsidR="00B57060" w:rsidRPr="00DB6C66">
        <w:rPr>
          <w:lang w:val="fr-FR"/>
        </w:rPr>
        <w:t xml:space="preserve">un des pays du V4, qui assume </w:t>
      </w:r>
      <w:r w:rsidR="00B32458" w:rsidRPr="00DB6C66">
        <w:rPr>
          <w:lang w:val="fr-FR"/>
        </w:rPr>
        <w:t xml:space="preserve">notamment </w:t>
      </w:r>
      <w:r w:rsidR="00B57060" w:rsidRPr="00DB6C66">
        <w:rPr>
          <w:lang w:val="fr-FR"/>
        </w:rPr>
        <w:t>la responsabilité d</w:t>
      </w:r>
      <w:r w:rsidR="00280EEC">
        <w:rPr>
          <w:lang w:val="fr-FR"/>
        </w:rPr>
        <w:t>’</w:t>
      </w:r>
      <w:r w:rsidR="00B57060" w:rsidRPr="00DB6C66">
        <w:rPr>
          <w:lang w:val="fr-FR"/>
        </w:rPr>
        <w:t xml:space="preserve">établir </w:t>
      </w:r>
      <w:r w:rsidR="00B32458" w:rsidRPr="00DB6C66">
        <w:rPr>
          <w:lang w:val="fr-FR"/>
        </w:rPr>
        <w:t>un plan d</w:t>
      </w:r>
      <w:r w:rsidR="00280EEC">
        <w:rPr>
          <w:lang w:val="fr-FR"/>
        </w:rPr>
        <w:t>’</w:t>
      </w:r>
      <w:r w:rsidR="00B32458" w:rsidRPr="00DB6C66">
        <w:rPr>
          <w:lang w:val="fr-FR"/>
        </w:rPr>
        <w:t xml:space="preserve">action </w:t>
      </w:r>
      <w:r w:rsidR="00B57060" w:rsidRPr="00DB6C66">
        <w:rPr>
          <w:lang w:val="fr-FR"/>
        </w:rPr>
        <w:t xml:space="preserve">pour </w:t>
      </w:r>
      <w:r w:rsidR="00215CED" w:rsidRPr="00DB6C66">
        <w:rPr>
          <w:lang w:val="fr-FR"/>
        </w:rPr>
        <w:t>un an</w:t>
      </w:r>
      <w:r w:rsidR="00B32458" w:rsidRPr="00DB6C66">
        <w:rPr>
          <w:lang w:val="fr-FR"/>
        </w:rPr>
        <w:t xml:space="preserve">.  </w:t>
      </w:r>
      <w:r w:rsidR="00215CED" w:rsidRPr="00DB6C66">
        <w:rPr>
          <w:lang w:val="fr-FR"/>
        </w:rPr>
        <w:t>En outre, une part importante des activités</w:t>
      </w:r>
      <w:r w:rsidR="00937673" w:rsidRPr="00DB6C66">
        <w:rPr>
          <w:lang w:val="fr-FR"/>
        </w:rPr>
        <w:t xml:space="preserve"> inscrites dans le cadre du V4 est déterminée par la coopération entre les</w:t>
      </w:r>
      <w:r w:rsidR="00B57060" w:rsidRPr="00DB6C66">
        <w:rPr>
          <w:lang w:val="fr-FR"/>
        </w:rPr>
        <w:t xml:space="preserve"> différents</w:t>
      </w:r>
      <w:r w:rsidR="00937673" w:rsidRPr="00DB6C66">
        <w:rPr>
          <w:lang w:val="fr-FR"/>
        </w:rPr>
        <w:t xml:space="preserve"> ministères </w:t>
      </w:r>
      <w:r w:rsidR="00B57060" w:rsidRPr="00DB6C66">
        <w:rPr>
          <w:lang w:val="fr-FR"/>
        </w:rPr>
        <w:t xml:space="preserve">des gouvernements </w:t>
      </w:r>
      <w:r w:rsidR="00937673" w:rsidRPr="00DB6C66">
        <w:rPr>
          <w:lang w:val="fr-FR"/>
        </w:rPr>
        <w:t xml:space="preserve">du V4, au niveau des ministres ou </w:t>
      </w:r>
      <w:r w:rsidR="00B57060" w:rsidRPr="00DB6C66">
        <w:rPr>
          <w:lang w:val="fr-FR"/>
        </w:rPr>
        <w:t xml:space="preserve">via des </w:t>
      </w:r>
      <w:r w:rsidR="00937673" w:rsidRPr="00DB6C66">
        <w:rPr>
          <w:lang w:val="fr-FR"/>
        </w:rPr>
        <w:t>équipes conjointes d</w:t>
      </w:r>
      <w:r w:rsidR="00280EEC">
        <w:rPr>
          <w:lang w:val="fr-FR"/>
        </w:rPr>
        <w:t>’</w:t>
      </w:r>
      <w:r w:rsidR="00937673" w:rsidRPr="00DB6C66">
        <w:rPr>
          <w:lang w:val="fr-FR"/>
        </w:rPr>
        <w:t xml:space="preserve">experts.  </w:t>
      </w:r>
      <w:r w:rsidR="00D721A7" w:rsidRPr="00DB6C66">
        <w:rPr>
          <w:lang w:val="fr-FR"/>
        </w:rPr>
        <w:t xml:space="preserve">Un certain nombre de projets conjoints sont actuellement mis en </w:t>
      </w:r>
      <w:r w:rsidR="00DF641F" w:rsidRPr="00DB6C66">
        <w:rPr>
          <w:lang w:val="fr-FR"/>
        </w:rPr>
        <w:t>œuvre</w:t>
      </w:r>
      <w:r w:rsidR="00D721A7" w:rsidRPr="00DB6C66">
        <w:rPr>
          <w:lang w:val="fr-FR"/>
        </w:rPr>
        <w:t>, plus particulièrement dans les domaines de la culture, de l</w:t>
      </w:r>
      <w:r w:rsidR="00280EEC">
        <w:rPr>
          <w:lang w:val="fr-FR"/>
        </w:rPr>
        <w:t>’</w:t>
      </w:r>
      <w:r w:rsidR="00D721A7" w:rsidRPr="00DB6C66">
        <w:rPr>
          <w:lang w:val="fr-FR"/>
        </w:rPr>
        <w:t>environnement, de la sécurité intérieure, de la défense, des sciences et de l</w:t>
      </w:r>
      <w:r w:rsidR="00280EEC">
        <w:rPr>
          <w:lang w:val="fr-FR"/>
        </w:rPr>
        <w:t>’</w:t>
      </w:r>
      <w:r w:rsidR="00DF641F" w:rsidRPr="00DB6C66">
        <w:rPr>
          <w:lang w:val="fr-FR"/>
        </w:rPr>
        <w:t>éducation</w:t>
      </w:r>
      <w:r w:rsidR="00D721A7" w:rsidRPr="00DB6C66">
        <w:rPr>
          <w:lang w:val="fr-FR"/>
        </w:rPr>
        <w:t>.  Cela étant, la coopération dans les domaines de la justice, du transport, du tourisme, de l</w:t>
      </w:r>
      <w:r w:rsidR="00280EEC">
        <w:rPr>
          <w:lang w:val="fr-FR"/>
        </w:rPr>
        <w:t>’</w:t>
      </w:r>
      <w:r w:rsidR="00D721A7" w:rsidRPr="00DB6C66">
        <w:rPr>
          <w:lang w:val="fr-FR"/>
        </w:rPr>
        <w:t>énergie ou des technologies de l</w:t>
      </w:r>
      <w:r w:rsidR="00280EEC">
        <w:rPr>
          <w:lang w:val="fr-FR"/>
        </w:rPr>
        <w:t>’</w:t>
      </w:r>
      <w:r w:rsidR="00D721A7" w:rsidRPr="00DB6C66">
        <w:rPr>
          <w:lang w:val="fr-FR"/>
        </w:rPr>
        <w:t xml:space="preserve">information </w:t>
      </w:r>
      <w:r w:rsidR="00BB4E88" w:rsidRPr="00DB6C66">
        <w:rPr>
          <w:lang w:val="fr-FR"/>
        </w:rPr>
        <w:t xml:space="preserve">gagne </w:t>
      </w:r>
      <w:r w:rsidR="00D721A7" w:rsidRPr="00DB6C66">
        <w:rPr>
          <w:lang w:val="fr-FR"/>
        </w:rPr>
        <w:t>également</w:t>
      </w:r>
      <w:r w:rsidR="00BB4E88" w:rsidRPr="00DB6C66">
        <w:rPr>
          <w:lang w:val="fr-FR"/>
        </w:rPr>
        <w:t xml:space="preserve"> du terrain</w:t>
      </w:r>
      <w:r w:rsidR="00D721A7" w:rsidRPr="00DB6C66">
        <w:rPr>
          <w:lang w:val="fr-FR"/>
        </w:rPr>
        <w:t>.</w:t>
      </w:r>
    </w:p>
    <w:p w:rsidR="00E01D11" w:rsidRPr="00DB6C66" w:rsidRDefault="00BB4E88" w:rsidP="006D3583">
      <w:pPr>
        <w:pStyle w:val="ONUMFS"/>
        <w:rPr>
          <w:lang w:val="fr-FR"/>
        </w:rPr>
      </w:pPr>
      <w:r w:rsidRPr="00DB6C66">
        <w:rPr>
          <w:lang w:val="fr-FR"/>
        </w:rPr>
        <w:t xml:space="preserve">Cette coopération régionale a en outre été renforcée et </w:t>
      </w:r>
      <w:r w:rsidR="00DF641F" w:rsidRPr="00DB6C66">
        <w:rPr>
          <w:lang w:val="fr-FR"/>
        </w:rPr>
        <w:t>institutionnalisée</w:t>
      </w:r>
      <w:r w:rsidRPr="00DB6C66">
        <w:rPr>
          <w:lang w:val="fr-FR"/>
        </w:rPr>
        <w:t xml:space="preserve"> par les pays du V4 en </w:t>
      </w:r>
      <w:r w:rsidR="00E01D11" w:rsidRPr="00DB6C66">
        <w:rPr>
          <w:lang w:val="fr-FR"/>
        </w:rPr>
        <w:t>juin 20</w:t>
      </w:r>
      <w:r w:rsidRPr="00DB6C66">
        <w:rPr>
          <w:lang w:val="fr-FR"/>
        </w:rPr>
        <w:t xml:space="preserve">00 par la création </w:t>
      </w:r>
      <w:r w:rsidR="00923607" w:rsidRPr="00DB6C66">
        <w:rPr>
          <w:lang w:val="fr-FR"/>
        </w:rPr>
        <w:t>du</w:t>
      </w:r>
      <w:r w:rsidRPr="00DB6C66">
        <w:rPr>
          <w:lang w:val="fr-FR"/>
        </w:rPr>
        <w:t xml:space="preserve"> Fonds international de </w:t>
      </w:r>
      <w:proofErr w:type="spellStart"/>
      <w:r w:rsidRPr="00DB6C66">
        <w:rPr>
          <w:lang w:val="fr-FR"/>
        </w:rPr>
        <w:t>Visegrad</w:t>
      </w:r>
      <w:proofErr w:type="spellEnd"/>
      <w:r w:rsidRPr="00DB6C66">
        <w:rPr>
          <w:lang w:val="fr-FR"/>
        </w:rPr>
        <w:t>, dont le siège est situé à Bratislava.</w:t>
      </w:r>
      <w:r w:rsidR="001C3584" w:rsidRPr="00DB6C66">
        <w:rPr>
          <w:lang w:val="fr-FR"/>
        </w:rPr>
        <w:t xml:space="preserve"> </w:t>
      </w:r>
      <w:r w:rsidRPr="00DB6C66">
        <w:rPr>
          <w:lang w:val="fr-FR"/>
        </w:rPr>
        <w:t xml:space="preserve"> </w:t>
      </w:r>
      <w:r w:rsidR="00923607" w:rsidRPr="00DB6C66">
        <w:rPr>
          <w:lang w:val="fr-FR"/>
        </w:rPr>
        <w:t>L</w:t>
      </w:r>
      <w:r w:rsidR="00280EEC">
        <w:rPr>
          <w:lang w:val="fr-FR"/>
        </w:rPr>
        <w:t>’</w:t>
      </w:r>
      <w:r w:rsidR="00923607" w:rsidRPr="00DB6C66">
        <w:rPr>
          <w:lang w:val="fr-FR"/>
        </w:rPr>
        <w:t>objectif de cette organisation internationale est de faciliter et de promouvoir le développement d</w:t>
      </w:r>
      <w:r w:rsidR="00280EEC">
        <w:rPr>
          <w:lang w:val="fr-FR"/>
        </w:rPr>
        <w:t>’</w:t>
      </w:r>
      <w:r w:rsidR="00923607" w:rsidRPr="00DB6C66">
        <w:rPr>
          <w:lang w:val="fr-FR"/>
        </w:rPr>
        <w:t xml:space="preserve">une coopération plus étroite entre les citoyens et les institutions dans la région et entre les pays du V4 et les autres pays, en particulier les pays </w:t>
      </w:r>
      <w:r w:rsidR="005003EE" w:rsidRPr="00DB6C66">
        <w:rPr>
          <w:lang w:val="fr-FR"/>
        </w:rPr>
        <w:t xml:space="preserve">des Balkans occidentaux et </w:t>
      </w:r>
      <w:r w:rsidR="00923607" w:rsidRPr="00DB6C66">
        <w:rPr>
          <w:lang w:val="fr-FR"/>
        </w:rPr>
        <w:t xml:space="preserve">du Partenariat oriental.  </w:t>
      </w:r>
      <w:r w:rsidR="001C3584" w:rsidRPr="00DB6C66">
        <w:rPr>
          <w:lang w:val="fr-FR"/>
        </w:rPr>
        <w:t>Le Fonds s</w:t>
      </w:r>
      <w:r w:rsidR="00280EEC">
        <w:rPr>
          <w:lang w:val="fr-FR"/>
        </w:rPr>
        <w:t>’</w:t>
      </w:r>
      <w:r w:rsidR="001C3584" w:rsidRPr="00DB6C66">
        <w:rPr>
          <w:lang w:val="fr-FR"/>
        </w:rPr>
        <w:t>efforce d</w:t>
      </w:r>
      <w:r w:rsidR="00280EEC">
        <w:rPr>
          <w:lang w:val="fr-FR"/>
        </w:rPr>
        <w:t>’</w:t>
      </w:r>
      <w:r w:rsidR="001C3584" w:rsidRPr="00DB6C66">
        <w:rPr>
          <w:lang w:val="fr-FR"/>
        </w:rPr>
        <w:t>atteindre cet objectif en accordant un soutien à des projets communs d</w:t>
      </w:r>
      <w:r w:rsidR="00280EEC">
        <w:rPr>
          <w:lang w:val="fr-FR"/>
        </w:rPr>
        <w:t>’</w:t>
      </w:r>
      <w:r w:rsidR="001C3584" w:rsidRPr="00DB6C66">
        <w:rPr>
          <w:lang w:val="fr-FR"/>
        </w:rPr>
        <w:t xml:space="preserve">ordre culturel, scientifique et éducatif, des échanges </w:t>
      </w:r>
      <w:r w:rsidR="00250819" w:rsidRPr="00DB6C66">
        <w:rPr>
          <w:lang w:val="fr-FR"/>
        </w:rPr>
        <w:t>de</w:t>
      </w:r>
      <w:r w:rsidR="001C3584" w:rsidRPr="00DB6C66">
        <w:rPr>
          <w:lang w:val="fr-FR"/>
        </w:rPr>
        <w:t xml:space="preserve"> jeunes, des projets transfrontaliers et des initiatives de promotion du tourisme, et en instaurant des programmes de mobilité (bourses d</w:t>
      </w:r>
      <w:r w:rsidR="00280EEC">
        <w:rPr>
          <w:lang w:val="fr-FR"/>
        </w:rPr>
        <w:t>’</w:t>
      </w:r>
      <w:r w:rsidR="001C3584" w:rsidRPr="00DB6C66">
        <w:rPr>
          <w:lang w:val="fr-FR"/>
        </w:rPr>
        <w:t>études, résidences).</w:t>
      </w:r>
    </w:p>
    <w:p w:rsidR="00E01D11" w:rsidRPr="00DB6C66" w:rsidRDefault="00AD4803" w:rsidP="006D3583">
      <w:pPr>
        <w:pStyle w:val="ONUMFS"/>
        <w:rPr>
          <w:lang w:val="fr-FR"/>
        </w:rPr>
      </w:pPr>
      <w:r w:rsidRPr="00DB6C66">
        <w:rPr>
          <w:lang w:val="fr-FR"/>
        </w:rPr>
        <w:t xml:space="preserve">Le groupe de </w:t>
      </w:r>
      <w:proofErr w:type="spellStart"/>
      <w:r w:rsidRPr="00DB6C66">
        <w:rPr>
          <w:lang w:val="fr-FR"/>
        </w:rPr>
        <w:t>Visegrad</w:t>
      </w:r>
      <w:proofErr w:type="spellEnd"/>
      <w:r w:rsidRPr="00DB6C66">
        <w:rPr>
          <w:lang w:val="fr-FR"/>
        </w:rPr>
        <w:t xml:space="preserve"> a également une dimension propre en matière de propriété intellectuelle.  Les chefs des offices de la propriété industrielle du V4 se réunissent tous les ans depuis 1992.  Ces réunions permettent d</w:t>
      </w:r>
      <w:r w:rsidR="00280EEC">
        <w:rPr>
          <w:lang w:val="fr-FR"/>
        </w:rPr>
        <w:t>’</w:t>
      </w:r>
      <w:r w:rsidRPr="00DB6C66">
        <w:rPr>
          <w:lang w:val="fr-FR"/>
        </w:rPr>
        <w:t>échanger des vues sur les questions d</w:t>
      </w:r>
      <w:r w:rsidR="00280EEC">
        <w:rPr>
          <w:lang w:val="fr-FR"/>
        </w:rPr>
        <w:t>’</w:t>
      </w:r>
      <w:r w:rsidRPr="00DB6C66">
        <w:rPr>
          <w:lang w:val="fr-FR"/>
        </w:rPr>
        <w:t>actualité dans le domaine de la propriété intellectuelle et d</w:t>
      </w:r>
      <w:r w:rsidR="00280EEC">
        <w:rPr>
          <w:lang w:val="fr-FR"/>
        </w:rPr>
        <w:t>’</w:t>
      </w:r>
      <w:r w:rsidRPr="00DB6C66">
        <w:rPr>
          <w:lang w:val="fr-FR"/>
        </w:rPr>
        <w:t xml:space="preserve">évaluer les faits nouveaux sur le plan régional, européen et mondial. </w:t>
      </w:r>
      <w:r w:rsidR="004C04AF" w:rsidRPr="00DB6C66">
        <w:rPr>
          <w:lang w:val="fr-FR"/>
        </w:rPr>
        <w:t xml:space="preserve"> De telles discussions ont souvent donné lieu à des positions communes, qui ont été présentées </w:t>
      </w:r>
      <w:r w:rsidR="00CB52E8" w:rsidRPr="00DB6C66">
        <w:rPr>
          <w:lang w:val="fr-FR"/>
        </w:rPr>
        <w:t>lors de forums mondiaux</w:t>
      </w:r>
      <w:r w:rsidR="004C04AF" w:rsidRPr="00DB6C66">
        <w:rPr>
          <w:lang w:val="fr-FR"/>
        </w:rPr>
        <w:t xml:space="preserve"> et europ</w:t>
      </w:r>
      <w:r w:rsidR="00CB52E8" w:rsidRPr="00DB6C66">
        <w:rPr>
          <w:lang w:val="fr-FR"/>
        </w:rPr>
        <w:t>éen</w:t>
      </w:r>
      <w:r w:rsidR="004C04AF" w:rsidRPr="00DB6C66">
        <w:rPr>
          <w:lang w:val="fr-FR"/>
        </w:rPr>
        <w:t xml:space="preserve">s </w:t>
      </w:r>
      <w:r w:rsidR="00CB52E8" w:rsidRPr="00DB6C66">
        <w:rPr>
          <w:lang w:val="fr-FR"/>
        </w:rPr>
        <w:t xml:space="preserve">dédiés à </w:t>
      </w:r>
      <w:r w:rsidR="004C04AF" w:rsidRPr="00DB6C66">
        <w:rPr>
          <w:lang w:val="fr-FR"/>
        </w:rPr>
        <w:t>des questions d</w:t>
      </w:r>
      <w:r w:rsidR="00280EEC">
        <w:rPr>
          <w:lang w:val="fr-FR"/>
        </w:rPr>
        <w:t>’</w:t>
      </w:r>
      <w:r w:rsidR="004C04AF" w:rsidRPr="00DB6C66">
        <w:rPr>
          <w:lang w:val="fr-FR"/>
        </w:rPr>
        <w:t xml:space="preserve">importance stratégique. </w:t>
      </w:r>
      <w:r w:rsidR="00226B23" w:rsidRPr="00DB6C66">
        <w:rPr>
          <w:lang w:val="fr-FR"/>
        </w:rPr>
        <w:t xml:space="preserve"> La coopération des offices nationaux de la propriété intellectuelle </w:t>
      </w:r>
      <w:r w:rsidR="00CA0F4B" w:rsidRPr="00DB6C66">
        <w:rPr>
          <w:lang w:val="fr-FR"/>
        </w:rPr>
        <w:t xml:space="preserve">selon le </w:t>
      </w:r>
      <w:r w:rsidR="00226B23" w:rsidRPr="00DB6C66">
        <w:rPr>
          <w:lang w:val="fr-FR"/>
        </w:rPr>
        <w:t>V4 a également été étendue à l</w:t>
      </w:r>
      <w:r w:rsidR="00280EEC">
        <w:rPr>
          <w:lang w:val="fr-FR"/>
        </w:rPr>
        <w:t>’</w:t>
      </w:r>
      <w:r w:rsidR="00226B23" w:rsidRPr="00DB6C66">
        <w:rPr>
          <w:lang w:val="fr-FR"/>
        </w:rPr>
        <w:t xml:space="preserve">Autriche, la Croatie, la Roumanie et la Slovénie </w:t>
      </w:r>
      <w:r w:rsidR="00955F5B" w:rsidRPr="00DB6C66">
        <w:rPr>
          <w:lang w:val="fr-FR"/>
        </w:rPr>
        <w:t>dans le cadre de</w:t>
      </w:r>
      <w:r w:rsidR="00226B23" w:rsidRPr="00DB6C66">
        <w:rPr>
          <w:lang w:val="fr-FR"/>
        </w:rPr>
        <w:t xml:space="preserve"> réunions </w:t>
      </w:r>
      <w:r w:rsidR="00955F5B" w:rsidRPr="00DB6C66">
        <w:rPr>
          <w:lang w:val="fr-FR"/>
        </w:rPr>
        <w:t xml:space="preserve">regroupant les pays du V4 et leurs </w:t>
      </w:r>
      <w:r w:rsidR="00226B23" w:rsidRPr="00DB6C66">
        <w:rPr>
          <w:lang w:val="fr-FR"/>
        </w:rPr>
        <w:t>ami</w:t>
      </w:r>
      <w:r w:rsidR="00E27EC3" w:rsidRPr="00DB6C66">
        <w:rPr>
          <w:lang w:val="fr-FR"/>
        </w:rPr>
        <w:t>s</w:t>
      </w:r>
      <w:r w:rsidR="00226B23" w:rsidRPr="00DB6C66">
        <w:rPr>
          <w:lang w:val="fr-FR"/>
        </w:rPr>
        <w:t>, organisées conjointement aux réunions annuelles des chefs des offices de propriété intellectuelle du V4.</w:t>
      </w:r>
    </w:p>
    <w:p w:rsidR="00E01D11" w:rsidRPr="00DB6C66" w:rsidRDefault="009063BE" w:rsidP="006D3583">
      <w:pPr>
        <w:pStyle w:val="ONUMFS"/>
        <w:rPr>
          <w:lang w:val="fr-FR"/>
        </w:rPr>
      </w:pPr>
      <w:r w:rsidRPr="00DB6C66">
        <w:rPr>
          <w:lang w:val="fr-FR"/>
        </w:rPr>
        <w:t xml:space="preserve">La coopération entre les pays du V4 dans le domaine de la propriété intellectuelle a petit à petit franchi les frontières régionales et </w:t>
      </w:r>
      <w:r w:rsidR="00CA0F4B" w:rsidRPr="00DB6C66">
        <w:rPr>
          <w:lang w:val="fr-FR"/>
        </w:rPr>
        <w:t xml:space="preserve">elle </w:t>
      </w:r>
      <w:r w:rsidRPr="00DB6C66">
        <w:rPr>
          <w:lang w:val="fr-FR"/>
        </w:rPr>
        <w:t xml:space="preserve">a acquis une dimension de plus en plus internationale. </w:t>
      </w:r>
      <w:r w:rsidR="004778D2" w:rsidRPr="00DB6C66">
        <w:rPr>
          <w:lang w:val="fr-FR"/>
        </w:rPr>
        <w:t xml:space="preserve"> Cette tendance </w:t>
      </w:r>
      <w:r w:rsidR="00CA0F4B" w:rsidRPr="00DB6C66">
        <w:rPr>
          <w:lang w:val="fr-FR"/>
        </w:rPr>
        <w:t>s</w:t>
      </w:r>
      <w:r w:rsidR="00280EEC">
        <w:rPr>
          <w:lang w:val="fr-FR"/>
        </w:rPr>
        <w:t>’</w:t>
      </w:r>
      <w:r w:rsidR="004778D2" w:rsidRPr="00DB6C66">
        <w:rPr>
          <w:lang w:val="fr-FR"/>
        </w:rPr>
        <w:t xml:space="preserve">est notamment illustrée par une série de manifestations intitulées “Forum du groupe de </w:t>
      </w:r>
      <w:proofErr w:type="spellStart"/>
      <w:r w:rsidR="004778D2" w:rsidRPr="00DB6C66">
        <w:rPr>
          <w:lang w:val="fr-FR"/>
        </w:rPr>
        <w:t>Visegrad</w:t>
      </w:r>
      <w:proofErr w:type="spellEnd"/>
      <w:r w:rsidR="004778D2" w:rsidRPr="00DB6C66">
        <w:rPr>
          <w:lang w:val="fr-FR"/>
        </w:rPr>
        <w:t xml:space="preserve"> et de la Chine sur la</w:t>
      </w:r>
      <w:r w:rsidR="002D62D8" w:rsidRPr="00DB6C66">
        <w:rPr>
          <w:lang w:val="fr-FR"/>
        </w:rPr>
        <w:t xml:space="preserve"> propriété intellectuelle et les entreprises</w:t>
      </w:r>
      <w:r w:rsidR="004778D2" w:rsidRPr="00DB6C66">
        <w:rPr>
          <w:lang w:val="fr-FR"/>
        </w:rPr>
        <w:t>”, organisées conjointement par l</w:t>
      </w:r>
      <w:r w:rsidR="00280EEC">
        <w:rPr>
          <w:lang w:val="fr-FR"/>
        </w:rPr>
        <w:t>’</w:t>
      </w:r>
      <w:r w:rsidR="005700F5" w:rsidRPr="00DB6C66">
        <w:rPr>
          <w:lang w:val="fr-FR"/>
        </w:rPr>
        <w:t>O</w:t>
      </w:r>
      <w:r w:rsidR="004778D2" w:rsidRPr="00DB6C66">
        <w:rPr>
          <w:lang w:val="fr-FR"/>
        </w:rPr>
        <w:t xml:space="preserve">ffice national de propriété intellectuelle de la République populaire de Chine </w:t>
      </w:r>
      <w:r w:rsidR="00CA0F4B" w:rsidRPr="00DB6C66">
        <w:rPr>
          <w:lang w:val="fr-FR"/>
        </w:rPr>
        <w:t xml:space="preserve">(SIPO) </w:t>
      </w:r>
      <w:r w:rsidR="004778D2" w:rsidRPr="00DB6C66">
        <w:rPr>
          <w:lang w:val="fr-FR"/>
        </w:rPr>
        <w:t>et l</w:t>
      </w:r>
      <w:r w:rsidR="00280EEC">
        <w:rPr>
          <w:lang w:val="fr-FR"/>
        </w:rPr>
        <w:t>’</w:t>
      </w:r>
      <w:r w:rsidR="004778D2" w:rsidRPr="00DB6C66">
        <w:rPr>
          <w:lang w:val="fr-FR"/>
        </w:rPr>
        <w:t>Office des brevets de la République de Pologne</w:t>
      </w:r>
      <w:r w:rsidR="005700F5" w:rsidRPr="00DB6C66">
        <w:rPr>
          <w:lang w:val="fr-FR"/>
        </w:rPr>
        <w:t xml:space="preserve">, en </w:t>
      </w:r>
      <w:r w:rsidR="005700F5" w:rsidRPr="00DB6C66">
        <w:rPr>
          <w:lang w:val="fr-FR"/>
        </w:rPr>
        <w:lastRenderedPageBreak/>
        <w:t xml:space="preserve">partenariat avec les offices de propriété intellectuelle des pays du V4. </w:t>
      </w:r>
      <w:r w:rsidR="00EB27C8" w:rsidRPr="00DB6C66">
        <w:rPr>
          <w:lang w:val="fr-FR"/>
        </w:rPr>
        <w:t xml:space="preserve"> Ce forum s</w:t>
      </w:r>
      <w:r w:rsidR="00280EEC">
        <w:rPr>
          <w:lang w:val="fr-FR"/>
        </w:rPr>
        <w:t>’</w:t>
      </w:r>
      <w:r w:rsidR="00EB27C8" w:rsidRPr="00DB6C66">
        <w:rPr>
          <w:lang w:val="fr-FR"/>
        </w:rPr>
        <w:t>est tenu à Varsovie (en 2012 et 2014) et à Beijing (en 2013 et 2015), avec la participation d</w:t>
      </w:r>
      <w:r w:rsidR="00280EEC">
        <w:rPr>
          <w:lang w:val="fr-FR"/>
        </w:rPr>
        <w:t>’</w:t>
      </w:r>
      <w:r w:rsidR="00EB27C8" w:rsidRPr="00DB6C66">
        <w:rPr>
          <w:lang w:val="fr-FR"/>
        </w:rPr>
        <w:t>entrepreneurs, d</w:t>
      </w:r>
      <w:r w:rsidR="00280EEC">
        <w:rPr>
          <w:lang w:val="fr-FR"/>
        </w:rPr>
        <w:t>’</w:t>
      </w:r>
      <w:r w:rsidR="00EB27C8" w:rsidRPr="00DB6C66">
        <w:rPr>
          <w:lang w:val="fr-FR"/>
        </w:rPr>
        <w:t>institutions d</w:t>
      </w:r>
      <w:r w:rsidR="00280EEC">
        <w:rPr>
          <w:lang w:val="fr-FR"/>
        </w:rPr>
        <w:t>’</w:t>
      </w:r>
      <w:r w:rsidR="00EB27C8" w:rsidRPr="00DB6C66">
        <w:rPr>
          <w:lang w:val="fr-FR"/>
        </w:rPr>
        <w:t>aide aux entreprises, et des représentants des ambassades et des offices de propriété intellectuelle de la Chine et des pays du V</w:t>
      </w:r>
      <w:r w:rsidR="00CA0F4B" w:rsidRPr="00DB6C66">
        <w:rPr>
          <w:lang w:val="fr-FR"/>
        </w:rPr>
        <w:t>4.  L</w:t>
      </w:r>
      <w:r w:rsidR="00280EEC">
        <w:rPr>
          <w:lang w:val="fr-FR"/>
        </w:rPr>
        <w:t>’</w:t>
      </w:r>
      <w:r w:rsidR="00CA0F4B" w:rsidRPr="00DB6C66">
        <w:rPr>
          <w:lang w:val="fr-FR"/>
        </w:rPr>
        <w:t xml:space="preserve">objectif principal de cette initiative </w:t>
      </w:r>
      <w:r w:rsidR="00EB27C8" w:rsidRPr="00DB6C66">
        <w:rPr>
          <w:lang w:val="fr-FR"/>
        </w:rPr>
        <w:t xml:space="preserve">était de contribuer de </w:t>
      </w:r>
      <w:r w:rsidR="00111AE3" w:rsidRPr="00DB6C66">
        <w:rPr>
          <w:lang w:val="fr-FR"/>
        </w:rPr>
        <w:t xml:space="preserve">façon notable </w:t>
      </w:r>
      <w:r w:rsidR="00EB27C8" w:rsidRPr="00DB6C66">
        <w:rPr>
          <w:lang w:val="fr-FR"/>
        </w:rPr>
        <w:t>à l</w:t>
      </w:r>
      <w:r w:rsidR="00280EEC">
        <w:rPr>
          <w:lang w:val="fr-FR"/>
        </w:rPr>
        <w:t>’</w:t>
      </w:r>
      <w:r w:rsidR="00EB27C8" w:rsidRPr="00DB6C66">
        <w:rPr>
          <w:lang w:val="fr-FR"/>
        </w:rPr>
        <w:t>augmentation du volume des investissements et de la coopération entre les entreprises chinoises et les entreprises des pays du V4, et d</w:t>
      </w:r>
      <w:r w:rsidR="00280EEC">
        <w:rPr>
          <w:lang w:val="fr-FR"/>
        </w:rPr>
        <w:t>’</w:t>
      </w:r>
      <w:r w:rsidR="00EB27C8" w:rsidRPr="00DB6C66">
        <w:rPr>
          <w:lang w:val="fr-FR"/>
        </w:rPr>
        <w:t>accroître leurs activités relatives aux droits de propriété intellectuelle.</w:t>
      </w:r>
    </w:p>
    <w:p w:rsidR="00B0144F" w:rsidRPr="00DB6C66" w:rsidRDefault="00621AF8" w:rsidP="006D3583">
      <w:pPr>
        <w:pStyle w:val="ONUMFS"/>
        <w:rPr>
          <w:lang w:val="fr-FR"/>
        </w:rPr>
      </w:pPr>
      <w:r w:rsidRPr="00DB6C66">
        <w:rPr>
          <w:lang w:val="fr-FR"/>
        </w:rPr>
        <w:t>Le Mémorandum de coopération entre les offices nationaux de la propriété industrielle des pays du V4 et l</w:t>
      </w:r>
      <w:r w:rsidR="00280EEC">
        <w:rPr>
          <w:lang w:val="fr-FR"/>
        </w:rPr>
        <w:t>’</w:t>
      </w:r>
      <w:r w:rsidRPr="00DB6C66">
        <w:rPr>
          <w:lang w:val="fr-FR"/>
        </w:rPr>
        <w:t>Office des brevets du Japon sur la coopération dans le domaine de la propriété intellectuelle est également un bon exemple.</w:t>
      </w:r>
      <w:r w:rsidR="002D62D8" w:rsidRPr="00DB6C66">
        <w:rPr>
          <w:lang w:val="fr-FR"/>
        </w:rPr>
        <w:t xml:space="preserve">  Ce mémorandum, qui a été signé le 23 septembre </w:t>
      </w:r>
      <w:r w:rsidRPr="00DB6C66">
        <w:rPr>
          <w:lang w:val="fr-FR"/>
        </w:rPr>
        <w:t xml:space="preserve">2014, envisage, entre autres, </w:t>
      </w:r>
      <w:r w:rsidR="00DD318A" w:rsidRPr="00DB6C66">
        <w:rPr>
          <w:lang w:val="fr-FR"/>
        </w:rPr>
        <w:t>une</w:t>
      </w:r>
      <w:r w:rsidRPr="00DB6C66">
        <w:rPr>
          <w:lang w:val="fr-FR"/>
        </w:rPr>
        <w:t xml:space="preserve"> coopération eu égard au futur rôle</w:t>
      </w:r>
      <w:r w:rsidR="00E01D11" w:rsidRPr="00DB6C66">
        <w:rPr>
          <w:lang w:val="fr-FR"/>
        </w:rPr>
        <w:t xml:space="preserve"> du VPI</w:t>
      </w:r>
      <w:r w:rsidRPr="00DB6C66">
        <w:rPr>
          <w:lang w:val="fr-FR"/>
        </w:rPr>
        <w:t xml:space="preserve"> en qualité d</w:t>
      </w:r>
      <w:r w:rsidR="00280EEC">
        <w:rPr>
          <w:lang w:val="fr-FR"/>
        </w:rPr>
        <w:t>’</w:t>
      </w:r>
      <w:r w:rsidRPr="00DB6C66">
        <w:rPr>
          <w:lang w:val="fr-FR"/>
        </w:rPr>
        <w:t>administration chargée de la recherche internationale et de l</w:t>
      </w:r>
      <w:r w:rsidR="00280EEC">
        <w:rPr>
          <w:lang w:val="fr-FR"/>
        </w:rPr>
        <w:t>’</w:t>
      </w:r>
      <w:r w:rsidRPr="00DB6C66">
        <w:rPr>
          <w:lang w:val="fr-FR"/>
        </w:rPr>
        <w:t>examen préliminaire international, et dispose que l</w:t>
      </w:r>
      <w:r w:rsidR="00280EEC">
        <w:rPr>
          <w:lang w:val="fr-FR"/>
        </w:rPr>
        <w:t>’</w:t>
      </w:r>
      <w:r w:rsidRPr="00DB6C66">
        <w:rPr>
          <w:lang w:val="fr-FR"/>
        </w:rPr>
        <w:t>Office des brevets du Japon devra partager son expérience et ses connaissances acquises en qualité d</w:t>
      </w:r>
      <w:r w:rsidR="00280EEC">
        <w:rPr>
          <w:lang w:val="fr-FR"/>
        </w:rPr>
        <w:t>’</w:t>
      </w:r>
      <w:r w:rsidRPr="00DB6C66">
        <w:rPr>
          <w:lang w:val="fr-FR"/>
        </w:rPr>
        <w:t>administration internationale avec les offices des pays du V4 et, plus tard, avec</w:t>
      </w:r>
      <w:r w:rsidR="00E01D11" w:rsidRPr="00DB6C66">
        <w:rPr>
          <w:lang w:val="fr-FR"/>
        </w:rPr>
        <w:t xml:space="preserve"> le VPI</w:t>
      </w:r>
      <w:r w:rsidRPr="00DB6C66">
        <w:rPr>
          <w:lang w:val="fr-FR"/>
        </w:rPr>
        <w:t xml:space="preserve"> lui</w:t>
      </w:r>
      <w:r w:rsidR="008117E3">
        <w:rPr>
          <w:lang w:val="fr-FR"/>
        </w:rPr>
        <w:noBreakHyphen/>
      </w:r>
      <w:r w:rsidRPr="00DB6C66">
        <w:rPr>
          <w:lang w:val="fr-FR"/>
        </w:rPr>
        <w:t xml:space="preserve">même. </w:t>
      </w:r>
      <w:r w:rsidR="00BE7960" w:rsidRPr="00DB6C66">
        <w:rPr>
          <w:lang w:val="fr-FR"/>
        </w:rPr>
        <w:t xml:space="preserve"> Ce type de coopération vise notamment à respecter </w:t>
      </w:r>
      <w:r w:rsidR="00DD318A" w:rsidRPr="00DB6C66">
        <w:rPr>
          <w:lang w:val="fr-FR"/>
        </w:rPr>
        <w:t xml:space="preserve">conjointement </w:t>
      </w:r>
      <w:r w:rsidR="00BE7960" w:rsidRPr="00DB6C66">
        <w:rPr>
          <w:lang w:val="fr-FR"/>
        </w:rPr>
        <w:t>les délais relatifs à l</w:t>
      </w:r>
      <w:r w:rsidR="00280EEC">
        <w:rPr>
          <w:lang w:val="fr-FR"/>
        </w:rPr>
        <w:t>’</w:t>
      </w:r>
      <w:r w:rsidR="00BE7960" w:rsidRPr="00DB6C66">
        <w:rPr>
          <w:lang w:val="fr-FR"/>
        </w:rPr>
        <w:t xml:space="preserve">établissement des rapports de recherche internationale et à en améliorer la qualité.  </w:t>
      </w:r>
      <w:r w:rsidR="00B0144F" w:rsidRPr="00DB6C66">
        <w:rPr>
          <w:lang w:val="fr-FR"/>
        </w:rPr>
        <w:t xml:space="preserve">Une </w:t>
      </w:r>
      <w:r w:rsidR="00DF641F" w:rsidRPr="00DB6C66">
        <w:rPr>
          <w:lang w:val="fr-FR"/>
        </w:rPr>
        <w:t>coopération</w:t>
      </w:r>
      <w:r w:rsidR="00B0144F" w:rsidRPr="00DB6C66">
        <w:rPr>
          <w:lang w:val="fr-FR"/>
        </w:rPr>
        <w:t xml:space="preserve"> de fait, poursuivant les mêmes objectifs, </w:t>
      </w:r>
      <w:r w:rsidR="003F07D0" w:rsidRPr="00DB6C66">
        <w:rPr>
          <w:lang w:val="fr-FR"/>
        </w:rPr>
        <w:t>pren</w:t>
      </w:r>
      <w:r w:rsidR="00B5509E" w:rsidRPr="00DB6C66">
        <w:rPr>
          <w:lang w:val="fr-FR"/>
        </w:rPr>
        <w:t>ait</w:t>
      </w:r>
      <w:r w:rsidR="00DD318A" w:rsidRPr="00DB6C66">
        <w:rPr>
          <w:lang w:val="fr-FR"/>
        </w:rPr>
        <w:t xml:space="preserve"> </w:t>
      </w:r>
      <w:r w:rsidR="0026690E" w:rsidRPr="00DB6C66">
        <w:rPr>
          <w:lang w:val="fr-FR"/>
        </w:rPr>
        <w:t>forme entre l</w:t>
      </w:r>
      <w:r w:rsidR="00280EEC">
        <w:rPr>
          <w:lang w:val="fr-FR"/>
        </w:rPr>
        <w:t>’</w:t>
      </w:r>
      <w:r w:rsidR="0026690E" w:rsidRPr="00DB6C66">
        <w:rPr>
          <w:lang w:val="fr-FR"/>
        </w:rPr>
        <w:t>Institut nordique des brevets et</w:t>
      </w:r>
      <w:r w:rsidR="00E01D11" w:rsidRPr="00DB6C66">
        <w:rPr>
          <w:lang w:val="fr-FR"/>
        </w:rPr>
        <w:t xml:space="preserve"> le VPI</w:t>
      </w:r>
      <w:r w:rsidR="0026690E" w:rsidRPr="00DB6C66">
        <w:rPr>
          <w:lang w:val="fr-FR"/>
        </w:rPr>
        <w:t>,</w:t>
      </w:r>
      <w:r w:rsidR="002D62D8" w:rsidRPr="00DB6C66">
        <w:rPr>
          <w:lang w:val="fr-FR"/>
        </w:rPr>
        <w:t xml:space="preserve"> une coopération que</w:t>
      </w:r>
      <w:r w:rsidR="0026690E" w:rsidRPr="00DB6C66">
        <w:rPr>
          <w:lang w:val="fr-FR"/>
        </w:rPr>
        <w:t xml:space="preserve"> le groupe de </w:t>
      </w:r>
      <w:proofErr w:type="spellStart"/>
      <w:r w:rsidR="0026690E" w:rsidRPr="00DB6C66">
        <w:rPr>
          <w:lang w:val="fr-FR"/>
        </w:rPr>
        <w:t>Visegrad</w:t>
      </w:r>
      <w:proofErr w:type="spellEnd"/>
      <w:r w:rsidR="0026690E" w:rsidRPr="00DB6C66">
        <w:rPr>
          <w:lang w:val="fr-FR"/>
        </w:rPr>
        <w:t xml:space="preserve"> </w:t>
      </w:r>
      <w:r w:rsidR="002D62D8" w:rsidRPr="00DB6C66">
        <w:rPr>
          <w:lang w:val="fr-FR"/>
        </w:rPr>
        <w:t xml:space="preserve">entend </w:t>
      </w:r>
      <w:r w:rsidR="0026690E" w:rsidRPr="00DB6C66">
        <w:rPr>
          <w:lang w:val="fr-FR"/>
        </w:rPr>
        <w:t>proposer d</w:t>
      </w:r>
      <w:r w:rsidR="00280EEC">
        <w:rPr>
          <w:lang w:val="fr-FR"/>
        </w:rPr>
        <w:t>’</w:t>
      </w:r>
      <w:r w:rsidR="0026690E" w:rsidRPr="00DB6C66">
        <w:rPr>
          <w:lang w:val="fr-FR"/>
        </w:rPr>
        <w:t xml:space="preserve">approfondir </w:t>
      </w:r>
      <w:r w:rsidR="002D62D8" w:rsidRPr="00DB6C66">
        <w:rPr>
          <w:lang w:val="fr-FR"/>
        </w:rPr>
        <w:t>et d</w:t>
      </w:r>
      <w:r w:rsidR="00280EEC">
        <w:rPr>
          <w:lang w:val="fr-FR"/>
        </w:rPr>
        <w:t>’</w:t>
      </w:r>
      <w:r w:rsidR="002D62D8" w:rsidRPr="00DB6C66">
        <w:rPr>
          <w:lang w:val="fr-FR"/>
        </w:rPr>
        <w:t>officialiser.</w:t>
      </w:r>
    </w:p>
    <w:p w:rsidR="00DB3999" w:rsidRPr="00DB6C66" w:rsidRDefault="00CF41A1" w:rsidP="006D3583">
      <w:pPr>
        <w:pStyle w:val="ONUMFS"/>
        <w:rPr>
          <w:lang w:val="fr-FR"/>
        </w:rPr>
      </w:pPr>
      <w:r w:rsidRPr="00DB6C66">
        <w:rPr>
          <w:lang w:val="fr-FR"/>
        </w:rPr>
        <w:t xml:space="preserve">Les pays du </w:t>
      </w:r>
      <w:r w:rsidR="00DD318A" w:rsidRPr="00DB6C66">
        <w:rPr>
          <w:lang w:val="fr-FR"/>
        </w:rPr>
        <w:t xml:space="preserve">groupe de </w:t>
      </w:r>
      <w:proofErr w:type="spellStart"/>
      <w:r w:rsidRPr="00DB6C66">
        <w:rPr>
          <w:lang w:val="fr-FR"/>
        </w:rPr>
        <w:t>Visegrad</w:t>
      </w:r>
      <w:proofErr w:type="spellEnd"/>
      <w:r w:rsidRPr="00DB6C66">
        <w:rPr>
          <w:lang w:val="fr-FR"/>
        </w:rPr>
        <w:t xml:space="preserve"> ont un potentiel considérable pour promouvoir l</w:t>
      </w:r>
      <w:r w:rsidR="00280EEC">
        <w:rPr>
          <w:lang w:val="fr-FR"/>
        </w:rPr>
        <w:t>’</w:t>
      </w:r>
      <w:r w:rsidRPr="00DB6C66">
        <w:rPr>
          <w:lang w:val="fr-FR"/>
        </w:rPr>
        <w:t>innovation, stimuler la recherche et le développement, améliorer la compétitivité et encourager le développement de la protection par brevet dans la région qu</w:t>
      </w:r>
      <w:r w:rsidR="00280EEC">
        <w:rPr>
          <w:lang w:val="fr-FR"/>
        </w:rPr>
        <w:t>’</w:t>
      </w:r>
      <w:r w:rsidRPr="00DB6C66">
        <w:rPr>
          <w:lang w:val="fr-FR"/>
        </w:rPr>
        <w:t>ils représentent.</w:t>
      </w:r>
    </w:p>
    <w:p w:rsidR="00CF41A1" w:rsidRPr="00DB6C66" w:rsidRDefault="00E01494" w:rsidP="006D3583">
      <w:pPr>
        <w:pStyle w:val="ONUMFS"/>
        <w:rPr>
          <w:lang w:val="fr-FR"/>
        </w:rPr>
      </w:pPr>
      <w:r w:rsidRPr="00DB6C66">
        <w:rPr>
          <w:lang w:val="fr-FR"/>
        </w:rPr>
        <w:t>Cette situation</w:t>
      </w:r>
      <w:r w:rsidR="00CF41A1" w:rsidRPr="00DB6C66">
        <w:rPr>
          <w:lang w:val="fr-FR"/>
        </w:rPr>
        <w:t xml:space="preserve"> est clairement </w:t>
      </w:r>
      <w:r w:rsidRPr="00DB6C66">
        <w:rPr>
          <w:lang w:val="fr-FR"/>
        </w:rPr>
        <w:t xml:space="preserve">attestée </w:t>
      </w:r>
      <w:r w:rsidR="00CF41A1" w:rsidRPr="00DB6C66">
        <w:rPr>
          <w:lang w:val="fr-FR"/>
        </w:rPr>
        <w:t>par les donn</w:t>
      </w:r>
      <w:r w:rsidRPr="00DB6C66">
        <w:rPr>
          <w:lang w:val="fr-FR"/>
        </w:rPr>
        <w:t>ées</w:t>
      </w:r>
      <w:r w:rsidR="00CF41A1" w:rsidRPr="00DB6C66">
        <w:rPr>
          <w:lang w:val="fr-FR"/>
        </w:rPr>
        <w:t xml:space="preserve"> </w:t>
      </w:r>
      <w:r w:rsidRPr="00DB6C66">
        <w:rPr>
          <w:lang w:val="fr-FR"/>
        </w:rPr>
        <w:t>opportunes</w:t>
      </w:r>
      <w:r w:rsidR="00CF41A1" w:rsidRPr="00DB6C66">
        <w:rPr>
          <w:lang w:val="fr-FR"/>
        </w:rPr>
        <w:t xml:space="preserve"> </w:t>
      </w:r>
      <w:r w:rsidRPr="00DB6C66">
        <w:rPr>
          <w:lang w:val="fr-FR"/>
        </w:rPr>
        <w:t>fournies par le Tableau de bord de l</w:t>
      </w:r>
      <w:r w:rsidR="00280EEC">
        <w:rPr>
          <w:lang w:val="fr-FR"/>
        </w:rPr>
        <w:t>’</w:t>
      </w:r>
      <w:r w:rsidRPr="00DB6C66">
        <w:rPr>
          <w:lang w:val="fr-FR"/>
        </w:rPr>
        <w:t>Union pour la recherche et l</w:t>
      </w:r>
      <w:r w:rsidR="00280EEC">
        <w:rPr>
          <w:lang w:val="fr-FR"/>
        </w:rPr>
        <w:t>’</w:t>
      </w:r>
      <w:r w:rsidRPr="00DB6C66">
        <w:rPr>
          <w:lang w:val="fr-FR"/>
        </w:rPr>
        <w:t>innovation</w:t>
      </w:r>
      <w:r w:rsidR="00614BC3" w:rsidRPr="00DB6C66">
        <w:rPr>
          <w:vertAlign w:val="superscript"/>
          <w:lang w:val="fr-FR"/>
        </w:rPr>
        <w:footnoteReference w:id="2"/>
      </w:r>
      <w:r w:rsidRPr="00DB6C66">
        <w:rPr>
          <w:lang w:val="fr-FR"/>
        </w:rPr>
        <w:t xml:space="preserve"> (2014), l</w:t>
      </w:r>
      <w:r w:rsidR="00280EEC">
        <w:rPr>
          <w:lang w:val="fr-FR"/>
        </w:rPr>
        <w:t>’</w:t>
      </w:r>
      <w:r w:rsidRPr="00DB6C66">
        <w:rPr>
          <w:lang w:val="fr-FR"/>
        </w:rPr>
        <w:t>Indice</w:t>
      </w:r>
      <w:r w:rsidR="00614BC3" w:rsidRPr="00DB6C66">
        <w:rPr>
          <w:lang w:val="fr-FR"/>
        </w:rPr>
        <w:t xml:space="preserve"> </w:t>
      </w:r>
      <w:r w:rsidRPr="00DB6C66">
        <w:rPr>
          <w:lang w:val="fr-FR"/>
        </w:rPr>
        <w:t>mondial de l</w:t>
      </w:r>
      <w:r w:rsidR="00280EEC">
        <w:rPr>
          <w:lang w:val="fr-FR"/>
        </w:rPr>
        <w:t>’</w:t>
      </w:r>
      <w:r w:rsidRPr="00DB6C66">
        <w:rPr>
          <w:lang w:val="fr-FR"/>
        </w:rPr>
        <w:t>innovation</w:t>
      </w:r>
      <w:r w:rsidR="00614BC3" w:rsidRPr="00DB6C66">
        <w:rPr>
          <w:vertAlign w:val="superscript"/>
          <w:lang w:val="fr-FR"/>
        </w:rPr>
        <w:footnoteReference w:id="3"/>
      </w:r>
      <w:r w:rsidR="00614BC3" w:rsidRPr="00DB6C66">
        <w:rPr>
          <w:lang w:val="fr-FR"/>
        </w:rPr>
        <w:t xml:space="preserve"> </w:t>
      </w:r>
      <w:r w:rsidRPr="00DB6C66">
        <w:rPr>
          <w:lang w:val="fr-FR"/>
        </w:rPr>
        <w:t>(2014) et une étude conjointe de l</w:t>
      </w:r>
      <w:r w:rsidR="00280EEC">
        <w:rPr>
          <w:lang w:val="fr-FR"/>
        </w:rPr>
        <w:t>’</w:t>
      </w:r>
      <w:r w:rsidRPr="00DB6C66">
        <w:rPr>
          <w:lang w:val="fr-FR"/>
        </w:rPr>
        <w:t>Office européen des brevets et de l</w:t>
      </w:r>
      <w:r w:rsidR="00280EEC">
        <w:rPr>
          <w:lang w:val="fr-FR"/>
        </w:rPr>
        <w:t>’</w:t>
      </w:r>
      <w:r w:rsidRPr="00DB6C66">
        <w:rPr>
          <w:lang w:val="fr-FR"/>
        </w:rPr>
        <w:t>Office de l</w:t>
      </w:r>
      <w:r w:rsidR="00280EEC">
        <w:rPr>
          <w:lang w:val="fr-FR"/>
        </w:rPr>
        <w:t>’</w:t>
      </w:r>
      <w:r w:rsidRPr="00DB6C66">
        <w:rPr>
          <w:lang w:val="fr-FR"/>
        </w:rPr>
        <w:t>harmonisation dans le marché intérieur (marques, dessins et modèles), sur la contribution économique des droits de propriété intellectuelle</w:t>
      </w:r>
      <w:r w:rsidR="00614BC3" w:rsidRPr="00DB6C66">
        <w:rPr>
          <w:rStyle w:val="FootnoteReference"/>
          <w:lang w:val="fr-FR"/>
        </w:rPr>
        <w:footnoteReference w:id="4"/>
      </w:r>
      <w:r w:rsidRPr="00DB6C66">
        <w:rPr>
          <w:lang w:val="fr-FR"/>
        </w:rPr>
        <w:t xml:space="preserve">. </w:t>
      </w:r>
      <w:r w:rsidR="005062C0" w:rsidRPr="00DB6C66">
        <w:rPr>
          <w:lang w:val="fr-FR"/>
        </w:rPr>
        <w:t xml:space="preserve"> </w:t>
      </w:r>
      <w:r w:rsidR="00915B71" w:rsidRPr="00DB6C66">
        <w:rPr>
          <w:lang w:val="fr-FR"/>
        </w:rPr>
        <w:t>Cette</w:t>
      </w:r>
      <w:r w:rsidR="005055D1" w:rsidRPr="00DB6C66">
        <w:rPr>
          <w:lang w:val="fr-FR"/>
        </w:rPr>
        <w:t xml:space="preserve"> dernière étude indique que les industries </w:t>
      </w:r>
      <w:r w:rsidR="00640C9C" w:rsidRPr="00DB6C66">
        <w:rPr>
          <w:lang w:val="fr-FR"/>
        </w:rPr>
        <w:t>axées sur les brevets créent 10,3% des emplois et 13,9%</w:t>
      </w:r>
      <w:r w:rsidR="00E01D11" w:rsidRPr="00DB6C66">
        <w:rPr>
          <w:lang w:val="fr-FR"/>
        </w:rPr>
        <w:t xml:space="preserve"> du PIB</w:t>
      </w:r>
      <w:r w:rsidR="00640C9C" w:rsidRPr="00DB6C66">
        <w:rPr>
          <w:lang w:val="fr-FR"/>
        </w:rPr>
        <w:t xml:space="preserve"> dans l</w:t>
      </w:r>
      <w:r w:rsidR="00280EEC">
        <w:rPr>
          <w:lang w:val="fr-FR"/>
        </w:rPr>
        <w:t>’</w:t>
      </w:r>
      <w:r w:rsidR="00640C9C" w:rsidRPr="00DB6C66">
        <w:rPr>
          <w:lang w:val="fr-FR"/>
        </w:rPr>
        <w:t xml:space="preserve">Union européenne.  </w:t>
      </w:r>
      <w:r w:rsidR="00915B71" w:rsidRPr="00DB6C66">
        <w:rPr>
          <w:lang w:val="fr-FR"/>
        </w:rPr>
        <w:t xml:space="preserve">Elles </w:t>
      </w:r>
      <w:r w:rsidR="00B51CDF" w:rsidRPr="00DB6C66">
        <w:rPr>
          <w:lang w:val="fr-FR"/>
        </w:rPr>
        <w:t>sont</w:t>
      </w:r>
      <w:r w:rsidR="00915B71" w:rsidRPr="00DB6C66">
        <w:rPr>
          <w:lang w:val="fr-FR"/>
        </w:rPr>
        <w:t xml:space="preserve"> </w:t>
      </w:r>
      <w:r w:rsidR="00B51CDF" w:rsidRPr="00DB6C66">
        <w:rPr>
          <w:lang w:val="fr-FR"/>
        </w:rPr>
        <w:t>fortement créatrices d</w:t>
      </w:r>
      <w:r w:rsidR="00280EEC">
        <w:rPr>
          <w:lang w:val="fr-FR"/>
        </w:rPr>
        <w:t>’</w:t>
      </w:r>
      <w:r w:rsidR="00B51CDF" w:rsidRPr="00DB6C66">
        <w:rPr>
          <w:lang w:val="fr-FR"/>
        </w:rPr>
        <w:t xml:space="preserve">emplois en Hongrie (11,4%), </w:t>
      </w:r>
      <w:r w:rsidR="00DD318A" w:rsidRPr="00DB6C66">
        <w:rPr>
          <w:lang w:val="fr-FR"/>
        </w:rPr>
        <w:t xml:space="preserve">en </w:t>
      </w:r>
      <w:r w:rsidR="00B51CDF" w:rsidRPr="00DB6C66">
        <w:rPr>
          <w:lang w:val="fr-FR"/>
        </w:rPr>
        <w:t>République de Pologne (8,1%)</w:t>
      </w:r>
      <w:r w:rsidR="001B7825" w:rsidRPr="00DB6C66">
        <w:rPr>
          <w:lang w:val="fr-FR"/>
        </w:rPr>
        <w:t xml:space="preserve">, </w:t>
      </w:r>
      <w:r w:rsidR="00DD318A" w:rsidRPr="00DB6C66">
        <w:rPr>
          <w:lang w:val="fr-FR"/>
        </w:rPr>
        <w:t xml:space="preserve">en </w:t>
      </w:r>
      <w:r w:rsidR="00B51CDF" w:rsidRPr="00DB6C66">
        <w:rPr>
          <w:lang w:val="fr-FR"/>
        </w:rPr>
        <w:t>République slovaque (12,4%)</w:t>
      </w:r>
      <w:r w:rsidR="00DD318A" w:rsidRPr="00DB6C66">
        <w:rPr>
          <w:lang w:val="fr-FR"/>
        </w:rPr>
        <w:t xml:space="preserve"> et en République tchèque (14,1%)</w:t>
      </w:r>
      <w:r w:rsidR="00B51CDF" w:rsidRPr="00DB6C66">
        <w:rPr>
          <w:lang w:val="fr-FR"/>
        </w:rPr>
        <w:t xml:space="preserve">. </w:t>
      </w:r>
      <w:r w:rsidR="001B7825" w:rsidRPr="00DB6C66">
        <w:rPr>
          <w:lang w:val="fr-FR"/>
        </w:rPr>
        <w:t xml:space="preserve"> Elles représentent 20%</w:t>
      </w:r>
      <w:r w:rsidR="00E01D11" w:rsidRPr="00DB6C66">
        <w:rPr>
          <w:lang w:val="fr-FR"/>
        </w:rPr>
        <w:t xml:space="preserve"> du PIB</w:t>
      </w:r>
      <w:r w:rsidR="001B7825" w:rsidRPr="00DB6C66">
        <w:rPr>
          <w:lang w:val="fr-FR"/>
        </w:rPr>
        <w:t xml:space="preserve"> en Hongrie, 12,9% en République de Po</w:t>
      </w:r>
      <w:r w:rsidR="00DD318A" w:rsidRPr="00DB6C66">
        <w:rPr>
          <w:lang w:val="fr-FR"/>
        </w:rPr>
        <w:t xml:space="preserve">logne, </w:t>
      </w:r>
      <w:r w:rsidR="001B7825" w:rsidRPr="00DB6C66">
        <w:rPr>
          <w:lang w:val="fr-FR"/>
        </w:rPr>
        <w:t>17,1% en République slovaque</w:t>
      </w:r>
      <w:r w:rsidR="00DD318A" w:rsidRPr="00DB6C66">
        <w:rPr>
          <w:lang w:val="fr-FR"/>
        </w:rPr>
        <w:t xml:space="preserve"> et 14,9% en République tchèque</w:t>
      </w:r>
      <w:r w:rsidR="001B7825" w:rsidRPr="00DB6C66">
        <w:rPr>
          <w:lang w:val="fr-FR"/>
        </w:rPr>
        <w:t>.</w:t>
      </w:r>
      <w:r w:rsidR="00BD4517" w:rsidRPr="00DB6C66">
        <w:rPr>
          <w:lang w:val="fr-FR"/>
        </w:rPr>
        <w:t xml:space="preserve">  Sur le plan de la valeur ajoutée, les industries axées sur les brevets sont très importantes dans ces pays.</w:t>
      </w:r>
    </w:p>
    <w:p w:rsidR="00E01D11" w:rsidRPr="00DB6C66" w:rsidRDefault="0022291D" w:rsidP="006D3583">
      <w:pPr>
        <w:pStyle w:val="ONUMFS"/>
        <w:rPr>
          <w:lang w:val="fr-FR"/>
        </w:rPr>
      </w:pPr>
      <w:r w:rsidRPr="00DB6C66">
        <w:rPr>
          <w:lang w:val="fr-FR"/>
        </w:rPr>
        <w:t>Le tableau</w:t>
      </w:r>
      <w:r w:rsidR="004E047D" w:rsidRPr="00DB6C66">
        <w:rPr>
          <w:lang w:val="fr-FR"/>
        </w:rPr>
        <w:t> </w:t>
      </w:r>
      <w:r w:rsidRPr="00DB6C66">
        <w:rPr>
          <w:lang w:val="fr-FR"/>
        </w:rPr>
        <w:t>1 contient d</w:t>
      </w:r>
      <w:r w:rsidR="00280EEC">
        <w:rPr>
          <w:lang w:val="fr-FR"/>
        </w:rPr>
        <w:t>’</w:t>
      </w:r>
      <w:r w:rsidRPr="00DB6C66">
        <w:rPr>
          <w:lang w:val="fr-FR"/>
        </w:rPr>
        <w:t>autres faits et</w:t>
      </w:r>
      <w:r w:rsidR="00DD318A" w:rsidRPr="00DB6C66">
        <w:rPr>
          <w:lang w:val="fr-FR"/>
        </w:rPr>
        <w:t xml:space="preserve"> chiffres concernant les pays du groupe de</w:t>
      </w:r>
      <w:r w:rsidRPr="00DB6C66">
        <w:rPr>
          <w:lang w:val="fr-FR"/>
        </w:rPr>
        <w:t xml:space="preserve"> </w:t>
      </w:r>
      <w:proofErr w:type="spellStart"/>
      <w:r w:rsidRPr="00DB6C66">
        <w:rPr>
          <w:lang w:val="fr-FR"/>
        </w:rPr>
        <w:t>Visegrad</w:t>
      </w:r>
      <w:proofErr w:type="spellEnd"/>
      <w:r w:rsidRPr="00DB6C66">
        <w:rPr>
          <w:lang w:val="fr-FR"/>
        </w:rPr>
        <w:t>.</w:t>
      </w:r>
    </w:p>
    <w:p w:rsidR="00DB3999" w:rsidRPr="00DB6C66" w:rsidRDefault="0075654E" w:rsidP="006D3583">
      <w:pPr>
        <w:rPr>
          <w:u w:val="single"/>
          <w:lang w:val="fr-FR"/>
        </w:rPr>
      </w:pPr>
      <w:r w:rsidRPr="00DB6C66">
        <w:rPr>
          <w:u w:val="single"/>
          <w:lang w:val="fr-FR"/>
        </w:rPr>
        <w:t>Table</w:t>
      </w:r>
      <w:r w:rsidR="0022291D" w:rsidRPr="00DB6C66">
        <w:rPr>
          <w:u w:val="single"/>
          <w:lang w:val="fr-FR"/>
        </w:rPr>
        <w:t>au</w:t>
      </w:r>
      <w:r w:rsidR="004E047D" w:rsidRPr="00DB6C66">
        <w:rPr>
          <w:u w:val="single"/>
          <w:lang w:val="fr-FR"/>
        </w:rPr>
        <w:t> </w:t>
      </w:r>
      <w:r w:rsidRPr="00DB6C66">
        <w:rPr>
          <w:u w:val="single"/>
          <w:lang w:val="fr-FR"/>
        </w:rPr>
        <w:t xml:space="preserve">1 – </w:t>
      </w:r>
      <w:r w:rsidR="0022291D" w:rsidRPr="00DB6C66">
        <w:rPr>
          <w:u w:val="single"/>
          <w:lang w:val="fr-FR"/>
        </w:rPr>
        <w:t xml:space="preserve">Faits et chiffres concernant les pays </w:t>
      </w:r>
      <w:r w:rsidR="00F24F1C" w:rsidRPr="00DB6C66">
        <w:rPr>
          <w:u w:val="single"/>
          <w:lang w:val="fr-FR"/>
        </w:rPr>
        <w:t xml:space="preserve">du groupe </w:t>
      </w:r>
      <w:r w:rsidR="0022291D" w:rsidRPr="00DB6C66">
        <w:rPr>
          <w:u w:val="single"/>
          <w:lang w:val="fr-FR"/>
        </w:rPr>
        <w:t xml:space="preserve">de </w:t>
      </w:r>
      <w:proofErr w:type="spellStart"/>
      <w:r w:rsidR="0022291D" w:rsidRPr="00DB6C66">
        <w:rPr>
          <w:u w:val="single"/>
          <w:lang w:val="fr-FR"/>
        </w:rPr>
        <w:t>Visegrad</w:t>
      </w:r>
      <w:proofErr w:type="spellEnd"/>
    </w:p>
    <w:p w:rsidR="0075654E" w:rsidRPr="00DB6C66" w:rsidRDefault="0075654E" w:rsidP="006D3583">
      <w:pPr>
        <w:rPr>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8"/>
        <w:gridCol w:w="1828"/>
        <w:gridCol w:w="1781"/>
        <w:gridCol w:w="1805"/>
        <w:gridCol w:w="1850"/>
      </w:tblGrid>
      <w:tr w:rsidR="00DB6C66" w:rsidRPr="00DB6C66" w:rsidTr="006D3583">
        <w:trPr>
          <w:cantSplit/>
          <w:tblHeader/>
        </w:trPr>
        <w:tc>
          <w:tcPr>
            <w:tcW w:w="1774" w:type="dxa"/>
            <w:tcBorders>
              <w:top w:val="single" w:sz="4" w:space="0" w:color="auto"/>
              <w:left w:val="single" w:sz="4" w:space="0" w:color="auto"/>
              <w:bottom w:val="single" w:sz="4" w:space="0" w:color="auto"/>
              <w:right w:val="single" w:sz="4" w:space="0" w:color="auto"/>
            </w:tcBorders>
          </w:tcPr>
          <w:p w:rsidR="0075654E" w:rsidRPr="00DB6C66" w:rsidRDefault="0075654E" w:rsidP="006D3583">
            <w:pPr>
              <w:spacing w:before="60" w:after="60"/>
              <w:rPr>
                <w:sz w:val="18"/>
                <w:szCs w:val="18"/>
                <w:lang w:val="fr-FR" w:eastAsia="en-GB"/>
              </w:rPr>
            </w:pPr>
          </w:p>
        </w:tc>
        <w:tc>
          <w:tcPr>
            <w:tcW w:w="1784"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b/>
                <w:bCs/>
                <w:sz w:val="18"/>
                <w:szCs w:val="18"/>
                <w:lang w:val="fr-FR" w:eastAsia="en-GB"/>
              </w:rPr>
            </w:pPr>
            <w:r w:rsidRPr="00DB6C66">
              <w:rPr>
                <w:b/>
                <w:bCs/>
                <w:sz w:val="18"/>
                <w:szCs w:val="18"/>
                <w:lang w:val="fr-FR" w:eastAsia="en-GB"/>
              </w:rPr>
              <w:t>République tchèque</w:t>
            </w:r>
          </w:p>
        </w:tc>
        <w:tc>
          <w:tcPr>
            <w:tcW w:w="2063"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b/>
                <w:bCs/>
                <w:sz w:val="18"/>
                <w:szCs w:val="18"/>
                <w:lang w:val="fr-FR" w:eastAsia="en-GB"/>
              </w:rPr>
            </w:pPr>
            <w:r w:rsidRPr="00DB6C66">
              <w:rPr>
                <w:b/>
                <w:bCs/>
                <w:sz w:val="18"/>
                <w:szCs w:val="18"/>
                <w:lang w:val="fr-FR" w:eastAsia="en-GB"/>
              </w:rPr>
              <w:t>Hongrie</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b/>
                <w:bCs/>
                <w:sz w:val="18"/>
                <w:szCs w:val="18"/>
                <w:lang w:val="fr-FR" w:eastAsia="en-GB"/>
              </w:rPr>
            </w:pPr>
            <w:r w:rsidRPr="00DB6C66">
              <w:rPr>
                <w:b/>
                <w:bCs/>
                <w:sz w:val="18"/>
                <w:szCs w:val="18"/>
                <w:lang w:val="fr-FR" w:eastAsia="en-GB"/>
              </w:rPr>
              <w:t>République de Pologne</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b/>
                <w:bCs/>
                <w:sz w:val="18"/>
                <w:szCs w:val="18"/>
                <w:lang w:val="fr-FR" w:eastAsia="en-GB"/>
              </w:rPr>
            </w:pPr>
            <w:r w:rsidRPr="00DB6C66">
              <w:rPr>
                <w:b/>
                <w:bCs/>
                <w:sz w:val="18"/>
                <w:szCs w:val="18"/>
                <w:lang w:val="fr-FR" w:eastAsia="en-GB"/>
              </w:rPr>
              <w:t>République slovaque</w:t>
            </w:r>
          </w:p>
        </w:tc>
      </w:tr>
      <w:tr w:rsidR="00DB6C66" w:rsidRPr="00DB6C66" w:rsidTr="006D3583">
        <w:trPr>
          <w:cantSplit/>
        </w:trPr>
        <w:tc>
          <w:tcPr>
            <w:tcW w:w="1774"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sz w:val="18"/>
                <w:szCs w:val="18"/>
                <w:lang w:val="fr-FR" w:eastAsia="en-GB"/>
              </w:rPr>
              <w:t xml:space="preserve">Population </w:t>
            </w:r>
          </w:p>
        </w:tc>
        <w:tc>
          <w:tcPr>
            <w:tcW w:w="1784"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bCs/>
                <w:sz w:val="18"/>
                <w:szCs w:val="18"/>
                <w:lang w:val="fr-FR" w:eastAsia="en-GB"/>
              </w:rPr>
            </w:pPr>
            <w:r w:rsidRPr="00DB6C66">
              <w:rPr>
                <w:bCs/>
                <w:sz w:val="18"/>
                <w:szCs w:val="18"/>
                <w:lang w:val="fr-FR" w:eastAsia="en-GB"/>
              </w:rPr>
              <w:t>10 528 477 (</w:t>
            </w:r>
            <w:r w:rsidR="0022291D" w:rsidRPr="00DB6C66">
              <w:rPr>
                <w:bCs/>
                <w:sz w:val="18"/>
                <w:szCs w:val="18"/>
                <w:lang w:val="fr-FR" w:eastAsia="en-GB"/>
              </w:rPr>
              <w:t>au 30 septembre </w:t>
            </w:r>
            <w:r w:rsidRPr="00DB6C66">
              <w:rPr>
                <w:bCs/>
                <w:sz w:val="18"/>
                <w:szCs w:val="18"/>
                <w:lang w:val="fr-FR" w:eastAsia="en-GB"/>
              </w:rPr>
              <w:t>2014)</w:t>
            </w:r>
          </w:p>
        </w:tc>
        <w:tc>
          <w:tcPr>
            <w:tcW w:w="2063"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bCs/>
                <w:sz w:val="18"/>
                <w:szCs w:val="18"/>
                <w:lang w:val="fr-FR" w:eastAsia="en-GB"/>
              </w:rPr>
            </w:pPr>
            <w:r w:rsidRPr="00DB6C66">
              <w:rPr>
                <w:sz w:val="18"/>
                <w:szCs w:val="18"/>
                <w:lang w:val="fr-FR" w:eastAsia="en-GB"/>
              </w:rPr>
              <w:t>9 896 000 (</w:t>
            </w:r>
            <w:r w:rsidR="0022291D" w:rsidRPr="00DB6C66">
              <w:rPr>
                <w:sz w:val="18"/>
                <w:szCs w:val="18"/>
                <w:lang w:val="fr-FR" w:eastAsia="en-GB"/>
              </w:rPr>
              <w:t>au 1</w:t>
            </w:r>
            <w:r w:rsidR="0022291D" w:rsidRPr="00DB6C66">
              <w:rPr>
                <w:sz w:val="18"/>
                <w:szCs w:val="18"/>
                <w:vertAlign w:val="superscript"/>
                <w:lang w:val="fr-FR" w:eastAsia="en-GB"/>
              </w:rPr>
              <w:t>er</w:t>
            </w:r>
            <w:r w:rsidR="0022291D" w:rsidRPr="00DB6C66">
              <w:rPr>
                <w:sz w:val="18"/>
                <w:szCs w:val="18"/>
                <w:lang w:val="fr-FR" w:eastAsia="en-GB"/>
              </w:rPr>
              <w:t xml:space="preserve"> janvier </w:t>
            </w:r>
            <w:r w:rsidRPr="00DB6C66">
              <w:rPr>
                <w:sz w:val="18"/>
                <w:szCs w:val="18"/>
                <w:lang w:val="fr-FR" w:eastAsia="en-GB"/>
              </w:rPr>
              <w:t>2014)</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bCs/>
                <w:sz w:val="18"/>
                <w:szCs w:val="18"/>
                <w:lang w:val="fr-FR" w:eastAsia="en-GB"/>
              </w:rPr>
            </w:pPr>
            <w:r w:rsidRPr="00DB6C66">
              <w:rPr>
                <w:bCs/>
                <w:sz w:val="18"/>
                <w:szCs w:val="18"/>
                <w:lang w:val="fr-FR" w:eastAsia="en-GB"/>
              </w:rPr>
              <w:t>38 495 700 (</w:t>
            </w:r>
            <w:r w:rsidR="0022291D" w:rsidRPr="00DB6C66">
              <w:rPr>
                <w:bCs/>
                <w:sz w:val="18"/>
                <w:szCs w:val="18"/>
                <w:lang w:val="fr-FR" w:eastAsia="en-GB"/>
              </w:rPr>
              <w:t>au 31 décembre </w:t>
            </w:r>
            <w:r w:rsidRPr="00DB6C66">
              <w:rPr>
                <w:bCs/>
                <w:sz w:val="18"/>
                <w:szCs w:val="18"/>
                <w:lang w:val="fr-FR" w:eastAsia="en-GB"/>
              </w:rPr>
              <w:t>2013)</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bCs/>
                <w:sz w:val="18"/>
                <w:szCs w:val="18"/>
                <w:lang w:val="fr-FR" w:eastAsia="en-GB"/>
              </w:rPr>
              <w:t>5 421</w:t>
            </w:r>
            <w:r w:rsidR="004E047D" w:rsidRPr="00DB6C66">
              <w:rPr>
                <w:bCs/>
                <w:sz w:val="18"/>
                <w:szCs w:val="18"/>
                <w:lang w:val="fr-FR" w:eastAsia="en-GB"/>
              </w:rPr>
              <w:t> </w:t>
            </w:r>
            <w:r w:rsidRPr="00DB6C66">
              <w:rPr>
                <w:bCs/>
                <w:sz w:val="18"/>
                <w:szCs w:val="18"/>
                <w:lang w:val="fr-FR" w:eastAsia="en-GB"/>
              </w:rPr>
              <w:t>034 (</w:t>
            </w:r>
            <w:r w:rsidR="00A53B72" w:rsidRPr="00DB6C66">
              <w:rPr>
                <w:bCs/>
                <w:sz w:val="18"/>
                <w:szCs w:val="18"/>
                <w:lang w:val="fr-FR" w:eastAsia="en-GB"/>
              </w:rPr>
              <w:t>au 30 septembre </w:t>
            </w:r>
            <w:r w:rsidRPr="00DB6C66">
              <w:rPr>
                <w:bCs/>
                <w:sz w:val="18"/>
                <w:szCs w:val="18"/>
                <w:lang w:val="fr-FR" w:eastAsia="en-GB"/>
              </w:rPr>
              <w:t>2014)</w:t>
            </w:r>
          </w:p>
        </w:tc>
      </w:tr>
      <w:tr w:rsidR="00DB6C66" w:rsidRPr="00DB6C66" w:rsidTr="006D3583">
        <w:trPr>
          <w:cantSplit/>
        </w:trPr>
        <w:tc>
          <w:tcPr>
            <w:tcW w:w="1774"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sz w:val="18"/>
                <w:szCs w:val="18"/>
                <w:lang w:val="fr-FR" w:eastAsia="en-GB"/>
              </w:rPr>
            </w:pPr>
            <w:r w:rsidRPr="00DB6C66">
              <w:rPr>
                <w:sz w:val="18"/>
                <w:szCs w:val="18"/>
                <w:lang w:val="fr-FR" w:eastAsia="en-GB"/>
              </w:rPr>
              <w:t>Superficie</w:t>
            </w:r>
          </w:p>
        </w:tc>
        <w:tc>
          <w:tcPr>
            <w:tcW w:w="1784"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sz w:val="18"/>
                <w:szCs w:val="18"/>
                <w:lang w:val="fr-FR" w:eastAsia="en-GB"/>
              </w:rPr>
              <w:t>78 866</w:t>
            </w:r>
            <w:r w:rsidR="0022291D" w:rsidRPr="00DB6C66">
              <w:rPr>
                <w:sz w:val="18"/>
                <w:szCs w:val="18"/>
                <w:lang w:val="fr-FR" w:eastAsia="en-GB"/>
              </w:rPr>
              <w:t> km</w:t>
            </w:r>
            <w:r w:rsidR="0022291D" w:rsidRPr="00DB6C66">
              <w:rPr>
                <w:sz w:val="18"/>
                <w:szCs w:val="18"/>
                <w:vertAlign w:val="superscript"/>
                <w:lang w:val="fr-FR" w:eastAsia="en-GB"/>
              </w:rPr>
              <w:t>2</w:t>
            </w:r>
          </w:p>
        </w:tc>
        <w:tc>
          <w:tcPr>
            <w:tcW w:w="2063"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sz w:val="18"/>
                <w:szCs w:val="18"/>
                <w:lang w:val="fr-FR" w:eastAsia="en-GB"/>
              </w:rPr>
            </w:pPr>
            <w:r w:rsidRPr="00DB6C66">
              <w:rPr>
                <w:sz w:val="18"/>
                <w:szCs w:val="18"/>
                <w:lang w:val="fr-FR" w:eastAsia="en-GB"/>
              </w:rPr>
              <w:t>93 030 km</w:t>
            </w:r>
            <w:r w:rsidRPr="00DB6C66">
              <w:rPr>
                <w:sz w:val="18"/>
                <w:szCs w:val="18"/>
                <w:vertAlign w:val="superscript"/>
                <w:lang w:val="fr-FR" w:eastAsia="en-GB"/>
              </w:rPr>
              <w:t>2</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sz w:val="18"/>
                <w:szCs w:val="18"/>
                <w:lang w:val="fr-FR" w:eastAsia="en-GB"/>
              </w:rPr>
              <w:t>311 888</w:t>
            </w:r>
            <w:r w:rsidR="0022291D" w:rsidRPr="00DB6C66">
              <w:rPr>
                <w:sz w:val="18"/>
                <w:szCs w:val="18"/>
                <w:lang w:val="fr-FR" w:eastAsia="en-GB"/>
              </w:rPr>
              <w:t> km</w:t>
            </w:r>
            <w:r w:rsidR="0022291D" w:rsidRPr="00DB6C66">
              <w:rPr>
                <w:sz w:val="18"/>
                <w:szCs w:val="18"/>
                <w:vertAlign w:val="superscript"/>
                <w:lang w:val="fr-FR" w:eastAsia="en-GB"/>
              </w:rPr>
              <w:t>2</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sz w:val="18"/>
                <w:szCs w:val="18"/>
                <w:lang w:val="fr-FR" w:eastAsia="en-GB"/>
              </w:rPr>
            </w:pPr>
            <w:r w:rsidRPr="00DB6C66">
              <w:rPr>
                <w:sz w:val="18"/>
                <w:szCs w:val="18"/>
                <w:lang w:val="fr-FR" w:eastAsia="en-GB"/>
              </w:rPr>
              <w:t>49 036 km</w:t>
            </w:r>
            <w:r w:rsidRPr="00DB6C66">
              <w:rPr>
                <w:sz w:val="18"/>
                <w:szCs w:val="18"/>
                <w:vertAlign w:val="superscript"/>
                <w:lang w:val="fr-FR" w:eastAsia="en-GB"/>
              </w:rPr>
              <w:t>2</w:t>
            </w:r>
          </w:p>
        </w:tc>
      </w:tr>
      <w:tr w:rsidR="00DB6C66" w:rsidRPr="00620A17" w:rsidTr="006D3583">
        <w:trPr>
          <w:cantSplit/>
        </w:trPr>
        <w:tc>
          <w:tcPr>
            <w:tcW w:w="1774"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sz w:val="18"/>
                <w:szCs w:val="18"/>
                <w:lang w:val="fr-FR" w:eastAsia="en-GB"/>
              </w:rPr>
            </w:pPr>
            <w:r w:rsidRPr="00DB6C66">
              <w:rPr>
                <w:sz w:val="18"/>
                <w:szCs w:val="18"/>
                <w:lang w:val="fr-FR" w:eastAsia="en-GB"/>
              </w:rPr>
              <w:lastRenderedPageBreak/>
              <w:t xml:space="preserve">Activité des entreprises </w:t>
            </w:r>
            <w:r w:rsidR="004B34BE" w:rsidRPr="00DB6C66">
              <w:rPr>
                <w:sz w:val="18"/>
                <w:szCs w:val="18"/>
                <w:lang w:val="fr-FR" w:eastAsia="en-GB"/>
              </w:rPr>
              <w:t>en matière d</w:t>
            </w:r>
            <w:r w:rsidR="00280EEC">
              <w:rPr>
                <w:sz w:val="18"/>
                <w:szCs w:val="18"/>
                <w:lang w:val="fr-FR" w:eastAsia="en-GB"/>
              </w:rPr>
              <w:t>’</w:t>
            </w:r>
            <w:r w:rsidR="004B34BE" w:rsidRPr="00DB6C66">
              <w:rPr>
                <w:sz w:val="18"/>
                <w:szCs w:val="18"/>
                <w:lang w:val="fr-FR" w:eastAsia="en-GB"/>
              </w:rPr>
              <w:t>innovation</w:t>
            </w:r>
          </w:p>
        </w:tc>
        <w:tc>
          <w:tcPr>
            <w:tcW w:w="1784" w:type="dxa"/>
            <w:tcBorders>
              <w:top w:val="single" w:sz="4" w:space="0" w:color="auto"/>
              <w:left w:val="single" w:sz="4" w:space="0" w:color="auto"/>
              <w:bottom w:val="single" w:sz="4" w:space="0" w:color="auto"/>
              <w:right w:val="single" w:sz="4" w:space="0" w:color="auto"/>
            </w:tcBorders>
            <w:hideMark/>
          </w:tcPr>
          <w:p w:rsidR="0075654E" w:rsidRPr="00DB6C66" w:rsidRDefault="0022291D" w:rsidP="006D3583">
            <w:pPr>
              <w:spacing w:before="60" w:after="60"/>
              <w:rPr>
                <w:sz w:val="18"/>
                <w:szCs w:val="18"/>
                <w:lang w:val="fr-FR" w:eastAsia="en-GB"/>
              </w:rPr>
            </w:pPr>
            <w:r w:rsidRPr="00DB6C66">
              <w:rPr>
                <w:sz w:val="18"/>
                <w:szCs w:val="18"/>
                <w:lang w:val="fr-FR" w:eastAsia="en-GB"/>
              </w:rPr>
              <w:t xml:space="preserve">43,9% des entreprises sont </w:t>
            </w:r>
            <w:r w:rsidR="00DE589D" w:rsidRPr="00DB6C66">
              <w:rPr>
                <w:sz w:val="18"/>
                <w:szCs w:val="18"/>
                <w:lang w:val="fr-FR" w:eastAsia="en-GB"/>
              </w:rPr>
              <w:t>novatric</w:t>
            </w:r>
            <w:r w:rsidR="00564CA4" w:rsidRPr="00DB6C66">
              <w:rPr>
                <w:sz w:val="18"/>
                <w:szCs w:val="18"/>
                <w:lang w:val="fr-FR" w:eastAsia="en-GB"/>
              </w:rPr>
              <w:t>es (soit 38,2% des petites entre</w:t>
            </w:r>
            <w:r w:rsidR="00DE589D" w:rsidRPr="00DB6C66">
              <w:rPr>
                <w:sz w:val="18"/>
                <w:szCs w:val="18"/>
                <w:lang w:val="fr-FR" w:eastAsia="en-GB"/>
              </w:rPr>
              <w:t xml:space="preserve">prises, 57,6% des </w:t>
            </w:r>
            <w:r w:rsidR="00DF641F" w:rsidRPr="00DB6C66">
              <w:rPr>
                <w:sz w:val="18"/>
                <w:szCs w:val="18"/>
                <w:lang w:val="fr-FR" w:eastAsia="en-GB"/>
              </w:rPr>
              <w:t>entreprises</w:t>
            </w:r>
            <w:r w:rsidR="00DE589D" w:rsidRPr="00DB6C66">
              <w:rPr>
                <w:sz w:val="18"/>
                <w:szCs w:val="18"/>
                <w:lang w:val="fr-FR" w:eastAsia="en-GB"/>
              </w:rPr>
              <w:t xml:space="preserve"> moyennes et </w:t>
            </w:r>
            <w:r w:rsidR="0075654E" w:rsidRPr="00DB6C66">
              <w:rPr>
                <w:sz w:val="18"/>
                <w:szCs w:val="18"/>
                <w:lang w:val="fr-FR" w:eastAsia="en-GB"/>
              </w:rPr>
              <w:t xml:space="preserve">78,7% </w:t>
            </w:r>
            <w:r w:rsidR="00DE589D" w:rsidRPr="00DB6C66">
              <w:rPr>
                <w:sz w:val="18"/>
                <w:szCs w:val="18"/>
                <w:lang w:val="fr-FR" w:eastAsia="en-GB"/>
              </w:rPr>
              <w:t>des grandes entreprises</w:t>
            </w:r>
            <w:r w:rsidR="0075654E" w:rsidRPr="00DB6C66">
              <w:rPr>
                <w:sz w:val="18"/>
                <w:szCs w:val="18"/>
                <w:lang w:val="fr-FR" w:eastAsia="en-GB"/>
              </w:rPr>
              <w:t xml:space="preserve">) </w:t>
            </w:r>
            <w:r w:rsidR="00DE589D" w:rsidRPr="00DB6C66">
              <w:rPr>
                <w:sz w:val="18"/>
                <w:szCs w:val="18"/>
                <w:lang w:val="fr-FR" w:eastAsia="en-GB"/>
              </w:rPr>
              <w:t>–</w:t>
            </w:r>
            <w:r w:rsidR="0075654E" w:rsidRPr="00DB6C66">
              <w:rPr>
                <w:sz w:val="18"/>
                <w:szCs w:val="18"/>
                <w:lang w:val="fr-FR" w:eastAsia="en-GB"/>
              </w:rPr>
              <w:t xml:space="preserve"> </w:t>
            </w:r>
            <w:r w:rsidR="00DE589D" w:rsidRPr="00DB6C66">
              <w:rPr>
                <w:sz w:val="18"/>
                <w:szCs w:val="18"/>
                <w:lang w:val="fr-FR" w:eastAsia="en-GB"/>
              </w:rPr>
              <w:t>données pour</w:t>
            </w:r>
            <w:r w:rsidR="004E047D" w:rsidRPr="00DB6C66">
              <w:rPr>
                <w:sz w:val="18"/>
                <w:szCs w:val="18"/>
                <w:lang w:val="fr-FR" w:eastAsia="en-GB"/>
              </w:rPr>
              <w:t> </w:t>
            </w:r>
            <w:r w:rsidR="0075654E" w:rsidRPr="00DB6C66">
              <w:rPr>
                <w:sz w:val="18"/>
                <w:szCs w:val="18"/>
                <w:lang w:val="fr-FR" w:eastAsia="en-GB"/>
              </w:rPr>
              <w:t>2010</w:t>
            </w:r>
            <w:r w:rsidR="008117E3">
              <w:rPr>
                <w:sz w:val="18"/>
                <w:szCs w:val="18"/>
                <w:lang w:val="fr-FR" w:eastAsia="en-GB"/>
              </w:rPr>
              <w:noBreakHyphen/>
            </w:r>
            <w:r w:rsidR="0075654E" w:rsidRPr="00DB6C66">
              <w:rPr>
                <w:sz w:val="18"/>
                <w:szCs w:val="18"/>
                <w:lang w:val="fr-FR" w:eastAsia="en-GB"/>
              </w:rPr>
              <w:t>2012</w:t>
            </w:r>
          </w:p>
        </w:tc>
        <w:tc>
          <w:tcPr>
            <w:tcW w:w="2063" w:type="dxa"/>
            <w:tcBorders>
              <w:top w:val="single" w:sz="4" w:space="0" w:color="auto"/>
              <w:left w:val="single" w:sz="4" w:space="0" w:color="auto"/>
              <w:bottom w:val="single" w:sz="4" w:space="0" w:color="auto"/>
              <w:right w:val="single" w:sz="4" w:space="0" w:color="auto"/>
            </w:tcBorders>
            <w:hideMark/>
          </w:tcPr>
          <w:p w:rsidR="0075654E" w:rsidRPr="00DB6C66" w:rsidRDefault="00DE589D" w:rsidP="006D3583">
            <w:pPr>
              <w:spacing w:before="60" w:after="60"/>
              <w:rPr>
                <w:sz w:val="18"/>
                <w:szCs w:val="18"/>
                <w:lang w:val="fr-FR" w:eastAsia="en-GB"/>
              </w:rPr>
            </w:pPr>
            <w:r w:rsidRPr="00DB6C66">
              <w:rPr>
                <w:sz w:val="18"/>
                <w:szCs w:val="18"/>
                <w:lang w:val="fr-FR" w:eastAsia="en-GB"/>
              </w:rPr>
              <w:t>26</w:t>
            </w:r>
            <w:r w:rsidR="0075654E" w:rsidRPr="00DB6C66">
              <w:rPr>
                <w:sz w:val="18"/>
                <w:szCs w:val="18"/>
                <w:lang w:val="fr-FR" w:eastAsia="en-GB"/>
              </w:rPr>
              <w:t xml:space="preserve">% </w:t>
            </w:r>
            <w:r w:rsidRPr="00DB6C66">
              <w:rPr>
                <w:sz w:val="18"/>
                <w:szCs w:val="18"/>
                <w:lang w:val="fr-FR" w:eastAsia="en-GB"/>
              </w:rPr>
              <w:t xml:space="preserve">des petites </w:t>
            </w:r>
            <w:r w:rsidR="00DF641F" w:rsidRPr="00DB6C66">
              <w:rPr>
                <w:sz w:val="18"/>
                <w:szCs w:val="18"/>
                <w:lang w:val="fr-FR" w:eastAsia="en-GB"/>
              </w:rPr>
              <w:t>entreprises</w:t>
            </w:r>
            <w:r w:rsidRPr="00DB6C66">
              <w:rPr>
                <w:sz w:val="18"/>
                <w:szCs w:val="18"/>
                <w:lang w:val="fr-FR" w:eastAsia="en-GB"/>
              </w:rPr>
              <w:t>, 46</w:t>
            </w:r>
            <w:r w:rsidR="0075654E" w:rsidRPr="00DB6C66">
              <w:rPr>
                <w:sz w:val="18"/>
                <w:szCs w:val="18"/>
                <w:lang w:val="fr-FR" w:eastAsia="en-GB"/>
              </w:rPr>
              <w:t xml:space="preserve">% </w:t>
            </w:r>
            <w:r w:rsidRPr="00DB6C66">
              <w:rPr>
                <w:sz w:val="18"/>
                <w:szCs w:val="18"/>
                <w:lang w:val="fr-FR" w:eastAsia="en-GB"/>
              </w:rPr>
              <w:t xml:space="preserve">des </w:t>
            </w:r>
            <w:r w:rsidR="00DF641F" w:rsidRPr="00DB6C66">
              <w:rPr>
                <w:sz w:val="18"/>
                <w:szCs w:val="18"/>
                <w:lang w:val="fr-FR" w:eastAsia="en-GB"/>
              </w:rPr>
              <w:t>entreprises</w:t>
            </w:r>
            <w:r w:rsidRPr="00DB6C66">
              <w:rPr>
                <w:sz w:val="18"/>
                <w:szCs w:val="18"/>
                <w:lang w:val="fr-FR" w:eastAsia="en-GB"/>
              </w:rPr>
              <w:t xml:space="preserve"> moyennes et 70</w:t>
            </w:r>
            <w:r w:rsidR="0075654E" w:rsidRPr="00DB6C66">
              <w:rPr>
                <w:sz w:val="18"/>
                <w:szCs w:val="18"/>
                <w:lang w:val="fr-FR" w:eastAsia="en-GB"/>
              </w:rPr>
              <w:t xml:space="preserve">% </w:t>
            </w:r>
            <w:r w:rsidRPr="00DB6C66">
              <w:rPr>
                <w:sz w:val="18"/>
                <w:szCs w:val="18"/>
                <w:lang w:val="fr-FR" w:eastAsia="en-GB"/>
              </w:rPr>
              <w:t>des grandes entreprises sont novatrices</w:t>
            </w:r>
            <w:r w:rsidR="0075654E" w:rsidRPr="00DB6C66">
              <w:rPr>
                <w:sz w:val="18"/>
                <w:szCs w:val="18"/>
                <w:lang w:val="fr-FR" w:eastAsia="en-GB"/>
              </w:rPr>
              <w:t xml:space="preserve"> (</w:t>
            </w:r>
            <w:r w:rsidRPr="00DB6C66">
              <w:rPr>
                <w:sz w:val="18"/>
                <w:szCs w:val="18"/>
                <w:lang w:val="fr-FR" w:eastAsia="en-GB"/>
              </w:rPr>
              <w:t>données pour</w:t>
            </w:r>
            <w:r w:rsidR="004E047D" w:rsidRPr="00DB6C66">
              <w:rPr>
                <w:sz w:val="18"/>
                <w:szCs w:val="18"/>
                <w:lang w:val="fr-FR" w:eastAsia="en-GB"/>
              </w:rPr>
              <w:t> </w:t>
            </w:r>
            <w:r w:rsidR="0075654E" w:rsidRPr="00DB6C66">
              <w:rPr>
                <w:sz w:val="18"/>
                <w:szCs w:val="18"/>
                <w:lang w:val="fr-FR" w:eastAsia="en-GB"/>
              </w:rPr>
              <w:t xml:space="preserve">2010, source Eurostat, </w:t>
            </w:r>
            <w:r w:rsidR="00564CA4" w:rsidRPr="00DB6C66">
              <w:rPr>
                <w:sz w:val="18"/>
                <w:szCs w:val="18"/>
                <w:lang w:val="fr-FR" w:eastAsia="en-GB"/>
              </w:rPr>
              <w:t>Enquête communautaire sur l</w:t>
            </w:r>
            <w:r w:rsidR="00280EEC">
              <w:rPr>
                <w:sz w:val="18"/>
                <w:szCs w:val="18"/>
                <w:lang w:val="fr-FR" w:eastAsia="en-GB"/>
              </w:rPr>
              <w:t>’</w:t>
            </w:r>
            <w:r w:rsidR="00564CA4" w:rsidRPr="00DB6C66">
              <w:rPr>
                <w:sz w:val="18"/>
                <w:szCs w:val="18"/>
                <w:lang w:val="fr-FR" w:eastAsia="en-GB"/>
              </w:rPr>
              <w:t>innovation</w:t>
            </w:r>
            <w:r w:rsidR="0075654E" w:rsidRPr="00DB6C66">
              <w:rPr>
                <w:sz w:val="18"/>
                <w:szCs w:val="18"/>
                <w:lang w:val="fr-FR" w:eastAsia="en-GB"/>
              </w:rPr>
              <w:t>, 2012)</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FE05C6" w:rsidP="006D3583">
            <w:pPr>
              <w:spacing w:before="60" w:after="60"/>
              <w:rPr>
                <w:sz w:val="18"/>
                <w:szCs w:val="18"/>
                <w:lang w:val="fr-FR" w:eastAsia="en-GB"/>
              </w:rPr>
            </w:pPr>
            <w:r w:rsidRPr="00DB6C66">
              <w:rPr>
                <w:sz w:val="18"/>
                <w:szCs w:val="18"/>
                <w:lang w:val="fr-FR" w:eastAsia="en-GB"/>
              </w:rPr>
              <w:t>23</w:t>
            </w:r>
            <w:r w:rsidR="0075654E" w:rsidRPr="00DB6C66">
              <w:rPr>
                <w:sz w:val="18"/>
                <w:szCs w:val="18"/>
                <w:lang w:val="fr-FR" w:eastAsia="en-GB"/>
              </w:rPr>
              <w:t xml:space="preserve">% </w:t>
            </w:r>
            <w:r w:rsidRPr="00DB6C66">
              <w:rPr>
                <w:sz w:val="18"/>
                <w:szCs w:val="18"/>
                <w:lang w:val="fr-FR" w:eastAsia="en-GB"/>
              </w:rPr>
              <w:t xml:space="preserve">des petites </w:t>
            </w:r>
            <w:r w:rsidR="00FB7DB1" w:rsidRPr="00DB6C66">
              <w:rPr>
                <w:sz w:val="18"/>
                <w:szCs w:val="18"/>
                <w:lang w:val="fr-FR" w:eastAsia="en-GB"/>
              </w:rPr>
              <w:t>entre</w:t>
            </w:r>
            <w:r w:rsidRPr="00DB6C66">
              <w:rPr>
                <w:sz w:val="18"/>
                <w:szCs w:val="18"/>
                <w:lang w:val="fr-FR" w:eastAsia="en-GB"/>
              </w:rPr>
              <w:t>prises, 40</w:t>
            </w:r>
            <w:r w:rsidR="0075654E" w:rsidRPr="00DB6C66">
              <w:rPr>
                <w:sz w:val="18"/>
                <w:szCs w:val="18"/>
                <w:lang w:val="fr-FR" w:eastAsia="en-GB"/>
              </w:rPr>
              <w:t xml:space="preserve">% </w:t>
            </w:r>
            <w:r w:rsidRPr="00DB6C66">
              <w:rPr>
                <w:sz w:val="18"/>
                <w:szCs w:val="18"/>
                <w:lang w:val="fr-FR" w:eastAsia="en-GB"/>
              </w:rPr>
              <w:t>des e</w:t>
            </w:r>
            <w:r w:rsidR="00FB7DB1" w:rsidRPr="00DB6C66">
              <w:rPr>
                <w:sz w:val="18"/>
                <w:szCs w:val="18"/>
                <w:lang w:val="fr-FR" w:eastAsia="en-GB"/>
              </w:rPr>
              <w:t>ntreprises moyennes et 68</w:t>
            </w:r>
            <w:r w:rsidR="0075654E" w:rsidRPr="00DB6C66">
              <w:rPr>
                <w:sz w:val="18"/>
                <w:szCs w:val="18"/>
                <w:lang w:val="fr-FR" w:eastAsia="en-GB"/>
              </w:rPr>
              <w:t xml:space="preserve">% </w:t>
            </w:r>
            <w:r w:rsidR="00FB7DB1" w:rsidRPr="00DB6C66">
              <w:rPr>
                <w:sz w:val="18"/>
                <w:szCs w:val="18"/>
                <w:lang w:val="fr-FR" w:eastAsia="en-GB"/>
              </w:rPr>
              <w:t>des grandes entreprises sont novatrices</w:t>
            </w:r>
            <w:r w:rsidR="0075654E" w:rsidRPr="00DB6C66">
              <w:rPr>
                <w:sz w:val="18"/>
                <w:szCs w:val="18"/>
                <w:lang w:val="fr-FR" w:eastAsia="en-GB"/>
              </w:rPr>
              <w:t xml:space="preserve"> (</w:t>
            </w:r>
            <w:r w:rsidR="00E22E06" w:rsidRPr="00DB6C66">
              <w:rPr>
                <w:sz w:val="18"/>
                <w:szCs w:val="18"/>
                <w:lang w:val="fr-FR" w:eastAsia="en-GB"/>
              </w:rPr>
              <w:t>en</w:t>
            </w:r>
            <w:r w:rsidR="004E047D" w:rsidRPr="00DB6C66">
              <w:rPr>
                <w:sz w:val="18"/>
                <w:szCs w:val="18"/>
                <w:lang w:val="fr-FR" w:eastAsia="en-GB"/>
              </w:rPr>
              <w:t> </w:t>
            </w:r>
            <w:r w:rsidR="00E22E06" w:rsidRPr="00DB6C66">
              <w:rPr>
                <w:sz w:val="18"/>
                <w:szCs w:val="18"/>
                <w:lang w:val="fr-FR" w:eastAsia="en-GB"/>
              </w:rPr>
              <w:t>2010</w:t>
            </w:r>
            <w:r w:rsidR="0075654E" w:rsidRPr="00DB6C66">
              <w:rPr>
                <w:sz w:val="18"/>
                <w:szCs w:val="18"/>
                <w:lang w:val="fr-FR" w:eastAsia="en-GB"/>
              </w:rPr>
              <w:t>)</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4D35CA" w:rsidP="006D3583">
            <w:pPr>
              <w:spacing w:before="60" w:after="60"/>
              <w:rPr>
                <w:sz w:val="18"/>
                <w:szCs w:val="18"/>
                <w:lang w:val="fr-FR" w:eastAsia="en-GB"/>
              </w:rPr>
            </w:pPr>
            <w:r w:rsidRPr="00DB6C66">
              <w:rPr>
                <w:sz w:val="18"/>
                <w:szCs w:val="18"/>
                <w:lang w:val="fr-FR" w:eastAsia="en-GB"/>
              </w:rPr>
              <w:t>34</w:t>
            </w:r>
            <w:r w:rsidR="0075654E" w:rsidRPr="00DB6C66">
              <w:rPr>
                <w:sz w:val="18"/>
                <w:szCs w:val="18"/>
                <w:lang w:val="fr-FR" w:eastAsia="en-GB"/>
              </w:rPr>
              <w:t xml:space="preserve">% </w:t>
            </w:r>
            <w:r w:rsidRPr="00DB6C66">
              <w:rPr>
                <w:sz w:val="18"/>
                <w:szCs w:val="18"/>
                <w:lang w:val="fr-FR" w:eastAsia="en-GB"/>
              </w:rPr>
              <w:t xml:space="preserve">de toutes les entreprises </w:t>
            </w:r>
            <w:r w:rsidR="0075654E" w:rsidRPr="00DB6C66">
              <w:rPr>
                <w:sz w:val="18"/>
                <w:szCs w:val="18"/>
                <w:lang w:val="fr-FR" w:eastAsia="en-GB"/>
              </w:rPr>
              <w:t xml:space="preserve">(624 173) </w:t>
            </w:r>
            <w:r w:rsidRPr="00DB6C66">
              <w:rPr>
                <w:sz w:val="18"/>
                <w:szCs w:val="18"/>
                <w:lang w:val="fr-FR" w:eastAsia="en-GB"/>
              </w:rPr>
              <w:t>ont des activités</w:t>
            </w:r>
            <w:r w:rsidR="004B34BE" w:rsidRPr="00DB6C66">
              <w:rPr>
                <w:sz w:val="18"/>
                <w:szCs w:val="18"/>
                <w:lang w:val="fr-FR" w:eastAsia="en-GB"/>
              </w:rPr>
              <w:t xml:space="preserve"> en matière</w:t>
            </w:r>
            <w:r w:rsidRPr="00DB6C66">
              <w:rPr>
                <w:sz w:val="18"/>
                <w:szCs w:val="18"/>
                <w:lang w:val="fr-FR" w:eastAsia="en-GB"/>
              </w:rPr>
              <w:t xml:space="preserve"> d</w:t>
            </w:r>
            <w:r w:rsidR="00280EEC">
              <w:rPr>
                <w:sz w:val="18"/>
                <w:szCs w:val="18"/>
                <w:lang w:val="fr-FR" w:eastAsia="en-GB"/>
              </w:rPr>
              <w:t>’</w:t>
            </w:r>
            <w:r w:rsidRPr="00DB6C66">
              <w:rPr>
                <w:sz w:val="18"/>
                <w:szCs w:val="18"/>
                <w:lang w:val="fr-FR" w:eastAsia="en-GB"/>
              </w:rPr>
              <w:t>innovation (</w:t>
            </w:r>
            <w:r w:rsidR="00280EEC">
              <w:rPr>
                <w:sz w:val="18"/>
                <w:szCs w:val="18"/>
                <w:lang w:val="fr-FR" w:eastAsia="en-GB"/>
              </w:rPr>
              <w:t>y compris</w:t>
            </w:r>
            <w:r w:rsidRPr="00DB6C66">
              <w:rPr>
                <w:sz w:val="18"/>
                <w:szCs w:val="18"/>
                <w:lang w:val="fr-FR" w:eastAsia="en-GB"/>
              </w:rPr>
              <w:t xml:space="preserve"> des innovations non technologi</w:t>
            </w:r>
            <w:r w:rsidR="00A53B72" w:rsidRPr="00DB6C66">
              <w:rPr>
                <w:sz w:val="18"/>
                <w:szCs w:val="18"/>
                <w:lang w:val="fr-FR" w:eastAsia="en-GB"/>
              </w:rPr>
              <w:t>qu</w:t>
            </w:r>
            <w:r w:rsidRPr="00DB6C66">
              <w:rPr>
                <w:sz w:val="18"/>
                <w:szCs w:val="18"/>
                <w:lang w:val="fr-FR" w:eastAsia="en-GB"/>
              </w:rPr>
              <w:t>es)</w:t>
            </w:r>
          </w:p>
        </w:tc>
      </w:tr>
      <w:tr w:rsidR="00DB6C66" w:rsidRPr="00620A17" w:rsidTr="006D3583">
        <w:trPr>
          <w:cantSplit/>
        </w:trPr>
        <w:tc>
          <w:tcPr>
            <w:tcW w:w="1774" w:type="dxa"/>
            <w:tcBorders>
              <w:top w:val="single" w:sz="4" w:space="0" w:color="auto"/>
              <w:left w:val="single" w:sz="4" w:space="0" w:color="auto"/>
              <w:bottom w:val="single" w:sz="4" w:space="0" w:color="auto"/>
              <w:right w:val="single" w:sz="4" w:space="0" w:color="auto"/>
            </w:tcBorders>
            <w:hideMark/>
          </w:tcPr>
          <w:p w:rsidR="0075654E" w:rsidRPr="00DB6C66" w:rsidRDefault="00E27EC3" w:rsidP="006D3583">
            <w:pPr>
              <w:spacing w:before="60" w:after="60"/>
              <w:rPr>
                <w:sz w:val="18"/>
                <w:szCs w:val="18"/>
                <w:lang w:val="fr-FR" w:eastAsia="en-GB"/>
              </w:rPr>
            </w:pPr>
            <w:r w:rsidRPr="00DB6C66">
              <w:rPr>
                <w:sz w:val="18"/>
                <w:szCs w:val="18"/>
                <w:lang w:val="fr-FR" w:eastAsia="en-GB"/>
              </w:rPr>
              <w:t>Variation des d</w:t>
            </w:r>
            <w:r w:rsidR="00E72256" w:rsidRPr="00DB6C66">
              <w:rPr>
                <w:sz w:val="18"/>
                <w:szCs w:val="18"/>
                <w:lang w:val="fr-FR" w:eastAsia="en-GB"/>
              </w:rPr>
              <w:t>épenses en faveur de la recherche</w:t>
            </w:r>
            <w:r w:rsidR="008117E3">
              <w:rPr>
                <w:sz w:val="18"/>
                <w:szCs w:val="18"/>
                <w:lang w:val="fr-FR" w:eastAsia="en-GB"/>
              </w:rPr>
              <w:noBreakHyphen/>
            </w:r>
            <w:r w:rsidR="00E72256" w:rsidRPr="00DB6C66">
              <w:rPr>
                <w:sz w:val="18"/>
                <w:szCs w:val="18"/>
                <w:lang w:val="fr-FR" w:eastAsia="en-GB"/>
              </w:rPr>
              <w:t>développement (en pourcentage</w:t>
            </w:r>
            <w:r w:rsidR="0075654E" w:rsidRPr="00DB6C66">
              <w:rPr>
                <w:sz w:val="18"/>
                <w:szCs w:val="18"/>
                <w:lang w:val="fr-FR" w:eastAsia="en-GB"/>
              </w:rPr>
              <w:t>)</w:t>
            </w:r>
          </w:p>
        </w:tc>
        <w:tc>
          <w:tcPr>
            <w:tcW w:w="1784" w:type="dxa"/>
            <w:tcBorders>
              <w:top w:val="single" w:sz="4" w:space="0" w:color="auto"/>
              <w:left w:val="single" w:sz="4" w:space="0" w:color="auto"/>
              <w:bottom w:val="single" w:sz="4" w:space="0" w:color="auto"/>
              <w:right w:val="single" w:sz="4" w:space="0" w:color="auto"/>
            </w:tcBorders>
            <w:hideMark/>
          </w:tcPr>
          <w:p w:rsidR="00DB3999" w:rsidRPr="00DB6C66" w:rsidRDefault="0075654E" w:rsidP="006D3583">
            <w:pPr>
              <w:spacing w:before="60" w:after="60"/>
              <w:rPr>
                <w:sz w:val="18"/>
                <w:szCs w:val="18"/>
                <w:lang w:val="fr-FR" w:eastAsia="en-GB"/>
              </w:rPr>
            </w:pPr>
            <w:r w:rsidRPr="00DB6C66">
              <w:rPr>
                <w:sz w:val="18"/>
                <w:szCs w:val="18"/>
                <w:lang w:val="fr-FR" w:eastAsia="en-GB"/>
              </w:rPr>
              <w:t xml:space="preserve">+7,57% </w:t>
            </w:r>
            <w:r w:rsidR="00E72256" w:rsidRPr="00DB6C66">
              <w:rPr>
                <w:sz w:val="18"/>
                <w:szCs w:val="18"/>
                <w:lang w:val="fr-FR" w:eastAsia="en-GB"/>
              </w:rPr>
              <w:t>en</w:t>
            </w:r>
            <w:r w:rsidR="004E047D" w:rsidRPr="00DB6C66">
              <w:rPr>
                <w:sz w:val="18"/>
                <w:szCs w:val="18"/>
                <w:lang w:val="fr-FR" w:eastAsia="en-GB"/>
              </w:rPr>
              <w:t> </w:t>
            </w:r>
            <w:r w:rsidRPr="00DB6C66">
              <w:rPr>
                <w:sz w:val="18"/>
                <w:szCs w:val="18"/>
                <w:lang w:val="fr-FR" w:eastAsia="en-GB"/>
              </w:rPr>
              <w:t>2013</w:t>
            </w:r>
          </w:p>
          <w:p w:rsidR="00DB3999" w:rsidRPr="00DB6C66" w:rsidRDefault="0075654E" w:rsidP="006D3583">
            <w:pPr>
              <w:spacing w:before="60" w:after="60"/>
              <w:rPr>
                <w:sz w:val="18"/>
                <w:szCs w:val="18"/>
                <w:lang w:val="fr-FR" w:eastAsia="en-GB"/>
              </w:rPr>
            </w:pPr>
            <w:r w:rsidRPr="00DB6C66">
              <w:rPr>
                <w:sz w:val="18"/>
                <w:szCs w:val="18"/>
                <w:lang w:val="fr-FR" w:eastAsia="en-GB"/>
              </w:rPr>
              <w:t>77 839</w:t>
            </w:r>
            <w:r w:rsidR="004E047D" w:rsidRPr="00DB6C66">
              <w:rPr>
                <w:sz w:val="18"/>
                <w:szCs w:val="18"/>
                <w:lang w:val="fr-FR" w:eastAsia="en-GB"/>
              </w:rPr>
              <w:t> </w:t>
            </w:r>
            <w:r w:rsidRPr="00DB6C66">
              <w:rPr>
                <w:sz w:val="18"/>
                <w:szCs w:val="18"/>
                <w:lang w:val="fr-FR" w:eastAsia="en-GB"/>
              </w:rPr>
              <w:t>million</w:t>
            </w:r>
            <w:r w:rsidR="00E72256" w:rsidRPr="00DB6C66">
              <w:rPr>
                <w:sz w:val="18"/>
                <w:szCs w:val="18"/>
                <w:lang w:val="fr-FR" w:eastAsia="en-GB"/>
              </w:rPr>
              <w:t>s de couronnes tchèques</w:t>
            </w:r>
            <w:r w:rsidRPr="00DB6C66">
              <w:rPr>
                <w:sz w:val="18"/>
                <w:szCs w:val="18"/>
                <w:lang w:val="fr-FR" w:eastAsia="en-GB"/>
              </w:rPr>
              <w:t xml:space="preserve"> (2013),</w:t>
            </w:r>
          </w:p>
          <w:p w:rsidR="00E01D11" w:rsidRPr="00DB6C66" w:rsidRDefault="0075654E" w:rsidP="006D3583">
            <w:pPr>
              <w:spacing w:before="60" w:after="60"/>
              <w:rPr>
                <w:sz w:val="18"/>
                <w:szCs w:val="18"/>
                <w:lang w:val="fr-FR" w:eastAsia="en-GB"/>
              </w:rPr>
            </w:pPr>
            <w:r w:rsidRPr="00DB6C66">
              <w:rPr>
                <w:sz w:val="18"/>
                <w:szCs w:val="18"/>
                <w:lang w:val="fr-FR" w:eastAsia="en-GB"/>
              </w:rPr>
              <w:t>72 360</w:t>
            </w:r>
            <w:r w:rsidR="004E047D" w:rsidRPr="00DB6C66">
              <w:rPr>
                <w:sz w:val="18"/>
                <w:szCs w:val="18"/>
                <w:lang w:val="fr-FR" w:eastAsia="en-GB"/>
              </w:rPr>
              <w:t> </w:t>
            </w:r>
            <w:r w:rsidR="00E72256" w:rsidRPr="00DB6C66">
              <w:rPr>
                <w:sz w:val="18"/>
                <w:szCs w:val="18"/>
                <w:lang w:val="fr-FR" w:eastAsia="en-GB"/>
              </w:rPr>
              <w:t xml:space="preserve">millions de couronnes tchèques </w:t>
            </w:r>
            <w:r w:rsidRPr="00DB6C66">
              <w:rPr>
                <w:sz w:val="18"/>
                <w:szCs w:val="18"/>
                <w:lang w:val="fr-FR" w:eastAsia="en-GB"/>
              </w:rPr>
              <w:t>(2012)</w:t>
            </w:r>
          </w:p>
          <w:p w:rsidR="00DB3999" w:rsidRPr="00DB6C66" w:rsidRDefault="0075654E" w:rsidP="006D3583">
            <w:pPr>
              <w:spacing w:before="60" w:after="60"/>
              <w:rPr>
                <w:sz w:val="18"/>
                <w:szCs w:val="18"/>
                <w:lang w:val="fr-FR" w:eastAsia="en-GB"/>
              </w:rPr>
            </w:pPr>
            <w:r w:rsidRPr="00DB6C66">
              <w:rPr>
                <w:sz w:val="18"/>
                <w:szCs w:val="18"/>
                <w:lang w:val="fr-FR" w:eastAsia="en-GB"/>
              </w:rPr>
              <w:t>62 753</w:t>
            </w:r>
            <w:r w:rsidR="004E047D" w:rsidRPr="00DB6C66">
              <w:rPr>
                <w:sz w:val="18"/>
                <w:szCs w:val="18"/>
                <w:lang w:val="fr-FR" w:eastAsia="en-GB"/>
              </w:rPr>
              <w:t> </w:t>
            </w:r>
            <w:r w:rsidR="00E72256" w:rsidRPr="00DB6C66">
              <w:rPr>
                <w:sz w:val="18"/>
                <w:szCs w:val="18"/>
                <w:lang w:val="fr-FR" w:eastAsia="en-GB"/>
              </w:rPr>
              <w:t xml:space="preserve">millions de couronnes tchèques </w:t>
            </w:r>
            <w:r w:rsidRPr="00DB6C66">
              <w:rPr>
                <w:sz w:val="18"/>
                <w:szCs w:val="18"/>
                <w:lang w:val="fr-FR" w:eastAsia="en-GB"/>
              </w:rPr>
              <w:t>(2011)</w:t>
            </w:r>
          </w:p>
          <w:p w:rsidR="0075654E" w:rsidRPr="00DB6C66" w:rsidRDefault="009902A8" w:rsidP="006D3583">
            <w:pPr>
              <w:spacing w:before="60" w:after="60"/>
              <w:rPr>
                <w:sz w:val="18"/>
                <w:szCs w:val="18"/>
                <w:lang w:val="fr-FR" w:eastAsia="en-GB"/>
              </w:rPr>
            </w:pPr>
            <w:r w:rsidRPr="00DB6C66">
              <w:rPr>
                <w:sz w:val="18"/>
                <w:szCs w:val="18"/>
                <w:lang w:val="fr-FR" w:eastAsia="en-GB"/>
              </w:rPr>
              <w:t>Dépenses brutes en R</w:t>
            </w:r>
            <w:r w:rsidR="008117E3">
              <w:rPr>
                <w:sz w:val="18"/>
                <w:szCs w:val="18"/>
                <w:lang w:val="fr-FR" w:eastAsia="en-GB"/>
              </w:rPr>
              <w:noBreakHyphen/>
            </w:r>
            <w:r w:rsidRPr="00DB6C66">
              <w:rPr>
                <w:sz w:val="18"/>
                <w:szCs w:val="18"/>
                <w:lang w:val="fr-FR" w:eastAsia="en-GB"/>
              </w:rPr>
              <w:t>D</w:t>
            </w:r>
            <w:r w:rsidR="004E047D" w:rsidRPr="00DB6C66">
              <w:rPr>
                <w:sz w:val="18"/>
                <w:szCs w:val="18"/>
                <w:lang w:val="fr-FR" w:eastAsia="en-GB"/>
              </w:rPr>
              <w:t> </w:t>
            </w:r>
            <w:r w:rsidR="0075654E" w:rsidRPr="00DB6C66">
              <w:rPr>
                <w:sz w:val="18"/>
                <w:szCs w:val="18"/>
                <w:lang w:val="fr-FR" w:eastAsia="en-GB"/>
              </w:rPr>
              <w:t>: 1,88%</w:t>
            </w:r>
            <w:r w:rsidR="00E01D11" w:rsidRPr="00DB6C66">
              <w:rPr>
                <w:sz w:val="18"/>
                <w:szCs w:val="18"/>
                <w:lang w:val="fr-FR" w:eastAsia="en-GB"/>
              </w:rPr>
              <w:t xml:space="preserve"> du PIB</w:t>
            </w:r>
            <w:r w:rsidR="0075654E" w:rsidRPr="00DB6C66">
              <w:rPr>
                <w:sz w:val="18"/>
                <w:szCs w:val="18"/>
                <w:lang w:val="fr-FR" w:eastAsia="en-GB"/>
              </w:rPr>
              <w:t xml:space="preserve"> </w:t>
            </w:r>
            <w:r w:rsidR="00F66B25" w:rsidRPr="00DB6C66">
              <w:rPr>
                <w:sz w:val="18"/>
                <w:szCs w:val="18"/>
                <w:lang w:val="fr-FR" w:eastAsia="en-GB"/>
              </w:rPr>
              <w:t>en </w:t>
            </w:r>
            <w:r w:rsidR="0075654E" w:rsidRPr="00DB6C66">
              <w:rPr>
                <w:sz w:val="18"/>
                <w:szCs w:val="18"/>
                <w:lang w:val="fr-FR" w:eastAsia="en-GB"/>
              </w:rPr>
              <w:t>2012, 1,64%</w:t>
            </w:r>
            <w:r w:rsidR="00E01D11" w:rsidRPr="00DB6C66">
              <w:rPr>
                <w:sz w:val="18"/>
                <w:szCs w:val="18"/>
                <w:lang w:val="fr-FR" w:eastAsia="en-GB"/>
              </w:rPr>
              <w:t xml:space="preserve"> du PIB</w:t>
            </w:r>
            <w:r w:rsidR="00F66B25" w:rsidRPr="00DB6C66">
              <w:rPr>
                <w:sz w:val="18"/>
                <w:szCs w:val="18"/>
                <w:lang w:val="fr-FR" w:eastAsia="en-GB"/>
              </w:rPr>
              <w:t xml:space="preserve"> en </w:t>
            </w:r>
            <w:r w:rsidR="0075654E" w:rsidRPr="00DB6C66">
              <w:rPr>
                <w:sz w:val="18"/>
                <w:szCs w:val="18"/>
                <w:lang w:val="fr-FR" w:eastAsia="en-GB"/>
              </w:rPr>
              <w:t>2011</w:t>
            </w:r>
          </w:p>
        </w:tc>
        <w:tc>
          <w:tcPr>
            <w:tcW w:w="2063" w:type="dxa"/>
            <w:tcBorders>
              <w:top w:val="single" w:sz="4" w:space="0" w:color="auto"/>
              <w:left w:val="single" w:sz="4" w:space="0" w:color="auto"/>
              <w:bottom w:val="single" w:sz="4" w:space="0" w:color="auto"/>
              <w:right w:val="single" w:sz="4" w:space="0" w:color="auto"/>
            </w:tcBorders>
            <w:hideMark/>
          </w:tcPr>
          <w:p w:rsidR="0075654E" w:rsidRPr="00DB6C66" w:rsidRDefault="00C738CF" w:rsidP="006D3583">
            <w:pPr>
              <w:spacing w:before="60" w:after="60"/>
              <w:rPr>
                <w:sz w:val="18"/>
                <w:szCs w:val="18"/>
                <w:lang w:val="fr-FR" w:eastAsia="en-GB"/>
              </w:rPr>
            </w:pPr>
            <w:r w:rsidRPr="00DB6C66">
              <w:rPr>
                <w:sz w:val="18"/>
                <w:szCs w:val="18"/>
                <w:lang w:val="fr-FR" w:eastAsia="en-GB"/>
              </w:rPr>
              <w:t>+10,77</w:t>
            </w:r>
            <w:r w:rsidR="0075654E" w:rsidRPr="00DB6C66">
              <w:rPr>
                <w:sz w:val="18"/>
                <w:szCs w:val="18"/>
                <w:lang w:val="fr-FR" w:eastAsia="en-GB"/>
              </w:rPr>
              <w:t xml:space="preserve">% </w:t>
            </w:r>
            <w:r w:rsidRPr="00DB6C66">
              <w:rPr>
                <w:sz w:val="18"/>
                <w:szCs w:val="18"/>
                <w:lang w:val="fr-FR" w:eastAsia="en-GB"/>
              </w:rPr>
              <w:t>en</w:t>
            </w:r>
            <w:r w:rsidR="004E047D" w:rsidRPr="00DB6C66">
              <w:rPr>
                <w:sz w:val="18"/>
                <w:szCs w:val="18"/>
                <w:lang w:val="fr-FR" w:eastAsia="en-GB"/>
              </w:rPr>
              <w:t> </w:t>
            </w:r>
            <w:r w:rsidRPr="00DB6C66">
              <w:rPr>
                <w:sz w:val="18"/>
                <w:szCs w:val="18"/>
                <w:lang w:val="fr-FR" w:eastAsia="en-GB"/>
              </w:rPr>
              <w:t>2013 (de 1,30</w:t>
            </w:r>
            <w:r w:rsidR="0075654E" w:rsidRPr="00DB6C66">
              <w:rPr>
                <w:sz w:val="18"/>
                <w:szCs w:val="18"/>
                <w:lang w:val="fr-FR" w:eastAsia="en-GB"/>
              </w:rPr>
              <w:t xml:space="preserve">% </w:t>
            </w:r>
            <w:r w:rsidRPr="00DB6C66">
              <w:rPr>
                <w:sz w:val="18"/>
                <w:szCs w:val="18"/>
                <w:lang w:val="fr-FR" w:eastAsia="en-GB"/>
              </w:rPr>
              <w:t>en </w:t>
            </w:r>
            <w:r w:rsidR="0075654E" w:rsidRPr="00DB6C66">
              <w:rPr>
                <w:sz w:val="18"/>
                <w:szCs w:val="18"/>
                <w:lang w:val="fr-FR" w:eastAsia="en-GB"/>
              </w:rPr>
              <w:t xml:space="preserve">2012 </w:t>
            </w:r>
            <w:r w:rsidRPr="00DB6C66">
              <w:rPr>
                <w:sz w:val="18"/>
                <w:szCs w:val="18"/>
                <w:lang w:val="fr-FR" w:eastAsia="en-GB"/>
              </w:rPr>
              <w:t>à 1,44</w:t>
            </w:r>
            <w:r w:rsidR="0075654E" w:rsidRPr="00DB6C66">
              <w:rPr>
                <w:sz w:val="18"/>
                <w:szCs w:val="18"/>
                <w:lang w:val="fr-FR" w:eastAsia="en-GB"/>
              </w:rPr>
              <w:t>%</w:t>
            </w:r>
            <w:r w:rsidR="00E01D11" w:rsidRPr="00DB6C66">
              <w:rPr>
                <w:sz w:val="18"/>
                <w:szCs w:val="18"/>
                <w:lang w:val="fr-FR" w:eastAsia="en-GB"/>
              </w:rPr>
              <w:t xml:space="preserve"> du PIB</w:t>
            </w:r>
            <w:r w:rsidR="00A53B72" w:rsidRPr="00DB6C66">
              <w:rPr>
                <w:sz w:val="18"/>
                <w:szCs w:val="18"/>
                <w:lang w:val="fr-FR" w:eastAsia="en-GB"/>
              </w:rPr>
              <w:t xml:space="preserve"> en </w:t>
            </w:r>
            <w:r w:rsidR="0075654E" w:rsidRPr="00DB6C66">
              <w:rPr>
                <w:sz w:val="18"/>
                <w:szCs w:val="18"/>
                <w:lang w:val="fr-FR" w:eastAsia="en-GB"/>
              </w:rPr>
              <w:t xml:space="preserve">2013, </w:t>
            </w:r>
            <w:r w:rsidR="00A53B72" w:rsidRPr="00DB6C66">
              <w:rPr>
                <w:sz w:val="18"/>
                <w:szCs w:val="18"/>
                <w:lang w:val="fr-FR" w:eastAsia="en-GB"/>
              </w:rPr>
              <w:t xml:space="preserve">soit </w:t>
            </w:r>
            <w:r w:rsidR="0075654E" w:rsidRPr="00DB6C66">
              <w:rPr>
                <w:sz w:val="18"/>
                <w:szCs w:val="18"/>
                <w:lang w:val="fr-FR" w:eastAsia="en-GB"/>
              </w:rPr>
              <w:t>429,78</w:t>
            </w:r>
            <w:r w:rsidR="00A53B72" w:rsidRPr="00DB6C66">
              <w:rPr>
                <w:sz w:val="18"/>
                <w:szCs w:val="18"/>
                <w:lang w:val="fr-FR" w:eastAsia="en-GB"/>
              </w:rPr>
              <w:t> </w:t>
            </w:r>
            <w:r w:rsidRPr="00DB6C66">
              <w:rPr>
                <w:sz w:val="18"/>
                <w:szCs w:val="18"/>
                <w:lang w:val="fr-FR" w:eastAsia="en-GB"/>
              </w:rPr>
              <w:t>milliards de forint</w:t>
            </w:r>
            <w:r w:rsidR="0075654E" w:rsidRPr="00DB6C66">
              <w:rPr>
                <w:sz w:val="18"/>
                <w:szCs w:val="18"/>
                <w:lang w:val="fr-FR" w:eastAsia="en-GB"/>
              </w:rPr>
              <w:t xml:space="preserve">) </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8117E3" w:rsidP="006D3583">
            <w:pPr>
              <w:spacing w:before="60" w:after="60"/>
              <w:rPr>
                <w:sz w:val="18"/>
                <w:szCs w:val="18"/>
                <w:lang w:val="fr-FR" w:eastAsia="en-GB"/>
              </w:rPr>
            </w:pPr>
            <w:r>
              <w:rPr>
                <w:sz w:val="18"/>
                <w:szCs w:val="18"/>
                <w:lang w:val="fr-FR" w:eastAsia="en-GB"/>
              </w:rPr>
              <w:noBreakHyphen/>
            </w:r>
            <w:r w:rsidR="0075654E" w:rsidRPr="00DB6C66">
              <w:rPr>
                <w:sz w:val="18"/>
                <w:szCs w:val="18"/>
                <w:lang w:val="fr-FR" w:eastAsia="en-GB"/>
              </w:rPr>
              <w:t xml:space="preserve">2,2% </w:t>
            </w:r>
            <w:r w:rsidR="00C738CF" w:rsidRPr="00DB6C66">
              <w:rPr>
                <w:sz w:val="18"/>
                <w:szCs w:val="18"/>
                <w:lang w:val="fr-FR" w:eastAsia="en-GB"/>
              </w:rPr>
              <w:t>en</w:t>
            </w:r>
            <w:r w:rsidR="004E047D" w:rsidRPr="00DB6C66">
              <w:rPr>
                <w:sz w:val="18"/>
                <w:szCs w:val="18"/>
                <w:lang w:val="fr-FR" w:eastAsia="en-GB"/>
              </w:rPr>
              <w:t> </w:t>
            </w:r>
            <w:r w:rsidR="0075654E" w:rsidRPr="00DB6C66">
              <w:rPr>
                <w:sz w:val="18"/>
                <w:szCs w:val="18"/>
                <w:lang w:val="fr-FR" w:eastAsia="en-GB"/>
              </w:rPr>
              <w:t>2013 (</w:t>
            </w:r>
            <w:r w:rsidR="00A53B72" w:rsidRPr="00DB6C66">
              <w:rPr>
                <w:sz w:val="18"/>
                <w:szCs w:val="18"/>
                <w:lang w:val="fr-FR" w:eastAsia="en-GB"/>
              </w:rPr>
              <w:t>soit </w:t>
            </w:r>
            <w:r w:rsidR="0075654E" w:rsidRPr="00DB6C66">
              <w:rPr>
                <w:sz w:val="18"/>
                <w:szCs w:val="18"/>
                <w:lang w:val="fr-FR" w:eastAsia="en-GB"/>
              </w:rPr>
              <w:t>0,87%</w:t>
            </w:r>
            <w:r w:rsidR="00E01D11" w:rsidRPr="00DB6C66">
              <w:rPr>
                <w:sz w:val="18"/>
                <w:szCs w:val="18"/>
                <w:lang w:val="fr-FR" w:eastAsia="en-GB"/>
              </w:rPr>
              <w:t xml:space="preserve"> du PIB</w:t>
            </w:r>
            <w:r w:rsidR="00C738CF" w:rsidRPr="00DB6C66">
              <w:rPr>
                <w:sz w:val="18"/>
                <w:szCs w:val="18"/>
                <w:lang w:val="fr-FR" w:eastAsia="en-GB"/>
              </w:rPr>
              <w:t xml:space="preserve"> </w:t>
            </w:r>
            <w:r w:rsidR="0075654E" w:rsidRPr="00DB6C66">
              <w:rPr>
                <w:sz w:val="18"/>
                <w:szCs w:val="18"/>
                <w:lang w:val="fr-FR" w:eastAsia="en-GB"/>
              </w:rPr>
              <w:t>[14 423,8</w:t>
            </w:r>
            <w:r w:rsidR="00A53B72" w:rsidRPr="00DB6C66">
              <w:rPr>
                <w:sz w:val="18"/>
                <w:szCs w:val="18"/>
                <w:lang w:val="fr-FR" w:eastAsia="en-GB"/>
              </w:rPr>
              <w:t> </w:t>
            </w:r>
            <w:r w:rsidR="0075654E" w:rsidRPr="00DB6C66">
              <w:rPr>
                <w:sz w:val="18"/>
                <w:szCs w:val="18"/>
                <w:lang w:val="fr-FR" w:eastAsia="en-GB"/>
              </w:rPr>
              <w:t>million</w:t>
            </w:r>
            <w:r w:rsidR="00C738CF" w:rsidRPr="00DB6C66">
              <w:rPr>
                <w:sz w:val="18"/>
                <w:szCs w:val="18"/>
                <w:lang w:val="fr-FR" w:eastAsia="en-GB"/>
              </w:rPr>
              <w:t>s de zlotys</w:t>
            </w:r>
            <w:r w:rsidR="0075654E" w:rsidRPr="00DB6C66">
              <w:rPr>
                <w:sz w:val="18"/>
                <w:szCs w:val="18"/>
                <w:lang w:val="fr-FR" w:eastAsia="en-GB"/>
              </w:rPr>
              <w:t xml:space="preserve">] </w:t>
            </w:r>
            <w:r w:rsidR="00C738CF" w:rsidRPr="00DB6C66">
              <w:rPr>
                <w:sz w:val="18"/>
                <w:szCs w:val="18"/>
                <w:lang w:val="fr-FR" w:eastAsia="en-GB"/>
              </w:rPr>
              <w:t>contre 0,89</w:t>
            </w:r>
            <w:r w:rsidR="0075654E" w:rsidRPr="00DB6C66">
              <w:rPr>
                <w:sz w:val="18"/>
                <w:szCs w:val="18"/>
                <w:lang w:val="fr-FR" w:eastAsia="en-GB"/>
              </w:rPr>
              <w:t>%</w:t>
            </w:r>
            <w:r w:rsidR="00E01D11" w:rsidRPr="00DB6C66">
              <w:rPr>
                <w:sz w:val="18"/>
                <w:szCs w:val="18"/>
                <w:lang w:val="fr-FR" w:eastAsia="en-GB"/>
              </w:rPr>
              <w:t xml:space="preserve"> du PIB</w:t>
            </w:r>
            <w:r w:rsidR="00A53B72" w:rsidRPr="00DB6C66">
              <w:rPr>
                <w:sz w:val="18"/>
                <w:szCs w:val="18"/>
                <w:lang w:val="fr-FR" w:eastAsia="en-GB"/>
              </w:rPr>
              <w:t xml:space="preserve"> en </w:t>
            </w:r>
            <w:r w:rsidR="0075654E" w:rsidRPr="00DB6C66">
              <w:rPr>
                <w:sz w:val="18"/>
                <w:szCs w:val="18"/>
                <w:lang w:val="fr-FR" w:eastAsia="en-GB"/>
              </w:rPr>
              <w:t>2012)</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sz w:val="18"/>
                <w:szCs w:val="18"/>
                <w:lang w:val="fr-FR" w:eastAsia="en-GB"/>
              </w:rPr>
              <w:t xml:space="preserve">+3,6% </w:t>
            </w:r>
            <w:r w:rsidR="00900B1F" w:rsidRPr="00DB6C66">
              <w:rPr>
                <w:sz w:val="18"/>
                <w:szCs w:val="18"/>
                <w:lang w:val="fr-FR" w:eastAsia="en-GB"/>
              </w:rPr>
              <w:t>en 2013 (0,85</w:t>
            </w:r>
            <w:r w:rsidRPr="00DB6C66">
              <w:rPr>
                <w:sz w:val="18"/>
                <w:szCs w:val="18"/>
                <w:lang w:val="fr-FR" w:eastAsia="en-GB"/>
              </w:rPr>
              <w:t>%</w:t>
            </w:r>
            <w:r w:rsidR="00E01D11" w:rsidRPr="00DB6C66">
              <w:rPr>
                <w:sz w:val="18"/>
                <w:szCs w:val="18"/>
                <w:lang w:val="fr-FR" w:eastAsia="en-GB"/>
              </w:rPr>
              <w:t xml:space="preserve"> du PIB</w:t>
            </w:r>
            <w:r w:rsidR="00831E5D" w:rsidRPr="00DB6C66">
              <w:rPr>
                <w:sz w:val="18"/>
                <w:szCs w:val="18"/>
                <w:lang w:val="fr-FR" w:eastAsia="en-GB"/>
              </w:rPr>
              <w:t>, soit 611 </w:t>
            </w:r>
            <w:r w:rsidRPr="00DB6C66">
              <w:rPr>
                <w:sz w:val="18"/>
                <w:szCs w:val="18"/>
                <w:lang w:val="fr-FR" w:eastAsia="en-GB"/>
              </w:rPr>
              <w:t>million</w:t>
            </w:r>
            <w:r w:rsidR="00900B1F" w:rsidRPr="00DB6C66">
              <w:rPr>
                <w:sz w:val="18"/>
                <w:szCs w:val="18"/>
                <w:lang w:val="fr-FR" w:eastAsia="en-GB"/>
              </w:rPr>
              <w:t>s d</w:t>
            </w:r>
            <w:r w:rsidR="00280EEC">
              <w:rPr>
                <w:sz w:val="18"/>
                <w:szCs w:val="18"/>
                <w:lang w:val="fr-FR" w:eastAsia="en-GB"/>
              </w:rPr>
              <w:t>’</w:t>
            </w:r>
            <w:r w:rsidR="00900B1F" w:rsidRPr="00DB6C66">
              <w:rPr>
                <w:sz w:val="18"/>
                <w:szCs w:val="18"/>
                <w:lang w:val="fr-FR" w:eastAsia="en-GB"/>
              </w:rPr>
              <w:t>euros</w:t>
            </w:r>
            <w:r w:rsidRPr="00DB6C66">
              <w:rPr>
                <w:sz w:val="18"/>
                <w:szCs w:val="18"/>
                <w:lang w:val="fr-FR" w:eastAsia="en-GB"/>
              </w:rPr>
              <w:t xml:space="preserve">) </w:t>
            </w:r>
            <w:r w:rsidR="00900B1F" w:rsidRPr="00DB6C66">
              <w:rPr>
                <w:sz w:val="18"/>
                <w:szCs w:val="18"/>
                <w:lang w:val="fr-FR" w:eastAsia="en-GB"/>
              </w:rPr>
              <w:t>par rapport à 2012 (0,82</w:t>
            </w:r>
            <w:r w:rsidRPr="00DB6C66">
              <w:rPr>
                <w:sz w:val="18"/>
                <w:szCs w:val="18"/>
                <w:lang w:val="fr-FR" w:eastAsia="en-GB"/>
              </w:rPr>
              <w:t>%</w:t>
            </w:r>
            <w:r w:rsidR="00E01D11" w:rsidRPr="00DB6C66">
              <w:rPr>
                <w:sz w:val="18"/>
                <w:szCs w:val="18"/>
                <w:lang w:val="fr-FR" w:eastAsia="en-GB"/>
              </w:rPr>
              <w:t xml:space="preserve"> du PIB</w:t>
            </w:r>
            <w:r w:rsidR="00831E5D" w:rsidRPr="00DB6C66">
              <w:rPr>
                <w:sz w:val="18"/>
                <w:szCs w:val="18"/>
                <w:lang w:val="fr-FR" w:eastAsia="en-GB"/>
              </w:rPr>
              <w:t xml:space="preserve">, soit </w:t>
            </w:r>
            <w:r w:rsidRPr="00DB6C66">
              <w:rPr>
                <w:sz w:val="18"/>
                <w:szCs w:val="18"/>
                <w:lang w:val="fr-FR" w:eastAsia="en-GB"/>
              </w:rPr>
              <w:t>585</w:t>
            </w:r>
            <w:r w:rsidR="004E047D" w:rsidRPr="00DB6C66">
              <w:rPr>
                <w:sz w:val="18"/>
                <w:szCs w:val="18"/>
                <w:lang w:val="fr-FR" w:eastAsia="en-GB"/>
              </w:rPr>
              <w:t> </w:t>
            </w:r>
            <w:r w:rsidRPr="00DB6C66">
              <w:rPr>
                <w:sz w:val="18"/>
                <w:szCs w:val="18"/>
                <w:lang w:val="fr-FR" w:eastAsia="en-GB"/>
              </w:rPr>
              <w:t>million</w:t>
            </w:r>
            <w:r w:rsidR="00900B1F" w:rsidRPr="00DB6C66">
              <w:rPr>
                <w:sz w:val="18"/>
                <w:szCs w:val="18"/>
                <w:lang w:val="fr-FR" w:eastAsia="en-GB"/>
              </w:rPr>
              <w:t>s d</w:t>
            </w:r>
            <w:r w:rsidR="00280EEC">
              <w:rPr>
                <w:sz w:val="18"/>
                <w:szCs w:val="18"/>
                <w:lang w:val="fr-FR" w:eastAsia="en-GB"/>
              </w:rPr>
              <w:t>’</w:t>
            </w:r>
            <w:r w:rsidR="00900B1F" w:rsidRPr="00DB6C66">
              <w:rPr>
                <w:sz w:val="18"/>
                <w:szCs w:val="18"/>
                <w:lang w:val="fr-FR" w:eastAsia="en-GB"/>
              </w:rPr>
              <w:t>euros</w:t>
            </w:r>
            <w:r w:rsidRPr="00DB6C66">
              <w:rPr>
                <w:sz w:val="18"/>
                <w:szCs w:val="18"/>
                <w:lang w:val="fr-FR" w:eastAsia="en-GB"/>
              </w:rPr>
              <w:t>)</w:t>
            </w:r>
          </w:p>
        </w:tc>
      </w:tr>
      <w:tr w:rsidR="00DB6C66" w:rsidRPr="00DB6C66" w:rsidTr="006D3583">
        <w:trPr>
          <w:cantSplit/>
        </w:trPr>
        <w:tc>
          <w:tcPr>
            <w:tcW w:w="1774" w:type="dxa"/>
            <w:tcBorders>
              <w:top w:val="single" w:sz="4" w:space="0" w:color="auto"/>
              <w:left w:val="single" w:sz="4" w:space="0" w:color="auto"/>
              <w:bottom w:val="single" w:sz="4" w:space="0" w:color="auto"/>
              <w:right w:val="single" w:sz="4" w:space="0" w:color="auto"/>
            </w:tcBorders>
            <w:hideMark/>
          </w:tcPr>
          <w:p w:rsidR="0075654E" w:rsidRPr="00DB6C66" w:rsidRDefault="00A80D77" w:rsidP="006D3583">
            <w:pPr>
              <w:spacing w:before="60" w:after="60"/>
              <w:rPr>
                <w:sz w:val="18"/>
                <w:szCs w:val="18"/>
                <w:lang w:val="fr-FR" w:eastAsia="en-GB"/>
              </w:rPr>
            </w:pPr>
            <w:r w:rsidRPr="00DB6C66">
              <w:rPr>
                <w:sz w:val="18"/>
                <w:szCs w:val="18"/>
                <w:lang w:val="fr-FR" w:eastAsia="en-GB"/>
              </w:rPr>
              <w:t xml:space="preserve">Nombre de chercheurs à plein temps </w:t>
            </w:r>
          </w:p>
        </w:tc>
        <w:tc>
          <w:tcPr>
            <w:tcW w:w="1784" w:type="dxa"/>
            <w:tcBorders>
              <w:top w:val="single" w:sz="4" w:space="0" w:color="auto"/>
              <w:left w:val="single" w:sz="4" w:space="0" w:color="auto"/>
              <w:bottom w:val="single" w:sz="4" w:space="0" w:color="auto"/>
              <w:right w:val="single" w:sz="4" w:space="0" w:color="auto"/>
            </w:tcBorders>
            <w:hideMark/>
          </w:tcPr>
          <w:p w:rsidR="00DB3999" w:rsidRPr="00DB6C66" w:rsidRDefault="00A80D77" w:rsidP="006D3583">
            <w:pPr>
              <w:spacing w:before="60" w:after="60"/>
              <w:rPr>
                <w:sz w:val="18"/>
                <w:szCs w:val="18"/>
                <w:lang w:val="fr-FR" w:eastAsia="en-GB"/>
              </w:rPr>
            </w:pPr>
            <w:r w:rsidRPr="00DB6C66">
              <w:rPr>
                <w:sz w:val="18"/>
                <w:szCs w:val="18"/>
                <w:lang w:val="fr-FR" w:eastAsia="en-GB"/>
              </w:rPr>
              <w:t>62</w:t>
            </w:r>
            <w:r w:rsidR="004E047D" w:rsidRPr="00DB6C66">
              <w:rPr>
                <w:sz w:val="18"/>
                <w:szCs w:val="18"/>
                <w:lang w:val="fr-FR" w:eastAsia="en-GB"/>
              </w:rPr>
              <w:t> </w:t>
            </w:r>
            <w:r w:rsidRPr="00DB6C66">
              <w:rPr>
                <w:sz w:val="18"/>
                <w:szCs w:val="18"/>
                <w:lang w:val="fr-FR" w:eastAsia="en-GB"/>
              </w:rPr>
              <w:t>198 </w:t>
            </w:r>
            <w:r w:rsidR="0075654E" w:rsidRPr="00DB6C66">
              <w:rPr>
                <w:sz w:val="18"/>
                <w:szCs w:val="18"/>
                <w:lang w:val="fr-FR" w:eastAsia="en-GB"/>
              </w:rPr>
              <w:t>(2013)</w:t>
            </w:r>
          </w:p>
          <w:p w:rsidR="0075654E" w:rsidRPr="00DB6C66" w:rsidRDefault="00A80D77" w:rsidP="006D3583">
            <w:pPr>
              <w:spacing w:before="60" w:after="60"/>
              <w:rPr>
                <w:sz w:val="18"/>
                <w:szCs w:val="18"/>
                <w:lang w:val="fr-FR" w:eastAsia="en-GB"/>
              </w:rPr>
            </w:pPr>
            <w:r w:rsidRPr="00DB6C66">
              <w:rPr>
                <w:sz w:val="18"/>
                <w:szCs w:val="18"/>
                <w:lang w:val="fr-FR" w:eastAsia="en-GB"/>
              </w:rPr>
              <w:t>60</w:t>
            </w:r>
            <w:r w:rsidR="004E047D" w:rsidRPr="00DB6C66">
              <w:rPr>
                <w:sz w:val="18"/>
                <w:szCs w:val="18"/>
                <w:lang w:val="fr-FR" w:eastAsia="en-GB"/>
              </w:rPr>
              <w:t> </w:t>
            </w:r>
            <w:r w:rsidRPr="00DB6C66">
              <w:rPr>
                <w:sz w:val="18"/>
                <w:szCs w:val="18"/>
                <w:lang w:val="fr-FR" w:eastAsia="en-GB"/>
              </w:rPr>
              <w:t>329 </w:t>
            </w:r>
            <w:r w:rsidR="0075654E" w:rsidRPr="00DB6C66">
              <w:rPr>
                <w:sz w:val="18"/>
                <w:szCs w:val="18"/>
                <w:lang w:val="fr-FR" w:eastAsia="en-GB"/>
              </w:rPr>
              <w:t>(2012)</w:t>
            </w:r>
          </w:p>
        </w:tc>
        <w:tc>
          <w:tcPr>
            <w:tcW w:w="2063" w:type="dxa"/>
            <w:tcBorders>
              <w:top w:val="single" w:sz="4" w:space="0" w:color="auto"/>
              <w:left w:val="single" w:sz="4" w:space="0" w:color="auto"/>
              <w:bottom w:val="single" w:sz="4" w:space="0" w:color="auto"/>
              <w:right w:val="single" w:sz="4" w:space="0" w:color="auto"/>
            </w:tcBorders>
          </w:tcPr>
          <w:p w:rsidR="0075654E" w:rsidRPr="00DB6C66" w:rsidRDefault="00A67287" w:rsidP="006D3583">
            <w:pPr>
              <w:spacing w:before="60" w:after="60"/>
              <w:rPr>
                <w:sz w:val="18"/>
                <w:szCs w:val="18"/>
                <w:lang w:val="fr-FR" w:eastAsia="en-GB"/>
              </w:rPr>
            </w:pPr>
            <w:r w:rsidRPr="00DB6C66">
              <w:rPr>
                <w:sz w:val="18"/>
                <w:szCs w:val="18"/>
                <w:lang w:val="fr-FR" w:eastAsia="en-GB"/>
              </w:rPr>
              <w:t>e</w:t>
            </w:r>
            <w:r w:rsidR="00A80D77" w:rsidRPr="00DB6C66">
              <w:rPr>
                <w:sz w:val="18"/>
                <w:szCs w:val="18"/>
                <w:lang w:val="fr-FR" w:eastAsia="en-GB"/>
              </w:rPr>
              <w:t xml:space="preserve">nviron </w:t>
            </w:r>
            <w:r w:rsidR="0075654E" w:rsidRPr="00DB6C66">
              <w:rPr>
                <w:sz w:val="18"/>
                <w:szCs w:val="18"/>
                <w:lang w:val="fr-FR" w:eastAsia="en-GB"/>
              </w:rPr>
              <w:t>23 000</w:t>
            </w:r>
            <w:r w:rsidR="00A53B72" w:rsidRPr="00DB6C66">
              <w:rPr>
                <w:sz w:val="18"/>
                <w:szCs w:val="18"/>
                <w:lang w:val="fr-FR" w:eastAsia="en-GB"/>
              </w:rPr>
              <w:t> </w:t>
            </w:r>
            <w:r w:rsidR="00A80D77" w:rsidRPr="00DB6C66">
              <w:rPr>
                <w:sz w:val="18"/>
                <w:szCs w:val="18"/>
                <w:lang w:val="fr-FR" w:eastAsia="en-GB"/>
              </w:rPr>
              <w:t>chercheurs en </w:t>
            </w:r>
            <w:r w:rsidR="0075654E" w:rsidRPr="00DB6C66">
              <w:rPr>
                <w:sz w:val="18"/>
                <w:szCs w:val="18"/>
                <w:lang w:val="fr-FR" w:eastAsia="en-GB"/>
              </w:rPr>
              <w:t>2011</w:t>
            </w:r>
          </w:p>
        </w:tc>
        <w:tc>
          <w:tcPr>
            <w:tcW w:w="1910" w:type="dxa"/>
            <w:tcBorders>
              <w:top w:val="single" w:sz="4" w:space="0" w:color="auto"/>
              <w:left w:val="single" w:sz="4" w:space="0" w:color="auto"/>
              <w:bottom w:val="single" w:sz="4" w:space="0" w:color="auto"/>
              <w:right w:val="single" w:sz="4" w:space="0" w:color="auto"/>
            </w:tcBorders>
            <w:hideMark/>
          </w:tcPr>
          <w:p w:rsidR="0075654E" w:rsidRPr="00DB6C66" w:rsidRDefault="0075654E" w:rsidP="006D3583">
            <w:pPr>
              <w:spacing w:before="60" w:after="60"/>
              <w:rPr>
                <w:sz w:val="18"/>
                <w:szCs w:val="18"/>
                <w:lang w:val="fr-FR" w:eastAsia="en-GB"/>
              </w:rPr>
            </w:pPr>
            <w:r w:rsidRPr="00DB6C66">
              <w:rPr>
                <w:sz w:val="18"/>
                <w:szCs w:val="18"/>
                <w:lang w:val="fr-FR" w:eastAsia="en-GB"/>
              </w:rPr>
              <w:t xml:space="preserve">71 472 </w:t>
            </w:r>
            <w:r w:rsidR="00A80D77" w:rsidRPr="00DB6C66">
              <w:rPr>
                <w:sz w:val="18"/>
                <w:szCs w:val="18"/>
                <w:lang w:val="fr-FR" w:eastAsia="en-GB"/>
              </w:rPr>
              <w:t xml:space="preserve">chercheurs </w:t>
            </w:r>
            <w:r w:rsidRPr="00DB6C66">
              <w:rPr>
                <w:sz w:val="18"/>
                <w:szCs w:val="18"/>
                <w:lang w:val="fr-FR" w:eastAsia="en-GB"/>
              </w:rPr>
              <w:t>(</w:t>
            </w:r>
            <w:r w:rsidR="00A80D77" w:rsidRPr="00DB6C66">
              <w:rPr>
                <w:sz w:val="18"/>
                <w:szCs w:val="18"/>
                <w:lang w:val="fr-FR" w:eastAsia="en-GB"/>
              </w:rPr>
              <w:t>au 31 décembre</w:t>
            </w:r>
            <w:r w:rsidR="00A53B72" w:rsidRPr="00DB6C66">
              <w:rPr>
                <w:sz w:val="18"/>
                <w:szCs w:val="18"/>
                <w:lang w:val="fr-FR" w:eastAsia="en-GB"/>
              </w:rPr>
              <w:t> </w:t>
            </w:r>
            <w:r w:rsidRPr="00DB6C66">
              <w:rPr>
                <w:sz w:val="18"/>
                <w:szCs w:val="18"/>
                <w:lang w:val="fr-FR" w:eastAsia="en-GB"/>
              </w:rPr>
              <w:t>2013)</w:t>
            </w:r>
          </w:p>
        </w:tc>
        <w:tc>
          <w:tcPr>
            <w:tcW w:w="1932" w:type="dxa"/>
            <w:tcBorders>
              <w:top w:val="single" w:sz="4" w:space="0" w:color="auto"/>
              <w:left w:val="single" w:sz="4" w:space="0" w:color="auto"/>
              <w:bottom w:val="single" w:sz="4" w:space="0" w:color="auto"/>
              <w:right w:val="single" w:sz="4" w:space="0" w:color="auto"/>
            </w:tcBorders>
            <w:hideMark/>
          </w:tcPr>
          <w:p w:rsidR="0075654E" w:rsidRPr="00DB6C66" w:rsidRDefault="00A80D77" w:rsidP="006D3583">
            <w:pPr>
              <w:spacing w:before="60" w:after="60"/>
              <w:rPr>
                <w:sz w:val="18"/>
                <w:szCs w:val="18"/>
                <w:lang w:val="fr-FR" w:eastAsia="en-GB"/>
              </w:rPr>
            </w:pPr>
            <w:r w:rsidRPr="00DB6C66">
              <w:rPr>
                <w:sz w:val="18"/>
                <w:szCs w:val="18"/>
                <w:lang w:val="fr-FR" w:eastAsia="en-GB"/>
              </w:rPr>
              <w:t xml:space="preserve">27 823 chercheurs </w:t>
            </w:r>
            <w:r w:rsidR="0075654E" w:rsidRPr="00DB6C66">
              <w:rPr>
                <w:sz w:val="18"/>
                <w:szCs w:val="18"/>
                <w:lang w:val="fr-FR" w:eastAsia="en-GB"/>
              </w:rPr>
              <w:t>(2013)</w:t>
            </w:r>
          </w:p>
        </w:tc>
      </w:tr>
    </w:tbl>
    <w:p w:rsidR="00DB3999" w:rsidRPr="00DB6C66" w:rsidRDefault="00DB3999" w:rsidP="006D3583">
      <w:pPr>
        <w:rPr>
          <w:szCs w:val="22"/>
          <w:lang w:val="fr-FR"/>
        </w:rPr>
      </w:pPr>
    </w:p>
    <w:p w:rsidR="00E01D11" w:rsidRPr="00DB6C66" w:rsidRDefault="00855637" w:rsidP="006D3583">
      <w:pPr>
        <w:pStyle w:val="ONUMFS"/>
        <w:rPr>
          <w:lang w:val="fr-FR"/>
        </w:rPr>
      </w:pPr>
      <w:r w:rsidRPr="00DB6C66">
        <w:rPr>
          <w:lang w:val="fr-FR"/>
        </w:rPr>
        <w:t>Les objectifs</w:t>
      </w:r>
      <w:r w:rsidR="00E01D11" w:rsidRPr="00DB6C66">
        <w:rPr>
          <w:lang w:val="fr-FR"/>
        </w:rPr>
        <w:t xml:space="preserve"> du VPI</w:t>
      </w:r>
      <w:r w:rsidRPr="00DB6C66">
        <w:rPr>
          <w:lang w:val="fr-FR"/>
        </w:rPr>
        <w:t xml:space="preserve"> et la création</w:t>
      </w:r>
      <w:r w:rsidR="00E01D11" w:rsidRPr="00DB6C66">
        <w:rPr>
          <w:lang w:val="fr-FR"/>
        </w:rPr>
        <w:t xml:space="preserve"> du VPI</w:t>
      </w:r>
      <w:r w:rsidRPr="00DB6C66">
        <w:rPr>
          <w:lang w:val="fr-FR"/>
        </w:rPr>
        <w:t xml:space="preserve"> lui</w:t>
      </w:r>
      <w:r w:rsidR="008117E3">
        <w:rPr>
          <w:lang w:val="fr-FR"/>
        </w:rPr>
        <w:noBreakHyphen/>
      </w:r>
      <w:r w:rsidRPr="00DB6C66">
        <w:rPr>
          <w:lang w:val="fr-FR"/>
        </w:rPr>
        <w:t xml:space="preserve">même </w:t>
      </w:r>
      <w:r w:rsidR="00407202" w:rsidRPr="00DB6C66">
        <w:rPr>
          <w:lang w:val="fr-FR"/>
        </w:rPr>
        <w:t>sont</w:t>
      </w:r>
      <w:r w:rsidR="00D64E81" w:rsidRPr="00DB6C66">
        <w:rPr>
          <w:lang w:val="fr-FR"/>
        </w:rPr>
        <w:t xml:space="preserve"> </w:t>
      </w:r>
      <w:r w:rsidRPr="00DB6C66">
        <w:rPr>
          <w:lang w:val="fr-FR"/>
        </w:rPr>
        <w:t xml:space="preserve">des éléments importants des stratégies nationales des </w:t>
      </w:r>
      <w:r w:rsidR="00DF641F" w:rsidRPr="00DB6C66">
        <w:rPr>
          <w:lang w:val="fr-FR"/>
        </w:rPr>
        <w:t>États</w:t>
      </w:r>
      <w:r w:rsidRPr="00DB6C66">
        <w:rPr>
          <w:lang w:val="fr-FR"/>
        </w:rPr>
        <w:t xml:space="preserve"> contractants en ce qui concerne l</w:t>
      </w:r>
      <w:r w:rsidR="00280EEC">
        <w:rPr>
          <w:lang w:val="fr-FR"/>
        </w:rPr>
        <w:t>’</w:t>
      </w:r>
      <w:r w:rsidRPr="00DB6C66">
        <w:rPr>
          <w:lang w:val="fr-FR"/>
        </w:rPr>
        <w:t>économie, l</w:t>
      </w:r>
      <w:r w:rsidR="00280EEC">
        <w:rPr>
          <w:lang w:val="fr-FR"/>
        </w:rPr>
        <w:t>’</w:t>
      </w:r>
      <w:r w:rsidRPr="00DB6C66">
        <w:rPr>
          <w:lang w:val="fr-FR"/>
        </w:rPr>
        <w:t>innovation et la propriété intellectuelle.</w:t>
      </w:r>
    </w:p>
    <w:p w:rsidR="00E01D11" w:rsidRPr="00DB6C66" w:rsidRDefault="00D43E8C" w:rsidP="006D3583">
      <w:pPr>
        <w:pStyle w:val="ONUMFS"/>
        <w:rPr>
          <w:lang w:val="fr-FR"/>
        </w:rPr>
      </w:pPr>
      <w:r w:rsidRPr="00DB6C66">
        <w:rPr>
          <w:lang w:val="fr-FR"/>
        </w:rPr>
        <w:t>L</w:t>
      </w:r>
      <w:r w:rsidR="00E33413" w:rsidRPr="00DB6C66">
        <w:rPr>
          <w:lang w:val="fr-FR"/>
        </w:rPr>
        <w:t>es pays du V4</w:t>
      </w:r>
      <w:r w:rsidRPr="00DB6C66">
        <w:rPr>
          <w:lang w:val="fr-FR"/>
        </w:rPr>
        <w:t xml:space="preserve"> </w:t>
      </w:r>
      <w:r w:rsidR="007D7FA4" w:rsidRPr="00DB6C66">
        <w:rPr>
          <w:lang w:val="fr-FR"/>
        </w:rPr>
        <w:t xml:space="preserve">présentent </w:t>
      </w:r>
      <w:r w:rsidRPr="00DB6C66">
        <w:rPr>
          <w:lang w:val="fr-FR"/>
        </w:rPr>
        <w:t>un atout supplémentaire</w:t>
      </w:r>
      <w:r w:rsidR="007D7FA4" w:rsidRPr="00DB6C66">
        <w:rPr>
          <w:lang w:val="fr-FR"/>
        </w:rPr>
        <w:t xml:space="preserve"> et une spécificité commune, </w:t>
      </w:r>
      <w:r w:rsidR="00280EEC">
        <w:rPr>
          <w:lang w:val="fr-FR"/>
        </w:rPr>
        <w:t>à savoir</w:t>
      </w:r>
      <w:r w:rsidR="007D7FA4" w:rsidRPr="00DB6C66">
        <w:rPr>
          <w:lang w:val="fr-FR"/>
        </w:rPr>
        <w:t xml:space="preserve"> </w:t>
      </w:r>
      <w:r w:rsidR="00795243" w:rsidRPr="00DB6C66">
        <w:rPr>
          <w:lang w:val="fr-FR"/>
        </w:rPr>
        <w:t>d</w:t>
      </w:r>
      <w:r w:rsidR="000A2EF2" w:rsidRPr="00DB6C66">
        <w:rPr>
          <w:lang w:val="fr-FR"/>
        </w:rPr>
        <w:t xml:space="preserve">es traditions profondément ancrées </w:t>
      </w:r>
      <w:r w:rsidR="00E7537F" w:rsidRPr="00DB6C66">
        <w:rPr>
          <w:lang w:val="fr-FR"/>
        </w:rPr>
        <w:t>à l</w:t>
      </w:r>
      <w:r w:rsidR="00280EEC">
        <w:rPr>
          <w:lang w:val="fr-FR"/>
        </w:rPr>
        <w:t>’</w:t>
      </w:r>
      <w:r w:rsidR="00E7537F" w:rsidRPr="00DB6C66">
        <w:rPr>
          <w:lang w:val="fr-FR"/>
        </w:rPr>
        <w:t xml:space="preserve">origine de </w:t>
      </w:r>
      <w:r w:rsidR="000A2EF2" w:rsidRPr="00DB6C66">
        <w:rPr>
          <w:lang w:val="fr-FR"/>
        </w:rPr>
        <w:t xml:space="preserve">la législation </w:t>
      </w:r>
      <w:r w:rsidR="007D7FA4" w:rsidRPr="00DB6C66">
        <w:rPr>
          <w:lang w:val="fr-FR"/>
        </w:rPr>
        <w:t xml:space="preserve">en matière de propriété intellectuelle et </w:t>
      </w:r>
      <w:r w:rsidR="00E7537F" w:rsidRPr="00DB6C66">
        <w:rPr>
          <w:lang w:val="fr-FR"/>
        </w:rPr>
        <w:t>d</w:t>
      </w:r>
      <w:r w:rsidR="007D7FA4" w:rsidRPr="00DB6C66">
        <w:rPr>
          <w:lang w:val="fr-FR"/>
        </w:rPr>
        <w:t>e</w:t>
      </w:r>
      <w:r w:rsidR="00E7537F" w:rsidRPr="00DB6C66">
        <w:rPr>
          <w:lang w:val="fr-FR"/>
        </w:rPr>
        <w:t xml:space="preserve"> se</w:t>
      </w:r>
      <w:r w:rsidR="007D7FA4" w:rsidRPr="00DB6C66">
        <w:rPr>
          <w:lang w:val="fr-FR"/>
        </w:rPr>
        <w:t>s institutions connexes</w:t>
      </w:r>
      <w:r w:rsidR="000A2EF2" w:rsidRPr="00DB6C66">
        <w:rPr>
          <w:lang w:val="fr-FR"/>
        </w:rPr>
        <w:t xml:space="preserve">. </w:t>
      </w:r>
      <w:r w:rsidR="004E047D" w:rsidRPr="00DB6C66">
        <w:rPr>
          <w:lang w:val="fr-FR"/>
        </w:rPr>
        <w:t xml:space="preserve"> </w:t>
      </w:r>
      <w:r w:rsidR="000A2EF2" w:rsidRPr="00DB6C66">
        <w:rPr>
          <w:lang w:val="fr-FR"/>
        </w:rPr>
        <w:t>Ils ont également l</w:t>
      </w:r>
      <w:r w:rsidR="00280EEC">
        <w:rPr>
          <w:lang w:val="fr-FR"/>
        </w:rPr>
        <w:t>’</w:t>
      </w:r>
      <w:r w:rsidR="000A2EF2" w:rsidRPr="00DB6C66">
        <w:rPr>
          <w:lang w:val="fr-FR"/>
        </w:rPr>
        <w:t xml:space="preserve">avantage de participer à grande échelle et de manière intensive à des initiatives </w:t>
      </w:r>
      <w:r w:rsidR="00795243" w:rsidRPr="00DB6C66">
        <w:rPr>
          <w:lang w:val="fr-FR"/>
        </w:rPr>
        <w:t xml:space="preserve">mondiales </w:t>
      </w:r>
      <w:r w:rsidR="000A2EF2" w:rsidRPr="00DB6C66">
        <w:rPr>
          <w:lang w:val="fr-FR"/>
        </w:rPr>
        <w:t>de coopération sous l</w:t>
      </w:r>
      <w:r w:rsidR="00280EEC">
        <w:rPr>
          <w:lang w:val="fr-FR"/>
        </w:rPr>
        <w:t>’</w:t>
      </w:r>
      <w:r w:rsidR="000A2EF2" w:rsidRPr="00DB6C66">
        <w:rPr>
          <w:lang w:val="fr-FR"/>
        </w:rPr>
        <w:t>égide de l</w:t>
      </w:r>
      <w:r w:rsidR="00280EEC">
        <w:rPr>
          <w:lang w:val="fr-FR"/>
        </w:rPr>
        <w:t>’</w:t>
      </w:r>
      <w:r w:rsidR="000A2EF2" w:rsidRPr="00DB6C66">
        <w:rPr>
          <w:lang w:val="fr-FR"/>
        </w:rPr>
        <w:t xml:space="preserve">OMPI. </w:t>
      </w:r>
      <w:r w:rsidR="00795243" w:rsidRPr="00DB6C66">
        <w:rPr>
          <w:lang w:val="fr-FR"/>
        </w:rPr>
        <w:t xml:space="preserve"> </w:t>
      </w:r>
      <w:r w:rsidR="0088636E" w:rsidRPr="00DB6C66">
        <w:rPr>
          <w:lang w:val="fr-FR"/>
        </w:rPr>
        <w:t>L</w:t>
      </w:r>
      <w:r w:rsidR="00280EEC">
        <w:rPr>
          <w:lang w:val="fr-FR"/>
        </w:rPr>
        <w:t>’</w:t>
      </w:r>
      <w:r w:rsidR="0088636E" w:rsidRPr="00DB6C66">
        <w:rPr>
          <w:lang w:val="fr-FR"/>
        </w:rPr>
        <w:t>histoire d</w:t>
      </w:r>
      <w:r w:rsidR="00165A4A" w:rsidRPr="00DB6C66">
        <w:rPr>
          <w:lang w:val="fr-FR"/>
        </w:rPr>
        <w:t xml:space="preserve">es </w:t>
      </w:r>
      <w:r w:rsidR="0088636E" w:rsidRPr="00DB6C66">
        <w:rPr>
          <w:lang w:val="fr-FR"/>
        </w:rPr>
        <w:t>législations nationales en matière de brevets et de</w:t>
      </w:r>
      <w:r w:rsidR="00165A4A" w:rsidRPr="00DB6C66">
        <w:rPr>
          <w:lang w:val="fr-FR"/>
        </w:rPr>
        <w:t xml:space="preserve">s </w:t>
      </w:r>
      <w:r w:rsidR="0088636E" w:rsidRPr="00DB6C66">
        <w:rPr>
          <w:lang w:val="fr-FR"/>
        </w:rPr>
        <w:t>offices nationau</w:t>
      </w:r>
      <w:r w:rsidR="00165A4A" w:rsidRPr="00DB6C66">
        <w:rPr>
          <w:lang w:val="fr-FR"/>
        </w:rPr>
        <w:t>x</w:t>
      </w:r>
      <w:r w:rsidR="0088636E" w:rsidRPr="00DB6C66">
        <w:rPr>
          <w:lang w:val="fr-FR"/>
        </w:rPr>
        <w:t xml:space="preserve"> remonte à 1918</w:t>
      </w:r>
      <w:r w:rsidR="008117E3">
        <w:rPr>
          <w:lang w:val="fr-FR"/>
        </w:rPr>
        <w:noBreakHyphen/>
      </w:r>
      <w:r w:rsidR="0088636E" w:rsidRPr="00DB6C66">
        <w:rPr>
          <w:lang w:val="fr-FR"/>
        </w:rPr>
        <w:t>1919 pour la République tchèque, la République de Pologne et la République slovaque, tandis que la Hongrie a adopté sa première loi relative aux brevets et instauré l</w:t>
      </w:r>
      <w:r w:rsidR="00280EEC">
        <w:rPr>
          <w:lang w:val="fr-FR"/>
        </w:rPr>
        <w:t>’</w:t>
      </w:r>
      <w:r w:rsidR="0088636E" w:rsidRPr="00DB6C66">
        <w:rPr>
          <w:lang w:val="fr-FR"/>
        </w:rPr>
        <w:t>office y relatif en</w:t>
      </w:r>
      <w:r w:rsidR="004E047D" w:rsidRPr="00DB6C66">
        <w:rPr>
          <w:lang w:val="fr-FR"/>
        </w:rPr>
        <w:t> </w:t>
      </w:r>
      <w:r w:rsidR="0088636E" w:rsidRPr="00DB6C66">
        <w:rPr>
          <w:lang w:val="fr-FR"/>
        </w:rPr>
        <w:t>1895</w:t>
      </w:r>
      <w:r w:rsidR="008117E3">
        <w:rPr>
          <w:lang w:val="fr-FR"/>
        </w:rPr>
        <w:noBreakHyphen/>
      </w:r>
      <w:r w:rsidR="0088636E" w:rsidRPr="00DB6C66">
        <w:rPr>
          <w:lang w:val="fr-FR"/>
        </w:rPr>
        <w:t xml:space="preserve">1896.  </w:t>
      </w:r>
      <w:r w:rsidR="003F0878" w:rsidRPr="00DB6C66">
        <w:rPr>
          <w:lang w:val="fr-FR"/>
        </w:rPr>
        <w:t>Tous ces offices nationaux sont des offices de la propriété industrielle</w:t>
      </w:r>
      <w:r w:rsidR="00407202" w:rsidRPr="00DB6C66">
        <w:rPr>
          <w:lang w:val="fr-FR"/>
        </w:rPr>
        <w:t xml:space="preserve"> de plein droit</w:t>
      </w:r>
      <w:r w:rsidR="003F0878" w:rsidRPr="00DB6C66">
        <w:rPr>
          <w:lang w:val="fr-FR"/>
        </w:rPr>
        <w:t>, responsables de toute une série de titr</w:t>
      </w:r>
      <w:r w:rsidR="00407202" w:rsidRPr="00DB6C66">
        <w:rPr>
          <w:lang w:val="fr-FR"/>
        </w:rPr>
        <w:t xml:space="preserve">es de propriété intellectuelle. </w:t>
      </w:r>
      <w:r w:rsidR="004E047D" w:rsidRPr="00DB6C66">
        <w:rPr>
          <w:lang w:val="fr-FR"/>
        </w:rPr>
        <w:t xml:space="preserve"> </w:t>
      </w:r>
      <w:r w:rsidR="00407202" w:rsidRPr="00DB6C66">
        <w:rPr>
          <w:lang w:val="fr-FR"/>
        </w:rPr>
        <w:t xml:space="preserve">Ils </w:t>
      </w:r>
      <w:r w:rsidR="003F0878" w:rsidRPr="00DB6C66">
        <w:rPr>
          <w:lang w:val="fr-FR"/>
        </w:rPr>
        <w:t xml:space="preserve">mènent des recherches et des examens </w:t>
      </w:r>
      <w:r w:rsidR="00407202" w:rsidRPr="00DB6C66">
        <w:rPr>
          <w:lang w:val="fr-FR"/>
        </w:rPr>
        <w:t>en matière de</w:t>
      </w:r>
      <w:r w:rsidR="003F0878" w:rsidRPr="00DB6C66">
        <w:rPr>
          <w:lang w:val="fr-FR"/>
        </w:rPr>
        <w:t xml:space="preserve"> brevets dans le cadre de leurs fonctions d</w:t>
      </w:r>
      <w:r w:rsidR="00280EEC">
        <w:rPr>
          <w:lang w:val="fr-FR"/>
        </w:rPr>
        <w:t>’</w:t>
      </w:r>
      <w:r w:rsidR="003F0878" w:rsidRPr="00DB6C66">
        <w:rPr>
          <w:lang w:val="fr-FR"/>
        </w:rPr>
        <w:t>administration publique</w:t>
      </w:r>
      <w:r w:rsidR="00407202" w:rsidRPr="00DB6C66">
        <w:rPr>
          <w:lang w:val="fr-FR"/>
        </w:rPr>
        <w:t xml:space="preserve"> </w:t>
      </w:r>
      <w:r w:rsidR="003F0878" w:rsidRPr="00DB6C66">
        <w:rPr>
          <w:lang w:val="fr-FR"/>
        </w:rPr>
        <w:t xml:space="preserve">et </w:t>
      </w:r>
      <w:r w:rsidR="00407202" w:rsidRPr="00DB6C66">
        <w:rPr>
          <w:lang w:val="fr-FR"/>
        </w:rPr>
        <w:t xml:space="preserve">fournissent </w:t>
      </w:r>
      <w:r w:rsidR="003F0878" w:rsidRPr="00DB6C66">
        <w:rPr>
          <w:lang w:val="fr-FR"/>
        </w:rPr>
        <w:t>de</w:t>
      </w:r>
      <w:r w:rsidR="00407202" w:rsidRPr="00DB6C66">
        <w:rPr>
          <w:lang w:val="fr-FR"/>
        </w:rPr>
        <w:t>s</w:t>
      </w:r>
      <w:r w:rsidR="003F0878" w:rsidRPr="00DB6C66">
        <w:rPr>
          <w:lang w:val="fr-FR"/>
        </w:rPr>
        <w:t xml:space="preserve"> services relatifs aux brevets.  Ils sont également chargés de faire mieux connaître la propriété intellectuelle auprès du public, de diffuser les informations </w:t>
      </w:r>
      <w:r w:rsidR="00407202" w:rsidRPr="00DB6C66">
        <w:rPr>
          <w:lang w:val="fr-FR"/>
        </w:rPr>
        <w:t>en matière de</w:t>
      </w:r>
      <w:r w:rsidR="003F0878" w:rsidRPr="00DB6C66">
        <w:rPr>
          <w:lang w:val="fr-FR"/>
        </w:rPr>
        <w:t xml:space="preserve"> brevets et de stimuler l</w:t>
      </w:r>
      <w:r w:rsidR="00280EEC">
        <w:rPr>
          <w:lang w:val="fr-FR"/>
        </w:rPr>
        <w:t>’</w:t>
      </w:r>
      <w:r w:rsidR="003F0878" w:rsidRPr="00DB6C66">
        <w:rPr>
          <w:lang w:val="fr-FR"/>
        </w:rPr>
        <w:t>innovation et la créativité en s</w:t>
      </w:r>
      <w:r w:rsidR="00280EEC">
        <w:rPr>
          <w:lang w:val="fr-FR"/>
        </w:rPr>
        <w:t>’</w:t>
      </w:r>
      <w:r w:rsidR="003F0878" w:rsidRPr="00DB6C66">
        <w:rPr>
          <w:lang w:val="fr-FR"/>
        </w:rPr>
        <w:t xml:space="preserve">appuyant sur différents </w:t>
      </w:r>
      <w:r w:rsidR="00407202" w:rsidRPr="00DB6C66">
        <w:rPr>
          <w:lang w:val="fr-FR"/>
        </w:rPr>
        <w:t xml:space="preserve">outils </w:t>
      </w:r>
      <w:r w:rsidR="003F0878" w:rsidRPr="00DB6C66">
        <w:rPr>
          <w:lang w:val="fr-FR"/>
        </w:rPr>
        <w:t>de propriété intellectuelle</w:t>
      </w:r>
      <w:r w:rsidR="00CC6E05" w:rsidRPr="00DB6C66">
        <w:rPr>
          <w:lang w:val="fr-FR"/>
        </w:rPr>
        <w:t>, et ils s</w:t>
      </w:r>
      <w:r w:rsidR="00280EEC">
        <w:rPr>
          <w:lang w:val="fr-FR"/>
        </w:rPr>
        <w:t>’</w:t>
      </w:r>
      <w:r w:rsidR="00CC6E05" w:rsidRPr="00DB6C66">
        <w:rPr>
          <w:lang w:val="fr-FR"/>
        </w:rPr>
        <w:t>y emploient avec dynamisme</w:t>
      </w:r>
      <w:r w:rsidR="003F0878" w:rsidRPr="00DB6C66">
        <w:rPr>
          <w:lang w:val="fr-FR"/>
        </w:rPr>
        <w:t>.</w:t>
      </w:r>
      <w:r w:rsidR="00CC6E05" w:rsidRPr="00DB6C66">
        <w:rPr>
          <w:lang w:val="fr-FR"/>
        </w:rPr>
        <w:t xml:space="preserve"> </w:t>
      </w:r>
      <w:r w:rsidR="004E047D" w:rsidRPr="00DB6C66">
        <w:rPr>
          <w:lang w:val="fr-FR"/>
        </w:rPr>
        <w:t xml:space="preserve"> </w:t>
      </w:r>
      <w:r w:rsidR="00CC6E05" w:rsidRPr="00DB6C66">
        <w:rPr>
          <w:lang w:val="fr-FR"/>
        </w:rPr>
        <w:t xml:space="preserve">Tous les pays du groupe de </w:t>
      </w:r>
      <w:proofErr w:type="spellStart"/>
      <w:r w:rsidR="00CC6E05" w:rsidRPr="00DB6C66">
        <w:rPr>
          <w:lang w:val="fr-FR"/>
        </w:rPr>
        <w:t>Visegrad</w:t>
      </w:r>
      <w:proofErr w:type="spellEnd"/>
      <w:r w:rsidR="00CC6E05" w:rsidRPr="00DB6C66">
        <w:rPr>
          <w:lang w:val="fr-FR"/>
        </w:rPr>
        <w:t xml:space="preserve"> sont des parties aux principaux instruments internationaux administrés par l</w:t>
      </w:r>
      <w:r w:rsidR="00280EEC">
        <w:rPr>
          <w:lang w:val="fr-FR"/>
        </w:rPr>
        <w:t>’</w:t>
      </w:r>
      <w:r w:rsidR="00CC6E05" w:rsidRPr="00DB6C66">
        <w:rPr>
          <w:lang w:val="fr-FR"/>
        </w:rPr>
        <w:t xml:space="preserve">OMPI, </w:t>
      </w:r>
      <w:r w:rsidR="00407202" w:rsidRPr="00DB6C66">
        <w:rPr>
          <w:lang w:val="fr-FR"/>
        </w:rPr>
        <w:t xml:space="preserve">à </w:t>
      </w:r>
      <w:r w:rsidR="00CC6E05" w:rsidRPr="00DB6C66">
        <w:rPr>
          <w:lang w:val="fr-FR"/>
        </w:rPr>
        <w:t>l</w:t>
      </w:r>
      <w:r w:rsidR="00280EEC">
        <w:rPr>
          <w:lang w:val="fr-FR"/>
        </w:rPr>
        <w:t>’</w:t>
      </w:r>
      <w:r w:rsidR="007E02CF" w:rsidRPr="00DB6C66">
        <w:rPr>
          <w:lang w:val="fr-FR"/>
        </w:rPr>
        <w:t>Accord sur les aspects des droits de propriété intellectuelle qui touchent au commerce (</w:t>
      </w:r>
      <w:r w:rsidR="00CC6E05" w:rsidRPr="00DB6C66">
        <w:rPr>
          <w:lang w:val="fr-FR"/>
        </w:rPr>
        <w:t>Accord sur</w:t>
      </w:r>
      <w:r w:rsidR="00E01D11" w:rsidRPr="00DB6C66">
        <w:rPr>
          <w:lang w:val="fr-FR"/>
        </w:rPr>
        <w:t xml:space="preserve"> les ADP</w:t>
      </w:r>
      <w:r w:rsidR="00CC6E05" w:rsidRPr="00DB6C66">
        <w:rPr>
          <w:lang w:val="fr-FR"/>
        </w:rPr>
        <w:t>IC</w:t>
      </w:r>
      <w:r w:rsidR="007E02CF" w:rsidRPr="00DB6C66">
        <w:rPr>
          <w:lang w:val="fr-FR"/>
        </w:rPr>
        <w:t>) de l</w:t>
      </w:r>
      <w:r w:rsidR="00280EEC">
        <w:rPr>
          <w:lang w:val="fr-FR"/>
        </w:rPr>
        <w:t>’</w:t>
      </w:r>
      <w:r w:rsidR="007E02CF" w:rsidRPr="00DB6C66">
        <w:rPr>
          <w:lang w:val="fr-FR"/>
        </w:rPr>
        <w:t xml:space="preserve">Organisation mondiale du commerce (OMC) et </w:t>
      </w:r>
      <w:r w:rsidR="00407202" w:rsidRPr="00DB6C66">
        <w:rPr>
          <w:lang w:val="fr-FR"/>
        </w:rPr>
        <w:t xml:space="preserve">à </w:t>
      </w:r>
      <w:r w:rsidR="007E02CF" w:rsidRPr="00DB6C66">
        <w:rPr>
          <w:lang w:val="fr-FR"/>
        </w:rPr>
        <w:t>la Convention sur le brevet européen (CBE).  Leur participation</w:t>
      </w:r>
      <w:r w:rsidR="00E01D11" w:rsidRPr="00DB6C66">
        <w:rPr>
          <w:lang w:val="fr-FR"/>
        </w:rPr>
        <w:t xml:space="preserve"> au PCT</w:t>
      </w:r>
      <w:r w:rsidR="007E02CF" w:rsidRPr="00DB6C66">
        <w:rPr>
          <w:lang w:val="fr-FR"/>
        </w:rPr>
        <w:t xml:space="preserve"> et à d</w:t>
      </w:r>
      <w:r w:rsidR="00280EEC">
        <w:rPr>
          <w:lang w:val="fr-FR"/>
        </w:rPr>
        <w:t>’</w:t>
      </w:r>
      <w:r w:rsidR="007E02CF" w:rsidRPr="00DB6C66">
        <w:rPr>
          <w:lang w:val="fr-FR"/>
        </w:rPr>
        <w:t>autres formes de coopération internationale dans le domaine des brevets est traitée un peu plus en détail dans le chapitre suivant.</w:t>
      </w:r>
    </w:p>
    <w:p w:rsidR="006D3583" w:rsidRPr="00DB6C66" w:rsidRDefault="0075654E" w:rsidP="00620A17">
      <w:pPr>
        <w:pStyle w:val="Heading2"/>
        <w:rPr>
          <w:lang w:val="fr-FR"/>
        </w:rPr>
      </w:pPr>
      <w:r w:rsidRPr="00DB6C66">
        <w:rPr>
          <w:lang w:val="fr-FR"/>
        </w:rPr>
        <w:lastRenderedPageBreak/>
        <w:t>1.3.</w:t>
      </w:r>
      <w:r w:rsidR="00917B88" w:rsidRPr="00DB6C66">
        <w:rPr>
          <w:lang w:val="fr-FR"/>
        </w:rPr>
        <w:tab/>
      </w:r>
      <w:r w:rsidRPr="00DB6C66">
        <w:rPr>
          <w:lang w:val="fr-FR"/>
        </w:rPr>
        <w:t xml:space="preserve">Participation </w:t>
      </w:r>
      <w:r w:rsidR="007E02CF" w:rsidRPr="00DB6C66">
        <w:rPr>
          <w:lang w:val="fr-FR"/>
        </w:rPr>
        <w:t xml:space="preserve">des pays du groupe de </w:t>
      </w:r>
      <w:r w:rsidRPr="00DB6C66">
        <w:rPr>
          <w:lang w:val="fr-FR"/>
        </w:rPr>
        <w:t xml:space="preserve">Visegrad </w:t>
      </w:r>
      <w:r w:rsidR="007E02CF" w:rsidRPr="00DB6C66">
        <w:rPr>
          <w:lang w:val="fr-FR"/>
        </w:rPr>
        <w:t xml:space="preserve">au système du </w:t>
      </w:r>
      <w:r w:rsidR="006D3583" w:rsidRPr="00DB6C66">
        <w:rPr>
          <w:lang w:val="fr-FR"/>
        </w:rPr>
        <w:t xml:space="preserve">PCT </w:t>
      </w:r>
      <w:r w:rsidR="007E02CF" w:rsidRPr="00DB6C66">
        <w:rPr>
          <w:lang w:val="fr-FR"/>
        </w:rPr>
        <w:t>et à d</w:t>
      </w:r>
      <w:r w:rsidR="00280EEC">
        <w:rPr>
          <w:lang w:val="fr-FR"/>
        </w:rPr>
        <w:t>’</w:t>
      </w:r>
      <w:r w:rsidR="007E02CF" w:rsidRPr="00DB6C66">
        <w:rPr>
          <w:lang w:val="fr-FR"/>
        </w:rPr>
        <w:t>autres initiatives internationales relatives aux brevets</w:t>
      </w:r>
    </w:p>
    <w:p w:rsidR="00E01D11" w:rsidRPr="00DB6C66" w:rsidRDefault="007E02CF" w:rsidP="006D3583">
      <w:pPr>
        <w:pStyle w:val="ONUMFS"/>
        <w:rPr>
          <w:lang w:val="fr-FR"/>
        </w:rPr>
      </w:pPr>
      <w:r w:rsidRPr="00DB6C66">
        <w:rPr>
          <w:lang w:val="fr-FR"/>
        </w:rPr>
        <w:t>L</w:t>
      </w:r>
      <w:r w:rsidR="00280EEC">
        <w:rPr>
          <w:lang w:val="fr-FR"/>
        </w:rPr>
        <w:t>’</w:t>
      </w:r>
      <w:r w:rsidRPr="00DB6C66">
        <w:rPr>
          <w:lang w:val="fr-FR"/>
        </w:rPr>
        <w:t>ancienne Tchécoslovaquie est devenue une partie contractante</w:t>
      </w:r>
      <w:r w:rsidR="00E01D11" w:rsidRPr="00DB6C66">
        <w:rPr>
          <w:lang w:val="fr-FR"/>
        </w:rPr>
        <w:t xml:space="preserve"> au PCT</w:t>
      </w:r>
      <w:r w:rsidRPr="00DB6C66">
        <w:rPr>
          <w:lang w:val="fr-FR"/>
        </w:rPr>
        <w:t xml:space="preserve"> le 20 juin 1991.  En tant que successeur, la République tchèque a continué d</w:t>
      </w:r>
      <w:r w:rsidR="00280EEC">
        <w:rPr>
          <w:lang w:val="fr-FR"/>
        </w:rPr>
        <w:t>’</w:t>
      </w:r>
      <w:r w:rsidRPr="00DB6C66">
        <w:rPr>
          <w:lang w:val="fr-FR"/>
        </w:rPr>
        <w:t>appliquer</w:t>
      </w:r>
      <w:r w:rsidR="00E01D11" w:rsidRPr="00DB6C66">
        <w:rPr>
          <w:lang w:val="fr-FR"/>
        </w:rPr>
        <w:t xml:space="preserve"> le PCT</w:t>
      </w:r>
      <w:r w:rsidRPr="00DB6C66">
        <w:rPr>
          <w:lang w:val="fr-FR"/>
        </w:rPr>
        <w:t xml:space="preserve"> sur son territoire à partir du 1</w:t>
      </w:r>
      <w:r w:rsidRPr="00DB6C66">
        <w:rPr>
          <w:vertAlign w:val="superscript"/>
          <w:lang w:val="fr-FR"/>
        </w:rPr>
        <w:t>er</w:t>
      </w:r>
      <w:r w:rsidRPr="00DB6C66">
        <w:rPr>
          <w:lang w:val="fr-FR"/>
        </w:rPr>
        <w:t> janvier 1993.  L</w:t>
      </w:r>
      <w:r w:rsidR="00280EEC">
        <w:rPr>
          <w:lang w:val="fr-FR"/>
        </w:rPr>
        <w:t>’</w:t>
      </w:r>
      <w:r w:rsidRPr="00DB6C66">
        <w:rPr>
          <w:lang w:val="fr-FR"/>
        </w:rPr>
        <w:t xml:space="preserve">Office de la propriété industrielle de la République tchèque </w:t>
      </w:r>
      <w:r w:rsidR="00621A83" w:rsidRPr="00DB6C66">
        <w:rPr>
          <w:lang w:val="fr-FR"/>
        </w:rPr>
        <w:t>assume les fonctions d</w:t>
      </w:r>
      <w:r w:rsidR="00280EEC">
        <w:rPr>
          <w:lang w:val="fr-FR"/>
        </w:rPr>
        <w:t>’</w:t>
      </w:r>
      <w:r w:rsidR="00621A83" w:rsidRPr="00DB6C66">
        <w:rPr>
          <w:lang w:val="fr-FR"/>
        </w:rPr>
        <w:t>office récepteur au titre</w:t>
      </w:r>
      <w:r w:rsidR="00E01D11" w:rsidRPr="00DB6C66">
        <w:rPr>
          <w:lang w:val="fr-FR"/>
        </w:rPr>
        <w:t xml:space="preserve"> du PCT</w:t>
      </w:r>
      <w:r w:rsidRPr="00DB6C66">
        <w:rPr>
          <w:lang w:val="fr-FR"/>
        </w:rPr>
        <w:t xml:space="preserve">.  </w:t>
      </w:r>
      <w:r w:rsidR="009F3E13" w:rsidRPr="00DB6C66">
        <w:rPr>
          <w:lang w:val="fr-FR"/>
        </w:rPr>
        <w:t>On observe une tendance favorable en ce qui concerne les demandes selon</w:t>
      </w:r>
      <w:r w:rsidR="00E01D11" w:rsidRPr="00DB6C66">
        <w:rPr>
          <w:lang w:val="fr-FR"/>
        </w:rPr>
        <w:t xml:space="preserve"> le PCT</w:t>
      </w:r>
      <w:r w:rsidR="009F3E13" w:rsidRPr="00DB6C66">
        <w:rPr>
          <w:lang w:val="fr-FR"/>
        </w:rPr>
        <w:t xml:space="preserve"> déposées par des</w:t>
      </w:r>
      <w:r w:rsidR="00897421" w:rsidRPr="00DB6C66">
        <w:rPr>
          <w:lang w:val="fr-FR"/>
        </w:rPr>
        <w:t xml:space="preserve"> nationaux</w:t>
      </w:r>
      <w:r w:rsidR="009F3E13" w:rsidRPr="00DB6C66">
        <w:rPr>
          <w:lang w:val="fr-FR"/>
        </w:rPr>
        <w:t>.</w:t>
      </w:r>
      <w:r w:rsidR="0098782C" w:rsidRPr="00DB6C66">
        <w:rPr>
          <w:lang w:val="fr-FR"/>
        </w:rPr>
        <w:t xml:space="preserve">  Le nombre de demandes internationales de brevet déposées auprès de l</w:t>
      </w:r>
      <w:r w:rsidR="00280EEC">
        <w:rPr>
          <w:lang w:val="fr-FR"/>
        </w:rPr>
        <w:t>’</w:t>
      </w:r>
      <w:r w:rsidR="0098782C" w:rsidRPr="00DB6C66">
        <w:rPr>
          <w:lang w:val="fr-FR"/>
        </w:rPr>
        <w:t>office tchèque en qualité d</w:t>
      </w:r>
      <w:r w:rsidR="00280EEC">
        <w:rPr>
          <w:lang w:val="fr-FR"/>
        </w:rPr>
        <w:t>’</w:t>
      </w:r>
      <w:r w:rsidR="0098782C" w:rsidRPr="00DB6C66">
        <w:rPr>
          <w:lang w:val="fr-FR"/>
        </w:rPr>
        <w:t>office récepteur a oscillé entre 130 et 175 de</w:t>
      </w:r>
      <w:r w:rsidR="004E047D" w:rsidRPr="00DB6C66">
        <w:rPr>
          <w:lang w:val="fr-FR"/>
        </w:rPr>
        <w:t> </w:t>
      </w:r>
      <w:r w:rsidR="0098782C" w:rsidRPr="00DB6C66">
        <w:rPr>
          <w:lang w:val="fr-FR"/>
        </w:rPr>
        <w:t>2008 à 2013.</w:t>
      </w:r>
    </w:p>
    <w:p w:rsidR="00DB3999" w:rsidRPr="00DB6C66" w:rsidRDefault="00C4205B" w:rsidP="006D3583">
      <w:pPr>
        <w:pStyle w:val="ONUMFS"/>
        <w:rPr>
          <w:lang w:val="fr-FR"/>
        </w:rPr>
      </w:pPr>
      <w:r w:rsidRPr="00DB6C66">
        <w:rPr>
          <w:lang w:val="fr-FR"/>
        </w:rPr>
        <w:t>La Hongrie est devenue partie</w:t>
      </w:r>
      <w:r w:rsidR="00E01D11" w:rsidRPr="00DB6C66">
        <w:rPr>
          <w:lang w:val="fr-FR"/>
        </w:rPr>
        <w:t xml:space="preserve"> au PCT</w:t>
      </w:r>
      <w:r w:rsidRPr="00DB6C66">
        <w:rPr>
          <w:lang w:val="fr-FR"/>
        </w:rPr>
        <w:t xml:space="preserve"> le 27 juin 1980.  En sus de sa fonction d</w:t>
      </w:r>
      <w:r w:rsidR="00280EEC">
        <w:rPr>
          <w:lang w:val="fr-FR"/>
        </w:rPr>
        <w:t>’</w:t>
      </w:r>
      <w:r w:rsidRPr="00DB6C66">
        <w:rPr>
          <w:lang w:val="fr-FR"/>
        </w:rPr>
        <w:t xml:space="preserve">office récepteur </w:t>
      </w:r>
      <w:r w:rsidR="003F07D0" w:rsidRPr="00DB6C66">
        <w:rPr>
          <w:lang w:val="fr-FR"/>
        </w:rPr>
        <w:t>au titre</w:t>
      </w:r>
      <w:r w:rsidR="00E01D11" w:rsidRPr="00DB6C66">
        <w:rPr>
          <w:lang w:val="fr-FR"/>
        </w:rPr>
        <w:t xml:space="preserve"> du PCT</w:t>
      </w:r>
      <w:r w:rsidRPr="00DB6C66">
        <w:rPr>
          <w:lang w:val="fr-FR"/>
        </w:rPr>
        <w:t>, depuis</w:t>
      </w:r>
      <w:r w:rsidR="004E047D" w:rsidRPr="00DB6C66">
        <w:rPr>
          <w:lang w:val="fr-FR"/>
        </w:rPr>
        <w:t> </w:t>
      </w:r>
      <w:r w:rsidRPr="00DB6C66">
        <w:rPr>
          <w:lang w:val="fr-FR"/>
        </w:rPr>
        <w:t>2006, l</w:t>
      </w:r>
      <w:r w:rsidR="00280EEC">
        <w:rPr>
          <w:lang w:val="fr-FR"/>
        </w:rPr>
        <w:t>’</w:t>
      </w:r>
      <w:r w:rsidRPr="00DB6C66">
        <w:rPr>
          <w:lang w:val="fr-FR"/>
        </w:rPr>
        <w:t>Office</w:t>
      </w:r>
      <w:r w:rsidR="003F07D0" w:rsidRPr="00DB6C66">
        <w:rPr>
          <w:lang w:val="fr-FR"/>
        </w:rPr>
        <w:t xml:space="preserve"> hongrois</w:t>
      </w:r>
      <w:r w:rsidRPr="00DB6C66">
        <w:rPr>
          <w:lang w:val="fr-FR"/>
        </w:rPr>
        <w:t xml:space="preserve"> de propriété intellectuelle </w:t>
      </w:r>
      <w:r w:rsidR="002B5213" w:rsidRPr="00DB6C66">
        <w:rPr>
          <w:lang w:val="fr-FR"/>
        </w:rPr>
        <w:t>menait</w:t>
      </w:r>
      <w:r w:rsidRPr="00DB6C66">
        <w:rPr>
          <w:lang w:val="fr-FR"/>
        </w:rPr>
        <w:t xml:space="preserve"> des recherches et des examens préliminaires pour l</w:t>
      </w:r>
      <w:r w:rsidR="00280EEC">
        <w:rPr>
          <w:lang w:val="fr-FR"/>
        </w:rPr>
        <w:t>’</w:t>
      </w:r>
      <w:r w:rsidRPr="00DB6C66">
        <w:rPr>
          <w:lang w:val="fr-FR"/>
        </w:rPr>
        <w:t>Office autrichien des brevets en tant qu</w:t>
      </w:r>
      <w:r w:rsidR="00280EEC">
        <w:rPr>
          <w:lang w:val="fr-FR"/>
        </w:rPr>
        <w:t>’</w:t>
      </w:r>
      <w:r w:rsidRPr="00DB6C66">
        <w:rPr>
          <w:lang w:val="fr-FR"/>
        </w:rPr>
        <w:t>administration</w:t>
      </w:r>
      <w:r w:rsidR="00E01D11" w:rsidRPr="00DB6C66">
        <w:rPr>
          <w:lang w:val="fr-FR"/>
        </w:rPr>
        <w:t xml:space="preserve"> du PCT</w:t>
      </w:r>
      <w:r w:rsidR="00BE546A" w:rsidRPr="00DB6C66">
        <w:rPr>
          <w:lang w:val="fr-FR"/>
        </w:rPr>
        <w:t xml:space="preserve"> dans le cadre d</w:t>
      </w:r>
      <w:r w:rsidR="00280EEC">
        <w:rPr>
          <w:lang w:val="fr-FR"/>
        </w:rPr>
        <w:t>’</w:t>
      </w:r>
      <w:r w:rsidR="00BE546A" w:rsidRPr="00DB6C66">
        <w:rPr>
          <w:lang w:val="fr-FR"/>
        </w:rPr>
        <w:t>un accord bilatéral conclu avec l</w:t>
      </w:r>
      <w:r w:rsidR="00280EEC">
        <w:rPr>
          <w:lang w:val="fr-FR"/>
        </w:rPr>
        <w:t>’</w:t>
      </w:r>
      <w:r w:rsidR="00BE546A" w:rsidRPr="00DB6C66">
        <w:rPr>
          <w:lang w:val="fr-FR"/>
        </w:rPr>
        <w:t xml:space="preserve">Office autrichien des brevets.  </w:t>
      </w:r>
      <w:r w:rsidR="00217656" w:rsidRPr="00DB6C66">
        <w:rPr>
          <w:lang w:val="fr-FR"/>
        </w:rPr>
        <w:t>Pour mener des recherches et des examens préliminaires en vertu de cet accord, l</w:t>
      </w:r>
      <w:r w:rsidR="00280EEC">
        <w:rPr>
          <w:lang w:val="fr-FR"/>
        </w:rPr>
        <w:t>’</w:t>
      </w:r>
      <w:r w:rsidR="00217656" w:rsidRPr="00DB6C66">
        <w:rPr>
          <w:lang w:val="fr-FR"/>
        </w:rPr>
        <w:t xml:space="preserve">Office hongrois de propriété intellectuelle </w:t>
      </w:r>
      <w:r w:rsidR="00F044BC" w:rsidRPr="00DB6C66">
        <w:rPr>
          <w:lang w:val="fr-FR"/>
        </w:rPr>
        <w:t>suivait</w:t>
      </w:r>
      <w:r w:rsidR="00323FD6" w:rsidRPr="00DB6C66">
        <w:rPr>
          <w:lang w:val="fr-FR"/>
        </w:rPr>
        <w:t xml:space="preserve"> </w:t>
      </w:r>
      <w:r w:rsidR="00217656" w:rsidRPr="00DB6C66">
        <w:rPr>
          <w:lang w:val="fr-FR"/>
        </w:rPr>
        <w:t>les Directives concernant la recherche internationale et l</w:t>
      </w:r>
      <w:r w:rsidR="00280EEC">
        <w:rPr>
          <w:lang w:val="fr-FR"/>
        </w:rPr>
        <w:t>’</w:t>
      </w:r>
      <w:r w:rsidR="00217656" w:rsidRPr="00DB6C66">
        <w:rPr>
          <w:lang w:val="fr-FR"/>
        </w:rPr>
        <w:t xml:space="preserve">examen préliminaire international selon le Traité de coopération en matière de brevets.  </w:t>
      </w:r>
      <w:r w:rsidR="00323FD6" w:rsidRPr="00DB6C66">
        <w:rPr>
          <w:lang w:val="fr-FR"/>
        </w:rPr>
        <w:t xml:space="preserve">Cet </w:t>
      </w:r>
      <w:r w:rsidR="00217656" w:rsidRPr="00DB6C66">
        <w:rPr>
          <w:lang w:val="fr-FR"/>
        </w:rPr>
        <w:t>accord était en vigueur jusqu</w:t>
      </w:r>
      <w:r w:rsidR="00280EEC">
        <w:rPr>
          <w:lang w:val="fr-FR"/>
        </w:rPr>
        <w:t>’</w:t>
      </w:r>
      <w:r w:rsidR="00217656" w:rsidRPr="00DB6C66">
        <w:rPr>
          <w:lang w:val="fr-FR"/>
        </w:rPr>
        <w:t>à la fin de décembre 2014.  Dans le cadre de cet accord, l</w:t>
      </w:r>
      <w:r w:rsidR="00280EEC">
        <w:rPr>
          <w:lang w:val="fr-FR"/>
        </w:rPr>
        <w:t>’</w:t>
      </w:r>
      <w:r w:rsidR="00217656" w:rsidRPr="00DB6C66">
        <w:rPr>
          <w:lang w:val="fr-FR"/>
        </w:rPr>
        <w:t>Office hongrois a</w:t>
      </w:r>
      <w:r w:rsidR="00F044BC" w:rsidRPr="00DB6C66">
        <w:rPr>
          <w:lang w:val="fr-FR"/>
        </w:rPr>
        <w:t>vait</w:t>
      </w:r>
      <w:r w:rsidR="00217656" w:rsidRPr="00DB6C66">
        <w:rPr>
          <w:lang w:val="fr-FR"/>
        </w:rPr>
        <w:t xml:space="preserve"> </w:t>
      </w:r>
      <w:r w:rsidR="00CD6001" w:rsidRPr="00DB6C66">
        <w:rPr>
          <w:lang w:val="fr-FR"/>
        </w:rPr>
        <w:t>missionné</w:t>
      </w:r>
      <w:r w:rsidR="00217656" w:rsidRPr="00DB6C66">
        <w:rPr>
          <w:lang w:val="fr-FR"/>
        </w:rPr>
        <w:t xml:space="preserve"> des experts en brevets</w:t>
      </w:r>
      <w:r w:rsidR="00CD6001" w:rsidRPr="00DB6C66">
        <w:rPr>
          <w:lang w:val="fr-FR"/>
        </w:rPr>
        <w:t>, en qualité d</w:t>
      </w:r>
      <w:r w:rsidR="00280EEC">
        <w:rPr>
          <w:lang w:val="fr-FR"/>
        </w:rPr>
        <w:t>’</w:t>
      </w:r>
      <w:r w:rsidR="00CD6001" w:rsidRPr="00DB6C66">
        <w:rPr>
          <w:lang w:val="fr-FR"/>
        </w:rPr>
        <w:t>observateurs, auprès du Comité permanent pour l</w:t>
      </w:r>
      <w:r w:rsidR="00280EEC">
        <w:rPr>
          <w:lang w:val="fr-FR"/>
        </w:rPr>
        <w:t>’</w:t>
      </w:r>
      <w:r w:rsidR="00CD6001" w:rsidRPr="00DB6C66">
        <w:rPr>
          <w:lang w:val="fr-FR"/>
        </w:rPr>
        <w:t>harmonisation des activités de recherche et de ses groupes de travail chargés de la coopération et de l</w:t>
      </w:r>
      <w:r w:rsidR="00280EEC">
        <w:rPr>
          <w:lang w:val="fr-FR"/>
        </w:rPr>
        <w:t>’</w:t>
      </w:r>
      <w:r w:rsidR="00CD6001" w:rsidRPr="00DB6C66">
        <w:rPr>
          <w:lang w:val="fr-FR"/>
        </w:rPr>
        <w:t>harmonisation entre les administrations</w:t>
      </w:r>
      <w:r w:rsidR="00E01D11" w:rsidRPr="00DB6C66">
        <w:rPr>
          <w:lang w:val="fr-FR"/>
        </w:rPr>
        <w:t xml:space="preserve"> du PCT</w:t>
      </w:r>
      <w:r w:rsidR="00CD6001" w:rsidRPr="00DB6C66">
        <w:rPr>
          <w:lang w:val="fr-FR"/>
        </w:rPr>
        <w:t xml:space="preserve"> en Europe.  Les représentants de l</w:t>
      </w:r>
      <w:r w:rsidR="00280EEC">
        <w:rPr>
          <w:lang w:val="fr-FR"/>
        </w:rPr>
        <w:t>’</w:t>
      </w:r>
      <w:r w:rsidR="00CD6001" w:rsidRPr="00DB6C66">
        <w:rPr>
          <w:lang w:val="fr-FR"/>
        </w:rPr>
        <w:t xml:space="preserve">Office hongrois de propriété intellectuelle </w:t>
      </w:r>
      <w:r w:rsidR="00F044BC" w:rsidRPr="00DB6C66">
        <w:rPr>
          <w:lang w:val="fr-FR"/>
        </w:rPr>
        <w:t>avaien</w:t>
      </w:r>
      <w:r w:rsidR="0008687D" w:rsidRPr="00DB6C66">
        <w:rPr>
          <w:lang w:val="fr-FR"/>
        </w:rPr>
        <w:t>t</w:t>
      </w:r>
      <w:r w:rsidR="00F044BC" w:rsidRPr="00DB6C66">
        <w:rPr>
          <w:lang w:val="fr-FR"/>
        </w:rPr>
        <w:t xml:space="preserve"> pris</w:t>
      </w:r>
      <w:r w:rsidR="00CD6001" w:rsidRPr="00DB6C66">
        <w:rPr>
          <w:lang w:val="fr-FR"/>
        </w:rPr>
        <w:t xml:space="preserve"> part aux travaux du Comité permanent et de ses groupes de travail depuis</w:t>
      </w:r>
      <w:r w:rsidR="004E047D" w:rsidRPr="00DB6C66">
        <w:rPr>
          <w:lang w:val="fr-FR"/>
        </w:rPr>
        <w:t> </w:t>
      </w:r>
      <w:r w:rsidR="00CD6001" w:rsidRPr="00DB6C66">
        <w:rPr>
          <w:lang w:val="fr-FR"/>
        </w:rPr>
        <w:t>2009.  Le nombre de demandes selon</w:t>
      </w:r>
      <w:r w:rsidR="00E01D11" w:rsidRPr="00DB6C66">
        <w:rPr>
          <w:lang w:val="fr-FR"/>
        </w:rPr>
        <w:t xml:space="preserve"> le PCT</w:t>
      </w:r>
      <w:r w:rsidR="00CD6001" w:rsidRPr="00DB6C66">
        <w:rPr>
          <w:lang w:val="fr-FR"/>
        </w:rPr>
        <w:t xml:space="preserve"> originaires de la Hongrie a oscillé entre 142 et 173 de 2008 à 2013.</w:t>
      </w:r>
    </w:p>
    <w:p w:rsidR="00DB3999" w:rsidRPr="00DB6C66" w:rsidRDefault="00612DCE" w:rsidP="006D3583">
      <w:pPr>
        <w:pStyle w:val="ONUMFS"/>
        <w:rPr>
          <w:lang w:val="fr-FR"/>
        </w:rPr>
      </w:pPr>
      <w:r w:rsidRPr="00DB6C66">
        <w:rPr>
          <w:lang w:val="fr-FR"/>
        </w:rPr>
        <w:t>La République de Pologne a adhéré</w:t>
      </w:r>
      <w:r w:rsidR="00E01D11" w:rsidRPr="00DB6C66">
        <w:rPr>
          <w:lang w:val="fr-FR"/>
        </w:rPr>
        <w:t xml:space="preserve"> au PCT</w:t>
      </w:r>
      <w:r w:rsidRPr="00DB6C66">
        <w:rPr>
          <w:lang w:val="fr-FR"/>
        </w:rPr>
        <w:t xml:space="preserve"> le 25 décembre 1990.  Depuis cette date, l</w:t>
      </w:r>
      <w:r w:rsidR="00280EEC">
        <w:rPr>
          <w:lang w:val="fr-FR"/>
        </w:rPr>
        <w:t>’</w:t>
      </w:r>
      <w:r w:rsidRPr="00DB6C66">
        <w:rPr>
          <w:lang w:val="fr-FR"/>
        </w:rPr>
        <w:t>Office des brevets de la République de Pologne agit en qualité d</w:t>
      </w:r>
      <w:r w:rsidR="00280EEC">
        <w:rPr>
          <w:lang w:val="fr-FR"/>
        </w:rPr>
        <w:t>’</w:t>
      </w:r>
      <w:r w:rsidRPr="00DB6C66">
        <w:rPr>
          <w:lang w:val="fr-FR"/>
        </w:rPr>
        <w:t xml:space="preserve">office récepteur et la Pologne est </w:t>
      </w:r>
      <w:r w:rsidR="00DF641F" w:rsidRPr="00DB6C66">
        <w:rPr>
          <w:lang w:val="fr-FR"/>
        </w:rPr>
        <w:t>devenue</w:t>
      </w:r>
      <w:r w:rsidRPr="00DB6C66">
        <w:rPr>
          <w:lang w:val="fr-FR"/>
        </w:rPr>
        <w:t xml:space="preserve"> </w:t>
      </w:r>
      <w:r w:rsidR="0008687D" w:rsidRPr="00DB6C66">
        <w:rPr>
          <w:lang w:val="fr-FR"/>
        </w:rPr>
        <w:t xml:space="preserve">pays désigné </w:t>
      </w:r>
      <w:r w:rsidRPr="00DB6C66">
        <w:rPr>
          <w:lang w:val="fr-FR"/>
        </w:rPr>
        <w:t>dans les demandes selon</w:t>
      </w:r>
      <w:r w:rsidR="00E01D11" w:rsidRPr="00DB6C66">
        <w:rPr>
          <w:lang w:val="fr-FR"/>
        </w:rPr>
        <w:t xml:space="preserve"> le PCT</w:t>
      </w:r>
      <w:r w:rsidRPr="00DB6C66">
        <w:rPr>
          <w:lang w:val="fr-FR"/>
        </w:rPr>
        <w:t>.  Entre 2008 et 2013, le nombre de demandes selon</w:t>
      </w:r>
      <w:r w:rsidR="00E01D11" w:rsidRPr="00DB6C66">
        <w:rPr>
          <w:lang w:val="fr-FR"/>
        </w:rPr>
        <w:t xml:space="preserve"> le PCT</w:t>
      </w:r>
      <w:r w:rsidRPr="00DB6C66">
        <w:rPr>
          <w:lang w:val="fr-FR"/>
        </w:rPr>
        <w:t xml:space="preserve"> en provenance de la République de Pologne est passé de 117 à 218.</w:t>
      </w:r>
    </w:p>
    <w:p w:rsidR="00DB3999" w:rsidRPr="00DB6C66" w:rsidRDefault="00487C37" w:rsidP="006D3583">
      <w:pPr>
        <w:pStyle w:val="ONUMFS"/>
        <w:rPr>
          <w:lang w:val="fr-FR"/>
        </w:rPr>
      </w:pPr>
      <w:r w:rsidRPr="00DB6C66">
        <w:rPr>
          <w:lang w:val="fr-FR"/>
        </w:rPr>
        <w:t>La République slovaque, ainsi que la République tchèque, ont remplacé l</w:t>
      </w:r>
      <w:r w:rsidR="00280EEC">
        <w:rPr>
          <w:lang w:val="fr-FR"/>
        </w:rPr>
        <w:t>’</w:t>
      </w:r>
      <w:r w:rsidRPr="00DB6C66">
        <w:rPr>
          <w:lang w:val="fr-FR"/>
        </w:rPr>
        <w:t>ancienne Tchécoslovaquie qui avait adhéré</w:t>
      </w:r>
      <w:r w:rsidR="00E01D11" w:rsidRPr="00DB6C66">
        <w:rPr>
          <w:lang w:val="fr-FR"/>
        </w:rPr>
        <w:t xml:space="preserve"> au PCT</w:t>
      </w:r>
      <w:r w:rsidRPr="00DB6C66">
        <w:rPr>
          <w:lang w:val="fr-FR"/>
        </w:rPr>
        <w:t xml:space="preserve"> en</w:t>
      </w:r>
      <w:r w:rsidR="004E047D" w:rsidRPr="00DB6C66">
        <w:rPr>
          <w:lang w:val="fr-FR"/>
        </w:rPr>
        <w:t> </w:t>
      </w:r>
      <w:r w:rsidRPr="00DB6C66">
        <w:rPr>
          <w:lang w:val="fr-FR"/>
        </w:rPr>
        <w:t xml:space="preserve">1991.  La République slovaque est un </w:t>
      </w:r>
      <w:r w:rsidR="00DF641F" w:rsidRPr="00DB6C66">
        <w:rPr>
          <w:lang w:val="fr-FR"/>
        </w:rPr>
        <w:t>État</w:t>
      </w:r>
      <w:r w:rsidRPr="00DB6C66">
        <w:rPr>
          <w:lang w:val="fr-FR"/>
        </w:rPr>
        <w:t xml:space="preserve"> contractant</w:t>
      </w:r>
      <w:r w:rsidR="00E01D11" w:rsidRPr="00DB6C66">
        <w:rPr>
          <w:lang w:val="fr-FR"/>
        </w:rPr>
        <w:t xml:space="preserve"> du PCT</w:t>
      </w:r>
      <w:r w:rsidRPr="00DB6C66">
        <w:rPr>
          <w:lang w:val="fr-FR"/>
        </w:rPr>
        <w:t xml:space="preserve"> depuis le 1</w:t>
      </w:r>
      <w:r w:rsidRPr="00DB6C66">
        <w:rPr>
          <w:vertAlign w:val="superscript"/>
          <w:lang w:val="fr-FR"/>
        </w:rPr>
        <w:t>er</w:t>
      </w:r>
      <w:r w:rsidRPr="00DB6C66">
        <w:rPr>
          <w:lang w:val="fr-FR"/>
        </w:rPr>
        <w:t> janvier</w:t>
      </w:r>
      <w:r w:rsidR="003C0268" w:rsidRPr="00DB6C66">
        <w:rPr>
          <w:lang w:val="fr-FR"/>
        </w:rPr>
        <w:t> 1993.</w:t>
      </w:r>
      <w:r w:rsidR="004E047D" w:rsidRPr="00DB6C66">
        <w:rPr>
          <w:lang w:val="fr-FR"/>
        </w:rPr>
        <w:t xml:space="preserve"> </w:t>
      </w:r>
      <w:r w:rsidR="003C0268" w:rsidRPr="00DB6C66">
        <w:rPr>
          <w:lang w:val="fr-FR"/>
        </w:rPr>
        <w:t xml:space="preserve"> Depuis cette date, l</w:t>
      </w:r>
      <w:r w:rsidR="00280EEC">
        <w:rPr>
          <w:lang w:val="fr-FR"/>
        </w:rPr>
        <w:t>’</w:t>
      </w:r>
      <w:r w:rsidR="003C0268" w:rsidRPr="00DB6C66">
        <w:rPr>
          <w:lang w:val="fr-FR"/>
        </w:rPr>
        <w:t>Office de la propriété industrielle de la République slovaque accomplit sa mission dans le cadre du système</w:t>
      </w:r>
      <w:r w:rsidR="00E01D11" w:rsidRPr="00DB6C66">
        <w:rPr>
          <w:lang w:val="fr-FR"/>
        </w:rPr>
        <w:t xml:space="preserve"> du PCT</w:t>
      </w:r>
      <w:r w:rsidR="003C0268" w:rsidRPr="00DB6C66">
        <w:rPr>
          <w:lang w:val="fr-FR"/>
        </w:rPr>
        <w:t xml:space="preserve"> en qualité d</w:t>
      </w:r>
      <w:r w:rsidR="00280EEC">
        <w:rPr>
          <w:lang w:val="fr-FR"/>
        </w:rPr>
        <w:t>’</w:t>
      </w:r>
      <w:r w:rsidR="003C0268" w:rsidRPr="00DB6C66">
        <w:rPr>
          <w:lang w:val="fr-FR"/>
        </w:rPr>
        <w:t>office récepteur.  Grâce à un grand programme de sensibilisation, le nombre de demandes selon</w:t>
      </w:r>
      <w:r w:rsidR="00E01D11" w:rsidRPr="00DB6C66">
        <w:rPr>
          <w:lang w:val="fr-FR"/>
        </w:rPr>
        <w:t xml:space="preserve"> le PCT</w:t>
      </w:r>
      <w:r w:rsidR="003C0268" w:rsidRPr="00DB6C66">
        <w:rPr>
          <w:lang w:val="fr-FR"/>
        </w:rPr>
        <w:t xml:space="preserve"> déposées auprès de l</w:t>
      </w:r>
      <w:r w:rsidR="00280EEC">
        <w:rPr>
          <w:lang w:val="fr-FR"/>
        </w:rPr>
        <w:t>’</w:t>
      </w:r>
      <w:r w:rsidR="003C0268" w:rsidRPr="00DB6C66">
        <w:rPr>
          <w:lang w:val="fr-FR"/>
        </w:rPr>
        <w:t>Office slovaque de la propriété industrielle a augmenté de 50%</w:t>
      </w:r>
      <w:r w:rsidR="00E01D11" w:rsidRPr="00DB6C66">
        <w:rPr>
          <w:lang w:val="fr-FR"/>
        </w:rPr>
        <w:t xml:space="preserve"> – </w:t>
      </w:r>
      <w:r w:rsidR="003C0268" w:rsidRPr="00DB6C66">
        <w:rPr>
          <w:lang w:val="fr-FR"/>
        </w:rPr>
        <w:t>passant de 32 demandes en 2013 à 48 demandes en 2014).</w:t>
      </w:r>
    </w:p>
    <w:p w:rsidR="00E01D11" w:rsidRPr="00DB6C66" w:rsidRDefault="003B5906" w:rsidP="006D3583">
      <w:pPr>
        <w:pStyle w:val="ONUMFS"/>
        <w:rPr>
          <w:lang w:val="fr-FR"/>
        </w:rPr>
      </w:pPr>
      <w:r w:rsidRPr="00DB6C66">
        <w:rPr>
          <w:lang w:val="fr-FR"/>
        </w:rPr>
        <w:t xml:space="preserve">Tous les offices nationaux du V4 </w:t>
      </w:r>
      <w:r w:rsidR="001A3EE3" w:rsidRPr="00DB6C66">
        <w:rPr>
          <w:lang w:val="fr-FR"/>
        </w:rPr>
        <w:t>agissent également en qualité d</w:t>
      </w:r>
      <w:r w:rsidR="00280EEC">
        <w:rPr>
          <w:lang w:val="fr-FR"/>
        </w:rPr>
        <w:t>’</w:t>
      </w:r>
      <w:r w:rsidR="001A3EE3" w:rsidRPr="00DB6C66">
        <w:rPr>
          <w:lang w:val="fr-FR"/>
        </w:rPr>
        <w:t>offices désignés et élus selon</w:t>
      </w:r>
      <w:r w:rsidR="00E01D11" w:rsidRPr="00DB6C66">
        <w:rPr>
          <w:lang w:val="fr-FR"/>
        </w:rPr>
        <w:t xml:space="preserve"> le PCT</w:t>
      </w:r>
      <w:r w:rsidR="001A3EE3" w:rsidRPr="00DB6C66">
        <w:rPr>
          <w:lang w:val="fr-FR"/>
        </w:rPr>
        <w:t>, quoique le nombre de demandes internationales entrant dans la phase nationale ait fortement diminué depuis l</w:t>
      </w:r>
      <w:r w:rsidR="00280EEC">
        <w:rPr>
          <w:lang w:val="fr-FR"/>
        </w:rPr>
        <w:t>’</w:t>
      </w:r>
      <w:r w:rsidR="001A3EE3" w:rsidRPr="00DB6C66">
        <w:rPr>
          <w:lang w:val="fr-FR"/>
        </w:rPr>
        <w:t xml:space="preserve">adhésion des pays du </w:t>
      </w:r>
      <w:r w:rsidR="0008687D" w:rsidRPr="00DB6C66">
        <w:rPr>
          <w:lang w:val="fr-FR"/>
        </w:rPr>
        <w:t xml:space="preserve">groupe de </w:t>
      </w:r>
      <w:proofErr w:type="spellStart"/>
      <w:r w:rsidR="001A3EE3" w:rsidRPr="00DB6C66">
        <w:rPr>
          <w:lang w:val="fr-FR"/>
        </w:rPr>
        <w:t>Visegrad</w:t>
      </w:r>
      <w:proofErr w:type="spellEnd"/>
      <w:r w:rsidR="001A3EE3" w:rsidRPr="00DB6C66">
        <w:rPr>
          <w:lang w:val="fr-FR"/>
        </w:rPr>
        <w:t xml:space="preserve"> à la Convention sur le brevet européen en</w:t>
      </w:r>
      <w:r w:rsidR="0008687D" w:rsidRPr="00DB6C66">
        <w:rPr>
          <w:lang w:val="fr-FR"/>
        </w:rPr>
        <w:t>tre</w:t>
      </w:r>
      <w:r w:rsidR="001A3EE3" w:rsidRPr="00DB6C66">
        <w:rPr>
          <w:lang w:val="fr-FR"/>
        </w:rPr>
        <w:t> 2002</w:t>
      </w:r>
      <w:r w:rsidR="0008687D" w:rsidRPr="00DB6C66">
        <w:rPr>
          <w:lang w:val="fr-FR"/>
        </w:rPr>
        <w:t xml:space="preserve"> et </w:t>
      </w:r>
      <w:r w:rsidR="001A3EE3" w:rsidRPr="00DB6C66">
        <w:rPr>
          <w:lang w:val="fr-FR"/>
        </w:rPr>
        <w:t>2004.</w:t>
      </w:r>
    </w:p>
    <w:p w:rsidR="00E01D11" w:rsidRPr="00DB6C66" w:rsidRDefault="001A3EE3" w:rsidP="006D3583">
      <w:pPr>
        <w:pStyle w:val="ONUMFS"/>
        <w:rPr>
          <w:lang w:val="fr-FR"/>
        </w:rPr>
      </w:pPr>
      <w:r w:rsidRPr="00DB6C66">
        <w:rPr>
          <w:lang w:val="fr-FR"/>
        </w:rPr>
        <w:t xml:space="preserve">Les offices nationaux des pays du </w:t>
      </w:r>
      <w:r w:rsidR="0014665D" w:rsidRPr="00DB6C66">
        <w:rPr>
          <w:lang w:val="fr-FR"/>
        </w:rPr>
        <w:t xml:space="preserve">groupe de </w:t>
      </w:r>
      <w:proofErr w:type="spellStart"/>
      <w:r w:rsidRPr="00DB6C66">
        <w:rPr>
          <w:lang w:val="fr-FR"/>
        </w:rPr>
        <w:t>Visegrad</w:t>
      </w:r>
      <w:proofErr w:type="spellEnd"/>
      <w:r w:rsidRPr="00DB6C66">
        <w:rPr>
          <w:lang w:val="fr-FR"/>
        </w:rPr>
        <w:t xml:space="preserve"> jouent un rôle de plus en plus important dans la coopération en matière de brevets </w:t>
      </w:r>
      <w:r w:rsidR="0014665D" w:rsidRPr="00DB6C66">
        <w:rPr>
          <w:lang w:val="fr-FR"/>
        </w:rPr>
        <w:t xml:space="preserve">destinée </w:t>
      </w:r>
      <w:r w:rsidRPr="00DB6C66">
        <w:rPr>
          <w:lang w:val="fr-FR"/>
        </w:rPr>
        <w:t>à partager la charge de travail et à harmoniser la recherche et l</w:t>
      </w:r>
      <w:r w:rsidR="00280EEC">
        <w:rPr>
          <w:lang w:val="fr-FR"/>
        </w:rPr>
        <w:t>’</w:t>
      </w:r>
      <w:r w:rsidRPr="00DB6C66">
        <w:rPr>
          <w:lang w:val="fr-FR"/>
        </w:rPr>
        <w:t xml:space="preserve">examen. </w:t>
      </w:r>
      <w:r w:rsidR="00A82118" w:rsidRPr="00DB6C66">
        <w:rPr>
          <w:lang w:val="fr-FR"/>
        </w:rPr>
        <w:t xml:space="preserve"> L</w:t>
      </w:r>
      <w:r w:rsidR="00280EEC">
        <w:rPr>
          <w:lang w:val="fr-FR"/>
        </w:rPr>
        <w:t>’</w:t>
      </w:r>
      <w:r w:rsidR="00A82118" w:rsidRPr="00DB6C66">
        <w:rPr>
          <w:lang w:val="fr-FR"/>
        </w:rPr>
        <w:t xml:space="preserve">Office hongrois de propriété intellectuelle est membre du programme GPPH.  </w:t>
      </w:r>
      <w:r w:rsidR="006B3EB7" w:rsidRPr="00DB6C66">
        <w:rPr>
          <w:lang w:val="fr-FR"/>
        </w:rPr>
        <w:t>Une fois établi,</w:t>
      </w:r>
      <w:r w:rsidR="00E01D11" w:rsidRPr="00DB6C66">
        <w:rPr>
          <w:lang w:val="fr-FR"/>
        </w:rPr>
        <w:t xml:space="preserve"> le VPI</w:t>
      </w:r>
      <w:r w:rsidR="006B3EB7" w:rsidRPr="00DB6C66">
        <w:rPr>
          <w:lang w:val="fr-FR"/>
        </w:rPr>
        <w:t xml:space="preserve"> devrait également s</w:t>
      </w:r>
      <w:r w:rsidR="00280EEC">
        <w:rPr>
          <w:lang w:val="fr-FR"/>
        </w:rPr>
        <w:t>’</w:t>
      </w:r>
      <w:r w:rsidR="006B3EB7" w:rsidRPr="00DB6C66">
        <w:rPr>
          <w:lang w:val="fr-FR"/>
        </w:rPr>
        <w:t xml:space="preserve">efforcer de participer </w:t>
      </w:r>
      <w:r w:rsidR="0014665D" w:rsidRPr="00DB6C66">
        <w:rPr>
          <w:lang w:val="fr-FR"/>
        </w:rPr>
        <w:t xml:space="preserve">à </w:t>
      </w:r>
      <w:r w:rsidR="006B3EB7" w:rsidRPr="00DB6C66">
        <w:rPr>
          <w:lang w:val="fr-FR"/>
        </w:rPr>
        <w:t>ce réseau mondial.  En outre, tous les offices du V4 participent à des programmes d</w:t>
      </w:r>
      <w:r w:rsidR="00280EEC">
        <w:rPr>
          <w:lang w:val="fr-FR"/>
        </w:rPr>
        <w:t>’</w:t>
      </w:r>
      <w:r w:rsidR="006B3EB7" w:rsidRPr="00DB6C66">
        <w:rPr>
          <w:lang w:val="fr-FR"/>
        </w:rPr>
        <w:t>accélération des procédures d</w:t>
      </w:r>
      <w:r w:rsidR="00280EEC">
        <w:rPr>
          <w:lang w:val="fr-FR"/>
        </w:rPr>
        <w:t>’</w:t>
      </w:r>
      <w:r w:rsidR="006B3EB7" w:rsidRPr="00DB6C66">
        <w:rPr>
          <w:lang w:val="fr-FR"/>
        </w:rPr>
        <w:t>examen des demandes de brevet (PPH), (entre autres, avec l</w:t>
      </w:r>
      <w:r w:rsidR="00280EEC">
        <w:rPr>
          <w:lang w:val="fr-FR"/>
        </w:rPr>
        <w:t>’</w:t>
      </w:r>
      <w:r w:rsidR="006B3EB7" w:rsidRPr="00DB6C66">
        <w:rPr>
          <w:lang w:val="fr-FR"/>
        </w:rPr>
        <w:t>Office des brevets et des marques des États</w:t>
      </w:r>
      <w:r w:rsidR="008117E3">
        <w:rPr>
          <w:lang w:val="fr-FR"/>
        </w:rPr>
        <w:noBreakHyphen/>
      </w:r>
      <w:r w:rsidR="006B3EB7" w:rsidRPr="00DB6C66">
        <w:rPr>
          <w:lang w:val="fr-FR"/>
        </w:rPr>
        <w:t>Unis d</w:t>
      </w:r>
      <w:r w:rsidR="00280EEC">
        <w:rPr>
          <w:lang w:val="fr-FR"/>
        </w:rPr>
        <w:t>’</w:t>
      </w:r>
      <w:r w:rsidR="006B3EB7" w:rsidRPr="00DB6C66">
        <w:rPr>
          <w:lang w:val="fr-FR"/>
        </w:rPr>
        <w:t>Amérique, l</w:t>
      </w:r>
      <w:r w:rsidR="00280EEC">
        <w:rPr>
          <w:lang w:val="fr-FR"/>
        </w:rPr>
        <w:t>’</w:t>
      </w:r>
      <w:r w:rsidR="006B3EB7" w:rsidRPr="00DB6C66">
        <w:rPr>
          <w:lang w:val="fr-FR"/>
        </w:rPr>
        <w:t>Office national des brevets et de l</w:t>
      </w:r>
      <w:r w:rsidR="00280EEC">
        <w:rPr>
          <w:lang w:val="fr-FR"/>
        </w:rPr>
        <w:t>’</w:t>
      </w:r>
      <w:r w:rsidR="006B3EB7" w:rsidRPr="00DB6C66">
        <w:rPr>
          <w:lang w:val="fr-FR"/>
        </w:rPr>
        <w:t>enregistrement de la Finlande</w:t>
      </w:r>
      <w:r w:rsidR="00557FE5" w:rsidRPr="00DB6C66">
        <w:rPr>
          <w:lang w:val="fr-FR"/>
        </w:rPr>
        <w:t>, l</w:t>
      </w:r>
      <w:r w:rsidR="00280EEC">
        <w:rPr>
          <w:lang w:val="fr-FR"/>
        </w:rPr>
        <w:t>’</w:t>
      </w:r>
      <w:r w:rsidR="00557FE5" w:rsidRPr="00DB6C66">
        <w:rPr>
          <w:lang w:val="fr-FR"/>
        </w:rPr>
        <w:t xml:space="preserve">Office des brevets du </w:t>
      </w:r>
      <w:r w:rsidR="0051444C" w:rsidRPr="00DB6C66">
        <w:rPr>
          <w:lang w:val="fr-FR"/>
        </w:rPr>
        <w:t>Japon et</w:t>
      </w:r>
      <w:r w:rsidR="00E01D11" w:rsidRPr="00DB6C66">
        <w:rPr>
          <w:lang w:val="fr-FR"/>
        </w:rPr>
        <w:t xml:space="preserve"> le SIP</w:t>
      </w:r>
      <w:r w:rsidR="00557FE5" w:rsidRPr="00DB6C66">
        <w:rPr>
          <w:lang w:val="fr-FR"/>
        </w:rPr>
        <w:t>O</w:t>
      </w:r>
      <w:r w:rsidR="0051444C" w:rsidRPr="00DB6C66">
        <w:rPr>
          <w:lang w:val="fr-FR"/>
        </w:rPr>
        <w:t>) ou à d</w:t>
      </w:r>
      <w:r w:rsidR="00280EEC">
        <w:rPr>
          <w:lang w:val="fr-FR"/>
        </w:rPr>
        <w:t>’</w:t>
      </w:r>
      <w:r w:rsidR="0051444C" w:rsidRPr="00DB6C66">
        <w:rPr>
          <w:lang w:val="fr-FR"/>
        </w:rPr>
        <w:t>autres formes de coopération, sur une base bilatérale, dans le domaine de la recherche et de l</w:t>
      </w:r>
      <w:r w:rsidR="00280EEC">
        <w:rPr>
          <w:lang w:val="fr-FR"/>
        </w:rPr>
        <w:t>’</w:t>
      </w:r>
      <w:r w:rsidR="0051444C" w:rsidRPr="00DB6C66">
        <w:rPr>
          <w:lang w:val="fr-FR"/>
        </w:rPr>
        <w:t>examen préliminaire en matière de brevets</w:t>
      </w:r>
      <w:r w:rsidR="00E0056F" w:rsidRPr="00DB6C66">
        <w:rPr>
          <w:lang w:val="fr-FR"/>
        </w:rPr>
        <w:t xml:space="preserve">. </w:t>
      </w:r>
      <w:r w:rsidR="0014665D" w:rsidRPr="00DB6C66">
        <w:rPr>
          <w:lang w:val="fr-FR"/>
        </w:rPr>
        <w:t xml:space="preserve"> </w:t>
      </w:r>
      <w:r w:rsidR="00E0056F" w:rsidRPr="00DB6C66">
        <w:rPr>
          <w:lang w:val="fr-FR"/>
        </w:rPr>
        <w:t>Depuis</w:t>
      </w:r>
      <w:r w:rsidR="004E047D" w:rsidRPr="00DB6C66">
        <w:rPr>
          <w:lang w:val="fr-FR"/>
        </w:rPr>
        <w:t> </w:t>
      </w:r>
      <w:r w:rsidR="00E0056F" w:rsidRPr="00DB6C66">
        <w:rPr>
          <w:lang w:val="fr-FR"/>
        </w:rPr>
        <w:t>2009, l</w:t>
      </w:r>
      <w:r w:rsidR="00280EEC">
        <w:rPr>
          <w:lang w:val="fr-FR"/>
        </w:rPr>
        <w:t>’</w:t>
      </w:r>
      <w:r w:rsidR="00E0056F" w:rsidRPr="00DB6C66">
        <w:rPr>
          <w:lang w:val="fr-FR"/>
        </w:rPr>
        <w:t>Office hongrois de propriété intellectuelle</w:t>
      </w:r>
      <w:r w:rsidR="00DE7FA4" w:rsidRPr="00DB6C66">
        <w:rPr>
          <w:lang w:val="fr-FR"/>
        </w:rPr>
        <w:t xml:space="preserve"> </w:t>
      </w:r>
      <w:r w:rsidR="0014665D" w:rsidRPr="00DB6C66">
        <w:rPr>
          <w:lang w:val="fr-FR"/>
        </w:rPr>
        <w:t xml:space="preserve">assure </w:t>
      </w:r>
      <w:r w:rsidR="00E0056F" w:rsidRPr="00DB6C66">
        <w:rPr>
          <w:lang w:val="fr-FR"/>
        </w:rPr>
        <w:t>des services de recherche et d</w:t>
      </w:r>
      <w:r w:rsidR="00280EEC">
        <w:rPr>
          <w:lang w:val="fr-FR"/>
        </w:rPr>
        <w:t>’</w:t>
      </w:r>
      <w:r w:rsidR="00E0056F" w:rsidRPr="00DB6C66">
        <w:rPr>
          <w:lang w:val="fr-FR"/>
        </w:rPr>
        <w:t>examen en matière de brevets pour</w:t>
      </w:r>
      <w:r w:rsidR="00DE7FA4" w:rsidRPr="00DB6C66">
        <w:rPr>
          <w:lang w:val="fr-FR"/>
        </w:rPr>
        <w:t xml:space="preserve"> l</w:t>
      </w:r>
      <w:r w:rsidR="00280EEC">
        <w:rPr>
          <w:lang w:val="fr-FR"/>
        </w:rPr>
        <w:t>’</w:t>
      </w:r>
      <w:r w:rsidR="00DE7FA4" w:rsidRPr="00DB6C66">
        <w:rPr>
          <w:lang w:val="fr-FR"/>
        </w:rPr>
        <w:t>Office de la propriété intellectuelle de Singapour, préparant quelqu</w:t>
      </w:r>
      <w:r w:rsidR="000F69D9" w:rsidRPr="00DB6C66">
        <w:rPr>
          <w:lang w:val="fr-FR"/>
        </w:rPr>
        <w:t>e 2500 à 3000 </w:t>
      </w:r>
      <w:r w:rsidR="00DE7FA4" w:rsidRPr="00DB6C66">
        <w:rPr>
          <w:lang w:val="fr-FR"/>
        </w:rPr>
        <w:t>rapports de recherche ou d</w:t>
      </w:r>
      <w:r w:rsidR="00280EEC">
        <w:rPr>
          <w:lang w:val="fr-FR"/>
        </w:rPr>
        <w:t>’</w:t>
      </w:r>
      <w:r w:rsidR="00DE7FA4" w:rsidRPr="00DB6C66">
        <w:rPr>
          <w:lang w:val="fr-FR"/>
        </w:rPr>
        <w:t>examen par an pour le compte de cet office.  En outre, l</w:t>
      </w:r>
      <w:r w:rsidR="00280EEC">
        <w:rPr>
          <w:lang w:val="fr-FR"/>
        </w:rPr>
        <w:t>’</w:t>
      </w:r>
      <w:r w:rsidR="00DE7FA4" w:rsidRPr="00DB6C66">
        <w:rPr>
          <w:lang w:val="fr-FR"/>
        </w:rPr>
        <w:t xml:space="preserve">Office hongrois de propriété </w:t>
      </w:r>
      <w:r w:rsidR="00DE7FA4" w:rsidRPr="00DB6C66">
        <w:rPr>
          <w:lang w:val="fr-FR"/>
        </w:rPr>
        <w:lastRenderedPageBreak/>
        <w:t>intellectuelle a des accords bilatéraux avec l</w:t>
      </w:r>
      <w:r w:rsidR="00280EEC">
        <w:rPr>
          <w:lang w:val="fr-FR"/>
        </w:rPr>
        <w:t>’</w:t>
      </w:r>
      <w:r w:rsidR="00DE7FA4" w:rsidRPr="00DB6C66">
        <w:rPr>
          <w:lang w:val="fr-FR"/>
        </w:rPr>
        <w:t>Office</w:t>
      </w:r>
      <w:r w:rsidR="00834C70" w:rsidRPr="00DB6C66">
        <w:rPr>
          <w:lang w:val="fr-FR"/>
        </w:rPr>
        <w:t xml:space="preserve"> slovène</w:t>
      </w:r>
      <w:r w:rsidR="00DE7FA4" w:rsidRPr="00DB6C66">
        <w:rPr>
          <w:lang w:val="fr-FR"/>
        </w:rPr>
        <w:t xml:space="preserve"> de propriété intellectuelle, l</w:t>
      </w:r>
      <w:r w:rsidR="00280EEC">
        <w:rPr>
          <w:lang w:val="fr-FR"/>
        </w:rPr>
        <w:t>’</w:t>
      </w:r>
      <w:r w:rsidR="00DE7FA4" w:rsidRPr="00DB6C66">
        <w:rPr>
          <w:lang w:val="fr-FR"/>
        </w:rPr>
        <w:t xml:space="preserve">Office macédonien des brevets et le </w:t>
      </w:r>
      <w:proofErr w:type="spellStart"/>
      <w:r w:rsidR="00834C70" w:rsidRPr="00DB6C66">
        <w:rPr>
          <w:lang w:val="fr-FR"/>
        </w:rPr>
        <w:t>Brunéi</w:t>
      </w:r>
      <w:proofErr w:type="spellEnd"/>
      <w:r w:rsidR="00834C70" w:rsidRPr="00DB6C66">
        <w:rPr>
          <w:lang w:val="fr-FR"/>
        </w:rPr>
        <w:t xml:space="preserve"> Darussalam </w:t>
      </w:r>
      <w:r w:rsidR="00DE7FA4" w:rsidRPr="00DB6C66">
        <w:rPr>
          <w:lang w:val="fr-FR"/>
        </w:rPr>
        <w:t>en ce qui concerne la fourniture de services</w:t>
      </w:r>
      <w:r w:rsidR="0014665D" w:rsidRPr="00DB6C66">
        <w:rPr>
          <w:lang w:val="fr-FR"/>
        </w:rPr>
        <w:t xml:space="preserve"> </w:t>
      </w:r>
      <w:r w:rsidR="00DE7FA4" w:rsidRPr="00DB6C66">
        <w:rPr>
          <w:lang w:val="fr-FR"/>
        </w:rPr>
        <w:t>liés à la recherche et à l</w:t>
      </w:r>
      <w:r w:rsidR="00280EEC">
        <w:rPr>
          <w:lang w:val="fr-FR"/>
        </w:rPr>
        <w:t>’</w:t>
      </w:r>
      <w:r w:rsidR="00DE7FA4" w:rsidRPr="00DB6C66">
        <w:rPr>
          <w:lang w:val="fr-FR"/>
        </w:rPr>
        <w:t xml:space="preserve">examen en matière de brevets.  </w:t>
      </w:r>
      <w:r w:rsidR="00206135" w:rsidRPr="00DB6C66">
        <w:rPr>
          <w:lang w:val="fr-FR"/>
        </w:rPr>
        <w:t xml:space="preserve">Dernier point, et non des moindres, </w:t>
      </w:r>
      <w:r w:rsidR="005E5563" w:rsidRPr="00DB6C66">
        <w:rPr>
          <w:lang w:val="fr-FR"/>
        </w:rPr>
        <w:t xml:space="preserve">on se reportera dans ce contexte à </w:t>
      </w:r>
      <w:r w:rsidR="00206135" w:rsidRPr="00DB6C66">
        <w:rPr>
          <w:lang w:val="fr-FR"/>
        </w:rPr>
        <w:t>la coopération que le V4 a mis en place avec</w:t>
      </w:r>
      <w:r w:rsidR="00E01D11" w:rsidRPr="00DB6C66">
        <w:rPr>
          <w:lang w:val="fr-FR"/>
        </w:rPr>
        <w:t xml:space="preserve"> le SIP</w:t>
      </w:r>
      <w:r w:rsidR="005E5563" w:rsidRPr="00DB6C66">
        <w:rPr>
          <w:lang w:val="fr-FR"/>
        </w:rPr>
        <w:t>O</w:t>
      </w:r>
      <w:r w:rsidR="00206135" w:rsidRPr="00DB6C66">
        <w:rPr>
          <w:lang w:val="fr-FR"/>
        </w:rPr>
        <w:t>, l</w:t>
      </w:r>
      <w:r w:rsidR="00280EEC">
        <w:rPr>
          <w:lang w:val="fr-FR"/>
        </w:rPr>
        <w:t>’</w:t>
      </w:r>
      <w:r w:rsidR="00206135" w:rsidRPr="00DB6C66">
        <w:rPr>
          <w:lang w:val="fr-FR"/>
        </w:rPr>
        <w:t>Office des brevets du Japon et l</w:t>
      </w:r>
      <w:r w:rsidR="00280EEC">
        <w:rPr>
          <w:lang w:val="fr-FR"/>
        </w:rPr>
        <w:t>’</w:t>
      </w:r>
      <w:r w:rsidR="00206135" w:rsidRPr="00DB6C66">
        <w:rPr>
          <w:lang w:val="fr-FR"/>
        </w:rPr>
        <w:t>Institut nordique des brevets comme cela a été décrit dans le chapitre précédent.</w:t>
      </w:r>
    </w:p>
    <w:p w:rsidR="006D3583" w:rsidRPr="00DB6C66" w:rsidRDefault="0075654E" w:rsidP="00620A17">
      <w:pPr>
        <w:pStyle w:val="Heading2"/>
        <w:rPr>
          <w:lang w:val="fr-FR"/>
        </w:rPr>
      </w:pPr>
      <w:r w:rsidRPr="00DB6C66">
        <w:rPr>
          <w:lang w:val="fr-FR"/>
        </w:rPr>
        <w:t>1.4.</w:t>
      </w:r>
      <w:r w:rsidR="00577494" w:rsidRPr="00DB6C66">
        <w:rPr>
          <w:lang w:val="fr-FR"/>
        </w:rPr>
        <w:tab/>
      </w:r>
      <w:r w:rsidR="00C47601" w:rsidRPr="00DB6C66">
        <w:rPr>
          <w:lang w:val="fr-FR"/>
        </w:rPr>
        <w:t>Structure, princip</w:t>
      </w:r>
      <w:r w:rsidRPr="00DB6C66">
        <w:rPr>
          <w:lang w:val="fr-FR"/>
        </w:rPr>
        <w:t xml:space="preserve">es </w:t>
      </w:r>
      <w:r w:rsidR="00C47601" w:rsidRPr="00DB6C66">
        <w:rPr>
          <w:lang w:val="fr-FR"/>
        </w:rPr>
        <w:t xml:space="preserve">et </w:t>
      </w:r>
      <w:r w:rsidR="00B85859" w:rsidRPr="00DB6C66">
        <w:rPr>
          <w:lang w:val="fr-FR"/>
        </w:rPr>
        <w:t>missions</w:t>
      </w:r>
      <w:r w:rsidR="00C47601" w:rsidRPr="00DB6C66">
        <w:rPr>
          <w:lang w:val="fr-FR"/>
        </w:rPr>
        <w:t xml:space="preserve"> du </w:t>
      </w:r>
      <w:r w:rsidR="006D3583" w:rsidRPr="00DB6C66">
        <w:rPr>
          <w:lang w:val="fr-FR"/>
        </w:rPr>
        <w:t>VPI</w:t>
      </w:r>
    </w:p>
    <w:p w:rsidR="00DF1AC2" w:rsidRPr="00DB6C66" w:rsidRDefault="00632092" w:rsidP="006D3583">
      <w:pPr>
        <w:pStyle w:val="ONUMFS"/>
        <w:rPr>
          <w:lang w:val="fr-FR"/>
        </w:rPr>
      </w:pPr>
      <w:r w:rsidRPr="00DB6C66">
        <w:rPr>
          <w:lang w:val="fr-FR"/>
        </w:rPr>
        <w:t>L</w:t>
      </w:r>
      <w:r w:rsidR="00280EEC">
        <w:rPr>
          <w:lang w:val="fr-FR"/>
        </w:rPr>
        <w:t>’</w:t>
      </w:r>
      <w:r w:rsidRPr="00DB6C66">
        <w:rPr>
          <w:lang w:val="fr-FR"/>
        </w:rPr>
        <w:t>Accord sur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(Accord sur</w:t>
      </w:r>
      <w:r w:rsidR="00E01D11" w:rsidRPr="00DB6C66">
        <w:rPr>
          <w:lang w:val="fr-FR"/>
        </w:rPr>
        <w:t xml:space="preserve"> le VPI</w:t>
      </w:r>
      <w:r w:rsidRPr="00DB6C66">
        <w:rPr>
          <w:lang w:val="fr-FR"/>
        </w:rPr>
        <w:t xml:space="preserve">) a été signé à Bratislava le 26 février 2015, par les chefs des offices nationaux de propriété intellectuelle du V4 en </w:t>
      </w:r>
      <w:r w:rsidR="007A55E7" w:rsidRPr="00DB6C66">
        <w:rPr>
          <w:lang w:val="fr-FR"/>
        </w:rPr>
        <w:t xml:space="preserve">qualité de </w:t>
      </w:r>
      <w:r w:rsidRPr="00DB6C66">
        <w:rPr>
          <w:lang w:val="fr-FR"/>
        </w:rPr>
        <w:t xml:space="preserve">représentants dûment </w:t>
      </w:r>
      <w:r w:rsidR="00AA2F42" w:rsidRPr="00DB6C66">
        <w:rPr>
          <w:lang w:val="fr-FR"/>
        </w:rPr>
        <w:t>autorisés</w:t>
      </w:r>
      <w:r w:rsidRPr="00DB6C66">
        <w:rPr>
          <w:lang w:val="fr-FR"/>
        </w:rPr>
        <w:t xml:space="preserve"> de leurs gouvernements. </w:t>
      </w:r>
      <w:r w:rsidR="00AA2F42" w:rsidRPr="00DB6C66">
        <w:rPr>
          <w:lang w:val="fr-FR"/>
        </w:rPr>
        <w:t xml:space="preserve"> L</w:t>
      </w:r>
      <w:r w:rsidR="00280EEC">
        <w:rPr>
          <w:lang w:val="fr-FR"/>
        </w:rPr>
        <w:t>’</w:t>
      </w:r>
      <w:r w:rsidR="00AA2F42" w:rsidRPr="00DB6C66">
        <w:rPr>
          <w:lang w:val="fr-FR"/>
        </w:rPr>
        <w:t>Accord sur</w:t>
      </w:r>
      <w:r w:rsidR="00E01D11" w:rsidRPr="00DB6C66">
        <w:rPr>
          <w:lang w:val="fr-FR"/>
        </w:rPr>
        <w:t xml:space="preserve"> le VPI</w:t>
      </w:r>
      <w:r w:rsidR="00AA2F42" w:rsidRPr="00DB6C66">
        <w:rPr>
          <w:lang w:val="fr-FR"/>
        </w:rPr>
        <w:t xml:space="preserve"> est soumis à ratification conformément aux exigences constitutionnelles respectives des </w:t>
      </w:r>
      <w:r w:rsidR="00DF641F" w:rsidRPr="00DB6C66">
        <w:rPr>
          <w:lang w:val="fr-FR"/>
        </w:rPr>
        <w:t>États</w:t>
      </w:r>
      <w:r w:rsidR="00AA2F42" w:rsidRPr="00DB6C66">
        <w:rPr>
          <w:lang w:val="fr-FR"/>
        </w:rPr>
        <w:t xml:space="preserve"> contractants (</w:t>
      </w:r>
      <w:r w:rsidR="0014665D" w:rsidRPr="00DB6C66">
        <w:rPr>
          <w:lang w:val="fr-FR"/>
        </w:rPr>
        <w:t>l</w:t>
      </w:r>
      <w:r w:rsidR="00280EEC">
        <w:rPr>
          <w:lang w:val="fr-FR"/>
        </w:rPr>
        <w:t>’</w:t>
      </w:r>
      <w:r w:rsidR="0014665D" w:rsidRPr="00DB6C66">
        <w:rPr>
          <w:lang w:val="fr-FR"/>
        </w:rPr>
        <w:t xml:space="preserve">aval du parlement </w:t>
      </w:r>
      <w:r w:rsidR="00AA2F42" w:rsidRPr="00DB6C66">
        <w:rPr>
          <w:lang w:val="fr-FR"/>
        </w:rPr>
        <w:t xml:space="preserve">est </w:t>
      </w:r>
      <w:r w:rsidR="0014665D" w:rsidRPr="00DB6C66">
        <w:rPr>
          <w:lang w:val="fr-FR"/>
        </w:rPr>
        <w:t xml:space="preserve">requis </w:t>
      </w:r>
      <w:r w:rsidR="005E5563" w:rsidRPr="00DB6C66">
        <w:rPr>
          <w:lang w:val="fr-FR"/>
        </w:rPr>
        <w:t>dans les quatre</w:t>
      </w:r>
      <w:r w:rsidR="004E047D" w:rsidRPr="00DB6C66">
        <w:rPr>
          <w:lang w:val="fr-FR"/>
        </w:rPr>
        <w:t> </w:t>
      </w:r>
      <w:r w:rsidR="005E5563" w:rsidRPr="00DB6C66">
        <w:rPr>
          <w:lang w:val="fr-FR"/>
        </w:rPr>
        <w:t xml:space="preserve">pays).  </w:t>
      </w:r>
      <w:r w:rsidR="00256A2B" w:rsidRPr="00DB6C66">
        <w:rPr>
          <w:lang w:val="fr-FR"/>
        </w:rPr>
        <w:t>L</w:t>
      </w:r>
      <w:r w:rsidR="00AD371E" w:rsidRPr="00DB6C66">
        <w:rPr>
          <w:lang w:val="fr-FR"/>
        </w:rPr>
        <w:t xml:space="preserve">es procédures internes </w:t>
      </w:r>
      <w:r w:rsidR="00F85411" w:rsidRPr="00DB6C66">
        <w:rPr>
          <w:lang w:val="fr-FR"/>
        </w:rPr>
        <w:t xml:space="preserve">y </w:t>
      </w:r>
      <w:r w:rsidR="00AD371E" w:rsidRPr="00DB6C66">
        <w:rPr>
          <w:lang w:val="fr-FR"/>
        </w:rPr>
        <w:t>relatives ont déjà été lancées dans chaque pays et elle</w:t>
      </w:r>
      <w:r w:rsidR="00F85411" w:rsidRPr="00DB6C66">
        <w:rPr>
          <w:lang w:val="fr-FR"/>
        </w:rPr>
        <w:t>s</w:t>
      </w:r>
      <w:r w:rsidR="00AD371E" w:rsidRPr="00DB6C66">
        <w:rPr>
          <w:lang w:val="fr-FR"/>
        </w:rPr>
        <w:t xml:space="preserve"> devrai</w:t>
      </w:r>
      <w:r w:rsidR="00F85411" w:rsidRPr="00DB6C66">
        <w:rPr>
          <w:lang w:val="fr-FR"/>
        </w:rPr>
        <w:t>en</w:t>
      </w:r>
      <w:r w:rsidR="00AD371E" w:rsidRPr="00DB6C66">
        <w:rPr>
          <w:lang w:val="fr-FR"/>
        </w:rPr>
        <w:t>t</w:t>
      </w:r>
      <w:r w:rsidR="00F85411" w:rsidRPr="00DB6C66">
        <w:rPr>
          <w:lang w:val="fr-FR"/>
        </w:rPr>
        <w:t xml:space="preserve"> aboutir </w:t>
      </w:r>
      <w:r w:rsidR="00AD371E" w:rsidRPr="00DB6C66">
        <w:rPr>
          <w:lang w:val="fr-FR"/>
        </w:rPr>
        <w:t>d</w:t>
      </w:r>
      <w:r w:rsidR="00280EEC">
        <w:rPr>
          <w:lang w:val="fr-FR"/>
        </w:rPr>
        <w:t>’</w:t>
      </w:r>
      <w:r w:rsidR="00AD371E" w:rsidRPr="00DB6C66">
        <w:rPr>
          <w:lang w:val="fr-FR"/>
        </w:rPr>
        <w:t>ici à ce que l</w:t>
      </w:r>
      <w:r w:rsidR="00280EEC">
        <w:rPr>
          <w:lang w:val="fr-FR"/>
        </w:rPr>
        <w:t>’</w:t>
      </w:r>
      <w:r w:rsidR="00F85411" w:rsidRPr="00DB6C66">
        <w:rPr>
          <w:lang w:val="fr-FR"/>
        </w:rPr>
        <w:t>A</w:t>
      </w:r>
      <w:r w:rsidR="00AD371E" w:rsidRPr="00DB6C66">
        <w:rPr>
          <w:lang w:val="fr-FR"/>
        </w:rPr>
        <w:t>ssemblée de l</w:t>
      </w:r>
      <w:r w:rsidR="00280EEC">
        <w:rPr>
          <w:lang w:val="fr-FR"/>
        </w:rPr>
        <w:t>’</w:t>
      </w:r>
      <w:r w:rsidR="00F85411" w:rsidRPr="00DB6C66">
        <w:rPr>
          <w:lang w:val="fr-FR"/>
        </w:rPr>
        <w:t>U</w:t>
      </w:r>
      <w:r w:rsidR="00AD371E" w:rsidRPr="00DB6C66">
        <w:rPr>
          <w:lang w:val="fr-FR"/>
        </w:rPr>
        <w:t>nion</w:t>
      </w:r>
      <w:r w:rsidR="00E01D11" w:rsidRPr="00DB6C66">
        <w:rPr>
          <w:lang w:val="fr-FR"/>
        </w:rPr>
        <w:t xml:space="preserve"> du PCT</w:t>
      </w:r>
      <w:r w:rsidR="00AD371E" w:rsidRPr="00DB6C66">
        <w:rPr>
          <w:lang w:val="fr-FR"/>
        </w:rPr>
        <w:t xml:space="preserve"> prenne une décision quant à la nomination</w:t>
      </w:r>
      <w:r w:rsidR="00E01D11" w:rsidRPr="00DB6C66">
        <w:rPr>
          <w:lang w:val="fr-FR"/>
        </w:rPr>
        <w:t xml:space="preserve"> du VPI</w:t>
      </w:r>
      <w:r w:rsidR="00AD371E" w:rsidRPr="00DB6C66">
        <w:rPr>
          <w:lang w:val="fr-FR"/>
        </w:rPr>
        <w:t xml:space="preserve"> en tant qu</w:t>
      </w:r>
      <w:r w:rsidR="00280EEC">
        <w:rPr>
          <w:lang w:val="fr-FR"/>
        </w:rPr>
        <w:t>’</w:t>
      </w:r>
      <w:r w:rsidR="00AD371E" w:rsidRPr="00DB6C66">
        <w:rPr>
          <w:lang w:val="fr-FR"/>
        </w:rPr>
        <w:t>administration internationale</w:t>
      </w:r>
      <w:r w:rsidR="008D2532" w:rsidRPr="00DB6C66">
        <w:rPr>
          <w:lang w:val="fr-FR"/>
        </w:rPr>
        <w:t xml:space="preserve">, </w:t>
      </w:r>
      <w:r w:rsidR="00AD371E" w:rsidRPr="00DB6C66">
        <w:rPr>
          <w:lang w:val="fr-FR"/>
        </w:rPr>
        <w:t>à sa session d</w:t>
      </w:r>
      <w:r w:rsidR="00280EEC">
        <w:rPr>
          <w:lang w:val="fr-FR"/>
        </w:rPr>
        <w:t>’</w:t>
      </w:r>
      <w:r w:rsidR="00E01D11" w:rsidRPr="00DB6C66">
        <w:rPr>
          <w:lang w:val="fr-FR"/>
        </w:rPr>
        <w:t>octobre 20</w:t>
      </w:r>
      <w:r w:rsidR="00AD371E" w:rsidRPr="00DB6C66">
        <w:rPr>
          <w:lang w:val="fr-FR"/>
        </w:rPr>
        <w:t>15.</w:t>
      </w:r>
    </w:p>
    <w:p w:rsidR="00DB3999" w:rsidRPr="00DB6C66" w:rsidRDefault="00BD7811" w:rsidP="006D3583">
      <w:pPr>
        <w:pStyle w:val="ONUMFS"/>
        <w:rPr>
          <w:lang w:val="fr-FR"/>
        </w:rPr>
      </w:pPr>
      <w:r w:rsidRPr="00DB6C66">
        <w:rPr>
          <w:lang w:val="fr-FR"/>
        </w:rPr>
        <w:t xml:space="preserve">Le VPI sera une organisation intergouvernementale au </w:t>
      </w:r>
      <w:r w:rsidR="00256A2B" w:rsidRPr="00DB6C66">
        <w:rPr>
          <w:lang w:val="fr-FR"/>
        </w:rPr>
        <w:t>sens de l</w:t>
      </w:r>
      <w:r w:rsidR="00280EEC">
        <w:rPr>
          <w:lang w:val="fr-FR"/>
        </w:rPr>
        <w:t>’</w:t>
      </w:r>
      <w:r w:rsidR="00256A2B" w:rsidRPr="00DB6C66">
        <w:rPr>
          <w:lang w:val="fr-FR"/>
        </w:rPr>
        <w:t>article 16</w:t>
      </w:r>
      <w:r w:rsidR="00E01D11" w:rsidRPr="00DB6C66">
        <w:rPr>
          <w:lang w:val="fr-FR"/>
        </w:rPr>
        <w:t xml:space="preserve"> du PCT</w:t>
      </w:r>
      <w:r w:rsidR="00256A2B" w:rsidRPr="00DB6C66">
        <w:rPr>
          <w:lang w:val="fr-FR"/>
        </w:rPr>
        <w:t xml:space="preserve"> et de</w:t>
      </w:r>
      <w:r w:rsidRPr="00DB6C66">
        <w:rPr>
          <w:lang w:val="fr-FR"/>
        </w:rPr>
        <w:t xml:space="preserve"> la règle 36</w:t>
      </w:r>
      <w:r w:rsidR="00256A2B" w:rsidRPr="00DB6C66">
        <w:rPr>
          <w:lang w:val="fr-FR"/>
        </w:rPr>
        <w:t xml:space="preserve"> du </w:t>
      </w:r>
      <w:r w:rsidR="004E047D" w:rsidRPr="00DB6C66">
        <w:rPr>
          <w:lang w:val="fr-FR"/>
        </w:rPr>
        <w:t>règle</w:t>
      </w:r>
      <w:r w:rsidR="00256A2B" w:rsidRPr="00DB6C66">
        <w:rPr>
          <w:lang w:val="fr-FR"/>
        </w:rPr>
        <w:t>ment d</w:t>
      </w:r>
      <w:r w:rsidR="00280EEC">
        <w:rPr>
          <w:lang w:val="fr-FR"/>
        </w:rPr>
        <w:t>’</w:t>
      </w:r>
      <w:r w:rsidR="00256A2B" w:rsidRPr="00DB6C66">
        <w:rPr>
          <w:lang w:val="fr-FR"/>
        </w:rPr>
        <w:t>exécution</w:t>
      </w:r>
      <w:r w:rsidR="00E01D11" w:rsidRPr="00DB6C66">
        <w:rPr>
          <w:lang w:val="fr-FR"/>
        </w:rPr>
        <w:t xml:space="preserve"> du PCT</w:t>
      </w:r>
      <w:r w:rsidRPr="00DB6C66">
        <w:rPr>
          <w:lang w:val="fr-FR"/>
        </w:rPr>
        <w:t xml:space="preserve">.  </w:t>
      </w:r>
      <w:r w:rsidR="008B7388" w:rsidRPr="00DB6C66">
        <w:rPr>
          <w:lang w:val="fr-FR"/>
        </w:rPr>
        <w:t xml:space="preserve">Il aura la personnalité juridique et </w:t>
      </w:r>
      <w:r w:rsidR="00EB0C28" w:rsidRPr="00DB6C66">
        <w:rPr>
          <w:lang w:val="fr-FR"/>
        </w:rPr>
        <w:t>jouira d</w:t>
      </w:r>
      <w:r w:rsidR="00280EEC">
        <w:rPr>
          <w:lang w:val="fr-FR"/>
        </w:rPr>
        <w:t>’</w:t>
      </w:r>
      <w:r w:rsidR="00EB0C28" w:rsidRPr="00DB6C66">
        <w:rPr>
          <w:lang w:val="fr-FR"/>
        </w:rPr>
        <w:t xml:space="preserve">une </w:t>
      </w:r>
      <w:r w:rsidR="008B7388" w:rsidRPr="00DB6C66">
        <w:rPr>
          <w:lang w:val="fr-FR"/>
        </w:rPr>
        <w:t xml:space="preserve">capacité juridique large </w:t>
      </w:r>
      <w:r w:rsidR="00EB0C28" w:rsidRPr="00DB6C66">
        <w:rPr>
          <w:lang w:val="fr-FR"/>
        </w:rPr>
        <w:t xml:space="preserve">afin de mener à bien ses missions. </w:t>
      </w:r>
      <w:r w:rsidR="004E047D" w:rsidRPr="00DB6C66">
        <w:rPr>
          <w:lang w:val="fr-FR"/>
        </w:rPr>
        <w:t xml:space="preserve"> </w:t>
      </w:r>
      <w:r w:rsidR="00EB0C28" w:rsidRPr="00DB6C66">
        <w:rPr>
          <w:lang w:val="fr-FR"/>
        </w:rPr>
        <w:t>Il pourra notamme</w:t>
      </w:r>
      <w:r w:rsidR="00267FB1" w:rsidRPr="00DB6C66">
        <w:rPr>
          <w:lang w:val="fr-FR"/>
        </w:rPr>
        <w:t>nt agir de sa propre initiative</w:t>
      </w:r>
      <w:r w:rsidR="00EB0C28" w:rsidRPr="00DB6C66">
        <w:rPr>
          <w:lang w:val="fr-FR"/>
        </w:rPr>
        <w:t xml:space="preserve"> p</w:t>
      </w:r>
      <w:r w:rsidR="00267FB1" w:rsidRPr="00DB6C66">
        <w:rPr>
          <w:lang w:val="fr-FR"/>
        </w:rPr>
        <w:t>ar l</w:t>
      </w:r>
      <w:r w:rsidR="00280EEC">
        <w:rPr>
          <w:lang w:val="fr-FR"/>
        </w:rPr>
        <w:t>’</w:t>
      </w:r>
      <w:r w:rsidR="00267FB1" w:rsidRPr="00DB6C66">
        <w:rPr>
          <w:lang w:val="fr-FR"/>
        </w:rPr>
        <w:t xml:space="preserve">entremise de son directeur, </w:t>
      </w:r>
      <w:r w:rsidR="00EB0C28" w:rsidRPr="00DB6C66">
        <w:rPr>
          <w:lang w:val="fr-FR"/>
        </w:rPr>
        <w:t xml:space="preserve">qui le représentera dans </w:t>
      </w:r>
      <w:r w:rsidR="00267FB1" w:rsidRPr="00DB6C66">
        <w:rPr>
          <w:lang w:val="fr-FR"/>
        </w:rPr>
        <w:t>l</w:t>
      </w:r>
      <w:r w:rsidR="00EB0C28" w:rsidRPr="00DB6C66">
        <w:rPr>
          <w:lang w:val="fr-FR"/>
        </w:rPr>
        <w:t xml:space="preserve">es affaires </w:t>
      </w:r>
      <w:r w:rsidR="00267FB1" w:rsidRPr="00DB6C66">
        <w:rPr>
          <w:lang w:val="fr-FR"/>
        </w:rPr>
        <w:t xml:space="preserve">relatives à sa mission </w:t>
      </w:r>
      <w:r w:rsidR="00EB0C28" w:rsidRPr="00DB6C66">
        <w:rPr>
          <w:lang w:val="fr-FR"/>
        </w:rPr>
        <w:t>en tant qu</w:t>
      </w:r>
      <w:r w:rsidR="00280EEC">
        <w:rPr>
          <w:lang w:val="fr-FR"/>
        </w:rPr>
        <w:t>’</w:t>
      </w:r>
      <w:r w:rsidR="00EB0C28" w:rsidRPr="00DB6C66">
        <w:rPr>
          <w:lang w:val="fr-FR"/>
        </w:rPr>
        <w:t>administration</w:t>
      </w:r>
      <w:r w:rsidR="00E01D11" w:rsidRPr="00DB6C66">
        <w:rPr>
          <w:lang w:val="fr-FR"/>
        </w:rPr>
        <w:t xml:space="preserve"> du PCT</w:t>
      </w:r>
      <w:r w:rsidR="00EB0C28" w:rsidRPr="00DB6C66">
        <w:rPr>
          <w:lang w:val="fr-FR"/>
        </w:rPr>
        <w:t xml:space="preserve">. </w:t>
      </w:r>
      <w:r w:rsidR="00E01D11" w:rsidRPr="00DB6C66">
        <w:rPr>
          <w:lang w:val="fr-FR"/>
        </w:rPr>
        <w:t xml:space="preserve"> Le VPI</w:t>
      </w:r>
      <w:r w:rsidR="00EB0C28" w:rsidRPr="00DB6C66">
        <w:rPr>
          <w:lang w:val="fr-FR"/>
        </w:rPr>
        <w:t xml:space="preserve"> devra maintenir deux</w:t>
      </w:r>
      <w:r w:rsidR="004E047D" w:rsidRPr="00DB6C66">
        <w:rPr>
          <w:lang w:val="fr-FR"/>
        </w:rPr>
        <w:t> </w:t>
      </w:r>
      <w:r w:rsidR="00EB0C28" w:rsidRPr="00DB6C66">
        <w:rPr>
          <w:lang w:val="fr-FR"/>
        </w:rPr>
        <w:t>axes d</w:t>
      </w:r>
      <w:r w:rsidR="00280EEC">
        <w:rPr>
          <w:lang w:val="fr-FR"/>
        </w:rPr>
        <w:t>’</w:t>
      </w:r>
      <w:r w:rsidR="00EB0C28" w:rsidRPr="00DB6C66">
        <w:rPr>
          <w:lang w:val="fr-FR"/>
        </w:rPr>
        <w:t>ouverture.  Premièrement, il sera réceptif à l</w:t>
      </w:r>
      <w:r w:rsidR="00280EEC">
        <w:rPr>
          <w:lang w:val="fr-FR"/>
        </w:rPr>
        <w:t>’</w:t>
      </w:r>
      <w:r w:rsidR="00EB0C28" w:rsidRPr="00DB6C66">
        <w:rPr>
          <w:lang w:val="fr-FR"/>
        </w:rPr>
        <w:t xml:space="preserve">adhésion de tout </w:t>
      </w:r>
      <w:r w:rsidR="00DF641F" w:rsidRPr="00DB6C66">
        <w:rPr>
          <w:lang w:val="fr-FR"/>
        </w:rPr>
        <w:t>État</w:t>
      </w:r>
      <w:r w:rsidR="00EB0C28" w:rsidRPr="00DB6C66">
        <w:rPr>
          <w:lang w:val="fr-FR"/>
        </w:rPr>
        <w:t xml:space="preserve"> européen sur invitation du Conseil d</w:t>
      </w:r>
      <w:r w:rsidR="00280EEC">
        <w:rPr>
          <w:lang w:val="fr-FR"/>
        </w:rPr>
        <w:t>’</w:t>
      </w:r>
      <w:r w:rsidR="00EB0C28" w:rsidRPr="00DB6C66">
        <w:rPr>
          <w:lang w:val="fr-FR"/>
        </w:rPr>
        <w:t>administration</w:t>
      </w:r>
      <w:r w:rsidR="00E01D11" w:rsidRPr="00DB6C66">
        <w:rPr>
          <w:lang w:val="fr-FR"/>
        </w:rPr>
        <w:t xml:space="preserve"> du VPI</w:t>
      </w:r>
      <w:r w:rsidR="00EB0C28" w:rsidRPr="00DB6C66">
        <w:rPr>
          <w:lang w:val="fr-FR"/>
        </w:rPr>
        <w:t>, sans préjudice des obligations internationales de l</w:t>
      </w:r>
      <w:r w:rsidR="00280EEC">
        <w:rPr>
          <w:lang w:val="fr-FR"/>
        </w:rPr>
        <w:t>’</w:t>
      </w:r>
      <w:r w:rsidR="00DF641F" w:rsidRPr="00DB6C66">
        <w:rPr>
          <w:lang w:val="fr-FR"/>
        </w:rPr>
        <w:t>État</w:t>
      </w:r>
      <w:r w:rsidR="00EB0C28" w:rsidRPr="00DB6C66">
        <w:rPr>
          <w:lang w:val="fr-FR"/>
        </w:rPr>
        <w:t xml:space="preserve"> en question, notamment celles découlant de la Convention sur le brevet européen et de son Protocole </w:t>
      </w:r>
      <w:r w:rsidR="00EB07F1" w:rsidRPr="00DB6C66">
        <w:rPr>
          <w:lang w:val="fr-FR"/>
        </w:rPr>
        <w:t>sur la</w:t>
      </w:r>
      <w:r w:rsidR="00EB0C28" w:rsidRPr="00DB6C66">
        <w:rPr>
          <w:lang w:val="fr-FR"/>
        </w:rPr>
        <w:t xml:space="preserve"> </w:t>
      </w:r>
      <w:r w:rsidR="006D2B9D" w:rsidRPr="00DB6C66">
        <w:rPr>
          <w:lang w:val="fr-FR"/>
        </w:rPr>
        <w:t>c</w:t>
      </w:r>
      <w:r w:rsidR="00EB0C28" w:rsidRPr="00DB6C66">
        <w:rPr>
          <w:lang w:val="fr-FR"/>
        </w:rPr>
        <w:t xml:space="preserve">entralisation. </w:t>
      </w:r>
      <w:r w:rsidR="009C209C" w:rsidRPr="00DB6C66">
        <w:rPr>
          <w:lang w:val="fr-FR"/>
        </w:rPr>
        <w:t xml:space="preserve"> Deuxièmement, il est prévu que</w:t>
      </w:r>
      <w:r w:rsidR="00E01D11" w:rsidRPr="00DB6C66">
        <w:rPr>
          <w:lang w:val="fr-FR"/>
        </w:rPr>
        <w:t xml:space="preserve"> le VPI</w:t>
      </w:r>
      <w:r w:rsidR="009C209C" w:rsidRPr="00DB6C66">
        <w:rPr>
          <w:lang w:val="fr-FR"/>
        </w:rPr>
        <w:t xml:space="preserve"> agisse en qualité d</w:t>
      </w:r>
      <w:r w:rsidR="00280EEC">
        <w:rPr>
          <w:lang w:val="fr-FR"/>
        </w:rPr>
        <w:t>’</w:t>
      </w:r>
      <w:r w:rsidR="009C209C" w:rsidRPr="00DB6C66">
        <w:rPr>
          <w:lang w:val="fr-FR"/>
        </w:rPr>
        <w:t>administration chargée de la recherche internationale et de l</w:t>
      </w:r>
      <w:r w:rsidR="00280EEC">
        <w:rPr>
          <w:lang w:val="fr-FR"/>
        </w:rPr>
        <w:t>’</w:t>
      </w:r>
      <w:r w:rsidR="009C209C" w:rsidRPr="00DB6C66">
        <w:rPr>
          <w:lang w:val="fr-FR"/>
        </w:rPr>
        <w:t xml:space="preserve">examen préliminaire international pour les demandes internationales </w:t>
      </w:r>
      <w:r w:rsidR="00262CF6" w:rsidRPr="00DB6C66">
        <w:rPr>
          <w:lang w:val="fr-FR"/>
        </w:rPr>
        <w:t xml:space="preserve">qui sont </w:t>
      </w:r>
      <w:r w:rsidR="009C209C" w:rsidRPr="00DB6C66">
        <w:rPr>
          <w:lang w:val="fr-FR"/>
        </w:rPr>
        <w:t xml:space="preserve">déposées non seulement auprès des offices du V4 mais aussi des offices récepteurs des </w:t>
      </w:r>
      <w:r w:rsidR="00DF641F" w:rsidRPr="00DB6C66">
        <w:rPr>
          <w:lang w:val="fr-FR"/>
        </w:rPr>
        <w:t>États</w:t>
      </w:r>
      <w:r w:rsidR="009C209C" w:rsidRPr="00DB6C66">
        <w:rPr>
          <w:lang w:val="fr-FR"/>
        </w:rPr>
        <w:t xml:space="preserve"> contractants de la Convention sur le brevet européen, </w:t>
      </w:r>
      <w:r w:rsidR="00897421" w:rsidRPr="00DB6C66">
        <w:rPr>
          <w:lang w:val="fr-FR"/>
        </w:rPr>
        <w:t>limitrophes des</w:t>
      </w:r>
      <w:r w:rsidR="009C209C" w:rsidRPr="00DB6C66">
        <w:rPr>
          <w:lang w:val="fr-FR"/>
        </w:rPr>
        <w:t xml:space="preserve"> pays du V4 (</w:t>
      </w:r>
      <w:r w:rsidR="00280EEC">
        <w:rPr>
          <w:lang w:val="fr-FR"/>
        </w:rPr>
        <w:t>à savoir</w:t>
      </w:r>
      <w:r w:rsidR="009C209C" w:rsidRPr="00DB6C66">
        <w:rPr>
          <w:lang w:val="fr-FR"/>
        </w:rPr>
        <w:t>, la Croatie, la Lituanie, la Roumanie, la Serbie et la Slovénie), pour autant qu</w:t>
      </w:r>
      <w:r w:rsidR="00280EEC">
        <w:rPr>
          <w:lang w:val="fr-FR"/>
        </w:rPr>
        <w:t>’</w:t>
      </w:r>
      <w:r w:rsidR="009C209C" w:rsidRPr="00DB6C66">
        <w:rPr>
          <w:lang w:val="fr-FR"/>
        </w:rPr>
        <w:t>ils désignent</w:t>
      </w:r>
      <w:r w:rsidR="00E01D11" w:rsidRPr="00DB6C66">
        <w:rPr>
          <w:lang w:val="fr-FR"/>
        </w:rPr>
        <w:t xml:space="preserve"> le VPI</w:t>
      </w:r>
      <w:r w:rsidR="009C209C" w:rsidRPr="00DB6C66">
        <w:rPr>
          <w:lang w:val="fr-FR"/>
        </w:rPr>
        <w:t xml:space="preserve"> à cette fin.</w:t>
      </w:r>
    </w:p>
    <w:p w:rsidR="00DB3999" w:rsidRPr="00DB6C66" w:rsidRDefault="00897421" w:rsidP="006D3583">
      <w:pPr>
        <w:pStyle w:val="ONUMFS"/>
        <w:rPr>
          <w:lang w:val="fr-FR"/>
        </w:rPr>
      </w:pPr>
      <w:r w:rsidRPr="00DB6C66">
        <w:rPr>
          <w:lang w:val="fr-FR"/>
        </w:rPr>
        <w:t>En créant</w:t>
      </w:r>
      <w:r w:rsidR="00E01D11" w:rsidRPr="00DB6C66">
        <w:rPr>
          <w:lang w:val="fr-FR"/>
        </w:rPr>
        <w:t xml:space="preserve"> le VPI</w:t>
      </w:r>
      <w:r w:rsidRPr="00DB6C66">
        <w:rPr>
          <w:lang w:val="fr-FR"/>
        </w:rPr>
        <w:t xml:space="preserve">, les pays du groupe de </w:t>
      </w:r>
      <w:proofErr w:type="spellStart"/>
      <w:r w:rsidRPr="00DB6C66">
        <w:rPr>
          <w:lang w:val="fr-FR"/>
        </w:rPr>
        <w:t>Visegrad</w:t>
      </w:r>
      <w:proofErr w:type="spellEnd"/>
      <w:r w:rsidRPr="00DB6C66">
        <w:rPr>
          <w:lang w:val="fr-FR"/>
        </w:rPr>
        <w:t xml:space="preserve"> entendent agir en respectant pleinement leurs obligations au titre de la Convention sur le brevet européen.  </w:t>
      </w:r>
      <w:r w:rsidR="006D2B9D" w:rsidRPr="00DB6C66">
        <w:rPr>
          <w:lang w:val="fr-FR"/>
        </w:rPr>
        <w:t>Ils tirent parti de l</w:t>
      </w:r>
      <w:r w:rsidR="00280EEC">
        <w:rPr>
          <w:lang w:val="fr-FR"/>
        </w:rPr>
        <w:t>’</w:t>
      </w:r>
      <w:r w:rsidR="006D2B9D" w:rsidRPr="00DB6C66">
        <w:rPr>
          <w:lang w:val="fr-FR"/>
        </w:rPr>
        <w:t xml:space="preserve">autorisation prévue au paragraphe 1) de la section III du Protocole sur la centralisation relatif à la Convention sur le brevet européen, étant donné </w:t>
      </w:r>
      <w:r w:rsidR="00823A04" w:rsidRPr="00DB6C66">
        <w:rPr>
          <w:lang w:val="fr-FR"/>
        </w:rPr>
        <w:t>que la langue officielle de ces pays n</w:t>
      </w:r>
      <w:r w:rsidR="00280EEC">
        <w:rPr>
          <w:lang w:val="fr-FR"/>
        </w:rPr>
        <w:t>’</w:t>
      </w:r>
      <w:r w:rsidR="00823A04" w:rsidRPr="00DB6C66">
        <w:rPr>
          <w:lang w:val="fr-FR"/>
        </w:rPr>
        <w:t>est pas l</w:t>
      </w:r>
      <w:r w:rsidR="00280EEC">
        <w:rPr>
          <w:lang w:val="fr-FR"/>
        </w:rPr>
        <w:t>’</w:t>
      </w:r>
      <w:r w:rsidR="00823A04" w:rsidRPr="00DB6C66">
        <w:rPr>
          <w:lang w:val="fr-FR"/>
        </w:rPr>
        <w:t xml:space="preserve">une des langues officielles des </w:t>
      </w:r>
      <w:r w:rsidR="006D2B9D" w:rsidRPr="00DB6C66">
        <w:rPr>
          <w:lang w:val="fr-FR"/>
        </w:rPr>
        <w:t>pays de l</w:t>
      </w:r>
      <w:r w:rsidR="00280EEC">
        <w:rPr>
          <w:lang w:val="fr-FR"/>
        </w:rPr>
        <w:t>’</w:t>
      </w:r>
      <w:r w:rsidR="006D2B9D" w:rsidRPr="00DB6C66">
        <w:rPr>
          <w:lang w:val="fr-FR"/>
        </w:rPr>
        <w:t>Office européen des brevets.</w:t>
      </w:r>
      <w:r w:rsidR="0011082F" w:rsidRPr="00DB6C66">
        <w:rPr>
          <w:lang w:val="fr-FR"/>
        </w:rPr>
        <w:t xml:space="preserve">  En outre, ils s</w:t>
      </w:r>
      <w:r w:rsidR="00280EEC">
        <w:rPr>
          <w:lang w:val="fr-FR"/>
        </w:rPr>
        <w:t>’</w:t>
      </w:r>
      <w:r w:rsidR="0011082F" w:rsidRPr="00DB6C66">
        <w:rPr>
          <w:lang w:val="fr-FR"/>
        </w:rPr>
        <w:t>engagent à respecter leurs obligations au titre de la Convention sur le brevet européen et du Protocole sur la centralisation au moment de conclure et de mettre en place l</w:t>
      </w:r>
      <w:r w:rsidR="00280EEC">
        <w:rPr>
          <w:lang w:val="fr-FR"/>
        </w:rPr>
        <w:t>’</w:t>
      </w:r>
      <w:r w:rsidR="0011082F" w:rsidRPr="00DB6C66">
        <w:rPr>
          <w:lang w:val="fr-FR"/>
        </w:rPr>
        <w:t>accord avec le</w:t>
      </w:r>
      <w:r w:rsidR="003B05C7" w:rsidRPr="00DB6C66">
        <w:rPr>
          <w:lang w:val="fr-FR"/>
        </w:rPr>
        <w:t xml:space="preserve"> Bureau international de l</w:t>
      </w:r>
      <w:r w:rsidR="00280EEC">
        <w:rPr>
          <w:lang w:val="fr-FR"/>
        </w:rPr>
        <w:t>’</w:t>
      </w:r>
      <w:r w:rsidR="003B05C7" w:rsidRPr="00DB6C66">
        <w:rPr>
          <w:lang w:val="fr-FR"/>
        </w:rPr>
        <w:t xml:space="preserve">OMPI, </w:t>
      </w:r>
      <w:r w:rsidR="0011082F" w:rsidRPr="00DB6C66">
        <w:rPr>
          <w:lang w:val="fr-FR"/>
        </w:rPr>
        <w:t>concernant le fonctionnement</w:t>
      </w:r>
      <w:r w:rsidR="00E01D11" w:rsidRPr="00DB6C66">
        <w:rPr>
          <w:lang w:val="fr-FR"/>
        </w:rPr>
        <w:t xml:space="preserve"> du VPI</w:t>
      </w:r>
      <w:r w:rsidR="0011082F" w:rsidRPr="00DB6C66">
        <w:rPr>
          <w:lang w:val="fr-FR"/>
        </w:rPr>
        <w:t xml:space="preserve"> en qualité d</w:t>
      </w:r>
      <w:r w:rsidR="00280EEC">
        <w:rPr>
          <w:lang w:val="fr-FR"/>
        </w:rPr>
        <w:t>’</w:t>
      </w:r>
      <w:r w:rsidR="0011082F" w:rsidRPr="00DB6C66">
        <w:rPr>
          <w:lang w:val="fr-FR"/>
        </w:rPr>
        <w:t>administration chargée de la recherche internationale et de l</w:t>
      </w:r>
      <w:r w:rsidR="00280EEC">
        <w:rPr>
          <w:lang w:val="fr-FR"/>
        </w:rPr>
        <w:t>’</w:t>
      </w:r>
      <w:r w:rsidR="0011082F" w:rsidRPr="00DB6C66">
        <w:rPr>
          <w:lang w:val="fr-FR"/>
        </w:rPr>
        <w:t>examen préliminaire international.</w:t>
      </w:r>
    </w:p>
    <w:p w:rsidR="00620A17" w:rsidRDefault="00BD2CA4" w:rsidP="006D3583">
      <w:pPr>
        <w:pStyle w:val="ONUMFS"/>
        <w:rPr>
          <w:lang w:val="fr-FR"/>
        </w:rPr>
      </w:pPr>
      <w:r w:rsidRPr="00DB6C66">
        <w:rPr>
          <w:lang w:val="fr-FR"/>
        </w:rPr>
        <w:t>La structure</w:t>
      </w:r>
      <w:r w:rsidR="00E01D11" w:rsidRPr="00DB6C66">
        <w:rPr>
          <w:lang w:val="fr-FR"/>
        </w:rPr>
        <w:t xml:space="preserve"> du VPI</w:t>
      </w:r>
      <w:r w:rsidRPr="00DB6C66">
        <w:rPr>
          <w:lang w:val="fr-FR"/>
        </w:rPr>
        <w:t xml:space="preserve"> </w:t>
      </w:r>
      <w:r w:rsidR="00E54166" w:rsidRPr="00DB6C66">
        <w:rPr>
          <w:lang w:val="fr-FR"/>
        </w:rPr>
        <w:t>suivra le modèle déjà existant de l</w:t>
      </w:r>
      <w:r w:rsidR="00280EEC">
        <w:rPr>
          <w:lang w:val="fr-FR"/>
        </w:rPr>
        <w:t>’</w:t>
      </w:r>
      <w:r w:rsidR="00E54166" w:rsidRPr="00DB6C66">
        <w:rPr>
          <w:lang w:val="fr-FR"/>
        </w:rPr>
        <w:t>Institut nordique des brevets, dont l</w:t>
      </w:r>
      <w:r w:rsidR="00280EEC">
        <w:rPr>
          <w:lang w:val="fr-FR"/>
        </w:rPr>
        <w:t>’</w:t>
      </w:r>
      <w:r w:rsidR="00E54166" w:rsidRPr="00DB6C66">
        <w:rPr>
          <w:lang w:val="fr-FR"/>
        </w:rPr>
        <w:t>efficacité n</w:t>
      </w:r>
      <w:r w:rsidR="00280EEC">
        <w:rPr>
          <w:lang w:val="fr-FR"/>
        </w:rPr>
        <w:t>’</w:t>
      </w:r>
      <w:r w:rsidR="00E54166" w:rsidRPr="00DB6C66">
        <w:rPr>
          <w:lang w:val="fr-FR"/>
        </w:rPr>
        <w:t>est plus à montrer.  La gouvernance</w:t>
      </w:r>
      <w:r w:rsidR="00E01D11" w:rsidRPr="00DB6C66">
        <w:rPr>
          <w:lang w:val="fr-FR"/>
        </w:rPr>
        <w:t xml:space="preserve"> du VPI</w:t>
      </w:r>
      <w:r w:rsidR="00E54166" w:rsidRPr="00DB6C66">
        <w:rPr>
          <w:lang w:val="fr-FR"/>
        </w:rPr>
        <w:t xml:space="preserve"> en tant qu</w:t>
      </w:r>
      <w:r w:rsidR="00280EEC">
        <w:rPr>
          <w:lang w:val="fr-FR"/>
        </w:rPr>
        <w:t>’</w:t>
      </w:r>
      <w:r w:rsidR="00E54166" w:rsidRPr="00DB6C66">
        <w:rPr>
          <w:lang w:val="fr-FR"/>
        </w:rPr>
        <w:t>organisation intergouvernementale sera assurée par un conseil d</w:t>
      </w:r>
      <w:r w:rsidR="00280EEC">
        <w:rPr>
          <w:lang w:val="fr-FR"/>
        </w:rPr>
        <w:t>’</w:t>
      </w:r>
      <w:r w:rsidR="00E54166" w:rsidRPr="00DB6C66">
        <w:rPr>
          <w:lang w:val="fr-FR"/>
        </w:rPr>
        <w:t xml:space="preserve">administration composée des représentants des </w:t>
      </w:r>
      <w:r w:rsidR="00DF641F" w:rsidRPr="00DB6C66">
        <w:rPr>
          <w:lang w:val="fr-FR"/>
        </w:rPr>
        <w:t>États</w:t>
      </w:r>
      <w:r w:rsidR="00E54166" w:rsidRPr="00DB6C66">
        <w:rPr>
          <w:lang w:val="fr-FR"/>
        </w:rPr>
        <w:t xml:space="preserve"> contractants, tandis que le secrétariat</w:t>
      </w:r>
      <w:r w:rsidR="00E01D11" w:rsidRPr="00DB6C66">
        <w:rPr>
          <w:lang w:val="fr-FR"/>
        </w:rPr>
        <w:t xml:space="preserve"> du VPI</w:t>
      </w:r>
      <w:r w:rsidR="00E54166" w:rsidRPr="00DB6C66">
        <w:rPr>
          <w:lang w:val="fr-FR"/>
        </w:rPr>
        <w:t>, placé sous la responsabilité du directeur, sera chargé d</w:t>
      </w:r>
      <w:r w:rsidR="00280EEC">
        <w:rPr>
          <w:lang w:val="fr-FR"/>
        </w:rPr>
        <w:t>’</w:t>
      </w:r>
      <w:r w:rsidR="00E54166" w:rsidRPr="00DB6C66">
        <w:rPr>
          <w:lang w:val="fr-FR"/>
        </w:rPr>
        <w:t>organiser, de gérer au quotidien et d</w:t>
      </w:r>
      <w:r w:rsidR="00280EEC">
        <w:rPr>
          <w:lang w:val="fr-FR"/>
        </w:rPr>
        <w:t>’</w:t>
      </w:r>
      <w:r w:rsidR="00E54166" w:rsidRPr="00DB6C66">
        <w:rPr>
          <w:lang w:val="fr-FR"/>
        </w:rPr>
        <w:t xml:space="preserve">appuyer </w:t>
      </w:r>
      <w:r w:rsidR="00455914" w:rsidRPr="00DB6C66">
        <w:rPr>
          <w:lang w:val="fr-FR"/>
        </w:rPr>
        <w:t>d</w:t>
      </w:r>
      <w:r w:rsidR="00280EEC">
        <w:rPr>
          <w:lang w:val="fr-FR"/>
        </w:rPr>
        <w:t>’</w:t>
      </w:r>
      <w:r w:rsidR="00455914" w:rsidRPr="00DB6C66">
        <w:rPr>
          <w:lang w:val="fr-FR"/>
        </w:rPr>
        <w:t xml:space="preserve">un point de vue </w:t>
      </w:r>
      <w:r w:rsidR="00E54166" w:rsidRPr="00DB6C66">
        <w:rPr>
          <w:lang w:val="fr-FR"/>
        </w:rPr>
        <w:t>admin</w:t>
      </w:r>
      <w:r w:rsidR="00455914" w:rsidRPr="00DB6C66">
        <w:rPr>
          <w:lang w:val="fr-FR"/>
        </w:rPr>
        <w:t>istratif</w:t>
      </w:r>
      <w:r w:rsidR="00E54166" w:rsidRPr="00DB6C66">
        <w:rPr>
          <w:lang w:val="fr-FR"/>
        </w:rPr>
        <w:t xml:space="preserve"> les travaux de l</w:t>
      </w:r>
      <w:r w:rsidR="00280EEC">
        <w:rPr>
          <w:lang w:val="fr-FR"/>
        </w:rPr>
        <w:t>’</w:t>
      </w:r>
      <w:r w:rsidR="0095528C" w:rsidRPr="00DB6C66">
        <w:rPr>
          <w:lang w:val="fr-FR"/>
        </w:rPr>
        <w:t>i</w:t>
      </w:r>
      <w:r w:rsidR="00E54166" w:rsidRPr="00DB6C66">
        <w:rPr>
          <w:lang w:val="fr-FR"/>
        </w:rPr>
        <w:t>nstitut.</w:t>
      </w:r>
      <w:r w:rsidR="00B81F2B" w:rsidRPr="00DB6C66">
        <w:rPr>
          <w:lang w:val="fr-FR"/>
        </w:rPr>
        <w:t xml:space="preserve">  </w:t>
      </w:r>
      <w:r w:rsidR="00F258D6" w:rsidRPr="00DB6C66">
        <w:rPr>
          <w:lang w:val="fr-FR"/>
        </w:rPr>
        <w:t>Le secrétariat et le directeur seront les interlocuteurs de toutes les parties extérieures, notamment le Bureau international de l</w:t>
      </w:r>
      <w:r w:rsidR="00280EEC">
        <w:rPr>
          <w:lang w:val="fr-FR"/>
        </w:rPr>
        <w:t>’</w:t>
      </w:r>
      <w:r w:rsidR="00F258D6" w:rsidRPr="00DB6C66">
        <w:rPr>
          <w:lang w:val="fr-FR"/>
        </w:rPr>
        <w:t>OMPI, les offices nationaux agissant en qualité d</w:t>
      </w:r>
      <w:r w:rsidR="00280EEC">
        <w:rPr>
          <w:lang w:val="fr-FR"/>
        </w:rPr>
        <w:t>’</w:t>
      </w:r>
      <w:r w:rsidR="00F258D6" w:rsidRPr="00DB6C66">
        <w:rPr>
          <w:lang w:val="fr-FR"/>
        </w:rPr>
        <w:t>office récepteur et, si possible, d</w:t>
      </w:r>
      <w:r w:rsidR="00280EEC">
        <w:rPr>
          <w:lang w:val="fr-FR"/>
        </w:rPr>
        <w:t>’</w:t>
      </w:r>
      <w:r w:rsidR="00F258D6" w:rsidRPr="00DB6C66">
        <w:rPr>
          <w:lang w:val="fr-FR"/>
        </w:rPr>
        <w:t>autres partenaires et utilisateurs internationaux des services proposés par</w:t>
      </w:r>
      <w:r w:rsidR="00E01D11" w:rsidRPr="00DB6C66">
        <w:rPr>
          <w:lang w:val="fr-FR"/>
        </w:rPr>
        <w:t xml:space="preserve"> le VPI</w:t>
      </w:r>
      <w:r w:rsidR="00F258D6" w:rsidRPr="00DB6C66">
        <w:rPr>
          <w:lang w:val="fr-FR"/>
        </w:rPr>
        <w:t xml:space="preserve"> en matière de brevets.  Dans le cadre de cette dimension intergouvernementale</w:t>
      </w:r>
      <w:r w:rsidR="00E01D11" w:rsidRPr="00DB6C66">
        <w:rPr>
          <w:lang w:val="fr-FR"/>
        </w:rPr>
        <w:t xml:space="preserve"> du VPI</w:t>
      </w:r>
      <w:r w:rsidR="00F258D6" w:rsidRPr="00DB6C66">
        <w:rPr>
          <w:lang w:val="fr-FR"/>
        </w:rPr>
        <w:t xml:space="preserve">, </w:t>
      </w:r>
      <w:r w:rsidR="00C250F7" w:rsidRPr="00DB6C66">
        <w:rPr>
          <w:lang w:val="fr-FR"/>
        </w:rPr>
        <w:t xml:space="preserve">ce sont </w:t>
      </w:r>
      <w:r w:rsidR="00F258D6" w:rsidRPr="00DB6C66">
        <w:rPr>
          <w:lang w:val="fr-FR"/>
        </w:rPr>
        <w:t xml:space="preserve">les offices nationaux des </w:t>
      </w:r>
      <w:r w:rsidR="002B5213" w:rsidRPr="00DB6C66">
        <w:rPr>
          <w:lang w:val="fr-FR"/>
        </w:rPr>
        <w:t>États</w:t>
      </w:r>
      <w:r w:rsidR="00F258D6" w:rsidRPr="00DB6C66">
        <w:rPr>
          <w:lang w:val="fr-FR"/>
        </w:rPr>
        <w:t xml:space="preserve"> contractants </w:t>
      </w:r>
      <w:r w:rsidR="00C250F7" w:rsidRPr="00DB6C66">
        <w:rPr>
          <w:lang w:val="fr-FR"/>
        </w:rPr>
        <w:t xml:space="preserve">qui </w:t>
      </w:r>
      <w:r w:rsidR="00F258D6" w:rsidRPr="00DB6C66">
        <w:rPr>
          <w:lang w:val="fr-FR"/>
        </w:rPr>
        <w:t xml:space="preserve">exécuteront </w:t>
      </w:r>
      <w:r w:rsidR="00DF641F" w:rsidRPr="00DB6C66">
        <w:rPr>
          <w:lang w:val="fr-FR"/>
        </w:rPr>
        <w:t>les activités internationales</w:t>
      </w:r>
      <w:r w:rsidR="00F258D6" w:rsidRPr="00DB6C66">
        <w:rPr>
          <w:lang w:val="fr-FR"/>
        </w:rPr>
        <w:t xml:space="preserve"> de recherche et d</w:t>
      </w:r>
      <w:r w:rsidR="00280EEC">
        <w:rPr>
          <w:lang w:val="fr-FR"/>
        </w:rPr>
        <w:t>’</w:t>
      </w:r>
      <w:r w:rsidR="00F258D6" w:rsidRPr="00DB6C66">
        <w:rPr>
          <w:lang w:val="fr-FR"/>
        </w:rPr>
        <w:t>examen au nom</w:t>
      </w:r>
      <w:r w:rsidR="00E01D11" w:rsidRPr="00DB6C66">
        <w:rPr>
          <w:lang w:val="fr-FR"/>
        </w:rPr>
        <w:t xml:space="preserve"> du VPI</w:t>
      </w:r>
      <w:r w:rsidR="00F258D6" w:rsidRPr="00DB6C66">
        <w:rPr>
          <w:lang w:val="fr-FR"/>
        </w:rPr>
        <w:t xml:space="preserve">.  </w:t>
      </w:r>
      <w:r w:rsidR="00FD7465" w:rsidRPr="00DB6C66">
        <w:rPr>
          <w:lang w:val="fr-FR"/>
        </w:rPr>
        <w:t xml:space="preserve">En harmonisant les outils et les pratiques de recherche </w:t>
      </w:r>
      <w:r w:rsidR="00C250F7" w:rsidRPr="00DB6C66">
        <w:rPr>
          <w:lang w:val="fr-FR"/>
        </w:rPr>
        <w:t xml:space="preserve">et </w:t>
      </w:r>
      <w:r w:rsidR="00FD7465" w:rsidRPr="00DB6C66">
        <w:rPr>
          <w:lang w:val="fr-FR"/>
        </w:rPr>
        <w:t>d</w:t>
      </w:r>
      <w:r w:rsidR="00280EEC">
        <w:rPr>
          <w:lang w:val="fr-FR"/>
        </w:rPr>
        <w:t>’</w:t>
      </w:r>
      <w:r w:rsidR="00FD7465" w:rsidRPr="00DB6C66">
        <w:rPr>
          <w:lang w:val="fr-FR"/>
        </w:rPr>
        <w:t>examen, et en assurant</w:t>
      </w:r>
      <w:r w:rsidR="00620A17">
        <w:rPr>
          <w:lang w:val="fr-FR"/>
        </w:rPr>
        <w:t xml:space="preserve"> </w:t>
      </w:r>
    </w:p>
    <w:p w:rsidR="009B2CFA" w:rsidRPr="00DB6C66" w:rsidRDefault="00FD7465" w:rsidP="00620A17">
      <w:pPr>
        <w:pStyle w:val="ONUMFS"/>
        <w:numPr>
          <w:ilvl w:val="0"/>
          <w:numId w:val="0"/>
        </w:numPr>
        <w:rPr>
          <w:lang w:val="fr-FR"/>
        </w:rPr>
      </w:pPr>
      <w:proofErr w:type="gramStart"/>
      <w:r w:rsidRPr="00DB6C66">
        <w:rPr>
          <w:lang w:val="fr-FR"/>
        </w:rPr>
        <w:lastRenderedPageBreak/>
        <w:t>une</w:t>
      </w:r>
      <w:proofErr w:type="gramEnd"/>
      <w:r w:rsidRPr="00DB6C66">
        <w:rPr>
          <w:lang w:val="fr-FR"/>
        </w:rPr>
        <w:t xml:space="preserve"> gestion rigoureuse de la qualité à chaque étape de la procédure,</w:t>
      </w:r>
      <w:r w:rsidR="00E01D11" w:rsidRPr="00DB6C66">
        <w:rPr>
          <w:lang w:val="fr-FR"/>
        </w:rPr>
        <w:t xml:space="preserve"> le VPI</w:t>
      </w:r>
      <w:r w:rsidRPr="00DB6C66">
        <w:rPr>
          <w:lang w:val="fr-FR"/>
        </w:rPr>
        <w:t xml:space="preserve"> garantira</w:t>
      </w:r>
      <w:r w:rsidR="00A6116C" w:rsidRPr="00DB6C66">
        <w:rPr>
          <w:lang w:val="fr-FR"/>
        </w:rPr>
        <w:t xml:space="preserve"> toujours</w:t>
      </w:r>
      <w:r w:rsidRPr="00DB6C66">
        <w:rPr>
          <w:lang w:val="fr-FR"/>
        </w:rPr>
        <w:t xml:space="preserve"> aux déposants la fourniture d</w:t>
      </w:r>
      <w:r w:rsidR="00280EEC">
        <w:rPr>
          <w:lang w:val="fr-FR"/>
        </w:rPr>
        <w:t>’</w:t>
      </w:r>
      <w:r w:rsidRPr="00DB6C66">
        <w:rPr>
          <w:lang w:val="fr-FR"/>
        </w:rPr>
        <w:t>un service uniforme et de haute qualité.</w:t>
      </w:r>
      <w:r w:rsidR="009B2CFA" w:rsidRPr="00DB6C66">
        <w:rPr>
          <w:lang w:val="fr-FR"/>
        </w:rPr>
        <w:t xml:space="preserve">  Le </w:t>
      </w:r>
      <w:r w:rsidR="009B2CFA" w:rsidRPr="00DB6C66">
        <w:rPr>
          <w:i/>
          <w:lang w:val="fr-FR"/>
        </w:rPr>
        <w:t>tableau</w:t>
      </w:r>
      <w:r w:rsidR="004E047D" w:rsidRPr="00DB6C66">
        <w:rPr>
          <w:i/>
          <w:lang w:val="fr-FR"/>
        </w:rPr>
        <w:t> </w:t>
      </w:r>
      <w:r w:rsidR="009B2CFA" w:rsidRPr="00DB6C66">
        <w:rPr>
          <w:i/>
          <w:lang w:val="fr-FR"/>
        </w:rPr>
        <w:t>2</w:t>
      </w:r>
      <w:r w:rsidR="009B2CFA" w:rsidRPr="00DB6C66">
        <w:rPr>
          <w:lang w:val="fr-FR"/>
        </w:rPr>
        <w:t xml:space="preserve"> </w:t>
      </w:r>
      <w:r w:rsidR="00C250F7" w:rsidRPr="00DB6C66">
        <w:rPr>
          <w:lang w:val="fr-FR"/>
        </w:rPr>
        <w:t>présente</w:t>
      </w:r>
      <w:r w:rsidR="009B2CFA" w:rsidRPr="00DB6C66">
        <w:rPr>
          <w:lang w:val="fr-FR"/>
        </w:rPr>
        <w:t xml:space="preserve"> </w:t>
      </w:r>
      <w:proofErr w:type="gramStart"/>
      <w:r w:rsidR="009B2CFA" w:rsidRPr="00DB6C66">
        <w:rPr>
          <w:lang w:val="fr-FR"/>
        </w:rPr>
        <w:t>l</w:t>
      </w:r>
      <w:r w:rsidR="00280EEC">
        <w:rPr>
          <w:lang w:val="fr-FR"/>
        </w:rPr>
        <w:t>’</w:t>
      </w:r>
      <w:r w:rsidR="009B2CFA" w:rsidRPr="00DB6C66">
        <w:rPr>
          <w:lang w:val="fr-FR"/>
        </w:rPr>
        <w:t>organigramme</w:t>
      </w:r>
      <w:proofErr w:type="gramEnd"/>
      <w:r w:rsidR="00E01D11" w:rsidRPr="00DB6C66">
        <w:rPr>
          <w:lang w:val="fr-FR"/>
        </w:rPr>
        <w:t xml:space="preserve"> du VPI</w:t>
      </w:r>
      <w:r w:rsidR="00C250F7" w:rsidRPr="00DB6C66">
        <w:rPr>
          <w:lang w:val="fr-FR"/>
        </w:rPr>
        <w:t xml:space="preserve"> (en anglais)</w:t>
      </w:r>
      <w:r w:rsidR="009B2CFA" w:rsidRPr="00DB6C66">
        <w:rPr>
          <w:lang w:val="fr-FR"/>
        </w:rPr>
        <w:t>.</w:t>
      </w:r>
    </w:p>
    <w:p w:rsidR="00E01D11" w:rsidRPr="00DB6C66" w:rsidRDefault="00445BC8" w:rsidP="006D3583">
      <w:pPr>
        <w:pStyle w:val="ONUMFS"/>
        <w:rPr>
          <w:lang w:val="fr-FR"/>
        </w:rPr>
      </w:pPr>
      <w:r w:rsidRPr="00DB6C66">
        <w:rPr>
          <w:lang w:val="fr-FR"/>
        </w:rPr>
        <w:t>La principale mission</w:t>
      </w:r>
      <w:r w:rsidR="00E01D11" w:rsidRPr="00DB6C66">
        <w:rPr>
          <w:lang w:val="fr-FR"/>
        </w:rPr>
        <w:t xml:space="preserve"> du VPI</w:t>
      </w:r>
      <w:r w:rsidRPr="00DB6C66">
        <w:rPr>
          <w:lang w:val="fr-FR"/>
        </w:rPr>
        <w:t xml:space="preserve"> consistera à agir en qualité d</w:t>
      </w:r>
      <w:r w:rsidR="00280EEC">
        <w:rPr>
          <w:lang w:val="fr-FR"/>
        </w:rPr>
        <w:t>’</w:t>
      </w:r>
      <w:r w:rsidRPr="00DB6C66">
        <w:rPr>
          <w:lang w:val="fr-FR"/>
        </w:rPr>
        <w:t>administration chargée de la recherche internationale et</w:t>
      </w:r>
      <w:r w:rsidR="00C250F7" w:rsidRPr="00DB6C66">
        <w:rPr>
          <w:lang w:val="fr-FR"/>
        </w:rPr>
        <w:t xml:space="preserve"> d</w:t>
      </w:r>
      <w:r w:rsidR="00280EEC">
        <w:rPr>
          <w:lang w:val="fr-FR"/>
        </w:rPr>
        <w:t>’</w:t>
      </w:r>
      <w:r w:rsidR="00C250F7" w:rsidRPr="00DB6C66">
        <w:rPr>
          <w:lang w:val="fr-FR"/>
        </w:rPr>
        <w:t>administration chargée</w:t>
      </w:r>
      <w:r w:rsidRPr="00DB6C66">
        <w:rPr>
          <w:lang w:val="fr-FR"/>
        </w:rPr>
        <w:t xml:space="preserve"> de l</w:t>
      </w:r>
      <w:r w:rsidR="00280EEC">
        <w:rPr>
          <w:lang w:val="fr-FR"/>
        </w:rPr>
        <w:t>’</w:t>
      </w:r>
      <w:r w:rsidRPr="00DB6C66">
        <w:rPr>
          <w:lang w:val="fr-FR"/>
        </w:rPr>
        <w:t>examen préliminaire international au sens</w:t>
      </w:r>
      <w:r w:rsidR="00E01D11" w:rsidRPr="00DB6C66">
        <w:rPr>
          <w:lang w:val="fr-FR"/>
        </w:rPr>
        <w:t xml:space="preserve"> du PCT</w:t>
      </w:r>
      <w:r w:rsidRPr="00DB6C66">
        <w:rPr>
          <w:lang w:val="fr-FR"/>
        </w:rPr>
        <w:t xml:space="preserve">. </w:t>
      </w:r>
      <w:r w:rsidR="00E01D11" w:rsidRPr="00DB6C66">
        <w:rPr>
          <w:lang w:val="fr-FR"/>
        </w:rPr>
        <w:t xml:space="preserve"> Le VPI</w:t>
      </w:r>
      <w:r w:rsidRPr="00DB6C66">
        <w:rPr>
          <w:lang w:val="fr-FR"/>
        </w:rPr>
        <w:t xml:space="preserve"> devrait également proposer des recherches de type international et des recherches internationales supplémentaires.  En outre, le Conseil d</w:t>
      </w:r>
      <w:r w:rsidR="00280EEC">
        <w:rPr>
          <w:lang w:val="fr-FR"/>
        </w:rPr>
        <w:t>’</w:t>
      </w:r>
      <w:r w:rsidRPr="00DB6C66">
        <w:rPr>
          <w:lang w:val="fr-FR"/>
        </w:rPr>
        <w:t>administration pourra peut</w:t>
      </w:r>
      <w:r w:rsidR="008117E3">
        <w:rPr>
          <w:lang w:val="fr-FR"/>
        </w:rPr>
        <w:noBreakHyphen/>
      </w:r>
      <w:r w:rsidRPr="00DB6C66">
        <w:rPr>
          <w:lang w:val="fr-FR"/>
        </w:rPr>
        <w:t>être décider de confier</w:t>
      </w:r>
      <w:r w:rsidR="00E01D11" w:rsidRPr="00DB6C66">
        <w:rPr>
          <w:lang w:val="fr-FR"/>
        </w:rPr>
        <w:t xml:space="preserve"> au VPI</w:t>
      </w:r>
      <w:r w:rsidRPr="00DB6C66">
        <w:rPr>
          <w:lang w:val="fr-FR"/>
        </w:rPr>
        <w:t xml:space="preserve"> d</w:t>
      </w:r>
      <w:r w:rsidR="00280EEC">
        <w:rPr>
          <w:lang w:val="fr-FR"/>
        </w:rPr>
        <w:t>’</w:t>
      </w:r>
      <w:r w:rsidRPr="00DB6C66">
        <w:rPr>
          <w:lang w:val="fr-FR"/>
        </w:rPr>
        <w:t xml:space="preserve">autres tâches </w:t>
      </w:r>
      <w:r w:rsidR="00C250F7" w:rsidRPr="00DB6C66">
        <w:rPr>
          <w:lang w:val="fr-FR"/>
        </w:rPr>
        <w:t>similaires</w:t>
      </w:r>
      <w:r w:rsidRPr="00DB6C66">
        <w:rPr>
          <w:lang w:val="fr-FR"/>
        </w:rPr>
        <w:t xml:space="preserve"> dans le domaine des brevets et autoriser le directeur à conclure des accords à cette fin au nom</w:t>
      </w:r>
      <w:r w:rsidR="00E01D11" w:rsidRPr="00DB6C66">
        <w:rPr>
          <w:lang w:val="fr-FR"/>
        </w:rPr>
        <w:t xml:space="preserve"> du VPI</w:t>
      </w:r>
      <w:r w:rsidRPr="00DB6C66">
        <w:rPr>
          <w:lang w:val="fr-FR"/>
        </w:rPr>
        <w:t>.</w:t>
      </w:r>
    </w:p>
    <w:p w:rsidR="00E01D11" w:rsidRPr="00DB6C66" w:rsidRDefault="001E6FC6" w:rsidP="006D3583">
      <w:pPr>
        <w:pStyle w:val="ONUMFS"/>
        <w:rPr>
          <w:lang w:val="fr-FR"/>
        </w:rPr>
      </w:pPr>
      <w:r w:rsidRPr="00DB6C66">
        <w:rPr>
          <w:lang w:val="fr-FR"/>
        </w:rPr>
        <w:t>Le fonctionnement</w:t>
      </w:r>
      <w:r w:rsidR="00E01D11" w:rsidRPr="00DB6C66">
        <w:rPr>
          <w:lang w:val="fr-FR"/>
        </w:rPr>
        <w:t xml:space="preserve"> du VPI</w:t>
      </w:r>
      <w:r w:rsidRPr="00DB6C66">
        <w:rPr>
          <w:lang w:val="fr-FR"/>
        </w:rPr>
        <w:t xml:space="preserve"> sera fondé sur la coopération entre les offices nationaux de la propriété industrielle des </w:t>
      </w:r>
      <w:r w:rsidR="00DF641F" w:rsidRPr="00DB6C66">
        <w:rPr>
          <w:lang w:val="fr-FR"/>
        </w:rPr>
        <w:t>États</w:t>
      </w:r>
      <w:r w:rsidRPr="00DB6C66">
        <w:rPr>
          <w:lang w:val="fr-FR"/>
        </w:rPr>
        <w:t xml:space="preserve"> contractants, ce qui garantira la réalisation harmonieuse de toutes les activités qui lui sont </w:t>
      </w:r>
      <w:r w:rsidR="00A547AC" w:rsidRPr="00DB6C66">
        <w:rPr>
          <w:lang w:val="fr-FR"/>
        </w:rPr>
        <w:t>propres</w:t>
      </w:r>
      <w:r w:rsidRPr="00DB6C66">
        <w:rPr>
          <w:lang w:val="fr-FR"/>
        </w:rPr>
        <w:t xml:space="preserve">. </w:t>
      </w:r>
      <w:r w:rsidR="00A547AC" w:rsidRPr="00DB6C66">
        <w:rPr>
          <w:lang w:val="fr-FR"/>
        </w:rPr>
        <w:t xml:space="preserve"> En regroupant leurs ressources en matière de recherche et d</w:t>
      </w:r>
      <w:r w:rsidR="00280EEC">
        <w:rPr>
          <w:lang w:val="fr-FR"/>
        </w:rPr>
        <w:t>’</w:t>
      </w:r>
      <w:r w:rsidR="00A547AC" w:rsidRPr="00DB6C66">
        <w:rPr>
          <w:lang w:val="fr-FR"/>
        </w:rPr>
        <w:t>examen sous l</w:t>
      </w:r>
      <w:r w:rsidR="00280EEC">
        <w:rPr>
          <w:lang w:val="fr-FR"/>
        </w:rPr>
        <w:t>’</w:t>
      </w:r>
      <w:r w:rsidR="00A547AC" w:rsidRPr="00DB6C66">
        <w:rPr>
          <w:lang w:val="fr-FR"/>
        </w:rPr>
        <w:t>égide</w:t>
      </w:r>
      <w:r w:rsidR="00E01D11" w:rsidRPr="00DB6C66">
        <w:rPr>
          <w:lang w:val="fr-FR"/>
        </w:rPr>
        <w:t xml:space="preserve"> du VPI</w:t>
      </w:r>
      <w:r w:rsidR="00A547AC" w:rsidRPr="00DB6C66">
        <w:rPr>
          <w:lang w:val="fr-FR"/>
        </w:rPr>
        <w:t xml:space="preserve">, les offices participants comptent créer des synergies importantes et </w:t>
      </w:r>
      <w:r w:rsidR="00DF641F" w:rsidRPr="00DB6C66">
        <w:rPr>
          <w:lang w:val="fr-FR"/>
        </w:rPr>
        <w:t>approfondir</w:t>
      </w:r>
      <w:r w:rsidR="00A547AC" w:rsidRPr="00DB6C66">
        <w:rPr>
          <w:lang w:val="fr-FR"/>
        </w:rPr>
        <w:t xml:space="preserve"> leur spécialisation dans les domaines technologiques </w:t>
      </w:r>
      <w:r w:rsidR="00285E06" w:rsidRPr="00DB6C66">
        <w:rPr>
          <w:lang w:val="fr-FR"/>
        </w:rPr>
        <w:t>faisant l</w:t>
      </w:r>
      <w:r w:rsidR="00280EEC">
        <w:rPr>
          <w:lang w:val="fr-FR"/>
        </w:rPr>
        <w:t>’</w:t>
      </w:r>
      <w:r w:rsidR="00285E06" w:rsidRPr="00DB6C66">
        <w:rPr>
          <w:lang w:val="fr-FR"/>
        </w:rPr>
        <w:t xml:space="preserve">objet de </w:t>
      </w:r>
      <w:r w:rsidR="00A547AC" w:rsidRPr="00DB6C66">
        <w:rPr>
          <w:lang w:val="fr-FR"/>
        </w:rPr>
        <w:t>recherche</w:t>
      </w:r>
      <w:r w:rsidR="00285E06" w:rsidRPr="00DB6C66">
        <w:rPr>
          <w:lang w:val="fr-FR"/>
        </w:rPr>
        <w:t>s</w:t>
      </w:r>
      <w:r w:rsidR="00A547AC" w:rsidRPr="00DB6C66">
        <w:rPr>
          <w:lang w:val="fr-FR"/>
        </w:rPr>
        <w:t xml:space="preserve"> et </w:t>
      </w:r>
      <w:r w:rsidR="00285E06" w:rsidRPr="00DB6C66">
        <w:rPr>
          <w:lang w:val="fr-FR"/>
        </w:rPr>
        <w:t>d</w:t>
      </w:r>
      <w:r w:rsidR="00280EEC">
        <w:rPr>
          <w:lang w:val="fr-FR"/>
        </w:rPr>
        <w:t>’</w:t>
      </w:r>
      <w:r w:rsidR="00A547AC" w:rsidRPr="00DB6C66">
        <w:rPr>
          <w:lang w:val="fr-FR"/>
        </w:rPr>
        <w:t>examen</w:t>
      </w:r>
      <w:r w:rsidR="00285E06" w:rsidRPr="00DB6C66">
        <w:rPr>
          <w:lang w:val="fr-FR"/>
        </w:rPr>
        <w:t>s</w:t>
      </w:r>
      <w:r w:rsidR="00A547AC" w:rsidRPr="00DB6C66">
        <w:rPr>
          <w:lang w:val="fr-FR"/>
        </w:rPr>
        <w:t xml:space="preserve">. </w:t>
      </w:r>
      <w:r w:rsidR="00035C05" w:rsidRPr="00DB6C66">
        <w:rPr>
          <w:lang w:val="fr-FR"/>
        </w:rPr>
        <w:t xml:space="preserve"> Avec cette structure, toutes les activités</w:t>
      </w:r>
      <w:r w:rsidR="00E01D11" w:rsidRPr="00DB6C66">
        <w:rPr>
          <w:lang w:val="fr-FR"/>
        </w:rPr>
        <w:t xml:space="preserve"> du VPI</w:t>
      </w:r>
      <w:r w:rsidR="00035C05" w:rsidRPr="00DB6C66">
        <w:rPr>
          <w:lang w:val="fr-FR"/>
        </w:rPr>
        <w:t xml:space="preserve"> en tant qu</w:t>
      </w:r>
      <w:r w:rsidR="00280EEC">
        <w:rPr>
          <w:lang w:val="fr-FR"/>
        </w:rPr>
        <w:t>’</w:t>
      </w:r>
      <w:r w:rsidR="00035C05" w:rsidRPr="00DB6C66">
        <w:rPr>
          <w:lang w:val="fr-FR"/>
        </w:rPr>
        <w:t>administration chargée de la recherche internationale et de l</w:t>
      </w:r>
      <w:r w:rsidR="00280EEC">
        <w:rPr>
          <w:lang w:val="fr-FR"/>
        </w:rPr>
        <w:t>’</w:t>
      </w:r>
      <w:r w:rsidR="00035C05" w:rsidRPr="00DB6C66">
        <w:rPr>
          <w:lang w:val="fr-FR"/>
        </w:rPr>
        <w:t xml:space="preserve">examen préliminaire international, et toute autre tâche qui lui sera confiée, seront menées par les offices nationaux de propriété intellectuelle des </w:t>
      </w:r>
      <w:r w:rsidR="00DF641F" w:rsidRPr="00DB6C66">
        <w:rPr>
          <w:lang w:val="fr-FR"/>
        </w:rPr>
        <w:t>États</w:t>
      </w:r>
      <w:r w:rsidR="00035C05" w:rsidRPr="00DB6C66">
        <w:rPr>
          <w:lang w:val="fr-FR"/>
        </w:rPr>
        <w:t xml:space="preserve"> contractants au nom, et sous </w:t>
      </w:r>
      <w:r w:rsidR="00C250F7" w:rsidRPr="00DB6C66">
        <w:rPr>
          <w:lang w:val="fr-FR"/>
        </w:rPr>
        <w:t xml:space="preserve">le </w:t>
      </w:r>
      <w:r w:rsidR="00035C05" w:rsidRPr="00DB6C66">
        <w:rPr>
          <w:lang w:val="fr-FR"/>
        </w:rPr>
        <w:t>plein contrôle,</w:t>
      </w:r>
      <w:r w:rsidR="00E01D11" w:rsidRPr="00DB6C66">
        <w:rPr>
          <w:lang w:val="fr-FR"/>
        </w:rPr>
        <w:t xml:space="preserve"> du VPI</w:t>
      </w:r>
      <w:r w:rsidR="00C250F7" w:rsidRPr="00DB6C66">
        <w:rPr>
          <w:lang w:val="fr-FR"/>
        </w:rPr>
        <w:t xml:space="preserve">, </w:t>
      </w:r>
      <w:r w:rsidR="00035C05" w:rsidRPr="00DB6C66">
        <w:rPr>
          <w:lang w:val="fr-FR"/>
        </w:rPr>
        <w:t xml:space="preserve">conformément aux conditions énoncées par </w:t>
      </w:r>
      <w:r w:rsidR="00C250F7" w:rsidRPr="00DB6C66">
        <w:rPr>
          <w:lang w:val="fr-FR"/>
        </w:rPr>
        <w:t xml:space="preserve">son </w:t>
      </w:r>
      <w:r w:rsidR="00035C05" w:rsidRPr="00DB6C66">
        <w:rPr>
          <w:lang w:val="fr-FR"/>
        </w:rPr>
        <w:t>Conseil d</w:t>
      </w:r>
      <w:r w:rsidR="00280EEC">
        <w:rPr>
          <w:lang w:val="fr-FR"/>
        </w:rPr>
        <w:t>’</w:t>
      </w:r>
      <w:r w:rsidR="00035C05" w:rsidRPr="00DB6C66">
        <w:rPr>
          <w:lang w:val="fr-FR"/>
        </w:rPr>
        <w:t>administration.</w:t>
      </w:r>
    </w:p>
    <w:p w:rsidR="00DB3999" w:rsidRPr="00DB6C66" w:rsidRDefault="0075654E" w:rsidP="006D3583">
      <w:pPr>
        <w:rPr>
          <w:u w:val="single"/>
          <w:lang w:val="fr-FR"/>
        </w:rPr>
      </w:pPr>
      <w:r w:rsidRPr="00DB6C66">
        <w:rPr>
          <w:u w:val="single"/>
          <w:lang w:val="fr-FR"/>
        </w:rPr>
        <w:t>Table</w:t>
      </w:r>
      <w:r w:rsidR="0031237D" w:rsidRPr="00DB6C66">
        <w:rPr>
          <w:u w:val="single"/>
          <w:lang w:val="fr-FR"/>
        </w:rPr>
        <w:t>au</w:t>
      </w:r>
      <w:r w:rsidR="004E047D" w:rsidRPr="00DB6C66">
        <w:rPr>
          <w:u w:val="single"/>
          <w:lang w:val="fr-FR"/>
        </w:rPr>
        <w:t> </w:t>
      </w:r>
      <w:r w:rsidRPr="00DB6C66">
        <w:rPr>
          <w:u w:val="single"/>
          <w:lang w:val="fr-FR"/>
        </w:rPr>
        <w:t>2 – Organi</w:t>
      </w:r>
      <w:r w:rsidR="0031237D" w:rsidRPr="00DB6C66">
        <w:rPr>
          <w:u w:val="single"/>
          <w:lang w:val="fr-FR"/>
        </w:rPr>
        <w:t>gramme</w:t>
      </w:r>
      <w:r w:rsidR="00E01D11" w:rsidRPr="00DB6C66">
        <w:rPr>
          <w:u w:val="single"/>
          <w:lang w:val="fr-FR"/>
        </w:rPr>
        <w:t xml:space="preserve"> du VPI</w:t>
      </w:r>
      <w:r w:rsidR="001139BC" w:rsidRPr="00DB6C66">
        <w:rPr>
          <w:u w:val="single"/>
          <w:lang w:val="fr-FR"/>
        </w:rPr>
        <w:t xml:space="preserve"> (en anglais)</w:t>
      </w:r>
      <w:r w:rsidRPr="00DB6C66">
        <w:rPr>
          <w:rStyle w:val="FootnoteReference"/>
          <w:lang w:val="fr-FR"/>
        </w:rPr>
        <w:footnoteReference w:id="5"/>
      </w:r>
    </w:p>
    <w:p w:rsidR="006D3583" w:rsidRPr="00DB6C66" w:rsidRDefault="006D3583" w:rsidP="006D3583">
      <w:pPr>
        <w:rPr>
          <w:u w:val="single"/>
          <w:lang w:val="fr-FR"/>
        </w:rPr>
      </w:pPr>
    </w:p>
    <w:p w:rsidR="00DB3999" w:rsidRPr="00DB6C66" w:rsidRDefault="0075654E" w:rsidP="006D3583">
      <w:pPr>
        <w:jc w:val="center"/>
        <w:rPr>
          <w:lang w:val="fr-FR"/>
        </w:rPr>
      </w:pPr>
      <w:r w:rsidRPr="00DB6C66">
        <w:rPr>
          <w:noProof/>
          <w:lang w:eastAsia="en-US"/>
        </w:rPr>
        <w:drawing>
          <wp:inline distT="0" distB="0" distL="0" distR="0" wp14:anchorId="631813DB" wp14:editId="2DBEB0AC">
            <wp:extent cx="4638675" cy="3228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ktum 1"/>
                    <pic:cNvPicPr>
                      <a:picLocks noChangeAspect="1" noChangeArrowheads="1"/>
                    </pic:cNvPicPr>
                  </pic:nvPicPr>
                  <pic:blipFill>
                    <a:blip r:embed="rId18" cstate="print">
                      <a:extLst>
                        <a:ext uri="{28A0092B-C50C-407E-A947-70E740481C1C}">
                          <a14:useLocalDpi xmlns:a14="http://schemas.microsoft.com/office/drawing/2010/main" val="0"/>
                        </a:ext>
                      </a:extLst>
                    </a:blip>
                    <a:srcRect t="-1862" r="-70" b="-281"/>
                    <a:stretch>
                      <a:fillRect/>
                    </a:stretch>
                  </pic:blipFill>
                  <pic:spPr bwMode="auto">
                    <a:xfrm>
                      <a:off x="0" y="0"/>
                      <a:ext cx="4638675" cy="3228975"/>
                    </a:xfrm>
                    <a:prstGeom prst="rect">
                      <a:avLst/>
                    </a:prstGeom>
                    <a:noFill/>
                    <a:ln>
                      <a:noFill/>
                    </a:ln>
                  </pic:spPr>
                </pic:pic>
              </a:graphicData>
            </a:graphic>
          </wp:inline>
        </w:drawing>
      </w:r>
    </w:p>
    <w:p w:rsidR="00DB3999" w:rsidRPr="00DB6C66" w:rsidRDefault="00DB3999" w:rsidP="006D3583">
      <w:pPr>
        <w:rPr>
          <w:lang w:val="fr-FR"/>
        </w:rPr>
      </w:pPr>
    </w:p>
    <w:p w:rsidR="00DB3999" w:rsidRPr="00DB6C66" w:rsidRDefault="00DB3999" w:rsidP="006D3583">
      <w:pPr>
        <w:rPr>
          <w:lang w:val="fr-FR"/>
        </w:rPr>
      </w:pPr>
    </w:p>
    <w:p w:rsidR="00E01D11" w:rsidRPr="00DB6C66" w:rsidRDefault="007F6BFE" w:rsidP="006D3583">
      <w:pPr>
        <w:pStyle w:val="ONUMFS"/>
        <w:rPr>
          <w:rStyle w:val="ONUMEChar"/>
          <w:lang w:val="fr-FR"/>
        </w:rPr>
      </w:pPr>
      <w:r w:rsidRPr="00DB6C66">
        <w:rPr>
          <w:rStyle w:val="ONUMEChar"/>
          <w:lang w:val="fr-FR"/>
        </w:rPr>
        <w:t>L</w:t>
      </w:r>
      <w:r w:rsidR="00F74DF1" w:rsidRPr="00DB6C66">
        <w:rPr>
          <w:rStyle w:val="ONUMEChar"/>
          <w:lang w:val="fr-FR"/>
        </w:rPr>
        <w:t xml:space="preserve">e volume </w:t>
      </w:r>
      <w:r w:rsidRPr="00DB6C66">
        <w:rPr>
          <w:rStyle w:val="ONUMEChar"/>
          <w:lang w:val="fr-FR"/>
        </w:rPr>
        <w:t xml:space="preserve">de travail </w:t>
      </w:r>
      <w:r w:rsidR="00F74DF1" w:rsidRPr="00DB6C66">
        <w:rPr>
          <w:rStyle w:val="ONUMEChar"/>
          <w:lang w:val="fr-FR"/>
        </w:rPr>
        <w:t>total</w:t>
      </w:r>
      <w:r w:rsidR="00E01D11" w:rsidRPr="00DB6C66">
        <w:rPr>
          <w:rStyle w:val="ONUMEChar"/>
          <w:lang w:val="fr-FR"/>
        </w:rPr>
        <w:t xml:space="preserve"> du VPI</w:t>
      </w:r>
      <w:r w:rsidRPr="00DB6C66">
        <w:rPr>
          <w:rStyle w:val="ONUMEChar"/>
          <w:lang w:val="fr-FR"/>
        </w:rPr>
        <w:t xml:space="preserve"> en tant qu</w:t>
      </w:r>
      <w:r w:rsidR="00280EEC">
        <w:rPr>
          <w:rStyle w:val="ONUMEChar"/>
          <w:lang w:val="fr-FR"/>
        </w:rPr>
        <w:t>’</w:t>
      </w:r>
      <w:r w:rsidRPr="00DB6C66">
        <w:rPr>
          <w:rStyle w:val="ONUMEChar"/>
          <w:lang w:val="fr-FR"/>
        </w:rPr>
        <w:t>administration chargée de la recherche internationale et de l</w:t>
      </w:r>
      <w:r w:rsidR="00280EEC">
        <w:rPr>
          <w:rStyle w:val="ONUMEChar"/>
          <w:lang w:val="fr-FR"/>
        </w:rPr>
        <w:t>’</w:t>
      </w:r>
      <w:r w:rsidRPr="00DB6C66">
        <w:rPr>
          <w:rStyle w:val="ONUMEChar"/>
          <w:lang w:val="fr-FR"/>
        </w:rPr>
        <w:t xml:space="preserve">examen préliminaire international sera </w:t>
      </w:r>
      <w:r w:rsidR="00F74DF1" w:rsidRPr="00DB6C66">
        <w:rPr>
          <w:rStyle w:val="ONUMEChar"/>
          <w:lang w:val="fr-FR"/>
        </w:rPr>
        <w:t xml:space="preserve">composé </w:t>
      </w:r>
      <w:r w:rsidRPr="00DB6C66">
        <w:rPr>
          <w:rStyle w:val="ONUMEChar"/>
          <w:lang w:val="fr-FR"/>
        </w:rPr>
        <w:t>de</w:t>
      </w:r>
      <w:r w:rsidR="00324956" w:rsidRPr="00DB6C66">
        <w:rPr>
          <w:rStyle w:val="ONUMEChar"/>
          <w:lang w:val="fr-FR"/>
        </w:rPr>
        <w:t>s</w:t>
      </w:r>
      <w:r w:rsidRPr="00DB6C66">
        <w:rPr>
          <w:rStyle w:val="ONUMEChar"/>
          <w:lang w:val="fr-FR"/>
        </w:rPr>
        <w:t xml:space="preserve"> demandes</w:t>
      </w:r>
      <w:r w:rsidR="00324956" w:rsidRPr="00DB6C66">
        <w:rPr>
          <w:rStyle w:val="ONUMEChar"/>
          <w:lang w:val="fr-FR"/>
        </w:rPr>
        <w:t xml:space="preserve"> établies</w:t>
      </w:r>
      <w:r w:rsidRPr="00DB6C66">
        <w:rPr>
          <w:rStyle w:val="ONUMEChar"/>
          <w:lang w:val="fr-FR"/>
        </w:rPr>
        <w:t xml:space="preserve"> selon</w:t>
      </w:r>
      <w:r w:rsidR="00E01D11" w:rsidRPr="00DB6C66">
        <w:rPr>
          <w:rStyle w:val="ONUMEChar"/>
          <w:lang w:val="fr-FR"/>
        </w:rPr>
        <w:t xml:space="preserve"> le PCT</w:t>
      </w:r>
      <w:r w:rsidRPr="00DB6C66">
        <w:rPr>
          <w:rStyle w:val="ONUMEChar"/>
          <w:lang w:val="fr-FR"/>
        </w:rPr>
        <w:t xml:space="preserve"> </w:t>
      </w:r>
      <w:r w:rsidR="00324956" w:rsidRPr="00DB6C66">
        <w:rPr>
          <w:rStyle w:val="ONUMEChar"/>
          <w:lang w:val="fr-FR"/>
        </w:rPr>
        <w:t xml:space="preserve">en provenance </w:t>
      </w:r>
      <w:r w:rsidRPr="00DB6C66">
        <w:rPr>
          <w:rStyle w:val="ONUMEChar"/>
          <w:lang w:val="fr-FR"/>
        </w:rPr>
        <w:t>d</w:t>
      </w:r>
      <w:r w:rsidR="00280EEC">
        <w:rPr>
          <w:rStyle w:val="ONUMEChar"/>
          <w:lang w:val="fr-FR"/>
        </w:rPr>
        <w:t>’</w:t>
      </w:r>
      <w:r w:rsidRPr="00DB6C66">
        <w:rPr>
          <w:rStyle w:val="ONUMEChar"/>
          <w:lang w:val="fr-FR"/>
        </w:rPr>
        <w:t>Europe centrale</w:t>
      </w:r>
      <w:r w:rsidR="00F74DF1" w:rsidRPr="00DB6C66">
        <w:rPr>
          <w:rStyle w:val="ONUMEChar"/>
          <w:lang w:val="fr-FR"/>
        </w:rPr>
        <w:t xml:space="preserve"> (</w:t>
      </w:r>
      <w:r w:rsidR="009F151D" w:rsidRPr="00DB6C66">
        <w:rPr>
          <w:rStyle w:val="ONUMEChar"/>
          <w:lang w:val="fr-FR"/>
        </w:rPr>
        <w:t xml:space="preserve">Hongrie, </w:t>
      </w:r>
      <w:r w:rsidR="00F74DF1" w:rsidRPr="00DB6C66">
        <w:rPr>
          <w:rStyle w:val="ONUMEChar"/>
          <w:lang w:val="fr-FR"/>
        </w:rPr>
        <w:t>Pologne,</w:t>
      </w:r>
      <w:r w:rsidR="009F151D" w:rsidRPr="00DB6C66">
        <w:rPr>
          <w:rStyle w:val="ONUMEChar"/>
          <w:lang w:val="fr-FR"/>
        </w:rPr>
        <w:t xml:space="preserve"> S</w:t>
      </w:r>
      <w:r w:rsidR="00F74DF1" w:rsidRPr="00DB6C66">
        <w:rPr>
          <w:rStyle w:val="ONUMEChar"/>
          <w:lang w:val="fr-FR"/>
        </w:rPr>
        <w:t>lovaqu</w:t>
      </w:r>
      <w:r w:rsidR="00062F76" w:rsidRPr="00DB6C66">
        <w:rPr>
          <w:rStyle w:val="ONUMEChar"/>
          <w:lang w:val="fr-FR"/>
        </w:rPr>
        <w:t>i</w:t>
      </w:r>
      <w:r w:rsidR="00324956" w:rsidRPr="00DB6C66">
        <w:rPr>
          <w:rStyle w:val="ONUMEChar"/>
          <w:lang w:val="fr-FR"/>
        </w:rPr>
        <w:t xml:space="preserve">e, République tchèque </w:t>
      </w:r>
      <w:r w:rsidR="00F74DF1" w:rsidRPr="00DB6C66">
        <w:rPr>
          <w:rStyle w:val="ONUMEChar"/>
          <w:lang w:val="fr-FR"/>
        </w:rPr>
        <w:t>et, sous réserve de leurs décisions respectives, Croatie, Lituanie, Roumanie, Serbie, Slovénie).</w:t>
      </w:r>
    </w:p>
    <w:p w:rsidR="00280EEC" w:rsidRPr="00B739EC" w:rsidRDefault="00E84955" w:rsidP="006D3583">
      <w:pPr>
        <w:pStyle w:val="ONUMFS"/>
        <w:rPr>
          <w:lang w:val="fr-FR"/>
        </w:rPr>
      </w:pPr>
      <w:r w:rsidRPr="00B739EC">
        <w:rPr>
          <w:lang w:val="fr-FR"/>
        </w:rPr>
        <w:lastRenderedPageBreak/>
        <w:t>Le conseil d</w:t>
      </w:r>
      <w:r w:rsidR="00280EEC" w:rsidRPr="00B739EC">
        <w:rPr>
          <w:lang w:val="fr-FR"/>
        </w:rPr>
        <w:t>’</w:t>
      </w:r>
      <w:r w:rsidRPr="00B739EC">
        <w:rPr>
          <w:lang w:val="fr-FR"/>
        </w:rPr>
        <w:t xml:space="preserve">administration du VPI établira les critères de répartition des tâches entre les différents offices nationaux participants.  </w:t>
      </w:r>
      <w:r w:rsidR="006F05E0" w:rsidRPr="00B739EC">
        <w:rPr>
          <w:lang w:val="fr-FR"/>
        </w:rPr>
        <w:t>Les parties sont convenues que</w:t>
      </w:r>
      <w:r w:rsidR="009F11CC" w:rsidRPr="00B739EC">
        <w:rPr>
          <w:lang w:val="fr-FR"/>
        </w:rPr>
        <w:t xml:space="preserve"> les critères devaient être justes, équitables et pertinents et garantir une répartition équilibrée.  Les critères essentiels suivants seront appliqués pour répartir entre les offices les demandes de recherche et d</w:t>
      </w:r>
      <w:r w:rsidR="00280EEC" w:rsidRPr="00B739EC">
        <w:rPr>
          <w:lang w:val="fr-FR"/>
        </w:rPr>
        <w:t>’</w:t>
      </w:r>
      <w:r w:rsidR="009F11CC" w:rsidRPr="00B739EC">
        <w:rPr>
          <w:lang w:val="fr-FR"/>
        </w:rPr>
        <w:t>examen adressées à l</w:t>
      </w:r>
      <w:r w:rsidR="00280EEC" w:rsidRPr="00B739EC">
        <w:rPr>
          <w:lang w:val="fr-FR"/>
        </w:rPr>
        <w:t>’</w:t>
      </w:r>
      <w:r w:rsidR="0095528C" w:rsidRPr="00B739EC">
        <w:rPr>
          <w:lang w:val="fr-FR"/>
        </w:rPr>
        <w:t>i</w:t>
      </w:r>
      <w:r w:rsidR="009F11CC" w:rsidRPr="00B739EC">
        <w:rPr>
          <w:lang w:val="fr-FR"/>
        </w:rPr>
        <w:t>nstitut, qu</w:t>
      </w:r>
      <w:r w:rsidR="00280EEC" w:rsidRPr="00B739EC">
        <w:rPr>
          <w:lang w:val="fr-FR"/>
        </w:rPr>
        <w:t>’</w:t>
      </w:r>
      <w:r w:rsidR="009F11CC" w:rsidRPr="00B739EC">
        <w:rPr>
          <w:lang w:val="fr-FR"/>
        </w:rPr>
        <w:t>il s</w:t>
      </w:r>
      <w:r w:rsidR="00280EEC" w:rsidRPr="00B739EC">
        <w:rPr>
          <w:lang w:val="fr-FR"/>
        </w:rPr>
        <w:t>’</w:t>
      </w:r>
      <w:r w:rsidR="009F11CC" w:rsidRPr="00B739EC">
        <w:rPr>
          <w:lang w:val="fr-FR"/>
        </w:rPr>
        <w:t>agisse de demandes commerciales ou émanant du PCT : la compétence technique, la langue du document soumis et la disponibilité des examinateurs dans chacun des domaines techniques considérés.  L</w:t>
      </w:r>
      <w:r w:rsidR="00280EEC" w:rsidRPr="00B739EC">
        <w:rPr>
          <w:lang w:val="fr-FR"/>
        </w:rPr>
        <w:t>’</w:t>
      </w:r>
      <w:r w:rsidR="009F11CC" w:rsidRPr="00B739EC">
        <w:rPr>
          <w:lang w:val="fr-FR"/>
        </w:rPr>
        <w:t>attribution de l</w:t>
      </w:r>
      <w:r w:rsidR="00280EEC" w:rsidRPr="00B739EC">
        <w:rPr>
          <w:lang w:val="fr-FR"/>
        </w:rPr>
        <w:t>’</w:t>
      </w:r>
      <w:r w:rsidR="009F11CC" w:rsidRPr="00B739EC">
        <w:rPr>
          <w:lang w:val="fr-FR"/>
        </w:rPr>
        <w:t>examen d</w:t>
      </w:r>
      <w:r w:rsidR="00280EEC" w:rsidRPr="00B739EC">
        <w:rPr>
          <w:lang w:val="fr-FR"/>
        </w:rPr>
        <w:t>’</w:t>
      </w:r>
      <w:r w:rsidR="009F11CC" w:rsidRPr="00B739EC">
        <w:rPr>
          <w:lang w:val="fr-FR"/>
        </w:rPr>
        <w:t>une demande et des documents connexes sera effectuée compte tenu des critères susmentionnés.  À cette fin, le VPI fera une évaluation des domaines techniques pris en charge par les examinateurs des offices participants (chaque office devra donc établir une “cartographie des compétences” de ses examinateurs).  Les compétences de chaque examinateur seront indiquées par les symboles de la CIB correspondant aux domaines techniques se rapportant à leurs connaissances techniques.  Le VPI disposera de compétences interchangeables dans la plupart des domaines techniques, en raison du nombre d</w:t>
      </w:r>
      <w:r w:rsidR="00280EEC" w:rsidRPr="00B739EC">
        <w:rPr>
          <w:lang w:val="fr-FR"/>
        </w:rPr>
        <w:t>’</w:t>
      </w:r>
      <w:r w:rsidR="009F11CC" w:rsidRPr="00B739EC">
        <w:rPr>
          <w:lang w:val="fr-FR"/>
        </w:rPr>
        <w:t>examinateurs disponibles et du fait que certains examinateurs disposent de qualifications officielles dans plusieurs domaines techniques.  Il en va de même pour les compétences linguistiques des examinateurs, qui seront aussi interchangeables pour le VPI (ainsi, l</w:t>
      </w:r>
      <w:r w:rsidR="00280EEC" w:rsidRPr="00B739EC">
        <w:rPr>
          <w:lang w:val="fr-FR"/>
        </w:rPr>
        <w:t>’</w:t>
      </w:r>
      <w:r w:rsidR="009F11CC" w:rsidRPr="00B739EC">
        <w:rPr>
          <w:lang w:val="fr-FR"/>
        </w:rPr>
        <w:t>Office de la propriété industrielle de la Slovaquie pourra examiner des documents en hongrois, tandis que l</w:t>
      </w:r>
      <w:r w:rsidR="00280EEC" w:rsidRPr="00B739EC">
        <w:rPr>
          <w:lang w:val="fr-FR"/>
        </w:rPr>
        <w:t>’</w:t>
      </w:r>
      <w:r w:rsidR="009F11CC" w:rsidRPr="00B739EC">
        <w:rPr>
          <w:lang w:val="fr-FR"/>
        </w:rPr>
        <w:t>Office de la propriété intellectuelle hongrois et l</w:t>
      </w:r>
      <w:r w:rsidR="00280EEC" w:rsidRPr="00B739EC">
        <w:rPr>
          <w:lang w:val="fr-FR"/>
        </w:rPr>
        <w:t>’</w:t>
      </w:r>
      <w:r w:rsidR="009F11CC" w:rsidRPr="00B739EC">
        <w:rPr>
          <w:lang w:val="fr-FR"/>
        </w:rPr>
        <w:t>Office des brevets polonais pourront travailler en slovaque).  Ces éléments de flexibilité inhérents au VPI devraient considérablement favoriser une répartition optimale de sa charge de travail, répartition dont le directeur et le secrétariat seront responsables.</w:t>
      </w:r>
    </w:p>
    <w:p w:rsidR="00E01D11" w:rsidRPr="00DB6C66" w:rsidRDefault="0075654E" w:rsidP="006D3583">
      <w:pPr>
        <w:pStyle w:val="Heading1"/>
        <w:rPr>
          <w:lang w:val="fr-FR"/>
        </w:rPr>
      </w:pPr>
      <w:r w:rsidRPr="00DB6C66">
        <w:rPr>
          <w:lang w:val="fr-FR"/>
        </w:rPr>
        <w:t>II.</w:t>
      </w:r>
      <w:r w:rsidR="00577494" w:rsidRPr="00DB6C66">
        <w:rPr>
          <w:lang w:val="fr-FR"/>
        </w:rPr>
        <w:tab/>
      </w:r>
      <w:r w:rsidR="006D3583" w:rsidRPr="00DB6C66">
        <w:rPr>
          <w:lang w:val="fr-FR"/>
        </w:rPr>
        <w:t xml:space="preserve">Exigences </w:t>
      </w:r>
      <w:r w:rsidR="00577421" w:rsidRPr="00DB6C66">
        <w:rPr>
          <w:lang w:val="fr-FR"/>
        </w:rPr>
        <w:t xml:space="preserve">relatives à la nomination </w:t>
      </w:r>
      <w:r w:rsidR="002F2AAB" w:rsidRPr="00DB6C66">
        <w:rPr>
          <w:lang w:val="fr-FR"/>
        </w:rPr>
        <w:t xml:space="preserve">des </w:t>
      </w:r>
      <w:r w:rsidR="00577421" w:rsidRPr="00DB6C66">
        <w:rPr>
          <w:lang w:val="fr-FR"/>
        </w:rPr>
        <w:t>administration</w:t>
      </w:r>
      <w:r w:rsidR="002F2AAB" w:rsidRPr="00DB6C66">
        <w:rPr>
          <w:lang w:val="fr-FR"/>
        </w:rPr>
        <w:t>s</w:t>
      </w:r>
      <w:r w:rsidR="00577421" w:rsidRPr="00DB6C66">
        <w:rPr>
          <w:lang w:val="fr-FR"/>
        </w:rPr>
        <w:t xml:space="preserve"> chargée</w:t>
      </w:r>
      <w:r w:rsidR="002F2AAB" w:rsidRPr="00DB6C66">
        <w:rPr>
          <w:lang w:val="fr-FR"/>
        </w:rPr>
        <w:t>s</w:t>
      </w:r>
      <w:r w:rsidR="00577421" w:rsidRPr="00DB6C66">
        <w:rPr>
          <w:lang w:val="fr-FR"/>
        </w:rPr>
        <w:t xml:space="preserve"> de la recherche internationale et de l</w:t>
      </w:r>
      <w:r w:rsidR="00280EEC">
        <w:rPr>
          <w:lang w:val="fr-FR"/>
        </w:rPr>
        <w:t>’</w:t>
      </w:r>
      <w:r w:rsidR="00577421" w:rsidRPr="00DB6C66">
        <w:rPr>
          <w:lang w:val="fr-FR"/>
        </w:rPr>
        <w:t>examen préliminaire international</w:t>
      </w:r>
    </w:p>
    <w:p w:rsidR="006D3583" w:rsidRPr="00DB6C66" w:rsidRDefault="0075654E" w:rsidP="00620A17">
      <w:pPr>
        <w:pStyle w:val="Heading2"/>
        <w:rPr>
          <w:lang w:val="fr-FR"/>
        </w:rPr>
      </w:pPr>
      <w:r w:rsidRPr="00DB6C66">
        <w:rPr>
          <w:lang w:val="fr-FR"/>
        </w:rPr>
        <w:t>2.1.</w:t>
      </w:r>
      <w:r w:rsidR="00577494" w:rsidRPr="00DB6C66">
        <w:rPr>
          <w:lang w:val="fr-FR"/>
        </w:rPr>
        <w:tab/>
      </w:r>
      <w:r w:rsidR="002F2AAB" w:rsidRPr="00DB6C66">
        <w:rPr>
          <w:lang w:val="fr-FR"/>
        </w:rPr>
        <w:t>Conformité avec les exigences relatives à la nomination des administrations chargées de la recherche internationale et de l</w:t>
      </w:r>
      <w:r w:rsidR="00280EEC">
        <w:rPr>
          <w:lang w:val="fr-FR"/>
        </w:rPr>
        <w:t>’</w:t>
      </w:r>
      <w:r w:rsidR="002F2AAB" w:rsidRPr="00DB6C66">
        <w:rPr>
          <w:lang w:val="fr-FR"/>
        </w:rPr>
        <w:t>examen préliminaire international</w:t>
      </w:r>
    </w:p>
    <w:p w:rsidR="00E01D11" w:rsidRPr="00DB6C66" w:rsidRDefault="00191B69" w:rsidP="006D3583">
      <w:pPr>
        <w:pStyle w:val="ONUMFS"/>
        <w:rPr>
          <w:lang w:val="fr-FR"/>
        </w:rPr>
      </w:pPr>
      <w:r w:rsidRPr="00DB6C66">
        <w:rPr>
          <w:lang w:val="fr-FR"/>
        </w:rPr>
        <w:t>En application de l</w:t>
      </w:r>
      <w:r w:rsidR="00280EEC">
        <w:rPr>
          <w:lang w:val="fr-FR"/>
        </w:rPr>
        <w:t>’</w:t>
      </w:r>
      <w:r w:rsidRPr="00DB6C66">
        <w:rPr>
          <w:lang w:val="fr-FR"/>
        </w:rPr>
        <w:t>article </w:t>
      </w:r>
      <w:r w:rsidR="002F2AAB" w:rsidRPr="00DB6C66">
        <w:rPr>
          <w:lang w:val="fr-FR"/>
        </w:rPr>
        <w:t>1</w:t>
      </w:r>
      <w:r w:rsidR="00CA2C8B" w:rsidRPr="00DB6C66">
        <w:rPr>
          <w:lang w:val="fr-FR"/>
        </w:rPr>
        <w:t>6.3)</w:t>
      </w:r>
      <w:r w:rsidR="002F2AAB" w:rsidRPr="00DB6C66">
        <w:rPr>
          <w:lang w:val="fr-FR"/>
        </w:rPr>
        <w:t>c)</w:t>
      </w:r>
      <w:r w:rsidR="00E01D11" w:rsidRPr="00DB6C66">
        <w:rPr>
          <w:lang w:val="fr-FR"/>
        </w:rPr>
        <w:t xml:space="preserve"> du PCT</w:t>
      </w:r>
      <w:r w:rsidR="002F2AAB" w:rsidRPr="00DB6C66">
        <w:rPr>
          <w:lang w:val="fr-FR"/>
        </w:rPr>
        <w:t>, s</w:t>
      </w:r>
      <w:r w:rsidR="00280EEC">
        <w:rPr>
          <w:lang w:val="fr-FR"/>
        </w:rPr>
        <w:t>’</w:t>
      </w:r>
      <w:r w:rsidR="002F2AAB" w:rsidRPr="00DB6C66">
        <w:rPr>
          <w:lang w:val="fr-FR"/>
        </w:rPr>
        <w:t>agissant des administrations chargées de la recherche internationale et de l</w:t>
      </w:r>
      <w:r w:rsidR="00280EEC">
        <w:rPr>
          <w:lang w:val="fr-FR"/>
        </w:rPr>
        <w:t>’</w:t>
      </w:r>
      <w:r w:rsidR="002F2AAB" w:rsidRPr="00DB6C66">
        <w:rPr>
          <w:lang w:val="fr-FR"/>
        </w:rPr>
        <w:t xml:space="preserve">examen préliminaire international, </w:t>
      </w:r>
      <w:r w:rsidR="004E047D" w:rsidRPr="00DB6C66">
        <w:rPr>
          <w:lang w:val="fr-FR"/>
        </w:rPr>
        <w:t>“</w:t>
      </w:r>
      <w:r w:rsidR="002F2AAB" w:rsidRPr="00DB6C66">
        <w:rPr>
          <w:rFonts w:ascii="Georgia" w:hAnsi="Georgia"/>
          <w:lang w:val="fr-FR"/>
        </w:rPr>
        <w:t>[l]</w:t>
      </w:r>
      <w:r w:rsidR="002F2AAB" w:rsidRPr="00DB6C66">
        <w:rPr>
          <w:lang w:val="fr-FR"/>
        </w:rPr>
        <w:t>e règlement d</w:t>
      </w:r>
      <w:r w:rsidR="00280EEC">
        <w:rPr>
          <w:lang w:val="fr-FR"/>
        </w:rPr>
        <w:t>’</w:t>
      </w:r>
      <w:r w:rsidR="002F2AAB" w:rsidRPr="00DB6C66">
        <w:rPr>
          <w:lang w:val="fr-FR"/>
        </w:rPr>
        <w:t>exécution prescrit les exigences minimales, particulièrement en ce qui concerne le personnel et la documentation, auxquelles chaque office ou organisation doit satisfaire avant qu</w:t>
      </w:r>
      <w:r w:rsidR="00280EEC">
        <w:rPr>
          <w:lang w:val="fr-FR"/>
        </w:rPr>
        <w:t>’</w:t>
      </w:r>
      <w:r w:rsidR="002F2AAB" w:rsidRPr="00DB6C66">
        <w:rPr>
          <w:lang w:val="fr-FR"/>
        </w:rPr>
        <w:t>il puisse être nommé et auxquelles il doit continuer de satisfaire tant qu</w:t>
      </w:r>
      <w:r w:rsidR="00280EEC">
        <w:rPr>
          <w:lang w:val="fr-FR"/>
        </w:rPr>
        <w:t>’</w:t>
      </w:r>
      <w:r w:rsidR="002F2AAB" w:rsidRPr="00DB6C66">
        <w:rPr>
          <w:lang w:val="fr-FR"/>
        </w:rPr>
        <w:t>il demeure nommé</w:t>
      </w:r>
      <w:r w:rsidR="004E047D" w:rsidRPr="00DB6C66">
        <w:rPr>
          <w:lang w:val="fr-FR"/>
        </w:rPr>
        <w:t>”.</w:t>
      </w:r>
      <w:r w:rsidR="00963E3A" w:rsidRPr="00DB6C66">
        <w:rPr>
          <w:lang w:val="fr-FR"/>
        </w:rPr>
        <w:t xml:space="preserve">  Ces exigences minima</w:t>
      </w:r>
      <w:r w:rsidRPr="00DB6C66">
        <w:rPr>
          <w:lang w:val="fr-FR"/>
        </w:rPr>
        <w:t>les sont énoncées dans la règle </w:t>
      </w:r>
      <w:r w:rsidR="00963E3A" w:rsidRPr="00DB6C66">
        <w:rPr>
          <w:lang w:val="fr-FR"/>
        </w:rPr>
        <w:t>36.1 du règlement d</w:t>
      </w:r>
      <w:r w:rsidR="00280EEC">
        <w:rPr>
          <w:lang w:val="fr-FR"/>
        </w:rPr>
        <w:t>’</w:t>
      </w:r>
      <w:r w:rsidR="00963E3A" w:rsidRPr="00DB6C66">
        <w:rPr>
          <w:lang w:val="fr-FR"/>
        </w:rPr>
        <w:t>exécution</w:t>
      </w:r>
      <w:r w:rsidR="00E01D11" w:rsidRPr="00DB6C66">
        <w:rPr>
          <w:lang w:val="fr-FR"/>
        </w:rPr>
        <w:t xml:space="preserve"> du PCT</w:t>
      </w:r>
      <w:r w:rsidR="004E047D" w:rsidRPr="00DB6C66">
        <w:rPr>
          <w:lang w:val="fr-FR"/>
        </w:rPr>
        <w:t> </w:t>
      </w:r>
      <w:r w:rsidR="00963E3A" w:rsidRPr="00DB6C66">
        <w:rPr>
          <w:lang w:val="fr-FR"/>
        </w:rPr>
        <w:t>:</w:t>
      </w:r>
    </w:p>
    <w:p w:rsidR="00DB3999" w:rsidRPr="00DB6C66" w:rsidRDefault="00577494" w:rsidP="009C72E7">
      <w:pPr>
        <w:pStyle w:val="ONUMFS"/>
        <w:numPr>
          <w:ilvl w:val="0"/>
          <w:numId w:val="35"/>
        </w:numPr>
        <w:ind w:left="567"/>
        <w:rPr>
          <w:lang w:val="fr-FR"/>
        </w:rPr>
      </w:pPr>
      <w:r w:rsidRPr="00DB6C66">
        <w:rPr>
          <w:lang w:val="fr-FR"/>
        </w:rPr>
        <w:t>u</w:t>
      </w:r>
      <w:r w:rsidR="00081023" w:rsidRPr="00DB6C66">
        <w:rPr>
          <w:lang w:val="fr-FR"/>
        </w:rPr>
        <w:t>ne administration chargée de la recherche internationale doit avoir au moins cent employés à plein temps possédant des qualifications techniques suffisantes pour procéder aux recherches</w:t>
      </w:r>
      <w:r w:rsidR="00F2188C" w:rsidRPr="00DB6C66">
        <w:rPr>
          <w:lang w:val="fr-FR"/>
        </w:rPr>
        <w:t>;</w:t>
      </w:r>
    </w:p>
    <w:p w:rsidR="00F2188C" w:rsidRPr="00DB6C66" w:rsidRDefault="00577494" w:rsidP="009C72E7">
      <w:pPr>
        <w:pStyle w:val="ONUMFS"/>
        <w:numPr>
          <w:ilvl w:val="0"/>
          <w:numId w:val="35"/>
        </w:numPr>
        <w:ind w:left="567"/>
        <w:rPr>
          <w:lang w:val="fr-FR"/>
        </w:rPr>
      </w:pPr>
      <w:r w:rsidRPr="00DB6C66">
        <w:rPr>
          <w:lang w:val="fr-FR"/>
        </w:rPr>
        <w:t>u</w:t>
      </w:r>
      <w:r w:rsidR="00F2188C" w:rsidRPr="00DB6C66">
        <w:rPr>
          <w:lang w:val="fr-FR"/>
        </w:rPr>
        <w:t>ne administration chargée de la recherche internationale</w:t>
      </w:r>
      <w:r w:rsidR="009438B3" w:rsidRPr="00DB6C66">
        <w:rPr>
          <w:lang w:val="fr-FR"/>
        </w:rPr>
        <w:t xml:space="preserve"> doit avoir en sa possession au moins la doc</w:t>
      </w:r>
      <w:r w:rsidR="00191B69" w:rsidRPr="00DB6C66">
        <w:rPr>
          <w:lang w:val="fr-FR"/>
        </w:rPr>
        <w:t>umentation minimale de la règle </w:t>
      </w:r>
      <w:r w:rsidR="009438B3" w:rsidRPr="00DB6C66">
        <w:rPr>
          <w:lang w:val="fr-FR"/>
        </w:rPr>
        <w:t>34 du règlement d</w:t>
      </w:r>
      <w:r w:rsidR="00280EEC">
        <w:rPr>
          <w:lang w:val="fr-FR"/>
        </w:rPr>
        <w:t>’</w:t>
      </w:r>
      <w:r w:rsidR="009438B3" w:rsidRPr="00DB6C66">
        <w:rPr>
          <w:lang w:val="fr-FR"/>
        </w:rPr>
        <w:t>exécution</w:t>
      </w:r>
      <w:r w:rsidR="00E01D11" w:rsidRPr="00DB6C66">
        <w:rPr>
          <w:lang w:val="fr-FR"/>
        </w:rPr>
        <w:t xml:space="preserve"> du PCT</w:t>
      </w:r>
      <w:r w:rsidR="009438B3" w:rsidRPr="00DB6C66">
        <w:rPr>
          <w:lang w:val="fr-FR"/>
        </w:rPr>
        <w:t>, ou avoir accès à cette documentation minimale, laquelle doit être disposée d</w:t>
      </w:r>
      <w:r w:rsidR="00280EEC">
        <w:rPr>
          <w:lang w:val="fr-FR"/>
        </w:rPr>
        <w:t>’</w:t>
      </w:r>
      <w:r w:rsidR="009438B3" w:rsidRPr="00DB6C66">
        <w:rPr>
          <w:lang w:val="fr-FR"/>
        </w:rPr>
        <w:t>une manière adéquate aux fins de la recherche et se présenter sur papier, sur microforme ou sur un support électronique;</w:t>
      </w:r>
    </w:p>
    <w:p w:rsidR="00F2188C" w:rsidRPr="00DB6C66" w:rsidRDefault="00577494" w:rsidP="009C72E7">
      <w:pPr>
        <w:pStyle w:val="ONUMFS"/>
        <w:numPr>
          <w:ilvl w:val="0"/>
          <w:numId w:val="35"/>
        </w:numPr>
        <w:ind w:left="567"/>
        <w:rPr>
          <w:lang w:val="fr-FR"/>
        </w:rPr>
      </w:pPr>
      <w:r w:rsidRPr="00DB6C66">
        <w:rPr>
          <w:lang w:val="fr-FR"/>
        </w:rPr>
        <w:t>u</w:t>
      </w:r>
      <w:r w:rsidR="00F2188C" w:rsidRPr="00DB6C66">
        <w:rPr>
          <w:lang w:val="fr-FR"/>
        </w:rPr>
        <w:t>ne administration chargée de la recherche internationale</w:t>
      </w:r>
      <w:r w:rsidR="009438B3" w:rsidRPr="00DB6C66">
        <w:rPr>
          <w:lang w:val="fr-FR"/>
        </w:rPr>
        <w:t xml:space="preserve"> doit disposer d</w:t>
      </w:r>
      <w:r w:rsidR="00280EEC">
        <w:rPr>
          <w:lang w:val="fr-FR"/>
        </w:rPr>
        <w:t>’</w:t>
      </w:r>
      <w:r w:rsidR="009438B3" w:rsidRPr="00DB6C66">
        <w:rPr>
          <w:lang w:val="fr-FR"/>
        </w:rPr>
        <w:t>un personnel capable de procéder à la recherche dans les domaines techniques sur lesquels la recherche doit porter et possédant les connaissances linguistiques nécessaires à la compréhension au moins des langues dans lesquelles la documentation minimale est rédigée ou traduite;</w:t>
      </w:r>
    </w:p>
    <w:p w:rsidR="00F2188C" w:rsidRPr="00DB6C66" w:rsidRDefault="00577494" w:rsidP="009C72E7">
      <w:pPr>
        <w:pStyle w:val="ONUMFS"/>
        <w:numPr>
          <w:ilvl w:val="0"/>
          <w:numId w:val="35"/>
        </w:numPr>
        <w:ind w:left="567"/>
        <w:rPr>
          <w:lang w:val="fr-FR"/>
        </w:rPr>
      </w:pPr>
      <w:r w:rsidRPr="00DB6C66">
        <w:rPr>
          <w:lang w:val="fr-FR"/>
        </w:rPr>
        <w:lastRenderedPageBreak/>
        <w:t>u</w:t>
      </w:r>
      <w:r w:rsidR="00F2188C" w:rsidRPr="00DB6C66">
        <w:rPr>
          <w:lang w:val="fr-FR"/>
        </w:rPr>
        <w:t>ne administration chargée de la recherche internationale</w:t>
      </w:r>
      <w:r w:rsidR="009438B3" w:rsidRPr="00DB6C66">
        <w:rPr>
          <w:lang w:val="fr-FR"/>
        </w:rPr>
        <w:t xml:space="preserve"> doit disposer d</w:t>
      </w:r>
      <w:r w:rsidR="00280EEC">
        <w:rPr>
          <w:lang w:val="fr-FR"/>
        </w:rPr>
        <w:t>’</w:t>
      </w:r>
      <w:r w:rsidR="009438B3" w:rsidRPr="00DB6C66">
        <w:rPr>
          <w:lang w:val="fr-FR"/>
        </w:rPr>
        <w:t>un système de gestion de la qualité et de dispositions internes en matière d</w:t>
      </w:r>
      <w:r w:rsidR="00280EEC">
        <w:rPr>
          <w:lang w:val="fr-FR"/>
        </w:rPr>
        <w:t>’</w:t>
      </w:r>
      <w:r w:rsidR="009438B3" w:rsidRPr="00DB6C66">
        <w:rPr>
          <w:lang w:val="fr-FR"/>
        </w:rPr>
        <w:t>évaluation conformément aux règles communes de la recherche internationale;</w:t>
      </w:r>
    </w:p>
    <w:p w:rsidR="009438B3" w:rsidRPr="00DB6C66" w:rsidRDefault="00577494" w:rsidP="009C72E7">
      <w:pPr>
        <w:pStyle w:val="ONUMFS"/>
        <w:numPr>
          <w:ilvl w:val="0"/>
          <w:numId w:val="35"/>
        </w:numPr>
        <w:ind w:left="567"/>
        <w:rPr>
          <w:lang w:val="fr-FR"/>
        </w:rPr>
      </w:pPr>
      <w:r w:rsidRPr="00DB6C66">
        <w:rPr>
          <w:lang w:val="fr-FR"/>
        </w:rPr>
        <w:t>u</w:t>
      </w:r>
      <w:r w:rsidR="00F2188C" w:rsidRPr="00DB6C66">
        <w:rPr>
          <w:lang w:val="fr-FR"/>
        </w:rPr>
        <w:t>ne administration chargée de la recherche internationale</w:t>
      </w:r>
      <w:r w:rsidR="009438B3" w:rsidRPr="00DB6C66">
        <w:rPr>
          <w:lang w:val="fr-FR"/>
        </w:rPr>
        <w:t xml:space="preserve"> doit être </w:t>
      </w:r>
      <w:r w:rsidR="00707BF1" w:rsidRPr="00DB6C66">
        <w:rPr>
          <w:lang w:val="fr-FR"/>
        </w:rPr>
        <w:t>nommée</w:t>
      </w:r>
      <w:r w:rsidR="009438B3" w:rsidRPr="00DB6C66">
        <w:rPr>
          <w:lang w:val="fr-FR"/>
        </w:rPr>
        <w:t xml:space="preserve"> en qualité d</w:t>
      </w:r>
      <w:r w:rsidR="00280EEC">
        <w:rPr>
          <w:lang w:val="fr-FR"/>
        </w:rPr>
        <w:t>’</w:t>
      </w:r>
      <w:r w:rsidR="009438B3" w:rsidRPr="00DB6C66">
        <w:rPr>
          <w:lang w:val="fr-FR"/>
        </w:rPr>
        <w:t>administration chargée de l</w:t>
      </w:r>
      <w:r w:rsidR="00280EEC">
        <w:rPr>
          <w:lang w:val="fr-FR"/>
        </w:rPr>
        <w:t>’</w:t>
      </w:r>
      <w:r w:rsidR="009438B3" w:rsidRPr="00DB6C66">
        <w:rPr>
          <w:lang w:val="fr-FR"/>
        </w:rPr>
        <w:t>examen préliminaire international.</w:t>
      </w:r>
    </w:p>
    <w:p w:rsidR="00C7740E" w:rsidRPr="00DB6C66" w:rsidRDefault="00C7740E" w:rsidP="006D3583">
      <w:pPr>
        <w:pStyle w:val="ONUMFS"/>
        <w:rPr>
          <w:lang w:val="fr-FR"/>
        </w:rPr>
      </w:pPr>
      <w:r w:rsidRPr="00DB6C66">
        <w:rPr>
          <w:lang w:val="fr-FR"/>
        </w:rPr>
        <w:t>Les exigences minimales applicables à une administration chargée de l</w:t>
      </w:r>
      <w:r w:rsidR="00280EEC">
        <w:rPr>
          <w:lang w:val="fr-FR"/>
        </w:rPr>
        <w:t>’</w:t>
      </w:r>
      <w:r w:rsidRPr="00DB6C66">
        <w:rPr>
          <w:lang w:val="fr-FR"/>
        </w:rPr>
        <w:t>examen préliminaire international</w:t>
      </w:r>
      <w:r w:rsidR="00191B69" w:rsidRPr="00DB6C66">
        <w:rPr>
          <w:lang w:val="fr-FR"/>
        </w:rPr>
        <w:t xml:space="preserve"> définies dans la règle </w:t>
      </w:r>
      <w:r w:rsidRPr="00DB6C66">
        <w:rPr>
          <w:lang w:val="fr-FR"/>
        </w:rPr>
        <w:t>63.1 du règlement d</w:t>
      </w:r>
      <w:r w:rsidR="00280EEC">
        <w:rPr>
          <w:lang w:val="fr-FR"/>
        </w:rPr>
        <w:t>’</w:t>
      </w:r>
      <w:r w:rsidRPr="00DB6C66">
        <w:rPr>
          <w:lang w:val="fr-FR"/>
        </w:rPr>
        <w:t>exécution</w:t>
      </w:r>
      <w:r w:rsidR="00E01D11" w:rsidRPr="00DB6C66">
        <w:rPr>
          <w:lang w:val="fr-FR"/>
        </w:rPr>
        <w:t xml:space="preserve"> du PCT</w:t>
      </w:r>
      <w:r w:rsidRPr="00DB6C66">
        <w:rPr>
          <w:lang w:val="fr-FR"/>
        </w:rPr>
        <w:t xml:space="preserve"> correspondent à celles appliquées </w:t>
      </w:r>
      <w:r w:rsidR="000D51FB" w:rsidRPr="00DB6C66">
        <w:rPr>
          <w:lang w:val="fr-FR"/>
        </w:rPr>
        <w:t>aux administrations chargées</w:t>
      </w:r>
      <w:r w:rsidRPr="00DB6C66">
        <w:rPr>
          <w:lang w:val="fr-FR"/>
        </w:rPr>
        <w:t xml:space="preserve"> de la recherche </w:t>
      </w:r>
      <w:r w:rsidR="00707BF1" w:rsidRPr="00DB6C66">
        <w:rPr>
          <w:lang w:val="fr-FR"/>
        </w:rPr>
        <w:t>internationale</w:t>
      </w:r>
      <w:r w:rsidRPr="00DB6C66">
        <w:rPr>
          <w:lang w:val="fr-FR"/>
        </w:rPr>
        <w:t>.</w:t>
      </w:r>
    </w:p>
    <w:p w:rsidR="00DB3999" w:rsidRPr="00DB6C66" w:rsidRDefault="000D51FB" w:rsidP="006D3583">
      <w:pPr>
        <w:pStyle w:val="ONUMFS"/>
        <w:rPr>
          <w:lang w:val="fr-FR"/>
        </w:rPr>
      </w:pPr>
      <w:r w:rsidRPr="00DB6C66">
        <w:rPr>
          <w:lang w:val="fr-FR"/>
        </w:rPr>
        <w:t>Comme cela a déjà été souligné dans le chapitre précédent,</w:t>
      </w:r>
      <w:r w:rsidR="00E01D11" w:rsidRPr="00DB6C66">
        <w:rPr>
          <w:lang w:val="fr-FR"/>
        </w:rPr>
        <w:t xml:space="preserve"> le VPI</w:t>
      </w:r>
      <w:r w:rsidRPr="00DB6C66">
        <w:rPr>
          <w:lang w:val="fr-FR"/>
        </w:rPr>
        <w:t xml:space="preserve"> </w:t>
      </w:r>
      <w:r w:rsidR="006165D9" w:rsidRPr="00DB6C66">
        <w:rPr>
          <w:lang w:val="fr-FR"/>
        </w:rPr>
        <w:t>exploitera les synergies tirées de la mise en commun des ressources des offices nationaux participants.  Cela permettra</w:t>
      </w:r>
      <w:r w:rsidR="00E01D11" w:rsidRPr="00DB6C66">
        <w:rPr>
          <w:lang w:val="fr-FR"/>
        </w:rPr>
        <w:t xml:space="preserve"> au VPI</w:t>
      </w:r>
      <w:r w:rsidR="006165D9" w:rsidRPr="00DB6C66">
        <w:rPr>
          <w:lang w:val="fr-FR"/>
        </w:rPr>
        <w:t xml:space="preserve"> de répondre pleinement à l</w:t>
      </w:r>
      <w:r w:rsidR="00280EEC">
        <w:rPr>
          <w:lang w:val="fr-FR"/>
        </w:rPr>
        <w:t>’</w:t>
      </w:r>
      <w:r w:rsidR="006165D9" w:rsidRPr="00DB6C66">
        <w:rPr>
          <w:lang w:val="fr-FR"/>
        </w:rPr>
        <w:t xml:space="preserve">ensemble des critères </w:t>
      </w:r>
      <w:r w:rsidR="00191B69" w:rsidRPr="00DB6C66">
        <w:rPr>
          <w:lang w:val="fr-FR"/>
        </w:rPr>
        <w:t>en vue de</w:t>
      </w:r>
      <w:r w:rsidR="006165D9" w:rsidRPr="00DB6C66">
        <w:rPr>
          <w:lang w:val="fr-FR"/>
        </w:rPr>
        <w:t xml:space="preserve"> devenir une administration chargée de la recherche internationale et de l</w:t>
      </w:r>
      <w:r w:rsidR="00280EEC">
        <w:rPr>
          <w:lang w:val="fr-FR"/>
        </w:rPr>
        <w:t>’</w:t>
      </w:r>
      <w:r w:rsidR="006165D9" w:rsidRPr="00DB6C66">
        <w:rPr>
          <w:lang w:val="fr-FR"/>
        </w:rPr>
        <w:t xml:space="preserve">examen préliminaire international, et de remplir sa mission en tant que tel en pleine conformité avec ces exigences.  </w:t>
      </w:r>
      <w:r w:rsidR="000D67E9" w:rsidRPr="00DB6C66">
        <w:rPr>
          <w:lang w:val="fr-FR"/>
        </w:rPr>
        <w:t>Les éléments d</w:t>
      </w:r>
      <w:r w:rsidR="00280EEC">
        <w:rPr>
          <w:lang w:val="fr-FR"/>
        </w:rPr>
        <w:t>’</w:t>
      </w:r>
      <w:r w:rsidR="000D67E9" w:rsidRPr="00DB6C66">
        <w:rPr>
          <w:lang w:val="fr-FR"/>
        </w:rPr>
        <w:t>appréciation ci</w:t>
      </w:r>
      <w:r w:rsidR="008117E3">
        <w:rPr>
          <w:lang w:val="fr-FR"/>
        </w:rPr>
        <w:noBreakHyphen/>
      </w:r>
      <w:r w:rsidR="000D67E9" w:rsidRPr="00DB6C66">
        <w:rPr>
          <w:lang w:val="fr-FR"/>
        </w:rPr>
        <w:t xml:space="preserve">après </w:t>
      </w:r>
      <w:r w:rsidR="00320720" w:rsidRPr="00DB6C66">
        <w:rPr>
          <w:lang w:val="fr-FR"/>
        </w:rPr>
        <w:t>exposent</w:t>
      </w:r>
      <w:r w:rsidR="004E047D" w:rsidRPr="00DB6C66">
        <w:rPr>
          <w:lang w:val="fr-FR"/>
        </w:rPr>
        <w:t> </w:t>
      </w:r>
      <w:r w:rsidR="00320720" w:rsidRPr="00DB6C66">
        <w:rPr>
          <w:lang w:val="fr-FR"/>
        </w:rPr>
        <w:t>:</w:t>
      </w:r>
    </w:p>
    <w:p w:rsidR="00DB3999" w:rsidRPr="00DB6C66" w:rsidRDefault="00320720" w:rsidP="009C72E7">
      <w:pPr>
        <w:pStyle w:val="ONUMFS"/>
        <w:numPr>
          <w:ilvl w:val="0"/>
          <w:numId w:val="36"/>
        </w:numPr>
        <w:ind w:left="567"/>
        <w:rPr>
          <w:lang w:val="fr-FR"/>
        </w:rPr>
      </w:pPr>
      <w:r w:rsidRPr="00DB6C66">
        <w:rPr>
          <w:lang w:val="fr-FR"/>
        </w:rPr>
        <w:t>Les ressources</w:t>
      </w:r>
      <w:r w:rsidR="00E01D11" w:rsidRPr="00DB6C66">
        <w:rPr>
          <w:lang w:val="fr-FR"/>
        </w:rPr>
        <w:t xml:space="preserve"> du VPI</w:t>
      </w:r>
      <w:r w:rsidRPr="00DB6C66">
        <w:rPr>
          <w:lang w:val="fr-FR"/>
        </w:rPr>
        <w:t xml:space="preserve"> en matière de recherche et d</w:t>
      </w:r>
      <w:r w:rsidR="00280EEC">
        <w:rPr>
          <w:lang w:val="fr-FR"/>
        </w:rPr>
        <w:t>’</w:t>
      </w:r>
      <w:r w:rsidRPr="00DB6C66">
        <w:rPr>
          <w:lang w:val="fr-FR"/>
        </w:rPr>
        <w:t>examen et les qualifications de ses examinateurs;</w:t>
      </w:r>
    </w:p>
    <w:p w:rsidR="00DB3999" w:rsidRPr="00DB6C66" w:rsidRDefault="00320720" w:rsidP="009C72E7">
      <w:pPr>
        <w:pStyle w:val="ONUMFS"/>
        <w:numPr>
          <w:ilvl w:val="0"/>
          <w:numId w:val="36"/>
        </w:numPr>
        <w:ind w:left="567"/>
        <w:rPr>
          <w:lang w:val="fr-FR"/>
        </w:rPr>
      </w:pPr>
      <w:r w:rsidRPr="00DB6C66">
        <w:rPr>
          <w:lang w:val="fr-FR"/>
        </w:rPr>
        <w:t>L</w:t>
      </w:r>
      <w:r w:rsidR="00280EEC">
        <w:rPr>
          <w:lang w:val="fr-FR"/>
        </w:rPr>
        <w:t>’</w:t>
      </w:r>
      <w:r w:rsidRPr="00DB6C66">
        <w:rPr>
          <w:lang w:val="fr-FR"/>
        </w:rPr>
        <w:t>accès</w:t>
      </w:r>
      <w:r w:rsidR="00E01D11" w:rsidRPr="00DB6C66">
        <w:rPr>
          <w:lang w:val="fr-FR"/>
        </w:rPr>
        <w:t xml:space="preserve"> du VPI</w:t>
      </w:r>
      <w:r w:rsidRPr="00DB6C66">
        <w:rPr>
          <w:lang w:val="fr-FR"/>
        </w:rPr>
        <w:t xml:space="preserve"> à la documentation à des fins de recherche et d</w:t>
      </w:r>
      <w:r w:rsidR="00280EEC">
        <w:rPr>
          <w:lang w:val="fr-FR"/>
        </w:rPr>
        <w:t>’</w:t>
      </w:r>
      <w:r w:rsidRPr="00DB6C66">
        <w:rPr>
          <w:lang w:val="fr-FR"/>
        </w:rPr>
        <w:t>examen;</w:t>
      </w:r>
    </w:p>
    <w:p w:rsidR="00E01D11" w:rsidRPr="00DB6C66" w:rsidRDefault="00320720" w:rsidP="009C72E7">
      <w:pPr>
        <w:pStyle w:val="ONUMFS"/>
        <w:numPr>
          <w:ilvl w:val="0"/>
          <w:numId w:val="36"/>
        </w:numPr>
        <w:ind w:left="567"/>
        <w:rPr>
          <w:lang w:val="fr-FR"/>
        </w:rPr>
      </w:pPr>
      <w:r w:rsidRPr="00DB6C66">
        <w:rPr>
          <w:lang w:val="fr-FR"/>
        </w:rPr>
        <w:t>Le système de gestion de la qualité et les dispositions internes en matière d</w:t>
      </w:r>
      <w:r w:rsidR="00280EEC">
        <w:rPr>
          <w:lang w:val="fr-FR"/>
        </w:rPr>
        <w:t>’</w:t>
      </w:r>
      <w:r w:rsidRPr="00DB6C66">
        <w:rPr>
          <w:lang w:val="fr-FR"/>
        </w:rPr>
        <w:t>évaluation</w:t>
      </w:r>
      <w:r w:rsidR="00E01D11" w:rsidRPr="00DB6C66">
        <w:rPr>
          <w:lang w:val="fr-FR"/>
        </w:rPr>
        <w:t xml:space="preserve"> du VPI</w:t>
      </w:r>
      <w:r w:rsidRPr="00DB6C66">
        <w:rPr>
          <w:lang w:val="fr-FR"/>
        </w:rPr>
        <w:t>, notamment celles appliquées aux offices nationaux participants.</w:t>
      </w:r>
    </w:p>
    <w:p w:rsidR="006D3583" w:rsidRPr="00DB6C66" w:rsidRDefault="0075654E" w:rsidP="00620A17">
      <w:pPr>
        <w:pStyle w:val="Heading2"/>
        <w:rPr>
          <w:lang w:val="fr-FR"/>
        </w:rPr>
      </w:pPr>
      <w:r w:rsidRPr="00DB6C66">
        <w:rPr>
          <w:lang w:val="fr-FR"/>
        </w:rPr>
        <w:t>2.2.</w:t>
      </w:r>
      <w:r w:rsidR="00577494" w:rsidRPr="00DB6C66">
        <w:rPr>
          <w:lang w:val="fr-FR"/>
        </w:rPr>
        <w:tab/>
      </w:r>
      <w:r w:rsidRPr="00DB6C66">
        <w:rPr>
          <w:lang w:val="fr-FR"/>
        </w:rPr>
        <w:t>Examin</w:t>
      </w:r>
      <w:r w:rsidR="007D2AF7" w:rsidRPr="00DB6C66">
        <w:rPr>
          <w:lang w:val="fr-FR"/>
        </w:rPr>
        <w:t>ateurs et outils</w:t>
      </w:r>
    </w:p>
    <w:p w:rsidR="005F4172" w:rsidRPr="00DB6C66" w:rsidRDefault="007D2AF7" w:rsidP="006D3583">
      <w:pPr>
        <w:pStyle w:val="ONUMFS"/>
        <w:rPr>
          <w:lang w:val="fr-FR"/>
        </w:rPr>
      </w:pPr>
      <w:r w:rsidRPr="00DB6C66">
        <w:rPr>
          <w:lang w:val="fr-FR"/>
        </w:rPr>
        <w:t>Des recherches et des examens de qualité reposent essentiellement sur du personnel technique hautement qualifié et formé.  Le présent chapitre fournit des informations sur le nombre d</w:t>
      </w:r>
      <w:r w:rsidR="00280EEC">
        <w:rPr>
          <w:lang w:val="fr-FR"/>
        </w:rPr>
        <w:t>’</w:t>
      </w:r>
      <w:r w:rsidRPr="00DB6C66">
        <w:rPr>
          <w:lang w:val="fr-FR"/>
        </w:rPr>
        <w:t xml:space="preserve">examinateurs </w:t>
      </w:r>
      <w:r w:rsidR="00191B69" w:rsidRPr="00DB6C66">
        <w:rPr>
          <w:lang w:val="fr-FR"/>
        </w:rPr>
        <w:t>mis à la disposition</w:t>
      </w:r>
      <w:r w:rsidR="00E01D11" w:rsidRPr="00DB6C66">
        <w:rPr>
          <w:lang w:val="fr-FR"/>
        </w:rPr>
        <w:t xml:space="preserve"> du VPI</w:t>
      </w:r>
      <w:r w:rsidRPr="00DB6C66">
        <w:rPr>
          <w:lang w:val="fr-FR"/>
        </w:rPr>
        <w:t xml:space="preserve"> en qualité d</w:t>
      </w:r>
      <w:r w:rsidR="00280EEC">
        <w:rPr>
          <w:lang w:val="fr-FR"/>
        </w:rPr>
        <w:t>’</w:t>
      </w:r>
      <w:r w:rsidRPr="00DB6C66">
        <w:rPr>
          <w:lang w:val="fr-FR"/>
        </w:rPr>
        <w:t>administration chargée de la recherche internationale et de l</w:t>
      </w:r>
      <w:r w:rsidR="00280EEC">
        <w:rPr>
          <w:lang w:val="fr-FR"/>
        </w:rPr>
        <w:t>’</w:t>
      </w:r>
      <w:r w:rsidRPr="00DB6C66">
        <w:rPr>
          <w:lang w:val="fr-FR"/>
        </w:rPr>
        <w:t>examen préliminaire international et sur leurs qualifications, expériences, compétences linguistique</w:t>
      </w:r>
      <w:r w:rsidR="00191B69" w:rsidRPr="00DB6C66">
        <w:rPr>
          <w:lang w:val="fr-FR"/>
        </w:rPr>
        <w:t>s</w:t>
      </w:r>
      <w:r w:rsidRPr="00DB6C66">
        <w:rPr>
          <w:lang w:val="fr-FR"/>
        </w:rPr>
        <w:t xml:space="preserve"> et programmes de formation.</w:t>
      </w:r>
    </w:p>
    <w:p w:rsidR="00560CA7" w:rsidRPr="00DB6C66" w:rsidRDefault="00560CA7" w:rsidP="006D3583">
      <w:pPr>
        <w:pStyle w:val="ONUMFS"/>
        <w:rPr>
          <w:lang w:val="fr-FR"/>
        </w:rPr>
      </w:pPr>
      <w:r w:rsidRPr="00DB6C66">
        <w:rPr>
          <w:lang w:val="fr-FR"/>
        </w:rPr>
        <w:t>En tant qu</w:t>
      </w:r>
      <w:r w:rsidR="00280EEC">
        <w:rPr>
          <w:lang w:val="fr-FR"/>
        </w:rPr>
        <w:t>’</w:t>
      </w:r>
      <w:r w:rsidRPr="00DB6C66">
        <w:rPr>
          <w:lang w:val="fr-FR"/>
        </w:rPr>
        <w:t>administration internationale chargée de la recherche et de l</w:t>
      </w:r>
      <w:r w:rsidR="00280EEC">
        <w:rPr>
          <w:lang w:val="fr-FR"/>
        </w:rPr>
        <w:t>’</w:t>
      </w:r>
      <w:r w:rsidRPr="00DB6C66">
        <w:rPr>
          <w:lang w:val="fr-FR"/>
        </w:rPr>
        <w:t>examen préliminaire internationaux, le VPI disposera en tout de 185 examinateurs à plein temps et de 10 à 12 examinateurs à temps partiel.  Ces personnes sont en mesure d</w:t>
      </w:r>
      <w:r w:rsidR="00280EEC">
        <w:rPr>
          <w:lang w:val="fr-FR"/>
        </w:rPr>
        <w:t>’</w:t>
      </w:r>
      <w:r w:rsidRPr="00DB6C66">
        <w:rPr>
          <w:lang w:val="fr-FR"/>
        </w:rPr>
        <w:t>effectuer des recherches et des examens dans tous les domaines techniques.  Elles disposent toutes des qualifications techniques et de l</w:t>
      </w:r>
      <w:r w:rsidR="00280EEC">
        <w:rPr>
          <w:lang w:val="fr-FR"/>
        </w:rPr>
        <w:t>’</w:t>
      </w:r>
      <w:r w:rsidRPr="00DB6C66">
        <w:rPr>
          <w:lang w:val="fr-FR"/>
        </w:rPr>
        <w:t>expérience requises pour effectuer des recherches et des examens de haute qualité de manière efficace et en temps utile.  Elles sont toutes détentrices d</w:t>
      </w:r>
      <w:r w:rsidR="00280EEC">
        <w:rPr>
          <w:lang w:val="fr-FR"/>
        </w:rPr>
        <w:t>’</w:t>
      </w:r>
      <w:r w:rsidRPr="00DB6C66">
        <w:rPr>
          <w:lang w:val="fr-FR"/>
        </w:rPr>
        <w:t>un master ou d</w:t>
      </w:r>
      <w:r w:rsidR="00280EEC">
        <w:rPr>
          <w:lang w:val="fr-FR"/>
        </w:rPr>
        <w:t>’</w:t>
      </w:r>
      <w:r w:rsidRPr="00DB6C66">
        <w:rPr>
          <w:lang w:val="fr-FR"/>
        </w:rPr>
        <w:t>un doctorat, ont toutes suivi des programmes de formation exhaustifs, intensifs et bien structurés, et ont toutes réussi les examens pertinents avant d</w:t>
      </w:r>
      <w:r w:rsidR="00280EEC">
        <w:rPr>
          <w:lang w:val="fr-FR"/>
        </w:rPr>
        <w:t>’</w:t>
      </w:r>
      <w:r w:rsidRPr="00DB6C66">
        <w:rPr>
          <w:lang w:val="fr-FR"/>
        </w:rPr>
        <w:t>être recrutées.  En outre, la plupart d</w:t>
      </w:r>
      <w:r w:rsidR="00280EEC">
        <w:rPr>
          <w:lang w:val="fr-FR"/>
        </w:rPr>
        <w:t>’</w:t>
      </w:r>
      <w:r w:rsidRPr="00DB6C66">
        <w:rPr>
          <w:lang w:val="fr-FR"/>
        </w:rPr>
        <w:t>entre elles ont déjà suivi plusieurs programmes instaurés par l</w:t>
      </w:r>
      <w:r w:rsidR="00280EEC">
        <w:rPr>
          <w:lang w:val="fr-FR"/>
        </w:rPr>
        <w:t>’</w:t>
      </w:r>
      <w:r w:rsidRPr="00DB6C66">
        <w:rPr>
          <w:lang w:val="fr-FR"/>
        </w:rPr>
        <w:t>OMPI, l</w:t>
      </w:r>
      <w:r w:rsidR="00280EEC">
        <w:rPr>
          <w:lang w:val="fr-FR"/>
        </w:rPr>
        <w:t>’</w:t>
      </w:r>
      <w:r w:rsidRPr="00DB6C66">
        <w:rPr>
          <w:lang w:val="fr-FR"/>
        </w:rPr>
        <w:t>OEB, l</w:t>
      </w:r>
      <w:r w:rsidR="00280EEC">
        <w:rPr>
          <w:lang w:val="fr-FR"/>
        </w:rPr>
        <w:t>’</w:t>
      </w:r>
      <w:r w:rsidRPr="00DB6C66">
        <w:rPr>
          <w:lang w:val="fr-FR"/>
        </w:rPr>
        <w:t>USPTO ou d</w:t>
      </w:r>
      <w:r w:rsidR="00280EEC">
        <w:rPr>
          <w:lang w:val="fr-FR"/>
        </w:rPr>
        <w:t>’</w:t>
      </w:r>
      <w:r w:rsidRPr="00DB6C66">
        <w:rPr>
          <w:lang w:val="fr-FR"/>
        </w:rPr>
        <w:t>autres administrations internationales ou offices des brevets nationaux, ou encore par des universités ou d</w:t>
      </w:r>
      <w:r w:rsidR="00280EEC">
        <w:rPr>
          <w:lang w:val="fr-FR"/>
        </w:rPr>
        <w:t>’</w:t>
      </w:r>
      <w:r w:rsidRPr="00DB6C66">
        <w:rPr>
          <w:lang w:val="fr-FR"/>
        </w:rPr>
        <w:t>autres établissements de formation spécialisés dans la propriété intellectuelle.  Une formation des examinateurs du VPI est prévue par ailleurs dans le cadre de la coopération établie avec l</w:t>
      </w:r>
      <w:r w:rsidR="00280EEC">
        <w:rPr>
          <w:lang w:val="fr-FR"/>
        </w:rPr>
        <w:t>’</w:t>
      </w:r>
      <w:r w:rsidRPr="00DB6C66">
        <w:rPr>
          <w:lang w:val="fr-FR"/>
        </w:rPr>
        <w:t xml:space="preserve">Office des brevets du Japon </w:t>
      </w:r>
      <w:r w:rsidRPr="00DB6C66">
        <w:rPr>
          <w:bCs/>
          <w:lang w:val="fr-FR"/>
        </w:rPr>
        <w:t>(JPO) et l</w:t>
      </w:r>
      <w:r w:rsidR="00280EEC">
        <w:rPr>
          <w:bCs/>
          <w:lang w:val="fr-FR"/>
        </w:rPr>
        <w:t>’</w:t>
      </w:r>
      <w:r w:rsidRPr="00DB6C66">
        <w:rPr>
          <w:bCs/>
          <w:lang w:val="fr-FR"/>
        </w:rPr>
        <w:t>Institut nordique des brevets (NPI), comme l</w:t>
      </w:r>
      <w:r w:rsidR="00280EEC">
        <w:rPr>
          <w:bCs/>
          <w:lang w:val="fr-FR"/>
        </w:rPr>
        <w:t>’</w:t>
      </w:r>
      <w:r w:rsidRPr="00DB6C66">
        <w:rPr>
          <w:bCs/>
          <w:lang w:val="fr-FR"/>
        </w:rPr>
        <w:t xml:space="preserve">indique le </w:t>
      </w:r>
      <w:r w:rsidRPr="00DB6C66">
        <w:rPr>
          <w:lang w:val="fr-FR"/>
        </w:rPr>
        <w:t>paragraphe</w:t>
      </w:r>
      <w:r w:rsidRPr="00DB6C66">
        <w:rPr>
          <w:bCs/>
          <w:lang w:val="fr-FR"/>
        </w:rPr>
        <w:t> 1.2</w:t>
      </w:r>
      <w:r w:rsidRPr="00DB6C66">
        <w:rPr>
          <w:lang w:val="fr-FR"/>
        </w:rPr>
        <w:t>.  Pour améliorer en permanence les compétences des examinateurs de l</w:t>
      </w:r>
      <w:r w:rsidR="00280EEC">
        <w:rPr>
          <w:lang w:val="fr-FR"/>
        </w:rPr>
        <w:t>’</w:t>
      </w:r>
      <w:r w:rsidR="0095528C" w:rsidRPr="00DB6C66">
        <w:rPr>
          <w:lang w:val="fr-FR"/>
        </w:rPr>
        <w:t>i</w:t>
      </w:r>
      <w:r w:rsidRPr="00DB6C66">
        <w:rPr>
          <w:lang w:val="fr-FR"/>
        </w:rPr>
        <w:t>nstitut et permettre à ceux</w:t>
      </w:r>
      <w:r w:rsidR="008117E3">
        <w:rPr>
          <w:lang w:val="fr-FR"/>
        </w:rPr>
        <w:noBreakHyphen/>
      </w:r>
      <w:r w:rsidRPr="00DB6C66">
        <w:rPr>
          <w:lang w:val="fr-FR"/>
        </w:rPr>
        <w:t>ci d</w:t>
      </w:r>
      <w:r w:rsidR="00280EEC">
        <w:rPr>
          <w:lang w:val="fr-FR"/>
        </w:rPr>
        <w:t>’</w:t>
      </w:r>
      <w:r w:rsidRPr="00DB6C66">
        <w:rPr>
          <w:lang w:val="fr-FR"/>
        </w:rPr>
        <w:t>actualiser leurs connaissances techniques, le conseil d</w:t>
      </w:r>
      <w:r w:rsidR="00280EEC">
        <w:rPr>
          <w:lang w:val="fr-FR"/>
        </w:rPr>
        <w:t>’</w:t>
      </w:r>
      <w:r w:rsidRPr="00DB6C66">
        <w:rPr>
          <w:lang w:val="fr-FR"/>
        </w:rPr>
        <w:t>administration instaurera un cadre de formation qui leur permettra d</w:t>
      </w:r>
      <w:r w:rsidR="00280EEC">
        <w:rPr>
          <w:lang w:val="fr-FR"/>
        </w:rPr>
        <w:t>’</w:t>
      </w:r>
      <w:r w:rsidRPr="00DB6C66">
        <w:rPr>
          <w:lang w:val="fr-FR"/>
        </w:rPr>
        <w:t>organiser efficacement des sessions de formation et d</w:t>
      </w:r>
      <w:r w:rsidR="00280EEC">
        <w:rPr>
          <w:lang w:val="fr-FR"/>
        </w:rPr>
        <w:t>’</w:t>
      </w:r>
      <w:r w:rsidRPr="00DB6C66">
        <w:rPr>
          <w:lang w:val="fr-FR"/>
        </w:rPr>
        <w:t>en tirer le meilleur parti.  En outre, le VPI organisera régulièrement des échanges et des réunions entre examinateurs pour continuer d</w:t>
      </w:r>
      <w:r w:rsidR="00280EEC">
        <w:rPr>
          <w:lang w:val="fr-FR"/>
        </w:rPr>
        <w:t>’</w:t>
      </w:r>
      <w:r w:rsidRPr="00DB6C66">
        <w:rPr>
          <w:lang w:val="fr-FR"/>
        </w:rPr>
        <w:t>améliorer la cohérence de leurs pratiques en matière de recherche et d</w:t>
      </w:r>
      <w:r w:rsidR="00280EEC">
        <w:rPr>
          <w:lang w:val="fr-FR"/>
        </w:rPr>
        <w:t>’</w:t>
      </w:r>
      <w:r w:rsidRPr="00DB6C66">
        <w:rPr>
          <w:lang w:val="fr-FR"/>
        </w:rPr>
        <w:t>examen.</w:t>
      </w:r>
    </w:p>
    <w:p w:rsidR="00560CA7" w:rsidRPr="00DB6C66" w:rsidRDefault="00560CA7" w:rsidP="00620A17">
      <w:pPr>
        <w:pStyle w:val="ONUMFS"/>
        <w:keepLines/>
        <w:rPr>
          <w:lang w:val="fr-FR"/>
        </w:rPr>
      </w:pPr>
      <w:r w:rsidRPr="00DB6C66">
        <w:rPr>
          <w:lang w:val="fr-FR"/>
        </w:rPr>
        <w:lastRenderedPageBreak/>
        <w:t xml:space="preserve">Outre la maîtrise de leur langue maternelle (le tchèque, le hongrois, le polonais ou le slovaque), les examinateurs </w:t>
      </w:r>
      <w:r w:rsidR="0095528C" w:rsidRPr="00DB6C66">
        <w:rPr>
          <w:lang w:val="fr-FR"/>
        </w:rPr>
        <w:t>du VPI</w:t>
      </w:r>
      <w:r w:rsidRPr="00DB6C66">
        <w:rPr>
          <w:lang w:val="fr-FR"/>
        </w:rPr>
        <w:t xml:space="preserve"> ont une excellente connaissance de l</w:t>
      </w:r>
      <w:r w:rsidR="00280EEC">
        <w:rPr>
          <w:lang w:val="fr-FR"/>
        </w:rPr>
        <w:t>’</w:t>
      </w:r>
      <w:r w:rsidRPr="00DB6C66">
        <w:rPr>
          <w:lang w:val="fr-FR"/>
        </w:rPr>
        <w:t>anglais, et la plupart d</w:t>
      </w:r>
      <w:r w:rsidR="00280EEC">
        <w:rPr>
          <w:lang w:val="fr-FR"/>
        </w:rPr>
        <w:t>’</w:t>
      </w:r>
      <w:r w:rsidRPr="00DB6C66">
        <w:rPr>
          <w:lang w:val="fr-FR"/>
        </w:rPr>
        <w:t>entre eux sont aussi à l</w:t>
      </w:r>
      <w:r w:rsidR="00280EEC">
        <w:rPr>
          <w:lang w:val="fr-FR"/>
        </w:rPr>
        <w:t>’</w:t>
      </w:r>
      <w:r w:rsidRPr="00DB6C66">
        <w:rPr>
          <w:lang w:val="fr-FR"/>
        </w:rPr>
        <w:t>aise en allemand et/ou en français.  Ils comprennent et utilisent aussi d</w:t>
      </w:r>
      <w:r w:rsidR="00280EEC">
        <w:rPr>
          <w:lang w:val="fr-FR"/>
        </w:rPr>
        <w:t>’</w:t>
      </w:r>
      <w:r w:rsidRPr="00DB6C66">
        <w:rPr>
          <w:lang w:val="fr-FR"/>
        </w:rPr>
        <w:t>autres langues, notamment le croate, l</w:t>
      </w:r>
      <w:r w:rsidR="00280EEC">
        <w:rPr>
          <w:lang w:val="fr-FR"/>
        </w:rPr>
        <w:t>’</w:t>
      </w:r>
      <w:r w:rsidRPr="00DB6C66">
        <w:rPr>
          <w:lang w:val="fr-FR"/>
        </w:rPr>
        <w:t>italien, le japonais, le russe, l</w:t>
      </w:r>
      <w:r w:rsidR="00280EEC">
        <w:rPr>
          <w:lang w:val="fr-FR"/>
        </w:rPr>
        <w:t>’</w:t>
      </w:r>
      <w:r w:rsidRPr="00DB6C66">
        <w:rPr>
          <w:lang w:val="fr-FR"/>
        </w:rPr>
        <w:t>espagnol et le suédois.</w:t>
      </w:r>
    </w:p>
    <w:p w:rsidR="00560CA7" w:rsidRPr="00DB6C66" w:rsidRDefault="00560CA7" w:rsidP="006D3583">
      <w:pPr>
        <w:pStyle w:val="ONUMFS"/>
        <w:rPr>
          <w:lang w:val="fr-FR"/>
        </w:rPr>
      </w:pPr>
      <w:r w:rsidRPr="00DB6C66">
        <w:rPr>
          <w:lang w:val="fr-FR"/>
        </w:rPr>
        <w:t xml:space="preserve">Les examinateurs </w:t>
      </w:r>
      <w:r w:rsidR="0095528C" w:rsidRPr="00DB6C66">
        <w:rPr>
          <w:lang w:val="fr-FR"/>
        </w:rPr>
        <w:t>du VPI</w:t>
      </w:r>
      <w:r w:rsidRPr="00DB6C66">
        <w:rPr>
          <w:lang w:val="fr-FR"/>
        </w:rPr>
        <w:t xml:space="preserve"> disposeront aussi des ressources nécessaires pour fournir un travail de qualité, et en particulier de directives, de systèmes informatiques et d</w:t>
      </w:r>
      <w:r w:rsidR="00280EEC">
        <w:rPr>
          <w:lang w:val="fr-FR"/>
        </w:rPr>
        <w:t>’</w:t>
      </w:r>
      <w:r w:rsidRPr="00DB6C66">
        <w:rPr>
          <w:lang w:val="fr-FR"/>
        </w:rPr>
        <w:t>outils de recherche et d</w:t>
      </w:r>
      <w:r w:rsidR="00280EEC">
        <w:rPr>
          <w:lang w:val="fr-FR"/>
        </w:rPr>
        <w:t>’</w:t>
      </w:r>
      <w:r w:rsidRPr="00DB6C66">
        <w:rPr>
          <w:lang w:val="fr-FR"/>
        </w:rPr>
        <w:t>examen.</w:t>
      </w:r>
    </w:p>
    <w:p w:rsidR="00E01D11" w:rsidRPr="00DB6C66" w:rsidRDefault="00136E41" w:rsidP="006D3583">
      <w:pPr>
        <w:pStyle w:val="ONUMFS"/>
        <w:rPr>
          <w:lang w:val="fr-FR"/>
        </w:rPr>
      </w:pPr>
      <w:r w:rsidRPr="00DB6C66">
        <w:rPr>
          <w:lang w:val="fr-FR"/>
        </w:rPr>
        <w:t>Si nécessaire,</w:t>
      </w:r>
      <w:r w:rsidR="00E01D11" w:rsidRPr="00DB6C66">
        <w:rPr>
          <w:lang w:val="fr-FR"/>
        </w:rPr>
        <w:t xml:space="preserve"> le VPI</w:t>
      </w:r>
      <w:r w:rsidRPr="00DB6C66">
        <w:rPr>
          <w:lang w:val="fr-FR"/>
        </w:rPr>
        <w:t xml:space="preserve"> et ses </w:t>
      </w:r>
      <w:r w:rsidR="00DF641F" w:rsidRPr="00DB6C66">
        <w:rPr>
          <w:lang w:val="fr-FR"/>
        </w:rPr>
        <w:t>États</w:t>
      </w:r>
      <w:r w:rsidRPr="00DB6C66">
        <w:rPr>
          <w:lang w:val="fr-FR"/>
        </w:rPr>
        <w:t xml:space="preserve"> contractants sont disposés à fournir des informations supplémentaires et </w:t>
      </w:r>
      <w:r w:rsidR="00746BEF" w:rsidRPr="00DB6C66">
        <w:rPr>
          <w:lang w:val="fr-FR"/>
        </w:rPr>
        <w:t xml:space="preserve">plus </w:t>
      </w:r>
      <w:r w:rsidRPr="00DB6C66">
        <w:rPr>
          <w:lang w:val="fr-FR"/>
        </w:rPr>
        <w:t>détaillées sur le nombre d</w:t>
      </w:r>
      <w:r w:rsidR="00280EEC">
        <w:rPr>
          <w:lang w:val="fr-FR"/>
        </w:rPr>
        <w:t>’</w:t>
      </w:r>
      <w:r w:rsidRPr="00DB6C66">
        <w:rPr>
          <w:lang w:val="fr-FR"/>
        </w:rPr>
        <w:t>examinateurs qui sont à la disposition</w:t>
      </w:r>
      <w:r w:rsidR="00E01D11" w:rsidRPr="00DB6C66">
        <w:rPr>
          <w:lang w:val="fr-FR"/>
        </w:rPr>
        <w:t xml:space="preserve"> du VPI</w:t>
      </w:r>
      <w:r w:rsidRPr="00DB6C66">
        <w:rPr>
          <w:lang w:val="fr-FR"/>
        </w:rPr>
        <w:t xml:space="preserve"> en tant qu</w:t>
      </w:r>
      <w:r w:rsidR="00280EEC">
        <w:rPr>
          <w:lang w:val="fr-FR"/>
        </w:rPr>
        <w:t>’</w:t>
      </w:r>
      <w:r w:rsidRPr="00DB6C66">
        <w:rPr>
          <w:lang w:val="fr-FR"/>
        </w:rPr>
        <w:t>administration chargée de la recherche internationale et de l</w:t>
      </w:r>
      <w:r w:rsidR="00280EEC">
        <w:rPr>
          <w:lang w:val="fr-FR"/>
        </w:rPr>
        <w:t>’</w:t>
      </w:r>
      <w:r w:rsidRPr="00DB6C66">
        <w:rPr>
          <w:lang w:val="fr-FR"/>
        </w:rPr>
        <w:t>ex</w:t>
      </w:r>
      <w:r w:rsidR="00746BEF" w:rsidRPr="00DB6C66">
        <w:rPr>
          <w:lang w:val="fr-FR"/>
        </w:rPr>
        <w:t>amen préliminaire international</w:t>
      </w:r>
      <w:r w:rsidRPr="00DB6C66">
        <w:rPr>
          <w:lang w:val="fr-FR"/>
        </w:rPr>
        <w:t>, et sur leurs qualifications, expériences, compétences linguistiques et formation</w:t>
      </w:r>
      <w:r w:rsidR="00746BEF" w:rsidRPr="00DB6C66">
        <w:rPr>
          <w:lang w:val="fr-FR"/>
        </w:rPr>
        <w:t>s</w:t>
      </w:r>
      <w:r w:rsidRPr="00DB6C66">
        <w:rPr>
          <w:lang w:val="fr-FR"/>
        </w:rPr>
        <w:t xml:space="preserve"> ainsi que sur les systèmes informati</w:t>
      </w:r>
      <w:r w:rsidR="00746BEF" w:rsidRPr="00DB6C66">
        <w:rPr>
          <w:lang w:val="fr-FR"/>
        </w:rPr>
        <w:t>ques</w:t>
      </w:r>
      <w:r w:rsidRPr="00DB6C66">
        <w:rPr>
          <w:lang w:val="fr-FR"/>
        </w:rPr>
        <w:t xml:space="preserve"> et autres </w:t>
      </w:r>
      <w:r w:rsidR="00DF641F" w:rsidRPr="00DB6C66">
        <w:rPr>
          <w:lang w:val="fr-FR"/>
        </w:rPr>
        <w:t>outils</w:t>
      </w:r>
      <w:r w:rsidRPr="00DB6C66">
        <w:rPr>
          <w:lang w:val="fr-FR"/>
        </w:rPr>
        <w:t xml:space="preserve"> d</w:t>
      </w:r>
      <w:r w:rsidR="00280EEC">
        <w:rPr>
          <w:lang w:val="fr-FR"/>
        </w:rPr>
        <w:t>’</w:t>
      </w:r>
      <w:r w:rsidRPr="00DB6C66">
        <w:rPr>
          <w:lang w:val="fr-FR"/>
        </w:rPr>
        <w:t>aide à la recherche et à l</w:t>
      </w:r>
      <w:r w:rsidR="00280EEC">
        <w:rPr>
          <w:lang w:val="fr-FR"/>
        </w:rPr>
        <w:t>’</w:t>
      </w:r>
      <w:r w:rsidRPr="00DB6C66">
        <w:rPr>
          <w:lang w:val="fr-FR"/>
        </w:rPr>
        <w:t>examen.</w:t>
      </w:r>
    </w:p>
    <w:p w:rsidR="006D3583" w:rsidRPr="00DB6C66" w:rsidRDefault="0075654E" w:rsidP="00620A17">
      <w:pPr>
        <w:pStyle w:val="Heading2"/>
        <w:rPr>
          <w:lang w:val="fr-FR"/>
        </w:rPr>
      </w:pPr>
      <w:r w:rsidRPr="00DB6C66">
        <w:rPr>
          <w:lang w:val="fr-FR"/>
        </w:rPr>
        <w:t>2.3.</w:t>
      </w:r>
      <w:r w:rsidR="00B52F94" w:rsidRPr="00DB6C66">
        <w:rPr>
          <w:lang w:val="fr-FR"/>
        </w:rPr>
        <w:tab/>
      </w:r>
      <w:r w:rsidR="00DE7B6C" w:rsidRPr="00DB6C66">
        <w:rPr>
          <w:lang w:val="fr-FR"/>
        </w:rPr>
        <w:t>Systèmes de recherche et documentation minimale</w:t>
      </w:r>
      <w:r w:rsidR="00E01D11" w:rsidRPr="00DB6C66">
        <w:rPr>
          <w:lang w:val="fr-FR"/>
        </w:rPr>
        <w:t xml:space="preserve"> du PCT</w:t>
      </w:r>
    </w:p>
    <w:p w:rsidR="00CA38B1" w:rsidRPr="00DB6C66" w:rsidRDefault="00CA38B1" w:rsidP="006D3583">
      <w:pPr>
        <w:pStyle w:val="ONUMFS"/>
        <w:rPr>
          <w:lang w:val="fr-FR"/>
        </w:rPr>
      </w:pPr>
      <w:r w:rsidRPr="00DB6C66">
        <w:rPr>
          <w:lang w:val="fr-FR"/>
        </w:rPr>
        <w:t>Les examinateurs de tous les offices participants ont accès à une large gamme d</w:t>
      </w:r>
      <w:r w:rsidR="00280EEC">
        <w:rPr>
          <w:lang w:val="fr-FR"/>
        </w:rPr>
        <w:t>’</w:t>
      </w:r>
      <w:r w:rsidRPr="00DB6C66">
        <w:rPr>
          <w:lang w:val="fr-FR"/>
        </w:rPr>
        <w:t>informations sur les brevets et à la littérature scientifique, ainsi qu</w:t>
      </w:r>
      <w:r w:rsidR="00280EEC">
        <w:rPr>
          <w:lang w:val="fr-FR"/>
        </w:rPr>
        <w:t>’</w:t>
      </w:r>
      <w:r w:rsidRPr="00DB6C66">
        <w:rPr>
          <w:lang w:val="fr-FR"/>
        </w:rPr>
        <w:t xml:space="preserve">à des outils de recherche et différents liens.  Étant donné que les quatre pays de </w:t>
      </w:r>
      <w:proofErr w:type="spellStart"/>
      <w:r w:rsidRPr="00DB6C66">
        <w:rPr>
          <w:lang w:val="fr-FR"/>
        </w:rPr>
        <w:t>Visegrad</w:t>
      </w:r>
      <w:proofErr w:type="spellEnd"/>
      <w:r w:rsidRPr="00DB6C66">
        <w:rPr>
          <w:lang w:val="fr-FR"/>
        </w:rPr>
        <w:t xml:space="preserve"> sont des États contractants de la Convention sur le brevet européen, les offices participant</w:t>
      </w:r>
      <w:r w:rsidR="004477D3" w:rsidRPr="00DB6C66">
        <w:rPr>
          <w:lang w:val="fr-FR"/>
        </w:rPr>
        <w:t>s</w:t>
      </w:r>
      <w:r w:rsidRPr="00DB6C66">
        <w:rPr>
          <w:lang w:val="fr-FR"/>
        </w:rPr>
        <w:t xml:space="preserve"> du VPI ont accès à </w:t>
      </w:r>
      <w:proofErr w:type="spellStart"/>
      <w:r w:rsidRPr="00DB6C66">
        <w:rPr>
          <w:lang w:val="fr-FR"/>
        </w:rPr>
        <w:t>EPOQUENet</w:t>
      </w:r>
      <w:proofErr w:type="spellEnd"/>
      <w:r w:rsidRPr="00DB6C66">
        <w:rPr>
          <w:lang w:val="fr-FR"/>
        </w:rPr>
        <w:t xml:space="preserve"> ainsi qu</w:t>
      </w:r>
      <w:r w:rsidR="00280EEC">
        <w:rPr>
          <w:lang w:val="fr-FR"/>
        </w:rPr>
        <w:t>’</w:t>
      </w:r>
      <w:r w:rsidRPr="00DB6C66">
        <w:rPr>
          <w:lang w:val="fr-FR"/>
        </w:rPr>
        <w:t>à plusieurs plates</w:t>
      </w:r>
      <w:r w:rsidR="008117E3">
        <w:rPr>
          <w:lang w:val="fr-FR"/>
        </w:rPr>
        <w:noBreakHyphen/>
      </w:r>
      <w:r w:rsidRPr="00DB6C66">
        <w:rPr>
          <w:lang w:val="fr-FR"/>
        </w:rPr>
        <w:t>formes de recherche commerciales :</w:t>
      </w:r>
    </w:p>
    <w:p w:rsidR="00CA38B1" w:rsidRPr="00DB6C66" w:rsidRDefault="00CA38B1" w:rsidP="009C72E7">
      <w:pPr>
        <w:pStyle w:val="ONUMFS"/>
        <w:numPr>
          <w:ilvl w:val="1"/>
          <w:numId w:val="6"/>
        </w:numPr>
        <w:rPr>
          <w:lang w:val="fr-FR"/>
        </w:rPr>
      </w:pPr>
      <w:r w:rsidRPr="00DB6C66">
        <w:rPr>
          <w:lang w:val="fr-FR"/>
        </w:rPr>
        <w:t>L</w:t>
      </w:r>
      <w:r w:rsidR="00280EEC">
        <w:rPr>
          <w:lang w:val="fr-FR"/>
        </w:rPr>
        <w:t>’</w:t>
      </w:r>
      <w:r w:rsidRPr="00DB6C66">
        <w:rPr>
          <w:lang w:val="fr-FR"/>
        </w:rPr>
        <w:t xml:space="preserve">outil de recherche </w:t>
      </w:r>
      <w:proofErr w:type="spellStart"/>
      <w:r w:rsidRPr="00DB6C66">
        <w:rPr>
          <w:lang w:val="fr-FR"/>
        </w:rPr>
        <w:t>EPOQUENet</w:t>
      </w:r>
      <w:proofErr w:type="spellEnd"/>
      <w:r w:rsidRPr="00DB6C66">
        <w:rPr>
          <w:lang w:val="fr-FR"/>
        </w:rPr>
        <w:t xml:space="preserve"> donne accès à toutes les bases de données de brevets répondant aux critères de documentation minimale du PCT, ainsi qu</w:t>
      </w:r>
      <w:r w:rsidR="00280EEC">
        <w:rPr>
          <w:lang w:val="fr-FR"/>
        </w:rPr>
        <w:t>’</w:t>
      </w:r>
      <w:r w:rsidRPr="00DB6C66">
        <w:rPr>
          <w:lang w:val="fr-FR"/>
        </w:rPr>
        <w:t>à la plupart des bases de données de littérature non</w:t>
      </w:r>
      <w:r w:rsidR="008117E3">
        <w:rPr>
          <w:lang w:val="fr-FR"/>
        </w:rPr>
        <w:noBreakHyphen/>
      </w:r>
      <w:r w:rsidRPr="00DB6C66">
        <w:rPr>
          <w:lang w:val="fr-FR"/>
        </w:rPr>
        <w:t>brevet et aux bases de données d</w:t>
      </w:r>
      <w:r w:rsidR="00280EEC">
        <w:rPr>
          <w:lang w:val="fr-FR"/>
        </w:rPr>
        <w:t>’</w:t>
      </w:r>
      <w:r w:rsidRPr="00DB6C66">
        <w:rPr>
          <w:lang w:val="fr-FR"/>
        </w:rPr>
        <w:t>autres sources commerciales (par exemple WPI).</w:t>
      </w:r>
    </w:p>
    <w:p w:rsidR="00CA38B1" w:rsidRPr="00DB6C66" w:rsidRDefault="00CA38B1" w:rsidP="009C72E7">
      <w:pPr>
        <w:pStyle w:val="ONUMFS"/>
        <w:numPr>
          <w:ilvl w:val="1"/>
          <w:numId w:val="6"/>
        </w:numPr>
        <w:rPr>
          <w:lang w:val="fr-FR"/>
        </w:rPr>
      </w:pPr>
      <w:r w:rsidRPr="00DB6C66">
        <w:rPr>
          <w:lang w:val="fr-FR"/>
        </w:rPr>
        <w:t>Le logiciel STN Express permet d</w:t>
      </w:r>
      <w:r w:rsidR="00280EEC">
        <w:rPr>
          <w:lang w:val="fr-FR"/>
        </w:rPr>
        <w:t>’</w:t>
      </w:r>
      <w:r w:rsidRPr="00DB6C66">
        <w:rPr>
          <w:lang w:val="fr-FR"/>
        </w:rPr>
        <w:t>effectuer des recherches dans les bases de données du réseau STN International et de les étendre à d</w:t>
      </w:r>
      <w:r w:rsidR="00280EEC">
        <w:rPr>
          <w:lang w:val="fr-FR"/>
        </w:rPr>
        <w:t>’</w:t>
      </w:r>
      <w:r w:rsidRPr="00DB6C66">
        <w:rPr>
          <w:lang w:val="fr-FR"/>
        </w:rPr>
        <w:t>autres bases de données de brevets, de littérature non</w:t>
      </w:r>
      <w:r w:rsidR="008117E3">
        <w:rPr>
          <w:lang w:val="fr-FR"/>
        </w:rPr>
        <w:noBreakHyphen/>
      </w:r>
      <w:r w:rsidRPr="00DB6C66">
        <w:rPr>
          <w:lang w:val="fr-FR"/>
        </w:rPr>
        <w:t>brevet et de documentation commerciale de Thomson Reuters par le biais du système Thomson Innovation.  STN est surtout employé pour les recherches de structure (par exemple dans les enregistrements CAP (</w:t>
      </w:r>
      <w:proofErr w:type="spellStart"/>
      <w:r w:rsidRPr="00DB6C66">
        <w:rPr>
          <w:i/>
          <w:lang w:val="fr-FR"/>
        </w:rPr>
        <w:t>Continued</w:t>
      </w:r>
      <w:proofErr w:type="spellEnd"/>
      <w:r w:rsidRPr="00DB6C66">
        <w:rPr>
          <w:i/>
          <w:lang w:val="fr-FR"/>
        </w:rPr>
        <w:t xml:space="preserve"> Access Protocol</w:t>
      </w:r>
      <w:r w:rsidRPr="00DB6C66">
        <w:rPr>
          <w:lang w:val="fr-FR"/>
        </w:rPr>
        <w:t>) et CAS (</w:t>
      </w:r>
      <w:r w:rsidRPr="00DB6C66">
        <w:rPr>
          <w:i/>
          <w:lang w:val="fr-FR"/>
        </w:rPr>
        <w:t>Chemical Abstracts Service</w:t>
      </w:r>
      <w:r w:rsidRPr="00DB6C66">
        <w:rPr>
          <w:lang w:val="fr-FR"/>
        </w:rPr>
        <w:t>)) dans les domaines de la chimie et de la pharmacie, ainsi que pour les recherches sur des séquences de nucléotides ou d</w:t>
      </w:r>
      <w:r w:rsidR="00280EEC">
        <w:rPr>
          <w:lang w:val="fr-FR"/>
        </w:rPr>
        <w:t>’</w:t>
      </w:r>
      <w:r w:rsidRPr="00DB6C66">
        <w:rPr>
          <w:lang w:val="fr-FR"/>
        </w:rPr>
        <w:t xml:space="preserve">acides aminés (enregistrements CAS, USGENE®, </w:t>
      </w:r>
      <w:proofErr w:type="spellStart"/>
      <w:r w:rsidRPr="00DB6C66">
        <w:rPr>
          <w:lang w:val="fr-FR"/>
        </w:rPr>
        <w:t>PCTGen</w:t>
      </w:r>
      <w:proofErr w:type="spellEnd"/>
      <w:r w:rsidRPr="00DB6C66">
        <w:rPr>
          <w:lang w:val="fr-FR"/>
        </w:rPr>
        <w:t xml:space="preserve"> et </w:t>
      </w:r>
      <w:proofErr w:type="spellStart"/>
      <w:r w:rsidRPr="00DB6C66">
        <w:rPr>
          <w:lang w:val="fr-FR"/>
        </w:rPr>
        <w:t>DGene</w:t>
      </w:r>
      <w:proofErr w:type="spellEnd"/>
      <w:r w:rsidRPr="00DB6C66">
        <w:rPr>
          <w:lang w:val="fr-FR"/>
        </w:rPr>
        <w:t>) dans le domaine de la biotechnologie.</w:t>
      </w:r>
    </w:p>
    <w:p w:rsidR="00CA38B1" w:rsidRPr="00DB6C66" w:rsidRDefault="00CA38B1" w:rsidP="009C72E7">
      <w:pPr>
        <w:pStyle w:val="ONUMFS"/>
        <w:numPr>
          <w:ilvl w:val="1"/>
          <w:numId w:val="6"/>
        </w:numPr>
        <w:rPr>
          <w:lang w:val="fr-FR"/>
        </w:rPr>
      </w:pPr>
      <w:r w:rsidRPr="00DB6C66">
        <w:rPr>
          <w:lang w:val="fr-FR"/>
        </w:rPr>
        <w:t>Il est également possible d</w:t>
      </w:r>
      <w:r w:rsidR="00280EEC">
        <w:rPr>
          <w:lang w:val="fr-FR"/>
        </w:rPr>
        <w:t>’</w:t>
      </w:r>
      <w:r w:rsidRPr="00DB6C66">
        <w:rPr>
          <w:lang w:val="fr-FR"/>
        </w:rPr>
        <w:t>effectuer des recherches dans d</w:t>
      </w:r>
      <w:r w:rsidR="00280EEC">
        <w:rPr>
          <w:lang w:val="fr-FR"/>
        </w:rPr>
        <w:t>’</w:t>
      </w:r>
      <w:r w:rsidRPr="00DB6C66">
        <w:rPr>
          <w:lang w:val="fr-FR"/>
        </w:rPr>
        <w:t>autres bases de données de littérature non</w:t>
      </w:r>
      <w:r w:rsidR="008117E3">
        <w:rPr>
          <w:lang w:val="fr-FR"/>
        </w:rPr>
        <w:noBreakHyphen/>
      </w:r>
      <w:r w:rsidRPr="00DB6C66">
        <w:rPr>
          <w:lang w:val="fr-FR"/>
        </w:rPr>
        <w:t xml:space="preserve">brevet comme MEDLINE, ELSEVIER, EMBASE, IEEE et PUBCHEM au moyen </w:t>
      </w:r>
      <w:proofErr w:type="gramStart"/>
      <w:r w:rsidRPr="00DB6C66">
        <w:rPr>
          <w:lang w:val="fr-FR"/>
        </w:rPr>
        <w:t>d</w:t>
      </w:r>
      <w:r w:rsidR="00280EEC">
        <w:rPr>
          <w:lang w:val="fr-FR"/>
        </w:rPr>
        <w:t>’</w:t>
      </w:r>
      <w:r w:rsidRPr="00DB6C66">
        <w:rPr>
          <w:lang w:val="fr-FR"/>
        </w:rPr>
        <w:t xml:space="preserve"> </w:t>
      </w:r>
      <w:proofErr w:type="spellStart"/>
      <w:r w:rsidRPr="00DB6C66">
        <w:rPr>
          <w:lang w:val="fr-FR"/>
        </w:rPr>
        <w:t>EPOQUENet</w:t>
      </w:r>
      <w:proofErr w:type="spellEnd"/>
      <w:proofErr w:type="gramEnd"/>
      <w:r w:rsidRPr="00DB6C66">
        <w:rPr>
          <w:lang w:val="fr-FR"/>
        </w:rPr>
        <w:t xml:space="preserve"> ou de STN, ou directement à partir d</w:t>
      </w:r>
      <w:r w:rsidR="00280EEC">
        <w:rPr>
          <w:lang w:val="fr-FR"/>
        </w:rPr>
        <w:t>’</w:t>
      </w:r>
      <w:r w:rsidRPr="00DB6C66">
        <w:rPr>
          <w:lang w:val="fr-FR"/>
        </w:rPr>
        <w:t>outils de recherche sur le Web.</w:t>
      </w:r>
    </w:p>
    <w:p w:rsidR="00CA38B1" w:rsidRPr="00DB6C66" w:rsidRDefault="00CA38B1" w:rsidP="009C72E7">
      <w:pPr>
        <w:pStyle w:val="ONUMFS"/>
        <w:numPr>
          <w:ilvl w:val="1"/>
          <w:numId w:val="6"/>
        </w:numPr>
        <w:rPr>
          <w:lang w:val="fr-FR"/>
        </w:rPr>
      </w:pPr>
      <w:r w:rsidRPr="00DB6C66">
        <w:rPr>
          <w:lang w:val="fr-FR"/>
        </w:rPr>
        <w:t>Une documentation sur des brevets et des modèles d</w:t>
      </w:r>
      <w:r w:rsidR="00280EEC">
        <w:rPr>
          <w:lang w:val="fr-FR"/>
        </w:rPr>
        <w:t>’</w:t>
      </w:r>
      <w:r w:rsidRPr="00DB6C66">
        <w:rPr>
          <w:lang w:val="fr-FR"/>
        </w:rPr>
        <w:t>utilité de plus de 80 pays et administrations, qui remonte jusqu</w:t>
      </w:r>
      <w:r w:rsidR="00280EEC">
        <w:rPr>
          <w:lang w:val="fr-FR"/>
        </w:rPr>
        <w:t>’</w:t>
      </w:r>
      <w:r w:rsidRPr="00DB6C66">
        <w:rPr>
          <w:lang w:val="fr-FR"/>
        </w:rPr>
        <w:t>en 1920, peut aussi être consultée à partir de CD ou de DVD dans tous les offices participant</w:t>
      </w:r>
      <w:r w:rsidR="004477D3" w:rsidRPr="00DB6C66">
        <w:rPr>
          <w:lang w:val="fr-FR"/>
        </w:rPr>
        <w:t>s</w:t>
      </w:r>
      <w:r w:rsidRPr="00DB6C66">
        <w:rPr>
          <w:lang w:val="fr-FR"/>
        </w:rPr>
        <w:t xml:space="preserve"> </w:t>
      </w:r>
      <w:r w:rsidR="00482F34" w:rsidRPr="00DB6C66">
        <w:rPr>
          <w:lang w:val="fr-FR"/>
        </w:rPr>
        <w:t>d</w:t>
      </w:r>
      <w:r w:rsidR="0095528C" w:rsidRPr="00DB6C66">
        <w:rPr>
          <w:lang w:val="fr-FR"/>
        </w:rPr>
        <w:t>u VPI</w:t>
      </w:r>
      <w:r w:rsidRPr="00DB6C66">
        <w:rPr>
          <w:lang w:val="fr-FR"/>
        </w:rPr>
        <w:t>.</w:t>
      </w:r>
    </w:p>
    <w:p w:rsidR="00CA38B1" w:rsidRPr="00DB6C66" w:rsidRDefault="00CA38B1" w:rsidP="009C72E7">
      <w:pPr>
        <w:pStyle w:val="ONUMFS"/>
        <w:numPr>
          <w:ilvl w:val="1"/>
          <w:numId w:val="6"/>
        </w:numPr>
        <w:rPr>
          <w:lang w:val="fr-FR"/>
        </w:rPr>
      </w:pPr>
      <w:r w:rsidRPr="00DB6C66">
        <w:rPr>
          <w:lang w:val="fr-FR"/>
        </w:rPr>
        <w:t>Ces offices peuvent en outre consulter des informations sur les brevets et les modèles d</w:t>
      </w:r>
      <w:r w:rsidR="00280EEC">
        <w:rPr>
          <w:lang w:val="fr-FR"/>
        </w:rPr>
        <w:t>’</w:t>
      </w:r>
      <w:r w:rsidRPr="00DB6C66">
        <w:rPr>
          <w:lang w:val="fr-FR"/>
        </w:rPr>
        <w:t>utilité nationaux délivrés par d</w:t>
      </w:r>
      <w:r w:rsidR="00280EEC">
        <w:rPr>
          <w:lang w:val="fr-FR"/>
        </w:rPr>
        <w:t>’</w:t>
      </w:r>
      <w:r w:rsidRPr="00DB6C66">
        <w:rPr>
          <w:lang w:val="fr-FR"/>
        </w:rPr>
        <w:t>autres offices de la propriété intellectuelle par le biais de bases de données nationales accessibles en ligne.</w:t>
      </w:r>
    </w:p>
    <w:p w:rsidR="00CA38B1" w:rsidRPr="00DB6C66" w:rsidRDefault="00CA38B1" w:rsidP="009C72E7">
      <w:pPr>
        <w:pStyle w:val="ONUMFS"/>
        <w:numPr>
          <w:ilvl w:val="1"/>
          <w:numId w:val="6"/>
        </w:numPr>
        <w:rPr>
          <w:lang w:val="fr-FR"/>
        </w:rPr>
      </w:pPr>
      <w:r w:rsidRPr="00DB6C66">
        <w:rPr>
          <w:lang w:val="fr-FR"/>
        </w:rPr>
        <w:t>Outre les bases de données électroniques précitées, les offices participants disposent de bibliothèques qui reçoivent des bulletins et journaux officiels du monde entier, et qui possèdent des ouvrages concernant différents domaines technologiques, scientifiques, juridiques et linguistiques.  Un grand nombre de revues et autres publications périodiques spécialisées peuvent aussi y être consultées.</w:t>
      </w:r>
    </w:p>
    <w:p w:rsidR="00CA38B1" w:rsidRPr="00DB6C66" w:rsidRDefault="00CA38B1" w:rsidP="009C72E7">
      <w:pPr>
        <w:pStyle w:val="ONUMFS"/>
        <w:numPr>
          <w:ilvl w:val="1"/>
          <w:numId w:val="6"/>
        </w:numPr>
        <w:rPr>
          <w:lang w:val="fr-FR"/>
        </w:rPr>
      </w:pPr>
      <w:r w:rsidRPr="00DB6C66">
        <w:rPr>
          <w:lang w:val="fr-FR"/>
        </w:rPr>
        <w:lastRenderedPageBreak/>
        <w:t>Chaque office participant a accès à toutes les bases de données des systèmes de classification.  Les examinateurs emploient ces systèmes au quotidien dans le cadre de leurs recherches.  Ils ont notamment une connaissance approfondie de la CIB et de la nouvelle classification CPC.</w:t>
      </w:r>
    </w:p>
    <w:p w:rsidR="00CA38B1" w:rsidRPr="00DB6C66" w:rsidRDefault="00CA38B1" w:rsidP="006D3583">
      <w:pPr>
        <w:pStyle w:val="ONUMFS"/>
        <w:rPr>
          <w:lang w:val="fr-FR"/>
        </w:rPr>
      </w:pPr>
      <w:r w:rsidRPr="00DB6C66">
        <w:rPr>
          <w:lang w:val="fr-FR"/>
        </w:rPr>
        <w:t>Les offices participants actualisent en permanence leurs accès aux bases de données de brevets et de littérature non</w:t>
      </w:r>
      <w:r w:rsidR="008117E3">
        <w:rPr>
          <w:lang w:val="fr-FR"/>
        </w:rPr>
        <w:noBreakHyphen/>
      </w:r>
      <w:r w:rsidRPr="00DB6C66">
        <w:rPr>
          <w:lang w:val="fr-FR"/>
        </w:rPr>
        <w:t>brevet, et ils améliorent constamment leurs procédures de recherche en ajoutant de nouvelles bases de données et d</w:t>
      </w:r>
      <w:r w:rsidR="00280EEC">
        <w:rPr>
          <w:lang w:val="fr-FR"/>
        </w:rPr>
        <w:t>’</w:t>
      </w:r>
      <w:r w:rsidRPr="00DB6C66">
        <w:rPr>
          <w:lang w:val="fr-FR"/>
        </w:rPr>
        <w:t>autres sources d</w:t>
      </w:r>
      <w:r w:rsidR="00280EEC">
        <w:rPr>
          <w:lang w:val="fr-FR"/>
        </w:rPr>
        <w:t>’</w:t>
      </w:r>
      <w:r w:rsidRPr="00DB6C66">
        <w:rPr>
          <w:lang w:val="fr-FR"/>
        </w:rPr>
        <w:t>information.  Ils contribuent ainsi à l</w:t>
      </w:r>
      <w:r w:rsidR="00280EEC">
        <w:rPr>
          <w:lang w:val="fr-FR"/>
        </w:rPr>
        <w:t>’</w:t>
      </w:r>
      <w:r w:rsidRPr="00DB6C66">
        <w:rPr>
          <w:lang w:val="fr-FR"/>
        </w:rPr>
        <w:t>établissement et au maintien de procédures de recherche de haute qualité.</w:t>
      </w:r>
    </w:p>
    <w:p w:rsidR="00CA38B1" w:rsidRPr="00DB6C66" w:rsidRDefault="00CA38B1" w:rsidP="006D3583">
      <w:pPr>
        <w:pStyle w:val="ONUMFS"/>
        <w:rPr>
          <w:lang w:val="fr-FR"/>
        </w:rPr>
      </w:pPr>
      <w:r w:rsidRPr="00DB6C66">
        <w:rPr>
          <w:lang w:val="fr-FR"/>
        </w:rPr>
        <w:t>Les examinateurs de ces offices suivent des formations et assistent à des séminaires concernant la recherche de brevets, et portant plus particulièrement sur la manière d</w:t>
      </w:r>
      <w:r w:rsidR="00280EEC">
        <w:rPr>
          <w:lang w:val="fr-FR"/>
        </w:rPr>
        <w:t>’</w:t>
      </w:r>
      <w:r w:rsidRPr="00DB6C66">
        <w:rPr>
          <w:lang w:val="fr-FR"/>
        </w:rPr>
        <w:t>employer efficacement les bases de données de brevets et de littérature non</w:t>
      </w:r>
      <w:r w:rsidR="008117E3">
        <w:rPr>
          <w:lang w:val="fr-FR"/>
        </w:rPr>
        <w:noBreakHyphen/>
      </w:r>
      <w:r w:rsidRPr="00DB6C66">
        <w:rPr>
          <w:lang w:val="fr-FR"/>
        </w:rPr>
        <w:t>brevet.</w:t>
      </w:r>
    </w:p>
    <w:p w:rsidR="00CA38B1" w:rsidRPr="00DB6C66" w:rsidRDefault="00CA38B1" w:rsidP="006D3583">
      <w:pPr>
        <w:pStyle w:val="ONUMFS"/>
        <w:rPr>
          <w:lang w:val="fr-FR"/>
        </w:rPr>
      </w:pPr>
      <w:r w:rsidRPr="00DB6C66">
        <w:rPr>
          <w:lang w:val="fr-FR"/>
        </w:rPr>
        <w:t>Les plates</w:t>
      </w:r>
      <w:r w:rsidR="008117E3">
        <w:rPr>
          <w:lang w:val="fr-FR"/>
        </w:rPr>
        <w:noBreakHyphen/>
      </w:r>
      <w:r w:rsidRPr="00DB6C66">
        <w:rPr>
          <w:lang w:val="fr-FR"/>
        </w:rPr>
        <w:t>formes de recherche précitées permettent aux examinateurs d</w:t>
      </w:r>
      <w:r w:rsidR="00280EEC">
        <w:rPr>
          <w:lang w:val="fr-FR"/>
        </w:rPr>
        <w:t>’</w:t>
      </w:r>
      <w:r w:rsidRPr="00DB6C66">
        <w:rPr>
          <w:lang w:val="fr-FR"/>
        </w:rPr>
        <w:t>accéder au moins à la documentation minimale prévue à la règle 34 du règlement d</w:t>
      </w:r>
      <w:r w:rsidR="00280EEC">
        <w:rPr>
          <w:lang w:val="fr-FR"/>
        </w:rPr>
        <w:t>’</w:t>
      </w:r>
      <w:r w:rsidRPr="00DB6C66">
        <w:rPr>
          <w:lang w:val="fr-FR"/>
        </w:rPr>
        <w:t>exécution du PCT.</w:t>
      </w:r>
    </w:p>
    <w:p w:rsidR="00A703E3" w:rsidRPr="00DB6C66" w:rsidRDefault="00A703E3" w:rsidP="00620A17">
      <w:pPr>
        <w:pStyle w:val="Heading2"/>
        <w:rPr>
          <w:lang w:val="fr-FR"/>
        </w:rPr>
      </w:pPr>
      <w:r w:rsidRPr="00DB6C66">
        <w:rPr>
          <w:lang w:val="fr-FR"/>
        </w:rPr>
        <w:t>2.4.</w:t>
      </w:r>
      <w:r w:rsidRPr="00DB6C66">
        <w:rPr>
          <w:lang w:val="fr-FR"/>
        </w:rPr>
        <w:tab/>
        <w:t>Système de gestion de la qualité et dispositions internes en matière d</w:t>
      </w:r>
      <w:r w:rsidR="00280EEC">
        <w:rPr>
          <w:lang w:val="fr-FR"/>
        </w:rPr>
        <w:t>’</w:t>
      </w:r>
      <w:r w:rsidRPr="00DB6C66">
        <w:rPr>
          <w:lang w:val="fr-FR"/>
        </w:rPr>
        <w:t>évaluation</w:t>
      </w:r>
    </w:p>
    <w:p w:rsidR="00B517D8" w:rsidRPr="00DB6C66" w:rsidRDefault="00B517D8" w:rsidP="00A703E3">
      <w:pPr>
        <w:pStyle w:val="ONUMFS"/>
        <w:rPr>
          <w:lang w:val="fr-FR"/>
        </w:rPr>
      </w:pPr>
      <w:r w:rsidRPr="00DB6C66">
        <w:rPr>
          <w:lang w:val="fr-FR"/>
        </w:rPr>
        <w:t>Le paragraphe d) de l</w:t>
      </w:r>
      <w:r w:rsidR="00280EEC">
        <w:rPr>
          <w:lang w:val="fr-FR"/>
        </w:rPr>
        <w:t>’</w:t>
      </w:r>
      <w:r w:rsidRPr="00DB6C66">
        <w:rPr>
          <w:lang w:val="fr-FR"/>
        </w:rPr>
        <w:t>accord de principe concernant les procédures de nomination des administrations internationales, adopté par l</w:t>
      </w:r>
      <w:r w:rsidR="00280EEC">
        <w:rPr>
          <w:lang w:val="fr-FR"/>
        </w:rPr>
        <w:t>’</w:t>
      </w:r>
      <w:r w:rsidRPr="00DB6C66">
        <w:rPr>
          <w:lang w:val="fr-FR"/>
        </w:rPr>
        <w:t>Assemblée de l</w:t>
      </w:r>
      <w:r w:rsidR="00280EEC">
        <w:rPr>
          <w:lang w:val="fr-FR"/>
        </w:rPr>
        <w:t>’</w:t>
      </w:r>
      <w:r w:rsidRPr="00DB6C66">
        <w:rPr>
          <w:lang w:val="fr-FR"/>
        </w:rPr>
        <w:t>Union du PCT à sa quarante</w:t>
      </w:r>
      <w:r w:rsidR="008117E3">
        <w:rPr>
          <w:lang w:val="fr-FR"/>
        </w:rPr>
        <w:noBreakHyphen/>
      </w:r>
      <w:r w:rsidRPr="00DB6C66">
        <w:rPr>
          <w:lang w:val="fr-FR"/>
        </w:rPr>
        <w:t>sixième session en septembre 2014 (ci</w:t>
      </w:r>
      <w:r w:rsidR="008117E3">
        <w:rPr>
          <w:lang w:val="fr-FR"/>
        </w:rPr>
        <w:noBreakHyphen/>
      </w:r>
      <w:r w:rsidRPr="00DB6C66">
        <w:rPr>
          <w:lang w:val="fr-FR"/>
        </w:rPr>
        <w:t>après “accord de principe du PCT de 2014”)</w:t>
      </w:r>
      <w:r w:rsidRPr="00DB6C66">
        <w:rPr>
          <w:rStyle w:val="FootnoteReference"/>
          <w:rFonts w:ascii="Arial" w:hAnsi="Arial" w:cs="Arial"/>
          <w:lang w:val="fr-FR"/>
        </w:rPr>
        <w:footnoteReference w:id="6"/>
      </w:r>
      <w:r w:rsidRPr="00DB6C66">
        <w:rPr>
          <w:lang w:val="fr-FR"/>
        </w:rPr>
        <w:t>, contient des éclaircissements sur le fait qu</w:t>
      </w:r>
      <w:r w:rsidR="00280EEC">
        <w:rPr>
          <w:lang w:val="fr-FR"/>
        </w:rPr>
        <w:t>’</w:t>
      </w:r>
      <w:r w:rsidRPr="00DB6C66">
        <w:rPr>
          <w:lang w:val="fr-FR"/>
        </w:rPr>
        <w:t>il est exigé de tout office national ou organisation intergouvernementale candidat à la nomination de disposer d</w:t>
      </w:r>
      <w:r w:rsidR="00280EEC">
        <w:rPr>
          <w:lang w:val="fr-FR"/>
        </w:rPr>
        <w:t>’</w:t>
      </w:r>
      <w:r w:rsidRPr="00DB6C66">
        <w:rPr>
          <w:lang w:val="fr-FR"/>
        </w:rPr>
        <w:t>un système de gestion de la qualité et de dispositions internes en matière d</w:t>
      </w:r>
      <w:r w:rsidR="00280EEC">
        <w:rPr>
          <w:lang w:val="fr-FR"/>
        </w:rPr>
        <w:t>’</w:t>
      </w:r>
      <w:r w:rsidRPr="00DB6C66">
        <w:rPr>
          <w:lang w:val="fr-FR"/>
        </w:rPr>
        <w:t>évaluation conformément aux règles communes de la recherche internationale.  Il indique que lorsqu</w:t>
      </w:r>
      <w:r w:rsidR="00280EEC">
        <w:rPr>
          <w:lang w:val="fr-FR"/>
        </w:rPr>
        <w:t>’</w:t>
      </w:r>
      <w:r w:rsidRPr="00DB6C66">
        <w:rPr>
          <w:lang w:val="fr-FR"/>
        </w:rPr>
        <w:t>un tel système n</w:t>
      </w:r>
      <w:r w:rsidR="00280EEC">
        <w:rPr>
          <w:lang w:val="fr-FR"/>
        </w:rPr>
        <w:t>’</w:t>
      </w:r>
      <w:r w:rsidRPr="00DB6C66">
        <w:rPr>
          <w:lang w:val="fr-FR"/>
        </w:rPr>
        <w:t>est pas encore en place au moment de la nomination par l</w:t>
      </w:r>
      <w:r w:rsidR="00280EEC">
        <w:rPr>
          <w:lang w:val="fr-FR"/>
        </w:rPr>
        <w:t>’</w:t>
      </w:r>
      <w:r w:rsidRPr="00DB6C66">
        <w:rPr>
          <w:lang w:val="fr-FR"/>
        </w:rPr>
        <w:t>assemblée, il suffit que ce système soit complètement programmé et, de préférence, que des systèmes similaires soient déjà opérationnels en ce qui concerne les travaux de recherche et d</w:t>
      </w:r>
      <w:r w:rsidR="00280EEC">
        <w:rPr>
          <w:lang w:val="fr-FR"/>
        </w:rPr>
        <w:t>’</w:t>
      </w:r>
      <w:r w:rsidRPr="00DB6C66">
        <w:rPr>
          <w:lang w:val="fr-FR"/>
        </w:rPr>
        <w:t>examen nationaux pour témoigner d</w:t>
      </w:r>
      <w:r w:rsidR="00280EEC">
        <w:rPr>
          <w:lang w:val="fr-FR"/>
        </w:rPr>
        <w:t>’</w:t>
      </w:r>
      <w:r w:rsidRPr="00DB6C66">
        <w:rPr>
          <w:lang w:val="fr-FR"/>
        </w:rPr>
        <w:t>une expérience appropriée.</w:t>
      </w:r>
    </w:p>
    <w:p w:rsidR="00B517D8" w:rsidRPr="00DB6C66" w:rsidRDefault="00B517D8" w:rsidP="00A703E3">
      <w:pPr>
        <w:pStyle w:val="ONUMFS"/>
        <w:rPr>
          <w:lang w:val="fr-FR"/>
        </w:rPr>
      </w:pPr>
      <w:r w:rsidRPr="00DB6C66">
        <w:rPr>
          <w:lang w:val="fr-FR"/>
        </w:rPr>
        <w:t>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établira son propre système de gestion de la qualité, qui couvrira l</w:t>
      </w:r>
      <w:r w:rsidR="00280EEC">
        <w:rPr>
          <w:lang w:val="fr-FR"/>
        </w:rPr>
        <w:t>’</w:t>
      </w:r>
      <w:r w:rsidRPr="00DB6C66">
        <w:rPr>
          <w:lang w:val="fr-FR"/>
        </w:rPr>
        <w:t>ensemble des services proposés à ses usagers.  Ce système visera en particulier le traitement des demandes selon le PCT dans la phase internationale, les recherches de type international découlant de demandes nationales, les travaux effectués sous contrat et les services commerciaux.  Sa planification sera entièrement achevée au moment où l</w:t>
      </w:r>
      <w:r w:rsidR="00280EEC">
        <w:rPr>
          <w:lang w:val="fr-FR"/>
        </w:rPr>
        <w:t>’</w:t>
      </w:r>
      <w:r w:rsidRPr="00DB6C66">
        <w:rPr>
          <w:lang w:val="fr-FR"/>
        </w:rPr>
        <w:t>Assemblée de l</w:t>
      </w:r>
      <w:r w:rsidR="00280EEC">
        <w:rPr>
          <w:lang w:val="fr-FR"/>
        </w:rPr>
        <w:t>’</w:t>
      </w:r>
      <w:r w:rsidRPr="00DB6C66">
        <w:rPr>
          <w:lang w:val="fr-FR"/>
        </w:rPr>
        <w:t xml:space="preserve">Union du PCT procédera à la nomination </w:t>
      </w:r>
      <w:r w:rsidR="0095528C" w:rsidRPr="00DB6C66">
        <w:rPr>
          <w:lang w:val="fr-FR"/>
        </w:rPr>
        <w:t>du VPI</w:t>
      </w:r>
      <w:r w:rsidRPr="00DB6C66">
        <w:rPr>
          <w:lang w:val="fr-FR"/>
        </w:rPr>
        <w:t xml:space="preserve"> en octobre 2015.  Le système de gestion de la qualité de l</w:t>
      </w:r>
      <w:r w:rsidR="00280EEC">
        <w:rPr>
          <w:lang w:val="fr-FR"/>
        </w:rPr>
        <w:t>’</w:t>
      </w:r>
      <w:r w:rsidR="0095528C" w:rsidRPr="00DB6C66">
        <w:rPr>
          <w:lang w:val="fr-FR"/>
        </w:rPr>
        <w:t>i</w:t>
      </w:r>
      <w:r w:rsidRPr="00DB6C66">
        <w:rPr>
          <w:lang w:val="fr-FR"/>
        </w:rPr>
        <w:t>nstitut sera certifié selon la norme ISO 9001.</w:t>
      </w:r>
    </w:p>
    <w:p w:rsidR="00B517D8" w:rsidRPr="00DB6C66" w:rsidRDefault="00B517D8" w:rsidP="00A703E3">
      <w:pPr>
        <w:pStyle w:val="ONUMFS"/>
        <w:rPr>
          <w:lang w:val="fr-FR"/>
        </w:rPr>
      </w:pPr>
      <w:r w:rsidRPr="00DB6C66">
        <w:rPr>
          <w:lang w:val="fr-FR"/>
        </w:rPr>
        <w:t>Pour mettre en place son système de gestion de la qualité,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recensera tous les éléments nécessaires au système (participants, fournisseurs, usagers) ainsi que la demande des usagers.  Des processus et procédures seront établis dans différents domaines, notamment la gouvernance (gestion), les activités de base et l</w:t>
      </w:r>
      <w:r w:rsidR="00280EEC">
        <w:rPr>
          <w:lang w:val="fr-FR"/>
        </w:rPr>
        <w:t>’</w:t>
      </w:r>
      <w:r w:rsidRPr="00DB6C66">
        <w:rPr>
          <w:lang w:val="fr-FR"/>
        </w:rPr>
        <w:t>appui (processus fonctionnels).  L</w:t>
      </w:r>
      <w:r w:rsidR="00280EEC">
        <w:rPr>
          <w:lang w:val="fr-FR"/>
        </w:rPr>
        <w:t>’</w:t>
      </w:r>
      <w:r w:rsidRPr="00DB6C66">
        <w:rPr>
          <w:lang w:val="fr-FR"/>
        </w:rPr>
        <w:t>ensemble des politiques, processus et procédures seront documentés au sein du système de gestion de la qualité.  Celui</w:t>
      </w:r>
      <w:r w:rsidR="008117E3">
        <w:rPr>
          <w:lang w:val="fr-FR"/>
        </w:rPr>
        <w:noBreakHyphen/>
      </w:r>
      <w:r w:rsidRPr="00DB6C66">
        <w:rPr>
          <w:lang w:val="fr-FR"/>
        </w:rPr>
        <w:t>ci sera mis en place selon des instructions détaillées, compréhensibles et réalisables pour que les objectifs de qualité puissent être atteints.  Un mécanisme d</w:t>
      </w:r>
      <w:r w:rsidR="00280EEC">
        <w:rPr>
          <w:lang w:val="fr-FR"/>
        </w:rPr>
        <w:t>’</w:t>
      </w:r>
      <w:r w:rsidRPr="00DB6C66">
        <w:rPr>
          <w:lang w:val="fr-FR"/>
        </w:rPr>
        <w:t>évaluation sera instauré pour vérifier que le système est conforme aux normes de qualité, et une équipe mixte d</w:t>
      </w:r>
      <w:r w:rsidR="00280EEC">
        <w:rPr>
          <w:lang w:val="fr-FR"/>
        </w:rPr>
        <w:t>’</w:t>
      </w:r>
      <w:r w:rsidRPr="00DB6C66">
        <w:rPr>
          <w:lang w:val="fr-FR"/>
        </w:rPr>
        <w:t>évaluation interne sera établie au sein d</w:t>
      </w:r>
      <w:r w:rsidR="009111BB" w:rsidRPr="00DB6C66">
        <w:rPr>
          <w:lang w:val="fr-FR"/>
        </w:rPr>
        <w:t>u VPI</w:t>
      </w:r>
      <w:r w:rsidRPr="00DB6C66">
        <w:rPr>
          <w:lang w:val="fr-FR"/>
        </w:rPr>
        <w:t>.  Outre les audits internes, des évaluations extérieures seront aussi effectuées à intervalles réguliers.</w:t>
      </w:r>
    </w:p>
    <w:p w:rsidR="00B517D8" w:rsidRPr="00DB6C66" w:rsidRDefault="00B517D8" w:rsidP="00A703E3">
      <w:pPr>
        <w:pStyle w:val="ONUMFS"/>
        <w:rPr>
          <w:lang w:val="fr-FR"/>
        </w:rPr>
      </w:pPr>
      <w:r w:rsidRPr="00DB6C66">
        <w:rPr>
          <w:lang w:val="fr-FR"/>
        </w:rPr>
        <w:lastRenderedPageBreak/>
        <w:t>Les offices participant</w:t>
      </w:r>
      <w:r w:rsidR="004477D3" w:rsidRPr="00DB6C66">
        <w:rPr>
          <w:lang w:val="fr-FR"/>
        </w:rPr>
        <w:t>s</w:t>
      </w:r>
      <w:r w:rsidRPr="00DB6C66">
        <w:rPr>
          <w:lang w:val="fr-FR"/>
        </w:rPr>
        <w:t xml:space="preserve"> </w:t>
      </w:r>
      <w:r w:rsidR="00482F34" w:rsidRPr="00DB6C66">
        <w:rPr>
          <w:lang w:val="fr-FR"/>
        </w:rPr>
        <w:t>d</w:t>
      </w:r>
      <w:r w:rsidR="009111BB" w:rsidRPr="00DB6C66">
        <w:rPr>
          <w:lang w:val="fr-FR"/>
        </w:rPr>
        <w:t>u VPI</w:t>
      </w:r>
      <w:r w:rsidRPr="00DB6C66">
        <w:rPr>
          <w:lang w:val="fr-FR"/>
        </w:rPr>
        <w:t xml:space="preserve"> ont déjà mis en place de longue date des systèmes de gestion de la qualité régissant leurs procédures nationales d</w:t>
      </w:r>
      <w:r w:rsidR="00280EEC">
        <w:rPr>
          <w:lang w:val="fr-FR"/>
        </w:rPr>
        <w:t>’</w:t>
      </w:r>
      <w:r w:rsidRPr="00DB6C66">
        <w:rPr>
          <w:lang w:val="fr-FR"/>
        </w:rPr>
        <w:t xml:space="preserve">octroi de brevets.  Les systèmes dont disposent les offices des quatre pays de </w:t>
      </w:r>
      <w:proofErr w:type="spellStart"/>
      <w:r w:rsidRPr="00DB6C66">
        <w:rPr>
          <w:lang w:val="fr-FR"/>
        </w:rPr>
        <w:t>Visegrad</w:t>
      </w:r>
      <w:proofErr w:type="spellEnd"/>
      <w:r w:rsidRPr="00DB6C66">
        <w:rPr>
          <w:lang w:val="fr-FR"/>
        </w:rPr>
        <w:t xml:space="preserve"> sont certifiés ISO et ont été établis selon des principes et des objectifs très semblables.  Le système de gestion de la qualité </w:t>
      </w:r>
      <w:r w:rsidR="009111BB" w:rsidRPr="00DB6C66">
        <w:rPr>
          <w:lang w:val="fr-FR"/>
        </w:rPr>
        <w:t xml:space="preserve">du VPI </w:t>
      </w:r>
      <w:r w:rsidRPr="00DB6C66">
        <w:rPr>
          <w:lang w:val="fr-FR"/>
        </w:rPr>
        <w:t>sera fondé sur les systèmes des offices nationaux participants, mais sa portée sera élargie pour prendre en compte l</w:t>
      </w:r>
      <w:r w:rsidR="00280EEC">
        <w:rPr>
          <w:lang w:val="fr-FR"/>
        </w:rPr>
        <w:t>’</w:t>
      </w:r>
      <w:r w:rsidRPr="00DB6C66">
        <w:rPr>
          <w:lang w:val="fr-FR"/>
        </w:rPr>
        <w:t>ensemble des procédures du PCT concernant la phase internationale, et pour être conforme aux Directives concernant la recherche internationale et l</w:t>
      </w:r>
      <w:r w:rsidR="00280EEC">
        <w:rPr>
          <w:lang w:val="fr-FR"/>
        </w:rPr>
        <w:t>’</w:t>
      </w:r>
      <w:r w:rsidRPr="00DB6C66">
        <w:rPr>
          <w:lang w:val="fr-FR"/>
        </w:rPr>
        <w:t>examen préliminaire international selon le PCT (PCT/GL/ISPE).  Les normes et les pratiques en matière de qualité seront harmonisées pour toutes les tâches relatives au PCT et seront mises en totale conformité avec les normes et pratiques établies par le PCT et celles qui sont appliquées par l</w:t>
      </w:r>
      <w:r w:rsidR="00280EEC">
        <w:rPr>
          <w:lang w:val="fr-FR"/>
        </w:rPr>
        <w:t>’</w:t>
      </w:r>
      <w:r w:rsidRPr="00DB6C66">
        <w:rPr>
          <w:lang w:val="fr-FR"/>
        </w:rPr>
        <w:t>OEB.  (On trouvera plus de détails à ce sujet dans l</w:t>
      </w:r>
      <w:r w:rsidR="00280EEC">
        <w:rPr>
          <w:lang w:val="fr-FR"/>
        </w:rPr>
        <w:t>’</w:t>
      </w:r>
      <w:r w:rsidRPr="00DB6C66">
        <w:rPr>
          <w:lang w:val="fr-FR"/>
        </w:rPr>
        <w:t>Appendice I).</w:t>
      </w:r>
    </w:p>
    <w:p w:rsidR="00B517D8" w:rsidRPr="00DB6C66" w:rsidRDefault="00B517D8" w:rsidP="00A703E3">
      <w:pPr>
        <w:pStyle w:val="ONUMFS"/>
        <w:rPr>
          <w:lang w:val="fr-FR"/>
        </w:rPr>
      </w:pPr>
      <w:r w:rsidRPr="00DB6C66">
        <w:rPr>
          <w:lang w:val="fr-FR"/>
        </w:rPr>
        <w:t>Pour s</w:t>
      </w:r>
      <w:r w:rsidR="00280EEC">
        <w:rPr>
          <w:lang w:val="fr-FR"/>
        </w:rPr>
        <w:t>’</w:t>
      </w:r>
      <w:r w:rsidRPr="00DB6C66">
        <w:rPr>
          <w:lang w:val="fr-FR"/>
        </w:rPr>
        <w:t xml:space="preserve">acquitter de ses tâches, </w:t>
      </w:r>
      <w:r w:rsidR="009111BB" w:rsidRPr="00DB6C66">
        <w:rPr>
          <w:lang w:val="fr-FR"/>
        </w:rPr>
        <w:t xml:space="preserve">le VPI </w:t>
      </w:r>
      <w:r w:rsidRPr="00DB6C66">
        <w:rPr>
          <w:lang w:val="fr-FR"/>
        </w:rPr>
        <w:t>doit au préalable pouvoir garantir systématiquement une qualité élevée de ses prestations.  L</w:t>
      </w:r>
      <w:r w:rsidR="00280EEC">
        <w:rPr>
          <w:lang w:val="fr-FR"/>
        </w:rPr>
        <w:t>’</w:t>
      </w:r>
      <w:r w:rsidRPr="00DB6C66">
        <w:rPr>
          <w:lang w:val="fr-FR"/>
        </w:rPr>
        <w:t xml:space="preserve">objectif premier </w:t>
      </w:r>
      <w:r w:rsidR="009111BB" w:rsidRPr="00DB6C66">
        <w:rPr>
          <w:lang w:val="fr-FR"/>
        </w:rPr>
        <w:t xml:space="preserve">du VPI </w:t>
      </w:r>
      <w:r w:rsidRPr="00DB6C66">
        <w:rPr>
          <w:lang w:val="fr-FR"/>
        </w:rPr>
        <w:t>est de proposer des produits et des services de haute qualité à ses usagers et partenaires, et de pérenniser cette haute qualité.  L</w:t>
      </w:r>
      <w:r w:rsidR="00280EEC">
        <w:rPr>
          <w:lang w:val="fr-FR"/>
        </w:rPr>
        <w:t>’</w:t>
      </w:r>
      <w:r w:rsidR="009111BB" w:rsidRPr="00DB6C66">
        <w:rPr>
          <w:lang w:val="fr-FR"/>
        </w:rPr>
        <w:t>i</w:t>
      </w:r>
      <w:r w:rsidRPr="00DB6C66">
        <w:rPr>
          <w:lang w:val="fr-FR"/>
        </w:rPr>
        <w:t>nstitut devra offrir des produits et services de qualité en matière de recherche et d</w:t>
      </w:r>
      <w:r w:rsidR="00280EEC">
        <w:rPr>
          <w:lang w:val="fr-FR"/>
        </w:rPr>
        <w:t>’</w:t>
      </w:r>
      <w:r w:rsidRPr="00DB6C66">
        <w:rPr>
          <w:lang w:val="fr-FR"/>
        </w:rPr>
        <w:t>examen pour permettre à ses clients de prendre des décisions en se fondant sur des informations fiables.</w:t>
      </w:r>
    </w:p>
    <w:p w:rsidR="00B517D8" w:rsidRPr="00DB6C66" w:rsidRDefault="00B517D8" w:rsidP="00A703E3">
      <w:pPr>
        <w:pStyle w:val="ONUMFS"/>
        <w:rPr>
          <w:lang w:val="fr-FR"/>
        </w:rPr>
      </w:pPr>
      <w:r w:rsidRPr="00DB6C66">
        <w:rPr>
          <w:lang w:val="fr-FR"/>
        </w:rPr>
        <w:t>Les offices participant</w:t>
      </w:r>
      <w:r w:rsidR="00482F34" w:rsidRPr="00DB6C66">
        <w:rPr>
          <w:lang w:val="fr-FR"/>
        </w:rPr>
        <w:t>s</w:t>
      </w:r>
      <w:r w:rsidRPr="00DB6C66">
        <w:rPr>
          <w:lang w:val="fr-FR"/>
        </w:rPr>
        <w:t xml:space="preserve"> </w:t>
      </w:r>
      <w:r w:rsidR="00482F34" w:rsidRPr="00DB6C66">
        <w:rPr>
          <w:lang w:val="fr-FR"/>
        </w:rPr>
        <w:t>d</w:t>
      </w:r>
      <w:r w:rsidR="009111BB" w:rsidRPr="00DB6C66">
        <w:rPr>
          <w:lang w:val="fr-FR"/>
        </w:rPr>
        <w:t>u VPI</w:t>
      </w:r>
      <w:r w:rsidRPr="00DB6C66">
        <w:rPr>
          <w:lang w:val="fr-FR"/>
        </w:rPr>
        <w:t xml:space="preserve"> ont mis en place des systèmes de gestion de la qualité robustes pour régir leurs fonctions de recherche et d</w:t>
      </w:r>
      <w:r w:rsidR="00280EEC">
        <w:rPr>
          <w:lang w:val="fr-FR"/>
        </w:rPr>
        <w:t>’</w:t>
      </w:r>
      <w:r w:rsidRPr="00DB6C66">
        <w:rPr>
          <w:lang w:val="fr-FR"/>
        </w:rPr>
        <w:t>examen en matière de brevets, ainsi que d</w:t>
      </w:r>
      <w:r w:rsidR="00280EEC">
        <w:rPr>
          <w:lang w:val="fr-FR"/>
        </w:rPr>
        <w:t>’</w:t>
      </w:r>
      <w:r w:rsidRPr="00DB6C66">
        <w:rPr>
          <w:lang w:val="fr-FR"/>
        </w:rPr>
        <w:t>autres services.  Ces systèmes garantissent la qualité de tous les actes administratifs.  Des dispositions ont également été prises en matière d</w:t>
      </w:r>
      <w:r w:rsidR="00280EEC">
        <w:rPr>
          <w:lang w:val="fr-FR"/>
        </w:rPr>
        <w:t>’</w:t>
      </w:r>
      <w:r w:rsidRPr="00DB6C66">
        <w:rPr>
          <w:lang w:val="fr-FR"/>
        </w:rPr>
        <w:t>évaluation.  Tous les offices de brevets sont certifiés ISO 9001.</w:t>
      </w:r>
    </w:p>
    <w:p w:rsidR="00B517D8" w:rsidRPr="00DB6C66" w:rsidRDefault="00B517D8" w:rsidP="00A703E3">
      <w:pPr>
        <w:pStyle w:val="ONUMFS"/>
        <w:rPr>
          <w:lang w:val="fr-FR"/>
        </w:rPr>
      </w:pPr>
      <w:r w:rsidRPr="00DB6C66">
        <w:rPr>
          <w:lang w:val="fr-FR"/>
        </w:rPr>
        <w:t>À l</w:t>
      </w:r>
      <w:r w:rsidR="00280EEC">
        <w:rPr>
          <w:lang w:val="fr-FR"/>
        </w:rPr>
        <w:t>’</w:t>
      </w:r>
      <w:r w:rsidRPr="00DB6C66">
        <w:rPr>
          <w:u w:val="single"/>
          <w:lang w:val="fr-FR"/>
        </w:rPr>
        <w:t>Office de la propriété industrielle de la République tchèque</w:t>
      </w:r>
      <w:r w:rsidRPr="00DB6C66">
        <w:rPr>
          <w:lang w:val="fr-FR"/>
        </w:rPr>
        <w:t xml:space="preserve"> (IPO CZ), un audit interne du système intégré a confirmé en 2014 que les prescriptions des normes ISO étaient respectées;  un audit externe a également été mené par la suite dans cet office.  L</w:t>
      </w:r>
      <w:r w:rsidR="00280EEC">
        <w:rPr>
          <w:lang w:val="fr-FR"/>
        </w:rPr>
        <w:t>’</w:t>
      </w:r>
      <w:r w:rsidRPr="00DB6C66">
        <w:rPr>
          <w:lang w:val="fr-FR"/>
        </w:rPr>
        <w:t>objectif était d</w:t>
      </w:r>
      <w:r w:rsidR="00280EEC">
        <w:rPr>
          <w:lang w:val="fr-FR"/>
        </w:rPr>
        <w:t>’</w:t>
      </w:r>
      <w:r w:rsidRPr="00DB6C66">
        <w:rPr>
          <w:lang w:val="fr-FR"/>
        </w:rPr>
        <w:t>examiner les fonctionnalités du système de gestion de la sécurité au regard de la norme ISO/IEC 27001 :2005 et de renouveler la certification du système courant de gestion de la qualité au regard des normes ISO 9001 :2008, BS OHSAS 18001 :2007 et ISO 14001 :2004.  Aucune divergence nécessitant des mesures correctives n</w:t>
      </w:r>
      <w:r w:rsidR="00280EEC">
        <w:rPr>
          <w:lang w:val="fr-FR"/>
        </w:rPr>
        <w:t>’</w:t>
      </w:r>
      <w:r w:rsidRPr="00DB6C66">
        <w:rPr>
          <w:lang w:val="fr-FR"/>
        </w:rPr>
        <w:t>a été détectée au cours de ces audits.  La norme européenne pour la gestion de la qualité a été appliquée en coopération avec l</w:t>
      </w:r>
      <w:r w:rsidR="00280EEC">
        <w:rPr>
          <w:lang w:val="fr-FR"/>
        </w:rPr>
        <w:t>’</w:t>
      </w:r>
      <w:r w:rsidRPr="00DB6C66">
        <w:rPr>
          <w:lang w:val="fr-FR"/>
        </w:rPr>
        <w:t>OEB.</w:t>
      </w:r>
    </w:p>
    <w:p w:rsidR="00B517D8" w:rsidRPr="00DB6C66" w:rsidRDefault="00B517D8" w:rsidP="00A703E3">
      <w:pPr>
        <w:pStyle w:val="ONUMFS"/>
        <w:rPr>
          <w:lang w:val="fr-FR"/>
        </w:rPr>
      </w:pPr>
      <w:r w:rsidRPr="00DB6C66">
        <w:rPr>
          <w:lang w:val="fr-FR"/>
        </w:rPr>
        <w:t>L</w:t>
      </w:r>
      <w:r w:rsidR="00280EEC">
        <w:rPr>
          <w:lang w:val="fr-FR"/>
        </w:rPr>
        <w:t>’</w:t>
      </w:r>
      <w:r w:rsidRPr="00DB6C66">
        <w:rPr>
          <w:u w:val="single"/>
          <w:lang w:val="fr-FR"/>
        </w:rPr>
        <w:t>Office de la propriété intellectuelle hongrois</w:t>
      </w:r>
      <w:r w:rsidRPr="00DB6C66">
        <w:rPr>
          <w:lang w:val="fr-FR"/>
        </w:rPr>
        <w:t xml:space="preserve"> (HIPO) a mis en œuvre, pour ses fonctions de recherche et d</w:t>
      </w:r>
      <w:r w:rsidR="00280EEC">
        <w:rPr>
          <w:lang w:val="fr-FR"/>
        </w:rPr>
        <w:t>’</w:t>
      </w:r>
      <w:r w:rsidRPr="00DB6C66">
        <w:rPr>
          <w:lang w:val="fr-FR"/>
        </w:rPr>
        <w:t>examen en matière de brevets, un système de gestion de la qualité conforme à la norme ISO 9001.  La première certification ISO 9001 :2008 était valable de 2011 à 2014, et son renouvellement est valable de 2014 à 2017.  La norme européenne pour la gestion de la qualité avait été mise en œuvre pour les procédures d</w:t>
      </w:r>
      <w:r w:rsidR="00280EEC">
        <w:rPr>
          <w:lang w:val="fr-FR"/>
        </w:rPr>
        <w:t>’</w:t>
      </w:r>
      <w:r w:rsidRPr="00DB6C66">
        <w:rPr>
          <w:lang w:val="fr-FR"/>
        </w:rPr>
        <w:t>octroi de brevets nationaux avant que le système intégré de gestion de la qualité ne soit certifié ISO en 2010.</w:t>
      </w:r>
    </w:p>
    <w:p w:rsidR="00B517D8" w:rsidRPr="00DB6C66" w:rsidRDefault="00B517D8" w:rsidP="00A703E3">
      <w:pPr>
        <w:pStyle w:val="ONUMFS"/>
        <w:rPr>
          <w:lang w:val="fr-FR"/>
        </w:rPr>
      </w:pPr>
      <w:r w:rsidRPr="00DB6C66">
        <w:rPr>
          <w:lang w:val="fr-FR"/>
        </w:rPr>
        <w:t>L</w:t>
      </w:r>
      <w:r w:rsidR="00280EEC">
        <w:rPr>
          <w:lang w:val="fr-FR"/>
        </w:rPr>
        <w:t>’</w:t>
      </w:r>
      <w:r w:rsidRPr="00DB6C66">
        <w:rPr>
          <w:u w:val="single"/>
          <w:lang w:val="fr-FR"/>
        </w:rPr>
        <w:t>Office des brevets polonais</w:t>
      </w:r>
      <w:r w:rsidRPr="00DB6C66">
        <w:rPr>
          <w:lang w:val="fr-FR"/>
        </w:rPr>
        <w:t xml:space="preserve"> (PPO) a tout d</w:t>
      </w:r>
      <w:r w:rsidR="00280EEC">
        <w:rPr>
          <w:lang w:val="fr-FR"/>
        </w:rPr>
        <w:t>’</w:t>
      </w:r>
      <w:r w:rsidRPr="00DB6C66">
        <w:rPr>
          <w:lang w:val="fr-FR"/>
        </w:rPr>
        <w:t>abord obtenu une certification à la norme PN</w:t>
      </w:r>
      <w:r w:rsidR="008117E3">
        <w:rPr>
          <w:lang w:val="fr-FR"/>
        </w:rPr>
        <w:noBreakHyphen/>
      </w:r>
      <w:r w:rsidRPr="00DB6C66">
        <w:rPr>
          <w:lang w:val="fr-FR"/>
        </w:rPr>
        <w:t>EN ISO 9001 :2009 en juillet 2011, qui est restée en vigueur pendant trois ans jusqu</w:t>
      </w:r>
      <w:r w:rsidR="00280EEC">
        <w:rPr>
          <w:lang w:val="fr-FR"/>
        </w:rPr>
        <w:t>’</w:t>
      </w:r>
      <w:r w:rsidRPr="00DB6C66">
        <w:rPr>
          <w:lang w:val="fr-FR"/>
        </w:rPr>
        <w:t>en juillet 2014.  Compte tenu des travaux considérables entrepris à l</w:t>
      </w:r>
      <w:r w:rsidR="00280EEC">
        <w:rPr>
          <w:lang w:val="fr-FR"/>
        </w:rPr>
        <w:t>’</w:t>
      </w:r>
      <w:r w:rsidRPr="00DB6C66">
        <w:rPr>
          <w:lang w:val="fr-FR"/>
        </w:rPr>
        <w:t xml:space="preserve">époque au sein du PPO pour améliorer et modifier les procédures internes, la demande de renouvellement de la certification ISO a été reportée au début de 2015.  Des audits internes et externes se sont achevés le 20 mars 2015, et le 24 mars 2015, un comité technique de la société </w:t>
      </w:r>
      <w:r w:rsidRPr="00DB6C66">
        <w:rPr>
          <w:i/>
          <w:lang w:val="fr-FR"/>
        </w:rPr>
        <w:t xml:space="preserve">Polskie Centrum </w:t>
      </w:r>
      <w:proofErr w:type="spellStart"/>
      <w:r w:rsidRPr="00DB6C66">
        <w:rPr>
          <w:i/>
          <w:lang w:val="fr-FR"/>
        </w:rPr>
        <w:t>Badań</w:t>
      </w:r>
      <w:proofErr w:type="spellEnd"/>
      <w:r w:rsidRPr="00DB6C66">
        <w:rPr>
          <w:i/>
          <w:lang w:val="fr-FR"/>
        </w:rPr>
        <w:t xml:space="preserve"> i </w:t>
      </w:r>
      <w:proofErr w:type="spellStart"/>
      <w:r w:rsidRPr="00DB6C66">
        <w:rPr>
          <w:i/>
          <w:lang w:val="fr-FR"/>
        </w:rPr>
        <w:t>Certyfikacji</w:t>
      </w:r>
      <w:proofErr w:type="spellEnd"/>
      <w:r w:rsidRPr="00DB6C66">
        <w:rPr>
          <w:i/>
          <w:lang w:val="fr-FR"/>
        </w:rPr>
        <w:t xml:space="preserve"> SA</w:t>
      </w:r>
      <w:r w:rsidRPr="00DB6C66">
        <w:rPr>
          <w:lang w:val="fr-FR"/>
        </w:rPr>
        <w:t xml:space="preserve"> a émis un avis positif pour ce renouvellement.</w:t>
      </w:r>
    </w:p>
    <w:p w:rsidR="00B517D8" w:rsidRPr="00DB6C66" w:rsidRDefault="00B517D8" w:rsidP="00A703E3">
      <w:pPr>
        <w:pStyle w:val="ONUMFS"/>
        <w:rPr>
          <w:lang w:val="fr-FR"/>
        </w:rPr>
      </w:pPr>
      <w:r w:rsidRPr="00DB6C66">
        <w:rPr>
          <w:lang w:val="fr-FR"/>
        </w:rPr>
        <w:t>La première certification EN ISO 9001 :2008 obtenue par l</w:t>
      </w:r>
      <w:r w:rsidR="00280EEC">
        <w:rPr>
          <w:lang w:val="fr-FR"/>
        </w:rPr>
        <w:t>’</w:t>
      </w:r>
      <w:r w:rsidRPr="00DB6C66">
        <w:rPr>
          <w:u w:val="single"/>
          <w:lang w:val="fr-FR"/>
        </w:rPr>
        <w:t>Office de la propriété industrielle de la Slovaquie</w:t>
      </w:r>
      <w:r w:rsidRPr="00DB6C66">
        <w:rPr>
          <w:lang w:val="fr-FR"/>
        </w:rPr>
        <w:t xml:space="preserve"> (IPO SR) était valable de 2008 à 2011.  Le premier renouvellement portait sur la période 2011</w:t>
      </w:r>
      <w:r w:rsidR="008117E3">
        <w:rPr>
          <w:lang w:val="fr-FR"/>
        </w:rPr>
        <w:noBreakHyphen/>
      </w:r>
      <w:r w:rsidRPr="00DB6C66">
        <w:rPr>
          <w:lang w:val="fr-FR"/>
        </w:rPr>
        <w:t>2014 et le deuxième est valable jusqu</w:t>
      </w:r>
      <w:r w:rsidR="00280EEC">
        <w:rPr>
          <w:lang w:val="fr-FR"/>
        </w:rPr>
        <w:t>’</w:t>
      </w:r>
      <w:r w:rsidRPr="00DB6C66">
        <w:rPr>
          <w:lang w:val="fr-FR"/>
        </w:rPr>
        <w:t>en 2017.  Cet office a subi avec succès l</w:t>
      </w:r>
      <w:r w:rsidR="00280EEC">
        <w:rPr>
          <w:lang w:val="fr-FR"/>
        </w:rPr>
        <w:t>’</w:t>
      </w:r>
      <w:r w:rsidRPr="00DB6C66">
        <w:rPr>
          <w:lang w:val="fr-FR"/>
        </w:rPr>
        <w:t>audit de renouvellement en juin 2014;  son certificat atteste que son système de gestion de la qualité a été mis en œuvre et est actualisé conformément à la norme EN ISO 9001 :2008.</w:t>
      </w:r>
    </w:p>
    <w:p w:rsidR="00B517D8" w:rsidRPr="00DB6C66" w:rsidRDefault="00B517D8" w:rsidP="00A703E3">
      <w:pPr>
        <w:pStyle w:val="ONUMFS"/>
        <w:rPr>
          <w:lang w:val="fr-FR"/>
        </w:rPr>
      </w:pPr>
      <w:r w:rsidRPr="00DB6C66">
        <w:rPr>
          <w:lang w:val="fr-FR"/>
        </w:rPr>
        <w:lastRenderedPageBreak/>
        <w:t>Les systèmes de gestion de la qualité des offices participant</w:t>
      </w:r>
      <w:r w:rsidR="00482F34" w:rsidRPr="00DB6C66">
        <w:rPr>
          <w:lang w:val="fr-FR"/>
        </w:rPr>
        <w:t>s</w:t>
      </w:r>
      <w:r w:rsidRPr="00DB6C66">
        <w:rPr>
          <w:lang w:val="fr-FR"/>
        </w:rPr>
        <w:t xml:space="preserve"> </w:t>
      </w:r>
      <w:r w:rsidR="00482F34" w:rsidRPr="00DB6C66">
        <w:rPr>
          <w:lang w:val="fr-FR"/>
        </w:rPr>
        <w:t>d</w:t>
      </w:r>
      <w:r w:rsidR="009111BB" w:rsidRPr="00DB6C66">
        <w:rPr>
          <w:lang w:val="fr-FR"/>
        </w:rPr>
        <w:t>u VPI</w:t>
      </w:r>
      <w:r w:rsidRPr="00DB6C66">
        <w:rPr>
          <w:lang w:val="fr-FR"/>
        </w:rPr>
        <w:t xml:space="preserve"> sont actuellement conformes aux Directives PCT/GL/ISPE en matière d</w:t>
      </w:r>
      <w:r w:rsidR="00280EEC">
        <w:rPr>
          <w:lang w:val="fr-FR"/>
        </w:rPr>
        <w:t>’</w:t>
      </w:r>
      <w:r w:rsidRPr="00DB6C66">
        <w:rPr>
          <w:lang w:val="fr-FR"/>
        </w:rPr>
        <w:t>assurance qualité.  On trouvera dans le document PCT/CTC/28/3 le rapport établi par chacun de ces offices au titre du chapitre 21 des Directives PCT/GL/ISPE.</w:t>
      </w:r>
    </w:p>
    <w:p w:rsidR="00A703E3" w:rsidRPr="00DB6C66" w:rsidRDefault="00A703E3" w:rsidP="00620A17">
      <w:pPr>
        <w:pStyle w:val="Heading2"/>
        <w:rPr>
          <w:lang w:val="fr-FR"/>
        </w:rPr>
      </w:pPr>
      <w:r w:rsidRPr="00DB6C66">
        <w:rPr>
          <w:lang w:val="fr-FR"/>
        </w:rPr>
        <w:t>2.5.</w:t>
      </w:r>
      <w:r w:rsidRPr="00DB6C66">
        <w:rPr>
          <w:lang w:val="fr-FR"/>
        </w:rPr>
        <w:tab/>
        <w:t>Participation des administrations internationales existantes aux préparatifs de la procédure de nomination</w:t>
      </w:r>
    </w:p>
    <w:p w:rsidR="00B517D8" w:rsidRPr="00DB6C66" w:rsidRDefault="00B517D8" w:rsidP="009C72E7">
      <w:pPr>
        <w:pStyle w:val="ONUMFS"/>
        <w:rPr>
          <w:lang w:val="fr-FR"/>
        </w:rPr>
      </w:pPr>
      <w:r w:rsidRPr="00DB6C66">
        <w:rPr>
          <w:lang w:val="fr-FR"/>
        </w:rPr>
        <w:t>Aux termes du paragraphe a) de l</w:t>
      </w:r>
      <w:r w:rsidR="00280EEC">
        <w:rPr>
          <w:lang w:val="fr-FR"/>
        </w:rPr>
        <w:t>’</w:t>
      </w:r>
      <w:r w:rsidRPr="00DB6C66">
        <w:rPr>
          <w:lang w:val="fr-FR"/>
        </w:rPr>
        <w:t>accord de principe du PCT de 2014, “Tout […] organisation intergouvernementale […] souhaitant présenter sa nomination est vivement encouragé à demander l</w:t>
      </w:r>
      <w:r w:rsidR="00280EEC">
        <w:rPr>
          <w:lang w:val="fr-FR"/>
        </w:rPr>
        <w:t>’</w:t>
      </w:r>
      <w:r w:rsidRPr="00DB6C66">
        <w:rPr>
          <w:lang w:val="fr-FR"/>
        </w:rPr>
        <w:t>assistance d</w:t>
      </w:r>
      <w:r w:rsidR="00280EEC">
        <w:rPr>
          <w:lang w:val="fr-FR"/>
        </w:rPr>
        <w:t>’</w:t>
      </w:r>
      <w:r w:rsidRPr="00DB6C66">
        <w:rPr>
          <w:lang w:val="fr-FR"/>
        </w:rPr>
        <w:t>une ou plusieurs administrations internationales existantes avant de soumettre une candidature formelle, afin de déterminer plus précisément dans quelle mesure il remplit les critères.”  Conformément à cette nouvelle recommandation, les dirigeants des offices nationaux participant à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ont demandé en février 2015 l</w:t>
      </w:r>
      <w:r w:rsidR="00280EEC">
        <w:rPr>
          <w:lang w:val="fr-FR"/>
        </w:rPr>
        <w:t>’</w:t>
      </w:r>
      <w:r w:rsidRPr="00DB6C66">
        <w:rPr>
          <w:lang w:val="fr-FR"/>
        </w:rPr>
        <w:t>aide de l</w:t>
      </w:r>
      <w:r w:rsidR="00280EEC">
        <w:rPr>
          <w:lang w:val="fr-FR"/>
        </w:rPr>
        <w:t>’</w:t>
      </w:r>
      <w:r w:rsidRPr="00DB6C66">
        <w:rPr>
          <w:lang w:val="fr-FR"/>
        </w:rPr>
        <w:t>Office des brevets du Japon (JPO) et de l</w:t>
      </w:r>
      <w:r w:rsidR="00280EEC">
        <w:rPr>
          <w:lang w:val="fr-FR"/>
        </w:rPr>
        <w:t>’</w:t>
      </w:r>
      <w:r w:rsidRPr="00DB6C66">
        <w:rPr>
          <w:lang w:val="fr-FR"/>
        </w:rPr>
        <w:t>Institut nordique des brevets (NPI) pour déterminer dans quelle mesure l</w:t>
      </w:r>
      <w:r w:rsidR="00280EEC">
        <w:rPr>
          <w:lang w:val="fr-FR"/>
        </w:rPr>
        <w:t>’</w:t>
      </w:r>
      <w:r w:rsidR="009111BB" w:rsidRPr="00DB6C66">
        <w:rPr>
          <w:lang w:val="fr-FR"/>
        </w:rPr>
        <w:t>i</w:t>
      </w:r>
      <w:r w:rsidRPr="00DB6C66">
        <w:rPr>
          <w:lang w:val="fr-FR"/>
        </w:rPr>
        <w:t xml:space="preserve">nstitut de </w:t>
      </w:r>
      <w:proofErr w:type="spellStart"/>
      <w:r w:rsidRPr="00DB6C66">
        <w:rPr>
          <w:lang w:val="fr-FR"/>
        </w:rPr>
        <w:t>Visegrad</w:t>
      </w:r>
      <w:proofErr w:type="spellEnd"/>
      <w:r w:rsidRPr="00DB6C66">
        <w:rPr>
          <w:lang w:val="fr-FR"/>
        </w:rPr>
        <w:t xml:space="preserve"> respectait les prescriptions en matière de nomination des administrations chargées de la recherche et de l</w:t>
      </w:r>
      <w:r w:rsidR="00280EEC">
        <w:rPr>
          <w:lang w:val="fr-FR"/>
        </w:rPr>
        <w:t>’</w:t>
      </w:r>
      <w:r w:rsidRPr="00DB6C66">
        <w:rPr>
          <w:lang w:val="fr-FR"/>
        </w:rPr>
        <w:t>examen préliminaire internationaux.  L</w:t>
      </w:r>
      <w:r w:rsidR="00280EEC">
        <w:rPr>
          <w:lang w:val="fr-FR"/>
        </w:rPr>
        <w:t>’</w:t>
      </w:r>
      <w:r w:rsidRPr="00DB6C66">
        <w:rPr>
          <w:lang w:val="fr-FR"/>
        </w:rPr>
        <w:t>Office des brevets du Japon a apporté son aide au titre d</w:t>
      </w:r>
      <w:r w:rsidR="00280EEC">
        <w:rPr>
          <w:lang w:val="fr-FR"/>
        </w:rPr>
        <w:t>’</w:t>
      </w:r>
      <w:r w:rsidRPr="00DB6C66">
        <w:rPr>
          <w:lang w:val="fr-FR"/>
        </w:rPr>
        <w:t>un accord de coopération en matière de propriété intellectuelle qu</w:t>
      </w:r>
      <w:r w:rsidR="00280EEC">
        <w:rPr>
          <w:lang w:val="fr-FR"/>
        </w:rPr>
        <w:t>’</w:t>
      </w:r>
      <w:r w:rsidRPr="00DB6C66">
        <w:rPr>
          <w:lang w:val="fr-FR"/>
        </w:rPr>
        <w:t xml:space="preserve">il a conclu avec les offices de la propriété industrielle des quatre pays de </w:t>
      </w:r>
      <w:proofErr w:type="spellStart"/>
      <w:r w:rsidRPr="00DB6C66">
        <w:rPr>
          <w:lang w:val="fr-FR"/>
        </w:rPr>
        <w:t>Visegrad</w:t>
      </w:r>
      <w:proofErr w:type="spellEnd"/>
      <w:r w:rsidRPr="00DB6C66">
        <w:rPr>
          <w:lang w:val="fr-FR"/>
        </w:rPr>
        <w:t xml:space="preserve"> le 23 septembre 2014.  Cet accord prévoit notamment une coopération sur le futur rôle </w:t>
      </w:r>
      <w:r w:rsidR="009111BB" w:rsidRPr="00DB6C66">
        <w:rPr>
          <w:lang w:val="fr-FR"/>
        </w:rPr>
        <w:t>du VPI</w:t>
      </w:r>
      <w:r w:rsidRPr="00DB6C66">
        <w:rPr>
          <w:lang w:val="fr-FR"/>
        </w:rPr>
        <w:t xml:space="preserve"> dans les domaines de la recherche et de l</w:t>
      </w:r>
      <w:r w:rsidR="00280EEC">
        <w:rPr>
          <w:lang w:val="fr-FR"/>
        </w:rPr>
        <w:t>’</w:t>
      </w:r>
      <w:r w:rsidRPr="00DB6C66">
        <w:rPr>
          <w:lang w:val="fr-FR"/>
        </w:rPr>
        <w:t>examen préliminaire internationaux.  Il stipule que l</w:t>
      </w:r>
      <w:r w:rsidR="00280EEC">
        <w:rPr>
          <w:lang w:val="fr-FR"/>
        </w:rPr>
        <w:t>’</w:t>
      </w:r>
      <w:r w:rsidRPr="00DB6C66">
        <w:rPr>
          <w:lang w:val="fr-FR"/>
        </w:rPr>
        <w:t>Office des brevets du Japon partagera son expérience et ses connaissances d</w:t>
      </w:r>
      <w:r w:rsidR="00280EEC">
        <w:rPr>
          <w:lang w:val="fr-FR"/>
        </w:rPr>
        <w:t>’</w:t>
      </w:r>
      <w:r w:rsidRPr="00DB6C66">
        <w:rPr>
          <w:lang w:val="fr-FR"/>
        </w:rPr>
        <w:t xml:space="preserve">administration internationale avec les quatre pays de </w:t>
      </w:r>
      <w:proofErr w:type="spellStart"/>
      <w:r w:rsidRPr="00DB6C66">
        <w:rPr>
          <w:lang w:val="fr-FR"/>
        </w:rPr>
        <w:t>Visegrad</w:t>
      </w:r>
      <w:proofErr w:type="spellEnd"/>
      <w:r w:rsidRPr="00DB6C66">
        <w:rPr>
          <w:lang w:val="fr-FR"/>
        </w:rPr>
        <w:t xml:space="preserve">, et par la suite avec </w:t>
      </w:r>
      <w:r w:rsidR="009111BB" w:rsidRPr="00DB6C66">
        <w:rPr>
          <w:lang w:val="fr-FR"/>
        </w:rPr>
        <w:t xml:space="preserve">le VPI </w:t>
      </w:r>
      <w:r w:rsidRPr="00DB6C66">
        <w:rPr>
          <w:lang w:val="fr-FR"/>
        </w:rPr>
        <w:t>lui</w:t>
      </w:r>
      <w:r w:rsidR="008117E3">
        <w:rPr>
          <w:lang w:val="fr-FR"/>
        </w:rPr>
        <w:noBreakHyphen/>
      </w:r>
      <w:r w:rsidRPr="00DB6C66">
        <w:rPr>
          <w:lang w:val="fr-FR"/>
        </w:rPr>
        <w:t>même.  Quant à l</w:t>
      </w:r>
      <w:r w:rsidR="00280EEC">
        <w:rPr>
          <w:lang w:val="fr-FR"/>
        </w:rPr>
        <w:t>’</w:t>
      </w:r>
      <w:r w:rsidRPr="00DB6C66">
        <w:rPr>
          <w:lang w:val="fr-FR"/>
        </w:rPr>
        <w:t>aide de l</w:t>
      </w:r>
      <w:r w:rsidR="00280EEC">
        <w:rPr>
          <w:lang w:val="fr-FR"/>
        </w:rPr>
        <w:t>’</w:t>
      </w:r>
      <w:r w:rsidRPr="00DB6C66">
        <w:rPr>
          <w:lang w:val="fr-FR"/>
        </w:rPr>
        <w:t>Institut nordique des brevets, elle a été requise du fait que celui</w:t>
      </w:r>
      <w:r w:rsidR="008117E3">
        <w:rPr>
          <w:lang w:val="fr-FR"/>
        </w:rPr>
        <w:noBreakHyphen/>
      </w:r>
      <w:r w:rsidRPr="00DB6C66">
        <w:rPr>
          <w:lang w:val="fr-FR"/>
        </w:rPr>
        <w:t>ci présente de nombreuses similarités de structure, d</w:t>
      </w:r>
      <w:r w:rsidR="00280EEC">
        <w:rPr>
          <w:lang w:val="fr-FR"/>
        </w:rPr>
        <w:t>’</w:t>
      </w:r>
      <w:r w:rsidRPr="00DB6C66">
        <w:rPr>
          <w:lang w:val="fr-FR"/>
        </w:rPr>
        <w:t>organisation, de principes et d</w:t>
      </w:r>
      <w:r w:rsidR="00280EEC">
        <w:rPr>
          <w:lang w:val="fr-FR"/>
        </w:rPr>
        <w:t>’</w:t>
      </w:r>
      <w:r w:rsidRPr="00DB6C66">
        <w:rPr>
          <w:lang w:val="fr-FR"/>
        </w:rPr>
        <w:t>objectifs avec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et que les pays nordiques ont établi de longue date une coopération avec les quatre pays de </w:t>
      </w:r>
      <w:proofErr w:type="spellStart"/>
      <w:r w:rsidRPr="00DB6C66">
        <w:rPr>
          <w:lang w:val="fr-FR"/>
        </w:rPr>
        <w:t>Visegrad</w:t>
      </w:r>
      <w:proofErr w:type="spellEnd"/>
      <w:r w:rsidRPr="00DB6C66">
        <w:rPr>
          <w:lang w:val="fr-FR"/>
        </w:rPr>
        <w:t>.</w:t>
      </w:r>
    </w:p>
    <w:p w:rsidR="00B517D8" w:rsidRPr="00DB6C66" w:rsidRDefault="00B517D8" w:rsidP="009C72E7">
      <w:pPr>
        <w:pStyle w:val="ONUMFS"/>
        <w:rPr>
          <w:lang w:val="fr-FR"/>
        </w:rPr>
      </w:pPr>
      <w:r w:rsidRPr="00DB6C66">
        <w:rPr>
          <w:lang w:val="fr-FR"/>
        </w:rPr>
        <w:t>Pour pouvoir apporter l</w:t>
      </w:r>
      <w:r w:rsidR="00280EEC">
        <w:rPr>
          <w:lang w:val="fr-FR"/>
        </w:rPr>
        <w:t>’</w:t>
      </w:r>
      <w:r w:rsidRPr="00DB6C66">
        <w:rPr>
          <w:lang w:val="fr-FR"/>
        </w:rPr>
        <w:t>aide nécessaire, les représentants de l</w:t>
      </w:r>
      <w:r w:rsidR="00280EEC">
        <w:rPr>
          <w:lang w:val="fr-FR"/>
        </w:rPr>
        <w:t>’</w:t>
      </w:r>
      <w:r w:rsidRPr="00DB6C66">
        <w:rPr>
          <w:lang w:val="fr-FR"/>
        </w:rPr>
        <w:t>Office des brevets du Japon et de l</w:t>
      </w:r>
      <w:r w:rsidR="00280EEC">
        <w:rPr>
          <w:lang w:val="fr-FR"/>
        </w:rPr>
        <w:t>’</w:t>
      </w:r>
      <w:r w:rsidRPr="00DB6C66">
        <w:rPr>
          <w:lang w:val="fr-FR"/>
        </w:rPr>
        <w:t>Institut nordique des brevets se sont rendus dans les offices de brevets participant à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Les experts japonais se sont rendus à l</w:t>
      </w:r>
      <w:r w:rsidR="00280EEC">
        <w:rPr>
          <w:lang w:val="fr-FR"/>
        </w:rPr>
        <w:t>’</w:t>
      </w:r>
      <w:r w:rsidRPr="00DB6C66">
        <w:rPr>
          <w:lang w:val="fr-FR"/>
        </w:rPr>
        <w:t>HIPO et à l</w:t>
      </w:r>
      <w:r w:rsidR="00280EEC">
        <w:rPr>
          <w:lang w:val="fr-FR"/>
        </w:rPr>
        <w:t>’</w:t>
      </w:r>
      <w:r w:rsidRPr="00DB6C66">
        <w:rPr>
          <w:lang w:val="fr-FR"/>
        </w:rPr>
        <w:t>IPO SR les 10 et 11 mars 2015, tandis que les experts nordiques ont rencontré l</w:t>
      </w:r>
      <w:r w:rsidR="00280EEC">
        <w:rPr>
          <w:lang w:val="fr-FR"/>
        </w:rPr>
        <w:t>’</w:t>
      </w:r>
      <w:r w:rsidRPr="00DB6C66">
        <w:rPr>
          <w:lang w:val="fr-FR"/>
        </w:rPr>
        <w:t xml:space="preserve">IPO CZ et le PPO les 11 et 12 mars 2015.  À cette occasion, les offices de brevets des quatre pays de </w:t>
      </w:r>
      <w:proofErr w:type="spellStart"/>
      <w:r w:rsidRPr="00DB6C66">
        <w:rPr>
          <w:lang w:val="fr-FR"/>
        </w:rPr>
        <w:t>Visegrad</w:t>
      </w:r>
      <w:proofErr w:type="spellEnd"/>
      <w:r w:rsidRPr="00DB6C66">
        <w:rPr>
          <w:lang w:val="fr-FR"/>
        </w:rPr>
        <w:t xml:space="preserve"> ont pu présenter le projet de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et la manière dont ils se préparent à remplir leurs tâches dans les domaines de la recherche et de l</w:t>
      </w:r>
      <w:r w:rsidR="00280EEC">
        <w:rPr>
          <w:lang w:val="fr-FR"/>
        </w:rPr>
        <w:t>’</w:t>
      </w:r>
      <w:r w:rsidRPr="00DB6C66">
        <w:rPr>
          <w:lang w:val="fr-FR"/>
        </w:rPr>
        <w:t xml:space="preserve">examen préliminaire internationaux.  Les experts japonais et nordiques ont obtenus de nombreuses informations très structurées sur la manière dont </w:t>
      </w:r>
      <w:r w:rsidR="009111BB" w:rsidRPr="00DB6C66">
        <w:rPr>
          <w:lang w:val="fr-FR"/>
        </w:rPr>
        <w:t>le VPI</w:t>
      </w:r>
      <w:r w:rsidRPr="00DB6C66">
        <w:rPr>
          <w:lang w:val="fr-FR"/>
        </w:rPr>
        <w:t xml:space="preserve"> entend, par le biais de ses offices de brevets participants, se conformer à toutes les prescriptions concernant la nomination des administrations chargées de ces tâches.  Ils ont ensuite exposé la manière dont leur propre office assume ses fonctions d</w:t>
      </w:r>
      <w:r w:rsidR="00280EEC">
        <w:rPr>
          <w:lang w:val="fr-FR"/>
        </w:rPr>
        <w:t>’</w:t>
      </w:r>
      <w:r w:rsidRPr="00DB6C66">
        <w:rPr>
          <w:lang w:val="fr-FR"/>
        </w:rPr>
        <w:t xml:space="preserve">administration internationale, en décrivant plus particulièrement le fonctionnement de leurs systèmes informatiques et de leurs systèmes de gestion de la qualité, ainsi que leurs méthodes et procédures de travail.  Au terme de ces réunions, les experts japonais et nordiques ont établi des rapports préliminaires sur la capacité des quatre pays de </w:t>
      </w:r>
      <w:proofErr w:type="spellStart"/>
      <w:r w:rsidRPr="00DB6C66">
        <w:rPr>
          <w:lang w:val="fr-FR"/>
        </w:rPr>
        <w:t>Visegrad</w:t>
      </w:r>
      <w:proofErr w:type="spellEnd"/>
      <w:r w:rsidRPr="00DB6C66">
        <w:rPr>
          <w:lang w:val="fr-FR"/>
        </w:rPr>
        <w:t xml:space="preserve"> de remplir les critères de nomination (ces rapports figurent dans l</w:t>
      </w:r>
      <w:r w:rsidR="00280EEC">
        <w:rPr>
          <w:lang w:val="fr-FR"/>
        </w:rPr>
        <w:t>’</w:t>
      </w:r>
      <w:r w:rsidRPr="00DB6C66">
        <w:rPr>
          <w:lang w:val="fr-FR"/>
        </w:rPr>
        <w:t>appendice II).  Ils n</w:t>
      </w:r>
      <w:r w:rsidR="00280EEC">
        <w:rPr>
          <w:lang w:val="fr-FR"/>
        </w:rPr>
        <w:t>’</w:t>
      </w:r>
      <w:r w:rsidRPr="00DB6C66">
        <w:rPr>
          <w:lang w:val="fr-FR"/>
        </w:rPr>
        <w:t xml:space="preserve">ont soulevé aucun point particulier susceptible de remettre sérieusement cette capacité en cause.  Néanmoins, ils ont souligné la nécessité de mettre en place des mécanismes adéquats au niveau </w:t>
      </w:r>
      <w:r w:rsidR="009111BB" w:rsidRPr="00DB6C66">
        <w:rPr>
          <w:lang w:val="fr-FR"/>
        </w:rPr>
        <w:t>du VPI</w:t>
      </w:r>
      <w:r w:rsidRPr="00DB6C66">
        <w:rPr>
          <w:lang w:val="fr-FR"/>
        </w:rPr>
        <w:t xml:space="preserve"> lui</w:t>
      </w:r>
      <w:r w:rsidR="008117E3">
        <w:rPr>
          <w:lang w:val="fr-FR"/>
        </w:rPr>
        <w:noBreakHyphen/>
      </w:r>
      <w:r w:rsidRPr="00DB6C66">
        <w:rPr>
          <w:lang w:val="fr-FR"/>
        </w:rPr>
        <w:t>même pour garantir la cohérence des pratiques et des produits de recherche et d</w:t>
      </w:r>
      <w:r w:rsidR="00280EEC">
        <w:rPr>
          <w:lang w:val="fr-FR"/>
        </w:rPr>
        <w:t>’</w:t>
      </w:r>
      <w:r w:rsidRPr="00DB6C66">
        <w:rPr>
          <w:lang w:val="fr-FR"/>
        </w:rPr>
        <w:t>examen entre les offices participants et harmoniser l</w:t>
      </w:r>
      <w:r w:rsidR="00280EEC">
        <w:rPr>
          <w:lang w:val="fr-FR"/>
        </w:rPr>
        <w:t>’</w:t>
      </w:r>
      <w:r w:rsidRPr="00DB6C66">
        <w:rPr>
          <w:lang w:val="fr-FR"/>
        </w:rPr>
        <w:t xml:space="preserve">organisation du travail entre le </w:t>
      </w:r>
      <w:r w:rsidR="004477D3" w:rsidRPr="00DB6C66">
        <w:rPr>
          <w:lang w:val="fr-FR"/>
        </w:rPr>
        <w:t>s</w:t>
      </w:r>
      <w:r w:rsidRPr="00DB6C66">
        <w:rPr>
          <w:lang w:val="fr-FR"/>
        </w:rPr>
        <w:t xml:space="preserve">ecrétariat </w:t>
      </w:r>
      <w:r w:rsidR="009111BB" w:rsidRPr="00DB6C66">
        <w:rPr>
          <w:lang w:val="fr-FR"/>
        </w:rPr>
        <w:t>du VPI</w:t>
      </w:r>
      <w:r w:rsidRPr="00DB6C66">
        <w:rPr>
          <w:lang w:val="fr-FR"/>
        </w:rPr>
        <w:t xml:space="preserve"> et les offices.  Ils ont aussi noté que la planification du système de gestion de la qualité de l</w:t>
      </w:r>
      <w:r w:rsidR="00280EEC">
        <w:rPr>
          <w:lang w:val="fr-FR"/>
        </w:rPr>
        <w:t>’</w:t>
      </w:r>
      <w:r w:rsidR="009111BB" w:rsidRPr="00DB6C66">
        <w:rPr>
          <w:lang w:val="fr-FR"/>
        </w:rPr>
        <w:t>i</w:t>
      </w:r>
      <w:r w:rsidRPr="00DB6C66">
        <w:rPr>
          <w:lang w:val="fr-FR"/>
        </w:rPr>
        <w:t>nstitut devrait être aussi complète que possible au moment de la nomination, parallèlement aux systèmes de gestion de la qualité déjà en place dans les offices participants.</w:t>
      </w:r>
    </w:p>
    <w:p w:rsidR="00B517D8" w:rsidRPr="00DB6C66" w:rsidRDefault="00B517D8" w:rsidP="009C72E7">
      <w:pPr>
        <w:pStyle w:val="ONUMFS"/>
        <w:rPr>
          <w:lang w:val="fr-FR"/>
        </w:rPr>
      </w:pPr>
      <w:r w:rsidRPr="00DB6C66">
        <w:rPr>
          <w:lang w:val="fr-FR"/>
        </w:rPr>
        <w:t>L</w:t>
      </w:r>
      <w:r w:rsidR="00280EEC">
        <w:rPr>
          <w:lang w:val="fr-FR"/>
        </w:rPr>
        <w:t>’</w:t>
      </w:r>
      <w:r w:rsidRPr="00DB6C66">
        <w:rPr>
          <w:lang w:val="fr-FR"/>
        </w:rPr>
        <w:t>Office des brevets du Japon et l</w:t>
      </w:r>
      <w:r w:rsidR="00280EEC">
        <w:rPr>
          <w:lang w:val="fr-FR"/>
        </w:rPr>
        <w:t>’</w:t>
      </w:r>
      <w:r w:rsidRPr="00DB6C66">
        <w:rPr>
          <w:lang w:val="fr-FR"/>
        </w:rPr>
        <w:t>Institut nordique des brevets sont disposés à présenter au Comité de coopération technique et à l</w:t>
      </w:r>
      <w:r w:rsidR="00280EEC">
        <w:rPr>
          <w:lang w:val="fr-FR"/>
        </w:rPr>
        <w:t>’</w:t>
      </w:r>
      <w:r w:rsidRPr="00DB6C66">
        <w:rPr>
          <w:lang w:val="fr-FR"/>
        </w:rPr>
        <w:t>Assemblée de l</w:t>
      </w:r>
      <w:r w:rsidR="00280EEC">
        <w:rPr>
          <w:lang w:val="fr-FR"/>
        </w:rPr>
        <w:t>’</w:t>
      </w:r>
      <w:r w:rsidRPr="00DB6C66">
        <w:rPr>
          <w:lang w:val="fr-FR"/>
        </w:rPr>
        <w:t>Union du PCT leur rapport établissant dans quelle mesure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est prêt à assumer ses tâches dans les domaines de la recherche et de l</w:t>
      </w:r>
      <w:r w:rsidR="00280EEC">
        <w:rPr>
          <w:lang w:val="fr-FR"/>
        </w:rPr>
        <w:t>’</w:t>
      </w:r>
      <w:r w:rsidRPr="00DB6C66">
        <w:rPr>
          <w:lang w:val="fr-FR"/>
        </w:rPr>
        <w:t>examen préliminaire internationaux.</w:t>
      </w:r>
    </w:p>
    <w:p w:rsidR="009C72E7" w:rsidRPr="00DB6C66" w:rsidRDefault="00B517D8" w:rsidP="00620A17">
      <w:pPr>
        <w:pStyle w:val="Heading1"/>
        <w:rPr>
          <w:lang w:val="fr-FR"/>
        </w:rPr>
      </w:pPr>
      <w:r w:rsidRPr="00DB6C66">
        <w:rPr>
          <w:lang w:val="fr-FR"/>
        </w:rPr>
        <w:lastRenderedPageBreak/>
        <w:t>III.</w:t>
      </w:r>
      <w:r w:rsidR="009C72E7" w:rsidRPr="00DB6C66">
        <w:rPr>
          <w:lang w:val="fr-FR"/>
        </w:rPr>
        <w:tab/>
        <w:t>Conclusion</w:t>
      </w:r>
    </w:p>
    <w:p w:rsidR="00B517D8" w:rsidRPr="00DB6C66" w:rsidRDefault="00B517D8" w:rsidP="009C72E7">
      <w:pPr>
        <w:pStyle w:val="ONUMFS"/>
        <w:rPr>
          <w:lang w:val="fr-FR"/>
        </w:rPr>
      </w:pPr>
      <w:r w:rsidRPr="00DB6C66">
        <w:rPr>
          <w:lang w:val="fr-FR"/>
        </w:rPr>
        <w:t>En conclusion, les États contractants de l</w:t>
      </w:r>
      <w:r w:rsidR="00280EEC">
        <w:rPr>
          <w:lang w:val="fr-FR"/>
        </w:rPr>
        <w:t>’</w:t>
      </w:r>
      <w:r w:rsidRPr="00DB6C66">
        <w:rPr>
          <w:lang w:val="fr-FR"/>
        </w:rPr>
        <w:t>Accord établissant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se déclarent convaincus que cet institut sera en mesure de remplir tous les critères de nomination visant les administrations chargées de la recherche et de l</w:t>
      </w:r>
      <w:r w:rsidR="00280EEC">
        <w:rPr>
          <w:lang w:val="fr-FR"/>
        </w:rPr>
        <w:t>’</w:t>
      </w:r>
      <w:r w:rsidRPr="00DB6C66">
        <w:rPr>
          <w:lang w:val="fr-FR"/>
        </w:rPr>
        <w:t>examen préliminaire internationaux.  Par l</w:t>
      </w:r>
      <w:r w:rsidR="00280EEC">
        <w:rPr>
          <w:lang w:val="fr-FR"/>
        </w:rPr>
        <w:t>’</w:t>
      </w:r>
      <w:r w:rsidRPr="00DB6C66">
        <w:rPr>
          <w:lang w:val="fr-FR"/>
        </w:rPr>
        <w:t>action qu</w:t>
      </w:r>
      <w:r w:rsidR="00280EEC">
        <w:rPr>
          <w:lang w:val="fr-FR"/>
        </w:rPr>
        <w:t>’</w:t>
      </w:r>
      <w:r w:rsidRPr="00DB6C66">
        <w:rPr>
          <w:lang w:val="fr-FR"/>
        </w:rPr>
        <w:t>il va mener en qualité d</w:t>
      </w:r>
      <w:r w:rsidR="00280EEC">
        <w:rPr>
          <w:lang w:val="fr-FR"/>
        </w:rPr>
        <w:t>’</w:t>
      </w:r>
      <w:r w:rsidRPr="00DB6C66">
        <w:rPr>
          <w:lang w:val="fr-FR"/>
        </w:rPr>
        <w:t xml:space="preserve">administration internationale, </w:t>
      </w:r>
      <w:r w:rsidR="009111BB" w:rsidRPr="00DB6C66">
        <w:rPr>
          <w:lang w:val="fr-FR"/>
        </w:rPr>
        <w:t xml:space="preserve">le VPI </w:t>
      </w:r>
      <w:r w:rsidRPr="00DB6C66">
        <w:rPr>
          <w:lang w:val="fr-FR"/>
        </w:rPr>
        <w:t>apportera une contribution importante à la croissance économique, à la compétitivité et à l</w:t>
      </w:r>
      <w:r w:rsidR="00280EEC">
        <w:rPr>
          <w:lang w:val="fr-FR"/>
        </w:rPr>
        <w:t>’</w:t>
      </w:r>
      <w:r w:rsidRPr="00DB6C66">
        <w:rPr>
          <w:lang w:val="fr-FR"/>
        </w:rPr>
        <w:t>innovation dans la région et au</w:t>
      </w:r>
      <w:r w:rsidR="008117E3">
        <w:rPr>
          <w:lang w:val="fr-FR"/>
        </w:rPr>
        <w:noBreakHyphen/>
      </w:r>
      <w:r w:rsidRPr="00DB6C66">
        <w:rPr>
          <w:lang w:val="fr-FR"/>
        </w:rPr>
        <w:t>delà, ainsi qu</w:t>
      </w:r>
      <w:r w:rsidR="00280EEC">
        <w:rPr>
          <w:lang w:val="fr-FR"/>
        </w:rPr>
        <w:t>’</w:t>
      </w:r>
      <w:r w:rsidRPr="00DB6C66">
        <w:rPr>
          <w:lang w:val="fr-FR"/>
        </w:rPr>
        <w:t>au bon fonctionnement du système mondial établi au titre du PCT.</w:t>
      </w:r>
    </w:p>
    <w:p w:rsidR="00B517D8" w:rsidRPr="00DB6C66" w:rsidRDefault="00B517D8" w:rsidP="009C72E7">
      <w:pPr>
        <w:rPr>
          <w:lang w:val="fr-FR"/>
        </w:rPr>
      </w:pPr>
    </w:p>
    <w:p w:rsidR="009C72E7" w:rsidRPr="00DB6C66" w:rsidRDefault="009C72E7" w:rsidP="009C72E7">
      <w:pPr>
        <w:rPr>
          <w:lang w:val="fr-FR"/>
        </w:rPr>
      </w:pPr>
    </w:p>
    <w:p w:rsidR="00B517D8" w:rsidRPr="00DB6C66" w:rsidRDefault="00B517D8" w:rsidP="006D3583">
      <w:pPr>
        <w:pStyle w:val="Endofdocument-Annex"/>
        <w:rPr>
          <w:lang w:val="fr-FR"/>
        </w:rPr>
      </w:pPr>
      <w:r w:rsidRPr="00DB6C66">
        <w:rPr>
          <w:lang w:val="fr-FR"/>
        </w:rPr>
        <w:t>[L</w:t>
      </w:r>
      <w:r w:rsidR="00280EEC">
        <w:rPr>
          <w:lang w:val="fr-FR"/>
        </w:rPr>
        <w:t>’</w:t>
      </w:r>
      <w:r w:rsidRPr="00DB6C66">
        <w:rPr>
          <w:lang w:val="fr-FR"/>
        </w:rPr>
        <w:t>appendice I suit]</w:t>
      </w:r>
    </w:p>
    <w:p w:rsidR="009C72E7" w:rsidRPr="00DB6C66" w:rsidRDefault="009C72E7" w:rsidP="009C72E7">
      <w:pPr>
        <w:rPr>
          <w:lang w:val="fr-FR"/>
        </w:rPr>
      </w:pPr>
    </w:p>
    <w:p w:rsidR="00280EEC" w:rsidRDefault="00280EEC">
      <w:pPr>
        <w:rPr>
          <w:caps/>
          <w:lang w:val="fr-FR"/>
        </w:rPr>
      </w:pPr>
      <w:r>
        <w:rPr>
          <w:caps/>
          <w:lang w:val="fr-FR"/>
        </w:rPr>
        <w:br w:type="page"/>
      </w:r>
    </w:p>
    <w:p w:rsidR="00B517D8" w:rsidRPr="00DB6C66" w:rsidRDefault="00B517D8" w:rsidP="009C72E7">
      <w:pPr>
        <w:autoSpaceDE w:val="0"/>
        <w:autoSpaceDN w:val="0"/>
        <w:adjustRightInd w:val="0"/>
        <w:jc w:val="center"/>
        <w:rPr>
          <w:caps/>
          <w:lang w:val="fr-FR"/>
        </w:rPr>
      </w:pPr>
      <w:r w:rsidRPr="00DB6C66">
        <w:rPr>
          <w:caps/>
          <w:lang w:val="fr-FR"/>
        </w:rPr>
        <w:lastRenderedPageBreak/>
        <w:t>APPENDICE i</w:t>
      </w:r>
    </w:p>
    <w:p w:rsidR="00B517D8" w:rsidRPr="00DB6C66" w:rsidRDefault="00B517D8" w:rsidP="009C72E7">
      <w:pPr>
        <w:autoSpaceDE w:val="0"/>
        <w:autoSpaceDN w:val="0"/>
        <w:adjustRightInd w:val="0"/>
        <w:jc w:val="center"/>
        <w:rPr>
          <w:caps/>
          <w:lang w:val="fr-FR"/>
        </w:rPr>
      </w:pPr>
    </w:p>
    <w:p w:rsidR="00B517D8" w:rsidRPr="00DB6C66" w:rsidRDefault="00B517D8" w:rsidP="009C72E7">
      <w:pPr>
        <w:autoSpaceDE w:val="0"/>
        <w:autoSpaceDN w:val="0"/>
        <w:adjustRightInd w:val="0"/>
        <w:jc w:val="center"/>
        <w:rPr>
          <w:lang w:val="fr-FR"/>
        </w:rPr>
      </w:pPr>
      <w:r w:rsidRPr="00DB6C66">
        <w:rPr>
          <w:lang w:val="fr-FR"/>
        </w:rPr>
        <w:t>APPROCHE COMMUNE QUANT À LA QUALITÉ DE LA RECHERCHE INTERNATIONALE ET DE L</w:t>
      </w:r>
      <w:r w:rsidR="00280EEC">
        <w:rPr>
          <w:lang w:val="fr-FR"/>
        </w:rPr>
        <w:t>’</w:t>
      </w:r>
      <w:r w:rsidRPr="00DB6C66">
        <w:rPr>
          <w:lang w:val="fr-FR"/>
        </w:rPr>
        <w:t>EXAMEN PRÉLIMINAIRE INTERNATIONAL</w:t>
      </w:r>
    </w:p>
    <w:p w:rsidR="00B517D8" w:rsidRPr="00DB6C66" w:rsidRDefault="00B517D8" w:rsidP="009C72E7">
      <w:pPr>
        <w:autoSpaceDE w:val="0"/>
        <w:autoSpaceDN w:val="0"/>
        <w:adjustRightInd w:val="0"/>
        <w:jc w:val="center"/>
        <w:rPr>
          <w:bCs/>
          <w:caps/>
          <w:lang w:val="fr-FR"/>
        </w:rPr>
      </w:pPr>
    </w:p>
    <w:p w:rsidR="00B517D8" w:rsidRPr="00DB6C66" w:rsidRDefault="00B517D8" w:rsidP="009C72E7">
      <w:pPr>
        <w:autoSpaceDE w:val="0"/>
        <w:autoSpaceDN w:val="0"/>
        <w:adjustRightInd w:val="0"/>
        <w:jc w:val="center"/>
        <w:rPr>
          <w:bCs/>
          <w:caps/>
          <w:lang w:val="fr-FR"/>
        </w:rPr>
      </w:pPr>
      <w:r w:rsidRPr="00DB6C66">
        <w:rPr>
          <w:bCs/>
          <w:caps/>
          <w:lang w:val="fr-FR"/>
        </w:rPr>
        <w:t>RAPPORT PRÉLIMINAIRE AU TITRE DU chapitre 21 des Directives concernant la recherche internationale et l</w:t>
      </w:r>
      <w:r w:rsidR="00280EEC">
        <w:rPr>
          <w:bCs/>
          <w:caps/>
          <w:lang w:val="fr-FR"/>
        </w:rPr>
        <w:t>’</w:t>
      </w:r>
      <w:r w:rsidRPr="00DB6C66">
        <w:rPr>
          <w:bCs/>
          <w:caps/>
          <w:lang w:val="fr-FR"/>
        </w:rPr>
        <w:t>examen prÉliminaire international selon le PCT</w:t>
      </w:r>
    </w:p>
    <w:p w:rsidR="00B517D8" w:rsidRPr="00DB6C66" w:rsidRDefault="00B517D8" w:rsidP="009C72E7">
      <w:pPr>
        <w:autoSpaceDE w:val="0"/>
        <w:autoSpaceDN w:val="0"/>
        <w:adjustRightInd w:val="0"/>
        <w:jc w:val="center"/>
        <w:rPr>
          <w:caps/>
          <w:lang w:val="fr-FR"/>
        </w:rPr>
      </w:pPr>
    </w:p>
    <w:p w:rsidR="00B517D8" w:rsidRPr="00DB6C66" w:rsidRDefault="00B517D8" w:rsidP="009C72E7">
      <w:pPr>
        <w:autoSpaceDE w:val="0"/>
        <w:autoSpaceDN w:val="0"/>
        <w:adjustRightInd w:val="0"/>
        <w:jc w:val="center"/>
        <w:rPr>
          <w:bCs/>
          <w:i/>
          <w:iCs/>
          <w:caps/>
          <w:lang w:val="fr-FR"/>
        </w:rPr>
      </w:pPr>
      <w:r w:rsidRPr="00DB6C66">
        <w:rPr>
          <w:i/>
          <w:caps/>
          <w:lang w:val="fr-FR"/>
        </w:rPr>
        <w:t>ÉTABLI PAR L</w:t>
      </w:r>
      <w:r w:rsidR="00280EEC">
        <w:rPr>
          <w:i/>
          <w:caps/>
          <w:lang w:val="fr-FR"/>
        </w:rPr>
        <w:t>’</w:t>
      </w:r>
      <w:r w:rsidRPr="00DB6C66">
        <w:rPr>
          <w:i/>
          <w:caps/>
          <w:lang w:val="fr-FR"/>
        </w:rPr>
        <w:t>INSTITUT DE VISEGRAD DES BREVETS</w:t>
      </w:r>
    </w:p>
    <w:p w:rsidR="00B517D8" w:rsidRPr="00DB6C66" w:rsidRDefault="00B517D8" w:rsidP="009C72E7">
      <w:pPr>
        <w:autoSpaceDE w:val="0"/>
        <w:autoSpaceDN w:val="0"/>
        <w:adjustRightInd w:val="0"/>
        <w:jc w:val="center"/>
        <w:rPr>
          <w:iCs/>
          <w:lang w:val="fr-FR"/>
        </w:rPr>
      </w:pPr>
    </w:p>
    <w:p w:rsidR="009C72E7" w:rsidRPr="00DB6C66" w:rsidRDefault="00B517D8" w:rsidP="00620A17">
      <w:pPr>
        <w:pStyle w:val="Heading1"/>
        <w:rPr>
          <w:lang w:val="fr-FR"/>
        </w:rPr>
      </w:pPr>
      <w:r w:rsidRPr="00DB6C66">
        <w:rPr>
          <w:lang w:val="fr-FR"/>
        </w:rPr>
        <w:t>Introduction (ParagraphEs 21.01 À 21.03)</w:t>
      </w:r>
    </w:p>
    <w:p w:rsidR="00B517D8" w:rsidRPr="00DB6C66" w:rsidRDefault="00B517D8" w:rsidP="009C72E7">
      <w:pPr>
        <w:pStyle w:val="ONUMFS"/>
        <w:numPr>
          <w:ilvl w:val="0"/>
          <w:numId w:val="37"/>
        </w:numPr>
        <w:rPr>
          <w:lang w:val="fr-FR"/>
        </w:rPr>
      </w:pPr>
      <w:r w:rsidRPr="00DB6C66">
        <w:rPr>
          <w:lang w:val="fr-FR"/>
        </w:rPr>
        <w:t>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établira son propre système de gestion de la qualité, qui couvrira l</w:t>
      </w:r>
      <w:r w:rsidR="00280EEC">
        <w:rPr>
          <w:lang w:val="fr-FR"/>
        </w:rPr>
        <w:t>’</w:t>
      </w:r>
      <w:r w:rsidRPr="00DB6C66">
        <w:rPr>
          <w:lang w:val="fr-FR"/>
        </w:rPr>
        <w:t xml:space="preserve">ensemble des services proposés par </w:t>
      </w:r>
      <w:r w:rsidR="009111BB" w:rsidRPr="00DB6C66">
        <w:rPr>
          <w:lang w:val="fr-FR"/>
        </w:rPr>
        <w:t xml:space="preserve">le VPI </w:t>
      </w:r>
      <w:r w:rsidRPr="00DB6C66">
        <w:rPr>
          <w:lang w:val="fr-FR"/>
        </w:rPr>
        <w:t>à ses usagers.  Ce système visera en particulier le traitement des demandes selon le PCT dans la phase internationale, les recherches de type international découlant de demandes nationales, les travaux effectués sous contrat et les services commerciaux.  Sa planification sera entièrement achevée au moment où l</w:t>
      </w:r>
      <w:r w:rsidR="00280EEC">
        <w:rPr>
          <w:lang w:val="fr-FR"/>
        </w:rPr>
        <w:t>’</w:t>
      </w:r>
      <w:r w:rsidRPr="00DB6C66">
        <w:rPr>
          <w:lang w:val="fr-FR"/>
        </w:rPr>
        <w:t>Assemblée de l</w:t>
      </w:r>
      <w:r w:rsidR="00280EEC">
        <w:rPr>
          <w:lang w:val="fr-FR"/>
        </w:rPr>
        <w:t>’</w:t>
      </w:r>
      <w:r w:rsidRPr="00DB6C66">
        <w:rPr>
          <w:lang w:val="fr-FR"/>
        </w:rPr>
        <w:t xml:space="preserve">Union du PCT procédera à la nomination </w:t>
      </w:r>
      <w:r w:rsidR="009111BB" w:rsidRPr="00DB6C66">
        <w:rPr>
          <w:lang w:val="fr-FR"/>
        </w:rPr>
        <w:t>du VPI</w:t>
      </w:r>
      <w:r w:rsidRPr="00DB6C66">
        <w:rPr>
          <w:lang w:val="fr-FR"/>
        </w:rPr>
        <w:t xml:space="preserve"> en octobre 2015.  Le système de gestion de la qualité </w:t>
      </w:r>
      <w:r w:rsidR="009111BB" w:rsidRPr="00DB6C66">
        <w:rPr>
          <w:lang w:val="fr-FR"/>
        </w:rPr>
        <w:t>du VPI</w:t>
      </w:r>
      <w:r w:rsidRPr="00DB6C66">
        <w:rPr>
          <w:lang w:val="fr-FR"/>
        </w:rPr>
        <w:t xml:space="preserve"> sera certifié selon la norme ISO 9001.</w:t>
      </w:r>
    </w:p>
    <w:p w:rsidR="00B517D8" w:rsidRPr="00DB6C66" w:rsidRDefault="00B517D8" w:rsidP="009C72E7">
      <w:pPr>
        <w:pStyle w:val="ONUMFS"/>
        <w:numPr>
          <w:ilvl w:val="0"/>
          <w:numId w:val="37"/>
        </w:numPr>
        <w:rPr>
          <w:lang w:val="fr-FR"/>
        </w:rPr>
      </w:pPr>
      <w:r w:rsidRPr="00DB6C66">
        <w:rPr>
          <w:lang w:val="fr-FR"/>
        </w:rPr>
        <w:t>Les offices participant</w:t>
      </w:r>
      <w:r w:rsidR="00482F34" w:rsidRPr="00DB6C66">
        <w:rPr>
          <w:lang w:val="fr-FR"/>
        </w:rPr>
        <w:t>s</w:t>
      </w:r>
      <w:r w:rsidRPr="00DB6C66">
        <w:rPr>
          <w:lang w:val="fr-FR"/>
        </w:rPr>
        <w:t xml:space="preserve"> </w:t>
      </w:r>
      <w:r w:rsidR="00482F34" w:rsidRPr="00DB6C66">
        <w:rPr>
          <w:lang w:val="fr-FR"/>
        </w:rPr>
        <w:t>d</w:t>
      </w:r>
      <w:r w:rsidR="009111BB" w:rsidRPr="00DB6C66">
        <w:rPr>
          <w:lang w:val="fr-FR"/>
        </w:rPr>
        <w:t xml:space="preserve">u VPI </w:t>
      </w:r>
      <w:r w:rsidRPr="00DB6C66">
        <w:rPr>
          <w:lang w:val="fr-FR"/>
        </w:rPr>
        <w:t xml:space="preserve">ont déjà mis en place de longue date des systèmes de gestion de la qualité régissant leurs procédures nationales de délivrance des brevets.  Les systèmes dont disposent les offices des quatre pays de </w:t>
      </w:r>
      <w:proofErr w:type="spellStart"/>
      <w:r w:rsidRPr="00DB6C66">
        <w:rPr>
          <w:lang w:val="fr-FR"/>
        </w:rPr>
        <w:t>Visegrad</w:t>
      </w:r>
      <w:proofErr w:type="spellEnd"/>
      <w:r w:rsidRPr="00DB6C66">
        <w:rPr>
          <w:lang w:val="fr-FR"/>
        </w:rPr>
        <w:t xml:space="preserve"> sont certifiés ISO et ont été établis selon des principes et des objectifs très semblables.  Ces systèmes garantissent la qualité de tous les actes administratifs effectués par les offices de brevets.  Des dispositions ont également été prises en matière d</w:t>
      </w:r>
      <w:r w:rsidR="00280EEC">
        <w:rPr>
          <w:lang w:val="fr-FR"/>
        </w:rPr>
        <w:t>’</w:t>
      </w:r>
      <w:r w:rsidRPr="00DB6C66">
        <w:rPr>
          <w:lang w:val="fr-FR"/>
        </w:rPr>
        <w:t>évaluation.</w:t>
      </w:r>
    </w:p>
    <w:p w:rsidR="00B517D8" w:rsidRPr="00DB6C66" w:rsidRDefault="00B517D8" w:rsidP="009C72E7">
      <w:pPr>
        <w:pStyle w:val="ONUMFS"/>
        <w:numPr>
          <w:ilvl w:val="0"/>
          <w:numId w:val="37"/>
        </w:numPr>
        <w:rPr>
          <w:lang w:val="fr-FR"/>
        </w:rPr>
      </w:pPr>
      <w:r w:rsidRPr="00DB6C66">
        <w:rPr>
          <w:lang w:val="fr-FR"/>
        </w:rPr>
        <w:t xml:space="preserve">Le système de gestion de la qualité </w:t>
      </w:r>
      <w:r w:rsidR="009111BB" w:rsidRPr="00DB6C66">
        <w:rPr>
          <w:lang w:val="fr-FR"/>
        </w:rPr>
        <w:t>du VPI</w:t>
      </w:r>
      <w:r w:rsidRPr="00DB6C66">
        <w:rPr>
          <w:lang w:val="fr-FR"/>
        </w:rPr>
        <w:t xml:space="preserve"> sera fondé sur les systèmes des offices nationaux participants, mais sa portée sera élargie pour prendre en compte l</w:t>
      </w:r>
      <w:r w:rsidR="00280EEC">
        <w:rPr>
          <w:lang w:val="fr-FR"/>
        </w:rPr>
        <w:t>’</w:t>
      </w:r>
      <w:r w:rsidRPr="00DB6C66">
        <w:rPr>
          <w:lang w:val="fr-FR"/>
        </w:rPr>
        <w:t>ensemble des procédures du PCT concernant la phase internationale, et pour être conforme aux Directives concernant la recherche internationale et l</w:t>
      </w:r>
      <w:r w:rsidR="00280EEC">
        <w:rPr>
          <w:lang w:val="fr-FR"/>
        </w:rPr>
        <w:t>’</w:t>
      </w:r>
      <w:r w:rsidRPr="00DB6C66">
        <w:rPr>
          <w:lang w:val="fr-FR"/>
        </w:rPr>
        <w:t>examen préliminaire international selon le PCT (PCT/GL/ISPE).  Les normes et les pratiques en matière de qualité seront harmonisées pour toutes les tâches relatives au PCT et seront mises en totale conformité avec les normes et pratiques établies par le PCT et celles qui sont appliquées par l</w:t>
      </w:r>
      <w:r w:rsidR="00280EEC">
        <w:rPr>
          <w:lang w:val="fr-FR"/>
        </w:rPr>
        <w:t>’</w:t>
      </w:r>
      <w:r w:rsidRPr="00DB6C66">
        <w:rPr>
          <w:lang w:val="fr-FR"/>
        </w:rPr>
        <w:t>OEB.</w:t>
      </w:r>
    </w:p>
    <w:p w:rsidR="009111BB" w:rsidRPr="00DB6C66" w:rsidRDefault="009C72E7" w:rsidP="00620A17">
      <w:pPr>
        <w:pStyle w:val="Heading2"/>
        <w:rPr>
          <w:lang w:val="fr-FR"/>
        </w:rPr>
      </w:pPr>
      <w:r w:rsidRPr="00DB6C66">
        <w:rPr>
          <w:lang w:val="fr-FR"/>
        </w:rPr>
        <w:t>Systèmes de gestion de la qualité des offices participants d</w:t>
      </w:r>
      <w:r w:rsidR="009111BB" w:rsidRPr="00DB6C66">
        <w:rPr>
          <w:lang w:val="fr-FR"/>
        </w:rPr>
        <w:t>u VPI</w:t>
      </w:r>
    </w:p>
    <w:p w:rsidR="00B517D8" w:rsidRPr="00DB6C66" w:rsidRDefault="00B517D8" w:rsidP="009C72E7">
      <w:pPr>
        <w:pStyle w:val="ONUMFS"/>
        <w:rPr>
          <w:lang w:val="fr-FR"/>
        </w:rPr>
      </w:pPr>
      <w:r w:rsidRPr="00DB6C66">
        <w:rPr>
          <w:lang w:val="fr-FR"/>
        </w:rPr>
        <w:t>À l</w:t>
      </w:r>
      <w:r w:rsidR="00280EEC">
        <w:rPr>
          <w:lang w:val="fr-FR"/>
        </w:rPr>
        <w:t>’</w:t>
      </w:r>
      <w:r w:rsidRPr="00DB6C66">
        <w:rPr>
          <w:u w:val="single"/>
          <w:lang w:val="fr-FR"/>
        </w:rPr>
        <w:t>Office de la propriété industrielle de la République tchèque</w:t>
      </w:r>
      <w:r w:rsidRPr="00DB6C66">
        <w:rPr>
          <w:lang w:val="fr-FR"/>
        </w:rPr>
        <w:t xml:space="preserve"> (IPO CZ), un audit interne du système intégré a confirmé en 2014 que les prescriptions des normes ISO étaient respectées;  un audit externe a également été mené par la suite dans cet office.  L</w:t>
      </w:r>
      <w:r w:rsidR="00280EEC">
        <w:rPr>
          <w:lang w:val="fr-FR"/>
        </w:rPr>
        <w:t>’</w:t>
      </w:r>
      <w:r w:rsidRPr="00DB6C66">
        <w:rPr>
          <w:lang w:val="fr-FR"/>
        </w:rPr>
        <w:t>objectif était d</w:t>
      </w:r>
      <w:r w:rsidR="00280EEC">
        <w:rPr>
          <w:lang w:val="fr-FR"/>
        </w:rPr>
        <w:t>’</w:t>
      </w:r>
      <w:r w:rsidRPr="00DB6C66">
        <w:rPr>
          <w:lang w:val="fr-FR"/>
        </w:rPr>
        <w:t>examiner les fonctionnalités du système de gestion de la sécurité au regard de la norme ISO/IEC 27001 :2005 et de renouveler la certification du système courant de gestion de la qualité au regard des normes ISO 9001 :2008, BS OHSAS 18001 :2007 et ISO 14001 :2004.  Aucune divergence nécessitant des mesures correctives n</w:t>
      </w:r>
      <w:r w:rsidR="00280EEC">
        <w:rPr>
          <w:lang w:val="fr-FR"/>
        </w:rPr>
        <w:t>’</w:t>
      </w:r>
      <w:r w:rsidRPr="00DB6C66">
        <w:rPr>
          <w:lang w:val="fr-FR"/>
        </w:rPr>
        <w:t>a été détectée au cours de ces audits.  La norme européenne pour la gestion de la qualité a été appliquée en coopération avec l</w:t>
      </w:r>
      <w:r w:rsidR="00280EEC">
        <w:rPr>
          <w:lang w:val="fr-FR"/>
        </w:rPr>
        <w:t>’</w:t>
      </w:r>
      <w:r w:rsidRPr="00DB6C66">
        <w:rPr>
          <w:lang w:val="fr-FR"/>
        </w:rPr>
        <w:t>OEB.</w:t>
      </w:r>
    </w:p>
    <w:p w:rsidR="00B517D8" w:rsidRPr="00DB6C66" w:rsidRDefault="00B517D8" w:rsidP="009C72E7">
      <w:pPr>
        <w:pStyle w:val="ONUMFS"/>
        <w:rPr>
          <w:lang w:val="fr-FR"/>
        </w:rPr>
      </w:pPr>
      <w:r w:rsidRPr="00DB6C66">
        <w:rPr>
          <w:lang w:val="fr-FR"/>
        </w:rPr>
        <w:t>L</w:t>
      </w:r>
      <w:r w:rsidR="00280EEC">
        <w:rPr>
          <w:lang w:val="fr-FR"/>
        </w:rPr>
        <w:t>’</w:t>
      </w:r>
      <w:r w:rsidRPr="00DB6C66">
        <w:rPr>
          <w:u w:val="single"/>
          <w:lang w:val="fr-FR"/>
        </w:rPr>
        <w:t>Office de la propriété intellectuelle hongrois</w:t>
      </w:r>
      <w:r w:rsidRPr="00DB6C66">
        <w:rPr>
          <w:lang w:val="fr-FR"/>
        </w:rPr>
        <w:t xml:space="preserve"> (HIPO) a mis en œuvre, pour ses fonctions de recherche et d</w:t>
      </w:r>
      <w:r w:rsidR="00280EEC">
        <w:rPr>
          <w:lang w:val="fr-FR"/>
        </w:rPr>
        <w:t>’</w:t>
      </w:r>
      <w:r w:rsidRPr="00DB6C66">
        <w:rPr>
          <w:lang w:val="fr-FR"/>
        </w:rPr>
        <w:t>examen en matière de brevets, un système de gestion de la qualité conforme à la norme ISO 9001.  La première certification ISO 9001 :2008 était valable de 2011 à 2014, et son renouvellement est valable de 2014 à 2017.  La norme européenne pour la gestion de la qualité avait été mise en œuvre pour les procédures d</w:t>
      </w:r>
      <w:r w:rsidR="00280EEC">
        <w:rPr>
          <w:lang w:val="fr-FR"/>
        </w:rPr>
        <w:t>’</w:t>
      </w:r>
      <w:r w:rsidRPr="00DB6C66">
        <w:rPr>
          <w:lang w:val="fr-FR"/>
        </w:rPr>
        <w:t>octroi de brevets nationaux avant que le système intégré de gestion de la qualité ne soit certifié ISO en 2010.</w:t>
      </w:r>
    </w:p>
    <w:p w:rsidR="00B517D8" w:rsidRPr="00DB6C66" w:rsidRDefault="00B517D8" w:rsidP="009C72E7">
      <w:pPr>
        <w:pStyle w:val="ONUMFS"/>
        <w:rPr>
          <w:lang w:val="fr-FR"/>
        </w:rPr>
      </w:pPr>
      <w:r w:rsidRPr="00DB6C66">
        <w:rPr>
          <w:lang w:val="fr-FR"/>
        </w:rPr>
        <w:lastRenderedPageBreak/>
        <w:t>L</w:t>
      </w:r>
      <w:r w:rsidR="00280EEC">
        <w:rPr>
          <w:lang w:val="fr-FR"/>
        </w:rPr>
        <w:t>’</w:t>
      </w:r>
      <w:r w:rsidRPr="00DB6C66">
        <w:rPr>
          <w:u w:val="single"/>
          <w:lang w:val="fr-FR"/>
        </w:rPr>
        <w:t>Office des brevets polonais</w:t>
      </w:r>
      <w:r w:rsidRPr="00DB6C66">
        <w:rPr>
          <w:lang w:val="fr-FR"/>
        </w:rPr>
        <w:t xml:space="preserve"> (PPO) a tout d</w:t>
      </w:r>
      <w:r w:rsidR="00280EEC">
        <w:rPr>
          <w:lang w:val="fr-FR"/>
        </w:rPr>
        <w:t>’</w:t>
      </w:r>
      <w:r w:rsidRPr="00DB6C66">
        <w:rPr>
          <w:lang w:val="fr-FR"/>
        </w:rPr>
        <w:t>abord obtenu une certification à la norme PN EN ISO 9001 :2009 en juillet 2011, qui est restée en vigueur pendant trois ans, jusqu</w:t>
      </w:r>
      <w:r w:rsidR="00280EEC">
        <w:rPr>
          <w:lang w:val="fr-FR"/>
        </w:rPr>
        <w:t>’</w:t>
      </w:r>
      <w:r w:rsidRPr="00DB6C66">
        <w:rPr>
          <w:lang w:val="fr-FR"/>
        </w:rPr>
        <w:t>en juillet 2014.  Compte tenu des travaux considérables entrepris à l</w:t>
      </w:r>
      <w:r w:rsidR="00280EEC">
        <w:rPr>
          <w:lang w:val="fr-FR"/>
        </w:rPr>
        <w:t>’</w:t>
      </w:r>
      <w:r w:rsidRPr="00DB6C66">
        <w:rPr>
          <w:lang w:val="fr-FR"/>
        </w:rPr>
        <w:t>époque au sein du PPO pour améliorer et modifier les procédures internes, la demande de renouvellement de la certification ISO a été reportée jusqu</w:t>
      </w:r>
      <w:r w:rsidR="00280EEC">
        <w:rPr>
          <w:lang w:val="fr-FR"/>
        </w:rPr>
        <w:t>’</w:t>
      </w:r>
      <w:r w:rsidRPr="00DB6C66">
        <w:rPr>
          <w:lang w:val="fr-FR"/>
        </w:rPr>
        <w:t xml:space="preserve">au début de 2015.  Des audits internes et externes se sont achevés le 20 mars 2015, et le 24 mars 2015, un comité technique de la société </w:t>
      </w:r>
      <w:r w:rsidRPr="00DB6C66">
        <w:rPr>
          <w:i/>
          <w:lang w:val="fr-FR"/>
        </w:rPr>
        <w:t xml:space="preserve">Polskie Centrum Bada?  i </w:t>
      </w:r>
      <w:proofErr w:type="spellStart"/>
      <w:r w:rsidRPr="00DB6C66">
        <w:rPr>
          <w:i/>
          <w:lang w:val="fr-FR"/>
        </w:rPr>
        <w:t>Certyfikacji</w:t>
      </w:r>
      <w:proofErr w:type="spellEnd"/>
      <w:r w:rsidRPr="00DB6C66">
        <w:rPr>
          <w:i/>
          <w:lang w:val="fr-FR"/>
        </w:rPr>
        <w:t xml:space="preserve"> SA</w:t>
      </w:r>
      <w:r w:rsidRPr="00DB6C66">
        <w:rPr>
          <w:lang w:val="fr-FR"/>
        </w:rPr>
        <w:t xml:space="preserve"> a émis un avis positif pour ce renouvellement.</w:t>
      </w:r>
    </w:p>
    <w:p w:rsidR="00B517D8" w:rsidRPr="00DB6C66" w:rsidRDefault="00B517D8" w:rsidP="009C72E7">
      <w:pPr>
        <w:pStyle w:val="ONUMFS"/>
        <w:rPr>
          <w:lang w:val="fr-FR"/>
        </w:rPr>
      </w:pPr>
      <w:r w:rsidRPr="00DB6C66">
        <w:rPr>
          <w:lang w:val="fr-FR"/>
        </w:rPr>
        <w:t>La première certification EN</w:t>
      </w:r>
      <w:r w:rsidR="00CA38B1" w:rsidRPr="00DB6C66">
        <w:rPr>
          <w:lang w:val="fr-FR"/>
        </w:rPr>
        <w:t xml:space="preserve"> ISO 9001</w:t>
      </w:r>
      <w:r w:rsidRPr="00DB6C66">
        <w:rPr>
          <w:lang w:val="fr-FR"/>
        </w:rPr>
        <w:t>:2008 obtenue par l</w:t>
      </w:r>
      <w:r w:rsidR="00280EEC">
        <w:rPr>
          <w:lang w:val="fr-FR"/>
        </w:rPr>
        <w:t>’</w:t>
      </w:r>
      <w:r w:rsidRPr="00DB6C66">
        <w:rPr>
          <w:u w:val="single"/>
          <w:lang w:val="fr-FR"/>
        </w:rPr>
        <w:t>Office de la propriété industrielle de la Slovaquie</w:t>
      </w:r>
      <w:r w:rsidRPr="00DB6C66">
        <w:rPr>
          <w:lang w:val="fr-FR"/>
        </w:rPr>
        <w:t xml:space="preserve"> (IPO SR) était valable de 2008 à 2011.  Le premier renouvellement portait sur la période 2011</w:t>
      </w:r>
      <w:r w:rsidR="008117E3">
        <w:rPr>
          <w:lang w:val="fr-FR"/>
        </w:rPr>
        <w:noBreakHyphen/>
      </w:r>
      <w:r w:rsidRPr="00DB6C66">
        <w:rPr>
          <w:lang w:val="fr-FR"/>
        </w:rPr>
        <w:t>2014 et le deuxième est valable jusqu</w:t>
      </w:r>
      <w:r w:rsidR="00280EEC">
        <w:rPr>
          <w:lang w:val="fr-FR"/>
        </w:rPr>
        <w:t>’</w:t>
      </w:r>
      <w:r w:rsidRPr="00DB6C66">
        <w:rPr>
          <w:lang w:val="fr-FR"/>
        </w:rPr>
        <w:t>en 2017.  Cet office a subi avec succès l</w:t>
      </w:r>
      <w:r w:rsidR="00280EEC">
        <w:rPr>
          <w:lang w:val="fr-FR"/>
        </w:rPr>
        <w:t>’</w:t>
      </w:r>
      <w:r w:rsidRPr="00DB6C66">
        <w:rPr>
          <w:lang w:val="fr-FR"/>
        </w:rPr>
        <w:t>audit de renouvellement en juin 2014;  son certificat atteste que son système de gestion de la qualité a été mis en œuvre et est actualisé conformément à la norme EN ISO 9001 :2008.</w:t>
      </w:r>
    </w:p>
    <w:p w:rsidR="009C72E7" w:rsidRPr="00DB6C66" w:rsidRDefault="009C72E7" w:rsidP="00620A17">
      <w:pPr>
        <w:pStyle w:val="Heading2"/>
        <w:rPr>
          <w:lang w:val="fr-FR"/>
        </w:rPr>
      </w:pPr>
      <w:r w:rsidRPr="00DB6C66">
        <w:rPr>
          <w:lang w:val="fr-FR"/>
        </w:rPr>
        <w:t>Objectifs du système de gestion de la qualité du VPI</w:t>
      </w:r>
    </w:p>
    <w:p w:rsidR="00B517D8" w:rsidRPr="00DB6C66" w:rsidRDefault="00B517D8" w:rsidP="009C72E7">
      <w:pPr>
        <w:pStyle w:val="ONUMFS"/>
        <w:rPr>
          <w:lang w:val="fr-FR"/>
        </w:rPr>
      </w:pPr>
      <w:r w:rsidRPr="00DB6C66">
        <w:rPr>
          <w:lang w:val="fr-FR"/>
        </w:rPr>
        <w:t xml:space="preserve">Le système de gestion de la qualité </w:t>
      </w:r>
      <w:r w:rsidR="009111BB" w:rsidRPr="00DB6C66">
        <w:rPr>
          <w:lang w:val="fr-FR"/>
        </w:rPr>
        <w:t xml:space="preserve">du VPI </w:t>
      </w:r>
      <w:r w:rsidRPr="00DB6C66">
        <w:rPr>
          <w:lang w:val="fr-FR"/>
        </w:rPr>
        <w:t>sera fondé sur les systèmes des offices nationaux participants, mais sa portée sera élargie pour prendre en compte l</w:t>
      </w:r>
      <w:r w:rsidR="00280EEC">
        <w:rPr>
          <w:lang w:val="fr-FR"/>
        </w:rPr>
        <w:t>’</w:t>
      </w:r>
      <w:r w:rsidRPr="00DB6C66">
        <w:rPr>
          <w:lang w:val="fr-FR"/>
        </w:rPr>
        <w:t>ensemble des procédures du PCT concernant la phase internationale, et pour être conforme aux Directives concernant la recherche internationale et l</w:t>
      </w:r>
      <w:r w:rsidR="00280EEC">
        <w:rPr>
          <w:lang w:val="fr-FR"/>
        </w:rPr>
        <w:t>’</w:t>
      </w:r>
      <w:r w:rsidRPr="00DB6C66">
        <w:rPr>
          <w:lang w:val="fr-FR"/>
        </w:rPr>
        <w:t xml:space="preserve">examen préliminaire international selon le PCT (PCT/GL/ISPE).  Les normes et les pratiques </w:t>
      </w:r>
      <w:r w:rsidR="009111BB" w:rsidRPr="00DB6C66">
        <w:rPr>
          <w:lang w:val="fr-FR"/>
        </w:rPr>
        <w:t>du VPI</w:t>
      </w:r>
      <w:r w:rsidRPr="00DB6C66">
        <w:rPr>
          <w:lang w:val="fr-FR"/>
        </w:rPr>
        <w:t xml:space="preserve"> en matière de qualité seront harmonisées pour toutes les tâches relatives au PCT et la coopération entre les offices nationaux participants sera renforcée afin de poursuivre l</w:t>
      </w:r>
      <w:r w:rsidR="00280EEC">
        <w:rPr>
          <w:lang w:val="fr-FR"/>
        </w:rPr>
        <w:t>’</w:t>
      </w:r>
      <w:r w:rsidRPr="00DB6C66">
        <w:rPr>
          <w:lang w:val="fr-FR"/>
        </w:rPr>
        <w:t>harmonisation de leurs pratiques dans le domaine des brevets.</w:t>
      </w:r>
    </w:p>
    <w:p w:rsidR="00B517D8" w:rsidRPr="00DB6C66" w:rsidRDefault="00B517D8" w:rsidP="009C72E7">
      <w:pPr>
        <w:pStyle w:val="ONUMFS"/>
        <w:rPr>
          <w:lang w:val="fr-FR"/>
        </w:rPr>
      </w:pPr>
      <w:r w:rsidRPr="00DB6C66">
        <w:rPr>
          <w:lang w:val="fr-FR"/>
        </w:rPr>
        <w:t>Pour s</w:t>
      </w:r>
      <w:r w:rsidR="00280EEC">
        <w:rPr>
          <w:lang w:val="fr-FR"/>
        </w:rPr>
        <w:t>’</w:t>
      </w:r>
      <w:r w:rsidRPr="00DB6C66">
        <w:rPr>
          <w:lang w:val="fr-FR"/>
        </w:rPr>
        <w:t xml:space="preserve">acquitter de ses tâches, </w:t>
      </w:r>
      <w:r w:rsidR="009111BB" w:rsidRPr="00DB6C66">
        <w:rPr>
          <w:lang w:val="fr-FR"/>
        </w:rPr>
        <w:t xml:space="preserve">le VPI </w:t>
      </w:r>
      <w:r w:rsidRPr="00DB6C66">
        <w:rPr>
          <w:lang w:val="fr-FR"/>
        </w:rPr>
        <w:t>doit au préalable pouvoir garantir systématiquement une qualité élevée de ses prestations.  L</w:t>
      </w:r>
      <w:r w:rsidR="00280EEC">
        <w:rPr>
          <w:lang w:val="fr-FR"/>
        </w:rPr>
        <w:t>’</w:t>
      </w:r>
      <w:r w:rsidRPr="00DB6C66">
        <w:rPr>
          <w:lang w:val="fr-FR"/>
        </w:rPr>
        <w:t xml:space="preserve">objectif premier </w:t>
      </w:r>
      <w:r w:rsidR="009111BB" w:rsidRPr="00DB6C66">
        <w:rPr>
          <w:lang w:val="fr-FR"/>
        </w:rPr>
        <w:t xml:space="preserve">du VPI </w:t>
      </w:r>
      <w:r w:rsidRPr="00DB6C66">
        <w:rPr>
          <w:lang w:val="fr-FR"/>
        </w:rPr>
        <w:t xml:space="preserve">est de proposer des produits et des services de haute qualité à ses usagers et partenaires, et de pérenniser cette haute qualité.  </w:t>
      </w:r>
      <w:r w:rsidR="009111BB" w:rsidRPr="00DB6C66">
        <w:rPr>
          <w:lang w:val="fr-FR"/>
        </w:rPr>
        <w:t xml:space="preserve">Le VPI </w:t>
      </w:r>
      <w:r w:rsidRPr="00DB6C66">
        <w:rPr>
          <w:lang w:val="fr-FR"/>
        </w:rPr>
        <w:t>devra offrir des produits et services de qualité en matière de recherche et d</w:t>
      </w:r>
      <w:r w:rsidR="00280EEC">
        <w:rPr>
          <w:lang w:val="fr-FR"/>
        </w:rPr>
        <w:t>’</w:t>
      </w:r>
      <w:r w:rsidRPr="00DB6C66">
        <w:rPr>
          <w:lang w:val="fr-FR"/>
        </w:rPr>
        <w:t>examen pour permettre à ses clients de prendre des décisions en se fondant sur des informations fiables.</w:t>
      </w:r>
    </w:p>
    <w:p w:rsidR="00B517D8" w:rsidRPr="00DB6C66" w:rsidRDefault="00B517D8" w:rsidP="009C72E7">
      <w:pPr>
        <w:pStyle w:val="ONUMFS"/>
        <w:rPr>
          <w:lang w:val="fr-FR"/>
        </w:rPr>
      </w:pPr>
      <w:r w:rsidRPr="00DB6C66">
        <w:rPr>
          <w:lang w:val="fr-FR"/>
        </w:rPr>
        <w:t>Il existe aussi d</w:t>
      </w:r>
      <w:r w:rsidR="00280EEC">
        <w:rPr>
          <w:lang w:val="fr-FR"/>
        </w:rPr>
        <w:t>’</w:t>
      </w:r>
      <w:r w:rsidRPr="00DB6C66">
        <w:rPr>
          <w:lang w:val="fr-FR"/>
        </w:rPr>
        <w:t>autres conditions préalables à un travail de haute qualité, notamment les compétences du personnel, le nombre d</w:t>
      </w:r>
      <w:r w:rsidR="00280EEC">
        <w:rPr>
          <w:lang w:val="fr-FR"/>
        </w:rPr>
        <w:t>’</w:t>
      </w:r>
      <w:r w:rsidRPr="00DB6C66">
        <w:rPr>
          <w:lang w:val="fr-FR"/>
        </w:rPr>
        <w:t>examinateurs qualifiés sur le plan technique et employés à plein temps, ou encore l</w:t>
      </w:r>
      <w:r w:rsidR="00280EEC">
        <w:rPr>
          <w:lang w:val="fr-FR"/>
        </w:rPr>
        <w:t>’</w:t>
      </w:r>
      <w:r w:rsidRPr="00DB6C66">
        <w:rPr>
          <w:lang w:val="fr-FR"/>
        </w:rPr>
        <w:t>accès à la documentation minimale du PCT.  L</w:t>
      </w:r>
      <w:r w:rsidR="009111BB" w:rsidRPr="00DB6C66">
        <w:rPr>
          <w:lang w:val="fr-FR"/>
        </w:rPr>
        <w:t xml:space="preserve">e VPI </w:t>
      </w:r>
      <w:r w:rsidRPr="00DB6C66">
        <w:rPr>
          <w:lang w:val="fr-FR"/>
        </w:rPr>
        <w:t>répondra pleinement aux critères de base du PCT dans ces domaines au moment de la nomination.  Le nombre d</w:t>
      </w:r>
      <w:r w:rsidR="00280EEC">
        <w:rPr>
          <w:lang w:val="fr-FR"/>
        </w:rPr>
        <w:t>’</w:t>
      </w:r>
      <w:r w:rsidRPr="00DB6C66">
        <w:rPr>
          <w:lang w:val="fr-FR"/>
        </w:rPr>
        <w:t>examinateurs dont disposera l</w:t>
      </w:r>
      <w:r w:rsidR="009111BB" w:rsidRPr="00DB6C66">
        <w:rPr>
          <w:lang w:val="fr-FR"/>
        </w:rPr>
        <w:t>e VPI</w:t>
      </w:r>
      <w:r w:rsidRPr="00DB6C66">
        <w:rPr>
          <w:lang w:val="fr-FR"/>
        </w:rPr>
        <w:t>, ainsi que leurs qualifications, leur expérience, leurs langues et leurs programmes de formation sont indiqués au paragraphe 2.2 de l</w:t>
      </w:r>
      <w:r w:rsidR="00280EEC">
        <w:rPr>
          <w:lang w:val="fr-FR"/>
        </w:rPr>
        <w:t>’</w:t>
      </w:r>
      <w:r w:rsidRPr="00DB6C66">
        <w:rPr>
          <w:lang w:val="fr-FR"/>
        </w:rPr>
        <w:t>annexe II du document PCT/CTC/28/2.  Le paragraphe 2.3 indique que les examinateurs de chaque office participant</w:t>
      </w:r>
      <w:r w:rsidR="00482F34" w:rsidRPr="00DB6C66">
        <w:rPr>
          <w:lang w:val="fr-FR"/>
        </w:rPr>
        <w:t>s</w:t>
      </w:r>
      <w:r w:rsidRPr="00DB6C66">
        <w:rPr>
          <w:lang w:val="fr-FR"/>
        </w:rPr>
        <w:t xml:space="preserve"> </w:t>
      </w:r>
      <w:r w:rsidR="00482F34" w:rsidRPr="00DB6C66">
        <w:rPr>
          <w:lang w:val="fr-FR"/>
        </w:rPr>
        <w:t>d</w:t>
      </w:r>
      <w:r w:rsidR="009111BB" w:rsidRPr="00DB6C66">
        <w:rPr>
          <w:lang w:val="fr-FR"/>
        </w:rPr>
        <w:t xml:space="preserve">u VPI </w:t>
      </w:r>
      <w:r w:rsidRPr="00DB6C66">
        <w:rPr>
          <w:lang w:val="fr-FR"/>
        </w:rPr>
        <w:t>ont accès à une large gamme d</w:t>
      </w:r>
      <w:r w:rsidR="00280EEC">
        <w:rPr>
          <w:lang w:val="fr-FR"/>
        </w:rPr>
        <w:t>’</w:t>
      </w:r>
      <w:r w:rsidRPr="00DB6C66">
        <w:rPr>
          <w:lang w:val="fr-FR"/>
        </w:rPr>
        <w:t>informations sur les brevets et à la littérature scientifique, ainsi qu</w:t>
      </w:r>
      <w:r w:rsidR="00280EEC">
        <w:rPr>
          <w:lang w:val="fr-FR"/>
        </w:rPr>
        <w:t>’</w:t>
      </w:r>
      <w:r w:rsidRPr="00DB6C66">
        <w:rPr>
          <w:lang w:val="fr-FR"/>
        </w:rPr>
        <w:t xml:space="preserve">à des outils de recherche et différents liens.  Étant donné que les quatre pays de </w:t>
      </w:r>
      <w:proofErr w:type="spellStart"/>
      <w:r w:rsidRPr="00DB6C66">
        <w:rPr>
          <w:lang w:val="fr-FR"/>
        </w:rPr>
        <w:t>Visegrad</w:t>
      </w:r>
      <w:proofErr w:type="spellEnd"/>
      <w:r w:rsidRPr="00DB6C66">
        <w:rPr>
          <w:lang w:val="fr-FR"/>
        </w:rPr>
        <w:t xml:space="preserve"> sont des États contractants de la Convention sur le brevet européen, les offices de brevets participant</w:t>
      </w:r>
      <w:r w:rsidR="00482F34" w:rsidRPr="00DB6C66">
        <w:rPr>
          <w:lang w:val="fr-FR"/>
        </w:rPr>
        <w:t>s</w:t>
      </w:r>
      <w:r w:rsidRPr="00DB6C66">
        <w:rPr>
          <w:lang w:val="fr-FR"/>
        </w:rPr>
        <w:t xml:space="preserve"> </w:t>
      </w:r>
      <w:r w:rsidR="00482F34" w:rsidRPr="00DB6C66">
        <w:rPr>
          <w:lang w:val="fr-FR"/>
        </w:rPr>
        <w:t>d</w:t>
      </w:r>
      <w:r w:rsidR="009111BB" w:rsidRPr="00DB6C66">
        <w:rPr>
          <w:lang w:val="fr-FR"/>
        </w:rPr>
        <w:t xml:space="preserve">u VPI </w:t>
      </w:r>
      <w:r w:rsidRPr="00DB6C66">
        <w:rPr>
          <w:lang w:val="fr-FR"/>
        </w:rPr>
        <w:t xml:space="preserve">ont accès à </w:t>
      </w:r>
      <w:proofErr w:type="spellStart"/>
      <w:r w:rsidRPr="00DB6C66">
        <w:rPr>
          <w:lang w:val="fr-FR"/>
        </w:rPr>
        <w:t>EPOQUENet</w:t>
      </w:r>
      <w:proofErr w:type="spellEnd"/>
      <w:r w:rsidRPr="00DB6C66">
        <w:rPr>
          <w:lang w:val="fr-FR"/>
        </w:rPr>
        <w:t xml:space="preserve"> ainsi qu</w:t>
      </w:r>
      <w:r w:rsidR="00280EEC">
        <w:rPr>
          <w:lang w:val="fr-FR"/>
        </w:rPr>
        <w:t>’</w:t>
      </w:r>
      <w:r w:rsidRPr="00DB6C66">
        <w:rPr>
          <w:lang w:val="fr-FR"/>
        </w:rPr>
        <w:t>à plusieurs plates</w:t>
      </w:r>
      <w:r w:rsidR="008117E3">
        <w:rPr>
          <w:lang w:val="fr-FR"/>
        </w:rPr>
        <w:noBreakHyphen/>
      </w:r>
      <w:r w:rsidRPr="00DB6C66">
        <w:rPr>
          <w:lang w:val="fr-FR"/>
        </w:rPr>
        <w:t>formes de recherche commerciales.</w:t>
      </w:r>
    </w:p>
    <w:p w:rsidR="009C72E7" w:rsidRPr="00DB6C66" w:rsidRDefault="009C72E7" w:rsidP="00620A17">
      <w:pPr>
        <w:pStyle w:val="Heading1"/>
        <w:rPr>
          <w:lang w:val="fr-FR"/>
        </w:rPr>
      </w:pPr>
      <w:r w:rsidRPr="00DB6C66">
        <w:rPr>
          <w:lang w:val="fr-FR"/>
        </w:rPr>
        <w:t>1.</w:t>
      </w:r>
      <w:r w:rsidRPr="00DB6C66">
        <w:rPr>
          <w:lang w:val="fr-FR"/>
        </w:rPr>
        <w:tab/>
        <w:t xml:space="preserve">Encadrement </w:t>
      </w:r>
      <w:r w:rsidR="00B517D8" w:rsidRPr="00DB6C66">
        <w:rPr>
          <w:lang w:val="fr-FR"/>
        </w:rPr>
        <w:t>et politique (</w:t>
      </w:r>
      <w:r w:rsidRPr="00DB6C66">
        <w:rPr>
          <w:lang w:val="fr-FR"/>
        </w:rPr>
        <w:t>paragraphes </w:t>
      </w:r>
      <w:r w:rsidR="00B517D8" w:rsidRPr="00DB6C66">
        <w:rPr>
          <w:lang w:val="fr-FR"/>
        </w:rPr>
        <w:t>21.04 À 21.09)</w:t>
      </w:r>
    </w:p>
    <w:p w:rsidR="00B517D8" w:rsidRPr="00DB6C66" w:rsidRDefault="00B517D8" w:rsidP="009C72E7">
      <w:pPr>
        <w:pStyle w:val="ONUMFS"/>
        <w:rPr>
          <w:lang w:val="fr-FR"/>
        </w:rPr>
      </w:pPr>
      <w:r w:rsidRPr="00DB6C66">
        <w:rPr>
          <w:lang w:val="fr-FR"/>
        </w:rPr>
        <w:t>L</w:t>
      </w:r>
      <w:r w:rsidR="00280EEC">
        <w:rPr>
          <w:lang w:val="fr-FR"/>
        </w:rPr>
        <w:t>’</w:t>
      </w:r>
      <w:r w:rsidRPr="00DB6C66">
        <w:rPr>
          <w:lang w:val="fr-FR"/>
        </w:rPr>
        <w:t xml:space="preserve">objectif politique </w:t>
      </w:r>
      <w:r w:rsidR="009111BB" w:rsidRPr="00DB6C66">
        <w:rPr>
          <w:lang w:val="fr-FR"/>
        </w:rPr>
        <w:t>du VPI</w:t>
      </w:r>
      <w:r w:rsidRPr="00DB6C66">
        <w:rPr>
          <w:lang w:val="fr-FR"/>
        </w:rPr>
        <w:t xml:space="preserve"> est de proposer des produits et des services professionnels de haute qualité à ses usagers et partenaires dans les domaines de la recherche et de l</w:t>
      </w:r>
      <w:r w:rsidR="00280EEC">
        <w:rPr>
          <w:lang w:val="fr-FR"/>
        </w:rPr>
        <w:t>’</w:t>
      </w:r>
      <w:r w:rsidRPr="00DB6C66">
        <w:rPr>
          <w:lang w:val="fr-FR"/>
        </w:rPr>
        <w:t>examen préliminaire internationaux, en coopération étroite avec les offices nationaux participants.  L</w:t>
      </w:r>
      <w:r w:rsidR="009111BB" w:rsidRPr="00DB6C66">
        <w:rPr>
          <w:lang w:val="fr-FR"/>
        </w:rPr>
        <w:t xml:space="preserve">e VPI </w:t>
      </w:r>
      <w:r w:rsidRPr="00DB6C66">
        <w:rPr>
          <w:lang w:val="fr-FR"/>
        </w:rPr>
        <w:t>contribuera ainsi à stimuler l</w:t>
      </w:r>
      <w:r w:rsidR="00280EEC">
        <w:rPr>
          <w:lang w:val="fr-FR"/>
        </w:rPr>
        <w:t>’</w:t>
      </w:r>
      <w:r w:rsidRPr="00DB6C66">
        <w:rPr>
          <w:lang w:val="fr-FR"/>
        </w:rPr>
        <w:t>innovation, la créativité, la compétitivité et la croissance économique de l</w:t>
      </w:r>
      <w:r w:rsidR="00280EEC">
        <w:rPr>
          <w:lang w:val="fr-FR"/>
        </w:rPr>
        <w:t>’</w:t>
      </w:r>
      <w:r w:rsidRPr="00DB6C66">
        <w:rPr>
          <w:lang w:val="fr-FR"/>
        </w:rPr>
        <w:t>Europe centrale et orientale, et à améliorer la qualité et l</w:t>
      </w:r>
      <w:r w:rsidR="00280EEC">
        <w:rPr>
          <w:lang w:val="fr-FR"/>
        </w:rPr>
        <w:t>’</w:t>
      </w:r>
      <w:r w:rsidRPr="00DB6C66">
        <w:rPr>
          <w:lang w:val="fr-FR"/>
        </w:rPr>
        <w:t>efficacité du système du PCT.</w:t>
      </w:r>
    </w:p>
    <w:p w:rsidR="00B517D8" w:rsidRPr="00DB6C66" w:rsidRDefault="00B517D8" w:rsidP="009C72E7">
      <w:pPr>
        <w:pStyle w:val="ONUMFS"/>
        <w:rPr>
          <w:lang w:val="fr-FR"/>
        </w:rPr>
      </w:pPr>
      <w:r w:rsidRPr="00DB6C66">
        <w:rPr>
          <w:lang w:val="fr-FR"/>
        </w:rPr>
        <w:lastRenderedPageBreak/>
        <w:t>L</w:t>
      </w:r>
      <w:r w:rsidR="009111BB" w:rsidRPr="00DB6C66">
        <w:rPr>
          <w:lang w:val="fr-FR"/>
        </w:rPr>
        <w:t>e VPI</w:t>
      </w:r>
      <w:r w:rsidRPr="00DB6C66">
        <w:rPr>
          <w:lang w:val="fr-FR"/>
        </w:rPr>
        <w:t xml:space="preserve"> entend aussi apporter une contribution positive au développement d</w:t>
      </w:r>
      <w:r w:rsidR="00280EEC">
        <w:rPr>
          <w:lang w:val="fr-FR"/>
        </w:rPr>
        <w:t>’</w:t>
      </w:r>
      <w:r w:rsidRPr="00DB6C66">
        <w:rPr>
          <w:lang w:val="fr-FR"/>
        </w:rPr>
        <w:t>un système européen des brevets cohérent et efficace fondé sur la Convention sur le brevet européen et sur la coopération établie de longue date entre l</w:t>
      </w:r>
      <w:r w:rsidR="00280EEC">
        <w:rPr>
          <w:lang w:val="fr-FR"/>
        </w:rPr>
        <w:t>’</w:t>
      </w:r>
      <w:r w:rsidRPr="00DB6C66">
        <w:rPr>
          <w:lang w:val="fr-FR"/>
        </w:rPr>
        <w:t>Office européen des brevets et les offices de brevets nationaux.</w:t>
      </w:r>
    </w:p>
    <w:p w:rsidR="00B517D8" w:rsidRPr="00DB6C66" w:rsidRDefault="00B517D8" w:rsidP="009C72E7">
      <w:pPr>
        <w:pStyle w:val="ONUMFS"/>
        <w:rPr>
          <w:lang w:val="fr-FR"/>
        </w:rPr>
      </w:pPr>
      <w:r w:rsidRPr="00DB6C66">
        <w:rPr>
          <w:lang w:val="fr-FR"/>
        </w:rPr>
        <w:t xml:space="preserve">Les objectifs précités seront repris dans la politique de qualité générale </w:t>
      </w:r>
      <w:r w:rsidR="009111BB" w:rsidRPr="00DB6C66">
        <w:rPr>
          <w:lang w:val="fr-FR"/>
        </w:rPr>
        <w:t>du VPI</w:t>
      </w:r>
      <w:r w:rsidRPr="00DB6C66">
        <w:rPr>
          <w:lang w:val="fr-FR"/>
        </w:rPr>
        <w:t>, qui sera adoptée par le conseil d</w:t>
      </w:r>
      <w:r w:rsidR="00280EEC">
        <w:rPr>
          <w:lang w:val="fr-FR"/>
        </w:rPr>
        <w:t>’</w:t>
      </w:r>
      <w:r w:rsidRPr="00DB6C66">
        <w:rPr>
          <w:lang w:val="fr-FR"/>
        </w:rPr>
        <w:t xml:space="preserve">administration et le directeur </w:t>
      </w:r>
      <w:r w:rsidR="009111BB" w:rsidRPr="00DB6C66">
        <w:rPr>
          <w:lang w:val="fr-FR"/>
        </w:rPr>
        <w:t>du VPI</w:t>
      </w:r>
      <w:r w:rsidRPr="00DB6C66">
        <w:rPr>
          <w:lang w:val="fr-FR"/>
        </w:rPr>
        <w:t>.  Cette politique servira de cadre à l</w:t>
      </w:r>
      <w:r w:rsidR="00280EEC">
        <w:rPr>
          <w:lang w:val="fr-FR"/>
        </w:rPr>
        <w:t>’</w:t>
      </w:r>
      <w:r w:rsidRPr="00DB6C66">
        <w:rPr>
          <w:lang w:val="fr-FR"/>
        </w:rPr>
        <w:t>élaboration de consignes plus détaillées et permettra d</w:t>
      </w:r>
      <w:r w:rsidR="00280EEC">
        <w:rPr>
          <w:lang w:val="fr-FR"/>
        </w:rPr>
        <w:t>’</w:t>
      </w:r>
      <w:r w:rsidRPr="00DB6C66">
        <w:rPr>
          <w:lang w:val="fr-FR"/>
        </w:rPr>
        <w:t>orienter les employés et les fournisseurs dans leurs travaux quotidiens.  Elle exprimera l</w:t>
      </w:r>
      <w:r w:rsidR="00280EEC">
        <w:rPr>
          <w:lang w:val="fr-FR"/>
        </w:rPr>
        <w:t>’</w:t>
      </w:r>
      <w:r w:rsidRPr="00DB6C66">
        <w:rPr>
          <w:lang w:val="fr-FR"/>
        </w:rPr>
        <w:t xml:space="preserve">engagement </w:t>
      </w:r>
      <w:r w:rsidR="009111BB" w:rsidRPr="00DB6C66">
        <w:rPr>
          <w:lang w:val="fr-FR"/>
        </w:rPr>
        <w:t xml:space="preserve">du VPI </w:t>
      </w:r>
      <w:r w:rsidRPr="00DB6C66">
        <w:rPr>
          <w:lang w:val="fr-FR"/>
        </w:rPr>
        <w:t>à répondre aux besoins et aux attentes des parties prenantes, voire à aller au</w:t>
      </w:r>
      <w:r w:rsidR="008117E3">
        <w:rPr>
          <w:lang w:val="fr-FR"/>
        </w:rPr>
        <w:noBreakHyphen/>
      </w:r>
      <w:r w:rsidRPr="00DB6C66">
        <w:rPr>
          <w:lang w:val="fr-FR"/>
        </w:rPr>
        <w:t>delà.</w:t>
      </w:r>
    </w:p>
    <w:p w:rsidR="00B517D8" w:rsidRPr="00DB6C66" w:rsidRDefault="00B517D8" w:rsidP="009C72E7">
      <w:pPr>
        <w:pStyle w:val="ONUMFS"/>
        <w:rPr>
          <w:lang w:val="fr-FR"/>
        </w:rPr>
      </w:pPr>
      <w:r w:rsidRPr="00DB6C66">
        <w:rPr>
          <w:lang w:val="fr-FR"/>
        </w:rPr>
        <w:t>Le conseil d</w:t>
      </w:r>
      <w:r w:rsidR="00280EEC">
        <w:rPr>
          <w:lang w:val="fr-FR"/>
        </w:rPr>
        <w:t>’</w:t>
      </w:r>
      <w:r w:rsidRPr="00DB6C66">
        <w:rPr>
          <w:lang w:val="fr-FR"/>
        </w:rPr>
        <w:t xml:space="preserve">administration et le directeur </w:t>
      </w:r>
      <w:r w:rsidR="009111BB" w:rsidRPr="00DB6C66">
        <w:rPr>
          <w:lang w:val="fr-FR"/>
        </w:rPr>
        <w:t xml:space="preserve">du VPI </w:t>
      </w:r>
      <w:r w:rsidRPr="00DB6C66">
        <w:rPr>
          <w:lang w:val="fr-FR"/>
        </w:rPr>
        <w:t>seront aussi chargés de désigner les organes et les personnes responsables du système de gestion de la qualité.</w:t>
      </w:r>
    </w:p>
    <w:p w:rsidR="00B517D8" w:rsidRPr="00DB6C66" w:rsidRDefault="00B517D8" w:rsidP="009C72E7">
      <w:pPr>
        <w:pStyle w:val="ONUMFS"/>
        <w:rPr>
          <w:lang w:val="fr-FR"/>
        </w:rPr>
      </w:pPr>
      <w:r w:rsidRPr="00DB6C66">
        <w:rPr>
          <w:lang w:val="fr-FR"/>
        </w:rPr>
        <w:t>Lorsqu</w:t>
      </w:r>
      <w:r w:rsidR="00280EEC">
        <w:rPr>
          <w:lang w:val="fr-FR"/>
        </w:rPr>
        <w:t>’</w:t>
      </w:r>
      <w:r w:rsidRPr="00DB6C66">
        <w:rPr>
          <w:lang w:val="fr-FR"/>
        </w:rPr>
        <w:t>il entrera en fonction, l</w:t>
      </w:r>
      <w:r w:rsidR="009111BB" w:rsidRPr="00DB6C66">
        <w:rPr>
          <w:lang w:val="fr-FR"/>
        </w:rPr>
        <w:t xml:space="preserve">e VPI </w:t>
      </w:r>
      <w:r w:rsidRPr="00DB6C66">
        <w:rPr>
          <w:lang w:val="fr-FR"/>
        </w:rPr>
        <w:t>disposera d</w:t>
      </w:r>
      <w:r w:rsidR="00280EEC">
        <w:rPr>
          <w:lang w:val="fr-FR"/>
        </w:rPr>
        <w:t>’</w:t>
      </w:r>
      <w:r w:rsidRPr="00DB6C66">
        <w:rPr>
          <w:lang w:val="fr-FR"/>
        </w:rPr>
        <w:t>une équipe chargée de la gestion de la qualité qui sera composée d</w:t>
      </w:r>
      <w:r w:rsidR="00280EEC">
        <w:rPr>
          <w:lang w:val="fr-FR"/>
        </w:rPr>
        <w:t>’</w:t>
      </w:r>
      <w:r w:rsidRPr="00DB6C66">
        <w:rPr>
          <w:lang w:val="fr-FR"/>
        </w:rPr>
        <w:t>experts de ce domaine provenant de chacun des offices participants.  Cette équipe devra veiller à ce que le fonctionnement, toute la documentation d</w:t>
      </w:r>
      <w:r w:rsidR="00280EEC">
        <w:rPr>
          <w:lang w:val="fr-FR"/>
        </w:rPr>
        <w:t>’</w:t>
      </w:r>
      <w:r w:rsidRPr="00DB6C66">
        <w:rPr>
          <w:lang w:val="fr-FR"/>
        </w:rPr>
        <w:t xml:space="preserve">aide et le système de gestion de la qualité </w:t>
      </w:r>
      <w:r w:rsidR="009111BB" w:rsidRPr="00DB6C66">
        <w:rPr>
          <w:lang w:val="fr-FR"/>
        </w:rPr>
        <w:t>du VPI</w:t>
      </w:r>
      <w:r w:rsidRPr="00DB6C66">
        <w:rPr>
          <w:lang w:val="fr-FR"/>
        </w:rPr>
        <w:t xml:space="preserve"> répondent aux prescriptions du chapitre 21 des Directives PCT/GL/ISPE.  Elle devra aussi vérifier deux fois par an le contrôle qualité appliqué aux produits </w:t>
      </w:r>
      <w:r w:rsidR="009111BB" w:rsidRPr="00DB6C66">
        <w:rPr>
          <w:lang w:val="fr-FR"/>
        </w:rPr>
        <w:t>du VPI</w:t>
      </w:r>
      <w:r w:rsidRPr="00DB6C66">
        <w:rPr>
          <w:lang w:val="fr-FR"/>
        </w:rPr>
        <w:t xml:space="preserve"> en procédant par échantillonnages aléatoires.  Enfin, l</w:t>
      </w:r>
      <w:r w:rsidR="00280EEC">
        <w:rPr>
          <w:lang w:val="fr-FR"/>
        </w:rPr>
        <w:t>’</w:t>
      </w:r>
      <w:r w:rsidRPr="00DB6C66">
        <w:rPr>
          <w:lang w:val="fr-FR"/>
        </w:rPr>
        <w:t>équipe devra préparer l</w:t>
      </w:r>
      <w:r w:rsidR="00280EEC">
        <w:rPr>
          <w:lang w:val="fr-FR"/>
        </w:rPr>
        <w:t>’</w:t>
      </w:r>
      <w:r w:rsidR="009111BB" w:rsidRPr="00DB6C66">
        <w:rPr>
          <w:lang w:val="fr-FR"/>
        </w:rPr>
        <w:t>i</w:t>
      </w:r>
      <w:r w:rsidRPr="00DB6C66">
        <w:rPr>
          <w:lang w:val="fr-FR"/>
        </w:rPr>
        <w:t>nstitut à obtenir la certification ISO.</w:t>
      </w:r>
    </w:p>
    <w:p w:rsidR="00B517D8" w:rsidRPr="00DB6C66" w:rsidRDefault="00B517D8" w:rsidP="009C72E7">
      <w:pPr>
        <w:pStyle w:val="ONUMFS"/>
        <w:rPr>
          <w:lang w:val="fr-FR"/>
        </w:rPr>
      </w:pPr>
      <w:r w:rsidRPr="00DB6C66">
        <w:rPr>
          <w:lang w:val="fr-FR"/>
        </w:rPr>
        <w:t>Pour mettre en place son système de gestion de la qualité, l</w:t>
      </w:r>
      <w:r w:rsidR="009111BB" w:rsidRPr="00DB6C66">
        <w:rPr>
          <w:lang w:val="fr-FR"/>
        </w:rPr>
        <w:t xml:space="preserve">e VPI </w:t>
      </w:r>
      <w:r w:rsidRPr="00DB6C66">
        <w:rPr>
          <w:lang w:val="fr-FR"/>
        </w:rPr>
        <w:t>recensera tous les éléments nécessaires au système (participants, fournisseurs, usagers, ressources, etc.) ainsi que la demande des usagers.  Des processus et procédures seront établis dans différents domaines, notamment la gouvernance (gestion), les activités de base et l</w:t>
      </w:r>
      <w:r w:rsidR="00280EEC">
        <w:rPr>
          <w:lang w:val="fr-FR"/>
        </w:rPr>
        <w:t>’</w:t>
      </w:r>
      <w:r w:rsidRPr="00DB6C66">
        <w:rPr>
          <w:lang w:val="fr-FR"/>
        </w:rPr>
        <w:t>appui (processus fonctionnels).  L</w:t>
      </w:r>
      <w:r w:rsidR="00280EEC">
        <w:rPr>
          <w:lang w:val="fr-FR"/>
        </w:rPr>
        <w:t>’</w:t>
      </w:r>
      <w:r w:rsidRPr="00DB6C66">
        <w:rPr>
          <w:lang w:val="fr-FR"/>
        </w:rPr>
        <w:t>ensemble des politiques, processus et procédures seront documentés au sein du système de gestion de la qualité.  Celui</w:t>
      </w:r>
      <w:r w:rsidR="008117E3">
        <w:rPr>
          <w:lang w:val="fr-FR"/>
        </w:rPr>
        <w:noBreakHyphen/>
      </w:r>
      <w:r w:rsidRPr="00DB6C66">
        <w:rPr>
          <w:lang w:val="fr-FR"/>
        </w:rPr>
        <w:t xml:space="preserve">ci sera mis en place selon des instructions détaillées, compréhensibles et réalisables pour que les objectifs de qualité fixés puissent être atteints.  Il sera conforme aux prescriptions du chapitre 21 des Directives PCT/GL/ISPE et garantira que les travaux </w:t>
      </w:r>
      <w:r w:rsidR="009111BB" w:rsidRPr="00DB6C66">
        <w:rPr>
          <w:lang w:val="fr-FR"/>
        </w:rPr>
        <w:t>du VPI</w:t>
      </w:r>
      <w:r w:rsidRPr="00DB6C66">
        <w:rPr>
          <w:lang w:val="fr-FR"/>
        </w:rPr>
        <w:t xml:space="preserve"> soient menés de manière uniforme et présentent systématiquement un niveau de qualité élevé.</w:t>
      </w:r>
    </w:p>
    <w:p w:rsidR="00B517D8" w:rsidRPr="00DB6C66" w:rsidRDefault="00B517D8" w:rsidP="009C72E7">
      <w:pPr>
        <w:pStyle w:val="ONUMFS"/>
        <w:rPr>
          <w:lang w:val="fr-FR"/>
        </w:rPr>
      </w:pPr>
      <w:r w:rsidRPr="00DB6C66">
        <w:rPr>
          <w:lang w:val="fr-FR"/>
        </w:rPr>
        <w:t>Des audits externes et internes seront régulièrement effectués pour vérifier que le système de gestion de la qualité fonctionne correctement.</w:t>
      </w:r>
    </w:p>
    <w:p w:rsidR="00B517D8" w:rsidRPr="00DB6C66" w:rsidRDefault="00B517D8" w:rsidP="009C72E7">
      <w:pPr>
        <w:pStyle w:val="ONUMFS"/>
        <w:rPr>
          <w:lang w:val="fr-FR"/>
        </w:rPr>
      </w:pPr>
      <w:r w:rsidRPr="00DB6C66">
        <w:rPr>
          <w:lang w:val="fr-FR"/>
        </w:rPr>
        <w:t>Un Manuel sur la gestion de la qualité sera rédigé d</w:t>
      </w:r>
      <w:r w:rsidR="00280EEC">
        <w:rPr>
          <w:lang w:val="fr-FR"/>
        </w:rPr>
        <w:t>’</w:t>
      </w:r>
      <w:r w:rsidRPr="00DB6C66">
        <w:rPr>
          <w:lang w:val="fr-FR"/>
        </w:rPr>
        <w:t>ici octobre 2015 de manière à être prêt lorsque l</w:t>
      </w:r>
      <w:r w:rsidR="00280EEC">
        <w:rPr>
          <w:lang w:val="fr-FR"/>
        </w:rPr>
        <w:t>’</w:t>
      </w:r>
      <w:r w:rsidRPr="00DB6C66">
        <w:rPr>
          <w:lang w:val="fr-FR"/>
        </w:rPr>
        <w:t>Assemblée de l</w:t>
      </w:r>
      <w:r w:rsidR="00280EEC">
        <w:rPr>
          <w:lang w:val="fr-FR"/>
        </w:rPr>
        <w:t>’</w:t>
      </w:r>
      <w:r w:rsidRPr="00DB6C66">
        <w:rPr>
          <w:lang w:val="fr-FR"/>
        </w:rPr>
        <w:t xml:space="preserve">Union du PCT accordera </w:t>
      </w:r>
      <w:r w:rsidR="009111BB" w:rsidRPr="00DB6C66">
        <w:rPr>
          <w:lang w:val="fr-FR"/>
        </w:rPr>
        <w:t>au VPI</w:t>
      </w:r>
      <w:r w:rsidRPr="00DB6C66">
        <w:rPr>
          <w:lang w:val="fr-FR"/>
        </w:rPr>
        <w:t>, le même mois, le statut d</w:t>
      </w:r>
      <w:r w:rsidR="00280EEC">
        <w:rPr>
          <w:lang w:val="fr-FR"/>
        </w:rPr>
        <w:t>’</w:t>
      </w:r>
      <w:r w:rsidRPr="00DB6C66">
        <w:rPr>
          <w:lang w:val="fr-FR"/>
        </w:rPr>
        <w:t xml:space="preserve">administration internationale chargée de la </w:t>
      </w:r>
      <w:r w:rsidRPr="00DB6C66">
        <w:rPr>
          <w:bCs/>
          <w:lang w:val="fr-FR"/>
        </w:rPr>
        <w:t>recherche et de l</w:t>
      </w:r>
      <w:r w:rsidR="00280EEC">
        <w:rPr>
          <w:bCs/>
          <w:lang w:val="fr-FR"/>
        </w:rPr>
        <w:t>’</w:t>
      </w:r>
      <w:r w:rsidRPr="00DB6C66">
        <w:rPr>
          <w:bCs/>
          <w:lang w:val="fr-FR"/>
        </w:rPr>
        <w:t>examen préliminaire internationaux.</w:t>
      </w:r>
    </w:p>
    <w:p w:rsidR="009C72E7" w:rsidRPr="00DB6C66" w:rsidRDefault="009C72E7" w:rsidP="00620A17">
      <w:pPr>
        <w:pStyle w:val="Heading1"/>
        <w:rPr>
          <w:lang w:val="fr-FR"/>
        </w:rPr>
      </w:pPr>
      <w:r w:rsidRPr="00DB6C66">
        <w:rPr>
          <w:lang w:val="fr-FR"/>
        </w:rPr>
        <w:t>2.</w:t>
      </w:r>
      <w:r w:rsidRPr="00DB6C66">
        <w:rPr>
          <w:lang w:val="fr-FR"/>
        </w:rPr>
        <w:tab/>
      </w:r>
      <w:r w:rsidR="00B517D8" w:rsidRPr="00DB6C66">
        <w:rPr>
          <w:lang w:val="fr-FR"/>
        </w:rPr>
        <w:t>R</w:t>
      </w:r>
      <w:r w:rsidRPr="00DB6C66">
        <w:rPr>
          <w:lang w:val="fr-FR"/>
        </w:rPr>
        <w:t xml:space="preserve">essources et infrastructures (paragraphes </w:t>
      </w:r>
      <w:r w:rsidR="00B517D8" w:rsidRPr="00DB6C66">
        <w:rPr>
          <w:lang w:val="fr-FR"/>
        </w:rPr>
        <w:t>21.10 À 21.14)</w:t>
      </w:r>
    </w:p>
    <w:p w:rsidR="00B517D8" w:rsidRPr="00DB6C66" w:rsidRDefault="00B517D8" w:rsidP="009C72E7">
      <w:pPr>
        <w:pStyle w:val="ONUMFS"/>
        <w:rPr>
          <w:lang w:val="fr-FR"/>
        </w:rPr>
      </w:pPr>
      <w:r w:rsidRPr="00DB6C66">
        <w:rPr>
          <w:lang w:val="fr-FR"/>
        </w:rPr>
        <w:t>L</w:t>
      </w:r>
      <w:r w:rsidR="009111BB" w:rsidRPr="00DB6C66">
        <w:rPr>
          <w:lang w:val="fr-FR"/>
        </w:rPr>
        <w:t>e VPI</w:t>
      </w:r>
      <w:r w:rsidRPr="00DB6C66">
        <w:rPr>
          <w:lang w:val="fr-FR"/>
        </w:rPr>
        <w:t xml:space="preserve"> disposera des infrastructures et des ressources nécessaires pour assurer en permanence la procédure de recherche et d</w:t>
      </w:r>
      <w:r w:rsidR="00280EEC">
        <w:rPr>
          <w:lang w:val="fr-FR"/>
        </w:rPr>
        <w:t>’</w:t>
      </w:r>
      <w:r w:rsidRPr="00DB6C66">
        <w:rPr>
          <w:lang w:val="fr-FR"/>
        </w:rPr>
        <w:t>examen, tout en s</w:t>
      </w:r>
      <w:r w:rsidR="00280EEC">
        <w:rPr>
          <w:lang w:val="fr-FR"/>
        </w:rPr>
        <w:t>’</w:t>
      </w:r>
      <w:r w:rsidRPr="00DB6C66">
        <w:rPr>
          <w:lang w:val="fr-FR"/>
        </w:rPr>
        <w:t>adaptant aux variations de la charge de travail et en répondant aux exigences du système de gestion de la qualité.  Il se conformera aux prescriptions de base du PCT concernant les ressources humaines et matérielles qui sont énoncées au chapitre 21 des Directives PCT/GL/ISPE.</w:t>
      </w:r>
    </w:p>
    <w:p w:rsidR="00560CA7" w:rsidRPr="00DB6C66" w:rsidRDefault="00560CA7" w:rsidP="00620A17">
      <w:pPr>
        <w:pStyle w:val="Heading2"/>
        <w:rPr>
          <w:lang w:val="fr-FR"/>
        </w:rPr>
      </w:pPr>
      <w:r w:rsidRPr="00DB6C66">
        <w:rPr>
          <w:lang w:val="fr-FR"/>
        </w:rPr>
        <w:t>Ressources humaines</w:t>
      </w:r>
    </w:p>
    <w:p w:rsidR="00B517D8" w:rsidRPr="00DB6C66" w:rsidRDefault="00B517D8" w:rsidP="009C72E7">
      <w:pPr>
        <w:pStyle w:val="ONUMFS"/>
        <w:rPr>
          <w:lang w:val="fr-FR"/>
        </w:rPr>
      </w:pPr>
      <w:r w:rsidRPr="00DB6C66">
        <w:rPr>
          <w:lang w:val="fr-FR"/>
        </w:rPr>
        <w:t>En tant qu</w:t>
      </w:r>
      <w:r w:rsidR="00280EEC">
        <w:rPr>
          <w:lang w:val="fr-FR"/>
        </w:rPr>
        <w:t>’</w:t>
      </w:r>
      <w:r w:rsidRPr="00DB6C66">
        <w:rPr>
          <w:lang w:val="fr-FR"/>
        </w:rPr>
        <w:t>administration internationale chargée de la recherche et de l</w:t>
      </w:r>
      <w:r w:rsidR="00280EEC">
        <w:rPr>
          <w:lang w:val="fr-FR"/>
        </w:rPr>
        <w:t>’</w:t>
      </w:r>
      <w:r w:rsidRPr="00DB6C66">
        <w:rPr>
          <w:lang w:val="fr-FR"/>
        </w:rPr>
        <w:t xml:space="preserve">examen préliminaire internationaux, </w:t>
      </w:r>
      <w:r w:rsidR="00560CA7" w:rsidRPr="00DB6C66">
        <w:rPr>
          <w:lang w:val="fr-FR"/>
        </w:rPr>
        <w:t>le VPI</w:t>
      </w:r>
      <w:r w:rsidRPr="00DB6C66">
        <w:rPr>
          <w:lang w:val="fr-FR"/>
        </w:rPr>
        <w:t xml:space="preserve"> disposera en tout de 185 examinateurs à plein temps et de 10 à 12 examinateurs à temps partiel.  Ces personnes sont en mesure d</w:t>
      </w:r>
      <w:r w:rsidR="00280EEC">
        <w:rPr>
          <w:lang w:val="fr-FR"/>
        </w:rPr>
        <w:t>’</w:t>
      </w:r>
      <w:r w:rsidRPr="00DB6C66">
        <w:rPr>
          <w:lang w:val="fr-FR"/>
        </w:rPr>
        <w:t>effectuer des recherches et des examens dans tous les domaines techniques.  Elles disposent toutes des qualifications techniques et de l</w:t>
      </w:r>
      <w:r w:rsidR="00280EEC">
        <w:rPr>
          <w:lang w:val="fr-FR"/>
        </w:rPr>
        <w:t>’</w:t>
      </w:r>
      <w:r w:rsidRPr="00DB6C66">
        <w:rPr>
          <w:lang w:val="fr-FR"/>
        </w:rPr>
        <w:t xml:space="preserve">expérience requises pour effectuer des recherches et des </w:t>
      </w:r>
      <w:r w:rsidRPr="00DB6C66">
        <w:rPr>
          <w:lang w:val="fr-FR"/>
        </w:rPr>
        <w:lastRenderedPageBreak/>
        <w:t>examens de haute qualité de manière efficace et en temps utile.  Elles sont toutes détentrices d</w:t>
      </w:r>
      <w:r w:rsidR="00280EEC">
        <w:rPr>
          <w:lang w:val="fr-FR"/>
        </w:rPr>
        <w:t>’</w:t>
      </w:r>
      <w:r w:rsidRPr="00DB6C66">
        <w:rPr>
          <w:lang w:val="fr-FR"/>
        </w:rPr>
        <w:t>un master ou d</w:t>
      </w:r>
      <w:r w:rsidR="00280EEC">
        <w:rPr>
          <w:lang w:val="fr-FR"/>
        </w:rPr>
        <w:t>’</w:t>
      </w:r>
      <w:r w:rsidRPr="00DB6C66">
        <w:rPr>
          <w:lang w:val="fr-FR"/>
        </w:rPr>
        <w:t>un doctorat, ont toutes suivi des programmes de formation exhaustifs, intensifs et bien structurés, et ont toutes réussi les examens pertinents avant d</w:t>
      </w:r>
      <w:r w:rsidR="00280EEC">
        <w:rPr>
          <w:lang w:val="fr-FR"/>
        </w:rPr>
        <w:t>’</w:t>
      </w:r>
      <w:r w:rsidRPr="00DB6C66">
        <w:rPr>
          <w:lang w:val="fr-FR"/>
        </w:rPr>
        <w:t>être recrutées.  En outre, la plupart d</w:t>
      </w:r>
      <w:r w:rsidR="00280EEC">
        <w:rPr>
          <w:lang w:val="fr-FR"/>
        </w:rPr>
        <w:t>’</w:t>
      </w:r>
      <w:r w:rsidRPr="00DB6C66">
        <w:rPr>
          <w:lang w:val="fr-FR"/>
        </w:rPr>
        <w:t>entre elles ont déjà suivi plusieurs programmes instaurés par l</w:t>
      </w:r>
      <w:r w:rsidR="00280EEC">
        <w:rPr>
          <w:lang w:val="fr-FR"/>
        </w:rPr>
        <w:t>’</w:t>
      </w:r>
      <w:r w:rsidRPr="00DB6C66">
        <w:rPr>
          <w:lang w:val="fr-FR"/>
        </w:rPr>
        <w:t>OMPI, l</w:t>
      </w:r>
      <w:r w:rsidR="00280EEC">
        <w:rPr>
          <w:lang w:val="fr-FR"/>
        </w:rPr>
        <w:t>’</w:t>
      </w:r>
      <w:r w:rsidRPr="00DB6C66">
        <w:rPr>
          <w:lang w:val="fr-FR"/>
        </w:rPr>
        <w:t>OEB, l</w:t>
      </w:r>
      <w:r w:rsidR="00280EEC">
        <w:rPr>
          <w:lang w:val="fr-FR"/>
        </w:rPr>
        <w:t>’</w:t>
      </w:r>
      <w:r w:rsidRPr="00DB6C66">
        <w:rPr>
          <w:lang w:val="fr-FR"/>
        </w:rPr>
        <w:t>USPTO ou d</w:t>
      </w:r>
      <w:r w:rsidR="00280EEC">
        <w:rPr>
          <w:lang w:val="fr-FR"/>
        </w:rPr>
        <w:t>’</w:t>
      </w:r>
      <w:r w:rsidRPr="00DB6C66">
        <w:rPr>
          <w:lang w:val="fr-FR"/>
        </w:rPr>
        <w:t>autres administrations internationales ou offices des brevets nationaux, ou encore par des universités ou d</w:t>
      </w:r>
      <w:r w:rsidR="00280EEC">
        <w:rPr>
          <w:lang w:val="fr-FR"/>
        </w:rPr>
        <w:t>’</w:t>
      </w:r>
      <w:r w:rsidRPr="00DB6C66">
        <w:rPr>
          <w:lang w:val="fr-FR"/>
        </w:rPr>
        <w:t xml:space="preserve">autres établissements de formation spécialisés dans la propriété intellectuelle.  Une formation des examinateurs </w:t>
      </w:r>
      <w:r w:rsidR="00560CA7" w:rsidRPr="00DB6C66">
        <w:rPr>
          <w:lang w:val="fr-FR"/>
        </w:rPr>
        <w:t>du VPI</w:t>
      </w:r>
      <w:r w:rsidRPr="00DB6C66">
        <w:rPr>
          <w:lang w:val="fr-FR"/>
        </w:rPr>
        <w:t xml:space="preserve"> est prévue par ailleurs dans le cadre de la coopération établie avec l</w:t>
      </w:r>
      <w:r w:rsidR="00280EEC">
        <w:rPr>
          <w:lang w:val="fr-FR"/>
        </w:rPr>
        <w:t>’</w:t>
      </w:r>
      <w:r w:rsidRPr="00DB6C66">
        <w:rPr>
          <w:lang w:val="fr-FR"/>
        </w:rPr>
        <w:t xml:space="preserve">Office des brevets du Japon </w:t>
      </w:r>
      <w:r w:rsidRPr="00DB6C66">
        <w:rPr>
          <w:bCs/>
          <w:lang w:val="fr-FR"/>
        </w:rPr>
        <w:t>(JPO) et l</w:t>
      </w:r>
      <w:r w:rsidR="00280EEC">
        <w:rPr>
          <w:bCs/>
          <w:lang w:val="fr-FR"/>
        </w:rPr>
        <w:t>’</w:t>
      </w:r>
      <w:r w:rsidRPr="00DB6C66">
        <w:rPr>
          <w:bCs/>
          <w:lang w:val="fr-FR"/>
        </w:rPr>
        <w:t>Institut nordique des brevets (NPI), comme l</w:t>
      </w:r>
      <w:r w:rsidR="00280EEC">
        <w:rPr>
          <w:bCs/>
          <w:lang w:val="fr-FR"/>
        </w:rPr>
        <w:t>’</w:t>
      </w:r>
      <w:r w:rsidRPr="00DB6C66">
        <w:rPr>
          <w:bCs/>
          <w:lang w:val="fr-FR"/>
        </w:rPr>
        <w:t xml:space="preserve">indique le </w:t>
      </w:r>
      <w:r w:rsidRPr="00DB6C66">
        <w:rPr>
          <w:lang w:val="fr-FR"/>
        </w:rPr>
        <w:t>paragraphe</w:t>
      </w:r>
      <w:r w:rsidRPr="00DB6C66">
        <w:rPr>
          <w:bCs/>
          <w:lang w:val="fr-FR"/>
        </w:rPr>
        <w:t> 1.2 de l</w:t>
      </w:r>
      <w:r w:rsidR="00280EEC">
        <w:rPr>
          <w:bCs/>
          <w:lang w:val="fr-FR"/>
        </w:rPr>
        <w:t>’</w:t>
      </w:r>
      <w:r w:rsidRPr="00DB6C66">
        <w:rPr>
          <w:bCs/>
          <w:lang w:val="fr-FR"/>
        </w:rPr>
        <w:t xml:space="preserve">annexe II du document </w:t>
      </w:r>
      <w:r w:rsidRPr="00DB6C66">
        <w:rPr>
          <w:lang w:val="fr-FR"/>
        </w:rPr>
        <w:t xml:space="preserve">PCT/CTC/28/2.  Pour améliorer en permanence les compétences des examinateurs </w:t>
      </w:r>
      <w:r w:rsidR="009111BB" w:rsidRPr="00DB6C66">
        <w:rPr>
          <w:lang w:val="fr-FR"/>
        </w:rPr>
        <w:t xml:space="preserve">du VPI </w:t>
      </w:r>
      <w:r w:rsidRPr="00DB6C66">
        <w:rPr>
          <w:lang w:val="fr-FR"/>
        </w:rPr>
        <w:t>et permettre à ceux</w:t>
      </w:r>
      <w:r w:rsidR="008117E3">
        <w:rPr>
          <w:lang w:val="fr-FR"/>
        </w:rPr>
        <w:noBreakHyphen/>
      </w:r>
      <w:r w:rsidRPr="00DB6C66">
        <w:rPr>
          <w:lang w:val="fr-FR"/>
        </w:rPr>
        <w:t>ci d</w:t>
      </w:r>
      <w:r w:rsidR="00280EEC">
        <w:rPr>
          <w:lang w:val="fr-FR"/>
        </w:rPr>
        <w:t>’</w:t>
      </w:r>
      <w:r w:rsidRPr="00DB6C66">
        <w:rPr>
          <w:lang w:val="fr-FR"/>
        </w:rPr>
        <w:t>actualiser leurs connaissances techniques, le conseil d</w:t>
      </w:r>
      <w:r w:rsidR="00280EEC">
        <w:rPr>
          <w:lang w:val="fr-FR"/>
        </w:rPr>
        <w:t>’</w:t>
      </w:r>
      <w:r w:rsidRPr="00DB6C66">
        <w:rPr>
          <w:lang w:val="fr-FR"/>
        </w:rPr>
        <w:t>administration instaurera un cadre de formation qui leur permettra d</w:t>
      </w:r>
      <w:r w:rsidR="00280EEC">
        <w:rPr>
          <w:lang w:val="fr-FR"/>
        </w:rPr>
        <w:t>’</w:t>
      </w:r>
      <w:r w:rsidRPr="00DB6C66">
        <w:rPr>
          <w:lang w:val="fr-FR"/>
        </w:rPr>
        <w:t>organiser efficacement des sessions de formation et d</w:t>
      </w:r>
      <w:r w:rsidR="00280EEC">
        <w:rPr>
          <w:lang w:val="fr-FR"/>
        </w:rPr>
        <w:t>’</w:t>
      </w:r>
      <w:r w:rsidRPr="00DB6C66">
        <w:rPr>
          <w:lang w:val="fr-FR"/>
        </w:rPr>
        <w:t xml:space="preserve">en tirer le meilleur parti.  En outre, </w:t>
      </w:r>
      <w:r w:rsidR="00560CA7" w:rsidRPr="00DB6C66">
        <w:rPr>
          <w:lang w:val="fr-FR"/>
        </w:rPr>
        <w:t>le VPI</w:t>
      </w:r>
      <w:r w:rsidRPr="00DB6C66">
        <w:rPr>
          <w:lang w:val="fr-FR"/>
        </w:rPr>
        <w:t xml:space="preserve"> organisera régulièrement des échanges et des réunions entre examinateurs pour continuer d</w:t>
      </w:r>
      <w:r w:rsidR="00280EEC">
        <w:rPr>
          <w:lang w:val="fr-FR"/>
        </w:rPr>
        <w:t>’</w:t>
      </w:r>
      <w:r w:rsidRPr="00DB6C66">
        <w:rPr>
          <w:lang w:val="fr-FR"/>
        </w:rPr>
        <w:t>améliorer la cohérence de leurs pratiques en matière de recherche et d</w:t>
      </w:r>
      <w:r w:rsidR="00280EEC">
        <w:rPr>
          <w:lang w:val="fr-FR"/>
        </w:rPr>
        <w:t>’</w:t>
      </w:r>
      <w:r w:rsidRPr="00DB6C66">
        <w:rPr>
          <w:lang w:val="fr-FR"/>
        </w:rPr>
        <w:t>examen.</w:t>
      </w:r>
    </w:p>
    <w:p w:rsidR="00B517D8" w:rsidRPr="00DB6C66" w:rsidRDefault="00B517D8" w:rsidP="009C72E7">
      <w:pPr>
        <w:pStyle w:val="ONUMFS"/>
        <w:rPr>
          <w:lang w:val="fr-FR"/>
        </w:rPr>
      </w:pPr>
      <w:r w:rsidRPr="00DB6C66">
        <w:rPr>
          <w:lang w:val="fr-FR"/>
        </w:rPr>
        <w:t xml:space="preserve">Outre la maîtrise de leur langue maternelle (le tchèque, le hongrois, le polonais ou le slovaque), les examinateurs </w:t>
      </w:r>
      <w:r w:rsidR="009111BB" w:rsidRPr="00DB6C66">
        <w:rPr>
          <w:lang w:val="fr-FR"/>
        </w:rPr>
        <w:t xml:space="preserve">du VPI </w:t>
      </w:r>
      <w:r w:rsidRPr="00DB6C66">
        <w:rPr>
          <w:lang w:val="fr-FR"/>
        </w:rPr>
        <w:t>ont une excellente connaissance de l</w:t>
      </w:r>
      <w:r w:rsidR="00280EEC">
        <w:rPr>
          <w:lang w:val="fr-FR"/>
        </w:rPr>
        <w:t>’</w:t>
      </w:r>
      <w:r w:rsidRPr="00DB6C66">
        <w:rPr>
          <w:lang w:val="fr-FR"/>
        </w:rPr>
        <w:t>anglais, et la plupart d</w:t>
      </w:r>
      <w:r w:rsidR="00280EEC">
        <w:rPr>
          <w:lang w:val="fr-FR"/>
        </w:rPr>
        <w:t>’</w:t>
      </w:r>
      <w:r w:rsidRPr="00DB6C66">
        <w:rPr>
          <w:lang w:val="fr-FR"/>
        </w:rPr>
        <w:t>entre eux sont aussi à l</w:t>
      </w:r>
      <w:r w:rsidR="00280EEC">
        <w:rPr>
          <w:lang w:val="fr-FR"/>
        </w:rPr>
        <w:t>’</w:t>
      </w:r>
      <w:r w:rsidRPr="00DB6C66">
        <w:rPr>
          <w:lang w:val="fr-FR"/>
        </w:rPr>
        <w:t xml:space="preserve">aise en allemand et/ou en français.  </w:t>
      </w:r>
      <w:r w:rsidR="00560CA7" w:rsidRPr="00DB6C66">
        <w:rPr>
          <w:lang w:val="fr-FR"/>
        </w:rPr>
        <w:t>Ils comprennent et utilisent aussi d</w:t>
      </w:r>
      <w:r w:rsidR="00280EEC">
        <w:rPr>
          <w:lang w:val="fr-FR"/>
        </w:rPr>
        <w:t>’</w:t>
      </w:r>
      <w:r w:rsidR="00560CA7" w:rsidRPr="00DB6C66">
        <w:rPr>
          <w:lang w:val="fr-FR"/>
        </w:rPr>
        <w:t>autres langues</w:t>
      </w:r>
      <w:r w:rsidRPr="00DB6C66">
        <w:rPr>
          <w:lang w:val="fr-FR"/>
        </w:rPr>
        <w:t>, notamment le croate, l</w:t>
      </w:r>
      <w:r w:rsidR="00280EEC">
        <w:rPr>
          <w:lang w:val="fr-FR"/>
        </w:rPr>
        <w:t>’</w:t>
      </w:r>
      <w:r w:rsidRPr="00DB6C66">
        <w:rPr>
          <w:lang w:val="fr-FR"/>
        </w:rPr>
        <w:t>italien, le japonais, le russe, l</w:t>
      </w:r>
      <w:r w:rsidR="00280EEC">
        <w:rPr>
          <w:lang w:val="fr-FR"/>
        </w:rPr>
        <w:t>’</w:t>
      </w:r>
      <w:r w:rsidRPr="00DB6C66">
        <w:rPr>
          <w:lang w:val="fr-FR"/>
        </w:rPr>
        <w:t>espagnol et le suédois.</w:t>
      </w:r>
    </w:p>
    <w:p w:rsidR="00B517D8" w:rsidRPr="00DB6C66" w:rsidRDefault="00B517D8" w:rsidP="009C72E7">
      <w:pPr>
        <w:pStyle w:val="ONUMFS"/>
        <w:rPr>
          <w:lang w:val="fr-FR"/>
        </w:rPr>
      </w:pPr>
      <w:r w:rsidRPr="00DB6C66">
        <w:rPr>
          <w:lang w:val="fr-FR"/>
        </w:rPr>
        <w:t xml:space="preserve">Les examinateurs </w:t>
      </w:r>
      <w:r w:rsidR="009111BB" w:rsidRPr="00DB6C66">
        <w:rPr>
          <w:lang w:val="fr-FR"/>
        </w:rPr>
        <w:t xml:space="preserve">du VPI </w:t>
      </w:r>
      <w:r w:rsidRPr="00DB6C66">
        <w:rPr>
          <w:lang w:val="fr-FR"/>
        </w:rPr>
        <w:t>disposeront aussi des ressources nécessaires pour fournir un travail de qualité, et en particulier de directives, de systèmes informatiques et d</w:t>
      </w:r>
      <w:r w:rsidR="00280EEC">
        <w:rPr>
          <w:lang w:val="fr-FR"/>
        </w:rPr>
        <w:t>’</w:t>
      </w:r>
      <w:r w:rsidRPr="00DB6C66">
        <w:rPr>
          <w:lang w:val="fr-FR"/>
        </w:rPr>
        <w:t>outils de recherche et d</w:t>
      </w:r>
      <w:r w:rsidR="00280EEC">
        <w:rPr>
          <w:lang w:val="fr-FR"/>
        </w:rPr>
        <w:t>’</w:t>
      </w:r>
      <w:r w:rsidRPr="00DB6C66">
        <w:rPr>
          <w:lang w:val="fr-FR"/>
        </w:rPr>
        <w:t>examen.</w:t>
      </w:r>
    </w:p>
    <w:p w:rsidR="00B517D8" w:rsidRPr="00DB6C66" w:rsidRDefault="00B517D8" w:rsidP="009C72E7">
      <w:pPr>
        <w:pStyle w:val="ONUMFS"/>
        <w:rPr>
          <w:lang w:val="fr-FR"/>
        </w:rPr>
      </w:pPr>
      <w:r w:rsidRPr="00DB6C66">
        <w:rPr>
          <w:lang w:val="fr-FR"/>
        </w:rPr>
        <w:t>Le conseil d</w:t>
      </w:r>
      <w:r w:rsidR="00280EEC">
        <w:rPr>
          <w:lang w:val="fr-FR"/>
        </w:rPr>
        <w:t>’</w:t>
      </w:r>
      <w:r w:rsidRPr="00DB6C66">
        <w:rPr>
          <w:lang w:val="fr-FR"/>
        </w:rPr>
        <w:t xml:space="preserve">administration </w:t>
      </w:r>
      <w:r w:rsidR="00E84955" w:rsidRPr="00DB6C66">
        <w:rPr>
          <w:lang w:val="fr-FR"/>
        </w:rPr>
        <w:t>du VPI</w:t>
      </w:r>
      <w:r w:rsidRPr="00DB6C66">
        <w:rPr>
          <w:lang w:val="fr-FR"/>
        </w:rPr>
        <w:t xml:space="preserve"> établira les critères de répartition des tâches entre les différents offices nationaux participants.  Ces critères seront justes, équitables et pertinents et garantiront une répartition équilibrée.  Les critères essentiels suivants seront appliqués pour répartir entre les offices les demandes de recherche et d</w:t>
      </w:r>
      <w:r w:rsidR="00280EEC">
        <w:rPr>
          <w:lang w:val="fr-FR"/>
        </w:rPr>
        <w:t>’</w:t>
      </w:r>
      <w:r w:rsidRPr="00DB6C66">
        <w:rPr>
          <w:lang w:val="fr-FR"/>
        </w:rPr>
        <w:t xml:space="preserve">examen adressées </w:t>
      </w:r>
      <w:r w:rsidR="00AC420D" w:rsidRPr="00DB6C66">
        <w:rPr>
          <w:lang w:val="fr-FR"/>
        </w:rPr>
        <w:t>au VPI</w:t>
      </w:r>
      <w:r w:rsidRPr="00DB6C66">
        <w:rPr>
          <w:lang w:val="fr-FR"/>
        </w:rPr>
        <w:t>, qu</w:t>
      </w:r>
      <w:r w:rsidR="00280EEC">
        <w:rPr>
          <w:lang w:val="fr-FR"/>
        </w:rPr>
        <w:t>’</w:t>
      </w:r>
      <w:r w:rsidRPr="00DB6C66">
        <w:rPr>
          <w:lang w:val="fr-FR"/>
        </w:rPr>
        <w:t>il s</w:t>
      </w:r>
      <w:r w:rsidR="00280EEC">
        <w:rPr>
          <w:lang w:val="fr-FR"/>
        </w:rPr>
        <w:t>’</w:t>
      </w:r>
      <w:r w:rsidRPr="00DB6C66">
        <w:rPr>
          <w:lang w:val="fr-FR"/>
        </w:rPr>
        <w:t>agisse de demandes commerciales ou émanant du PCT : la compétence technique, la langue du document soumis et la disponibilité des examinateurs dans chacun des domaines techniques considérés.  L</w:t>
      </w:r>
      <w:r w:rsidR="00280EEC">
        <w:rPr>
          <w:lang w:val="fr-FR"/>
        </w:rPr>
        <w:t>’</w:t>
      </w:r>
      <w:r w:rsidRPr="00DB6C66">
        <w:rPr>
          <w:lang w:val="fr-FR"/>
        </w:rPr>
        <w:t>attribution de l</w:t>
      </w:r>
      <w:r w:rsidR="00280EEC">
        <w:rPr>
          <w:lang w:val="fr-FR"/>
        </w:rPr>
        <w:t>’</w:t>
      </w:r>
      <w:r w:rsidRPr="00DB6C66">
        <w:rPr>
          <w:lang w:val="fr-FR"/>
        </w:rPr>
        <w:t>examen d</w:t>
      </w:r>
      <w:r w:rsidR="00280EEC">
        <w:rPr>
          <w:lang w:val="fr-FR"/>
        </w:rPr>
        <w:t>’</w:t>
      </w:r>
      <w:r w:rsidRPr="00DB6C66">
        <w:rPr>
          <w:lang w:val="fr-FR"/>
        </w:rPr>
        <w:t xml:space="preserve">une demande et des documents connexes dépendra des domaines techniques pris en charge par les examinateurs des offices participants (chaque office devra donc établir une “cartographie des compétences” de ses examinateurs).  Les compétences de chaque examinateur seront indiquées par les symboles de la CIB correspondant aux domaines techniques </w:t>
      </w:r>
      <w:r w:rsidR="00E84955" w:rsidRPr="00DB6C66">
        <w:rPr>
          <w:lang w:val="fr-FR"/>
        </w:rPr>
        <w:t>se rapportant à leurs connaissances techniques</w:t>
      </w:r>
      <w:r w:rsidRPr="00DB6C66">
        <w:rPr>
          <w:lang w:val="fr-FR"/>
        </w:rPr>
        <w:t xml:space="preserve">.  </w:t>
      </w:r>
      <w:r w:rsidR="00E84955" w:rsidRPr="00DB6C66">
        <w:rPr>
          <w:lang w:val="fr-FR"/>
        </w:rPr>
        <w:t xml:space="preserve">Le VPI </w:t>
      </w:r>
      <w:r w:rsidRPr="00DB6C66">
        <w:rPr>
          <w:lang w:val="fr-FR"/>
        </w:rPr>
        <w:t>disposera de compétences interchangeables dans la plupart des domaines techniques, en raison du nombre d</w:t>
      </w:r>
      <w:r w:rsidR="00280EEC">
        <w:rPr>
          <w:lang w:val="fr-FR"/>
        </w:rPr>
        <w:t>’</w:t>
      </w:r>
      <w:r w:rsidRPr="00DB6C66">
        <w:rPr>
          <w:lang w:val="fr-FR"/>
        </w:rPr>
        <w:t xml:space="preserve">examinateurs disponibles et du fait que certains examinateurs disposent de qualifications officielles dans plusieurs domaines techniques.  Il en va de même pour les compétences linguistiques des examinateurs, qui seront aussi interchangeables pour </w:t>
      </w:r>
      <w:r w:rsidR="00E84955" w:rsidRPr="00DB6C66">
        <w:rPr>
          <w:lang w:val="fr-FR"/>
        </w:rPr>
        <w:t>le VPI</w:t>
      </w:r>
      <w:r w:rsidRPr="00DB6C66">
        <w:rPr>
          <w:lang w:val="fr-FR"/>
        </w:rPr>
        <w:t xml:space="preserve"> (ainsi, l</w:t>
      </w:r>
      <w:r w:rsidR="00280EEC">
        <w:rPr>
          <w:lang w:val="fr-FR"/>
        </w:rPr>
        <w:t>’</w:t>
      </w:r>
      <w:r w:rsidRPr="00DB6C66">
        <w:rPr>
          <w:lang w:val="fr-FR"/>
        </w:rPr>
        <w:t>Office de la propriété industrielle de la Slovaquie pourra examiner des documents en hongrois, tandis que l</w:t>
      </w:r>
      <w:r w:rsidR="00280EEC">
        <w:rPr>
          <w:lang w:val="fr-FR"/>
        </w:rPr>
        <w:t>’</w:t>
      </w:r>
      <w:r w:rsidRPr="00DB6C66">
        <w:rPr>
          <w:lang w:val="fr-FR"/>
        </w:rPr>
        <w:t>Office de la propriété intellectuelle hongrois et l</w:t>
      </w:r>
      <w:r w:rsidR="00280EEC">
        <w:rPr>
          <w:lang w:val="fr-FR"/>
        </w:rPr>
        <w:t>’</w:t>
      </w:r>
      <w:r w:rsidRPr="00DB6C66">
        <w:rPr>
          <w:lang w:val="fr-FR"/>
        </w:rPr>
        <w:t xml:space="preserve">Office des brevets polonais pourront travailler en slovaque).  Ces </w:t>
      </w:r>
      <w:r w:rsidR="009F11CC" w:rsidRPr="00DB6C66">
        <w:rPr>
          <w:lang w:val="fr-FR"/>
        </w:rPr>
        <w:t>éléments de flexibilité inhérent</w:t>
      </w:r>
      <w:r w:rsidRPr="00DB6C66">
        <w:rPr>
          <w:lang w:val="fr-FR"/>
        </w:rPr>
        <w:t xml:space="preserve">s </w:t>
      </w:r>
      <w:r w:rsidR="009F11CC" w:rsidRPr="00DB6C66">
        <w:rPr>
          <w:lang w:val="fr-FR"/>
        </w:rPr>
        <w:t xml:space="preserve">au VPI </w:t>
      </w:r>
      <w:r w:rsidRPr="00DB6C66">
        <w:rPr>
          <w:lang w:val="fr-FR"/>
        </w:rPr>
        <w:t>devraient considérablement favoriser une répartition optimale de sa charge de travail, répartition dont le directeur et le secrétariat seront responsables.</w:t>
      </w:r>
    </w:p>
    <w:p w:rsidR="00B517D8" w:rsidRPr="00DB6C66" w:rsidRDefault="00B517D8" w:rsidP="009C72E7">
      <w:pPr>
        <w:pStyle w:val="ONUMFS"/>
        <w:rPr>
          <w:lang w:val="fr-FR"/>
        </w:rPr>
      </w:pPr>
      <w:r w:rsidRPr="00DB6C66">
        <w:rPr>
          <w:lang w:val="fr-FR"/>
        </w:rPr>
        <w:t>Les offices participant</w:t>
      </w:r>
      <w:r w:rsidR="004477D3" w:rsidRPr="00DB6C66">
        <w:rPr>
          <w:lang w:val="fr-FR"/>
        </w:rPr>
        <w:t>s</w:t>
      </w:r>
      <w:r w:rsidRPr="00DB6C66">
        <w:rPr>
          <w:lang w:val="fr-FR"/>
        </w:rPr>
        <w:t xml:space="preserve"> </w:t>
      </w:r>
      <w:r w:rsidR="00AC420D" w:rsidRPr="00DB6C66">
        <w:rPr>
          <w:lang w:val="fr-FR"/>
        </w:rPr>
        <w:t xml:space="preserve">du VPI </w:t>
      </w:r>
      <w:r w:rsidRPr="00DB6C66">
        <w:rPr>
          <w:lang w:val="fr-FR"/>
        </w:rPr>
        <w:t>disposent aussi d</w:t>
      </w:r>
      <w:r w:rsidR="00280EEC">
        <w:rPr>
          <w:lang w:val="fr-FR"/>
        </w:rPr>
        <w:t>’</w:t>
      </w:r>
      <w:r w:rsidRPr="00DB6C66">
        <w:rPr>
          <w:lang w:val="fr-FR"/>
        </w:rPr>
        <w:t>un personnel administratif adéquat et qualifié pour appuyer la procédure de recherche et d</w:t>
      </w:r>
      <w:r w:rsidR="00280EEC">
        <w:rPr>
          <w:lang w:val="fr-FR"/>
        </w:rPr>
        <w:t>’</w:t>
      </w:r>
      <w:r w:rsidRPr="00DB6C66">
        <w:rPr>
          <w:lang w:val="fr-FR"/>
        </w:rPr>
        <w:t>examen.</w:t>
      </w:r>
    </w:p>
    <w:p w:rsidR="00DB6C66" w:rsidRPr="00DB6C66" w:rsidRDefault="00DB6C66" w:rsidP="00620A17">
      <w:pPr>
        <w:pStyle w:val="Heading2"/>
        <w:rPr>
          <w:lang w:val="fr-FR"/>
        </w:rPr>
      </w:pPr>
      <w:r w:rsidRPr="00DB6C66">
        <w:rPr>
          <w:lang w:val="fr-FR"/>
        </w:rPr>
        <w:t>Ressources matérielles</w:t>
      </w:r>
    </w:p>
    <w:p w:rsidR="00620A17" w:rsidRDefault="00CA38B1" w:rsidP="00DB6C66">
      <w:pPr>
        <w:pStyle w:val="ONUMFS"/>
        <w:rPr>
          <w:lang w:val="fr-FR"/>
        </w:rPr>
      </w:pPr>
      <w:r w:rsidRPr="00DB6C66">
        <w:rPr>
          <w:lang w:val="fr-FR"/>
        </w:rPr>
        <w:t>Le VPI</w:t>
      </w:r>
      <w:r w:rsidR="00B517D8" w:rsidRPr="00DB6C66">
        <w:rPr>
          <w:lang w:val="fr-FR"/>
        </w:rPr>
        <w:t xml:space="preserve"> disposera des équipements et des installations nécessaires, et s</w:t>
      </w:r>
      <w:r w:rsidR="00280EEC">
        <w:rPr>
          <w:lang w:val="fr-FR"/>
        </w:rPr>
        <w:t>’</w:t>
      </w:r>
      <w:r w:rsidR="00B517D8" w:rsidRPr="00DB6C66">
        <w:rPr>
          <w:lang w:val="fr-FR"/>
        </w:rPr>
        <w:t xml:space="preserve">appuiera à cet égard sur les infrastructures actuelles des offices participants.  Un système informatique (matériels et logiciels), qui sera opérationnel au moment où </w:t>
      </w:r>
      <w:r w:rsidR="00AC420D" w:rsidRPr="00DB6C66">
        <w:rPr>
          <w:lang w:val="fr-FR"/>
        </w:rPr>
        <w:t xml:space="preserve">le VPI </w:t>
      </w:r>
      <w:r w:rsidR="00B517D8" w:rsidRPr="00DB6C66">
        <w:rPr>
          <w:lang w:val="fr-FR"/>
        </w:rPr>
        <w:t>entrera en fonction, permettra d</w:t>
      </w:r>
      <w:r w:rsidR="00280EEC">
        <w:rPr>
          <w:lang w:val="fr-FR"/>
        </w:rPr>
        <w:t>’</w:t>
      </w:r>
      <w:r w:rsidR="00B517D8" w:rsidRPr="00DB6C66">
        <w:rPr>
          <w:lang w:val="fr-FR"/>
        </w:rPr>
        <w:t>effectuer les opérations de recherche et d</w:t>
      </w:r>
      <w:r w:rsidR="00280EEC">
        <w:rPr>
          <w:lang w:val="fr-FR"/>
        </w:rPr>
        <w:t>’</w:t>
      </w:r>
      <w:r w:rsidR="00B517D8" w:rsidRPr="00DB6C66">
        <w:rPr>
          <w:lang w:val="fr-FR"/>
        </w:rPr>
        <w:t>examen et de faciliter la répartition du</w:t>
      </w:r>
      <w:r w:rsidR="00620A17">
        <w:rPr>
          <w:lang w:val="fr-FR"/>
        </w:rPr>
        <w:t xml:space="preserve"> </w:t>
      </w:r>
    </w:p>
    <w:p w:rsidR="00B517D8" w:rsidRPr="00DB6C66" w:rsidRDefault="00B517D8" w:rsidP="00620A17">
      <w:pPr>
        <w:pStyle w:val="ONUMFS"/>
        <w:numPr>
          <w:ilvl w:val="0"/>
          <w:numId w:val="0"/>
        </w:numPr>
        <w:rPr>
          <w:lang w:val="fr-FR"/>
        </w:rPr>
      </w:pPr>
      <w:proofErr w:type="gramStart"/>
      <w:r w:rsidRPr="00DB6C66">
        <w:rPr>
          <w:lang w:val="fr-FR"/>
        </w:rPr>
        <w:lastRenderedPageBreak/>
        <w:t>travail</w:t>
      </w:r>
      <w:proofErr w:type="gramEnd"/>
      <w:r w:rsidRPr="00DB6C66">
        <w:rPr>
          <w:lang w:val="fr-FR"/>
        </w:rPr>
        <w:t xml:space="preserve"> entre les offices, ainsi que la gestion de ceux</w:t>
      </w:r>
      <w:r w:rsidR="008117E3">
        <w:rPr>
          <w:lang w:val="fr-FR"/>
        </w:rPr>
        <w:noBreakHyphen/>
      </w:r>
      <w:r w:rsidRPr="00DB6C66">
        <w:rPr>
          <w:lang w:val="fr-FR"/>
        </w:rPr>
        <w:t>ci, d</w:t>
      </w:r>
      <w:r w:rsidR="00280EEC">
        <w:rPr>
          <w:lang w:val="fr-FR"/>
        </w:rPr>
        <w:t>’</w:t>
      </w:r>
      <w:r w:rsidRPr="00DB6C66">
        <w:rPr>
          <w:lang w:val="fr-FR"/>
        </w:rPr>
        <w:t>une manière optimale.  Ce système devra aussi être conforme aux prescriptions de sécurité pertinentes.  L</w:t>
      </w:r>
      <w:r w:rsidR="00AC420D" w:rsidRPr="00DB6C66">
        <w:rPr>
          <w:lang w:val="fr-FR"/>
        </w:rPr>
        <w:t xml:space="preserve">e VPI </w:t>
      </w:r>
      <w:r w:rsidRPr="00DB6C66">
        <w:rPr>
          <w:lang w:val="fr-FR"/>
        </w:rPr>
        <w:t>peut s</w:t>
      </w:r>
      <w:r w:rsidR="00280EEC">
        <w:rPr>
          <w:lang w:val="fr-FR"/>
        </w:rPr>
        <w:t>’</w:t>
      </w:r>
      <w:r w:rsidRPr="00DB6C66">
        <w:rPr>
          <w:lang w:val="fr-FR"/>
        </w:rPr>
        <w:t>inspirer des pratiques recommandées déjà mises en œuvre dans ce domaine par les offices participants.</w:t>
      </w:r>
    </w:p>
    <w:p w:rsidR="00B517D8" w:rsidRPr="00DB6C66" w:rsidRDefault="00B517D8" w:rsidP="00DB6C66">
      <w:pPr>
        <w:pStyle w:val="ONUMFS"/>
        <w:rPr>
          <w:lang w:val="fr-FR"/>
        </w:rPr>
      </w:pPr>
      <w:r w:rsidRPr="00DB6C66">
        <w:rPr>
          <w:lang w:val="fr-FR"/>
        </w:rPr>
        <w:t>Les examinateurs de tous les offices participants ont accès à une large gamme d</w:t>
      </w:r>
      <w:r w:rsidR="00280EEC">
        <w:rPr>
          <w:lang w:val="fr-FR"/>
        </w:rPr>
        <w:t>’</w:t>
      </w:r>
      <w:r w:rsidRPr="00DB6C66">
        <w:rPr>
          <w:lang w:val="fr-FR"/>
        </w:rPr>
        <w:t>informations sur les brevets et à la littérature scientifique, ainsi qu</w:t>
      </w:r>
      <w:r w:rsidR="00280EEC">
        <w:rPr>
          <w:lang w:val="fr-FR"/>
        </w:rPr>
        <w:t>’</w:t>
      </w:r>
      <w:r w:rsidRPr="00DB6C66">
        <w:rPr>
          <w:lang w:val="fr-FR"/>
        </w:rPr>
        <w:t xml:space="preserve">à des outils de recherche et différents liens.  Étant donné que les quatre pays de </w:t>
      </w:r>
      <w:proofErr w:type="spellStart"/>
      <w:r w:rsidRPr="00DB6C66">
        <w:rPr>
          <w:lang w:val="fr-FR"/>
        </w:rPr>
        <w:t>Visegrad</w:t>
      </w:r>
      <w:proofErr w:type="spellEnd"/>
      <w:r w:rsidRPr="00DB6C66">
        <w:rPr>
          <w:lang w:val="fr-FR"/>
        </w:rPr>
        <w:t xml:space="preserve"> sont des États contractants de la Convention sur le brevet européen, les offices participant</w:t>
      </w:r>
      <w:r w:rsidR="004477D3" w:rsidRPr="00DB6C66">
        <w:rPr>
          <w:lang w:val="fr-FR"/>
        </w:rPr>
        <w:t>s</w:t>
      </w:r>
      <w:r w:rsidRPr="00DB6C66">
        <w:rPr>
          <w:lang w:val="fr-FR"/>
        </w:rPr>
        <w:t xml:space="preserve"> </w:t>
      </w:r>
      <w:r w:rsidR="00CA38B1" w:rsidRPr="00DB6C66">
        <w:rPr>
          <w:lang w:val="fr-FR"/>
        </w:rPr>
        <w:t>du VPI</w:t>
      </w:r>
      <w:r w:rsidRPr="00DB6C66">
        <w:rPr>
          <w:lang w:val="fr-FR"/>
        </w:rPr>
        <w:t xml:space="preserve"> ont accès à </w:t>
      </w:r>
      <w:proofErr w:type="spellStart"/>
      <w:r w:rsidRPr="00DB6C66">
        <w:rPr>
          <w:lang w:val="fr-FR"/>
        </w:rPr>
        <w:t>EPOQUENet</w:t>
      </w:r>
      <w:proofErr w:type="spellEnd"/>
      <w:r w:rsidRPr="00DB6C66">
        <w:rPr>
          <w:lang w:val="fr-FR"/>
        </w:rPr>
        <w:t xml:space="preserve"> ainsi qu</w:t>
      </w:r>
      <w:r w:rsidR="00280EEC">
        <w:rPr>
          <w:lang w:val="fr-FR"/>
        </w:rPr>
        <w:t>’</w:t>
      </w:r>
      <w:r w:rsidRPr="00DB6C66">
        <w:rPr>
          <w:lang w:val="fr-FR"/>
        </w:rPr>
        <w:t>à plusieurs plates</w:t>
      </w:r>
      <w:r w:rsidR="008117E3">
        <w:rPr>
          <w:lang w:val="fr-FR"/>
        </w:rPr>
        <w:noBreakHyphen/>
      </w:r>
      <w:r w:rsidRPr="00DB6C66">
        <w:rPr>
          <w:lang w:val="fr-FR"/>
        </w:rPr>
        <w:t>formes de recherche commerciales :</w:t>
      </w:r>
    </w:p>
    <w:p w:rsidR="00B517D8" w:rsidRPr="00DB6C66" w:rsidRDefault="00B517D8" w:rsidP="00DB6C66">
      <w:pPr>
        <w:pStyle w:val="ONUMFS"/>
        <w:numPr>
          <w:ilvl w:val="1"/>
          <w:numId w:val="6"/>
        </w:numPr>
        <w:rPr>
          <w:lang w:val="fr-FR"/>
        </w:rPr>
      </w:pPr>
      <w:r w:rsidRPr="00DB6C66">
        <w:rPr>
          <w:lang w:val="fr-FR"/>
        </w:rPr>
        <w:t>L</w:t>
      </w:r>
      <w:r w:rsidR="00280EEC">
        <w:rPr>
          <w:lang w:val="fr-FR"/>
        </w:rPr>
        <w:t>’</w:t>
      </w:r>
      <w:r w:rsidRPr="00DB6C66">
        <w:rPr>
          <w:lang w:val="fr-FR"/>
        </w:rPr>
        <w:t xml:space="preserve">outil de recherche </w:t>
      </w:r>
      <w:proofErr w:type="spellStart"/>
      <w:r w:rsidRPr="00DB6C66">
        <w:rPr>
          <w:lang w:val="fr-FR"/>
        </w:rPr>
        <w:t>EPOQUENet</w:t>
      </w:r>
      <w:proofErr w:type="spellEnd"/>
      <w:r w:rsidRPr="00DB6C66">
        <w:rPr>
          <w:lang w:val="fr-FR"/>
        </w:rPr>
        <w:t xml:space="preserve"> donne accès à toutes les bases de données de brevets répondant aux critères de documentation minimale du PCT, ainsi qu</w:t>
      </w:r>
      <w:r w:rsidR="00280EEC">
        <w:rPr>
          <w:lang w:val="fr-FR"/>
        </w:rPr>
        <w:t>’</w:t>
      </w:r>
      <w:r w:rsidRPr="00DB6C66">
        <w:rPr>
          <w:lang w:val="fr-FR"/>
        </w:rPr>
        <w:t>à la plupart des bases de données de littérature non</w:t>
      </w:r>
      <w:r w:rsidR="008117E3">
        <w:rPr>
          <w:lang w:val="fr-FR"/>
        </w:rPr>
        <w:noBreakHyphen/>
      </w:r>
      <w:r w:rsidRPr="00DB6C66">
        <w:rPr>
          <w:lang w:val="fr-FR"/>
        </w:rPr>
        <w:t>brevet et aux bases de données d</w:t>
      </w:r>
      <w:r w:rsidR="00280EEC">
        <w:rPr>
          <w:lang w:val="fr-FR"/>
        </w:rPr>
        <w:t>’</w:t>
      </w:r>
      <w:r w:rsidRPr="00DB6C66">
        <w:rPr>
          <w:lang w:val="fr-FR"/>
        </w:rPr>
        <w:t>autres sources commerciales (par exemple WPI).</w:t>
      </w:r>
    </w:p>
    <w:p w:rsidR="00B517D8" w:rsidRPr="00DB6C66" w:rsidRDefault="00B517D8" w:rsidP="00DB6C66">
      <w:pPr>
        <w:pStyle w:val="ONUMFS"/>
        <w:numPr>
          <w:ilvl w:val="1"/>
          <w:numId w:val="6"/>
        </w:numPr>
        <w:rPr>
          <w:lang w:val="fr-FR"/>
        </w:rPr>
      </w:pPr>
      <w:r w:rsidRPr="00DB6C66">
        <w:rPr>
          <w:lang w:val="fr-FR"/>
        </w:rPr>
        <w:t>Le logiciel STN Express permet d</w:t>
      </w:r>
      <w:r w:rsidR="00280EEC">
        <w:rPr>
          <w:lang w:val="fr-FR"/>
        </w:rPr>
        <w:t>’</w:t>
      </w:r>
      <w:r w:rsidRPr="00DB6C66">
        <w:rPr>
          <w:lang w:val="fr-FR"/>
        </w:rPr>
        <w:t>effectuer des recherches dans les bases de données du réseau STN International et de les étendre à d</w:t>
      </w:r>
      <w:r w:rsidR="00280EEC">
        <w:rPr>
          <w:lang w:val="fr-FR"/>
        </w:rPr>
        <w:t>’</w:t>
      </w:r>
      <w:r w:rsidRPr="00DB6C66">
        <w:rPr>
          <w:lang w:val="fr-FR"/>
        </w:rPr>
        <w:t>autres bases de données de brevets, de littérature non</w:t>
      </w:r>
      <w:r w:rsidR="008117E3">
        <w:rPr>
          <w:lang w:val="fr-FR"/>
        </w:rPr>
        <w:noBreakHyphen/>
      </w:r>
      <w:r w:rsidRPr="00DB6C66">
        <w:rPr>
          <w:lang w:val="fr-FR"/>
        </w:rPr>
        <w:t>brevet et de documentation commerciale de Thomson Reuters par le biais du système Thomson Innovation.  STN est surtout employé pour les recherches de structure (par exemple dans les enregistrements CAP (</w:t>
      </w:r>
      <w:proofErr w:type="spellStart"/>
      <w:r w:rsidRPr="00DB6C66">
        <w:rPr>
          <w:i/>
          <w:lang w:val="fr-FR"/>
        </w:rPr>
        <w:t>Continued</w:t>
      </w:r>
      <w:proofErr w:type="spellEnd"/>
      <w:r w:rsidRPr="00DB6C66">
        <w:rPr>
          <w:i/>
          <w:lang w:val="fr-FR"/>
        </w:rPr>
        <w:t xml:space="preserve"> Access Protocol</w:t>
      </w:r>
      <w:r w:rsidRPr="00DB6C66">
        <w:rPr>
          <w:lang w:val="fr-FR"/>
        </w:rPr>
        <w:t>) et CAS (</w:t>
      </w:r>
      <w:r w:rsidRPr="00DB6C66">
        <w:rPr>
          <w:i/>
          <w:lang w:val="fr-FR"/>
        </w:rPr>
        <w:t>Chemical Abstracts Service</w:t>
      </w:r>
      <w:r w:rsidRPr="00DB6C66">
        <w:rPr>
          <w:lang w:val="fr-FR"/>
        </w:rPr>
        <w:t>)) dans les domaines de la chimie et de la pharmacie, ainsi que pour les recherches sur des séquences de nucléotides ou d</w:t>
      </w:r>
      <w:r w:rsidR="00280EEC">
        <w:rPr>
          <w:lang w:val="fr-FR"/>
        </w:rPr>
        <w:t>’</w:t>
      </w:r>
      <w:r w:rsidRPr="00DB6C66">
        <w:rPr>
          <w:lang w:val="fr-FR"/>
        </w:rPr>
        <w:t xml:space="preserve">acides aminés (enregistrements CAS, USGENE®, </w:t>
      </w:r>
      <w:proofErr w:type="spellStart"/>
      <w:r w:rsidRPr="00DB6C66">
        <w:rPr>
          <w:lang w:val="fr-FR"/>
        </w:rPr>
        <w:t>PCTGen</w:t>
      </w:r>
      <w:proofErr w:type="spellEnd"/>
      <w:r w:rsidRPr="00DB6C66">
        <w:rPr>
          <w:lang w:val="fr-FR"/>
        </w:rPr>
        <w:t xml:space="preserve"> et </w:t>
      </w:r>
      <w:proofErr w:type="spellStart"/>
      <w:r w:rsidRPr="00DB6C66">
        <w:rPr>
          <w:lang w:val="fr-FR"/>
        </w:rPr>
        <w:t>DGene</w:t>
      </w:r>
      <w:proofErr w:type="spellEnd"/>
      <w:r w:rsidRPr="00DB6C66">
        <w:rPr>
          <w:lang w:val="fr-FR"/>
        </w:rPr>
        <w:t>) dans le domaine de la biotechnologie.</w:t>
      </w:r>
    </w:p>
    <w:p w:rsidR="00B517D8" w:rsidRPr="00DB6C66" w:rsidRDefault="00B517D8" w:rsidP="00DB6C66">
      <w:pPr>
        <w:pStyle w:val="ONUMFS"/>
        <w:numPr>
          <w:ilvl w:val="1"/>
          <w:numId w:val="6"/>
        </w:numPr>
        <w:rPr>
          <w:lang w:val="fr-FR"/>
        </w:rPr>
      </w:pPr>
      <w:r w:rsidRPr="00DB6C66">
        <w:rPr>
          <w:lang w:val="fr-FR"/>
        </w:rPr>
        <w:t>Il est également possible d</w:t>
      </w:r>
      <w:r w:rsidR="00280EEC">
        <w:rPr>
          <w:lang w:val="fr-FR"/>
        </w:rPr>
        <w:t>’</w:t>
      </w:r>
      <w:r w:rsidRPr="00DB6C66">
        <w:rPr>
          <w:lang w:val="fr-FR"/>
        </w:rPr>
        <w:t>effectuer des recherches dans d</w:t>
      </w:r>
      <w:r w:rsidR="00280EEC">
        <w:rPr>
          <w:lang w:val="fr-FR"/>
        </w:rPr>
        <w:t>’</w:t>
      </w:r>
      <w:r w:rsidRPr="00DB6C66">
        <w:rPr>
          <w:lang w:val="fr-FR"/>
        </w:rPr>
        <w:t>autres bases de données de littérature non</w:t>
      </w:r>
      <w:r w:rsidR="008117E3">
        <w:rPr>
          <w:lang w:val="fr-FR"/>
        </w:rPr>
        <w:noBreakHyphen/>
      </w:r>
      <w:r w:rsidRPr="00DB6C66">
        <w:rPr>
          <w:lang w:val="fr-FR"/>
        </w:rPr>
        <w:t xml:space="preserve">brevet comme MEDLINE, ELSEVIER, EMBASE, IEEE et PUBCHEM au moyen </w:t>
      </w:r>
      <w:proofErr w:type="gramStart"/>
      <w:r w:rsidRPr="00DB6C66">
        <w:rPr>
          <w:lang w:val="fr-FR"/>
        </w:rPr>
        <w:t>d</w:t>
      </w:r>
      <w:r w:rsidR="00280EEC">
        <w:rPr>
          <w:lang w:val="fr-FR"/>
        </w:rPr>
        <w:t>’</w:t>
      </w:r>
      <w:r w:rsidRPr="00DB6C66">
        <w:rPr>
          <w:lang w:val="fr-FR"/>
        </w:rPr>
        <w:t xml:space="preserve"> </w:t>
      </w:r>
      <w:proofErr w:type="spellStart"/>
      <w:r w:rsidRPr="00DB6C66">
        <w:rPr>
          <w:lang w:val="fr-FR"/>
        </w:rPr>
        <w:t>EPOQUENet</w:t>
      </w:r>
      <w:proofErr w:type="spellEnd"/>
      <w:proofErr w:type="gramEnd"/>
      <w:r w:rsidRPr="00DB6C66">
        <w:rPr>
          <w:lang w:val="fr-FR"/>
        </w:rPr>
        <w:t xml:space="preserve"> ou de STN, ou directement à partir d</w:t>
      </w:r>
      <w:r w:rsidR="00280EEC">
        <w:rPr>
          <w:lang w:val="fr-FR"/>
        </w:rPr>
        <w:t>’</w:t>
      </w:r>
      <w:r w:rsidRPr="00DB6C66">
        <w:rPr>
          <w:lang w:val="fr-FR"/>
        </w:rPr>
        <w:t>outils de recherche sur le Web.</w:t>
      </w:r>
    </w:p>
    <w:p w:rsidR="00B517D8" w:rsidRPr="00DB6C66" w:rsidRDefault="00B517D8" w:rsidP="00DB6C66">
      <w:pPr>
        <w:pStyle w:val="ONUMFS"/>
        <w:numPr>
          <w:ilvl w:val="1"/>
          <w:numId w:val="6"/>
        </w:numPr>
        <w:rPr>
          <w:lang w:val="fr-FR"/>
        </w:rPr>
      </w:pPr>
      <w:r w:rsidRPr="00DB6C66">
        <w:rPr>
          <w:lang w:val="fr-FR"/>
        </w:rPr>
        <w:t>Une documentation sur des brevets et des modèles d</w:t>
      </w:r>
      <w:r w:rsidR="00280EEC">
        <w:rPr>
          <w:lang w:val="fr-FR"/>
        </w:rPr>
        <w:t>’</w:t>
      </w:r>
      <w:r w:rsidRPr="00DB6C66">
        <w:rPr>
          <w:lang w:val="fr-FR"/>
        </w:rPr>
        <w:t>utilité de plus de 80 pays et administrations, qui remonte jusqu</w:t>
      </w:r>
      <w:r w:rsidR="00280EEC">
        <w:rPr>
          <w:lang w:val="fr-FR"/>
        </w:rPr>
        <w:t>’</w:t>
      </w:r>
      <w:r w:rsidRPr="00DB6C66">
        <w:rPr>
          <w:lang w:val="fr-FR"/>
        </w:rPr>
        <w:t>en 1920, peut aussi être consultée à partir de CD ou de DVD dans tous les offices participant</w:t>
      </w:r>
      <w:r w:rsidR="004477D3" w:rsidRPr="00DB6C66">
        <w:rPr>
          <w:lang w:val="fr-FR"/>
        </w:rPr>
        <w:t>s</w:t>
      </w:r>
      <w:r w:rsidRPr="00DB6C66">
        <w:rPr>
          <w:lang w:val="fr-FR"/>
        </w:rPr>
        <w:t xml:space="preserve"> </w:t>
      </w:r>
      <w:r w:rsidR="00AC420D" w:rsidRPr="00DB6C66">
        <w:rPr>
          <w:lang w:val="fr-FR"/>
        </w:rPr>
        <w:t>du VPI</w:t>
      </w:r>
      <w:r w:rsidRPr="00DB6C66">
        <w:rPr>
          <w:lang w:val="fr-FR"/>
        </w:rPr>
        <w:t>.</w:t>
      </w:r>
    </w:p>
    <w:p w:rsidR="00B517D8" w:rsidRPr="00DB6C66" w:rsidRDefault="00B517D8" w:rsidP="00DB6C66">
      <w:pPr>
        <w:pStyle w:val="ONUMFS"/>
        <w:numPr>
          <w:ilvl w:val="1"/>
          <w:numId w:val="6"/>
        </w:numPr>
        <w:rPr>
          <w:lang w:val="fr-FR"/>
        </w:rPr>
      </w:pPr>
      <w:r w:rsidRPr="00DB6C66">
        <w:rPr>
          <w:lang w:val="fr-FR"/>
        </w:rPr>
        <w:t>Ces offices peuvent en outre consulter des informations sur les brevets et les modèles d</w:t>
      </w:r>
      <w:r w:rsidR="00280EEC">
        <w:rPr>
          <w:lang w:val="fr-FR"/>
        </w:rPr>
        <w:t>’</w:t>
      </w:r>
      <w:r w:rsidRPr="00DB6C66">
        <w:rPr>
          <w:lang w:val="fr-FR"/>
        </w:rPr>
        <w:t>utilité nationaux délivrés par d</w:t>
      </w:r>
      <w:r w:rsidR="00280EEC">
        <w:rPr>
          <w:lang w:val="fr-FR"/>
        </w:rPr>
        <w:t>’</w:t>
      </w:r>
      <w:r w:rsidRPr="00DB6C66">
        <w:rPr>
          <w:lang w:val="fr-FR"/>
        </w:rPr>
        <w:t>autres offices de la propriété intellectuelle par le biais de bases de données nationales accessibles en ligne.</w:t>
      </w:r>
    </w:p>
    <w:p w:rsidR="00B517D8" w:rsidRPr="00DB6C66" w:rsidRDefault="00B517D8" w:rsidP="00DB6C66">
      <w:pPr>
        <w:pStyle w:val="ONUMFS"/>
        <w:numPr>
          <w:ilvl w:val="1"/>
          <w:numId w:val="6"/>
        </w:numPr>
        <w:rPr>
          <w:lang w:val="fr-FR"/>
        </w:rPr>
      </w:pPr>
      <w:r w:rsidRPr="00DB6C66">
        <w:rPr>
          <w:lang w:val="fr-FR"/>
        </w:rPr>
        <w:t>Outre les bases de données électroniques précitées, les offices participants disposent de bibliothèques qui reçoivent des bulletins et journaux officiels du monde entier, et qui possèdent des ouvrages concernant différents domaines technologiques, scientifiques, juridiques et linguistiques.  Un grand nombre de revues et autres publications périodiques spécialisées peuvent aussi y être consultées.</w:t>
      </w:r>
    </w:p>
    <w:p w:rsidR="00B517D8" w:rsidRPr="00DB6C66" w:rsidRDefault="00B517D8" w:rsidP="00DB6C66">
      <w:pPr>
        <w:pStyle w:val="ONUMFS"/>
        <w:numPr>
          <w:ilvl w:val="1"/>
          <w:numId w:val="6"/>
        </w:numPr>
        <w:rPr>
          <w:lang w:val="fr-FR"/>
        </w:rPr>
      </w:pPr>
      <w:r w:rsidRPr="00DB6C66">
        <w:rPr>
          <w:lang w:val="fr-FR"/>
        </w:rPr>
        <w:t>Chaque office participant a accès à toutes les bases de données des systèmes de classification.  Les examinateurs emploient ces systèmes au quotidien dans le cadre de leurs recherches.  Ils ont notamment une connaissance approfondie de la CIB et de la nouvelle classification CPC.</w:t>
      </w:r>
    </w:p>
    <w:p w:rsidR="00B517D8" w:rsidRPr="00DB6C66" w:rsidRDefault="00B517D8" w:rsidP="00DB6C66">
      <w:pPr>
        <w:pStyle w:val="ONUMFS"/>
        <w:rPr>
          <w:lang w:val="fr-FR"/>
        </w:rPr>
      </w:pPr>
      <w:r w:rsidRPr="00DB6C66">
        <w:rPr>
          <w:lang w:val="fr-FR"/>
        </w:rPr>
        <w:t>Les offices participants actualisent en permanence leurs accès aux bases de données de brevets et de littérature non</w:t>
      </w:r>
      <w:r w:rsidR="008117E3">
        <w:rPr>
          <w:lang w:val="fr-FR"/>
        </w:rPr>
        <w:noBreakHyphen/>
      </w:r>
      <w:r w:rsidRPr="00DB6C66">
        <w:rPr>
          <w:lang w:val="fr-FR"/>
        </w:rPr>
        <w:t>brevet, et ils améliorent constamment leurs procédures de recherche en ajoutant de nouvelles bases de données et d</w:t>
      </w:r>
      <w:r w:rsidR="00280EEC">
        <w:rPr>
          <w:lang w:val="fr-FR"/>
        </w:rPr>
        <w:t>’</w:t>
      </w:r>
      <w:r w:rsidRPr="00DB6C66">
        <w:rPr>
          <w:lang w:val="fr-FR"/>
        </w:rPr>
        <w:t>autres sources d</w:t>
      </w:r>
      <w:r w:rsidR="00280EEC">
        <w:rPr>
          <w:lang w:val="fr-FR"/>
        </w:rPr>
        <w:t>’</w:t>
      </w:r>
      <w:r w:rsidRPr="00DB6C66">
        <w:rPr>
          <w:lang w:val="fr-FR"/>
        </w:rPr>
        <w:t>information.  Ils contribuent ainsi à préserver la haute qualité de leurs procédures de recherche.</w:t>
      </w:r>
    </w:p>
    <w:p w:rsidR="00B517D8" w:rsidRPr="00DB6C66" w:rsidRDefault="00B517D8" w:rsidP="00DB6C66">
      <w:pPr>
        <w:pStyle w:val="ONUMFS"/>
        <w:rPr>
          <w:lang w:val="fr-FR"/>
        </w:rPr>
      </w:pPr>
      <w:r w:rsidRPr="00DB6C66">
        <w:rPr>
          <w:lang w:val="fr-FR"/>
        </w:rPr>
        <w:t>Les examinateurs de ces offices suivent des formations et assistent à des séminaires concernant la recherche de brevets, et portant plus particulièrement sur la manière d</w:t>
      </w:r>
      <w:r w:rsidR="00280EEC">
        <w:rPr>
          <w:lang w:val="fr-FR"/>
        </w:rPr>
        <w:t>’</w:t>
      </w:r>
      <w:r w:rsidRPr="00DB6C66">
        <w:rPr>
          <w:lang w:val="fr-FR"/>
        </w:rPr>
        <w:t>employer efficacement les bases de données de brevets et de littérature non</w:t>
      </w:r>
      <w:r w:rsidR="008117E3">
        <w:rPr>
          <w:lang w:val="fr-FR"/>
        </w:rPr>
        <w:noBreakHyphen/>
      </w:r>
      <w:r w:rsidRPr="00DB6C66">
        <w:rPr>
          <w:lang w:val="fr-FR"/>
        </w:rPr>
        <w:t>brevet.</w:t>
      </w:r>
    </w:p>
    <w:p w:rsidR="00B517D8" w:rsidRPr="00DB6C66" w:rsidRDefault="00B517D8" w:rsidP="00DB6C66">
      <w:pPr>
        <w:pStyle w:val="ONUMFS"/>
        <w:rPr>
          <w:lang w:val="fr-FR"/>
        </w:rPr>
      </w:pPr>
      <w:r w:rsidRPr="00DB6C66">
        <w:rPr>
          <w:lang w:val="fr-FR"/>
        </w:rPr>
        <w:lastRenderedPageBreak/>
        <w:t>Les plates</w:t>
      </w:r>
      <w:r w:rsidR="008117E3">
        <w:rPr>
          <w:lang w:val="fr-FR"/>
        </w:rPr>
        <w:noBreakHyphen/>
      </w:r>
      <w:r w:rsidRPr="00DB6C66">
        <w:rPr>
          <w:lang w:val="fr-FR"/>
        </w:rPr>
        <w:t>formes de recherche précitées permettent aux examinateurs d</w:t>
      </w:r>
      <w:r w:rsidR="00280EEC">
        <w:rPr>
          <w:lang w:val="fr-FR"/>
        </w:rPr>
        <w:t>’</w:t>
      </w:r>
      <w:r w:rsidRPr="00DB6C66">
        <w:rPr>
          <w:lang w:val="fr-FR"/>
        </w:rPr>
        <w:t>accéder au moins à la documentation minimale prévue à la règle 34 du règlement d</w:t>
      </w:r>
      <w:r w:rsidR="00280EEC">
        <w:rPr>
          <w:lang w:val="fr-FR"/>
        </w:rPr>
        <w:t>’</w:t>
      </w:r>
      <w:r w:rsidRPr="00DB6C66">
        <w:rPr>
          <w:lang w:val="fr-FR"/>
        </w:rPr>
        <w:t>exécution du PCT.</w:t>
      </w:r>
    </w:p>
    <w:p w:rsidR="00DB6C66" w:rsidRPr="00DB6C66" w:rsidRDefault="00B517D8" w:rsidP="00620A17">
      <w:pPr>
        <w:pStyle w:val="Heading1"/>
        <w:rPr>
          <w:lang w:val="fr-FR"/>
        </w:rPr>
      </w:pPr>
      <w:r w:rsidRPr="00DB6C66">
        <w:rPr>
          <w:lang w:val="fr-FR"/>
        </w:rPr>
        <w:t>3.</w:t>
      </w:r>
      <w:r w:rsidR="00DB6C66" w:rsidRPr="00DB6C66">
        <w:rPr>
          <w:lang w:val="fr-FR"/>
        </w:rPr>
        <w:tab/>
        <w:t xml:space="preserve">Gestion </w:t>
      </w:r>
      <w:r w:rsidRPr="00DB6C66">
        <w:rPr>
          <w:lang w:val="fr-FR"/>
        </w:rPr>
        <w:t>de la charge de travail administratif (</w:t>
      </w:r>
      <w:r w:rsidR="00DB6C66" w:rsidRPr="00DB6C66">
        <w:rPr>
          <w:lang w:val="fr-FR"/>
        </w:rPr>
        <w:t xml:space="preserve">paragraphe </w:t>
      </w:r>
      <w:r w:rsidRPr="00DB6C66">
        <w:rPr>
          <w:lang w:val="fr-FR"/>
        </w:rPr>
        <w:t>21.15)</w:t>
      </w:r>
    </w:p>
    <w:p w:rsidR="00B517D8" w:rsidRPr="00DB6C66" w:rsidRDefault="00B517D8" w:rsidP="00DB6C66">
      <w:pPr>
        <w:pStyle w:val="ONUMFS"/>
        <w:rPr>
          <w:lang w:val="fr-FR"/>
        </w:rPr>
      </w:pPr>
      <w:r w:rsidRPr="00DB6C66">
        <w:rPr>
          <w:lang w:val="fr-FR"/>
        </w:rPr>
        <w:t xml:space="preserve">La charge de travail administratif sera gérée par le directeur et le secrétariat </w:t>
      </w:r>
      <w:r w:rsidR="00AC420D" w:rsidRPr="00DB6C66">
        <w:rPr>
          <w:lang w:val="fr-FR"/>
        </w:rPr>
        <w:t>du VPI</w:t>
      </w:r>
      <w:r w:rsidRPr="00DB6C66">
        <w:rPr>
          <w:lang w:val="fr-FR"/>
        </w:rPr>
        <w:t>, qui la répartiront entre les offices participants.</w:t>
      </w:r>
    </w:p>
    <w:p w:rsidR="00B517D8" w:rsidRPr="00DB6C66" w:rsidRDefault="00B517D8" w:rsidP="00DB6C66">
      <w:pPr>
        <w:pStyle w:val="ONUMFS"/>
        <w:rPr>
          <w:lang w:val="fr-FR"/>
        </w:rPr>
      </w:pPr>
      <w:r w:rsidRPr="00DB6C66">
        <w:rPr>
          <w:lang w:val="fr-FR"/>
        </w:rPr>
        <w:t>L</w:t>
      </w:r>
      <w:r w:rsidR="00AC420D" w:rsidRPr="00DB6C66">
        <w:rPr>
          <w:lang w:val="fr-FR"/>
        </w:rPr>
        <w:t>e VPI</w:t>
      </w:r>
      <w:r w:rsidRPr="00DB6C66">
        <w:rPr>
          <w:lang w:val="fr-FR"/>
        </w:rPr>
        <w:t xml:space="preserve"> aura mis en place un mécanisme de contrôle adéquat, efficace et cohérent pour faire en sorte que les rapports de recherche et d</w:t>
      </w:r>
      <w:r w:rsidR="00280EEC">
        <w:rPr>
          <w:lang w:val="fr-FR"/>
        </w:rPr>
        <w:t>’</w:t>
      </w:r>
      <w:r w:rsidRPr="00DB6C66">
        <w:rPr>
          <w:lang w:val="fr-FR"/>
        </w:rPr>
        <w:t>examen soient remis en temps utile et conformément aux normes de qualité en vigueur.  En vertu des normes harmonisées, les offices participants auront la responsabilité de contrôler ces procédures et d</w:t>
      </w:r>
      <w:r w:rsidR="00280EEC">
        <w:rPr>
          <w:lang w:val="fr-FR"/>
        </w:rPr>
        <w:t>’</w:t>
      </w:r>
      <w:r w:rsidRPr="00DB6C66">
        <w:rPr>
          <w:lang w:val="fr-FR"/>
        </w:rPr>
        <w:t>en rendre compte.  Des rapports statistiques sur leur fonctionnement seront établis à intervalles réguliers.</w:t>
      </w:r>
    </w:p>
    <w:p w:rsidR="00DB6C66" w:rsidRPr="00DB6C66" w:rsidRDefault="00DB6C66" w:rsidP="00620A17">
      <w:pPr>
        <w:pStyle w:val="Heading1"/>
        <w:rPr>
          <w:lang w:val="fr-FR"/>
        </w:rPr>
      </w:pPr>
      <w:r w:rsidRPr="00DB6C66">
        <w:rPr>
          <w:lang w:val="fr-FR"/>
        </w:rPr>
        <w:t>4.</w:t>
      </w:r>
      <w:r w:rsidRPr="00DB6C66">
        <w:rPr>
          <w:lang w:val="fr-FR"/>
        </w:rPr>
        <w:tab/>
      </w:r>
      <w:r w:rsidR="00B517D8" w:rsidRPr="00DB6C66">
        <w:rPr>
          <w:lang w:val="fr-FR"/>
        </w:rPr>
        <w:t xml:space="preserve">Assurance </w:t>
      </w:r>
      <w:r w:rsidRPr="00DB6C66">
        <w:rPr>
          <w:lang w:val="fr-FR"/>
        </w:rPr>
        <w:t xml:space="preserve">qualité </w:t>
      </w:r>
      <w:r w:rsidR="00B517D8" w:rsidRPr="00DB6C66">
        <w:rPr>
          <w:lang w:val="fr-FR"/>
        </w:rPr>
        <w:t>(</w:t>
      </w:r>
      <w:r w:rsidRPr="00DB6C66">
        <w:rPr>
          <w:lang w:val="fr-FR"/>
        </w:rPr>
        <w:t xml:space="preserve">paragraphe </w:t>
      </w:r>
      <w:r w:rsidR="00B517D8" w:rsidRPr="00DB6C66">
        <w:rPr>
          <w:lang w:val="fr-FR"/>
        </w:rPr>
        <w:t>21.16)</w:t>
      </w:r>
    </w:p>
    <w:p w:rsidR="00B517D8" w:rsidRPr="00DB6C66" w:rsidRDefault="00B517D8" w:rsidP="00DB6C66">
      <w:pPr>
        <w:pStyle w:val="ONUMFS"/>
        <w:rPr>
          <w:lang w:val="fr-FR"/>
        </w:rPr>
      </w:pPr>
      <w:r w:rsidRPr="00DB6C66">
        <w:rPr>
          <w:lang w:val="fr-FR"/>
        </w:rPr>
        <w:t>Sur le plan de l</w:t>
      </w:r>
      <w:r w:rsidR="00280EEC">
        <w:rPr>
          <w:lang w:val="fr-FR"/>
        </w:rPr>
        <w:t>’</w:t>
      </w:r>
      <w:r w:rsidRPr="00DB6C66">
        <w:rPr>
          <w:lang w:val="fr-FR"/>
        </w:rPr>
        <w:t>assurance qualité, l</w:t>
      </w:r>
      <w:r w:rsidR="00AC420D" w:rsidRPr="00DB6C66">
        <w:rPr>
          <w:lang w:val="fr-FR"/>
        </w:rPr>
        <w:t xml:space="preserve">e VPI </w:t>
      </w:r>
      <w:r w:rsidRPr="00DB6C66">
        <w:rPr>
          <w:lang w:val="fr-FR"/>
        </w:rPr>
        <w:t>a pour objectif d</w:t>
      </w:r>
      <w:r w:rsidR="00280EEC">
        <w:rPr>
          <w:lang w:val="fr-FR"/>
        </w:rPr>
        <w:t>’</w:t>
      </w:r>
      <w:r w:rsidRPr="00DB6C66">
        <w:rPr>
          <w:lang w:val="fr-FR"/>
        </w:rPr>
        <w:t>établir des rapports de recherche et d</w:t>
      </w:r>
      <w:r w:rsidR="00280EEC">
        <w:rPr>
          <w:lang w:val="fr-FR"/>
        </w:rPr>
        <w:t>’</w:t>
      </w:r>
      <w:r w:rsidRPr="00DB6C66">
        <w:rPr>
          <w:lang w:val="fr-FR"/>
        </w:rPr>
        <w:t>examen de haute qualité dans les délais impartis.  Les procédures de recherche et d</w:t>
      </w:r>
      <w:r w:rsidR="00280EEC">
        <w:rPr>
          <w:lang w:val="fr-FR"/>
        </w:rPr>
        <w:t>’</w:t>
      </w:r>
      <w:r w:rsidRPr="00DB6C66">
        <w:rPr>
          <w:lang w:val="fr-FR"/>
        </w:rPr>
        <w:t xml:space="preserve">examen seront décrites en détail dans une documentation exhaustive qui comportera des indicateurs de performance (P), de temps (T) et de qualité (Q).  </w:t>
      </w:r>
      <w:r w:rsidR="00AC420D" w:rsidRPr="00DB6C66">
        <w:rPr>
          <w:lang w:val="fr-FR"/>
        </w:rPr>
        <w:t xml:space="preserve">Le VPI </w:t>
      </w:r>
      <w:r w:rsidRPr="00DB6C66">
        <w:rPr>
          <w:lang w:val="fr-FR"/>
        </w:rPr>
        <w:t>aura instauré un système d</w:t>
      </w:r>
      <w:r w:rsidR="00280EEC">
        <w:rPr>
          <w:lang w:val="fr-FR"/>
        </w:rPr>
        <w:t>’</w:t>
      </w:r>
      <w:r w:rsidRPr="00DB6C66">
        <w:rPr>
          <w:lang w:val="fr-FR"/>
        </w:rPr>
        <w:t>assurance qualité interne pour veiller au respect de ces indicateurs et des Directives PCT/GL/ISPE.</w:t>
      </w:r>
    </w:p>
    <w:p w:rsidR="00B517D8" w:rsidRPr="00DB6C66" w:rsidRDefault="00B517D8" w:rsidP="00DB6C66">
      <w:pPr>
        <w:pStyle w:val="ONUMFS"/>
        <w:rPr>
          <w:lang w:val="fr-FR"/>
        </w:rPr>
      </w:pPr>
      <w:r w:rsidRPr="00DB6C66">
        <w:rPr>
          <w:lang w:val="fr-FR"/>
        </w:rPr>
        <w:t>Des mesures d</w:t>
      </w:r>
      <w:r w:rsidR="00280EEC">
        <w:rPr>
          <w:lang w:val="fr-FR"/>
        </w:rPr>
        <w:t>’</w:t>
      </w:r>
      <w:r w:rsidRPr="00DB6C66">
        <w:rPr>
          <w:lang w:val="fr-FR"/>
        </w:rPr>
        <w:t>assurance qualité harmonisées seront prises et s</w:t>
      </w:r>
      <w:r w:rsidR="00280EEC">
        <w:rPr>
          <w:lang w:val="fr-FR"/>
        </w:rPr>
        <w:t>’</w:t>
      </w:r>
      <w:r w:rsidRPr="00DB6C66">
        <w:rPr>
          <w:lang w:val="fr-FR"/>
        </w:rPr>
        <w:t>appuieront sur les pratiques recommandées actuellement employées par les offices participants.  Des directives en matière de recherche et d</w:t>
      </w:r>
      <w:r w:rsidR="00280EEC">
        <w:rPr>
          <w:lang w:val="fr-FR"/>
        </w:rPr>
        <w:t>’</w:t>
      </w:r>
      <w:r w:rsidRPr="00DB6C66">
        <w:rPr>
          <w:lang w:val="fr-FR"/>
        </w:rPr>
        <w:t xml:space="preserve">examen seront aussi proposées aux usagers internes et externes par le biais du site Web </w:t>
      </w:r>
      <w:r w:rsidR="00AC420D" w:rsidRPr="00DB6C66">
        <w:rPr>
          <w:lang w:val="fr-FR"/>
        </w:rPr>
        <w:t>du VPI</w:t>
      </w:r>
      <w:r w:rsidRPr="00DB6C66">
        <w:rPr>
          <w:lang w:val="fr-FR"/>
        </w:rPr>
        <w:t>.  Les examinateurs pourront procéder à une auto</w:t>
      </w:r>
      <w:r w:rsidR="008117E3">
        <w:rPr>
          <w:lang w:val="fr-FR"/>
        </w:rPr>
        <w:noBreakHyphen/>
      </w:r>
      <w:r w:rsidRPr="00DB6C66">
        <w:rPr>
          <w:lang w:val="fr-FR"/>
        </w:rPr>
        <w:t>évaluation au moyen de formulaires comportant des listes de contrôle.  Des procédures harmonisées devraient être appliquées pour vérifier et accepter les rapports de recherche et d</w:t>
      </w:r>
      <w:r w:rsidR="00280EEC">
        <w:rPr>
          <w:lang w:val="fr-FR"/>
        </w:rPr>
        <w:t>’</w:t>
      </w:r>
      <w:r w:rsidRPr="00DB6C66">
        <w:rPr>
          <w:lang w:val="fr-FR"/>
        </w:rPr>
        <w:t>examen, ainsi que pour établir régulièrement des rapports statistiques.  Ceux</w:t>
      </w:r>
      <w:r w:rsidR="008117E3">
        <w:rPr>
          <w:lang w:val="fr-FR"/>
        </w:rPr>
        <w:noBreakHyphen/>
      </w:r>
      <w:r w:rsidRPr="00DB6C66">
        <w:rPr>
          <w:lang w:val="fr-FR"/>
        </w:rPr>
        <w:t xml:space="preserve">ci permettront </w:t>
      </w:r>
      <w:r w:rsidR="00AC420D" w:rsidRPr="00DB6C66">
        <w:rPr>
          <w:lang w:val="fr-FR"/>
        </w:rPr>
        <w:t xml:space="preserve">au VPI </w:t>
      </w:r>
      <w:r w:rsidRPr="00DB6C66">
        <w:rPr>
          <w:lang w:val="fr-FR"/>
        </w:rPr>
        <w:t>de recenser les lacunes et les points de non</w:t>
      </w:r>
      <w:r w:rsidR="008117E3">
        <w:rPr>
          <w:lang w:val="fr-FR"/>
        </w:rPr>
        <w:noBreakHyphen/>
      </w:r>
      <w:r w:rsidRPr="00DB6C66">
        <w:rPr>
          <w:lang w:val="fr-FR"/>
        </w:rPr>
        <w:t>conformité de son système de gestion de la qualité;  il prendra alors les mesures correctives nécessaires.  Des audits seront en outre effectués chaque année.  Les outils et procédures harmonisés permettront de garantir que la recherche et l</w:t>
      </w:r>
      <w:r w:rsidR="00280EEC">
        <w:rPr>
          <w:lang w:val="fr-FR"/>
        </w:rPr>
        <w:t>’</w:t>
      </w:r>
      <w:r w:rsidRPr="00DB6C66">
        <w:rPr>
          <w:lang w:val="fr-FR"/>
        </w:rPr>
        <w:t>examen effectués pour une demande donnée conduisent au même résultat, quel que soit l</w:t>
      </w:r>
      <w:r w:rsidR="00280EEC">
        <w:rPr>
          <w:lang w:val="fr-FR"/>
        </w:rPr>
        <w:t>’</w:t>
      </w:r>
      <w:r w:rsidRPr="00DB6C66">
        <w:rPr>
          <w:lang w:val="fr-FR"/>
        </w:rPr>
        <w:t>office participant qui en sera chargé.</w:t>
      </w:r>
    </w:p>
    <w:p w:rsidR="00DB6C66" w:rsidRPr="00DB6C66" w:rsidRDefault="00DB6C66" w:rsidP="00620A17">
      <w:pPr>
        <w:pStyle w:val="Heading1"/>
        <w:rPr>
          <w:lang w:val="fr-FR"/>
        </w:rPr>
      </w:pPr>
      <w:r w:rsidRPr="00DB6C66">
        <w:rPr>
          <w:lang w:val="fr-FR"/>
        </w:rPr>
        <w:t>5.</w:t>
      </w:r>
      <w:r w:rsidRPr="00DB6C66">
        <w:rPr>
          <w:lang w:val="fr-FR"/>
        </w:rPr>
        <w:tab/>
      </w:r>
      <w:r w:rsidR="00B517D8" w:rsidRPr="00DB6C66">
        <w:rPr>
          <w:lang w:val="fr-FR"/>
        </w:rPr>
        <w:t>Communication (</w:t>
      </w:r>
      <w:r w:rsidRPr="00DB6C66">
        <w:rPr>
          <w:lang w:val="fr-FR"/>
        </w:rPr>
        <w:t xml:space="preserve">paragraphes </w:t>
      </w:r>
      <w:r w:rsidR="00B517D8" w:rsidRPr="00DB6C66">
        <w:rPr>
          <w:lang w:val="fr-FR"/>
        </w:rPr>
        <w:t>21.17 À 21.19)</w:t>
      </w:r>
    </w:p>
    <w:p w:rsidR="00B517D8" w:rsidRPr="00DB6C66" w:rsidRDefault="00B517D8" w:rsidP="00DB6C66">
      <w:pPr>
        <w:pStyle w:val="ONUMFS"/>
        <w:rPr>
          <w:lang w:val="fr-FR"/>
        </w:rPr>
      </w:pPr>
      <w:r w:rsidRPr="00DB6C66">
        <w:rPr>
          <w:lang w:val="fr-FR"/>
        </w:rPr>
        <w:t>L</w:t>
      </w:r>
      <w:r w:rsidR="00AC420D" w:rsidRPr="00DB6C66">
        <w:rPr>
          <w:lang w:val="fr-FR"/>
        </w:rPr>
        <w:t xml:space="preserve">e VPI </w:t>
      </w:r>
      <w:r w:rsidRPr="00DB6C66">
        <w:rPr>
          <w:lang w:val="fr-FR"/>
        </w:rPr>
        <w:t xml:space="preserve">disposera de personnes de contact au sein de chaque office participant.  La voie de communication principale sera établie au siège </w:t>
      </w:r>
      <w:r w:rsidR="00AC420D" w:rsidRPr="00DB6C66">
        <w:rPr>
          <w:lang w:val="fr-FR"/>
        </w:rPr>
        <w:t>du VPI</w:t>
      </w:r>
      <w:r w:rsidRPr="00DB6C66">
        <w:rPr>
          <w:lang w:val="fr-FR"/>
        </w:rPr>
        <w:t>.  Le service client de chaque office participant suivra une formation et disposera de documents d</w:t>
      </w:r>
      <w:r w:rsidR="00280EEC">
        <w:rPr>
          <w:lang w:val="fr-FR"/>
        </w:rPr>
        <w:t>’</w:t>
      </w:r>
      <w:r w:rsidRPr="00DB6C66">
        <w:rPr>
          <w:lang w:val="fr-FR"/>
        </w:rPr>
        <w:t xml:space="preserve">orientation sur les services proposés par </w:t>
      </w:r>
      <w:r w:rsidR="00AC420D" w:rsidRPr="00DB6C66">
        <w:rPr>
          <w:lang w:val="fr-FR"/>
        </w:rPr>
        <w:t>le VPI</w:t>
      </w:r>
      <w:r w:rsidRPr="00DB6C66">
        <w:rPr>
          <w:lang w:val="fr-FR"/>
        </w:rPr>
        <w:t>.  Celui</w:t>
      </w:r>
      <w:r w:rsidR="008117E3">
        <w:rPr>
          <w:lang w:val="fr-FR"/>
        </w:rPr>
        <w:noBreakHyphen/>
      </w:r>
      <w:r w:rsidRPr="00DB6C66">
        <w:rPr>
          <w:lang w:val="fr-FR"/>
        </w:rPr>
        <w:t>ci mettra en place des forums d</w:t>
      </w:r>
      <w:r w:rsidR="00280EEC">
        <w:rPr>
          <w:lang w:val="fr-FR"/>
        </w:rPr>
        <w:t>’</w:t>
      </w:r>
      <w:r w:rsidRPr="00DB6C66">
        <w:rPr>
          <w:lang w:val="fr-FR"/>
        </w:rPr>
        <w:t>utilisateurs permettant de discuter de questions liées à ses services.</w:t>
      </w:r>
    </w:p>
    <w:p w:rsidR="00B517D8" w:rsidRPr="00DB6C66" w:rsidRDefault="00B517D8" w:rsidP="00DB6C66">
      <w:pPr>
        <w:pStyle w:val="ONUMFS"/>
        <w:rPr>
          <w:lang w:val="fr-FR"/>
        </w:rPr>
      </w:pPr>
      <w:r w:rsidRPr="00DB6C66">
        <w:rPr>
          <w:lang w:val="fr-FR"/>
        </w:rPr>
        <w:t xml:space="preserve">Les clients pourront répondre à des enquêtes de satisfaction aussi bien par voie électronique (sur le site Web </w:t>
      </w:r>
      <w:r w:rsidR="00AC420D" w:rsidRPr="00DB6C66">
        <w:rPr>
          <w:lang w:val="fr-FR"/>
        </w:rPr>
        <w:t>du VPI</w:t>
      </w:r>
      <w:r w:rsidRPr="00DB6C66">
        <w:rPr>
          <w:lang w:val="fr-FR"/>
        </w:rPr>
        <w:t>) que lorsqu</w:t>
      </w:r>
      <w:r w:rsidR="00280EEC">
        <w:rPr>
          <w:lang w:val="fr-FR"/>
        </w:rPr>
        <w:t>’</w:t>
      </w:r>
      <w:r w:rsidRPr="00DB6C66">
        <w:rPr>
          <w:lang w:val="fr-FR"/>
        </w:rPr>
        <w:t>ils se trouveront dans l</w:t>
      </w:r>
      <w:r w:rsidR="00280EEC">
        <w:rPr>
          <w:lang w:val="fr-FR"/>
        </w:rPr>
        <w:t>’</w:t>
      </w:r>
      <w:r w:rsidRPr="00DB6C66">
        <w:rPr>
          <w:lang w:val="fr-FR"/>
        </w:rPr>
        <w:t>un des offices participants.  L</w:t>
      </w:r>
      <w:r w:rsidR="00280EEC">
        <w:rPr>
          <w:lang w:val="fr-FR"/>
        </w:rPr>
        <w:t>’</w:t>
      </w:r>
      <w:r w:rsidRPr="00DB6C66">
        <w:rPr>
          <w:lang w:val="fr-FR"/>
        </w:rPr>
        <w:t xml:space="preserve">équipe chargée de la gestion de la qualité et la haute direction </w:t>
      </w:r>
      <w:r w:rsidR="00AC420D" w:rsidRPr="00DB6C66">
        <w:rPr>
          <w:lang w:val="fr-FR"/>
        </w:rPr>
        <w:t xml:space="preserve">du VPI </w:t>
      </w:r>
      <w:r w:rsidRPr="00DB6C66">
        <w:rPr>
          <w:lang w:val="fr-FR"/>
        </w:rPr>
        <w:t>examineront un résumé de leurs réponses.  Toutes les mesures d</w:t>
      </w:r>
      <w:r w:rsidR="00280EEC">
        <w:rPr>
          <w:lang w:val="fr-FR"/>
        </w:rPr>
        <w:t>’</w:t>
      </w:r>
      <w:r w:rsidRPr="00DB6C66">
        <w:rPr>
          <w:lang w:val="fr-FR"/>
        </w:rPr>
        <w:t>amélioration requises seront prises pour répondre aux attentes des clients.  Les informations communiquées par ceux</w:t>
      </w:r>
      <w:r w:rsidR="008117E3">
        <w:rPr>
          <w:lang w:val="fr-FR"/>
        </w:rPr>
        <w:noBreakHyphen/>
      </w:r>
      <w:r w:rsidRPr="00DB6C66">
        <w:rPr>
          <w:lang w:val="fr-FR"/>
        </w:rPr>
        <w:t>ci sur le fonctionnement du système du PCT seront transmises en permanence à l</w:t>
      </w:r>
      <w:r w:rsidR="00280EEC">
        <w:rPr>
          <w:lang w:val="fr-FR"/>
        </w:rPr>
        <w:t>’</w:t>
      </w:r>
      <w:r w:rsidRPr="00DB6C66">
        <w:rPr>
          <w:lang w:val="fr-FR"/>
        </w:rPr>
        <w:t>OMPI.  Les objectifs de qualité et les directives concernant la recherche et l</w:t>
      </w:r>
      <w:r w:rsidR="00280EEC">
        <w:rPr>
          <w:lang w:val="fr-FR"/>
        </w:rPr>
        <w:t>’</w:t>
      </w:r>
      <w:r w:rsidRPr="00DB6C66">
        <w:rPr>
          <w:lang w:val="fr-FR"/>
        </w:rPr>
        <w:t xml:space="preserve">examen seront publiés sur le site Web </w:t>
      </w:r>
      <w:r w:rsidR="00AC420D" w:rsidRPr="00DB6C66">
        <w:rPr>
          <w:lang w:val="fr-FR"/>
        </w:rPr>
        <w:t>du VPI</w:t>
      </w:r>
      <w:r w:rsidRPr="00DB6C66">
        <w:rPr>
          <w:lang w:val="fr-FR"/>
        </w:rPr>
        <w:t>.  Ces directives seront rédigées dans les langues des offices participants ainsi qu</w:t>
      </w:r>
      <w:r w:rsidR="00280EEC">
        <w:rPr>
          <w:lang w:val="fr-FR"/>
        </w:rPr>
        <w:t>’</w:t>
      </w:r>
      <w:r w:rsidRPr="00DB6C66">
        <w:rPr>
          <w:lang w:val="fr-FR"/>
        </w:rPr>
        <w:t>en anglais, et seront aussi publiées sur le site Web et dans le service client de chaque office participant.</w:t>
      </w:r>
    </w:p>
    <w:p w:rsidR="00B517D8" w:rsidRPr="00DB6C66" w:rsidRDefault="00B517D8" w:rsidP="00DB6C66">
      <w:pPr>
        <w:pStyle w:val="ONUMFS"/>
        <w:rPr>
          <w:lang w:val="fr-FR"/>
        </w:rPr>
      </w:pPr>
      <w:r w:rsidRPr="00DB6C66">
        <w:rPr>
          <w:lang w:val="fr-FR"/>
        </w:rPr>
        <w:lastRenderedPageBreak/>
        <w:t>L</w:t>
      </w:r>
      <w:r w:rsidR="00AC420D" w:rsidRPr="00DB6C66">
        <w:rPr>
          <w:lang w:val="fr-FR"/>
        </w:rPr>
        <w:t xml:space="preserve">e VPI </w:t>
      </w:r>
      <w:r w:rsidRPr="00DB6C66">
        <w:rPr>
          <w:lang w:val="fr-FR"/>
        </w:rPr>
        <w:t>a entrepris d</w:t>
      </w:r>
      <w:r w:rsidR="00280EEC">
        <w:rPr>
          <w:lang w:val="fr-FR"/>
        </w:rPr>
        <w:t>’</w:t>
      </w:r>
      <w:r w:rsidRPr="00DB6C66">
        <w:rPr>
          <w:lang w:val="fr-FR"/>
        </w:rPr>
        <w:t>enregistrer son nom de domaine (vpi.int).  Les offices participants mettront en place des plates</w:t>
      </w:r>
      <w:r w:rsidR="008117E3">
        <w:rPr>
          <w:lang w:val="fr-FR"/>
        </w:rPr>
        <w:noBreakHyphen/>
      </w:r>
      <w:r w:rsidRPr="00DB6C66">
        <w:rPr>
          <w:lang w:val="fr-FR"/>
        </w:rPr>
        <w:t>formes de communication au sein de leur propre infrastructure à l</w:t>
      </w:r>
      <w:r w:rsidR="00280EEC">
        <w:rPr>
          <w:lang w:val="fr-FR"/>
        </w:rPr>
        <w:t>’</w:t>
      </w:r>
      <w:r w:rsidRPr="00DB6C66">
        <w:rPr>
          <w:lang w:val="fr-FR"/>
        </w:rPr>
        <w:t>appui des procédures du PCT et des procédures de type international.</w:t>
      </w:r>
    </w:p>
    <w:p w:rsidR="00B517D8" w:rsidRPr="00DB6C66" w:rsidRDefault="00B517D8" w:rsidP="00DB6C66">
      <w:pPr>
        <w:pStyle w:val="ONUMFS"/>
        <w:rPr>
          <w:lang w:val="fr-FR"/>
        </w:rPr>
      </w:pPr>
      <w:r w:rsidRPr="00DB6C66">
        <w:rPr>
          <w:lang w:val="fr-FR"/>
        </w:rPr>
        <w:t>Chaque office participant désignera une personne chargée de traiter les plaintes extérieures.</w:t>
      </w:r>
    </w:p>
    <w:p w:rsidR="00DB6C66" w:rsidRPr="00DB6C66" w:rsidRDefault="00DB6C66" w:rsidP="00620A17">
      <w:pPr>
        <w:pStyle w:val="Heading1"/>
        <w:rPr>
          <w:lang w:val="fr-FR"/>
        </w:rPr>
      </w:pPr>
      <w:r w:rsidRPr="00DB6C66">
        <w:rPr>
          <w:lang w:val="fr-FR"/>
        </w:rPr>
        <w:t>6.</w:t>
      </w:r>
      <w:r w:rsidRPr="00DB6C66">
        <w:rPr>
          <w:lang w:val="fr-FR"/>
        </w:rPr>
        <w:tab/>
      </w:r>
      <w:r w:rsidR="00B517D8" w:rsidRPr="00DB6C66">
        <w:rPr>
          <w:lang w:val="fr-FR"/>
        </w:rPr>
        <w:t>Documentation (</w:t>
      </w:r>
      <w:r w:rsidRPr="00DB6C66">
        <w:rPr>
          <w:lang w:val="fr-FR"/>
        </w:rPr>
        <w:t xml:space="preserve">paragraphes </w:t>
      </w:r>
      <w:r w:rsidR="00B517D8" w:rsidRPr="00DB6C66">
        <w:rPr>
          <w:lang w:val="fr-FR"/>
        </w:rPr>
        <w:t>21.20 À 21.23)</w:t>
      </w:r>
    </w:p>
    <w:p w:rsidR="00B517D8" w:rsidRPr="00DB6C66" w:rsidRDefault="00B517D8" w:rsidP="00DB6C66">
      <w:pPr>
        <w:pStyle w:val="ONUMFS"/>
        <w:rPr>
          <w:lang w:val="fr-FR"/>
        </w:rPr>
      </w:pPr>
      <w:r w:rsidRPr="00DB6C66">
        <w:rPr>
          <w:lang w:val="fr-FR"/>
        </w:rPr>
        <w:t xml:space="preserve">Le système de gestion de la qualité </w:t>
      </w:r>
      <w:r w:rsidR="00AC420D" w:rsidRPr="00DB6C66">
        <w:rPr>
          <w:lang w:val="fr-FR"/>
        </w:rPr>
        <w:t xml:space="preserve">du VPI </w:t>
      </w:r>
      <w:r w:rsidRPr="00DB6C66">
        <w:rPr>
          <w:lang w:val="fr-FR"/>
        </w:rPr>
        <w:t xml:space="preserve">sera clairement décrit à différents niveaux afin que toutes les procédures et tous les produits et services puissent être surveillés et contrôlés et que leur conformité soit vérifiée.  Cette description figurera dans les documents qui composeront le Manuel sur la qualité </w:t>
      </w:r>
      <w:r w:rsidR="00AC420D" w:rsidRPr="00DB6C66">
        <w:rPr>
          <w:lang w:val="fr-FR"/>
        </w:rPr>
        <w:t>du VPI</w:t>
      </w:r>
      <w:r w:rsidRPr="00DB6C66">
        <w:rPr>
          <w:lang w:val="fr-FR"/>
        </w:rPr>
        <w:t>.  Celui</w:t>
      </w:r>
      <w:r w:rsidR="008117E3">
        <w:rPr>
          <w:lang w:val="fr-FR"/>
        </w:rPr>
        <w:noBreakHyphen/>
      </w:r>
      <w:r w:rsidRPr="00DB6C66">
        <w:rPr>
          <w:lang w:val="fr-FR"/>
        </w:rPr>
        <w:t>ci tiendra à jour les données énumérées au paragraphe 21.23 des Directives PCT/GL/ISPE.</w:t>
      </w:r>
    </w:p>
    <w:p w:rsidR="00B517D8" w:rsidRPr="00DB6C66" w:rsidRDefault="00B517D8" w:rsidP="00DB6C66">
      <w:pPr>
        <w:pStyle w:val="ONUMFS"/>
        <w:rPr>
          <w:lang w:val="fr-FR"/>
        </w:rPr>
      </w:pPr>
      <w:r w:rsidRPr="00DB6C66">
        <w:rPr>
          <w:lang w:val="fr-FR"/>
        </w:rPr>
        <w:t>Les procédures de recherche et d</w:t>
      </w:r>
      <w:r w:rsidR="00280EEC">
        <w:rPr>
          <w:lang w:val="fr-FR"/>
        </w:rPr>
        <w:t>’</w:t>
      </w:r>
      <w:r w:rsidRPr="00DB6C66">
        <w:rPr>
          <w:lang w:val="fr-FR"/>
        </w:rPr>
        <w:t xml:space="preserve">examen préliminaire internationaux ainsi que les procédures régissant les travaux contractuels internationaux que devra effectuer </w:t>
      </w:r>
      <w:r w:rsidR="00AC420D" w:rsidRPr="00DB6C66">
        <w:rPr>
          <w:lang w:val="fr-FR"/>
        </w:rPr>
        <w:t xml:space="preserve">le VPI </w:t>
      </w:r>
      <w:r w:rsidRPr="00DB6C66">
        <w:rPr>
          <w:lang w:val="fr-FR"/>
        </w:rPr>
        <w:t xml:space="preserve">ont été </w:t>
      </w:r>
      <w:proofErr w:type="gramStart"/>
      <w:r w:rsidRPr="00DB6C66">
        <w:rPr>
          <w:lang w:val="fr-FR"/>
        </w:rPr>
        <w:t>établies</w:t>
      </w:r>
      <w:proofErr w:type="gramEnd"/>
      <w:r w:rsidRPr="00DB6C66">
        <w:rPr>
          <w:lang w:val="fr-FR"/>
        </w:rPr>
        <w:t>, et des projets d</w:t>
      </w:r>
      <w:r w:rsidR="00280EEC">
        <w:rPr>
          <w:lang w:val="fr-FR"/>
        </w:rPr>
        <w:t>’</w:t>
      </w:r>
      <w:r w:rsidRPr="00DB6C66">
        <w:rPr>
          <w:lang w:val="fr-FR"/>
        </w:rPr>
        <w:t>organigrammes ont été élaborés pour les décrire.  Les indicateurs P, T et Q ont aussi été définis.  Les documents correspondants et les questions connexes sont en cours de négociation;  de fait, les systèmes ISO mis en place par les offices participants offrent un fondement solide pour ce projet.  Ainsi, au sein de l</w:t>
      </w:r>
      <w:r w:rsidR="00280EEC">
        <w:rPr>
          <w:lang w:val="fr-FR"/>
        </w:rPr>
        <w:t>’</w:t>
      </w:r>
      <w:r w:rsidRPr="00DB6C66">
        <w:rPr>
          <w:lang w:val="fr-FR"/>
        </w:rPr>
        <w:t>Office de la propriété intellectuelle hongrois (HIPO), les recherches de type international sont entièrement prises en charge par le système de gestion de la qualité, et ces procédures sont intégralement documentées.  Des listes de contrôle seront établies une fois que les produits seront prêts.</w:t>
      </w:r>
    </w:p>
    <w:p w:rsidR="00B517D8" w:rsidRPr="00DB6C66" w:rsidRDefault="00B517D8" w:rsidP="00DB6C66">
      <w:pPr>
        <w:pStyle w:val="ONUMFS"/>
        <w:rPr>
          <w:lang w:val="fr-FR"/>
        </w:rPr>
      </w:pPr>
      <w:r w:rsidRPr="00DB6C66">
        <w:rPr>
          <w:lang w:val="fr-FR"/>
        </w:rPr>
        <w:t>Une équipe mixte composée de représentants de chaque office participant sera désignée pour contrôler les procédures.</w:t>
      </w:r>
    </w:p>
    <w:p w:rsidR="00DB6C66" w:rsidRPr="00DB6C66" w:rsidRDefault="00B517D8" w:rsidP="00620A17">
      <w:pPr>
        <w:pStyle w:val="Heading1"/>
        <w:rPr>
          <w:lang w:val="fr-FR"/>
        </w:rPr>
      </w:pPr>
      <w:r w:rsidRPr="00DB6C66">
        <w:rPr>
          <w:lang w:val="fr-FR"/>
        </w:rPr>
        <w:t>7.</w:t>
      </w:r>
      <w:r w:rsidR="00DB6C66" w:rsidRPr="00DB6C66">
        <w:rPr>
          <w:lang w:val="fr-FR"/>
        </w:rPr>
        <w:tab/>
        <w:t xml:space="preserve">Description </w:t>
      </w:r>
      <w:r w:rsidRPr="00DB6C66">
        <w:rPr>
          <w:lang w:val="fr-FR"/>
        </w:rPr>
        <w:t>de la procédure de recherche (</w:t>
      </w:r>
      <w:r w:rsidR="00DB6C66" w:rsidRPr="00DB6C66">
        <w:rPr>
          <w:lang w:val="fr-FR"/>
        </w:rPr>
        <w:t xml:space="preserve">paragraphe </w:t>
      </w:r>
      <w:r w:rsidRPr="00DB6C66">
        <w:rPr>
          <w:lang w:val="fr-FR"/>
        </w:rPr>
        <w:t>21.24)</w:t>
      </w:r>
    </w:p>
    <w:p w:rsidR="00B517D8" w:rsidRPr="00DB6C66" w:rsidRDefault="00B517D8" w:rsidP="00DB6C66">
      <w:pPr>
        <w:pStyle w:val="ONUMFS"/>
        <w:rPr>
          <w:lang w:val="fr-FR"/>
        </w:rPr>
      </w:pPr>
      <w:r w:rsidRPr="00DB6C66">
        <w:rPr>
          <w:lang w:val="fr-FR"/>
        </w:rPr>
        <w:t>Les examinateurs consigneront leurs procédures de recherche et les conserveront à des fins de vérification et de documentation, en employant à cet effet des listes de contrôle.  Ils consigneront également leurs stratégies de recherche ainsi que les bases de données consultées, les mots</w:t>
      </w:r>
      <w:r w:rsidR="008117E3">
        <w:rPr>
          <w:lang w:val="fr-FR"/>
        </w:rPr>
        <w:noBreakHyphen/>
      </w:r>
      <w:r w:rsidRPr="00DB6C66">
        <w:rPr>
          <w:lang w:val="fr-FR"/>
        </w:rPr>
        <w:t>clés saisis, les catégories de brevets recherchées, etc., et toute autre information ou tout document pertinent.</w:t>
      </w:r>
    </w:p>
    <w:p w:rsidR="00DB6C66" w:rsidRPr="00DB6C66" w:rsidRDefault="00DB6C66" w:rsidP="00620A17">
      <w:pPr>
        <w:pStyle w:val="Heading1"/>
        <w:rPr>
          <w:lang w:val="fr-FR"/>
        </w:rPr>
      </w:pPr>
      <w:r w:rsidRPr="00DB6C66">
        <w:rPr>
          <w:lang w:val="fr-FR"/>
        </w:rPr>
        <w:t>8.</w:t>
      </w:r>
      <w:r w:rsidRPr="00DB6C66">
        <w:rPr>
          <w:lang w:val="fr-FR"/>
        </w:rPr>
        <w:tab/>
        <w:t>Système d</w:t>
      </w:r>
      <w:r w:rsidR="00280EEC">
        <w:rPr>
          <w:lang w:val="fr-FR"/>
        </w:rPr>
        <w:t>’</w:t>
      </w:r>
      <w:r w:rsidRPr="00DB6C66">
        <w:rPr>
          <w:lang w:val="fr-FR"/>
        </w:rPr>
        <w:t xml:space="preserve">évaluation interne (paragraphes 21.25 à </w:t>
      </w:r>
      <w:r w:rsidR="00B517D8" w:rsidRPr="00DB6C66">
        <w:rPr>
          <w:lang w:val="fr-FR"/>
        </w:rPr>
        <w:t>21.28)</w:t>
      </w:r>
    </w:p>
    <w:p w:rsidR="00B517D8" w:rsidRPr="00DB6C66" w:rsidRDefault="00B517D8" w:rsidP="00DB6C66">
      <w:pPr>
        <w:pStyle w:val="ONUMFS"/>
        <w:rPr>
          <w:lang w:val="fr-FR"/>
        </w:rPr>
      </w:pPr>
      <w:r w:rsidRPr="00DB6C66">
        <w:rPr>
          <w:lang w:val="fr-FR"/>
        </w:rPr>
        <w:t>Un mécanisme d</w:t>
      </w:r>
      <w:r w:rsidR="00280EEC">
        <w:rPr>
          <w:lang w:val="fr-FR"/>
        </w:rPr>
        <w:t>’</w:t>
      </w:r>
      <w:r w:rsidRPr="00DB6C66">
        <w:rPr>
          <w:lang w:val="fr-FR"/>
        </w:rPr>
        <w:t>évaluation interne sera instauré pour vérifier la conformité des travaux aux normes de qualité dans le cadre d</w:t>
      </w:r>
      <w:r w:rsidR="00280EEC">
        <w:rPr>
          <w:lang w:val="fr-FR"/>
        </w:rPr>
        <w:t>’</w:t>
      </w:r>
      <w:r w:rsidRPr="00DB6C66">
        <w:rPr>
          <w:lang w:val="fr-FR"/>
        </w:rPr>
        <w:t>évaluations objectives et transparentes.  Une équipe mixte d</w:t>
      </w:r>
      <w:r w:rsidR="00280EEC">
        <w:rPr>
          <w:lang w:val="fr-FR"/>
        </w:rPr>
        <w:t>’</w:t>
      </w:r>
      <w:r w:rsidRPr="00DB6C66">
        <w:rPr>
          <w:lang w:val="fr-FR"/>
        </w:rPr>
        <w:t xml:space="preserve">évaluation interne sera également constituée au sein </w:t>
      </w:r>
      <w:r w:rsidR="00AC420D" w:rsidRPr="00DB6C66">
        <w:rPr>
          <w:lang w:val="fr-FR"/>
        </w:rPr>
        <w:t>du VPI</w:t>
      </w:r>
      <w:r w:rsidRPr="00DB6C66">
        <w:rPr>
          <w:lang w:val="fr-FR"/>
        </w:rPr>
        <w:t>.  Des audits seront effectués à l</w:t>
      </w:r>
      <w:r w:rsidR="00280EEC">
        <w:rPr>
          <w:lang w:val="fr-FR"/>
        </w:rPr>
        <w:t>’</w:t>
      </w:r>
      <w:r w:rsidRPr="00DB6C66">
        <w:rPr>
          <w:lang w:val="fr-FR"/>
        </w:rPr>
        <w:t xml:space="preserve">aide de listes de contrôle;  les auditeurs seront tenus de rendre des rapports écrits de leurs observations.  Outre les audits internes, des audits externes seront aussi menés à intervalles réguliers.  Ces audits internes et externes devraient intervenir une fois par an pour établir la conformité du système de gestion de la qualité </w:t>
      </w:r>
      <w:r w:rsidR="00AC420D" w:rsidRPr="00DB6C66">
        <w:rPr>
          <w:lang w:val="fr-FR"/>
        </w:rPr>
        <w:t xml:space="preserve">du VPI </w:t>
      </w:r>
      <w:r w:rsidRPr="00DB6C66">
        <w:rPr>
          <w:lang w:val="fr-FR"/>
        </w:rPr>
        <w:t>aux normes en vigueur.  Le premier audit interne devrait être effectué au plus tard six mois après l</w:t>
      </w:r>
      <w:r w:rsidR="00280EEC">
        <w:rPr>
          <w:lang w:val="fr-FR"/>
        </w:rPr>
        <w:t>’</w:t>
      </w:r>
      <w:r w:rsidRPr="00DB6C66">
        <w:rPr>
          <w:lang w:val="fr-FR"/>
        </w:rPr>
        <w:t xml:space="preserve">entrée en fonction </w:t>
      </w:r>
      <w:r w:rsidR="00AC420D" w:rsidRPr="00DB6C66">
        <w:rPr>
          <w:lang w:val="fr-FR"/>
        </w:rPr>
        <w:t>du VPI</w:t>
      </w:r>
      <w:r w:rsidRPr="00DB6C66">
        <w:rPr>
          <w:lang w:val="fr-FR"/>
        </w:rPr>
        <w:t>.  Parallèlement, un auditeur externe indépendant sera désigné pour procéder ultérieurement à des audits externes et à la certification ISO.</w:t>
      </w:r>
    </w:p>
    <w:p w:rsidR="00B517D8" w:rsidRPr="00DB6C66" w:rsidRDefault="00B517D8" w:rsidP="00DB6C66">
      <w:pPr>
        <w:rPr>
          <w:lang w:val="fr-FR"/>
        </w:rPr>
      </w:pPr>
    </w:p>
    <w:p w:rsidR="00DB6C66" w:rsidRPr="00DB6C66" w:rsidRDefault="00DB6C66" w:rsidP="00DB6C66">
      <w:pPr>
        <w:rPr>
          <w:lang w:val="fr-FR"/>
        </w:rPr>
      </w:pPr>
    </w:p>
    <w:p w:rsidR="00B517D8" w:rsidRPr="00DB6C66" w:rsidRDefault="00B517D8" w:rsidP="006D3583">
      <w:pPr>
        <w:pStyle w:val="Endofdocument-Annex"/>
        <w:rPr>
          <w:lang w:val="fr-FR"/>
        </w:rPr>
      </w:pPr>
      <w:r w:rsidRPr="00DB6C66">
        <w:rPr>
          <w:lang w:val="fr-FR"/>
        </w:rPr>
        <w:t>[L</w:t>
      </w:r>
      <w:r w:rsidR="00280EEC">
        <w:rPr>
          <w:lang w:val="fr-FR"/>
        </w:rPr>
        <w:t>’</w:t>
      </w:r>
      <w:r w:rsidRPr="00DB6C66">
        <w:rPr>
          <w:lang w:val="fr-FR"/>
        </w:rPr>
        <w:t>appendice II suit]</w:t>
      </w:r>
    </w:p>
    <w:p w:rsidR="00DB6C66" w:rsidRPr="00DB6C66" w:rsidRDefault="00DB6C66" w:rsidP="00DB6C66">
      <w:pPr>
        <w:rPr>
          <w:lang w:val="fr-FR"/>
        </w:rPr>
      </w:pPr>
    </w:p>
    <w:p w:rsidR="00280EEC" w:rsidRDefault="00280EEC">
      <w:pPr>
        <w:rPr>
          <w:caps/>
          <w:lang w:val="fr-FR"/>
        </w:rPr>
      </w:pPr>
      <w:r>
        <w:rPr>
          <w:caps/>
          <w:lang w:val="fr-FR"/>
        </w:rPr>
        <w:br w:type="page"/>
      </w:r>
    </w:p>
    <w:p w:rsidR="00B517D8" w:rsidRPr="00DB6C66" w:rsidRDefault="00B517D8" w:rsidP="00DB6C66">
      <w:pPr>
        <w:spacing w:after="220"/>
        <w:jc w:val="center"/>
        <w:rPr>
          <w:caps/>
          <w:lang w:val="fr-FR"/>
        </w:rPr>
      </w:pPr>
      <w:r w:rsidRPr="00DB6C66">
        <w:rPr>
          <w:caps/>
          <w:lang w:val="fr-FR"/>
        </w:rPr>
        <w:lastRenderedPageBreak/>
        <w:t>APPENDICE ii</w:t>
      </w:r>
    </w:p>
    <w:p w:rsidR="00B517D8" w:rsidRPr="00DB6C66" w:rsidRDefault="00B517D8" w:rsidP="00DB6C66">
      <w:pPr>
        <w:spacing w:after="220"/>
        <w:jc w:val="center"/>
        <w:rPr>
          <w:caps/>
          <w:lang w:val="fr-FR"/>
        </w:rPr>
      </w:pPr>
      <w:r w:rsidRPr="00DB6C66">
        <w:rPr>
          <w:caps/>
          <w:lang w:val="fr-FR"/>
        </w:rPr>
        <w:t>RAPPORTS DE l</w:t>
      </w:r>
      <w:r w:rsidR="00280EEC">
        <w:rPr>
          <w:caps/>
          <w:lang w:val="fr-FR"/>
        </w:rPr>
        <w:t>’</w:t>
      </w:r>
      <w:r w:rsidRPr="00DB6C66">
        <w:rPr>
          <w:caps/>
          <w:lang w:val="fr-FR"/>
        </w:rPr>
        <w:t>Office des brevets du Japon et de</w:t>
      </w:r>
      <w:r w:rsidR="00AC420D" w:rsidRPr="00DB6C66">
        <w:rPr>
          <w:caps/>
          <w:lang w:val="fr-FR"/>
        </w:rPr>
        <w:t xml:space="preserve"> </w:t>
      </w:r>
      <w:r w:rsidRPr="00DB6C66">
        <w:rPr>
          <w:caps/>
          <w:lang w:val="fr-FR"/>
        </w:rPr>
        <w:t>l</w:t>
      </w:r>
      <w:r w:rsidR="00280EEC">
        <w:rPr>
          <w:caps/>
          <w:lang w:val="fr-FR"/>
        </w:rPr>
        <w:t>’</w:t>
      </w:r>
      <w:r w:rsidRPr="00DB6C66">
        <w:rPr>
          <w:caps/>
          <w:lang w:val="fr-FR"/>
        </w:rPr>
        <w:t>Institut nordique des</w:t>
      </w:r>
      <w:r w:rsidR="00AC420D" w:rsidRPr="00DB6C66">
        <w:rPr>
          <w:caps/>
          <w:lang w:val="fr-FR"/>
        </w:rPr>
        <w:t> </w:t>
      </w:r>
      <w:r w:rsidRPr="00DB6C66">
        <w:rPr>
          <w:caps/>
          <w:lang w:val="fr-FR"/>
        </w:rPr>
        <w:t>brevets</w:t>
      </w:r>
    </w:p>
    <w:p w:rsidR="00DB6C66" w:rsidRPr="00DB6C66" w:rsidRDefault="00DB6C66" w:rsidP="00DB6C66">
      <w:pPr>
        <w:rPr>
          <w:lang w:val="fr-FR"/>
        </w:rPr>
      </w:pPr>
    </w:p>
    <w:p w:rsidR="00B517D8" w:rsidRPr="00DB6C66" w:rsidRDefault="00B517D8" w:rsidP="00DB6C66">
      <w:pPr>
        <w:pStyle w:val="ONUMFS"/>
        <w:numPr>
          <w:ilvl w:val="0"/>
          <w:numId w:val="0"/>
        </w:numPr>
        <w:rPr>
          <w:lang w:val="fr-FR"/>
        </w:rPr>
      </w:pPr>
      <w:r w:rsidRPr="00DB6C66">
        <w:rPr>
          <w:lang w:val="fr-FR"/>
        </w:rPr>
        <w:t>Aux termes de l</w:t>
      </w:r>
      <w:r w:rsidR="00280EEC">
        <w:rPr>
          <w:lang w:val="fr-FR"/>
        </w:rPr>
        <w:t>’</w:t>
      </w:r>
      <w:r w:rsidRPr="00DB6C66">
        <w:rPr>
          <w:lang w:val="fr-FR"/>
        </w:rPr>
        <w:t>alinéa a) de l</w:t>
      </w:r>
      <w:r w:rsidR="00280EEC">
        <w:rPr>
          <w:lang w:val="fr-FR"/>
        </w:rPr>
        <w:t>’</w:t>
      </w:r>
      <w:r w:rsidRPr="00DB6C66">
        <w:rPr>
          <w:lang w:val="fr-FR"/>
        </w:rPr>
        <w:t>accord de principe concernant les procédures de nomination des administrations internationales, adopté par l</w:t>
      </w:r>
      <w:r w:rsidR="00280EEC">
        <w:rPr>
          <w:lang w:val="fr-FR"/>
        </w:rPr>
        <w:t>’</w:t>
      </w:r>
      <w:r w:rsidRPr="00DB6C66">
        <w:rPr>
          <w:lang w:val="fr-FR"/>
        </w:rPr>
        <w:t>Assemblée de l</w:t>
      </w:r>
      <w:r w:rsidR="00280EEC">
        <w:rPr>
          <w:lang w:val="fr-FR"/>
        </w:rPr>
        <w:t>’</w:t>
      </w:r>
      <w:r w:rsidRPr="00DB6C66">
        <w:rPr>
          <w:lang w:val="fr-FR"/>
        </w:rPr>
        <w:t>Union du PCT à sa quarante</w:t>
      </w:r>
      <w:r w:rsidR="008117E3">
        <w:rPr>
          <w:lang w:val="fr-FR"/>
        </w:rPr>
        <w:noBreakHyphen/>
      </w:r>
      <w:r w:rsidRPr="00DB6C66">
        <w:rPr>
          <w:lang w:val="fr-FR"/>
        </w:rPr>
        <w:t>sixième session en septembre 2014</w:t>
      </w:r>
      <w:r w:rsidRPr="00DB6C66">
        <w:rPr>
          <w:rStyle w:val="FootnoteReference"/>
          <w:rFonts w:ascii="Arial" w:hAnsi="Arial" w:cs="Arial"/>
          <w:lang w:val="fr-FR"/>
        </w:rPr>
        <w:footnoteReference w:id="7"/>
      </w:r>
      <w:r w:rsidRPr="00DB6C66">
        <w:rPr>
          <w:lang w:val="fr-FR"/>
        </w:rPr>
        <w:t>, “Tout […] organisation intergouvernementale […]souhaitant présenter sa nomination est vivement encouragé à demander l</w:t>
      </w:r>
      <w:r w:rsidR="00280EEC">
        <w:rPr>
          <w:lang w:val="fr-FR"/>
        </w:rPr>
        <w:t>’</w:t>
      </w:r>
      <w:r w:rsidRPr="00DB6C66">
        <w:rPr>
          <w:lang w:val="fr-FR"/>
        </w:rPr>
        <w:t>assistance d</w:t>
      </w:r>
      <w:r w:rsidR="00280EEC">
        <w:rPr>
          <w:lang w:val="fr-FR"/>
        </w:rPr>
        <w:t>’</w:t>
      </w:r>
      <w:r w:rsidRPr="00DB6C66">
        <w:rPr>
          <w:lang w:val="fr-FR"/>
        </w:rPr>
        <w:t>une ou plusieurs administrations internationales existantes avant de soumettre une candidature formelle, afin de déterminer plus précisément dans quelle mesure il remplit les critères.”</w:t>
      </w:r>
    </w:p>
    <w:p w:rsidR="00B517D8" w:rsidRPr="00DB6C66" w:rsidRDefault="00B517D8" w:rsidP="00DB6C66">
      <w:pPr>
        <w:pStyle w:val="ONUMFS"/>
        <w:numPr>
          <w:ilvl w:val="0"/>
          <w:numId w:val="0"/>
        </w:numPr>
        <w:rPr>
          <w:lang w:val="fr-FR"/>
        </w:rPr>
      </w:pPr>
      <w:r w:rsidRPr="00DB6C66">
        <w:rPr>
          <w:lang w:val="fr-FR"/>
        </w:rPr>
        <w:t>On trouvera dans le présent Appendice les rapports adressés à cet égard par l</w:t>
      </w:r>
      <w:r w:rsidR="00280EEC">
        <w:rPr>
          <w:lang w:val="fr-FR"/>
        </w:rPr>
        <w:t>’</w:t>
      </w:r>
      <w:r w:rsidRPr="00DB6C66">
        <w:rPr>
          <w:lang w:val="fr-FR"/>
        </w:rPr>
        <w:t>Office des brevets du Japon (JPO) et l</w:t>
      </w:r>
      <w:r w:rsidR="00280EEC">
        <w:rPr>
          <w:lang w:val="fr-FR"/>
        </w:rPr>
        <w:t>’</w:t>
      </w:r>
      <w:r w:rsidRPr="00DB6C66">
        <w:rPr>
          <w:lang w:val="fr-FR"/>
        </w:rPr>
        <w:t>Institut nordique des brevets (NPI).</w:t>
      </w:r>
    </w:p>
    <w:p w:rsidR="00B517D8" w:rsidRPr="00DB6C66" w:rsidRDefault="00B517D8" w:rsidP="006D3583">
      <w:pPr>
        <w:spacing w:after="200" w:line="276" w:lineRule="auto"/>
        <w:rPr>
          <w:lang w:val="fr-FR"/>
        </w:rPr>
      </w:pPr>
      <w:r w:rsidRPr="00DB6C66">
        <w:rPr>
          <w:lang w:val="fr-FR"/>
        </w:rPr>
        <w:br w:type="page"/>
      </w:r>
    </w:p>
    <w:p w:rsidR="00DB6C66" w:rsidRDefault="00B517D8" w:rsidP="00B35EA1">
      <w:pPr>
        <w:spacing w:after="220"/>
        <w:jc w:val="center"/>
        <w:rPr>
          <w:caps/>
          <w:lang w:val="fr-FR"/>
        </w:rPr>
      </w:pPr>
      <w:r w:rsidRPr="00DB6C66">
        <w:rPr>
          <w:caps/>
          <w:lang w:val="fr-FR"/>
        </w:rPr>
        <w:lastRenderedPageBreak/>
        <w:t>RAPPORT DE L</w:t>
      </w:r>
      <w:r w:rsidR="00280EEC">
        <w:rPr>
          <w:caps/>
          <w:lang w:val="fr-FR"/>
        </w:rPr>
        <w:t>’</w:t>
      </w:r>
      <w:r w:rsidRPr="00DB6C66">
        <w:rPr>
          <w:caps/>
          <w:lang w:val="fr-FR"/>
        </w:rPr>
        <w:t>OFFICE DES BREVETS DU JAPON (jpo)</w:t>
      </w:r>
    </w:p>
    <w:p w:rsidR="00B35EA1" w:rsidRPr="00B35EA1" w:rsidRDefault="00B35EA1" w:rsidP="00B35EA1">
      <w:pPr>
        <w:spacing w:after="220"/>
        <w:jc w:val="center"/>
        <w:rPr>
          <w:caps/>
          <w:lang w:val="fr-FR"/>
        </w:rPr>
      </w:pPr>
      <w:bookmarkStart w:id="5" w:name="_GoBack"/>
      <w:bookmarkEnd w:id="5"/>
    </w:p>
    <w:p w:rsidR="00B517D8" w:rsidRPr="00DB6C66" w:rsidRDefault="00B517D8" w:rsidP="00DB6C66">
      <w:pPr>
        <w:pStyle w:val="ONUMFS"/>
        <w:numPr>
          <w:ilvl w:val="0"/>
          <w:numId w:val="38"/>
        </w:numPr>
        <w:rPr>
          <w:lang w:val="fr-FR"/>
        </w:rPr>
      </w:pPr>
      <w:r w:rsidRPr="00DB6C66">
        <w:rPr>
          <w:lang w:val="fr-FR"/>
        </w:rPr>
        <w:t>Lors de la réunion du Groupe de travail du PCT (PCT/WG) tenue en juin 2014, l</w:t>
      </w:r>
      <w:r w:rsidR="00280EEC">
        <w:rPr>
          <w:lang w:val="fr-FR"/>
        </w:rPr>
        <w:t>’</w:t>
      </w:r>
      <w:r w:rsidRPr="00DB6C66">
        <w:rPr>
          <w:lang w:val="fr-FR"/>
        </w:rPr>
        <w:t xml:space="preserve">Office de la propriété intellectuelle hongrois (HIPO) a présenté, au nom des quatre pays du groupe de </w:t>
      </w:r>
      <w:proofErr w:type="spellStart"/>
      <w:r w:rsidRPr="00DB6C66">
        <w:rPr>
          <w:lang w:val="fr-FR"/>
        </w:rPr>
        <w:t>Visegrad</w:t>
      </w:r>
      <w:proofErr w:type="spellEnd"/>
      <w:r w:rsidRPr="00DB6C66">
        <w:rPr>
          <w:lang w:val="fr-FR"/>
        </w:rPr>
        <w:t>, un projet visant à créer une nouvelle administration internationale chargée de la recherche internationale (</w:t>
      </w:r>
      <w:r w:rsidRPr="00DB6C66">
        <w:rPr>
          <w:rFonts w:eastAsia="MS PGothic"/>
          <w:lang w:val="fr-FR"/>
        </w:rPr>
        <w:t>PCT/A/46/1, paragraphe 41).  En outre, l</w:t>
      </w:r>
      <w:r w:rsidR="00280EEC">
        <w:rPr>
          <w:rFonts w:eastAsia="MS PGothic"/>
          <w:lang w:val="fr-FR"/>
        </w:rPr>
        <w:t>’</w:t>
      </w:r>
      <w:r w:rsidRPr="00DB6C66">
        <w:rPr>
          <w:rFonts w:eastAsia="MS PGothic"/>
          <w:lang w:val="fr-FR"/>
        </w:rPr>
        <w:t>Assemblée de l</w:t>
      </w:r>
      <w:r w:rsidR="00280EEC">
        <w:rPr>
          <w:rFonts w:eastAsia="MS PGothic"/>
          <w:lang w:val="fr-FR"/>
        </w:rPr>
        <w:t>’</w:t>
      </w:r>
      <w:r w:rsidRPr="00DB6C66">
        <w:rPr>
          <w:rFonts w:eastAsia="MS PGothic"/>
          <w:lang w:val="fr-FR"/>
        </w:rPr>
        <w:t xml:space="preserve">Union du PCT a disposé que tout office national ou organisation intergouvernementale candidat à la nomination est vivement </w:t>
      </w:r>
      <w:proofErr w:type="gramStart"/>
      <w:r w:rsidRPr="00DB6C66">
        <w:rPr>
          <w:rFonts w:eastAsia="MS PGothic"/>
          <w:lang w:val="fr-FR"/>
        </w:rPr>
        <w:t>encouragé</w:t>
      </w:r>
      <w:proofErr w:type="gramEnd"/>
      <w:r w:rsidRPr="00DB6C66">
        <w:rPr>
          <w:rFonts w:eastAsia="MS PGothic"/>
          <w:lang w:val="fr-FR"/>
        </w:rPr>
        <w:t xml:space="preserve"> à demander l</w:t>
      </w:r>
      <w:r w:rsidR="00280EEC">
        <w:rPr>
          <w:rFonts w:eastAsia="MS PGothic"/>
          <w:lang w:val="fr-FR"/>
        </w:rPr>
        <w:t>’</w:t>
      </w:r>
      <w:r w:rsidRPr="00DB6C66">
        <w:rPr>
          <w:rFonts w:eastAsia="MS PGothic"/>
          <w:lang w:val="fr-FR"/>
        </w:rPr>
        <w:t>assistance d</w:t>
      </w:r>
      <w:r w:rsidR="00280EEC">
        <w:rPr>
          <w:rFonts w:eastAsia="MS PGothic"/>
          <w:lang w:val="fr-FR"/>
        </w:rPr>
        <w:t>’</w:t>
      </w:r>
      <w:r w:rsidRPr="00DB6C66">
        <w:rPr>
          <w:rFonts w:eastAsia="MS PGothic"/>
          <w:lang w:val="fr-FR"/>
        </w:rPr>
        <w:t>une ou plusieurs administrations internationales existantes avant de présenter sa candidature formelle, afin de déterminer plus précisément dans quelle mesure il remplit les critères (PCT/A/46/6, paragraphe 25 a)).</w:t>
      </w:r>
    </w:p>
    <w:p w:rsidR="00B517D8" w:rsidRPr="00DB6C66" w:rsidRDefault="00B517D8" w:rsidP="00DB6C66">
      <w:pPr>
        <w:pStyle w:val="ONUMFS"/>
        <w:rPr>
          <w:lang w:val="fr-FR"/>
        </w:rPr>
      </w:pPr>
      <w:r w:rsidRPr="00DB6C66">
        <w:rPr>
          <w:lang w:val="fr-FR"/>
        </w:rPr>
        <w:t xml:space="preserve">Compte tenu du fait que les offices des quatre pays de </w:t>
      </w:r>
      <w:proofErr w:type="spellStart"/>
      <w:r w:rsidRPr="00DB6C66">
        <w:rPr>
          <w:lang w:val="fr-FR"/>
        </w:rPr>
        <w:t>Visegrad</w:t>
      </w:r>
      <w:proofErr w:type="spellEnd"/>
      <w:r w:rsidRPr="00DB6C66">
        <w:rPr>
          <w:lang w:val="fr-FR"/>
        </w:rPr>
        <w:t xml:space="preserve"> souhaitent devenir des administrations internationales chargées de la recherche internationale, l</w:t>
      </w:r>
      <w:r w:rsidR="00280EEC">
        <w:rPr>
          <w:lang w:val="fr-FR"/>
        </w:rPr>
        <w:t>’</w:t>
      </w:r>
      <w:r w:rsidRPr="00DB6C66">
        <w:rPr>
          <w:lang w:val="fr-FR"/>
        </w:rPr>
        <w:t>Office des brevets du Japon a conclu avec eux un accord de coopération en septembre 2014.  Parmi les activités prévues au titre de cet accord, l</w:t>
      </w:r>
      <w:r w:rsidR="00280EEC">
        <w:rPr>
          <w:lang w:val="fr-FR"/>
        </w:rPr>
        <w:t>’</w:t>
      </w:r>
      <w:r w:rsidRPr="00DB6C66">
        <w:rPr>
          <w:lang w:val="fr-FR"/>
        </w:rPr>
        <w:t>Office des brevets du Japon devait partager ses connaissances et son expérience avec les offices de ces quatre pays, en détachant auprès d</w:t>
      </w:r>
      <w:r w:rsidR="00280EEC">
        <w:rPr>
          <w:lang w:val="fr-FR"/>
        </w:rPr>
        <w:t>’</w:t>
      </w:r>
      <w:r w:rsidRPr="00DB6C66">
        <w:rPr>
          <w:lang w:val="fr-FR"/>
        </w:rPr>
        <w:t>eux des spécialistes de la propriété intellectuelle.  Il a donc envoyé trois personnes à l</w:t>
      </w:r>
      <w:r w:rsidR="00280EEC">
        <w:rPr>
          <w:lang w:val="fr-FR"/>
        </w:rPr>
        <w:t>’</w:t>
      </w:r>
      <w:r w:rsidRPr="00DB6C66">
        <w:rPr>
          <w:lang w:val="fr-FR"/>
        </w:rPr>
        <w:t>Office de la propriété intellectuelle hongrois (HIPO) et à l</w:t>
      </w:r>
      <w:r w:rsidR="00280EEC">
        <w:rPr>
          <w:lang w:val="fr-FR"/>
        </w:rPr>
        <w:t>’</w:t>
      </w:r>
      <w:r w:rsidRPr="00DB6C66">
        <w:rPr>
          <w:lang w:val="fr-FR"/>
        </w:rPr>
        <w:t>Office de la propriété industrielle de la Slovaquie (IPO SR) pour mieux comprendre dans quelle mesure ces offices étaient prêts à assumer les fonctions d</w:t>
      </w:r>
      <w:r w:rsidR="00280EEC">
        <w:rPr>
          <w:lang w:val="fr-FR"/>
        </w:rPr>
        <w:t>’</w:t>
      </w:r>
      <w:r w:rsidRPr="00DB6C66">
        <w:rPr>
          <w:lang w:val="fr-FR"/>
        </w:rPr>
        <w:t>administration internationale chargée de la recherche internationale.  On trouvera ci</w:t>
      </w:r>
      <w:r w:rsidR="008117E3">
        <w:rPr>
          <w:lang w:val="fr-FR"/>
        </w:rPr>
        <w:noBreakHyphen/>
      </w:r>
      <w:r w:rsidRPr="00DB6C66">
        <w:rPr>
          <w:lang w:val="fr-FR"/>
        </w:rPr>
        <w:t>après une synthèse des informations communiquées par ces deux offices à nos collaborateurs.</w:t>
      </w:r>
    </w:p>
    <w:p w:rsidR="00B517D8" w:rsidRPr="00DB6C66" w:rsidRDefault="00DB6C66" w:rsidP="00DB6C66">
      <w:pPr>
        <w:pStyle w:val="Heading1"/>
        <w:rPr>
          <w:lang w:val="fr-FR"/>
        </w:rPr>
      </w:pPr>
      <w:r w:rsidRPr="00DB6C66">
        <w:rPr>
          <w:lang w:val="fr-FR"/>
        </w:rPr>
        <w:t>1.</w:t>
      </w:r>
      <w:r w:rsidRPr="00DB6C66">
        <w:rPr>
          <w:lang w:val="fr-FR"/>
        </w:rPr>
        <w:tab/>
      </w:r>
      <w:r w:rsidR="00B517D8" w:rsidRPr="00DB6C66">
        <w:rPr>
          <w:lang w:val="fr-FR"/>
        </w:rPr>
        <w:t>Office de la propriété intellectuelle hongrois (HIPO)</w:t>
      </w:r>
    </w:p>
    <w:p w:rsidR="00DB6C66" w:rsidRPr="00DB6C66" w:rsidRDefault="00DB6C66" w:rsidP="00620A17">
      <w:pPr>
        <w:pStyle w:val="Heading2"/>
        <w:rPr>
          <w:lang w:val="fr-FR"/>
        </w:rPr>
      </w:pPr>
      <w:r w:rsidRPr="00DB6C66">
        <w:rPr>
          <w:lang w:val="fr-FR"/>
        </w:rPr>
        <w:t>1)</w:t>
      </w:r>
      <w:r w:rsidRPr="00DB6C66">
        <w:rPr>
          <w:lang w:val="fr-FR"/>
        </w:rPr>
        <w:tab/>
        <w:t>Nombre d</w:t>
      </w:r>
      <w:r w:rsidR="00280EEC">
        <w:rPr>
          <w:lang w:val="fr-FR"/>
        </w:rPr>
        <w:t>’</w:t>
      </w:r>
      <w:r w:rsidRPr="00DB6C66">
        <w:rPr>
          <w:lang w:val="fr-FR"/>
        </w:rPr>
        <w:t>examinateurs (au sens de la règle 36.1.i) du règlement d</w:t>
      </w:r>
      <w:r w:rsidR="00280EEC">
        <w:rPr>
          <w:lang w:val="fr-FR"/>
        </w:rPr>
        <w:t>’</w:t>
      </w:r>
      <w:r w:rsidRPr="00DB6C66">
        <w:rPr>
          <w:lang w:val="fr-FR"/>
        </w:rPr>
        <w:t xml:space="preserve">exécution du </w:t>
      </w:r>
      <w:r w:rsidR="00B517D8" w:rsidRPr="00DB6C66">
        <w:rPr>
          <w:lang w:val="fr-FR"/>
        </w:rPr>
        <w:t>PCT)</w:t>
      </w:r>
    </w:p>
    <w:p w:rsidR="00B517D8" w:rsidRPr="00DB6C66" w:rsidRDefault="00B517D8" w:rsidP="00DB6C66">
      <w:pPr>
        <w:pStyle w:val="ONUMFS"/>
        <w:rPr>
          <w:lang w:val="fr-FR"/>
        </w:rPr>
      </w:pPr>
      <w:r w:rsidRPr="00DB6C66">
        <w:rPr>
          <w:lang w:val="fr-FR"/>
        </w:rPr>
        <w:t>Il est difficile pour l</w:t>
      </w:r>
      <w:r w:rsidR="00280EEC">
        <w:rPr>
          <w:lang w:val="fr-FR"/>
        </w:rPr>
        <w:t>’</w:t>
      </w:r>
      <w:r w:rsidRPr="00DB6C66">
        <w:rPr>
          <w:lang w:val="fr-FR"/>
        </w:rPr>
        <w:t>Office de la propriété intellectuelle hongrois de répondre seul au critère de la règle 36.1 i) du règlement d</w:t>
      </w:r>
      <w:r w:rsidR="00280EEC">
        <w:rPr>
          <w:lang w:val="fr-FR"/>
        </w:rPr>
        <w:t>’</w:t>
      </w:r>
      <w:r w:rsidRPr="00DB6C66">
        <w:rPr>
          <w:lang w:val="fr-FR"/>
        </w:rPr>
        <w:t>exécution du PCT, aux termes de laquelle l</w:t>
      </w:r>
      <w:r w:rsidR="00280EEC">
        <w:rPr>
          <w:lang w:val="fr-FR"/>
        </w:rPr>
        <w:t>’</w:t>
      </w:r>
      <w:r w:rsidRPr="00DB6C66">
        <w:rPr>
          <w:lang w:val="fr-FR"/>
        </w:rPr>
        <w:t>office national doit avoir au moins 100 employés.  En revanche, le nombre total d</w:t>
      </w:r>
      <w:r w:rsidR="00280EEC">
        <w:rPr>
          <w:lang w:val="fr-FR"/>
        </w:rPr>
        <w:t>’</w:t>
      </w:r>
      <w:r w:rsidRPr="00DB6C66">
        <w:rPr>
          <w:lang w:val="fr-FR"/>
        </w:rPr>
        <w:t>examinateurs de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est d</w:t>
      </w:r>
      <w:r w:rsidR="00280EEC">
        <w:rPr>
          <w:lang w:val="fr-FR"/>
        </w:rPr>
        <w:t>’</w:t>
      </w:r>
      <w:r w:rsidRPr="00DB6C66">
        <w:rPr>
          <w:lang w:val="fr-FR"/>
        </w:rPr>
        <w:t>environ 200, ce qui correspond à peu près au nombre d</w:t>
      </w:r>
      <w:r w:rsidR="00280EEC">
        <w:rPr>
          <w:lang w:val="fr-FR"/>
        </w:rPr>
        <w:t>’</w:t>
      </w:r>
      <w:r w:rsidRPr="00DB6C66">
        <w:rPr>
          <w:lang w:val="fr-FR"/>
        </w:rPr>
        <w:t>employés de l</w:t>
      </w:r>
      <w:r w:rsidR="00280EEC">
        <w:rPr>
          <w:lang w:val="fr-FR"/>
        </w:rPr>
        <w:t>’</w:t>
      </w:r>
      <w:r w:rsidRPr="00DB6C66">
        <w:rPr>
          <w:lang w:val="fr-FR"/>
        </w:rPr>
        <w:t>Institut nordique des brevets (NPI).</w:t>
      </w:r>
    </w:p>
    <w:p w:rsidR="00DB6C66" w:rsidRPr="00DB6C66" w:rsidRDefault="00DB6C66" w:rsidP="00620A17">
      <w:pPr>
        <w:pStyle w:val="Heading2"/>
        <w:rPr>
          <w:lang w:val="fr-FR"/>
        </w:rPr>
      </w:pPr>
      <w:r w:rsidRPr="00DB6C66">
        <w:rPr>
          <w:lang w:val="fr-FR"/>
        </w:rPr>
        <w:t>2)</w:t>
      </w:r>
      <w:r w:rsidRPr="00DB6C66">
        <w:rPr>
          <w:lang w:val="fr-FR"/>
        </w:rPr>
        <w:tab/>
        <w:t>Documentation minimale du PCT (au sens de la règle 36.1.ii) du règlement d</w:t>
      </w:r>
      <w:r w:rsidR="00280EEC">
        <w:rPr>
          <w:lang w:val="fr-FR"/>
        </w:rPr>
        <w:t>’</w:t>
      </w:r>
      <w:r w:rsidRPr="00DB6C66">
        <w:rPr>
          <w:lang w:val="fr-FR"/>
        </w:rPr>
        <w:t>exécution du</w:t>
      </w:r>
      <w:r w:rsidR="00B517D8" w:rsidRPr="00DB6C66">
        <w:rPr>
          <w:lang w:val="fr-FR"/>
        </w:rPr>
        <w:t xml:space="preserve"> PCT)</w:t>
      </w:r>
    </w:p>
    <w:p w:rsidR="00B517D8" w:rsidRPr="00DB6C66" w:rsidRDefault="00B517D8" w:rsidP="00DB6C66">
      <w:pPr>
        <w:pStyle w:val="ONUMFS"/>
        <w:rPr>
          <w:lang w:val="fr-FR"/>
        </w:rPr>
      </w:pPr>
      <w:r w:rsidRPr="00DB6C66">
        <w:rPr>
          <w:lang w:val="fr-FR"/>
        </w:rPr>
        <w:t>L</w:t>
      </w:r>
      <w:r w:rsidR="00280EEC">
        <w:rPr>
          <w:lang w:val="fr-FR"/>
        </w:rPr>
        <w:t>’</w:t>
      </w:r>
      <w:r w:rsidRPr="00DB6C66">
        <w:rPr>
          <w:lang w:val="fr-FR"/>
        </w:rPr>
        <w:t xml:space="preserve">Office de la propriété intellectuelle hongrois (HIPO) emploie actuellement la base de données </w:t>
      </w:r>
      <w:proofErr w:type="spellStart"/>
      <w:r w:rsidRPr="00DB6C66">
        <w:rPr>
          <w:lang w:val="fr-FR"/>
        </w:rPr>
        <w:t>EPOQUENet</w:t>
      </w:r>
      <w:proofErr w:type="spellEnd"/>
      <w:r w:rsidRPr="00DB6C66">
        <w:rPr>
          <w:lang w:val="fr-FR"/>
        </w:rPr>
        <w:t xml:space="preserve"> dans le cadre d</w:t>
      </w:r>
      <w:r w:rsidR="00280EEC">
        <w:rPr>
          <w:lang w:val="fr-FR"/>
        </w:rPr>
        <w:t>’</w:t>
      </w:r>
      <w:r w:rsidRPr="00DB6C66">
        <w:rPr>
          <w:lang w:val="fr-FR"/>
        </w:rPr>
        <w:t>un contrat avec l</w:t>
      </w:r>
      <w:r w:rsidR="00280EEC">
        <w:rPr>
          <w:lang w:val="fr-FR"/>
        </w:rPr>
        <w:t>’</w:t>
      </w:r>
      <w:r w:rsidRPr="00DB6C66">
        <w:rPr>
          <w:lang w:val="fr-FR"/>
        </w:rPr>
        <w:t>Office européen des brevets (OEB).  Pour avoir accès aux bases de données de littérature non</w:t>
      </w:r>
      <w:r w:rsidR="008117E3">
        <w:rPr>
          <w:lang w:val="fr-FR"/>
        </w:rPr>
        <w:noBreakHyphen/>
      </w:r>
      <w:r w:rsidRPr="00DB6C66">
        <w:rPr>
          <w:lang w:val="fr-FR"/>
        </w:rPr>
        <w:t>brevet, il est nécessaire de conclure des contrats d</w:t>
      </w:r>
      <w:r w:rsidR="00280EEC">
        <w:rPr>
          <w:lang w:val="fr-FR"/>
        </w:rPr>
        <w:t>’</w:t>
      </w:r>
      <w:r w:rsidRPr="00DB6C66">
        <w:rPr>
          <w:lang w:val="fr-FR"/>
        </w:rPr>
        <w:t>abonnement distincts.  C</w:t>
      </w:r>
      <w:r w:rsidR="00280EEC">
        <w:rPr>
          <w:lang w:val="fr-FR"/>
        </w:rPr>
        <w:t>’</w:t>
      </w:r>
      <w:r w:rsidRPr="00DB6C66">
        <w:rPr>
          <w:lang w:val="fr-FR"/>
        </w:rPr>
        <w:t>est ce qu</w:t>
      </w:r>
      <w:r w:rsidR="00280EEC">
        <w:rPr>
          <w:lang w:val="fr-FR"/>
        </w:rPr>
        <w:t>’</w:t>
      </w:r>
      <w:r w:rsidRPr="00DB6C66">
        <w:rPr>
          <w:lang w:val="fr-FR"/>
        </w:rPr>
        <w:t>a fait l</w:t>
      </w:r>
      <w:r w:rsidR="00280EEC">
        <w:rPr>
          <w:lang w:val="fr-FR"/>
        </w:rPr>
        <w:t>’</w:t>
      </w:r>
      <w:r w:rsidRPr="00DB6C66">
        <w:rPr>
          <w:lang w:val="fr-FR"/>
        </w:rPr>
        <w:t>HIPO;  il répond donc désormais aux prescriptions en matière de documentation minimale du PCT.  Il a en outre accès à d</w:t>
      </w:r>
      <w:r w:rsidR="00280EEC">
        <w:rPr>
          <w:lang w:val="fr-FR"/>
        </w:rPr>
        <w:t>’</w:t>
      </w:r>
      <w:r w:rsidRPr="00DB6C66">
        <w:rPr>
          <w:lang w:val="fr-FR"/>
        </w:rPr>
        <w:t>autres sources de littérature non</w:t>
      </w:r>
      <w:r w:rsidR="008117E3">
        <w:rPr>
          <w:lang w:val="fr-FR"/>
        </w:rPr>
        <w:noBreakHyphen/>
      </w:r>
      <w:r w:rsidRPr="00DB6C66">
        <w:rPr>
          <w:lang w:val="fr-FR"/>
        </w:rPr>
        <w:t>brevet par le biais de services externes, notamment celui du réseau STN.</w:t>
      </w:r>
    </w:p>
    <w:p w:rsidR="00DB6C66" w:rsidRPr="00DB6C66" w:rsidRDefault="00DB6C66" w:rsidP="00620A17">
      <w:pPr>
        <w:pStyle w:val="Heading2"/>
        <w:rPr>
          <w:lang w:val="fr-FR"/>
        </w:rPr>
      </w:pPr>
      <w:r w:rsidRPr="00DB6C66">
        <w:rPr>
          <w:lang w:val="fr-FR"/>
        </w:rPr>
        <w:t>3)</w:t>
      </w:r>
      <w:r w:rsidRPr="00DB6C66">
        <w:rPr>
          <w:lang w:val="fr-FR"/>
        </w:rPr>
        <w:tab/>
        <w:t>Gestion de la qualité (au sens de la règle 36.1.iv) du règlement d</w:t>
      </w:r>
      <w:r w:rsidR="00280EEC">
        <w:rPr>
          <w:lang w:val="fr-FR"/>
        </w:rPr>
        <w:t>’</w:t>
      </w:r>
      <w:r w:rsidRPr="00DB6C66">
        <w:rPr>
          <w:lang w:val="fr-FR"/>
        </w:rPr>
        <w:t xml:space="preserve">exécution du </w:t>
      </w:r>
      <w:r w:rsidR="00B517D8" w:rsidRPr="00DB6C66">
        <w:rPr>
          <w:lang w:val="fr-FR"/>
        </w:rPr>
        <w:t>PCT)</w:t>
      </w:r>
    </w:p>
    <w:p w:rsidR="00B517D8" w:rsidRPr="00DB6C66" w:rsidRDefault="00B517D8" w:rsidP="00DB6C66">
      <w:pPr>
        <w:pStyle w:val="ONUMFS"/>
        <w:rPr>
          <w:lang w:val="fr-FR"/>
        </w:rPr>
      </w:pPr>
      <w:r w:rsidRPr="00DB6C66">
        <w:rPr>
          <w:lang w:val="fr-FR"/>
        </w:rPr>
        <w:t>Les quatre offices participant</w:t>
      </w:r>
      <w:r w:rsidR="00482F34" w:rsidRPr="00DB6C66">
        <w:rPr>
          <w:lang w:val="fr-FR"/>
        </w:rPr>
        <w:t>s</w:t>
      </w:r>
      <w:r w:rsidRPr="00DB6C66">
        <w:rPr>
          <w:lang w:val="fr-FR"/>
        </w:rPr>
        <w:t xml:space="preserve"> </w:t>
      </w:r>
      <w:r w:rsidR="00482F34" w:rsidRPr="00DB6C66">
        <w:rPr>
          <w:lang w:val="fr-FR"/>
        </w:rPr>
        <w:t>d</w:t>
      </w:r>
      <w:r w:rsidR="00AC420D" w:rsidRPr="00DB6C66">
        <w:rPr>
          <w:lang w:val="fr-FR"/>
        </w:rPr>
        <w:t xml:space="preserve">u VPI </w:t>
      </w:r>
      <w:r w:rsidRPr="00DB6C66">
        <w:rPr>
          <w:lang w:val="fr-FR"/>
        </w:rPr>
        <w:t>ont déjà obtenu la certification ISO 9001 pour leurs procédures d</w:t>
      </w:r>
      <w:r w:rsidR="00280EEC">
        <w:rPr>
          <w:lang w:val="fr-FR"/>
        </w:rPr>
        <w:t>’</w:t>
      </w:r>
      <w:r w:rsidRPr="00DB6C66">
        <w:rPr>
          <w:lang w:val="fr-FR"/>
        </w:rPr>
        <w:t>examen des brevets.  Pour continuer de progresser, ces offices envisagent d</w:t>
      </w:r>
      <w:r w:rsidR="00280EEC">
        <w:rPr>
          <w:lang w:val="fr-FR"/>
        </w:rPr>
        <w:t>’</w:t>
      </w:r>
      <w:r w:rsidRPr="00DB6C66">
        <w:rPr>
          <w:lang w:val="fr-FR"/>
        </w:rPr>
        <w:t>établir un système commun de gestion de la qualité, dont l</w:t>
      </w:r>
      <w:r w:rsidR="00280EEC">
        <w:rPr>
          <w:lang w:val="fr-FR"/>
        </w:rPr>
        <w:t>’</w:t>
      </w:r>
      <w:r w:rsidRPr="00DB6C66">
        <w:rPr>
          <w:lang w:val="fr-FR"/>
        </w:rPr>
        <w:t>organisation sera entièrement achevée au moment de la nomination par l</w:t>
      </w:r>
      <w:r w:rsidR="00280EEC">
        <w:rPr>
          <w:lang w:val="fr-FR"/>
        </w:rPr>
        <w:t>’</w:t>
      </w:r>
      <w:r w:rsidRPr="00DB6C66">
        <w:rPr>
          <w:lang w:val="fr-FR"/>
        </w:rPr>
        <w:t>Assemblée de l</w:t>
      </w:r>
      <w:r w:rsidR="00280EEC">
        <w:rPr>
          <w:lang w:val="fr-FR"/>
        </w:rPr>
        <w:t>’</w:t>
      </w:r>
      <w:r w:rsidRPr="00DB6C66">
        <w:rPr>
          <w:lang w:val="fr-FR"/>
        </w:rPr>
        <w:t>Union du PCT en octobre 2015.</w:t>
      </w:r>
    </w:p>
    <w:p w:rsidR="00B517D8" w:rsidRPr="00DB6C66" w:rsidRDefault="00B517D8" w:rsidP="00DB6C66">
      <w:pPr>
        <w:pStyle w:val="ONUMFS"/>
        <w:rPr>
          <w:lang w:val="fr-FR"/>
        </w:rPr>
      </w:pPr>
      <w:r w:rsidRPr="00DB6C66">
        <w:rPr>
          <w:lang w:val="fr-FR"/>
        </w:rPr>
        <w:lastRenderedPageBreak/>
        <w:t>Pour obtenir un retour d</w:t>
      </w:r>
      <w:r w:rsidR="00280EEC">
        <w:rPr>
          <w:lang w:val="fr-FR"/>
        </w:rPr>
        <w:t>’</w:t>
      </w:r>
      <w:r w:rsidRPr="00DB6C66">
        <w:rPr>
          <w:lang w:val="fr-FR"/>
        </w:rPr>
        <w:t>information de ses usagers, l</w:t>
      </w:r>
      <w:r w:rsidR="00280EEC">
        <w:rPr>
          <w:lang w:val="fr-FR"/>
        </w:rPr>
        <w:t>’</w:t>
      </w:r>
      <w:r w:rsidRPr="00DB6C66">
        <w:rPr>
          <w:lang w:val="fr-FR"/>
        </w:rPr>
        <w:t>HIPO mène des enquêtes auprès d</w:t>
      </w:r>
      <w:r w:rsidR="00280EEC">
        <w:rPr>
          <w:lang w:val="fr-FR"/>
        </w:rPr>
        <w:t>’</w:t>
      </w:r>
      <w:r w:rsidRPr="00DB6C66">
        <w:rPr>
          <w:lang w:val="fr-FR"/>
        </w:rPr>
        <w:t>eux et organise des forums sur les brevets dans le cadre desquels il tient des sessions de réflexion avec des usagers, notamment des agents de brevets.</w:t>
      </w:r>
    </w:p>
    <w:p w:rsidR="00B517D8" w:rsidRPr="00DB6C66" w:rsidRDefault="00B517D8" w:rsidP="00DB6C66">
      <w:pPr>
        <w:pStyle w:val="ONUMFS"/>
        <w:rPr>
          <w:lang w:val="fr-FR"/>
        </w:rPr>
      </w:pPr>
      <w:r w:rsidRPr="00DB6C66">
        <w:rPr>
          <w:lang w:val="fr-FR"/>
        </w:rPr>
        <w:t>Pour analyser les résultats de ses examens, l</w:t>
      </w:r>
      <w:r w:rsidR="00280EEC">
        <w:rPr>
          <w:lang w:val="fr-FR"/>
        </w:rPr>
        <w:t>’</w:t>
      </w:r>
      <w:r w:rsidRPr="00DB6C66">
        <w:rPr>
          <w:lang w:val="fr-FR"/>
        </w:rPr>
        <w:t>HIPO emploie un système de recoupement par sondage, en vertu duquel des examinateurs vérifient le résultat d</w:t>
      </w:r>
      <w:r w:rsidR="00280EEC">
        <w:rPr>
          <w:lang w:val="fr-FR"/>
        </w:rPr>
        <w:t>’</w:t>
      </w:r>
      <w:r w:rsidRPr="00DB6C66">
        <w:rPr>
          <w:lang w:val="fr-FR"/>
        </w:rPr>
        <w:t>examens effectués dans des domaines techniques connexes.  Ainsi, un examinateur spécialisé dans un domaine concernant la chimie (par exemple le chef du service chimie et biotechnologie) vérifie des demandes présentées dans d</w:t>
      </w:r>
      <w:r w:rsidR="00280EEC">
        <w:rPr>
          <w:lang w:val="fr-FR"/>
        </w:rPr>
        <w:t>’</w:t>
      </w:r>
      <w:r w:rsidRPr="00DB6C66">
        <w:rPr>
          <w:lang w:val="fr-FR"/>
        </w:rPr>
        <w:t>autres domaines liés à la chimie (comme les produits pharmaceutiques ou l</w:t>
      </w:r>
      <w:r w:rsidR="00280EEC">
        <w:rPr>
          <w:lang w:val="fr-FR"/>
        </w:rPr>
        <w:t>’</w:t>
      </w:r>
      <w:r w:rsidRPr="00DB6C66">
        <w:rPr>
          <w:lang w:val="fr-FR"/>
        </w:rPr>
        <w:t>agriculture) et vice versa.  Des listes de contrôle sont employées pour vérifier que l</w:t>
      </w:r>
      <w:r w:rsidR="00280EEC">
        <w:rPr>
          <w:lang w:val="fr-FR"/>
        </w:rPr>
        <w:t>’</w:t>
      </w:r>
      <w:r w:rsidRPr="00DB6C66">
        <w:rPr>
          <w:lang w:val="fr-FR"/>
        </w:rPr>
        <w:t>examinateur a bien lu les rapports de recherche publiés par d</w:t>
      </w:r>
      <w:r w:rsidR="00280EEC">
        <w:rPr>
          <w:lang w:val="fr-FR"/>
        </w:rPr>
        <w:t>’</w:t>
      </w:r>
      <w:r w:rsidRPr="00DB6C66">
        <w:rPr>
          <w:lang w:val="fr-FR"/>
        </w:rPr>
        <w:t>autres offices de la propriété intellectuelle, qu</w:t>
      </w:r>
      <w:r w:rsidR="00280EEC">
        <w:rPr>
          <w:lang w:val="fr-FR"/>
        </w:rPr>
        <w:t>’</w:t>
      </w:r>
      <w:r w:rsidRPr="00DB6C66">
        <w:rPr>
          <w:lang w:val="fr-FR"/>
        </w:rPr>
        <w:t>il a consulté les bases de données requises et qu</w:t>
      </w:r>
      <w:r w:rsidR="00280EEC">
        <w:rPr>
          <w:lang w:val="fr-FR"/>
        </w:rPr>
        <w:t>’</w:t>
      </w:r>
      <w:r w:rsidRPr="00DB6C66">
        <w:rPr>
          <w:lang w:val="fr-FR"/>
        </w:rPr>
        <w:t>il a appliqué les stratégies de recherche adéquates.  Pour garantir la qualité des examens, l</w:t>
      </w:r>
      <w:r w:rsidR="00280EEC">
        <w:rPr>
          <w:lang w:val="fr-FR"/>
        </w:rPr>
        <w:t>’</w:t>
      </w:r>
      <w:r w:rsidRPr="00DB6C66">
        <w:rPr>
          <w:lang w:val="fr-FR"/>
        </w:rPr>
        <w:t>ensemble des examinateurs de tous les services doivent effectuer leurs examens selon la même méthode.  L</w:t>
      </w:r>
      <w:r w:rsidR="00280EEC">
        <w:rPr>
          <w:lang w:val="fr-FR"/>
        </w:rPr>
        <w:t>’</w:t>
      </w:r>
      <w:r w:rsidRPr="00DB6C66">
        <w:rPr>
          <w:lang w:val="fr-FR"/>
        </w:rPr>
        <w:t>HIPO s</w:t>
      </w:r>
      <w:r w:rsidR="00280EEC">
        <w:rPr>
          <w:lang w:val="fr-FR"/>
        </w:rPr>
        <w:t>’</w:t>
      </w:r>
      <w:r w:rsidRPr="00DB6C66">
        <w:rPr>
          <w:lang w:val="fr-FR"/>
        </w:rPr>
        <w:t>efforce donc actuellement de faire en sorte que tous ses examinateurs suivent les mêmes étapes en appliquant cette liste de contrôle.</w:t>
      </w:r>
    </w:p>
    <w:p w:rsidR="00B517D8" w:rsidRPr="00DB6C66" w:rsidRDefault="00B517D8" w:rsidP="00DB6C66">
      <w:pPr>
        <w:pStyle w:val="ONUMFS"/>
        <w:rPr>
          <w:lang w:val="fr-FR"/>
        </w:rPr>
      </w:pPr>
      <w:r w:rsidRPr="00DB6C66">
        <w:rPr>
          <w:lang w:val="fr-FR"/>
        </w:rPr>
        <w:t>Depuis que l</w:t>
      </w:r>
      <w:r w:rsidR="00280EEC">
        <w:rPr>
          <w:lang w:val="fr-FR"/>
        </w:rPr>
        <w:t>’</w:t>
      </w:r>
      <w:r w:rsidRPr="00DB6C66">
        <w:rPr>
          <w:lang w:val="fr-FR"/>
        </w:rPr>
        <w:t>HIPO a mis en place en 2009 son système de gestion de la qualité, et notamment de gestion des délais, le nombre de demandes en instance a commencé à diminuer, passant de 9000 en 2009 à 2150 en 2014.</w:t>
      </w:r>
    </w:p>
    <w:p w:rsidR="00DB6C66" w:rsidRPr="00DB6C66" w:rsidRDefault="00B517D8" w:rsidP="00620A17">
      <w:pPr>
        <w:pStyle w:val="Heading2"/>
        <w:rPr>
          <w:lang w:val="fr-FR"/>
        </w:rPr>
      </w:pPr>
      <w:r w:rsidRPr="00DB6C66">
        <w:rPr>
          <w:lang w:val="fr-FR"/>
        </w:rPr>
        <w:t>4)</w:t>
      </w:r>
      <w:r w:rsidR="00DB6C66" w:rsidRPr="00DB6C66">
        <w:rPr>
          <w:lang w:val="fr-FR"/>
        </w:rPr>
        <w:tab/>
        <w:t>Autres critères (</w:t>
      </w:r>
      <w:r w:rsidR="00280EEC">
        <w:rPr>
          <w:lang w:val="fr-FR"/>
        </w:rPr>
        <w:t>y compris</w:t>
      </w:r>
      <w:r w:rsidR="00DB6C66" w:rsidRPr="00DB6C66">
        <w:rPr>
          <w:lang w:val="fr-FR"/>
        </w:rPr>
        <w:t xml:space="preserve"> au sens de la règle 36.1.iii) du règlement d</w:t>
      </w:r>
      <w:r w:rsidR="00280EEC">
        <w:rPr>
          <w:lang w:val="fr-FR"/>
        </w:rPr>
        <w:t>’</w:t>
      </w:r>
      <w:r w:rsidR="00DB6C66" w:rsidRPr="00DB6C66">
        <w:rPr>
          <w:lang w:val="fr-FR"/>
        </w:rPr>
        <w:t>exécution du PCT)</w:t>
      </w:r>
    </w:p>
    <w:p w:rsidR="00B517D8" w:rsidRPr="00DB6C66" w:rsidRDefault="00B517D8" w:rsidP="00DB6C66">
      <w:pPr>
        <w:pStyle w:val="ONUMFS"/>
        <w:rPr>
          <w:lang w:val="fr-FR"/>
        </w:rPr>
      </w:pPr>
      <w:r w:rsidRPr="00DB6C66">
        <w:rPr>
          <w:lang w:val="fr-FR"/>
        </w:rPr>
        <w:t>Dans le cadre d</w:t>
      </w:r>
      <w:r w:rsidR="00280EEC">
        <w:rPr>
          <w:lang w:val="fr-FR"/>
        </w:rPr>
        <w:t>’</w:t>
      </w:r>
      <w:r w:rsidRPr="00DB6C66">
        <w:rPr>
          <w:lang w:val="fr-FR"/>
        </w:rPr>
        <w:t>un accord de coopération conclu avec l</w:t>
      </w:r>
      <w:r w:rsidR="00280EEC">
        <w:rPr>
          <w:lang w:val="fr-FR"/>
        </w:rPr>
        <w:t>’</w:t>
      </w:r>
      <w:r w:rsidRPr="00DB6C66">
        <w:rPr>
          <w:lang w:val="fr-FR"/>
        </w:rPr>
        <w:t>Office de la propriété intellectuelle de Singapour (IPOS) pour des services de sous</w:t>
      </w:r>
      <w:r w:rsidR="008117E3">
        <w:rPr>
          <w:lang w:val="fr-FR"/>
        </w:rPr>
        <w:noBreakHyphen/>
      </w:r>
      <w:r w:rsidRPr="00DB6C66">
        <w:rPr>
          <w:lang w:val="fr-FR"/>
        </w:rPr>
        <w:t>traitance, l</w:t>
      </w:r>
      <w:r w:rsidR="00280EEC">
        <w:rPr>
          <w:lang w:val="fr-FR"/>
        </w:rPr>
        <w:t>’</w:t>
      </w:r>
      <w:r w:rsidRPr="00DB6C66">
        <w:rPr>
          <w:lang w:val="fr-FR"/>
        </w:rPr>
        <w:t>HIPO publie actuellement environ 1500 rapports de recherche internationale par an.</w:t>
      </w:r>
    </w:p>
    <w:p w:rsidR="00B517D8" w:rsidRPr="00DB6C66" w:rsidRDefault="00B517D8" w:rsidP="00DB6C66">
      <w:pPr>
        <w:pStyle w:val="ONUMFS"/>
        <w:rPr>
          <w:lang w:val="fr-FR"/>
        </w:rPr>
      </w:pPr>
      <w:r w:rsidRPr="00DB6C66">
        <w:rPr>
          <w:lang w:val="fr-FR"/>
        </w:rPr>
        <w:t>Néanmoins, l</w:t>
      </w:r>
      <w:r w:rsidR="00280EEC">
        <w:rPr>
          <w:lang w:val="fr-FR"/>
        </w:rPr>
        <w:t>’</w:t>
      </w:r>
      <w:r w:rsidRPr="00DB6C66">
        <w:rPr>
          <w:lang w:val="fr-FR"/>
        </w:rPr>
        <w:t>HIPO reconnaît qu</w:t>
      </w:r>
      <w:r w:rsidR="00280EEC">
        <w:rPr>
          <w:lang w:val="fr-FR"/>
        </w:rPr>
        <w:t>’</w:t>
      </w:r>
      <w:r w:rsidRPr="00DB6C66">
        <w:rPr>
          <w:lang w:val="fr-FR"/>
        </w:rPr>
        <w:t>il est essentiel de ne pas prendre de retard dans le traitement des demandes nationales.</w:t>
      </w:r>
    </w:p>
    <w:p w:rsidR="00B517D8" w:rsidRPr="00DB6C66" w:rsidRDefault="00B517D8" w:rsidP="00DB6C66">
      <w:pPr>
        <w:pStyle w:val="ONUMFS"/>
        <w:rPr>
          <w:lang w:val="fr-FR"/>
        </w:rPr>
      </w:pPr>
      <w:r w:rsidRPr="00DB6C66">
        <w:rPr>
          <w:lang w:val="fr-FR"/>
        </w:rPr>
        <w:t>L</w:t>
      </w:r>
      <w:r w:rsidR="00280EEC">
        <w:rPr>
          <w:lang w:val="fr-FR"/>
        </w:rPr>
        <w:t>’</w:t>
      </w:r>
      <w:r w:rsidRPr="00DB6C66">
        <w:rPr>
          <w:lang w:val="fr-FR"/>
        </w:rPr>
        <w:t>HIPO a mis en place un projet de coopération avec l</w:t>
      </w:r>
      <w:r w:rsidR="00280EEC">
        <w:rPr>
          <w:lang w:val="fr-FR"/>
        </w:rPr>
        <w:t>’</w:t>
      </w:r>
      <w:r w:rsidRPr="00DB6C66">
        <w:rPr>
          <w:lang w:val="fr-FR"/>
        </w:rPr>
        <w:t>Office des brevets autrichien (APO) en 2006.  Il a lancé en 2008 avec l</w:t>
      </w:r>
      <w:r w:rsidR="00280EEC">
        <w:rPr>
          <w:lang w:val="fr-FR"/>
        </w:rPr>
        <w:t>’</w:t>
      </w:r>
      <w:r w:rsidRPr="00DB6C66">
        <w:rPr>
          <w:lang w:val="fr-FR"/>
        </w:rPr>
        <w:t>APO un projet au titre du PCT dans le cadre duquel il a commencé à publier des rapports de recherche internationale pour des demandes présentées au PCT dont les offices récepteurs étaient situés dans certains pays tels que le Brésil, l</w:t>
      </w:r>
      <w:r w:rsidR="00280EEC">
        <w:rPr>
          <w:lang w:val="fr-FR"/>
        </w:rPr>
        <w:t>’</w:t>
      </w:r>
      <w:r w:rsidRPr="00DB6C66">
        <w:rPr>
          <w:lang w:val="fr-FR"/>
        </w:rPr>
        <w:t>Inde, la Corée, l</w:t>
      </w:r>
      <w:r w:rsidR="00280EEC">
        <w:rPr>
          <w:lang w:val="fr-FR"/>
        </w:rPr>
        <w:t>’</w:t>
      </w:r>
      <w:r w:rsidRPr="00DB6C66">
        <w:rPr>
          <w:lang w:val="fr-FR"/>
        </w:rPr>
        <w:t>Égypte et Singapour, et dont l</w:t>
      </w:r>
      <w:r w:rsidR="00280EEC">
        <w:rPr>
          <w:lang w:val="fr-FR"/>
        </w:rPr>
        <w:t>’</w:t>
      </w:r>
      <w:r w:rsidRPr="00DB6C66">
        <w:rPr>
          <w:lang w:val="fr-FR"/>
        </w:rPr>
        <w:t>APO était l</w:t>
      </w:r>
      <w:r w:rsidR="00280EEC">
        <w:rPr>
          <w:lang w:val="fr-FR"/>
        </w:rPr>
        <w:t>’</w:t>
      </w:r>
      <w:r w:rsidRPr="00DB6C66">
        <w:rPr>
          <w:lang w:val="fr-FR"/>
        </w:rPr>
        <w:t>administration internationale chargée de la recherche internationale (en effet, dans le cadre de la Convention sur le brevet européen, l</w:t>
      </w:r>
      <w:r w:rsidR="00280EEC">
        <w:rPr>
          <w:lang w:val="fr-FR"/>
        </w:rPr>
        <w:t>’</w:t>
      </w:r>
      <w:r w:rsidRPr="00DB6C66">
        <w:rPr>
          <w:lang w:val="fr-FR"/>
        </w:rPr>
        <w:t>APO a obtenu le statut d</w:t>
      </w:r>
      <w:r w:rsidR="00280EEC">
        <w:rPr>
          <w:lang w:val="fr-FR"/>
        </w:rPr>
        <w:t>’</w:t>
      </w:r>
      <w:r w:rsidRPr="00DB6C66">
        <w:rPr>
          <w:lang w:val="fr-FR"/>
        </w:rPr>
        <w:t>administration internationale chargée de la recherche internationale à condition de ne traiter que les demandes selon le PCT déposées par certains pays).  Du fait de son projet de coopération avec l</w:t>
      </w:r>
      <w:r w:rsidR="00280EEC">
        <w:rPr>
          <w:lang w:val="fr-FR"/>
        </w:rPr>
        <w:t>’</w:t>
      </w:r>
      <w:r w:rsidRPr="00DB6C66">
        <w:rPr>
          <w:lang w:val="fr-FR"/>
        </w:rPr>
        <w:t>APO, l</w:t>
      </w:r>
      <w:r w:rsidR="00280EEC">
        <w:rPr>
          <w:lang w:val="fr-FR"/>
        </w:rPr>
        <w:t>’</w:t>
      </w:r>
      <w:r w:rsidRPr="00DB6C66">
        <w:rPr>
          <w:lang w:val="fr-FR"/>
        </w:rPr>
        <w:t>HIPO publie environ 800 rapports de recherche internationale par an.</w:t>
      </w:r>
    </w:p>
    <w:p w:rsidR="00B517D8" w:rsidRPr="00DB6C66" w:rsidRDefault="00B517D8" w:rsidP="00DB6C66">
      <w:pPr>
        <w:pStyle w:val="ONUMFS"/>
        <w:rPr>
          <w:lang w:val="fr-FR"/>
        </w:rPr>
      </w:pPr>
      <w:r w:rsidRPr="00DB6C66">
        <w:rPr>
          <w:lang w:val="fr-FR"/>
        </w:rPr>
        <w:t>Comme il est indiqué plus haut, l</w:t>
      </w:r>
      <w:r w:rsidR="00280EEC">
        <w:rPr>
          <w:lang w:val="fr-FR"/>
        </w:rPr>
        <w:t>’</w:t>
      </w:r>
      <w:r w:rsidRPr="00DB6C66">
        <w:rPr>
          <w:lang w:val="fr-FR"/>
        </w:rPr>
        <w:t>IPOS a été très élogieux sur le niveau de qualité atteint par l</w:t>
      </w:r>
      <w:r w:rsidR="00280EEC">
        <w:rPr>
          <w:lang w:val="fr-FR"/>
        </w:rPr>
        <w:t>’</w:t>
      </w:r>
      <w:r w:rsidRPr="00DB6C66">
        <w:rPr>
          <w:lang w:val="fr-FR"/>
        </w:rPr>
        <w:t>HIPO dans ce projet et a décidé de lui confier 1500 recherches et examens par an.</w:t>
      </w:r>
    </w:p>
    <w:p w:rsidR="00B517D8" w:rsidRPr="00DB6C66" w:rsidRDefault="00DB6C66" w:rsidP="00DB6C66">
      <w:pPr>
        <w:pStyle w:val="Heading1"/>
        <w:rPr>
          <w:lang w:val="fr-FR"/>
        </w:rPr>
      </w:pPr>
      <w:r w:rsidRPr="00DB6C66">
        <w:rPr>
          <w:lang w:val="fr-FR"/>
        </w:rPr>
        <w:t>2.</w:t>
      </w:r>
      <w:r w:rsidRPr="00DB6C66">
        <w:rPr>
          <w:lang w:val="fr-FR"/>
        </w:rPr>
        <w:tab/>
      </w:r>
      <w:r w:rsidR="00B517D8" w:rsidRPr="00DB6C66">
        <w:rPr>
          <w:lang w:val="fr-FR"/>
        </w:rPr>
        <w:t xml:space="preserve">Office de la </w:t>
      </w:r>
      <w:r w:rsidRPr="00DB6C66">
        <w:rPr>
          <w:lang w:val="fr-FR"/>
        </w:rPr>
        <w:t xml:space="preserve">propriété </w:t>
      </w:r>
      <w:r w:rsidR="00B517D8" w:rsidRPr="00DB6C66">
        <w:rPr>
          <w:lang w:val="fr-FR"/>
        </w:rPr>
        <w:t>industrielle de la Slovaquie (IPO SR)</w:t>
      </w:r>
    </w:p>
    <w:p w:rsidR="00DB6C66" w:rsidRPr="00DB6C66" w:rsidRDefault="00DB6C66" w:rsidP="00620A17">
      <w:pPr>
        <w:pStyle w:val="Heading2"/>
        <w:rPr>
          <w:lang w:val="fr-FR"/>
        </w:rPr>
      </w:pPr>
      <w:r w:rsidRPr="00DB6C66">
        <w:rPr>
          <w:lang w:val="fr-FR"/>
        </w:rPr>
        <w:t>1)</w:t>
      </w:r>
      <w:r w:rsidRPr="00DB6C66">
        <w:rPr>
          <w:lang w:val="fr-FR"/>
        </w:rPr>
        <w:tab/>
        <w:t>Nombre d</w:t>
      </w:r>
      <w:r w:rsidR="00280EEC">
        <w:rPr>
          <w:lang w:val="fr-FR"/>
        </w:rPr>
        <w:t>’</w:t>
      </w:r>
      <w:r w:rsidRPr="00DB6C66">
        <w:rPr>
          <w:lang w:val="fr-FR"/>
        </w:rPr>
        <w:t>examinateurs (au sens de la règle 36.1.i) du règlement d</w:t>
      </w:r>
      <w:r w:rsidR="00280EEC">
        <w:rPr>
          <w:lang w:val="fr-FR"/>
        </w:rPr>
        <w:t>’</w:t>
      </w:r>
      <w:r w:rsidRPr="00DB6C66">
        <w:rPr>
          <w:lang w:val="fr-FR"/>
        </w:rPr>
        <w:t xml:space="preserve">exécution du </w:t>
      </w:r>
      <w:r w:rsidR="00B517D8" w:rsidRPr="00DB6C66">
        <w:rPr>
          <w:lang w:val="fr-FR"/>
        </w:rPr>
        <w:t>PCT)</w:t>
      </w:r>
    </w:p>
    <w:p w:rsidR="00B517D8" w:rsidRPr="00DB6C66" w:rsidRDefault="00B517D8" w:rsidP="00DB6C66">
      <w:pPr>
        <w:pStyle w:val="ONUMFS"/>
        <w:rPr>
          <w:lang w:val="fr-FR"/>
        </w:rPr>
      </w:pPr>
      <w:r w:rsidRPr="00DB6C66">
        <w:rPr>
          <w:lang w:val="fr-FR"/>
        </w:rPr>
        <w:t>L</w:t>
      </w:r>
      <w:r w:rsidR="00280EEC">
        <w:rPr>
          <w:lang w:val="fr-FR"/>
        </w:rPr>
        <w:t>’</w:t>
      </w:r>
      <w:r w:rsidRPr="00DB6C66">
        <w:rPr>
          <w:lang w:val="fr-FR"/>
        </w:rPr>
        <w:t>IPO SR emploie au total 24 examinateurs.</w:t>
      </w:r>
    </w:p>
    <w:p w:rsidR="00DB6C66" w:rsidRPr="00DB6C66" w:rsidRDefault="00DB6C66" w:rsidP="00620A17">
      <w:pPr>
        <w:pStyle w:val="Heading2"/>
        <w:rPr>
          <w:lang w:val="fr-FR"/>
        </w:rPr>
      </w:pPr>
      <w:r w:rsidRPr="00DB6C66">
        <w:rPr>
          <w:lang w:val="fr-FR"/>
        </w:rPr>
        <w:lastRenderedPageBreak/>
        <w:t>2)</w:t>
      </w:r>
      <w:r w:rsidRPr="00DB6C66">
        <w:rPr>
          <w:lang w:val="fr-FR"/>
        </w:rPr>
        <w:tab/>
        <w:t>Documentation minimale du PCT (au sens de la règle 36.1.ii) du règlement d</w:t>
      </w:r>
      <w:r w:rsidR="00280EEC">
        <w:rPr>
          <w:lang w:val="fr-FR"/>
        </w:rPr>
        <w:t>’</w:t>
      </w:r>
      <w:r w:rsidRPr="00DB6C66">
        <w:rPr>
          <w:lang w:val="fr-FR"/>
        </w:rPr>
        <w:t xml:space="preserve">exécution du </w:t>
      </w:r>
      <w:r w:rsidR="00B517D8" w:rsidRPr="00DB6C66">
        <w:rPr>
          <w:lang w:val="fr-FR"/>
        </w:rPr>
        <w:t>PCT)</w:t>
      </w:r>
    </w:p>
    <w:p w:rsidR="00B517D8" w:rsidRPr="00DB6C66" w:rsidRDefault="00B517D8" w:rsidP="00DB6C66">
      <w:pPr>
        <w:pStyle w:val="ONUMFS"/>
        <w:rPr>
          <w:u w:val="wave"/>
          <w:lang w:val="fr-FR"/>
        </w:rPr>
      </w:pPr>
      <w:r w:rsidRPr="00DB6C66">
        <w:rPr>
          <w:lang w:val="fr-FR"/>
        </w:rPr>
        <w:t>L</w:t>
      </w:r>
      <w:r w:rsidR="00280EEC">
        <w:rPr>
          <w:lang w:val="fr-FR"/>
        </w:rPr>
        <w:t>’</w:t>
      </w:r>
      <w:r w:rsidRPr="00DB6C66">
        <w:rPr>
          <w:lang w:val="fr-FR"/>
        </w:rPr>
        <w:t>IPO SR est en mesure d</w:t>
      </w:r>
      <w:r w:rsidR="00280EEC">
        <w:rPr>
          <w:lang w:val="fr-FR"/>
        </w:rPr>
        <w:t>’</w:t>
      </w:r>
      <w:r w:rsidRPr="00DB6C66">
        <w:rPr>
          <w:lang w:val="fr-FR"/>
        </w:rPr>
        <w:t xml:space="preserve">accéder à tous les documents répondant aux critères de documentation minimale du PCT.  Il utilise en effet </w:t>
      </w:r>
      <w:proofErr w:type="spellStart"/>
      <w:r w:rsidRPr="00DB6C66">
        <w:rPr>
          <w:lang w:val="fr-FR"/>
        </w:rPr>
        <w:t>EPOQUENet</w:t>
      </w:r>
      <w:proofErr w:type="spellEnd"/>
      <w:r w:rsidRPr="00DB6C66">
        <w:rPr>
          <w:lang w:val="fr-FR"/>
        </w:rPr>
        <w:t xml:space="preserve">, le </w:t>
      </w:r>
      <w:r w:rsidRPr="00DB6C66">
        <w:rPr>
          <w:i/>
          <w:lang w:val="fr-FR"/>
        </w:rPr>
        <w:t>World Patent Information</w:t>
      </w:r>
      <w:r w:rsidRPr="00DB6C66">
        <w:rPr>
          <w:lang w:val="fr-FR"/>
        </w:rPr>
        <w:t xml:space="preserve"> (WPI) et d</w:t>
      </w:r>
      <w:r w:rsidR="00280EEC">
        <w:rPr>
          <w:lang w:val="fr-FR"/>
        </w:rPr>
        <w:t>’</w:t>
      </w:r>
      <w:r w:rsidRPr="00DB6C66">
        <w:rPr>
          <w:lang w:val="fr-FR"/>
        </w:rPr>
        <w:t>autres bases de données de littérature non</w:t>
      </w:r>
      <w:r w:rsidR="008117E3">
        <w:rPr>
          <w:lang w:val="fr-FR"/>
        </w:rPr>
        <w:noBreakHyphen/>
      </w:r>
      <w:r w:rsidRPr="00DB6C66">
        <w:rPr>
          <w:lang w:val="fr-FR"/>
        </w:rPr>
        <w:t>brevet, ainsi que d</w:t>
      </w:r>
      <w:r w:rsidR="00280EEC">
        <w:rPr>
          <w:lang w:val="fr-FR"/>
        </w:rPr>
        <w:t>’</w:t>
      </w:r>
      <w:r w:rsidRPr="00DB6C66">
        <w:rPr>
          <w:lang w:val="fr-FR"/>
        </w:rPr>
        <w:t>autres bases de données en cas de besoin.</w:t>
      </w:r>
    </w:p>
    <w:p w:rsidR="00B517D8" w:rsidRPr="00DB6C66" w:rsidRDefault="00DB6C66" w:rsidP="00DB6C66">
      <w:pPr>
        <w:pStyle w:val="Heading2"/>
        <w:rPr>
          <w:lang w:val="fr-FR"/>
        </w:rPr>
      </w:pPr>
      <w:r w:rsidRPr="00DB6C66">
        <w:rPr>
          <w:lang w:val="fr-FR"/>
        </w:rPr>
        <w:t>3)</w:t>
      </w:r>
      <w:r w:rsidRPr="00DB6C66">
        <w:rPr>
          <w:lang w:val="fr-FR"/>
        </w:rPr>
        <w:tab/>
        <w:t>Gestion de la qualité (au sens de la règle 36.1.iv) du règlement d</w:t>
      </w:r>
      <w:r w:rsidR="00280EEC">
        <w:rPr>
          <w:lang w:val="fr-FR"/>
        </w:rPr>
        <w:t>’</w:t>
      </w:r>
      <w:r w:rsidRPr="00DB6C66">
        <w:rPr>
          <w:lang w:val="fr-FR"/>
        </w:rPr>
        <w:t xml:space="preserve">exécution du </w:t>
      </w:r>
      <w:r w:rsidR="00B517D8" w:rsidRPr="00DB6C66">
        <w:rPr>
          <w:lang w:val="fr-FR"/>
        </w:rPr>
        <w:t>PCT)</w:t>
      </w:r>
    </w:p>
    <w:p w:rsidR="00DB6C66" w:rsidRPr="00DB6C66" w:rsidRDefault="00DB6C66" w:rsidP="00DB6C66">
      <w:pPr>
        <w:rPr>
          <w:lang w:val="fr-FR"/>
        </w:rPr>
      </w:pPr>
    </w:p>
    <w:p w:rsidR="00B517D8" w:rsidRPr="00DB6C66" w:rsidRDefault="00B517D8" w:rsidP="00DB6C66">
      <w:pPr>
        <w:pStyle w:val="ONUMFS"/>
        <w:rPr>
          <w:lang w:val="fr-FR"/>
        </w:rPr>
      </w:pPr>
      <w:r w:rsidRPr="00DB6C66">
        <w:rPr>
          <w:lang w:val="fr-FR"/>
        </w:rPr>
        <w:t>L</w:t>
      </w:r>
      <w:r w:rsidR="00280EEC">
        <w:rPr>
          <w:lang w:val="fr-FR"/>
        </w:rPr>
        <w:t>’</w:t>
      </w:r>
      <w:r w:rsidRPr="00DB6C66">
        <w:rPr>
          <w:lang w:val="fr-FR"/>
        </w:rPr>
        <w:t>IPO SR a obtenu la certification ISO 9001 en 2008.  Compte tenu de la création de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il prévoit de mettre en place un système de gestion de la qualité commun aux quatre offices concernés.  En d</w:t>
      </w:r>
      <w:r w:rsidR="00280EEC">
        <w:rPr>
          <w:lang w:val="fr-FR"/>
        </w:rPr>
        <w:t>’</w:t>
      </w:r>
      <w:r w:rsidRPr="00DB6C66">
        <w:rPr>
          <w:lang w:val="fr-FR"/>
        </w:rPr>
        <w:t xml:space="preserve">autres termes, selon la demande considérée, les examinateurs </w:t>
      </w:r>
      <w:r w:rsidR="00AC420D" w:rsidRPr="00DB6C66">
        <w:rPr>
          <w:lang w:val="fr-FR"/>
        </w:rPr>
        <w:t xml:space="preserve">du VPI </w:t>
      </w:r>
      <w:r w:rsidRPr="00DB6C66">
        <w:rPr>
          <w:lang w:val="fr-FR"/>
        </w:rPr>
        <w:t>auront le choix entre deux politiques possibles en matière de qualité, l</w:t>
      </w:r>
      <w:r w:rsidR="00280EEC">
        <w:rPr>
          <w:lang w:val="fr-FR"/>
        </w:rPr>
        <w:t>’</w:t>
      </w:r>
      <w:r w:rsidRPr="00DB6C66">
        <w:rPr>
          <w:lang w:val="fr-FR"/>
        </w:rPr>
        <w:t>une étant la politique actuelle de leur propre office et l</w:t>
      </w:r>
      <w:r w:rsidR="00280EEC">
        <w:rPr>
          <w:lang w:val="fr-FR"/>
        </w:rPr>
        <w:t>’</w:t>
      </w:r>
      <w:r w:rsidRPr="00DB6C66">
        <w:rPr>
          <w:lang w:val="fr-FR"/>
        </w:rPr>
        <w:t xml:space="preserve">autre la politique qui sera établie par et pour </w:t>
      </w:r>
      <w:r w:rsidR="00AC420D" w:rsidRPr="00DB6C66">
        <w:rPr>
          <w:lang w:val="fr-FR"/>
        </w:rPr>
        <w:t>le VPI</w:t>
      </w:r>
      <w:r w:rsidRPr="00DB6C66">
        <w:rPr>
          <w:lang w:val="fr-FR"/>
        </w:rPr>
        <w:t>.</w:t>
      </w:r>
    </w:p>
    <w:p w:rsidR="00B517D8" w:rsidRPr="00DB6C66" w:rsidRDefault="00DB6C66" w:rsidP="00DB6C66">
      <w:pPr>
        <w:pStyle w:val="Heading2"/>
        <w:rPr>
          <w:lang w:val="fr-FR"/>
        </w:rPr>
      </w:pPr>
      <w:r w:rsidRPr="00DB6C66">
        <w:rPr>
          <w:lang w:val="fr-FR"/>
        </w:rPr>
        <w:t>4)</w:t>
      </w:r>
      <w:r w:rsidRPr="00DB6C66">
        <w:rPr>
          <w:lang w:val="fr-FR"/>
        </w:rPr>
        <w:tab/>
        <w:t>Autres critères (</w:t>
      </w:r>
      <w:r w:rsidR="00280EEC">
        <w:rPr>
          <w:lang w:val="fr-FR"/>
        </w:rPr>
        <w:t>y compris</w:t>
      </w:r>
      <w:r w:rsidRPr="00DB6C66">
        <w:rPr>
          <w:lang w:val="fr-FR"/>
        </w:rPr>
        <w:t xml:space="preserve"> au sens de la règle 36.1.iii) du règlement d</w:t>
      </w:r>
      <w:r w:rsidR="00280EEC">
        <w:rPr>
          <w:lang w:val="fr-FR"/>
        </w:rPr>
        <w:t>’</w:t>
      </w:r>
      <w:r w:rsidRPr="00DB6C66">
        <w:rPr>
          <w:lang w:val="fr-FR"/>
        </w:rPr>
        <w:t xml:space="preserve">exécution du </w:t>
      </w:r>
      <w:r w:rsidR="00B517D8" w:rsidRPr="00DB6C66">
        <w:rPr>
          <w:lang w:val="fr-FR"/>
        </w:rPr>
        <w:t>PCT)</w:t>
      </w:r>
    </w:p>
    <w:p w:rsidR="00DB6C66" w:rsidRPr="00DB6C66" w:rsidRDefault="00DB6C66" w:rsidP="00DB6C66">
      <w:pPr>
        <w:rPr>
          <w:lang w:val="fr-FR"/>
        </w:rPr>
      </w:pPr>
    </w:p>
    <w:p w:rsidR="00B517D8" w:rsidRPr="00DB6C66" w:rsidRDefault="00AC420D" w:rsidP="00DB6C66">
      <w:pPr>
        <w:pStyle w:val="ONUMFS"/>
        <w:rPr>
          <w:lang w:val="fr-FR"/>
        </w:rPr>
      </w:pPr>
      <w:r w:rsidRPr="00DB6C66">
        <w:rPr>
          <w:lang w:val="fr-FR"/>
        </w:rPr>
        <w:t>Dans le cadre de la création du VPI</w:t>
      </w:r>
      <w:r w:rsidR="00B517D8" w:rsidRPr="00DB6C66">
        <w:rPr>
          <w:lang w:val="fr-FR"/>
        </w:rPr>
        <w:t>, un système informatique commun sera aussi mis en place pour gérer les demandes de brevet et la rédaction des rapports.  Néanmoins, les détails particuliers de ce système restent encore à définir.</w:t>
      </w:r>
    </w:p>
    <w:p w:rsidR="00B517D8" w:rsidRPr="00DB6C66" w:rsidRDefault="00B517D8" w:rsidP="006D3583">
      <w:pPr>
        <w:spacing w:after="200" w:line="276" w:lineRule="auto"/>
        <w:rPr>
          <w:lang w:val="fr-FR"/>
        </w:rPr>
      </w:pPr>
      <w:r w:rsidRPr="00DB6C66">
        <w:rPr>
          <w:lang w:val="fr-FR"/>
        </w:rPr>
        <w:br w:type="page"/>
      </w:r>
    </w:p>
    <w:p w:rsidR="00B517D8" w:rsidRPr="00DB6C66" w:rsidRDefault="00B517D8" w:rsidP="00DB6C66">
      <w:pPr>
        <w:spacing w:after="220"/>
        <w:jc w:val="center"/>
        <w:rPr>
          <w:caps/>
          <w:lang w:val="fr-FR"/>
        </w:rPr>
      </w:pPr>
      <w:r w:rsidRPr="00DB6C66">
        <w:rPr>
          <w:caps/>
          <w:lang w:val="fr-FR"/>
        </w:rPr>
        <w:lastRenderedPageBreak/>
        <w:t>RAPport de l</w:t>
      </w:r>
      <w:r w:rsidR="00280EEC">
        <w:rPr>
          <w:caps/>
          <w:lang w:val="fr-FR"/>
        </w:rPr>
        <w:t>’</w:t>
      </w:r>
      <w:r w:rsidRPr="00DB6C66">
        <w:rPr>
          <w:caps/>
          <w:lang w:val="fr-FR"/>
        </w:rPr>
        <w:t>Institut nordique des brevets (npi)</w:t>
      </w:r>
    </w:p>
    <w:p w:rsidR="00DB6C66" w:rsidRDefault="00DB6C66" w:rsidP="00DB6C66">
      <w:pPr>
        <w:rPr>
          <w:lang w:val="fr-FR"/>
        </w:rPr>
      </w:pPr>
    </w:p>
    <w:p w:rsidR="00620A17" w:rsidRPr="00DB6C66" w:rsidRDefault="00620A17" w:rsidP="00DB6C66">
      <w:pPr>
        <w:rPr>
          <w:lang w:val="fr-FR"/>
        </w:rPr>
      </w:pPr>
    </w:p>
    <w:p w:rsidR="00B517D8" w:rsidRPr="00DB6C66" w:rsidRDefault="00B517D8" w:rsidP="006D3583">
      <w:pPr>
        <w:rPr>
          <w:szCs w:val="22"/>
          <w:lang w:val="fr-FR"/>
        </w:rPr>
      </w:pPr>
      <w:r w:rsidRPr="00DB6C66">
        <w:rPr>
          <w:szCs w:val="22"/>
          <w:lang w:val="fr-FR"/>
        </w:rPr>
        <w:t>NORDIC PATENT INSTITUTE</w:t>
      </w:r>
    </w:p>
    <w:p w:rsidR="00B517D8" w:rsidRPr="00DB6C66" w:rsidRDefault="00B517D8" w:rsidP="006D3583">
      <w:pPr>
        <w:rPr>
          <w:rFonts w:eastAsia="Times New Roman"/>
          <w:szCs w:val="22"/>
          <w:lang w:val="fr-FR" w:eastAsia="en-US"/>
        </w:rPr>
      </w:pPr>
      <w:proofErr w:type="spellStart"/>
      <w:r w:rsidRPr="00DB6C66">
        <w:rPr>
          <w:rFonts w:eastAsia="Times New Roman"/>
          <w:szCs w:val="22"/>
          <w:lang w:val="fr-FR" w:eastAsia="en-US"/>
        </w:rPr>
        <w:t>Helgeshoj</w:t>
      </w:r>
      <w:proofErr w:type="spellEnd"/>
      <w:r w:rsidRPr="00DB6C66">
        <w:rPr>
          <w:rFonts w:eastAsia="Times New Roman"/>
          <w:szCs w:val="22"/>
          <w:lang w:val="fr-FR" w:eastAsia="en-US"/>
        </w:rPr>
        <w:t xml:space="preserve"> Allé 81,</w:t>
      </w:r>
    </w:p>
    <w:p w:rsidR="00B517D8" w:rsidRPr="00DB6C66" w:rsidRDefault="00B517D8" w:rsidP="006D3583">
      <w:pPr>
        <w:rPr>
          <w:rFonts w:eastAsia="Times New Roman"/>
          <w:szCs w:val="22"/>
          <w:lang w:val="fr-FR" w:eastAsia="en-US"/>
        </w:rPr>
      </w:pPr>
      <w:r w:rsidRPr="00DB6C66">
        <w:rPr>
          <w:rFonts w:eastAsia="Times New Roman"/>
          <w:szCs w:val="22"/>
          <w:lang w:val="fr-FR" w:eastAsia="en-US"/>
        </w:rPr>
        <w:t xml:space="preserve">2630 </w:t>
      </w:r>
      <w:proofErr w:type="spellStart"/>
      <w:r w:rsidRPr="00DB6C66">
        <w:rPr>
          <w:rFonts w:eastAsia="Times New Roman"/>
          <w:szCs w:val="22"/>
          <w:lang w:val="fr-FR" w:eastAsia="en-US"/>
        </w:rPr>
        <w:t>Taastrup</w:t>
      </w:r>
      <w:proofErr w:type="spellEnd"/>
      <w:r w:rsidRPr="00DB6C66">
        <w:rPr>
          <w:rFonts w:eastAsia="Times New Roman"/>
          <w:szCs w:val="22"/>
          <w:lang w:val="fr-FR" w:eastAsia="en-US"/>
        </w:rPr>
        <w:t>,</w:t>
      </w:r>
    </w:p>
    <w:p w:rsidR="00B517D8" w:rsidRPr="00DB6C66" w:rsidRDefault="00B517D8" w:rsidP="006D3583">
      <w:pPr>
        <w:rPr>
          <w:szCs w:val="22"/>
          <w:lang w:val="fr-FR"/>
        </w:rPr>
      </w:pPr>
      <w:r w:rsidRPr="00DB6C66">
        <w:rPr>
          <w:rFonts w:eastAsia="Times New Roman"/>
          <w:szCs w:val="22"/>
          <w:lang w:val="fr-FR" w:eastAsia="en-US"/>
        </w:rPr>
        <w:t>Danemark</w:t>
      </w:r>
    </w:p>
    <w:p w:rsidR="00B517D8" w:rsidRPr="00DB6C66" w:rsidRDefault="00B517D8" w:rsidP="006D3583">
      <w:pPr>
        <w:rPr>
          <w:szCs w:val="22"/>
          <w:lang w:val="fr-FR"/>
        </w:rPr>
      </w:pPr>
    </w:p>
    <w:p w:rsidR="00B517D8" w:rsidRPr="00DB6C66" w:rsidRDefault="00B517D8" w:rsidP="006D3583">
      <w:pPr>
        <w:rPr>
          <w:szCs w:val="22"/>
          <w:lang w:val="fr-FR"/>
        </w:rPr>
      </w:pPr>
    </w:p>
    <w:p w:rsidR="00B517D8" w:rsidRPr="00DB6C66" w:rsidRDefault="00B517D8" w:rsidP="006D3583">
      <w:pPr>
        <w:spacing w:after="120"/>
        <w:rPr>
          <w:szCs w:val="22"/>
          <w:lang w:val="fr-FR"/>
        </w:rPr>
      </w:pPr>
      <w:r w:rsidRPr="00DB6C66">
        <w:rPr>
          <w:szCs w:val="22"/>
          <w:lang w:val="fr-FR"/>
        </w:rPr>
        <w:t>Mme </w:t>
      </w:r>
      <w:proofErr w:type="spellStart"/>
      <w:r w:rsidRPr="00DB6C66">
        <w:rPr>
          <w:szCs w:val="22"/>
          <w:lang w:val="fr-FR"/>
        </w:rPr>
        <w:t>Alicja</w:t>
      </w:r>
      <w:proofErr w:type="spellEnd"/>
      <w:r w:rsidRPr="00DB6C66">
        <w:rPr>
          <w:szCs w:val="22"/>
          <w:lang w:val="fr-FR"/>
        </w:rPr>
        <w:t xml:space="preserve"> </w:t>
      </w:r>
      <w:proofErr w:type="spellStart"/>
      <w:r w:rsidRPr="00DB6C66">
        <w:rPr>
          <w:szCs w:val="22"/>
          <w:lang w:val="fr-FR"/>
        </w:rPr>
        <w:t>Adamczak</w:t>
      </w:r>
      <w:proofErr w:type="spellEnd"/>
      <w:r w:rsidRPr="00DB6C66">
        <w:rPr>
          <w:szCs w:val="22"/>
          <w:lang w:val="fr-FR"/>
        </w:rPr>
        <w:t>, présidente</w:t>
      </w:r>
      <w:r w:rsidRPr="00DB6C66">
        <w:rPr>
          <w:szCs w:val="22"/>
          <w:lang w:val="fr-FR"/>
        </w:rPr>
        <w:br/>
        <w:t>Office des brevets de la République de Pologne</w:t>
      </w:r>
    </w:p>
    <w:p w:rsidR="00B517D8" w:rsidRPr="00DB6C66" w:rsidRDefault="00B517D8" w:rsidP="006D3583">
      <w:pPr>
        <w:spacing w:after="120" w:line="276" w:lineRule="auto"/>
        <w:rPr>
          <w:szCs w:val="22"/>
          <w:lang w:val="fr-FR"/>
        </w:rPr>
      </w:pPr>
      <w:r w:rsidRPr="00DB6C66">
        <w:rPr>
          <w:szCs w:val="22"/>
          <w:lang w:val="fr-FR"/>
        </w:rPr>
        <w:t xml:space="preserve">M. Josef </w:t>
      </w:r>
      <w:proofErr w:type="spellStart"/>
      <w:r w:rsidRPr="00DB6C66">
        <w:rPr>
          <w:szCs w:val="22"/>
          <w:lang w:val="fr-FR"/>
        </w:rPr>
        <w:t>Kratochvíl</w:t>
      </w:r>
      <w:proofErr w:type="spellEnd"/>
      <w:r w:rsidRPr="00DB6C66">
        <w:rPr>
          <w:szCs w:val="22"/>
          <w:lang w:val="fr-FR"/>
        </w:rPr>
        <w:t>, président</w:t>
      </w:r>
      <w:r w:rsidRPr="00DB6C66">
        <w:rPr>
          <w:szCs w:val="22"/>
          <w:lang w:val="fr-FR"/>
        </w:rPr>
        <w:br/>
        <w:t>Office de la propriété industrielle de la République tchèque</w:t>
      </w:r>
    </w:p>
    <w:p w:rsidR="00B517D8" w:rsidRPr="00DB6C66" w:rsidRDefault="00B517D8" w:rsidP="006D3583">
      <w:pPr>
        <w:spacing w:after="120" w:line="276" w:lineRule="auto"/>
        <w:rPr>
          <w:szCs w:val="22"/>
          <w:lang w:val="fr-FR"/>
        </w:rPr>
      </w:pPr>
      <w:r w:rsidRPr="00DB6C66">
        <w:rPr>
          <w:szCs w:val="22"/>
          <w:lang w:val="fr-FR"/>
        </w:rPr>
        <w:t xml:space="preserve">M. Miklós </w:t>
      </w:r>
      <w:proofErr w:type="spellStart"/>
      <w:r w:rsidRPr="00DB6C66">
        <w:rPr>
          <w:szCs w:val="22"/>
          <w:lang w:val="fr-FR"/>
        </w:rPr>
        <w:t>Bendzel</w:t>
      </w:r>
      <w:proofErr w:type="spellEnd"/>
      <w:r w:rsidRPr="00DB6C66">
        <w:rPr>
          <w:szCs w:val="22"/>
          <w:lang w:val="fr-FR"/>
        </w:rPr>
        <w:t>, président</w:t>
      </w:r>
      <w:r w:rsidRPr="00DB6C66">
        <w:rPr>
          <w:szCs w:val="22"/>
          <w:lang w:val="fr-FR"/>
        </w:rPr>
        <w:br/>
        <w:t>Office de la propriété intellectuelle de Hongrie</w:t>
      </w:r>
    </w:p>
    <w:p w:rsidR="00B517D8" w:rsidRPr="00DB6C66" w:rsidRDefault="00B517D8" w:rsidP="006D3583">
      <w:pPr>
        <w:spacing w:after="120" w:line="276" w:lineRule="auto"/>
        <w:rPr>
          <w:szCs w:val="22"/>
          <w:lang w:val="fr-FR"/>
        </w:rPr>
      </w:pPr>
      <w:r w:rsidRPr="00DB6C66">
        <w:rPr>
          <w:szCs w:val="22"/>
          <w:lang w:val="fr-FR"/>
        </w:rPr>
        <w:t>M. </w:t>
      </w:r>
      <w:proofErr w:type="spellStart"/>
      <w:r w:rsidRPr="00DB6C66">
        <w:rPr>
          <w:szCs w:val="22"/>
          <w:lang w:val="fr-FR"/>
        </w:rPr>
        <w:t>Ľuboš</w:t>
      </w:r>
      <w:proofErr w:type="spellEnd"/>
      <w:r w:rsidRPr="00DB6C66">
        <w:rPr>
          <w:szCs w:val="22"/>
          <w:lang w:val="fr-FR"/>
        </w:rPr>
        <w:t xml:space="preserve"> </w:t>
      </w:r>
      <w:proofErr w:type="spellStart"/>
      <w:r w:rsidRPr="00DB6C66">
        <w:rPr>
          <w:szCs w:val="22"/>
          <w:lang w:val="fr-FR"/>
        </w:rPr>
        <w:t>Knoth</w:t>
      </w:r>
      <w:proofErr w:type="spellEnd"/>
      <w:r w:rsidRPr="00DB6C66">
        <w:rPr>
          <w:szCs w:val="22"/>
          <w:lang w:val="fr-FR"/>
        </w:rPr>
        <w:t>, président</w:t>
      </w:r>
      <w:r w:rsidRPr="00DB6C66">
        <w:rPr>
          <w:szCs w:val="22"/>
          <w:lang w:val="fr-FR"/>
        </w:rPr>
        <w:br/>
        <w:t>Office de la propriété industrielle de la République slovaque</w:t>
      </w:r>
    </w:p>
    <w:p w:rsidR="00B517D8" w:rsidRPr="00DB6C66" w:rsidRDefault="00B517D8" w:rsidP="006D3583">
      <w:pPr>
        <w:rPr>
          <w:szCs w:val="22"/>
          <w:lang w:val="fr-FR"/>
        </w:rPr>
      </w:pPr>
    </w:p>
    <w:p w:rsidR="00B517D8" w:rsidRPr="00DB6C66" w:rsidRDefault="00B517D8" w:rsidP="006D3583">
      <w:pPr>
        <w:rPr>
          <w:szCs w:val="22"/>
          <w:lang w:val="fr-FR"/>
        </w:rPr>
      </w:pPr>
    </w:p>
    <w:p w:rsidR="00B517D8" w:rsidRPr="00DB6C66" w:rsidRDefault="00B517D8" w:rsidP="006D3583">
      <w:pPr>
        <w:rPr>
          <w:szCs w:val="22"/>
          <w:lang w:val="fr-FR"/>
        </w:rPr>
      </w:pPr>
      <w:proofErr w:type="spellStart"/>
      <w:r w:rsidRPr="00DB6C66">
        <w:rPr>
          <w:szCs w:val="22"/>
          <w:lang w:val="fr-FR"/>
        </w:rPr>
        <w:t>Taastrup</w:t>
      </w:r>
      <w:proofErr w:type="spellEnd"/>
      <w:r w:rsidRPr="00DB6C66">
        <w:rPr>
          <w:szCs w:val="22"/>
          <w:lang w:val="fr-FR"/>
        </w:rPr>
        <w:t>, Danemark, 27 mars 2015</w:t>
      </w:r>
    </w:p>
    <w:p w:rsidR="00B517D8" w:rsidRPr="00DB6C66" w:rsidRDefault="00B517D8" w:rsidP="006D3583">
      <w:pPr>
        <w:rPr>
          <w:szCs w:val="22"/>
          <w:lang w:val="fr-FR"/>
        </w:rPr>
      </w:pPr>
    </w:p>
    <w:p w:rsidR="00B517D8" w:rsidRPr="00DB6C66" w:rsidRDefault="00B517D8" w:rsidP="006D3583">
      <w:pPr>
        <w:rPr>
          <w:szCs w:val="22"/>
          <w:lang w:val="fr-FR"/>
        </w:rPr>
      </w:pPr>
    </w:p>
    <w:p w:rsidR="00B517D8" w:rsidRPr="00DB6C66" w:rsidRDefault="00B517D8" w:rsidP="006D3583">
      <w:pPr>
        <w:rPr>
          <w:szCs w:val="22"/>
          <w:lang w:val="fr-FR"/>
        </w:rPr>
      </w:pPr>
    </w:p>
    <w:p w:rsidR="00B517D8" w:rsidRPr="00DB6C66" w:rsidRDefault="00B517D8" w:rsidP="006D3583">
      <w:pPr>
        <w:rPr>
          <w:b/>
          <w:lang w:val="fr-FR"/>
        </w:rPr>
      </w:pPr>
      <w:r w:rsidRPr="00DB6C66">
        <w:rPr>
          <w:b/>
          <w:lang w:val="fr-FR"/>
        </w:rPr>
        <w:t>Rapport sur la visite que les représentants de l</w:t>
      </w:r>
      <w:r w:rsidR="00280EEC">
        <w:rPr>
          <w:b/>
          <w:lang w:val="fr-FR"/>
        </w:rPr>
        <w:t>’</w:t>
      </w:r>
      <w:r w:rsidRPr="00DB6C66">
        <w:rPr>
          <w:b/>
          <w:lang w:val="fr-FR"/>
        </w:rPr>
        <w:t>Institut nordique des brevets (NPI) ont rendue à l</w:t>
      </w:r>
      <w:r w:rsidR="00280EEC">
        <w:rPr>
          <w:b/>
          <w:lang w:val="fr-FR"/>
        </w:rPr>
        <w:t>’</w:t>
      </w:r>
      <w:r w:rsidRPr="00DB6C66">
        <w:rPr>
          <w:b/>
          <w:lang w:val="fr-FR"/>
        </w:rPr>
        <w:t>Office de la propriété industrielle de la République tchèque et à l</w:t>
      </w:r>
      <w:r w:rsidR="00280EEC">
        <w:rPr>
          <w:b/>
          <w:lang w:val="fr-FR"/>
        </w:rPr>
        <w:t>’</w:t>
      </w:r>
      <w:r w:rsidRPr="00DB6C66">
        <w:rPr>
          <w:b/>
          <w:lang w:val="fr-FR"/>
        </w:rPr>
        <w:t>Office des brevets de la République de Pologne les 11 et 12 mars 2015</w:t>
      </w:r>
    </w:p>
    <w:p w:rsidR="00DB6C66" w:rsidRPr="00DB6C66" w:rsidRDefault="00DB6C66" w:rsidP="00620A17">
      <w:pPr>
        <w:pStyle w:val="Heading1"/>
        <w:rPr>
          <w:lang w:val="fr-FR"/>
        </w:rPr>
      </w:pPr>
      <w:r w:rsidRPr="00DB6C66">
        <w:rPr>
          <w:lang w:val="fr-FR"/>
        </w:rPr>
        <w:t>Contexte</w:t>
      </w:r>
    </w:p>
    <w:p w:rsidR="00B517D8" w:rsidRPr="00DB6C66" w:rsidRDefault="00B517D8" w:rsidP="006D3583">
      <w:pPr>
        <w:pStyle w:val="ONUME"/>
        <w:numPr>
          <w:ilvl w:val="0"/>
          <w:numId w:val="0"/>
        </w:numPr>
        <w:rPr>
          <w:lang w:val="fr-FR"/>
        </w:rPr>
      </w:pPr>
      <w:r w:rsidRPr="00DB6C66">
        <w:rPr>
          <w:lang w:val="fr-FR"/>
        </w:rPr>
        <w:t>En janvier 2015, le président de l</w:t>
      </w:r>
      <w:r w:rsidR="00280EEC">
        <w:rPr>
          <w:lang w:val="fr-FR"/>
        </w:rPr>
        <w:t>’</w:t>
      </w:r>
      <w:r w:rsidRPr="00DB6C66">
        <w:rPr>
          <w:szCs w:val="22"/>
          <w:lang w:val="fr-FR"/>
        </w:rPr>
        <w:t>Office de la propriété industrielle de la République tchèque.  M. </w:t>
      </w:r>
      <w:r w:rsidRPr="00DB6C66">
        <w:rPr>
          <w:lang w:val="fr-FR"/>
        </w:rPr>
        <w:t>Josef </w:t>
      </w:r>
      <w:proofErr w:type="spellStart"/>
      <w:r w:rsidRPr="00DB6C66">
        <w:rPr>
          <w:lang w:val="fr-FR"/>
        </w:rPr>
        <w:t>Kratochvíl</w:t>
      </w:r>
      <w:proofErr w:type="spellEnd"/>
      <w:r w:rsidRPr="00DB6C66">
        <w:rPr>
          <w:lang w:val="fr-FR"/>
        </w:rPr>
        <w:t>, et la présidente de l</w:t>
      </w:r>
      <w:r w:rsidR="00280EEC">
        <w:rPr>
          <w:lang w:val="fr-FR"/>
        </w:rPr>
        <w:t>’</w:t>
      </w:r>
      <w:r w:rsidRPr="00DB6C66">
        <w:rPr>
          <w:szCs w:val="22"/>
          <w:lang w:val="fr-FR"/>
        </w:rPr>
        <w:t>Office des brevets de la République de Pologne, Mme </w:t>
      </w:r>
      <w:proofErr w:type="spellStart"/>
      <w:r w:rsidRPr="00DB6C66">
        <w:rPr>
          <w:lang w:val="fr-FR"/>
        </w:rPr>
        <w:t>Alicja</w:t>
      </w:r>
      <w:proofErr w:type="spellEnd"/>
      <w:r w:rsidRPr="00DB6C66">
        <w:rPr>
          <w:lang w:val="fr-FR"/>
        </w:rPr>
        <w:t> </w:t>
      </w:r>
      <w:proofErr w:type="spellStart"/>
      <w:r w:rsidRPr="00DB6C66">
        <w:rPr>
          <w:lang w:val="fr-FR"/>
        </w:rPr>
        <w:t>Adamczak</w:t>
      </w:r>
      <w:proofErr w:type="spellEnd"/>
      <w:r w:rsidRPr="00DB6C66">
        <w:rPr>
          <w:lang w:val="fr-FR"/>
        </w:rPr>
        <w:t>, ont adressé une lettre à Mme </w:t>
      </w:r>
      <w:proofErr w:type="spellStart"/>
      <w:r w:rsidRPr="00DB6C66">
        <w:rPr>
          <w:lang w:val="fr-FR"/>
        </w:rPr>
        <w:t>Borghildur</w:t>
      </w:r>
      <w:proofErr w:type="spellEnd"/>
      <w:r w:rsidRPr="00DB6C66">
        <w:rPr>
          <w:lang w:val="fr-FR"/>
        </w:rPr>
        <w:t> </w:t>
      </w:r>
      <w:proofErr w:type="spellStart"/>
      <w:r w:rsidRPr="00DB6C66">
        <w:rPr>
          <w:lang w:val="fr-FR"/>
        </w:rPr>
        <w:t>Erlingsdóttir</w:t>
      </w:r>
      <w:proofErr w:type="spellEnd"/>
      <w:r w:rsidRPr="00DB6C66">
        <w:rPr>
          <w:lang w:val="fr-FR"/>
        </w:rPr>
        <w:t>, présidente du Conseil d</w:t>
      </w:r>
      <w:r w:rsidR="00280EEC">
        <w:rPr>
          <w:lang w:val="fr-FR"/>
        </w:rPr>
        <w:t>’</w:t>
      </w:r>
      <w:r w:rsidRPr="00DB6C66">
        <w:rPr>
          <w:lang w:val="fr-FR"/>
        </w:rPr>
        <w:t>administration du NPI, pour lui demander de les aider à déterminer dans quelle mesure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(VPI) répondait aux critères fixés pour obtenir le statut d</w:t>
      </w:r>
      <w:r w:rsidR="00280EEC">
        <w:rPr>
          <w:lang w:val="fr-FR"/>
        </w:rPr>
        <w:t>’</w:t>
      </w:r>
      <w:r w:rsidRPr="00DB6C66">
        <w:rPr>
          <w:lang w:val="fr-FR"/>
        </w:rPr>
        <w:t>administration internationale chargée de la recherche internationale et de l</w:t>
      </w:r>
      <w:r w:rsidR="00280EEC">
        <w:rPr>
          <w:lang w:val="fr-FR"/>
        </w:rPr>
        <w:t>’</w:t>
      </w:r>
      <w:r w:rsidRPr="00DB6C66">
        <w:rPr>
          <w:lang w:val="fr-FR"/>
        </w:rPr>
        <w:t>examen préliminaire international.</w:t>
      </w:r>
    </w:p>
    <w:p w:rsidR="00B517D8" w:rsidRPr="00DB6C66" w:rsidRDefault="00B517D8" w:rsidP="006D3583">
      <w:pPr>
        <w:pStyle w:val="ONUME"/>
        <w:numPr>
          <w:ilvl w:val="0"/>
          <w:numId w:val="0"/>
        </w:numPr>
        <w:rPr>
          <w:lang w:val="fr-FR"/>
        </w:rPr>
      </w:pPr>
      <w:r w:rsidRPr="00DB6C66">
        <w:rPr>
          <w:lang w:val="fr-FR"/>
        </w:rPr>
        <w:t>Les 11 et 12 mars 2015, deux représentants du NIP, Mme </w:t>
      </w:r>
      <w:proofErr w:type="spellStart"/>
      <w:r w:rsidRPr="00DB6C66">
        <w:rPr>
          <w:lang w:val="fr-FR"/>
        </w:rPr>
        <w:t>Irene</w:t>
      </w:r>
      <w:proofErr w:type="spellEnd"/>
      <w:r w:rsidRPr="00DB6C66">
        <w:rPr>
          <w:lang w:val="fr-FR"/>
        </w:rPr>
        <w:t> </w:t>
      </w:r>
      <w:proofErr w:type="spellStart"/>
      <w:r w:rsidRPr="00DB6C66">
        <w:rPr>
          <w:lang w:val="fr-FR"/>
        </w:rPr>
        <w:t>Sandøy</w:t>
      </w:r>
      <w:proofErr w:type="spellEnd"/>
      <w:r w:rsidRPr="00DB6C66">
        <w:rPr>
          <w:lang w:val="fr-FR"/>
        </w:rPr>
        <w:t>, Chef du service des brevets de l</w:t>
      </w:r>
      <w:r w:rsidR="00280EEC">
        <w:rPr>
          <w:lang w:val="fr-FR"/>
        </w:rPr>
        <w:t>’</w:t>
      </w:r>
      <w:r w:rsidRPr="00DB6C66">
        <w:rPr>
          <w:lang w:val="fr-FR"/>
        </w:rPr>
        <w:t>Office de la propriété industrielle de Norvège (NIPO), et moi</w:t>
      </w:r>
      <w:r w:rsidR="008117E3">
        <w:rPr>
          <w:lang w:val="fr-FR"/>
        </w:rPr>
        <w:noBreakHyphen/>
      </w:r>
      <w:r w:rsidRPr="00DB6C66">
        <w:rPr>
          <w:lang w:val="fr-FR"/>
        </w:rPr>
        <w:t xml:space="preserve">même, </w:t>
      </w:r>
      <w:proofErr w:type="spellStart"/>
      <w:r w:rsidRPr="00DB6C66">
        <w:rPr>
          <w:lang w:val="fr-FR"/>
        </w:rPr>
        <w:t>Grétar</w:t>
      </w:r>
      <w:proofErr w:type="spellEnd"/>
      <w:r w:rsidRPr="00DB6C66">
        <w:rPr>
          <w:lang w:val="fr-FR"/>
        </w:rPr>
        <w:t> </w:t>
      </w:r>
      <w:proofErr w:type="spellStart"/>
      <w:r w:rsidRPr="00DB6C66">
        <w:rPr>
          <w:lang w:val="fr-FR"/>
        </w:rPr>
        <w:t>Ingi</w:t>
      </w:r>
      <w:proofErr w:type="spellEnd"/>
      <w:r w:rsidRPr="00DB6C66">
        <w:rPr>
          <w:lang w:val="fr-FR"/>
        </w:rPr>
        <w:t> </w:t>
      </w:r>
      <w:proofErr w:type="spellStart"/>
      <w:r w:rsidRPr="00DB6C66">
        <w:rPr>
          <w:lang w:val="fr-FR"/>
        </w:rPr>
        <w:t>Grétarsson</w:t>
      </w:r>
      <w:proofErr w:type="spellEnd"/>
      <w:r w:rsidRPr="00DB6C66">
        <w:rPr>
          <w:lang w:val="fr-FR"/>
        </w:rPr>
        <w:t>, directeur adjoint et chef du service juridique du NPI, nous sommes rendus à l</w:t>
      </w:r>
      <w:r w:rsidR="00280EEC">
        <w:rPr>
          <w:lang w:val="fr-FR"/>
        </w:rPr>
        <w:t>’</w:t>
      </w:r>
      <w:r w:rsidRPr="00DB6C66">
        <w:rPr>
          <w:szCs w:val="22"/>
          <w:lang w:val="fr-FR"/>
        </w:rPr>
        <w:t xml:space="preserve">Office de la propriété industrielle de la République tchèque et à </w:t>
      </w:r>
      <w:r w:rsidRPr="00DB6C66">
        <w:rPr>
          <w:lang w:val="fr-FR"/>
        </w:rPr>
        <w:t>l</w:t>
      </w:r>
      <w:r w:rsidR="00280EEC">
        <w:rPr>
          <w:lang w:val="fr-FR"/>
        </w:rPr>
        <w:t>’</w:t>
      </w:r>
      <w:r w:rsidRPr="00DB6C66">
        <w:rPr>
          <w:szCs w:val="22"/>
          <w:lang w:val="fr-FR"/>
        </w:rPr>
        <w:t>Office des brevets de la République de Pologne.</w:t>
      </w:r>
    </w:p>
    <w:p w:rsidR="00B517D8" w:rsidRPr="00DB6C66" w:rsidRDefault="00B517D8" w:rsidP="006D3583">
      <w:pPr>
        <w:pStyle w:val="ONUME"/>
        <w:numPr>
          <w:ilvl w:val="0"/>
          <w:numId w:val="0"/>
        </w:numPr>
        <w:rPr>
          <w:lang w:val="fr-FR"/>
        </w:rPr>
      </w:pPr>
      <w:r w:rsidRPr="00DB6C66">
        <w:rPr>
          <w:lang w:val="fr-FR"/>
        </w:rPr>
        <w:t xml:space="preserve">Au cours de notre visite, nous avons obtenu des informations détaillées sur </w:t>
      </w:r>
      <w:r w:rsidR="00AC420D" w:rsidRPr="00DB6C66">
        <w:rPr>
          <w:lang w:val="fr-FR"/>
        </w:rPr>
        <w:t>le VPI</w:t>
      </w:r>
      <w:r w:rsidRPr="00DB6C66">
        <w:rPr>
          <w:lang w:val="fr-FR"/>
        </w:rPr>
        <w:t>, et notamment sur sa création, son organisation, sa gestion de la qualité et son cadre juridique, ainsi que sur la manière dont il respecte, par le biais de ses offices participants, les critères requis pour obtenir le statut d</w:t>
      </w:r>
      <w:r w:rsidR="00280EEC">
        <w:rPr>
          <w:lang w:val="fr-FR"/>
        </w:rPr>
        <w:t>’</w:t>
      </w:r>
      <w:r w:rsidRPr="00DB6C66">
        <w:rPr>
          <w:lang w:val="fr-FR"/>
        </w:rPr>
        <w:t>administration internationale chargée de la recherche internationale et de l</w:t>
      </w:r>
      <w:r w:rsidR="00280EEC">
        <w:rPr>
          <w:lang w:val="fr-FR"/>
        </w:rPr>
        <w:t>’</w:t>
      </w:r>
      <w:r w:rsidRPr="00DB6C66">
        <w:rPr>
          <w:lang w:val="fr-FR"/>
        </w:rPr>
        <w:t>examen préliminaire international.</w:t>
      </w:r>
    </w:p>
    <w:p w:rsidR="00B517D8" w:rsidRPr="00DB6C66" w:rsidRDefault="00B517D8" w:rsidP="006D3583">
      <w:pPr>
        <w:pStyle w:val="ONUME"/>
        <w:numPr>
          <w:ilvl w:val="0"/>
          <w:numId w:val="0"/>
        </w:numPr>
        <w:rPr>
          <w:lang w:val="fr-FR"/>
        </w:rPr>
      </w:pPr>
      <w:r w:rsidRPr="00DB6C66">
        <w:rPr>
          <w:lang w:val="fr-FR"/>
        </w:rPr>
        <w:t xml:space="preserve">Nous avons également pu exposer aux représentants </w:t>
      </w:r>
      <w:r w:rsidR="00AC420D" w:rsidRPr="00DB6C66">
        <w:rPr>
          <w:lang w:val="fr-FR"/>
        </w:rPr>
        <w:t xml:space="preserve">du VPI </w:t>
      </w:r>
      <w:r w:rsidRPr="00DB6C66">
        <w:rPr>
          <w:lang w:val="fr-FR"/>
        </w:rPr>
        <w:t>l</w:t>
      </w:r>
      <w:r w:rsidR="00280EEC">
        <w:rPr>
          <w:lang w:val="fr-FR"/>
        </w:rPr>
        <w:t>’</w:t>
      </w:r>
      <w:r w:rsidRPr="00DB6C66">
        <w:rPr>
          <w:lang w:val="fr-FR"/>
        </w:rPr>
        <w:t>organisation du NPI et son mode de fonctionnement en tant qu</w:t>
      </w:r>
      <w:r w:rsidR="00280EEC">
        <w:rPr>
          <w:lang w:val="fr-FR"/>
        </w:rPr>
        <w:t>’</w:t>
      </w:r>
      <w:r w:rsidRPr="00DB6C66">
        <w:rPr>
          <w:lang w:val="fr-FR"/>
        </w:rPr>
        <w:t>administration internationale chargée de la recherche, de l</w:t>
      </w:r>
      <w:r w:rsidR="00280EEC">
        <w:rPr>
          <w:lang w:val="fr-FR"/>
        </w:rPr>
        <w:t>’</w:t>
      </w:r>
      <w:r w:rsidRPr="00DB6C66">
        <w:rPr>
          <w:lang w:val="fr-FR"/>
        </w:rPr>
        <w:t xml:space="preserve">examen préliminaire et de la recherche supplémentaire internationaux selon le PCT.  Nous avons présenté nos procédures, nos modèles de coopération et de coordination et nos </w:t>
      </w:r>
      <w:r w:rsidRPr="00DB6C66">
        <w:rPr>
          <w:lang w:val="fr-FR"/>
        </w:rPr>
        <w:lastRenderedPageBreak/>
        <w:t>méthodes de travail, ainsi que nos systèmes informatiques et nos systèmes de gestion de la qualité.  Nous avons par ailleurs pu rencontrer quelques</w:t>
      </w:r>
      <w:r w:rsidR="008117E3">
        <w:rPr>
          <w:lang w:val="fr-FR"/>
        </w:rPr>
        <w:noBreakHyphen/>
      </w:r>
      <w:r w:rsidRPr="00DB6C66">
        <w:rPr>
          <w:lang w:val="fr-FR"/>
        </w:rPr>
        <w:t>uns des examinateurs des deux offices et voir leur environnement de travail.</w:t>
      </w:r>
    </w:p>
    <w:p w:rsidR="00B517D8" w:rsidRPr="00DB6C66" w:rsidRDefault="00B517D8" w:rsidP="006D3583">
      <w:pPr>
        <w:pStyle w:val="ONUME"/>
        <w:numPr>
          <w:ilvl w:val="0"/>
          <w:numId w:val="0"/>
        </w:numPr>
        <w:rPr>
          <w:lang w:val="fr-FR"/>
        </w:rPr>
      </w:pPr>
      <w:r w:rsidRPr="00DB6C66">
        <w:rPr>
          <w:lang w:val="fr-FR"/>
        </w:rPr>
        <w:t>On trouvera ci</w:t>
      </w:r>
      <w:r w:rsidR="008117E3">
        <w:rPr>
          <w:lang w:val="fr-FR"/>
        </w:rPr>
        <w:noBreakHyphen/>
      </w:r>
      <w:r w:rsidRPr="00DB6C66">
        <w:rPr>
          <w:lang w:val="fr-FR"/>
        </w:rPr>
        <w:t xml:space="preserve">après un résumé indiquant dans quelle mesure nous estimons que </w:t>
      </w:r>
      <w:r w:rsidR="00AC420D" w:rsidRPr="00DB6C66">
        <w:rPr>
          <w:lang w:val="fr-FR"/>
        </w:rPr>
        <w:t xml:space="preserve">le VPI </w:t>
      </w:r>
      <w:r w:rsidRPr="00DB6C66">
        <w:rPr>
          <w:lang w:val="fr-FR"/>
        </w:rPr>
        <w:t>répond aux critères requis pour obtenir le statut d</w:t>
      </w:r>
      <w:r w:rsidR="00280EEC">
        <w:rPr>
          <w:lang w:val="fr-FR"/>
        </w:rPr>
        <w:t>’</w:t>
      </w:r>
      <w:r w:rsidRPr="00DB6C66">
        <w:rPr>
          <w:lang w:val="fr-FR"/>
        </w:rPr>
        <w:t>administration internationale chargée de la recherche internationale selon le PCT.</w:t>
      </w:r>
    </w:p>
    <w:p w:rsidR="00DB6C66" w:rsidRPr="00DB6C66" w:rsidRDefault="00DB6C66" w:rsidP="00620A17">
      <w:pPr>
        <w:pStyle w:val="Heading1"/>
        <w:rPr>
          <w:lang w:val="fr-FR"/>
        </w:rPr>
      </w:pPr>
      <w:r w:rsidRPr="00DB6C66">
        <w:rPr>
          <w:lang w:val="fr-FR"/>
        </w:rPr>
        <w:t>Résumé de nos conclusions</w:t>
      </w:r>
    </w:p>
    <w:p w:rsidR="00B517D8" w:rsidRPr="00DB6C66" w:rsidRDefault="00B517D8" w:rsidP="006D3583">
      <w:pPr>
        <w:pStyle w:val="ONUME"/>
        <w:keepNext/>
        <w:keepLines/>
        <w:numPr>
          <w:ilvl w:val="0"/>
          <w:numId w:val="0"/>
        </w:numPr>
        <w:rPr>
          <w:lang w:val="fr-FR"/>
        </w:rPr>
      </w:pPr>
      <w:r w:rsidRPr="00DB6C66">
        <w:rPr>
          <w:lang w:val="fr-FR"/>
        </w:rPr>
        <w:t>La coopération de l</w:t>
      </w:r>
      <w:r w:rsidR="00280EEC">
        <w:rPr>
          <w:lang w:val="fr-FR"/>
        </w:rPr>
        <w:t>’</w:t>
      </w:r>
      <w:r w:rsidRPr="00DB6C66">
        <w:rPr>
          <w:lang w:val="fr-FR"/>
        </w:rPr>
        <w:t xml:space="preserve">Institut de </w:t>
      </w:r>
      <w:proofErr w:type="spellStart"/>
      <w:r w:rsidRPr="00DB6C66">
        <w:rPr>
          <w:lang w:val="fr-FR"/>
        </w:rPr>
        <w:t>Visegrad</w:t>
      </w:r>
      <w:proofErr w:type="spellEnd"/>
      <w:r w:rsidRPr="00DB6C66">
        <w:rPr>
          <w:lang w:val="fr-FR"/>
        </w:rPr>
        <w:t xml:space="preserve"> des brevets est fondée sur un modèle semblable à celui du NPI : une organisation faîtière s</w:t>
      </w:r>
      <w:r w:rsidR="00280EEC">
        <w:rPr>
          <w:lang w:val="fr-FR"/>
        </w:rPr>
        <w:t>’</w:t>
      </w:r>
      <w:r w:rsidRPr="00DB6C66">
        <w:rPr>
          <w:lang w:val="fr-FR"/>
        </w:rPr>
        <w:t>appuie sur les ressources des offices des brevets nationaux participants, ce qui permet de renforcer les compétences au niveau national et de tirer parti des ressources des offices nationaux ainsi élargies.</w:t>
      </w:r>
    </w:p>
    <w:p w:rsidR="00B517D8" w:rsidRPr="00DB6C66" w:rsidRDefault="00B517D8" w:rsidP="006D3583">
      <w:pPr>
        <w:pStyle w:val="ONUME"/>
        <w:keepNext/>
        <w:keepLines/>
        <w:numPr>
          <w:ilvl w:val="0"/>
          <w:numId w:val="0"/>
        </w:numPr>
        <w:rPr>
          <w:lang w:val="fr-FR"/>
        </w:rPr>
      </w:pPr>
      <w:r w:rsidRPr="00DB6C66">
        <w:rPr>
          <w:lang w:val="fr-FR"/>
        </w:rPr>
        <w:t>Le succès du NPI, qui assume les fonctions d</w:t>
      </w:r>
      <w:r w:rsidR="00280EEC">
        <w:rPr>
          <w:lang w:val="fr-FR"/>
        </w:rPr>
        <w:t>’</w:t>
      </w:r>
      <w:r w:rsidRPr="00DB6C66">
        <w:rPr>
          <w:lang w:val="fr-FR"/>
        </w:rPr>
        <w:t>administration internationale chargée de la recherche et de l</w:t>
      </w:r>
      <w:r w:rsidR="00280EEC">
        <w:rPr>
          <w:lang w:val="fr-FR"/>
        </w:rPr>
        <w:t>’</w:t>
      </w:r>
      <w:r w:rsidRPr="00DB6C66">
        <w:rPr>
          <w:lang w:val="fr-FR"/>
        </w:rPr>
        <w:t>examen préliminaire internationaux depuis plus de sept ans, a montré que ce modèle de coopération peut être extrêmement avantageux pour les petits offices des brevets désireux d</w:t>
      </w:r>
      <w:r w:rsidR="00280EEC">
        <w:rPr>
          <w:lang w:val="fr-FR"/>
        </w:rPr>
        <w:t>’</w:t>
      </w:r>
      <w:r w:rsidRPr="00DB6C66">
        <w:rPr>
          <w:lang w:val="fr-FR"/>
        </w:rPr>
        <w:t>offrir aux demandeurs de leur région une alternative locale pour ces services.</w:t>
      </w:r>
    </w:p>
    <w:p w:rsidR="00B517D8" w:rsidRPr="00DB6C66" w:rsidRDefault="00B517D8" w:rsidP="006D3583">
      <w:pPr>
        <w:pStyle w:val="ONUME"/>
        <w:numPr>
          <w:ilvl w:val="0"/>
          <w:numId w:val="0"/>
        </w:numPr>
        <w:rPr>
          <w:lang w:val="fr-FR"/>
        </w:rPr>
      </w:pPr>
      <w:r w:rsidRPr="00DB6C66">
        <w:rPr>
          <w:lang w:val="fr-FR"/>
        </w:rPr>
        <w:t>Nos travaux d</w:t>
      </w:r>
      <w:r w:rsidR="00280EEC">
        <w:rPr>
          <w:lang w:val="fr-FR"/>
        </w:rPr>
        <w:t>’</w:t>
      </w:r>
      <w:r w:rsidRPr="00DB6C66">
        <w:rPr>
          <w:lang w:val="fr-FR"/>
        </w:rPr>
        <w:t xml:space="preserve">évaluation visant à déterminer dans quelle mesure </w:t>
      </w:r>
      <w:r w:rsidR="00AC420D" w:rsidRPr="00DB6C66">
        <w:rPr>
          <w:lang w:val="fr-FR"/>
        </w:rPr>
        <w:t xml:space="preserve">le VPI </w:t>
      </w:r>
      <w:r w:rsidRPr="00DB6C66">
        <w:rPr>
          <w:lang w:val="fr-FR"/>
        </w:rPr>
        <w:t>remplissait les critères requis pour obtenir le statut d</w:t>
      </w:r>
      <w:r w:rsidR="00280EEC">
        <w:rPr>
          <w:lang w:val="fr-FR"/>
        </w:rPr>
        <w:t>’</w:t>
      </w:r>
      <w:r w:rsidRPr="00DB6C66">
        <w:rPr>
          <w:lang w:val="fr-FR"/>
        </w:rPr>
        <w:t>administration internationale chargée de la recherche et de l</w:t>
      </w:r>
      <w:r w:rsidR="00280EEC">
        <w:rPr>
          <w:lang w:val="fr-FR"/>
        </w:rPr>
        <w:t>’</w:t>
      </w:r>
      <w:r w:rsidRPr="00DB6C66">
        <w:rPr>
          <w:lang w:val="fr-FR"/>
        </w:rPr>
        <w:t>examen préliminaire internationaux, compte tenu des informations qui nous ont été présentées au cours de notre visite, ont conduit aux conclusions suivantes :</w:t>
      </w:r>
    </w:p>
    <w:p w:rsidR="00B517D8" w:rsidRPr="00DB6C66" w:rsidRDefault="00B517D8" w:rsidP="006D3583">
      <w:pPr>
        <w:pStyle w:val="ONUME"/>
        <w:numPr>
          <w:ilvl w:val="1"/>
          <w:numId w:val="25"/>
        </w:numPr>
        <w:rPr>
          <w:lang w:val="fr-FR"/>
        </w:rPr>
      </w:pPr>
      <w:r w:rsidRPr="00DB6C66">
        <w:rPr>
          <w:lang w:val="fr-FR"/>
        </w:rPr>
        <w:t xml:space="preserve">le modèle de coopération </w:t>
      </w:r>
      <w:r w:rsidR="00AC420D" w:rsidRPr="00DB6C66">
        <w:rPr>
          <w:lang w:val="fr-FR"/>
        </w:rPr>
        <w:t xml:space="preserve">du VPI </w:t>
      </w:r>
      <w:r w:rsidRPr="00DB6C66">
        <w:rPr>
          <w:lang w:val="fr-FR"/>
        </w:rPr>
        <w:t>est fondé sur le modèle du NPI, qui a largement fait ses preuves;</w:t>
      </w:r>
    </w:p>
    <w:p w:rsidR="00B517D8" w:rsidRPr="00DB6C66" w:rsidRDefault="00B517D8" w:rsidP="006D3583">
      <w:pPr>
        <w:pStyle w:val="ONUME"/>
        <w:numPr>
          <w:ilvl w:val="1"/>
          <w:numId w:val="25"/>
        </w:numPr>
        <w:rPr>
          <w:lang w:val="fr-FR"/>
        </w:rPr>
      </w:pPr>
      <w:r w:rsidRPr="00DB6C66">
        <w:rPr>
          <w:lang w:val="fr-FR"/>
        </w:rPr>
        <w:t xml:space="preserve">en tant que projet de coopération regroupant quatre offices des brevets, </w:t>
      </w:r>
      <w:r w:rsidR="00AC420D" w:rsidRPr="00DB6C66">
        <w:rPr>
          <w:lang w:val="fr-FR"/>
        </w:rPr>
        <w:t xml:space="preserve">le VPI </w:t>
      </w:r>
      <w:r w:rsidRPr="00DB6C66">
        <w:rPr>
          <w:lang w:val="fr-FR"/>
        </w:rPr>
        <w:t>répondra au critère minimum de 100 examinateurs qualifiés sur le plan technique et employés à plein temps;</w:t>
      </w:r>
    </w:p>
    <w:p w:rsidR="00B517D8" w:rsidRPr="00DB6C66" w:rsidRDefault="00B517D8" w:rsidP="006D3583">
      <w:pPr>
        <w:pStyle w:val="ONUME"/>
        <w:numPr>
          <w:ilvl w:val="1"/>
          <w:numId w:val="25"/>
        </w:numPr>
        <w:rPr>
          <w:lang w:val="fr-FR"/>
        </w:rPr>
      </w:pPr>
      <w:r w:rsidRPr="00DB6C66">
        <w:rPr>
          <w:lang w:val="fr-FR"/>
        </w:rPr>
        <w:t>les deux offices ont montré que le niveau de compétences techniques des examinateurs et leur formation répondaient à des normes de qualité élevées;</w:t>
      </w:r>
    </w:p>
    <w:p w:rsidR="00B517D8" w:rsidRPr="00DB6C66" w:rsidRDefault="00B517D8" w:rsidP="006D3583">
      <w:pPr>
        <w:pStyle w:val="ONUME"/>
        <w:numPr>
          <w:ilvl w:val="1"/>
          <w:numId w:val="25"/>
        </w:numPr>
        <w:rPr>
          <w:lang w:val="fr-FR"/>
        </w:rPr>
      </w:pPr>
      <w:r w:rsidRPr="00DB6C66">
        <w:rPr>
          <w:lang w:val="fr-FR"/>
        </w:rPr>
        <w:t>en tant qu</w:t>
      </w:r>
      <w:r w:rsidR="00280EEC">
        <w:rPr>
          <w:lang w:val="fr-FR"/>
        </w:rPr>
        <w:t>’</w:t>
      </w:r>
      <w:r w:rsidRPr="00DB6C66">
        <w:rPr>
          <w:lang w:val="fr-FR"/>
        </w:rPr>
        <w:t>États contractants de la Convention sur le brevet euro</w:t>
      </w:r>
      <w:r w:rsidR="00AC420D" w:rsidRPr="00DB6C66">
        <w:rPr>
          <w:lang w:val="fr-FR"/>
        </w:rPr>
        <w:t>péen, les offices participant</w:t>
      </w:r>
      <w:r w:rsidR="004477D3" w:rsidRPr="00DB6C66">
        <w:rPr>
          <w:lang w:val="fr-FR"/>
        </w:rPr>
        <w:t>s</w:t>
      </w:r>
      <w:r w:rsidR="00AC420D" w:rsidRPr="00DB6C66">
        <w:rPr>
          <w:lang w:val="fr-FR"/>
        </w:rPr>
        <w:t xml:space="preserve"> du VPI </w:t>
      </w:r>
      <w:r w:rsidRPr="00DB6C66">
        <w:rPr>
          <w:lang w:val="fr-FR"/>
        </w:rPr>
        <w:t xml:space="preserve">ont accès à </w:t>
      </w:r>
      <w:proofErr w:type="spellStart"/>
      <w:r w:rsidRPr="00DB6C66">
        <w:rPr>
          <w:lang w:val="fr-FR"/>
        </w:rPr>
        <w:t>EPOQUENet</w:t>
      </w:r>
      <w:proofErr w:type="spellEnd"/>
      <w:r w:rsidRPr="00DB6C66">
        <w:rPr>
          <w:lang w:val="fr-FR"/>
        </w:rPr>
        <w:t>, ce qui leur permet de consulter toutes les bases de données de brevets conformément aux critères de documentation minimale du PCT.  Ils ont aussi accès à la plupart des bases de données de littérature non</w:t>
      </w:r>
      <w:r w:rsidR="008117E3">
        <w:rPr>
          <w:lang w:val="fr-FR"/>
        </w:rPr>
        <w:noBreakHyphen/>
      </w:r>
      <w:r w:rsidRPr="00DB6C66">
        <w:rPr>
          <w:lang w:val="fr-FR"/>
        </w:rPr>
        <w:t>brevet, et disposent en outre de larges bases de données nationales et de nombreuses bases de données commerciales de brevets et de documentation non</w:t>
      </w:r>
      <w:r w:rsidR="008117E3">
        <w:rPr>
          <w:lang w:val="fr-FR"/>
        </w:rPr>
        <w:noBreakHyphen/>
      </w:r>
      <w:r w:rsidRPr="00DB6C66">
        <w:rPr>
          <w:lang w:val="fr-FR"/>
        </w:rPr>
        <w:t>brevet;</w:t>
      </w:r>
    </w:p>
    <w:p w:rsidR="00B517D8" w:rsidRPr="00DB6C66" w:rsidRDefault="00B517D8" w:rsidP="006D3583">
      <w:pPr>
        <w:pStyle w:val="ONUME"/>
        <w:numPr>
          <w:ilvl w:val="1"/>
          <w:numId w:val="25"/>
        </w:numPr>
        <w:rPr>
          <w:lang w:val="fr-FR"/>
        </w:rPr>
      </w:pPr>
      <w:r w:rsidRPr="00DB6C66">
        <w:rPr>
          <w:lang w:val="fr-FR"/>
        </w:rPr>
        <w:t>les offices partic</w:t>
      </w:r>
      <w:r w:rsidR="00AC420D" w:rsidRPr="00DB6C66">
        <w:rPr>
          <w:lang w:val="fr-FR"/>
        </w:rPr>
        <w:t>ipant</w:t>
      </w:r>
      <w:r w:rsidR="004477D3" w:rsidRPr="00DB6C66">
        <w:rPr>
          <w:lang w:val="fr-FR"/>
        </w:rPr>
        <w:t>s</w:t>
      </w:r>
      <w:r w:rsidR="00AC420D" w:rsidRPr="00DB6C66">
        <w:rPr>
          <w:lang w:val="fr-FR"/>
        </w:rPr>
        <w:t xml:space="preserve"> </w:t>
      </w:r>
      <w:r w:rsidR="004477D3" w:rsidRPr="00DB6C66">
        <w:rPr>
          <w:lang w:val="fr-FR"/>
        </w:rPr>
        <w:t>d</w:t>
      </w:r>
      <w:r w:rsidR="00AC420D" w:rsidRPr="00DB6C66">
        <w:rPr>
          <w:lang w:val="fr-FR"/>
        </w:rPr>
        <w:t>u VPI</w:t>
      </w:r>
      <w:r w:rsidRPr="00DB6C66">
        <w:rPr>
          <w:lang w:val="fr-FR"/>
        </w:rPr>
        <w:t xml:space="preserve"> disposent de systèmes de gestion de la qualité instaurés de longue date qui couvrent l</w:t>
      </w:r>
      <w:r w:rsidR="00280EEC">
        <w:rPr>
          <w:lang w:val="fr-FR"/>
        </w:rPr>
        <w:t>’</w:t>
      </w:r>
      <w:r w:rsidRPr="00DB6C66">
        <w:rPr>
          <w:lang w:val="fr-FR"/>
        </w:rPr>
        <w:t>ensemble de leurs procédures d</w:t>
      </w:r>
      <w:r w:rsidR="00280EEC">
        <w:rPr>
          <w:lang w:val="fr-FR"/>
        </w:rPr>
        <w:t>’</w:t>
      </w:r>
      <w:r w:rsidRPr="00DB6C66">
        <w:rPr>
          <w:lang w:val="fr-FR"/>
        </w:rPr>
        <w:t xml:space="preserve">octroi de brevets nationaux.  Il ne devrait donc pas être très compliqué pour </w:t>
      </w:r>
      <w:r w:rsidR="00AC420D" w:rsidRPr="00DB6C66">
        <w:rPr>
          <w:lang w:val="fr-FR"/>
        </w:rPr>
        <w:t xml:space="preserve">le VPI </w:t>
      </w:r>
      <w:r w:rsidRPr="00DB6C66">
        <w:rPr>
          <w:lang w:val="fr-FR"/>
        </w:rPr>
        <w:t>d</w:t>
      </w:r>
      <w:r w:rsidR="00280EEC">
        <w:rPr>
          <w:lang w:val="fr-FR"/>
        </w:rPr>
        <w:t>’</w:t>
      </w:r>
      <w:r w:rsidRPr="00DB6C66">
        <w:rPr>
          <w:lang w:val="fr-FR"/>
        </w:rPr>
        <w:t>établir un nouveau système de gestion de la qualité ou d</w:t>
      </w:r>
      <w:r w:rsidR="00280EEC">
        <w:rPr>
          <w:lang w:val="fr-FR"/>
        </w:rPr>
        <w:t>’</w:t>
      </w:r>
      <w:r w:rsidRPr="00DB6C66">
        <w:rPr>
          <w:lang w:val="fr-FR"/>
        </w:rPr>
        <w:t>harmoniser les processus et procédures nationaux.</w:t>
      </w:r>
    </w:p>
    <w:p w:rsidR="00B517D8" w:rsidRPr="00DB6C66" w:rsidRDefault="00B517D8" w:rsidP="006D3583">
      <w:pPr>
        <w:pStyle w:val="ONUME"/>
        <w:numPr>
          <w:ilvl w:val="0"/>
          <w:numId w:val="0"/>
        </w:numPr>
        <w:rPr>
          <w:lang w:val="fr-FR"/>
        </w:rPr>
      </w:pPr>
      <w:r w:rsidRPr="00DB6C66">
        <w:rPr>
          <w:lang w:val="fr-FR"/>
        </w:rPr>
        <w:t>Au terme de notre visite, et compte tenu de notre expérience, nous avons insisté sur le fait que les offices participant</w:t>
      </w:r>
      <w:r w:rsidR="004477D3" w:rsidRPr="00DB6C66">
        <w:rPr>
          <w:lang w:val="fr-FR"/>
        </w:rPr>
        <w:t>s</w:t>
      </w:r>
      <w:r w:rsidRPr="00DB6C66">
        <w:rPr>
          <w:lang w:val="fr-FR"/>
        </w:rPr>
        <w:t xml:space="preserve"> </w:t>
      </w:r>
      <w:r w:rsidR="00AC420D" w:rsidRPr="00DB6C66">
        <w:rPr>
          <w:lang w:val="fr-FR"/>
        </w:rPr>
        <w:t xml:space="preserve">du VPI </w:t>
      </w:r>
      <w:r w:rsidRPr="00DB6C66">
        <w:rPr>
          <w:lang w:val="fr-FR"/>
        </w:rPr>
        <w:t>avaient encore beaucoup à faire pour mettre en œuvre et harmoniser des processus et des méthodes de travail au sein du système de gestion de la qualité, pour mettre en place des systèmes informatiques communs et pour former leur personnel.  Ces travaux ne doivent pas être sous</w:t>
      </w:r>
      <w:r w:rsidR="008117E3">
        <w:rPr>
          <w:lang w:val="fr-FR"/>
        </w:rPr>
        <w:noBreakHyphen/>
      </w:r>
      <w:r w:rsidRPr="00DB6C66">
        <w:rPr>
          <w:lang w:val="fr-FR"/>
        </w:rPr>
        <w:t>estimés.  Néanmoins, nous sommes convaincus que tous les offices participant</w:t>
      </w:r>
      <w:r w:rsidR="004477D3" w:rsidRPr="00DB6C66">
        <w:rPr>
          <w:lang w:val="fr-FR"/>
        </w:rPr>
        <w:t>s</w:t>
      </w:r>
      <w:r w:rsidRPr="00DB6C66">
        <w:rPr>
          <w:lang w:val="fr-FR"/>
        </w:rPr>
        <w:t xml:space="preserve"> </w:t>
      </w:r>
      <w:r w:rsidR="00AC420D" w:rsidRPr="00DB6C66">
        <w:rPr>
          <w:lang w:val="fr-FR"/>
        </w:rPr>
        <w:t xml:space="preserve">du VPI </w:t>
      </w:r>
      <w:r w:rsidRPr="00DB6C66">
        <w:rPr>
          <w:lang w:val="fr-FR"/>
        </w:rPr>
        <w:t>sont bien préparés pour relever ce défi.</w:t>
      </w:r>
    </w:p>
    <w:p w:rsidR="00B517D8" w:rsidRPr="00DB6C66" w:rsidRDefault="00B517D8" w:rsidP="00620A17">
      <w:pPr>
        <w:pStyle w:val="ONUME"/>
        <w:keepLines/>
        <w:numPr>
          <w:ilvl w:val="0"/>
          <w:numId w:val="0"/>
        </w:numPr>
        <w:rPr>
          <w:lang w:val="fr-FR"/>
        </w:rPr>
      </w:pPr>
      <w:r w:rsidRPr="00DB6C66">
        <w:rPr>
          <w:lang w:val="fr-FR"/>
        </w:rPr>
        <w:lastRenderedPageBreak/>
        <w:t>Dès lors, notre visite à l</w:t>
      </w:r>
      <w:r w:rsidR="00280EEC">
        <w:rPr>
          <w:lang w:val="fr-FR"/>
        </w:rPr>
        <w:t>’</w:t>
      </w:r>
      <w:r w:rsidRPr="00DB6C66">
        <w:rPr>
          <w:szCs w:val="22"/>
          <w:lang w:val="fr-FR"/>
        </w:rPr>
        <w:t xml:space="preserve">Office de la propriété industrielle de la République tchèque et à </w:t>
      </w:r>
      <w:r w:rsidRPr="00DB6C66">
        <w:rPr>
          <w:lang w:val="fr-FR"/>
        </w:rPr>
        <w:t>l</w:t>
      </w:r>
      <w:r w:rsidR="00280EEC">
        <w:rPr>
          <w:lang w:val="fr-FR"/>
        </w:rPr>
        <w:t>’</w:t>
      </w:r>
      <w:r w:rsidRPr="00DB6C66">
        <w:rPr>
          <w:szCs w:val="22"/>
          <w:lang w:val="fr-FR"/>
        </w:rPr>
        <w:t>Office des brevets de la République de Pologne n</w:t>
      </w:r>
      <w:r w:rsidR="00280EEC">
        <w:rPr>
          <w:szCs w:val="22"/>
          <w:lang w:val="fr-FR"/>
        </w:rPr>
        <w:t>’</w:t>
      </w:r>
      <w:r w:rsidRPr="00DB6C66">
        <w:rPr>
          <w:szCs w:val="22"/>
          <w:lang w:val="fr-FR"/>
        </w:rPr>
        <w:t xml:space="preserve">a révélé </w:t>
      </w:r>
      <w:r w:rsidRPr="00DB6C66">
        <w:rPr>
          <w:lang w:val="fr-FR"/>
        </w:rPr>
        <w:t>aucun point particulier susceptible de remettre sérieusement en cause la capacité de ces pays de remplir les critères de nomination définis dans la règle 36.1 du PCT.</w:t>
      </w:r>
    </w:p>
    <w:p w:rsidR="00B517D8" w:rsidRPr="00DB6C66" w:rsidRDefault="00B517D8" w:rsidP="006D3583">
      <w:pPr>
        <w:pStyle w:val="ONUME"/>
        <w:numPr>
          <w:ilvl w:val="0"/>
          <w:numId w:val="0"/>
        </w:numPr>
        <w:rPr>
          <w:lang w:val="fr-FR"/>
        </w:rPr>
      </w:pPr>
      <w:r w:rsidRPr="00DB6C66">
        <w:rPr>
          <w:lang w:val="fr-FR"/>
        </w:rPr>
        <w:t>Nous sommes disposés à présenter notre évaluation au Comité de coopération technique et à l</w:t>
      </w:r>
      <w:r w:rsidR="00280EEC">
        <w:rPr>
          <w:lang w:val="fr-FR"/>
        </w:rPr>
        <w:t>’</w:t>
      </w:r>
      <w:r w:rsidRPr="00DB6C66">
        <w:rPr>
          <w:lang w:val="fr-FR"/>
        </w:rPr>
        <w:t>Assemblée de l</w:t>
      </w:r>
      <w:r w:rsidR="00280EEC">
        <w:rPr>
          <w:lang w:val="fr-FR"/>
        </w:rPr>
        <w:t>’</w:t>
      </w:r>
      <w:r w:rsidRPr="00DB6C66">
        <w:rPr>
          <w:lang w:val="fr-FR"/>
        </w:rPr>
        <w:t>Union du PCT.</w:t>
      </w:r>
    </w:p>
    <w:p w:rsidR="00B517D8" w:rsidRPr="00DB6C66" w:rsidRDefault="00B517D8" w:rsidP="006D3583">
      <w:pPr>
        <w:rPr>
          <w:lang w:val="fr-FR"/>
        </w:rPr>
      </w:pPr>
      <w:r w:rsidRPr="00DB6C66">
        <w:rPr>
          <w:lang w:val="fr-FR"/>
        </w:rPr>
        <w:t>Veuillez agréer l</w:t>
      </w:r>
      <w:r w:rsidR="00280EEC">
        <w:rPr>
          <w:lang w:val="fr-FR"/>
        </w:rPr>
        <w:t>’</w:t>
      </w:r>
      <w:r w:rsidRPr="00DB6C66">
        <w:rPr>
          <w:lang w:val="fr-FR"/>
        </w:rPr>
        <w:t>assurance de ma haute considération.</w:t>
      </w:r>
    </w:p>
    <w:p w:rsidR="00B517D8" w:rsidRPr="00DB6C66" w:rsidRDefault="00B517D8" w:rsidP="006D3583">
      <w:pPr>
        <w:rPr>
          <w:lang w:val="fr-FR"/>
        </w:rPr>
      </w:pPr>
    </w:p>
    <w:p w:rsidR="00B517D8" w:rsidRPr="00DB6C66" w:rsidRDefault="00B517D8" w:rsidP="006D3583">
      <w:pPr>
        <w:rPr>
          <w:lang w:val="fr-FR"/>
        </w:rPr>
      </w:pPr>
      <w:proofErr w:type="spellStart"/>
      <w:r w:rsidRPr="00DB6C66">
        <w:rPr>
          <w:lang w:val="fr-FR"/>
        </w:rPr>
        <w:t>Grétar</w:t>
      </w:r>
      <w:proofErr w:type="spellEnd"/>
      <w:r w:rsidRPr="00DB6C66">
        <w:rPr>
          <w:lang w:val="fr-FR"/>
        </w:rPr>
        <w:t xml:space="preserve"> </w:t>
      </w:r>
      <w:proofErr w:type="spellStart"/>
      <w:r w:rsidRPr="00DB6C66">
        <w:rPr>
          <w:lang w:val="fr-FR"/>
        </w:rPr>
        <w:t>Ingi</w:t>
      </w:r>
      <w:proofErr w:type="spellEnd"/>
      <w:r w:rsidRPr="00DB6C66">
        <w:rPr>
          <w:lang w:val="fr-FR"/>
        </w:rPr>
        <w:t xml:space="preserve"> </w:t>
      </w:r>
      <w:proofErr w:type="spellStart"/>
      <w:r w:rsidRPr="00DB6C66">
        <w:rPr>
          <w:lang w:val="fr-FR"/>
        </w:rPr>
        <w:t>Grétarsson</w:t>
      </w:r>
      <w:proofErr w:type="spellEnd"/>
    </w:p>
    <w:p w:rsidR="00B517D8" w:rsidRPr="00DB6C66" w:rsidRDefault="00B517D8" w:rsidP="006D3583">
      <w:pPr>
        <w:rPr>
          <w:lang w:val="fr-FR"/>
        </w:rPr>
      </w:pPr>
      <w:proofErr w:type="gramStart"/>
      <w:r w:rsidRPr="00DB6C66">
        <w:rPr>
          <w:lang w:val="fr-FR"/>
        </w:rPr>
        <w:t>directeur</w:t>
      </w:r>
      <w:proofErr w:type="gramEnd"/>
      <w:r w:rsidRPr="00DB6C66">
        <w:rPr>
          <w:lang w:val="fr-FR"/>
        </w:rPr>
        <w:t xml:space="preserve"> adjoint et chef du service juridique</w:t>
      </w:r>
    </w:p>
    <w:p w:rsidR="00B517D8" w:rsidRPr="00DB6C66" w:rsidRDefault="00B517D8" w:rsidP="006D3583">
      <w:pPr>
        <w:rPr>
          <w:lang w:val="fr-FR"/>
        </w:rPr>
      </w:pPr>
      <w:r w:rsidRPr="00DB6C66">
        <w:rPr>
          <w:lang w:val="fr-FR"/>
        </w:rPr>
        <w:t>Institut nordique des brevets</w:t>
      </w:r>
    </w:p>
    <w:p w:rsidR="00B517D8" w:rsidRPr="00DB6C66" w:rsidRDefault="00B517D8" w:rsidP="006D3583">
      <w:pPr>
        <w:rPr>
          <w:lang w:val="fr-FR"/>
        </w:rPr>
      </w:pPr>
    </w:p>
    <w:p w:rsidR="00DB6C66" w:rsidRPr="00DB6C66" w:rsidRDefault="00DB6C66" w:rsidP="006D3583">
      <w:pPr>
        <w:rPr>
          <w:lang w:val="fr-FR"/>
        </w:rPr>
      </w:pPr>
    </w:p>
    <w:p w:rsidR="00DB6C66" w:rsidRPr="00DB6C66" w:rsidRDefault="00DB6C66" w:rsidP="006D3583">
      <w:pPr>
        <w:rPr>
          <w:lang w:val="fr-FR"/>
        </w:rPr>
      </w:pPr>
    </w:p>
    <w:p w:rsidR="00B517D8" w:rsidRPr="00DB6C66" w:rsidRDefault="00B517D8" w:rsidP="006D3583">
      <w:pPr>
        <w:pStyle w:val="Endofdocument-Annex"/>
        <w:rPr>
          <w:lang w:val="fr-FR"/>
        </w:rPr>
      </w:pPr>
      <w:r w:rsidRPr="00DB6C66">
        <w:rPr>
          <w:lang w:val="fr-FR"/>
        </w:rPr>
        <w:t>[Fin de l</w:t>
      </w:r>
      <w:r w:rsidR="00280EEC">
        <w:rPr>
          <w:lang w:val="fr-FR"/>
        </w:rPr>
        <w:t>’</w:t>
      </w:r>
      <w:r w:rsidRPr="00DB6C66">
        <w:rPr>
          <w:lang w:val="fr-FR"/>
        </w:rPr>
        <w:t>annexe II et du document]</w:t>
      </w:r>
    </w:p>
    <w:sectPr w:rsidR="00B517D8" w:rsidRPr="00DB6C66" w:rsidSect="006D3583">
      <w:headerReference w:type="default" r:id="rId19"/>
      <w:head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55" w:rsidRDefault="00E84955">
      <w:r>
        <w:separator/>
      </w:r>
    </w:p>
  </w:endnote>
  <w:endnote w:type="continuationSeparator" w:id="0">
    <w:p w:rsidR="00E84955" w:rsidRDefault="00E84955" w:rsidP="003B38C1">
      <w:r>
        <w:separator/>
      </w:r>
    </w:p>
    <w:p w:rsidR="00E84955" w:rsidRPr="003B38C1" w:rsidRDefault="00E84955" w:rsidP="003B38C1">
      <w:pPr>
        <w:spacing w:after="60"/>
        <w:rPr>
          <w:sz w:val="17"/>
        </w:rPr>
      </w:pPr>
      <w:r>
        <w:rPr>
          <w:sz w:val="17"/>
        </w:rPr>
        <w:t>[Endnote continued from previous page]</w:t>
      </w:r>
    </w:p>
  </w:endnote>
  <w:endnote w:type="continuationNotice" w:id="1">
    <w:p w:rsidR="00E84955" w:rsidRPr="003B38C1" w:rsidRDefault="00E8495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Pr="00A67287" w:rsidRDefault="00E84955" w:rsidP="00620A17">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Pr="00A67287" w:rsidRDefault="00E84955" w:rsidP="00A672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55" w:rsidRDefault="00E84955">
      <w:r>
        <w:separator/>
      </w:r>
    </w:p>
  </w:footnote>
  <w:footnote w:type="continuationSeparator" w:id="0">
    <w:p w:rsidR="00E84955" w:rsidRDefault="00E84955" w:rsidP="008B60B2">
      <w:r>
        <w:separator/>
      </w:r>
    </w:p>
    <w:p w:rsidR="00E84955" w:rsidRPr="00ED77FB" w:rsidRDefault="00E84955" w:rsidP="008B60B2">
      <w:pPr>
        <w:spacing w:after="60"/>
        <w:rPr>
          <w:sz w:val="17"/>
          <w:szCs w:val="17"/>
        </w:rPr>
      </w:pPr>
      <w:r w:rsidRPr="00ED77FB">
        <w:rPr>
          <w:sz w:val="17"/>
          <w:szCs w:val="17"/>
        </w:rPr>
        <w:t>[Footnote continued from previous page]</w:t>
      </w:r>
    </w:p>
  </w:footnote>
  <w:footnote w:type="continuationNotice" w:id="1">
    <w:p w:rsidR="00E84955" w:rsidRPr="00ED77FB" w:rsidRDefault="00E84955" w:rsidP="008B60B2">
      <w:pPr>
        <w:spacing w:before="60"/>
        <w:jc w:val="right"/>
        <w:rPr>
          <w:sz w:val="17"/>
          <w:szCs w:val="17"/>
        </w:rPr>
      </w:pPr>
      <w:r w:rsidRPr="00ED77FB">
        <w:rPr>
          <w:sz w:val="17"/>
          <w:szCs w:val="17"/>
        </w:rPr>
        <w:t>[Footnote continued on next page]</w:t>
      </w:r>
    </w:p>
  </w:footnote>
  <w:footnote w:id="2">
    <w:p w:rsidR="00E84955" w:rsidRPr="00855637" w:rsidRDefault="00E84955" w:rsidP="00614BC3">
      <w:pPr>
        <w:pStyle w:val="FootnoteText"/>
        <w:rPr>
          <w:lang w:val="fr-FR"/>
        </w:rPr>
      </w:pPr>
      <w:r>
        <w:rPr>
          <w:rStyle w:val="FootnoteReference"/>
        </w:rPr>
        <w:footnoteRef/>
      </w:r>
      <w:r w:rsidRPr="00855637">
        <w:rPr>
          <w:lang w:val="fr-FR"/>
        </w:rPr>
        <w:tab/>
        <w:t xml:space="preserve">Commission européenne [établi par Hugo </w:t>
      </w:r>
      <w:proofErr w:type="spellStart"/>
      <w:r w:rsidRPr="00855637">
        <w:rPr>
          <w:lang w:val="fr-FR"/>
        </w:rPr>
        <w:t>Hollanders</w:t>
      </w:r>
      <w:proofErr w:type="spellEnd"/>
      <w:r w:rsidRPr="00855637">
        <w:rPr>
          <w:lang w:val="fr-FR"/>
        </w:rPr>
        <w:t xml:space="preserve"> et </w:t>
      </w:r>
      <w:proofErr w:type="spellStart"/>
      <w:r w:rsidRPr="00855637">
        <w:rPr>
          <w:lang w:val="fr-FR"/>
        </w:rPr>
        <w:t>Nordine</w:t>
      </w:r>
      <w:proofErr w:type="spellEnd"/>
      <w:r w:rsidRPr="00855637">
        <w:rPr>
          <w:lang w:val="fr-FR"/>
        </w:rPr>
        <w:t xml:space="preserve"> Es-</w:t>
      </w:r>
      <w:proofErr w:type="spellStart"/>
      <w:r w:rsidRPr="00855637">
        <w:rPr>
          <w:lang w:val="fr-FR"/>
        </w:rPr>
        <w:t>Sadki</w:t>
      </w:r>
      <w:proofErr w:type="spellEnd"/>
      <w:r w:rsidRPr="00855637">
        <w:rPr>
          <w:lang w:val="fr-FR"/>
        </w:rPr>
        <w:t>, UNU-MERIT, disponible en ligne (en anglais) sur : http://ec.europa.eu/enterprise/policies/innovation/files/ius/ius-2014_en.pdf]</w:t>
      </w:r>
    </w:p>
  </w:footnote>
  <w:footnote w:id="3">
    <w:p w:rsidR="00E84955" w:rsidRPr="00855637" w:rsidRDefault="00E84955" w:rsidP="00614BC3">
      <w:pPr>
        <w:pStyle w:val="FootnoteText"/>
        <w:rPr>
          <w:lang w:val="fr-FR"/>
        </w:rPr>
      </w:pPr>
      <w:r>
        <w:rPr>
          <w:rStyle w:val="FootnoteReference"/>
        </w:rPr>
        <w:footnoteRef/>
      </w:r>
      <w:r>
        <w:tab/>
        <w:t>C</w:t>
      </w:r>
      <w:r>
        <w:rPr>
          <w:lang w:eastAsia="hu-HU"/>
        </w:rPr>
        <w:t xml:space="preserve">ornell University, </w:t>
      </w:r>
      <w:r w:rsidRPr="00811E82">
        <w:rPr>
          <w:lang w:eastAsia="hu-HU"/>
        </w:rPr>
        <w:t>INSEAD</w:t>
      </w:r>
      <w:r>
        <w:rPr>
          <w:lang w:eastAsia="hu-HU"/>
        </w:rPr>
        <w:t xml:space="preserve"> </w:t>
      </w:r>
      <w:proofErr w:type="gramStart"/>
      <w:r>
        <w:rPr>
          <w:lang w:eastAsia="hu-HU"/>
        </w:rPr>
        <w:t>et</w:t>
      </w:r>
      <w:proofErr w:type="gramEnd"/>
      <w:r>
        <w:rPr>
          <w:lang w:eastAsia="hu-HU"/>
        </w:rPr>
        <w:t xml:space="preserve"> OMPI (2014): </w:t>
      </w:r>
      <w:r>
        <w:rPr>
          <w:i/>
          <w:lang w:eastAsia="hu-HU"/>
        </w:rPr>
        <w:t>The Global Innovation Index 2014: The Human Factor In Innovation</w:t>
      </w:r>
      <w:r>
        <w:rPr>
          <w:lang w:eastAsia="hu-HU"/>
        </w:rPr>
        <w:t xml:space="preserve">, Fontainebleau, Ithaca et Genève. </w:t>
      </w:r>
      <w:r w:rsidRPr="00855637">
        <w:rPr>
          <w:lang w:val="fr-FR" w:eastAsia="hu-HU"/>
        </w:rPr>
        <w:t xml:space="preserve">Disponible (en anglais) en ligne sur : </w:t>
      </w:r>
      <w:r w:rsidRPr="00855637">
        <w:rPr>
          <w:lang w:val="fr-FR"/>
        </w:rPr>
        <w:t>https://www.globalinnovationindex.org/userfiles/file/reportpdf/GII-2014-v5.pdf</w:t>
      </w:r>
    </w:p>
  </w:footnote>
  <w:footnote w:id="4">
    <w:p w:rsidR="00E84955" w:rsidRPr="00855637" w:rsidRDefault="00E84955" w:rsidP="00614BC3">
      <w:pPr>
        <w:pStyle w:val="FootnoteText"/>
        <w:rPr>
          <w:lang w:val="fr-FR"/>
        </w:rPr>
      </w:pPr>
      <w:r>
        <w:rPr>
          <w:rStyle w:val="FootnoteReference"/>
        </w:rPr>
        <w:footnoteRef/>
      </w:r>
      <w:r w:rsidRPr="00855637">
        <w:rPr>
          <w:lang w:val="fr-FR"/>
        </w:rPr>
        <w:tab/>
        <w:t xml:space="preserve">Office européen des brevets – Office de l’harmonisation dans le marché intérieur: </w:t>
      </w:r>
      <w:proofErr w:type="spellStart"/>
      <w:r w:rsidRPr="00855637">
        <w:rPr>
          <w:i/>
          <w:lang w:val="fr-FR"/>
        </w:rPr>
        <w:t>Intellectual</w:t>
      </w:r>
      <w:proofErr w:type="spellEnd"/>
      <w:r w:rsidRPr="00855637">
        <w:rPr>
          <w:i/>
          <w:lang w:val="fr-FR"/>
        </w:rPr>
        <w:t xml:space="preserve"> </w:t>
      </w:r>
      <w:proofErr w:type="spellStart"/>
      <w:r w:rsidRPr="00855637">
        <w:rPr>
          <w:i/>
          <w:lang w:val="fr-FR"/>
        </w:rPr>
        <w:t>property</w:t>
      </w:r>
      <w:proofErr w:type="spellEnd"/>
      <w:r w:rsidRPr="00855637">
        <w:rPr>
          <w:i/>
          <w:lang w:val="fr-FR"/>
        </w:rPr>
        <w:t xml:space="preserve"> </w:t>
      </w:r>
      <w:proofErr w:type="spellStart"/>
      <w:r w:rsidRPr="00855637">
        <w:rPr>
          <w:i/>
          <w:lang w:val="fr-FR"/>
        </w:rPr>
        <w:t>rights</w:t>
      </w:r>
      <w:proofErr w:type="spellEnd"/>
      <w:r w:rsidRPr="00855637">
        <w:rPr>
          <w:i/>
          <w:lang w:val="fr-FR"/>
        </w:rPr>
        <w:t xml:space="preserve"> intensive industries: contribution to </w:t>
      </w:r>
      <w:proofErr w:type="spellStart"/>
      <w:r w:rsidRPr="00855637">
        <w:rPr>
          <w:i/>
          <w:lang w:val="fr-FR"/>
        </w:rPr>
        <w:t>economic</w:t>
      </w:r>
      <w:proofErr w:type="spellEnd"/>
      <w:r w:rsidRPr="00855637">
        <w:rPr>
          <w:i/>
          <w:lang w:val="fr-FR"/>
        </w:rPr>
        <w:t xml:space="preserve"> performance and </w:t>
      </w:r>
      <w:proofErr w:type="spellStart"/>
      <w:r w:rsidRPr="00855637">
        <w:rPr>
          <w:i/>
          <w:lang w:val="fr-FR"/>
        </w:rPr>
        <w:t>employment</w:t>
      </w:r>
      <w:proofErr w:type="spellEnd"/>
      <w:r w:rsidRPr="00855637">
        <w:rPr>
          <w:i/>
          <w:lang w:val="fr-FR"/>
        </w:rPr>
        <w:t xml:space="preserve"> in the </w:t>
      </w:r>
      <w:proofErr w:type="spellStart"/>
      <w:r w:rsidRPr="00855637">
        <w:rPr>
          <w:i/>
          <w:lang w:val="fr-FR"/>
        </w:rPr>
        <w:t>European</w:t>
      </w:r>
      <w:proofErr w:type="spellEnd"/>
      <w:r w:rsidRPr="00855637">
        <w:rPr>
          <w:i/>
          <w:lang w:val="fr-FR"/>
        </w:rPr>
        <w:t xml:space="preserve"> Union</w:t>
      </w:r>
      <w:r w:rsidRPr="00855637">
        <w:rPr>
          <w:lang w:val="fr-FR"/>
        </w:rPr>
        <w:t xml:space="preserve">, </w:t>
      </w:r>
      <w:r w:rsidRPr="00564CA4">
        <w:rPr>
          <w:lang w:val="fr-FR"/>
        </w:rPr>
        <w:t xml:space="preserve">rapport d’analyse </w:t>
      </w:r>
      <w:r>
        <w:rPr>
          <w:lang w:val="fr-FR"/>
        </w:rPr>
        <w:t>par secteur, septembre 2013, p. 1 </w:t>
      </w:r>
      <w:r w:rsidRPr="00855637">
        <w:rPr>
          <w:lang w:val="fr-FR"/>
        </w:rPr>
        <w:t>à</w:t>
      </w:r>
      <w:r>
        <w:rPr>
          <w:lang w:val="fr-FR"/>
        </w:rPr>
        <w:t> </w:t>
      </w:r>
      <w:r w:rsidRPr="00855637">
        <w:rPr>
          <w:lang w:val="fr-FR"/>
        </w:rPr>
        <w:t>143.</w:t>
      </w:r>
    </w:p>
  </w:footnote>
  <w:footnote w:id="5">
    <w:p w:rsidR="00E84955" w:rsidRPr="0031237D" w:rsidRDefault="00E84955" w:rsidP="0031237D">
      <w:pPr>
        <w:pStyle w:val="FootnoteText"/>
        <w:rPr>
          <w:lang w:val="fr-FR"/>
        </w:rPr>
      </w:pPr>
      <w:r>
        <w:rPr>
          <w:rStyle w:val="FootnoteReference"/>
        </w:rPr>
        <w:footnoteRef/>
      </w:r>
      <w:r w:rsidRPr="0031237D">
        <w:rPr>
          <w:lang w:val="fr-FR"/>
        </w:rPr>
        <w:tab/>
        <w:t xml:space="preserve">Conformément à l'article 5 de l'Accord sur le VPI, </w:t>
      </w:r>
      <w:r>
        <w:rPr>
          <w:lang w:val="fr-FR"/>
        </w:rPr>
        <w:t>le siège du VPI sera situé à Budapest et une succursale sera installée dans chacun des autres États contractants.</w:t>
      </w:r>
    </w:p>
  </w:footnote>
  <w:footnote w:id="6">
    <w:p w:rsidR="00E84955" w:rsidRPr="00EE7DEF" w:rsidRDefault="00E84955" w:rsidP="00B517D8">
      <w:pPr>
        <w:pStyle w:val="FootnoteText"/>
        <w:rPr>
          <w:lang w:val="fr-FR"/>
        </w:rPr>
      </w:pPr>
      <w:r w:rsidRPr="00EE7DEF">
        <w:rPr>
          <w:rStyle w:val="FootnoteReference"/>
          <w:lang w:val="fr-FR"/>
        </w:rPr>
        <w:footnoteRef/>
      </w:r>
      <w:r w:rsidRPr="00EE7DEF">
        <w:rPr>
          <w:lang w:val="fr-FR"/>
        </w:rPr>
        <w:tab/>
        <w:t xml:space="preserve">Document PCT/A/46/6, paragraphe 25. </w:t>
      </w:r>
    </w:p>
  </w:footnote>
  <w:footnote w:id="7">
    <w:p w:rsidR="00E84955" w:rsidRPr="00EE7DEF" w:rsidRDefault="00E84955" w:rsidP="00B517D8">
      <w:pPr>
        <w:pStyle w:val="FootnoteText"/>
        <w:rPr>
          <w:rFonts w:ascii="Times New Roman" w:hAnsi="Times New Roman" w:cstheme="minorBidi"/>
          <w:lang w:val="fr-FR"/>
        </w:rPr>
      </w:pPr>
      <w:r w:rsidRPr="00EE7DEF">
        <w:rPr>
          <w:rStyle w:val="FootnoteReference"/>
          <w:lang w:val="fr-FR"/>
        </w:rPr>
        <w:footnoteRef/>
      </w:r>
      <w:r w:rsidRPr="00EE7DEF">
        <w:rPr>
          <w:lang w:val="fr-FR"/>
        </w:rPr>
        <w:tab/>
        <w:t>Document PCT/A/46/6, paragraph</w:t>
      </w:r>
      <w:r>
        <w:rPr>
          <w:lang w:val="fr-FR"/>
        </w:rPr>
        <w:t>e</w:t>
      </w:r>
      <w:r w:rsidRPr="00EE7DEF">
        <w:rPr>
          <w:lang w:val="fr-FR"/>
        </w:rPr>
        <w:t xml:space="preserve"> 25.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Default="00E84955" w:rsidP="00477D6B">
    <w:pPr>
      <w:jc w:val="right"/>
    </w:pPr>
    <w:r>
      <w:t>PCT/CTC/28/2</w:t>
    </w:r>
  </w:p>
  <w:p w:rsidR="00E84955" w:rsidRDefault="00E84955" w:rsidP="00477D6B">
    <w:pPr>
      <w:jc w:val="right"/>
    </w:pPr>
    <w:proofErr w:type="gramStart"/>
    <w:r>
      <w:t>page</w:t>
    </w:r>
    <w:proofErr w:type="gramEnd"/>
    <w:r>
      <w:t xml:space="preserve"> </w:t>
    </w:r>
    <w:r>
      <w:fldChar w:fldCharType="begin"/>
    </w:r>
    <w:r>
      <w:instrText xml:space="preserve"> PAGE  \* MERGEFORMAT </w:instrText>
    </w:r>
    <w:r>
      <w:fldChar w:fldCharType="separate"/>
    </w:r>
    <w:r w:rsidR="00317055">
      <w:rPr>
        <w:noProof/>
      </w:rPr>
      <w:t>3</w:t>
    </w:r>
    <w:r>
      <w:rPr>
        <w:noProof/>
      </w:rPr>
      <w:fldChar w:fldCharType="end"/>
    </w:r>
  </w:p>
  <w:p w:rsidR="00E84955" w:rsidRDefault="00E84955"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Default="00E84955" w:rsidP="00477D6B">
    <w:pPr>
      <w:jc w:val="right"/>
    </w:pPr>
    <w:r>
      <w:t>PCT/CTC/28/2</w:t>
    </w:r>
  </w:p>
  <w:p w:rsidR="00E84955" w:rsidRDefault="00E84955" w:rsidP="00477D6B">
    <w:pPr>
      <w:jc w:val="right"/>
    </w:pPr>
    <w:proofErr w:type="spellStart"/>
    <w:r>
      <w:t>Annexe</w:t>
    </w:r>
    <w:proofErr w:type="spellEnd"/>
    <w:r>
      <w:t xml:space="preserve"> I, page </w:t>
    </w:r>
    <w:r>
      <w:fldChar w:fldCharType="begin"/>
    </w:r>
    <w:r>
      <w:instrText xml:space="preserve"> PAGE  \* MERGEFORMAT </w:instrText>
    </w:r>
    <w:r>
      <w:fldChar w:fldCharType="separate"/>
    </w:r>
    <w:r w:rsidR="00317055">
      <w:rPr>
        <w:noProof/>
      </w:rPr>
      <w:t>2</w:t>
    </w:r>
    <w:r>
      <w:rPr>
        <w:noProof/>
      </w:rPr>
      <w:fldChar w:fldCharType="end"/>
    </w:r>
  </w:p>
  <w:p w:rsidR="00E84955" w:rsidRDefault="00E8495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Default="00E84955" w:rsidP="009A0093">
    <w:pPr>
      <w:jc w:val="right"/>
    </w:pPr>
    <w:r>
      <w:t>PCT/CTC/28/2</w:t>
    </w:r>
  </w:p>
  <w:p w:rsidR="00E84955" w:rsidRDefault="00E84955" w:rsidP="009A0093">
    <w:pPr>
      <w:jc w:val="right"/>
    </w:pPr>
    <w:r>
      <w:t>ANNEXE I</w:t>
    </w:r>
  </w:p>
  <w:p w:rsidR="00E84955" w:rsidRDefault="00E84955" w:rsidP="009A009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Pr="00620A17" w:rsidRDefault="00E84955" w:rsidP="00477D6B">
    <w:pPr>
      <w:jc w:val="right"/>
      <w:rPr>
        <w:lang w:val="fr-FR"/>
      </w:rPr>
    </w:pPr>
    <w:r w:rsidRPr="00620A17">
      <w:rPr>
        <w:lang w:val="fr-FR"/>
      </w:rPr>
      <w:t>PCT/CTC/28/2</w:t>
    </w:r>
  </w:p>
  <w:p w:rsidR="00E84955" w:rsidRPr="00620A17" w:rsidRDefault="00E84955" w:rsidP="00477D6B">
    <w:pPr>
      <w:jc w:val="right"/>
      <w:rPr>
        <w:lang w:val="fr-FR"/>
      </w:rPr>
    </w:pPr>
    <w:r w:rsidRPr="00620A17">
      <w:rPr>
        <w:lang w:val="fr-FR"/>
      </w:rPr>
      <w:t xml:space="preserve">Annexe II, page </w:t>
    </w:r>
    <w:r>
      <w:fldChar w:fldCharType="begin"/>
    </w:r>
    <w:r w:rsidRPr="00620A17">
      <w:rPr>
        <w:lang w:val="fr-FR"/>
      </w:rPr>
      <w:instrText xml:space="preserve"> PAGE  \* MERGEFORMAT </w:instrText>
    </w:r>
    <w:r>
      <w:fldChar w:fldCharType="separate"/>
    </w:r>
    <w:r w:rsidR="00317055">
      <w:rPr>
        <w:noProof/>
        <w:lang w:val="fr-FR"/>
      </w:rPr>
      <w:t>29</w:t>
    </w:r>
    <w:r>
      <w:rPr>
        <w:noProof/>
      </w:rPr>
      <w:fldChar w:fldCharType="end"/>
    </w:r>
  </w:p>
  <w:p w:rsidR="00E84955" w:rsidRPr="00620A17" w:rsidRDefault="00E84955"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955" w:rsidRDefault="00E84955" w:rsidP="009A0093">
    <w:pPr>
      <w:jc w:val="right"/>
    </w:pPr>
    <w:r>
      <w:t>PCT/CTC/28/2</w:t>
    </w:r>
  </w:p>
  <w:p w:rsidR="00E84955" w:rsidRDefault="00E84955" w:rsidP="009A0093">
    <w:pPr>
      <w:jc w:val="right"/>
    </w:pPr>
    <w:r>
      <w:t>ANNEXE II</w:t>
    </w:r>
  </w:p>
  <w:p w:rsidR="00E84955" w:rsidRDefault="00E84955" w:rsidP="009A009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BB46C8"/>
    <w:multiLevelType w:val="hybridMultilevel"/>
    <w:tmpl w:val="B8DC7930"/>
    <w:lvl w:ilvl="0" w:tplc="ADE01DD4">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1984A97"/>
    <w:multiLevelType w:val="multilevel"/>
    <w:tmpl w:val="99A60432"/>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842281E8"/>
    <w:lvl w:ilvl="0">
      <w:start w:val="1"/>
      <w:numFmt w:val="decimal"/>
      <w:lvlRestart w:val="0"/>
      <w:pStyle w:val="ONUME"/>
      <w:lvlText w:val="%1."/>
      <w:lvlJc w:val="left"/>
      <w:pPr>
        <w:tabs>
          <w:tab w:val="num" w:pos="567"/>
        </w:tabs>
        <w:ind w:left="0" w:firstLine="0"/>
      </w:pPr>
      <w:rPr>
        <w:rFonts w:hint="default"/>
        <w:lang w:val="fr-FR"/>
      </w:rPr>
    </w:lvl>
    <w:lvl w:ilvl="1">
      <w:start w:val="1"/>
      <w:numFmt w:val="lowerLetter"/>
      <w:lvlText w:val="%2)"/>
      <w:lvlJc w:val="left"/>
      <w:pPr>
        <w:tabs>
          <w:tab w:val="num" w:pos="1134"/>
        </w:tabs>
        <w:ind w:left="567" w:firstLine="0"/>
      </w:pPr>
      <w:rPr>
        <w:rFonts w:hint="default"/>
        <w:lang w:val="fr-FR"/>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9D15189"/>
    <w:multiLevelType w:val="hybridMultilevel"/>
    <w:tmpl w:val="0A3AD8AE"/>
    <w:lvl w:ilvl="0" w:tplc="4EA6ADEC">
      <w:start w:val="1"/>
      <w:numFmt w:val="bullet"/>
      <w:lvlText w:val="-"/>
      <w:lvlJc w:val="left"/>
      <w:pPr>
        <w:tabs>
          <w:tab w:val="num" w:pos="720"/>
        </w:tabs>
        <w:ind w:left="720" w:hanging="360"/>
      </w:pPr>
      <w:rPr>
        <w:rFonts w:ascii="Times New Roman" w:hAnsi="Times New Roman" w:cs="Times New Roman" w:hint="default"/>
      </w:rPr>
    </w:lvl>
    <w:lvl w:ilvl="1" w:tplc="C5ACD3FC">
      <w:start w:val="1"/>
      <w:numFmt w:val="bullet"/>
      <w:lvlText w:val="-"/>
      <w:lvlJc w:val="left"/>
      <w:pPr>
        <w:tabs>
          <w:tab w:val="num" w:pos="1440"/>
        </w:tabs>
        <w:ind w:left="1440" w:hanging="360"/>
      </w:pPr>
      <w:rPr>
        <w:rFonts w:ascii="Times New Roman" w:hAnsi="Times New Roman" w:cs="Times New Roman" w:hint="default"/>
      </w:rPr>
    </w:lvl>
    <w:lvl w:ilvl="2" w:tplc="E2BA9D90">
      <w:start w:val="1"/>
      <w:numFmt w:val="bullet"/>
      <w:lvlText w:val="-"/>
      <w:lvlJc w:val="left"/>
      <w:pPr>
        <w:tabs>
          <w:tab w:val="num" w:pos="2160"/>
        </w:tabs>
        <w:ind w:left="2160" w:hanging="360"/>
      </w:pPr>
      <w:rPr>
        <w:rFonts w:ascii="Times New Roman" w:hAnsi="Times New Roman" w:cs="Times New Roman" w:hint="default"/>
      </w:rPr>
    </w:lvl>
    <w:lvl w:ilvl="3" w:tplc="4A1EEAD2">
      <w:start w:val="1"/>
      <w:numFmt w:val="bullet"/>
      <w:lvlText w:val="-"/>
      <w:lvlJc w:val="left"/>
      <w:pPr>
        <w:tabs>
          <w:tab w:val="num" w:pos="2880"/>
        </w:tabs>
        <w:ind w:left="2880" w:hanging="360"/>
      </w:pPr>
      <w:rPr>
        <w:rFonts w:ascii="Times New Roman" w:hAnsi="Times New Roman" w:cs="Times New Roman" w:hint="default"/>
      </w:rPr>
    </w:lvl>
    <w:lvl w:ilvl="4" w:tplc="1FF6A50A">
      <w:start w:val="1"/>
      <w:numFmt w:val="bullet"/>
      <w:lvlText w:val="-"/>
      <w:lvlJc w:val="left"/>
      <w:pPr>
        <w:tabs>
          <w:tab w:val="num" w:pos="3600"/>
        </w:tabs>
        <w:ind w:left="3600" w:hanging="360"/>
      </w:pPr>
      <w:rPr>
        <w:rFonts w:ascii="Times New Roman" w:hAnsi="Times New Roman" w:cs="Times New Roman" w:hint="default"/>
      </w:rPr>
    </w:lvl>
    <w:lvl w:ilvl="5" w:tplc="FF748A6C">
      <w:start w:val="1"/>
      <w:numFmt w:val="bullet"/>
      <w:lvlText w:val="-"/>
      <w:lvlJc w:val="left"/>
      <w:pPr>
        <w:tabs>
          <w:tab w:val="num" w:pos="4320"/>
        </w:tabs>
        <w:ind w:left="4320" w:hanging="360"/>
      </w:pPr>
      <w:rPr>
        <w:rFonts w:ascii="Times New Roman" w:hAnsi="Times New Roman" w:cs="Times New Roman" w:hint="default"/>
      </w:rPr>
    </w:lvl>
    <w:lvl w:ilvl="6" w:tplc="C4FE01AC">
      <w:start w:val="1"/>
      <w:numFmt w:val="bullet"/>
      <w:lvlText w:val="-"/>
      <w:lvlJc w:val="left"/>
      <w:pPr>
        <w:tabs>
          <w:tab w:val="num" w:pos="5040"/>
        </w:tabs>
        <w:ind w:left="5040" w:hanging="360"/>
      </w:pPr>
      <w:rPr>
        <w:rFonts w:ascii="Times New Roman" w:hAnsi="Times New Roman" w:cs="Times New Roman" w:hint="default"/>
      </w:rPr>
    </w:lvl>
    <w:lvl w:ilvl="7" w:tplc="5AAE1C04">
      <w:start w:val="1"/>
      <w:numFmt w:val="bullet"/>
      <w:lvlText w:val="-"/>
      <w:lvlJc w:val="left"/>
      <w:pPr>
        <w:tabs>
          <w:tab w:val="num" w:pos="5760"/>
        </w:tabs>
        <w:ind w:left="5760" w:hanging="360"/>
      </w:pPr>
      <w:rPr>
        <w:rFonts w:ascii="Times New Roman" w:hAnsi="Times New Roman" w:cs="Times New Roman" w:hint="default"/>
      </w:rPr>
    </w:lvl>
    <w:lvl w:ilvl="8" w:tplc="4756FC3E">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16E75FFD"/>
    <w:multiLevelType w:val="multilevel"/>
    <w:tmpl w:val="6640146E"/>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7A2EA6"/>
    <w:multiLevelType w:val="multilevel"/>
    <w:tmpl w:val="91E8F530"/>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1431949"/>
    <w:multiLevelType w:val="hybridMultilevel"/>
    <w:tmpl w:val="5FACE482"/>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Times New Roman"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Times New Roman"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Times New Roman" w:hint="default"/>
      </w:rPr>
    </w:lvl>
    <w:lvl w:ilvl="8" w:tplc="040E0005">
      <w:start w:val="1"/>
      <w:numFmt w:val="bullet"/>
      <w:lvlText w:val=""/>
      <w:lvlJc w:val="left"/>
      <w:pPr>
        <w:ind w:left="6480" w:hanging="360"/>
      </w:pPr>
      <w:rPr>
        <w:rFonts w:ascii="Wingdings" w:hAnsi="Wingdings" w:hint="default"/>
      </w:rPr>
    </w:lvl>
  </w:abstractNum>
  <w:abstractNum w:abstractNumId="10">
    <w:nsid w:val="32E419B9"/>
    <w:multiLevelType w:val="multilevel"/>
    <w:tmpl w:val="FB92DC66"/>
    <w:lvl w:ilvl="0">
      <w:start w:val="50"/>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346F3DFA"/>
    <w:multiLevelType w:val="hybridMultilevel"/>
    <w:tmpl w:val="DB307A5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2">
    <w:nsid w:val="3F4155E3"/>
    <w:multiLevelType w:val="hybridMultilevel"/>
    <w:tmpl w:val="5D66AC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1620007"/>
    <w:multiLevelType w:val="multilevel"/>
    <w:tmpl w:val="8AC4258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17379AB"/>
    <w:multiLevelType w:val="multilevel"/>
    <w:tmpl w:val="CD8298C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55765292"/>
    <w:multiLevelType w:val="multilevel"/>
    <w:tmpl w:val="CD8298C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6BEC0FBA"/>
    <w:multiLevelType w:val="hybridMultilevel"/>
    <w:tmpl w:val="E524121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nsid w:val="6D120D61"/>
    <w:multiLevelType w:val="multilevel"/>
    <w:tmpl w:val="D0CE0CD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bullet"/>
      <w:lvlText w:val="o"/>
      <w:lvlJc w:val="left"/>
      <w:pPr>
        <w:tabs>
          <w:tab w:val="num" w:pos="1701"/>
        </w:tabs>
        <w:ind w:left="1134" w:firstLine="0"/>
      </w:pPr>
      <w:rPr>
        <w:rFonts w:ascii="Courier New" w:hAnsi="Courier New" w:cs="Courier New"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1A40259"/>
    <w:multiLevelType w:val="hybridMultilevel"/>
    <w:tmpl w:val="D03640E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1">
    <w:nsid w:val="74006571"/>
    <w:multiLevelType w:val="multilevel"/>
    <w:tmpl w:val="8AC4258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80B1F8A"/>
    <w:multiLevelType w:val="multilevel"/>
    <w:tmpl w:val="40545B6E"/>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456BB8"/>
    <w:multiLevelType w:val="multilevel"/>
    <w:tmpl w:val="9E0A5EA6"/>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5D1FB1"/>
    <w:multiLevelType w:val="hybridMultilevel"/>
    <w:tmpl w:val="DEEC82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3"/>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19"/>
  </w:num>
  <w:num w:numId="14">
    <w:abstractNumId w:val="22"/>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num>
  <w:num w:numId="20">
    <w:abstractNumId w:val="24"/>
  </w:num>
  <w:num w:numId="21">
    <w:abstractNumId w:val="11"/>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0"/>
  </w:num>
  <w:num w:numId="29">
    <w:abstractNumId w:val="12"/>
  </w:num>
  <w:num w:numId="3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6"/>
  </w:num>
  <w:num w:numId="34">
    <w:abstractNumId w:val="5"/>
  </w:num>
  <w:num w:numId="35">
    <w:abstractNumId w:val="13"/>
  </w:num>
  <w:num w:numId="36">
    <w:abstractNumId w:val="2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B50DCB1-2243-46C4-82EA-B6F7E6A47FE3}"/>
    <w:docVar w:name="dgnword-eventsink" w:val="79848728"/>
    <w:docVar w:name="SourceLng" w:val="eng"/>
    <w:docVar w:name="TargetLng" w:val="fra"/>
    <w:docVar w:name="TermBases" w:val="WIPONew|PreTradBeta"/>
    <w:docVar w:name="TermBaseURL" w:val="empty"/>
    <w:docVar w:name="TextBases" w:val="WorkspaceFTS\EN-FR\PCT"/>
    <w:docVar w:name="TextBaseURL" w:val="empty"/>
    <w:docVar w:name="UILng" w:val="en"/>
  </w:docVars>
  <w:rsids>
    <w:rsidRoot w:val="000D307A"/>
    <w:rsid w:val="000030DA"/>
    <w:rsid w:val="000077BA"/>
    <w:rsid w:val="00011DD6"/>
    <w:rsid w:val="00020547"/>
    <w:rsid w:val="000244F2"/>
    <w:rsid w:val="00035C05"/>
    <w:rsid w:val="000374FB"/>
    <w:rsid w:val="00043CAA"/>
    <w:rsid w:val="00055C4B"/>
    <w:rsid w:val="00062F76"/>
    <w:rsid w:val="000677A4"/>
    <w:rsid w:val="00072DE2"/>
    <w:rsid w:val="00075432"/>
    <w:rsid w:val="00081023"/>
    <w:rsid w:val="00085436"/>
    <w:rsid w:val="0008687D"/>
    <w:rsid w:val="00086FB4"/>
    <w:rsid w:val="000877C7"/>
    <w:rsid w:val="00091B74"/>
    <w:rsid w:val="00093939"/>
    <w:rsid w:val="00095B6D"/>
    <w:rsid w:val="000968ED"/>
    <w:rsid w:val="00097573"/>
    <w:rsid w:val="000A2EF2"/>
    <w:rsid w:val="000A36E2"/>
    <w:rsid w:val="000A4890"/>
    <w:rsid w:val="000D307A"/>
    <w:rsid w:val="000D51FB"/>
    <w:rsid w:val="000D67E9"/>
    <w:rsid w:val="000E1487"/>
    <w:rsid w:val="000F5E56"/>
    <w:rsid w:val="000F69D9"/>
    <w:rsid w:val="001043BF"/>
    <w:rsid w:val="0011082F"/>
    <w:rsid w:val="00111922"/>
    <w:rsid w:val="00111AE3"/>
    <w:rsid w:val="00112054"/>
    <w:rsid w:val="001124CA"/>
    <w:rsid w:val="001139BC"/>
    <w:rsid w:val="00114F67"/>
    <w:rsid w:val="001303BF"/>
    <w:rsid w:val="001362EE"/>
    <w:rsid w:val="00136E41"/>
    <w:rsid w:val="0014665D"/>
    <w:rsid w:val="00147DF4"/>
    <w:rsid w:val="00147ED4"/>
    <w:rsid w:val="00150A3C"/>
    <w:rsid w:val="0015116E"/>
    <w:rsid w:val="001524D4"/>
    <w:rsid w:val="001552E9"/>
    <w:rsid w:val="0016419D"/>
    <w:rsid w:val="00165A4A"/>
    <w:rsid w:val="00166246"/>
    <w:rsid w:val="00174D72"/>
    <w:rsid w:val="001832A6"/>
    <w:rsid w:val="00185E54"/>
    <w:rsid w:val="00187BD5"/>
    <w:rsid w:val="00191B69"/>
    <w:rsid w:val="00197278"/>
    <w:rsid w:val="001A1B8D"/>
    <w:rsid w:val="001A3EE3"/>
    <w:rsid w:val="001B77C7"/>
    <w:rsid w:val="001B7825"/>
    <w:rsid w:val="001C3584"/>
    <w:rsid w:val="001E6FC6"/>
    <w:rsid w:val="001F3348"/>
    <w:rsid w:val="001F3A4A"/>
    <w:rsid w:val="001F78C1"/>
    <w:rsid w:val="0020239A"/>
    <w:rsid w:val="0020300E"/>
    <w:rsid w:val="00206135"/>
    <w:rsid w:val="00210D22"/>
    <w:rsid w:val="00215CED"/>
    <w:rsid w:val="00217656"/>
    <w:rsid w:val="0022291D"/>
    <w:rsid w:val="00226B23"/>
    <w:rsid w:val="0023044D"/>
    <w:rsid w:val="00233EC0"/>
    <w:rsid w:val="00235032"/>
    <w:rsid w:val="00236361"/>
    <w:rsid w:val="002416B9"/>
    <w:rsid w:val="0024701A"/>
    <w:rsid w:val="00250819"/>
    <w:rsid w:val="00253B22"/>
    <w:rsid w:val="00256A2B"/>
    <w:rsid w:val="00262465"/>
    <w:rsid w:val="00262AF8"/>
    <w:rsid w:val="00262CF6"/>
    <w:rsid w:val="002634C4"/>
    <w:rsid w:val="0026690E"/>
    <w:rsid w:val="00267FB1"/>
    <w:rsid w:val="00280EEC"/>
    <w:rsid w:val="00285E06"/>
    <w:rsid w:val="002928D3"/>
    <w:rsid w:val="002A004F"/>
    <w:rsid w:val="002A13F9"/>
    <w:rsid w:val="002A35D4"/>
    <w:rsid w:val="002A5121"/>
    <w:rsid w:val="002B5213"/>
    <w:rsid w:val="002B7EFC"/>
    <w:rsid w:val="002D62D8"/>
    <w:rsid w:val="002E3146"/>
    <w:rsid w:val="002E7A4C"/>
    <w:rsid w:val="002F1FE6"/>
    <w:rsid w:val="002F2AAB"/>
    <w:rsid w:val="002F2C23"/>
    <w:rsid w:val="002F4E68"/>
    <w:rsid w:val="002F7CCC"/>
    <w:rsid w:val="003033C3"/>
    <w:rsid w:val="0031237D"/>
    <w:rsid w:val="00312F7F"/>
    <w:rsid w:val="00313ADF"/>
    <w:rsid w:val="00317055"/>
    <w:rsid w:val="00320720"/>
    <w:rsid w:val="00323FD6"/>
    <w:rsid w:val="00324956"/>
    <w:rsid w:val="00334D1E"/>
    <w:rsid w:val="003413B7"/>
    <w:rsid w:val="00347A2B"/>
    <w:rsid w:val="00351DB0"/>
    <w:rsid w:val="0036069B"/>
    <w:rsid w:val="00361450"/>
    <w:rsid w:val="003635AE"/>
    <w:rsid w:val="003673CF"/>
    <w:rsid w:val="003845C1"/>
    <w:rsid w:val="003A26A8"/>
    <w:rsid w:val="003A346A"/>
    <w:rsid w:val="003A44C1"/>
    <w:rsid w:val="003A6F89"/>
    <w:rsid w:val="003B05C7"/>
    <w:rsid w:val="003B38C1"/>
    <w:rsid w:val="003B5906"/>
    <w:rsid w:val="003B788B"/>
    <w:rsid w:val="003B7EBD"/>
    <w:rsid w:val="003C0268"/>
    <w:rsid w:val="003C24C0"/>
    <w:rsid w:val="003F07D0"/>
    <w:rsid w:val="003F0878"/>
    <w:rsid w:val="00405EBE"/>
    <w:rsid w:val="004066A3"/>
    <w:rsid w:val="00407202"/>
    <w:rsid w:val="0041209C"/>
    <w:rsid w:val="004203DF"/>
    <w:rsid w:val="00423E3E"/>
    <w:rsid w:val="00424B28"/>
    <w:rsid w:val="00427AF4"/>
    <w:rsid w:val="00431D98"/>
    <w:rsid w:val="0044142D"/>
    <w:rsid w:val="00443E84"/>
    <w:rsid w:val="00445BC8"/>
    <w:rsid w:val="004477D3"/>
    <w:rsid w:val="00450833"/>
    <w:rsid w:val="00455914"/>
    <w:rsid w:val="004634EA"/>
    <w:rsid w:val="004647DA"/>
    <w:rsid w:val="00474062"/>
    <w:rsid w:val="004778D2"/>
    <w:rsid w:val="00477D6B"/>
    <w:rsid w:val="00481F93"/>
    <w:rsid w:val="00482F34"/>
    <w:rsid w:val="00487C37"/>
    <w:rsid w:val="0049616A"/>
    <w:rsid w:val="004A2E87"/>
    <w:rsid w:val="004B34BE"/>
    <w:rsid w:val="004B38D2"/>
    <w:rsid w:val="004C04AF"/>
    <w:rsid w:val="004C50CB"/>
    <w:rsid w:val="004D35CA"/>
    <w:rsid w:val="004D4D3D"/>
    <w:rsid w:val="004E047D"/>
    <w:rsid w:val="004E3743"/>
    <w:rsid w:val="004F19A8"/>
    <w:rsid w:val="004F72C9"/>
    <w:rsid w:val="004F7755"/>
    <w:rsid w:val="005003EE"/>
    <w:rsid w:val="0050118D"/>
    <w:rsid w:val="005019FF"/>
    <w:rsid w:val="005047DC"/>
    <w:rsid w:val="005055D1"/>
    <w:rsid w:val="0050581D"/>
    <w:rsid w:val="005062C0"/>
    <w:rsid w:val="005109F3"/>
    <w:rsid w:val="0051198D"/>
    <w:rsid w:val="0051444C"/>
    <w:rsid w:val="005169FE"/>
    <w:rsid w:val="00525167"/>
    <w:rsid w:val="0053057A"/>
    <w:rsid w:val="00540283"/>
    <w:rsid w:val="00554990"/>
    <w:rsid w:val="00557FE5"/>
    <w:rsid w:val="00560A29"/>
    <w:rsid w:val="00560CA7"/>
    <w:rsid w:val="0056182E"/>
    <w:rsid w:val="00564CA4"/>
    <w:rsid w:val="00565285"/>
    <w:rsid w:val="005700F5"/>
    <w:rsid w:val="00577421"/>
    <w:rsid w:val="00577494"/>
    <w:rsid w:val="00590296"/>
    <w:rsid w:val="00593420"/>
    <w:rsid w:val="005936E9"/>
    <w:rsid w:val="00594F37"/>
    <w:rsid w:val="00595B7C"/>
    <w:rsid w:val="005A2CB1"/>
    <w:rsid w:val="005A4BCA"/>
    <w:rsid w:val="005B1965"/>
    <w:rsid w:val="005B2CA5"/>
    <w:rsid w:val="005B716D"/>
    <w:rsid w:val="005C6649"/>
    <w:rsid w:val="005D0EEF"/>
    <w:rsid w:val="005E3586"/>
    <w:rsid w:val="005E5563"/>
    <w:rsid w:val="005E6DD9"/>
    <w:rsid w:val="005F2D8F"/>
    <w:rsid w:val="005F4172"/>
    <w:rsid w:val="00601296"/>
    <w:rsid w:val="00605827"/>
    <w:rsid w:val="00605EC4"/>
    <w:rsid w:val="00612DCE"/>
    <w:rsid w:val="00614BC3"/>
    <w:rsid w:val="006165D9"/>
    <w:rsid w:val="0061788E"/>
    <w:rsid w:val="00620A17"/>
    <w:rsid w:val="00621A83"/>
    <w:rsid w:val="00621AF8"/>
    <w:rsid w:val="006237BD"/>
    <w:rsid w:val="00623D9D"/>
    <w:rsid w:val="006318D6"/>
    <w:rsid w:val="00632092"/>
    <w:rsid w:val="006333AD"/>
    <w:rsid w:val="006350FF"/>
    <w:rsid w:val="00635F23"/>
    <w:rsid w:val="00640C9C"/>
    <w:rsid w:val="00645894"/>
    <w:rsid w:val="00646050"/>
    <w:rsid w:val="006514E9"/>
    <w:rsid w:val="00665699"/>
    <w:rsid w:val="00670591"/>
    <w:rsid w:val="0067088F"/>
    <w:rsid w:val="006713CA"/>
    <w:rsid w:val="00675B56"/>
    <w:rsid w:val="00676C5C"/>
    <w:rsid w:val="00677467"/>
    <w:rsid w:val="00684356"/>
    <w:rsid w:val="006A4320"/>
    <w:rsid w:val="006A5FA9"/>
    <w:rsid w:val="006B3EB7"/>
    <w:rsid w:val="006B5AF7"/>
    <w:rsid w:val="006C4DE5"/>
    <w:rsid w:val="006C7483"/>
    <w:rsid w:val="006D0C19"/>
    <w:rsid w:val="006D2B9D"/>
    <w:rsid w:val="006D3583"/>
    <w:rsid w:val="006E19EC"/>
    <w:rsid w:val="006E4BCC"/>
    <w:rsid w:val="006E5168"/>
    <w:rsid w:val="006F05E0"/>
    <w:rsid w:val="006F06FD"/>
    <w:rsid w:val="006F0E91"/>
    <w:rsid w:val="006F2AE7"/>
    <w:rsid w:val="006F448E"/>
    <w:rsid w:val="00707BF1"/>
    <w:rsid w:val="0071196E"/>
    <w:rsid w:val="0072672F"/>
    <w:rsid w:val="00731B1C"/>
    <w:rsid w:val="00746BEF"/>
    <w:rsid w:val="0075654E"/>
    <w:rsid w:val="00764097"/>
    <w:rsid w:val="007758B7"/>
    <w:rsid w:val="007861AB"/>
    <w:rsid w:val="00787706"/>
    <w:rsid w:val="00792170"/>
    <w:rsid w:val="00795243"/>
    <w:rsid w:val="00796421"/>
    <w:rsid w:val="007A17F0"/>
    <w:rsid w:val="007A55E7"/>
    <w:rsid w:val="007B02FE"/>
    <w:rsid w:val="007B355C"/>
    <w:rsid w:val="007B4B5E"/>
    <w:rsid w:val="007D1613"/>
    <w:rsid w:val="007D2AF7"/>
    <w:rsid w:val="007D7FA4"/>
    <w:rsid w:val="007E02CF"/>
    <w:rsid w:val="007E446B"/>
    <w:rsid w:val="007E6BC4"/>
    <w:rsid w:val="007F170B"/>
    <w:rsid w:val="007F3CD3"/>
    <w:rsid w:val="007F6BFE"/>
    <w:rsid w:val="00810D57"/>
    <w:rsid w:val="00811357"/>
    <w:rsid w:val="008117E3"/>
    <w:rsid w:val="00811E82"/>
    <w:rsid w:val="00813D5B"/>
    <w:rsid w:val="00820FC2"/>
    <w:rsid w:val="00823A04"/>
    <w:rsid w:val="00831E5D"/>
    <w:rsid w:val="00834C70"/>
    <w:rsid w:val="008364C0"/>
    <w:rsid w:val="0083697C"/>
    <w:rsid w:val="00841BF8"/>
    <w:rsid w:val="00844D1C"/>
    <w:rsid w:val="00855637"/>
    <w:rsid w:val="0087044E"/>
    <w:rsid w:val="00876AF7"/>
    <w:rsid w:val="0088636E"/>
    <w:rsid w:val="008933EA"/>
    <w:rsid w:val="00897421"/>
    <w:rsid w:val="008B2CC1"/>
    <w:rsid w:val="008B504D"/>
    <w:rsid w:val="008B60B2"/>
    <w:rsid w:val="008B7388"/>
    <w:rsid w:val="008D2532"/>
    <w:rsid w:val="008E2BB5"/>
    <w:rsid w:val="008F1BA6"/>
    <w:rsid w:val="008F1F46"/>
    <w:rsid w:val="008F1FAA"/>
    <w:rsid w:val="008F2304"/>
    <w:rsid w:val="00900B1F"/>
    <w:rsid w:val="00903C21"/>
    <w:rsid w:val="00903D6A"/>
    <w:rsid w:val="009063BE"/>
    <w:rsid w:val="0090731E"/>
    <w:rsid w:val="0091030E"/>
    <w:rsid w:val="009111BB"/>
    <w:rsid w:val="00913CA4"/>
    <w:rsid w:val="009152BA"/>
    <w:rsid w:val="00915B71"/>
    <w:rsid w:val="00916EE2"/>
    <w:rsid w:val="00917B88"/>
    <w:rsid w:val="00917F0D"/>
    <w:rsid w:val="00922177"/>
    <w:rsid w:val="009228DB"/>
    <w:rsid w:val="00923607"/>
    <w:rsid w:val="009239DE"/>
    <w:rsid w:val="009279B4"/>
    <w:rsid w:val="00937673"/>
    <w:rsid w:val="00937F15"/>
    <w:rsid w:val="009402DE"/>
    <w:rsid w:val="00941E22"/>
    <w:rsid w:val="00942A6B"/>
    <w:rsid w:val="009438B3"/>
    <w:rsid w:val="0094698B"/>
    <w:rsid w:val="00947141"/>
    <w:rsid w:val="00950CDF"/>
    <w:rsid w:val="009527B7"/>
    <w:rsid w:val="0095335E"/>
    <w:rsid w:val="0095528C"/>
    <w:rsid w:val="00955743"/>
    <w:rsid w:val="00955E12"/>
    <w:rsid w:val="00955F5B"/>
    <w:rsid w:val="009563E1"/>
    <w:rsid w:val="00963E3A"/>
    <w:rsid w:val="00964DB7"/>
    <w:rsid w:val="00966A22"/>
    <w:rsid w:val="0096722F"/>
    <w:rsid w:val="00972D5A"/>
    <w:rsid w:val="00974ED1"/>
    <w:rsid w:val="00980843"/>
    <w:rsid w:val="00981818"/>
    <w:rsid w:val="00982EB5"/>
    <w:rsid w:val="0098782C"/>
    <w:rsid w:val="00987DCB"/>
    <w:rsid w:val="009902A8"/>
    <w:rsid w:val="009A0093"/>
    <w:rsid w:val="009B07E8"/>
    <w:rsid w:val="009B10B1"/>
    <w:rsid w:val="009B2CFA"/>
    <w:rsid w:val="009B5017"/>
    <w:rsid w:val="009C209C"/>
    <w:rsid w:val="009C6FDA"/>
    <w:rsid w:val="009C72E7"/>
    <w:rsid w:val="009D1CFC"/>
    <w:rsid w:val="009D6B08"/>
    <w:rsid w:val="009E2791"/>
    <w:rsid w:val="009E3F6F"/>
    <w:rsid w:val="009F11CC"/>
    <w:rsid w:val="009F151D"/>
    <w:rsid w:val="009F3E13"/>
    <w:rsid w:val="009F499F"/>
    <w:rsid w:val="009F51BF"/>
    <w:rsid w:val="00A00C4E"/>
    <w:rsid w:val="00A17382"/>
    <w:rsid w:val="00A36F61"/>
    <w:rsid w:val="00A3781F"/>
    <w:rsid w:val="00A42DAF"/>
    <w:rsid w:val="00A451D3"/>
    <w:rsid w:val="00A45BD8"/>
    <w:rsid w:val="00A5373D"/>
    <w:rsid w:val="00A53B72"/>
    <w:rsid w:val="00A547AC"/>
    <w:rsid w:val="00A54BB5"/>
    <w:rsid w:val="00A6116C"/>
    <w:rsid w:val="00A67287"/>
    <w:rsid w:val="00A703E3"/>
    <w:rsid w:val="00A80D77"/>
    <w:rsid w:val="00A8107C"/>
    <w:rsid w:val="00A82118"/>
    <w:rsid w:val="00A851B8"/>
    <w:rsid w:val="00A869B7"/>
    <w:rsid w:val="00A924AB"/>
    <w:rsid w:val="00AA2F42"/>
    <w:rsid w:val="00AA79A2"/>
    <w:rsid w:val="00AB7F61"/>
    <w:rsid w:val="00AC092C"/>
    <w:rsid w:val="00AC205C"/>
    <w:rsid w:val="00AC420D"/>
    <w:rsid w:val="00AC45F9"/>
    <w:rsid w:val="00AC46D5"/>
    <w:rsid w:val="00AD371E"/>
    <w:rsid w:val="00AD4803"/>
    <w:rsid w:val="00AE1AC4"/>
    <w:rsid w:val="00AE3F42"/>
    <w:rsid w:val="00AE56A2"/>
    <w:rsid w:val="00AF0A6B"/>
    <w:rsid w:val="00AF41DB"/>
    <w:rsid w:val="00AF7A4A"/>
    <w:rsid w:val="00B0144F"/>
    <w:rsid w:val="00B04EC3"/>
    <w:rsid w:val="00B05A69"/>
    <w:rsid w:val="00B163B3"/>
    <w:rsid w:val="00B258D0"/>
    <w:rsid w:val="00B27168"/>
    <w:rsid w:val="00B32458"/>
    <w:rsid w:val="00B35EA1"/>
    <w:rsid w:val="00B3690E"/>
    <w:rsid w:val="00B477DC"/>
    <w:rsid w:val="00B517D8"/>
    <w:rsid w:val="00B51CDF"/>
    <w:rsid w:val="00B52F94"/>
    <w:rsid w:val="00B53B12"/>
    <w:rsid w:val="00B5509E"/>
    <w:rsid w:val="00B55A80"/>
    <w:rsid w:val="00B57060"/>
    <w:rsid w:val="00B621D9"/>
    <w:rsid w:val="00B739EC"/>
    <w:rsid w:val="00B74E03"/>
    <w:rsid w:val="00B7611D"/>
    <w:rsid w:val="00B76C7A"/>
    <w:rsid w:val="00B81F2B"/>
    <w:rsid w:val="00B85859"/>
    <w:rsid w:val="00B879E9"/>
    <w:rsid w:val="00B9734B"/>
    <w:rsid w:val="00B97CE7"/>
    <w:rsid w:val="00BA304E"/>
    <w:rsid w:val="00BA6A50"/>
    <w:rsid w:val="00BB4E88"/>
    <w:rsid w:val="00BB5BA0"/>
    <w:rsid w:val="00BC4AC8"/>
    <w:rsid w:val="00BC7BAA"/>
    <w:rsid w:val="00BD2CA4"/>
    <w:rsid w:val="00BD333C"/>
    <w:rsid w:val="00BD4517"/>
    <w:rsid w:val="00BD7811"/>
    <w:rsid w:val="00BE546A"/>
    <w:rsid w:val="00BE5BB1"/>
    <w:rsid w:val="00BE744E"/>
    <w:rsid w:val="00BE78D2"/>
    <w:rsid w:val="00BE7960"/>
    <w:rsid w:val="00BF06B6"/>
    <w:rsid w:val="00C11BFE"/>
    <w:rsid w:val="00C15B65"/>
    <w:rsid w:val="00C250F7"/>
    <w:rsid w:val="00C37326"/>
    <w:rsid w:val="00C37738"/>
    <w:rsid w:val="00C41771"/>
    <w:rsid w:val="00C4205B"/>
    <w:rsid w:val="00C4339F"/>
    <w:rsid w:val="00C44317"/>
    <w:rsid w:val="00C47601"/>
    <w:rsid w:val="00C47644"/>
    <w:rsid w:val="00C56E6B"/>
    <w:rsid w:val="00C738CF"/>
    <w:rsid w:val="00C75C8A"/>
    <w:rsid w:val="00C7740E"/>
    <w:rsid w:val="00C8034D"/>
    <w:rsid w:val="00C81C99"/>
    <w:rsid w:val="00C87214"/>
    <w:rsid w:val="00C94684"/>
    <w:rsid w:val="00C961B6"/>
    <w:rsid w:val="00CA0F4B"/>
    <w:rsid w:val="00CA2AF6"/>
    <w:rsid w:val="00CA2C8B"/>
    <w:rsid w:val="00CA37B9"/>
    <w:rsid w:val="00CA38B1"/>
    <w:rsid w:val="00CA61A6"/>
    <w:rsid w:val="00CB05F3"/>
    <w:rsid w:val="00CB52E8"/>
    <w:rsid w:val="00CB7CE1"/>
    <w:rsid w:val="00CC1CCE"/>
    <w:rsid w:val="00CC6E05"/>
    <w:rsid w:val="00CD1199"/>
    <w:rsid w:val="00CD6001"/>
    <w:rsid w:val="00CD6952"/>
    <w:rsid w:val="00CF41A1"/>
    <w:rsid w:val="00CF5EC2"/>
    <w:rsid w:val="00D054C9"/>
    <w:rsid w:val="00D23E56"/>
    <w:rsid w:val="00D2694A"/>
    <w:rsid w:val="00D26C80"/>
    <w:rsid w:val="00D32BE4"/>
    <w:rsid w:val="00D425C5"/>
    <w:rsid w:val="00D42CD2"/>
    <w:rsid w:val="00D43E8C"/>
    <w:rsid w:val="00D445E8"/>
    <w:rsid w:val="00D4502A"/>
    <w:rsid w:val="00D45252"/>
    <w:rsid w:val="00D50218"/>
    <w:rsid w:val="00D64E81"/>
    <w:rsid w:val="00D70326"/>
    <w:rsid w:val="00D710E1"/>
    <w:rsid w:val="00D71B4D"/>
    <w:rsid w:val="00D721A7"/>
    <w:rsid w:val="00D83EE9"/>
    <w:rsid w:val="00D85839"/>
    <w:rsid w:val="00D93D55"/>
    <w:rsid w:val="00DA22A2"/>
    <w:rsid w:val="00DA506D"/>
    <w:rsid w:val="00DB3999"/>
    <w:rsid w:val="00DB6C66"/>
    <w:rsid w:val="00DC60DD"/>
    <w:rsid w:val="00DD0B2D"/>
    <w:rsid w:val="00DD318A"/>
    <w:rsid w:val="00DE095A"/>
    <w:rsid w:val="00DE1253"/>
    <w:rsid w:val="00DE2008"/>
    <w:rsid w:val="00DE49AF"/>
    <w:rsid w:val="00DE589D"/>
    <w:rsid w:val="00DE7B6C"/>
    <w:rsid w:val="00DE7FA4"/>
    <w:rsid w:val="00DF1AC2"/>
    <w:rsid w:val="00DF641F"/>
    <w:rsid w:val="00DF73F4"/>
    <w:rsid w:val="00E0056F"/>
    <w:rsid w:val="00E01494"/>
    <w:rsid w:val="00E01D11"/>
    <w:rsid w:val="00E03A86"/>
    <w:rsid w:val="00E03C2F"/>
    <w:rsid w:val="00E05A74"/>
    <w:rsid w:val="00E06EFE"/>
    <w:rsid w:val="00E22E06"/>
    <w:rsid w:val="00E252F0"/>
    <w:rsid w:val="00E25D87"/>
    <w:rsid w:val="00E27EC3"/>
    <w:rsid w:val="00E33413"/>
    <w:rsid w:val="00E335FE"/>
    <w:rsid w:val="00E44153"/>
    <w:rsid w:val="00E4675C"/>
    <w:rsid w:val="00E53D5B"/>
    <w:rsid w:val="00E54166"/>
    <w:rsid w:val="00E639DD"/>
    <w:rsid w:val="00E65BB0"/>
    <w:rsid w:val="00E72256"/>
    <w:rsid w:val="00E72A0D"/>
    <w:rsid w:val="00E7537F"/>
    <w:rsid w:val="00E75BCE"/>
    <w:rsid w:val="00E80955"/>
    <w:rsid w:val="00E84955"/>
    <w:rsid w:val="00E85176"/>
    <w:rsid w:val="00E85D6E"/>
    <w:rsid w:val="00E9144B"/>
    <w:rsid w:val="00EA0179"/>
    <w:rsid w:val="00EB07F1"/>
    <w:rsid w:val="00EB0C28"/>
    <w:rsid w:val="00EB0ED0"/>
    <w:rsid w:val="00EB2480"/>
    <w:rsid w:val="00EB27C8"/>
    <w:rsid w:val="00EB6448"/>
    <w:rsid w:val="00EC45A2"/>
    <w:rsid w:val="00EC4E49"/>
    <w:rsid w:val="00ED583D"/>
    <w:rsid w:val="00ED7766"/>
    <w:rsid w:val="00ED77FB"/>
    <w:rsid w:val="00EE0146"/>
    <w:rsid w:val="00EE287E"/>
    <w:rsid w:val="00EE45FA"/>
    <w:rsid w:val="00EE5451"/>
    <w:rsid w:val="00EF0E4F"/>
    <w:rsid w:val="00EF5D84"/>
    <w:rsid w:val="00F037D0"/>
    <w:rsid w:val="00F03BE7"/>
    <w:rsid w:val="00F044BC"/>
    <w:rsid w:val="00F0724D"/>
    <w:rsid w:val="00F2188C"/>
    <w:rsid w:val="00F21E25"/>
    <w:rsid w:val="00F22208"/>
    <w:rsid w:val="00F22A85"/>
    <w:rsid w:val="00F23A9B"/>
    <w:rsid w:val="00F24F1C"/>
    <w:rsid w:val="00F258D6"/>
    <w:rsid w:val="00F27D48"/>
    <w:rsid w:val="00F53FE6"/>
    <w:rsid w:val="00F6093C"/>
    <w:rsid w:val="00F62CB0"/>
    <w:rsid w:val="00F66152"/>
    <w:rsid w:val="00F66B25"/>
    <w:rsid w:val="00F7092D"/>
    <w:rsid w:val="00F73C23"/>
    <w:rsid w:val="00F74DF1"/>
    <w:rsid w:val="00F74F20"/>
    <w:rsid w:val="00F8240A"/>
    <w:rsid w:val="00F85411"/>
    <w:rsid w:val="00F87778"/>
    <w:rsid w:val="00F977F2"/>
    <w:rsid w:val="00FA55C9"/>
    <w:rsid w:val="00FA67E5"/>
    <w:rsid w:val="00FB0332"/>
    <w:rsid w:val="00FB1946"/>
    <w:rsid w:val="00FB3011"/>
    <w:rsid w:val="00FB7DB1"/>
    <w:rsid w:val="00FC003C"/>
    <w:rsid w:val="00FC7913"/>
    <w:rsid w:val="00FD7465"/>
    <w:rsid w:val="00FE05C6"/>
    <w:rsid w:val="00FE1546"/>
    <w:rsid w:val="00FE2C16"/>
    <w:rsid w:val="00FE79B5"/>
    <w:rsid w:val="00FF0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D307A"/>
    <w:rPr>
      <w:rFonts w:ascii="Tahoma" w:hAnsi="Tahoma" w:cs="Tahoma"/>
      <w:sz w:val="16"/>
      <w:szCs w:val="16"/>
    </w:rPr>
  </w:style>
  <w:style w:type="character" w:customStyle="1" w:styleId="BalloonTextChar">
    <w:name w:val="Balloon Text Char"/>
    <w:basedOn w:val="DefaultParagraphFont"/>
    <w:link w:val="BalloonText"/>
    <w:rsid w:val="000D307A"/>
    <w:rPr>
      <w:rFonts w:ascii="Tahoma" w:eastAsia="SimSun" w:hAnsi="Tahoma" w:cs="Tahoma"/>
      <w:sz w:val="16"/>
      <w:szCs w:val="16"/>
      <w:lang w:eastAsia="zh-CN"/>
    </w:rPr>
  </w:style>
  <w:style w:type="character" w:customStyle="1" w:styleId="Heading1Char">
    <w:name w:val="Heading 1 Char"/>
    <w:basedOn w:val="DefaultParagraphFont"/>
    <w:link w:val="Heading1"/>
    <w:rsid w:val="000D307A"/>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0677A4"/>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75654E"/>
    <w:rPr>
      <w:rFonts w:ascii="Arial" w:eastAsia="SimSun" w:hAnsi="Arial" w:cs="Arial"/>
      <w:sz w:val="18"/>
      <w:lang w:eastAsia="zh-CN"/>
    </w:rPr>
  </w:style>
  <w:style w:type="paragraph" w:styleId="ListParagraph">
    <w:name w:val="List Paragraph"/>
    <w:basedOn w:val="Normal"/>
    <w:uiPriority w:val="34"/>
    <w:qFormat/>
    <w:rsid w:val="0075654E"/>
    <w:pPr>
      <w:spacing w:after="200" w:line="276" w:lineRule="auto"/>
      <w:ind w:left="720"/>
      <w:contextualSpacing/>
    </w:pPr>
    <w:rPr>
      <w:rFonts w:ascii="Calibri" w:eastAsia="Calibri" w:hAnsi="Calibri" w:cs="Times New Roman"/>
      <w:szCs w:val="22"/>
      <w:lang w:val="en-GB" w:eastAsia="en-US"/>
    </w:rPr>
  </w:style>
  <w:style w:type="character" w:styleId="FootnoteReference">
    <w:name w:val="footnote reference"/>
    <w:basedOn w:val="DefaultParagraphFont"/>
    <w:uiPriority w:val="99"/>
    <w:unhideWhenUsed/>
    <w:rsid w:val="0075654E"/>
    <w:rPr>
      <w:rFonts w:ascii="Times New Roman" w:hAnsi="Times New Roman" w:cs="Times New Roman" w:hint="default"/>
      <w:vertAlign w:val="superscript"/>
    </w:rPr>
  </w:style>
  <w:style w:type="character" w:styleId="Hyperlink">
    <w:name w:val="Hyperlink"/>
    <w:basedOn w:val="DefaultParagraphFont"/>
    <w:uiPriority w:val="99"/>
    <w:unhideWhenUsed/>
    <w:rsid w:val="0075654E"/>
    <w:rPr>
      <w:color w:val="0000FF"/>
      <w:u w:val="single"/>
    </w:rPr>
  </w:style>
  <w:style w:type="character" w:customStyle="1" w:styleId="st">
    <w:name w:val="st"/>
    <w:basedOn w:val="DefaultParagraphFont"/>
    <w:rsid w:val="00595B7C"/>
  </w:style>
  <w:style w:type="table" w:styleId="TableGrid">
    <w:name w:val="Table Grid"/>
    <w:basedOn w:val="TableNormal"/>
    <w:rsid w:val="00595B7C"/>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CD6001"/>
    <w:rPr>
      <w:sz w:val="16"/>
      <w:szCs w:val="16"/>
    </w:rPr>
  </w:style>
  <w:style w:type="paragraph" w:styleId="CommentSubject">
    <w:name w:val="annotation subject"/>
    <w:basedOn w:val="CommentText"/>
    <w:next w:val="CommentText"/>
    <w:link w:val="CommentSubjectChar"/>
    <w:rsid w:val="00CD6001"/>
    <w:rPr>
      <w:b/>
      <w:bCs/>
      <w:sz w:val="20"/>
    </w:rPr>
  </w:style>
  <w:style w:type="character" w:customStyle="1" w:styleId="CommentTextChar">
    <w:name w:val="Comment Text Char"/>
    <w:basedOn w:val="DefaultParagraphFont"/>
    <w:link w:val="CommentText"/>
    <w:semiHidden/>
    <w:rsid w:val="00CD6001"/>
    <w:rPr>
      <w:rFonts w:ascii="Arial" w:eastAsia="SimSun" w:hAnsi="Arial" w:cs="Arial"/>
      <w:sz w:val="18"/>
      <w:lang w:eastAsia="zh-CN"/>
    </w:rPr>
  </w:style>
  <w:style w:type="character" w:customStyle="1" w:styleId="CommentSubjectChar">
    <w:name w:val="Comment Subject Char"/>
    <w:basedOn w:val="CommentTextChar"/>
    <w:link w:val="CommentSubject"/>
    <w:rsid w:val="00CD6001"/>
    <w:rPr>
      <w:rFonts w:ascii="Arial" w:eastAsia="SimSun" w:hAnsi="Arial" w:cs="Arial"/>
      <w:sz w:val="18"/>
      <w:lang w:eastAsia="zh-CN"/>
    </w:rPr>
  </w:style>
  <w:style w:type="paragraph" w:styleId="Revision">
    <w:name w:val="Revision"/>
    <w:hidden/>
    <w:uiPriority w:val="99"/>
    <w:semiHidden/>
    <w:rsid w:val="00CD600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D307A"/>
    <w:rPr>
      <w:rFonts w:ascii="Tahoma" w:hAnsi="Tahoma" w:cs="Tahoma"/>
      <w:sz w:val="16"/>
      <w:szCs w:val="16"/>
    </w:rPr>
  </w:style>
  <w:style w:type="character" w:customStyle="1" w:styleId="BalloonTextChar">
    <w:name w:val="Balloon Text Char"/>
    <w:basedOn w:val="DefaultParagraphFont"/>
    <w:link w:val="BalloonText"/>
    <w:rsid w:val="000D307A"/>
    <w:rPr>
      <w:rFonts w:ascii="Tahoma" w:eastAsia="SimSun" w:hAnsi="Tahoma" w:cs="Tahoma"/>
      <w:sz w:val="16"/>
      <w:szCs w:val="16"/>
      <w:lang w:eastAsia="zh-CN"/>
    </w:rPr>
  </w:style>
  <w:style w:type="character" w:customStyle="1" w:styleId="Heading1Char">
    <w:name w:val="Heading 1 Char"/>
    <w:basedOn w:val="DefaultParagraphFont"/>
    <w:link w:val="Heading1"/>
    <w:rsid w:val="000D307A"/>
    <w:rPr>
      <w:rFonts w:ascii="Arial" w:eastAsia="SimSun" w:hAnsi="Arial" w:cs="Arial"/>
      <w:b/>
      <w:bCs/>
      <w:caps/>
      <w:kern w:val="32"/>
      <w:sz w:val="22"/>
      <w:szCs w:val="32"/>
      <w:lang w:eastAsia="zh-CN"/>
    </w:rPr>
  </w:style>
  <w:style w:type="character" w:customStyle="1" w:styleId="ONUMEChar">
    <w:name w:val="ONUM E Char"/>
    <w:basedOn w:val="DefaultParagraphFont"/>
    <w:link w:val="ONUME"/>
    <w:rsid w:val="000677A4"/>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75654E"/>
    <w:rPr>
      <w:rFonts w:ascii="Arial" w:eastAsia="SimSun" w:hAnsi="Arial" w:cs="Arial"/>
      <w:sz w:val="18"/>
      <w:lang w:eastAsia="zh-CN"/>
    </w:rPr>
  </w:style>
  <w:style w:type="paragraph" w:styleId="ListParagraph">
    <w:name w:val="List Paragraph"/>
    <w:basedOn w:val="Normal"/>
    <w:uiPriority w:val="34"/>
    <w:qFormat/>
    <w:rsid w:val="0075654E"/>
    <w:pPr>
      <w:spacing w:after="200" w:line="276" w:lineRule="auto"/>
      <w:ind w:left="720"/>
      <w:contextualSpacing/>
    </w:pPr>
    <w:rPr>
      <w:rFonts w:ascii="Calibri" w:eastAsia="Calibri" w:hAnsi="Calibri" w:cs="Times New Roman"/>
      <w:szCs w:val="22"/>
      <w:lang w:val="en-GB" w:eastAsia="en-US"/>
    </w:rPr>
  </w:style>
  <w:style w:type="character" w:styleId="FootnoteReference">
    <w:name w:val="footnote reference"/>
    <w:basedOn w:val="DefaultParagraphFont"/>
    <w:uiPriority w:val="99"/>
    <w:unhideWhenUsed/>
    <w:rsid w:val="0075654E"/>
    <w:rPr>
      <w:rFonts w:ascii="Times New Roman" w:hAnsi="Times New Roman" w:cs="Times New Roman" w:hint="default"/>
      <w:vertAlign w:val="superscript"/>
    </w:rPr>
  </w:style>
  <w:style w:type="character" w:styleId="Hyperlink">
    <w:name w:val="Hyperlink"/>
    <w:basedOn w:val="DefaultParagraphFont"/>
    <w:uiPriority w:val="99"/>
    <w:unhideWhenUsed/>
    <w:rsid w:val="0075654E"/>
    <w:rPr>
      <w:color w:val="0000FF"/>
      <w:u w:val="single"/>
    </w:rPr>
  </w:style>
  <w:style w:type="character" w:customStyle="1" w:styleId="st">
    <w:name w:val="st"/>
    <w:basedOn w:val="DefaultParagraphFont"/>
    <w:rsid w:val="00595B7C"/>
  </w:style>
  <w:style w:type="table" w:styleId="TableGrid">
    <w:name w:val="Table Grid"/>
    <w:basedOn w:val="TableNormal"/>
    <w:rsid w:val="00595B7C"/>
    <w:rPr>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CD6001"/>
    <w:rPr>
      <w:sz w:val="16"/>
      <w:szCs w:val="16"/>
    </w:rPr>
  </w:style>
  <w:style w:type="paragraph" w:styleId="CommentSubject">
    <w:name w:val="annotation subject"/>
    <w:basedOn w:val="CommentText"/>
    <w:next w:val="CommentText"/>
    <w:link w:val="CommentSubjectChar"/>
    <w:rsid w:val="00CD6001"/>
    <w:rPr>
      <w:b/>
      <w:bCs/>
      <w:sz w:val="20"/>
    </w:rPr>
  </w:style>
  <w:style w:type="character" w:customStyle="1" w:styleId="CommentTextChar">
    <w:name w:val="Comment Text Char"/>
    <w:basedOn w:val="DefaultParagraphFont"/>
    <w:link w:val="CommentText"/>
    <w:semiHidden/>
    <w:rsid w:val="00CD6001"/>
    <w:rPr>
      <w:rFonts w:ascii="Arial" w:eastAsia="SimSun" w:hAnsi="Arial" w:cs="Arial"/>
      <w:sz w:val="18"/>
      <w:lang w:eastAsia="zh-CN"/>
    </w:rPr>
  </w:style>
  <w:style w:type="character" w:customStyle="1" w:styleId="CommentSubjectChar">
    <w:name w:val="Comment Subject Char"/>
    <w:basedOn w:val="CommentTextChar"/>
    <w:link w:val="CommentSubject"/>
    <w:rsid w:val="00CD6001"/>
    <w:rPr>
      <w:rFonts w:ascii="Arial" w:eastAsia="SimSun" w:hAnsi="Arial" w:cs="Arial"/>
      <w:sz w:val="18"/>
      <w:lang w:eastAsia="zh-CN"/>
    </w:rPr>
  </w:style>
  <w:style w:type="paragraph" w:styleId="Revision">
    <w:name w:val="Revision"/>
    <w:hidden/>
    <w:uiPriority w:val="99"/>
    <w:semiHidden/>
    <w:rsid w:val="00CD600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159">
      <w:bodyDiv w:val="1"/>
      <w:marLeft w:val="0"/>
      <w:marRight w:val="0"/>
      <w:marTop w:val="0"/>
      <w:marBottom w:val="0"/>
      <w:divBdr>
        <w:top w:val="none" w:sz="0" w:space="0" w:color="auto"/>
        <w:left w:val="none" w:sz="0" w:space="0" w:color="auto"/>
        <w:bottom w:val="none" w:sz="0" w:space="0" w:color="auto"/>
        <w:right w:val="none" w:sz="0" w:space="0" w:color="auto"/>
      </w:divBdr>
      <w:divsChild>
        <w:div w:id="41903414">
          <w:marLeft w:val="0"/>
          <w:marRight w:val="0"/>
          <w:marTop w:val="0"/>
          <w:marBottom w:val="0"/>
          <w:divBdr>
            <w:top w:val="none" w:sz="0" w:space="0" w:color="auto"/>
            <w:left w:val="none" w:sz="0" w:space="0" w:color="auto"/>
            <w:bottom w:val="none" w:sz="0" w:space="0" w:color="auto"/>
            <w:right w:val="none" w:sz="0" w:space="0" w:color="auto"/>
          </w:divBdr>
          <w:divsChild>
            <w:div w:id="2047559335">
              <w:marLeft w:val="0"/>
              <w:marRight w:val="0"/>
              <w:marTop w:val="0"/>
              <w:marBottom w:val="0"/>
              <w:divBdr>
                <w:top w:val="none" w:sz="0" w:space="0" w:color="auto"/>
                <w:left w:val="none" w:sz="0" w:space="0" w:color="auto"/>
                <w:bottom w:val="none" w:sz="0" w:space="0" w:color="auto"/>
                <w:right w:val="none" w:sz="0" w:space="0" w:color="auto"/>
              </w:divBdr>
              <w:divsChild>
                <w:div w:id="1237595610">
                  <w:marLeft w:val="0"/>
                  <w:marRight w:val="0"/>
                  <w:marTop w:val="0"/>
                  <w:marBottom w:val="0"/>
                  <w:divBdr>
                    <w:top w:val="none" w:sz="0" w:space="0" w:color="auto"/>
                    <w:left w:val="none" w:sz="0" w:space="0" w:color="auto"/>
                    <w:bottom w:val="none" w:sz="0" w:space="0" w:color="auto"/>
                    <w:right w:val="none" w:sz="0" w:space="0" w:color="auto"/>
                  </w:divBdr>
                  <w:divsChild>
                    <w:div w:id="1576284712">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640959509">
      <w:bodyDiv w:val="1"/>
      <w:marLeft w:val="0"/>
      <w:marRight w:val="0"/>
      <w:marTop w:val="0"/>
      <w:marBottom w:val="0"/>
      <w:divBdr>
        <w:top w:val="none" w:sz="0" w:space="0" w:color="auto"/>
        <w:left w:val="none" w:sz="0" w:space="0" w:color="auto"/>
        <w:bottom w:val="none" w:sz="0" w:space="0" w:color="auto"/>
        <w:right w:val="none" w:sz="0" w:space="0" w:color="auto"/>
      </w:divBdr>
      <w:divsChild>
        <w:div w:id="34090505">
          <w:marLeft w:val="0"/>
          <w:marRight w:val="0"/>
          <w:marTop w:val="0"/>
          <w:marBottom w:val="0"/>
          <w:divBdr>
            <w:top w:val="none" w:sz="0" w:space="0" w:color="auto"/>
            <w:left w:val="none" w:sz="0" w:space="0" w:color="auto"/>
            <w:bottom w:val="none" w:sz="0" w:space="0" w:color="auto"/>
            <w:right w:val="none" w:sz="0" w:space="0" w:color="auto"/>
          </w:divBdr>
          <w:divsChild>
            <w:div w:id="1969505475">
              <w:marLeft w:val="0"/>
              <w:marRight w:val="0"/>
              <w:marTop w:val="0"/>
              <w:marBottom w:val="0"/>
              <w:divBdr>
                <w:top w:val="none" w:sz="0" w:space="0" w:color="auto"/>
                <w:left w:val="none" w:sz="0" w:space="0" w:color="auto"/>
                <w:bottom w:val="none" w:sz="0" w:space="0" w:color="auto"/>
                <w:right w:val="none" w:sz="0" w:space="0" w:color="auto"/>
              </w:divBdr>
              <w:divsChild>
                <w:div w:id="97142215">
                  <w:marLeft w:val="0"/>
                  <w:marRight w:val="0"/>
                  <w:marTop w:val="0"/>
                  <w:marBottom w:val="0"/>
                  <w:divBdr>
                    <w:top w:val="none" w:sz="0" w:space="0" w:color="auto"/>
                    <w:left w:val="none" w:sz="0" w:space="0" w:color="auto"/>
                    <w:bottom w:val="none" w:sz="0" w:space="0" w:color="auto"/>
                    <w:right w:val="none" w:sz="0" w:space="0" w:color="auto"/>
                  </w:divBdr>
                  <w:divsChild>
                    <w:div w:id="1336304000">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 w:id="1341423362">
      <w:bodyDiv w:val="1"/>
      <w:marLeft w:val="0"/>
      <w:marRight w:val="0"/>
      <w:marTop w:val="0"/>
      <w:marBottom w:val="0"/>
      <w:divBdr>
        <w:top w:val="none" w:sz="0" w:space="0" w:color="auto"/>
        <w:left w:val="none" w:sz="0" w:space="0" w:color="auto"/>
        <w:bottom w:val="none" w:sz="0" w:space="0" w:color="auto"/>
        <w:right w:val="none" w:sz="0" w:space="0" w:color="auto"/>
      </w:divBdr>
    </w:div>
    <w:div w:id="1696879741">
      <w:bodyDiv w:val="1"/>
      <w:marLeft w:val="0"/>
      <w:marRight w:val="0"/>
      <w:marTop w:val="0"/>
      <w:marBottom w:val="0"/>
      <w:divBdr>
        <w:top w:val="none" w:sz="0" w:space="0" w:color="auto"/>
        <w:left w:val="none" w:sz="0" w:space="0" w:color="auto"/>
        <w:bottom w:val="none" w:sz="0" w:space="0" w:color="auto"/>
        <w:right w:val="none" w:sz="0" w:space="0" w:color="auto"/>
      </w:divBdr>
    </w:div>
    <w:div w:id="18791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A727A-5C19-48D1-98FD-7AA8D5BC84E0}">
  <ds:schemaRefs>
    <ds:schemaRef ds:uri="http://schemas.openxmlformats.org/officeDocument/2006/bibliography"/>
  </ds:schemaRefs>
</ds:datastoreItem>
</file>

<file path=customXml/itemProps2.xml><?xml version="1.0" encoding="utf-8"?>
<ds:datastoreItem xmlns:ds="http://schemas.openxmlformats.org/officeDocument/2006/customXml" ds:itemID="{4A83C4D4-FDA6-48FC-A3DA-953308B965DE}">
  <ds:schemaRefs>
    <ds:schemaRef ds:uri="http://schemas.openxmlformats.org/officeDocument/2006/bibliography"/>
  </ds:schemaRefs>
</ds:datastoreItem>
</file>

<file path=customXml/itemProps3.xml><?xml version="1.0" encoding="utf-8"?>
<ds:datastoreItem xmlns:ds="http://schemas.openxmlformats.org/officeDocument/2006/customXml" ds:itemID="{7EB61350-4A4C-4326-9181-9B05D2962789}">
  <ds:schemaRefs>
    <ds:schemaRef ds:uri="http://schemas.openxmlformats.org/officeDocument/2006/bibliography"/>
  </ds:schemaRefs>
</ds:datastoreItem>
</file>

<file path=customXml/itemProps4.xml><?xml version="1.0" encoding="utf-8"?>
<ds:datastoreItem xmlns:ds="http://schemas.openxmlformats.org/officeDocument/2006/customXml" ds:itemID="{F3C73DDB-A36C-4C8D-B05A-A60D04C8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16117</Words>
  <Characters>91871</Characters>
  <Application>Microsoft Office Word</Application>
  <DocSecurity>0</DocSecurity>
  <Lines>765</Lines>
  <Paragraphs>215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PCT/CTC/28</vt:lpstr>
      <vt:lpstr>PCT/CTC/28</vt:lpstr>
    </vt:vector>
  </TitlesOfParts>
  <Company>WIPO</Company>
  <LinksUpToDate>false</LinksUpToDate>
  <CharactersWithSpaces>107773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PCT/CTC/28</dc:title>
  <dc:subject>Appointment of the Visegrad Patent Institute as an International Searching and Preliminary Examining Authority under the PCT</dc:subject>
  <dc:creator>MATTHES Claus</dc:creator>
  <cp:keywords>K/BN/mhf</cp:keywords>
  <cp:lastModifiedBy>MARLOW Thomas</cp:lastModifiedBy>
  <cp:revision>6</cp:revision>
  <cp:lastPrinted>2015-04-16T10:44:00Z</cp:lastPrinted>
  <dcterms:created xsi:type="dcterms:W3CDTF">2015-04-16T10:36:00Z</dcterms:created>
  <dcterms:modified xsi:type="dcterms:W3CDTF">2015-04-16T10:45:00Z</dcterms:modified>
</cp:coreProperties>
</file>