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D786D" w:rsidRPr="00CA574B" w:rsidTr="00F350DD">
        <w:tc>
          <w:tcPr>
            <w:tcW w:w="4513" w:type="dxa"/>
            <w:tcBorders>
              <w:bottom w:val="single" w:sz="4" w:space="0" w:color="auto"/>
            </w:tcBorders>
            <w:tcMar>
              <w:bottom w:w="170" w:type="dxa"/>
            </w:tcMar>
          </w:tcPr>
          <w:p w:rsidR="00ED786D" w:rsidRPr="00CA574B" w:rsidRDefault="00ED786D" w:rsidP="00F350DD">
            <w:pPr>
              <w:rPr>
                <w:lang w:val="fr-FR"/>
              </w:rPr>
            </w:pPr>
            <w:bookmarkStart w:id="0" w:name="TitleOfDoc"/>
            <w:bookmarkEnd w:id="0"/>
          </w:p>
        </w:tc>
        <w:tc>
          <w:tcPr>
            <w:tcW w:w="4337" w:type="dxa"/>
            <w:tcBorders>
              <w:bottom w:val="single" w:sz="4" w:space="0" w:color="auto"/>
            </w:tcBorders>
            <w:tcMar>
              <w:left w:w="0" w:type="dxa"/>
              <w:right w:w="0" w:type="dxa"/>
            </w:tcMar>
          </w:tcPr>
          <w:p w:rsidR="00ED786D" w:rsidRPr="00CA574B" w:rsidRDefault="00ED786D" w:rsidP="00F350DD">
            <w:pPr>
              <w:rPr>
                <w:lang w:val="fr-FR"/>
              </w:rPr>
            </w:pPr>
            <w:r w:rsidRPr="00CA574B">
              <w:rPr>
                <w:noProof/>
                <w:lang w:eastAsia="en-US"/>
              </w:rPr>
              <w:drawing>
                <wp:inline distT="0" distB="0" distL="0" distR="0" wp14:anchorId="74A072EF" wp14:editId="4A66236C">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D786D" w:rsidRPr="00CA574B" w:rsidRDefault="00ED786D" w:rsidP="00F350DD">
            <w:pPr>
              <w:jc w:val="right"/>
              <w:rPr>
                <w:lang w:val="fr-FR"/>
              </w:rPr>
            </w:pPr>
            <w:r w:rsidRPr="00CA574B">
              <w:rPr>
                <w:b/>
                <w:sz w:val="40"/>
                <w:szCs w:val="40"/>
                <w:lang w:val="fr-FR"/>
              </w:rPr>
              <w:t>F</w:t>
            </w:r>
          </w:p>
        </w:tc>
      </w:tr>
      <w:tr w:rsidR="00ED786D" w:rsidRPr="00CA574B" w:rsidTr="00F350DD">
        <w:trPr>
          <w:trHeight w:hRule="exact" w:val="357"/>
        </w:trPr>
        <w:tc>
          <w:tcPr>
            <w:tcW w:w="9356" w:type="dxa"/>
            <w:gridSpan w:val="3"/>
            <w:tcBorders>
              <w:top w:val="single" w:sz="4" w:space="0" w:color="auto"/>
            </w:tcBorders>
            <w:tcMar>
              <w:top w:w="170" w:type="dxa"/>
              <w:left w:w="0" w:type="dxa"/>
              <w:right w:w="0" w:type="dxa"/>
            </w:tcMar>
            <w:vAlign w:val="bottom"/>
          </w:tcPr>
          <w:p w:rsidR="00ED786D" w:rsidRPr="00CA574B" w:rsidRDefault="00ED786D" w:rsidP="00F350DD">
            <w:pPr>
              <w:jc w:val="right"/>
              <w:rPr>
                <w:rFonts w:ascii="Arial Black" w:hAnsi="Arial Black"/>
                <w:caps/>
                <w:sz w:val="15"/>
                <w:lang w:val="fr-FR"/>
              </w:rPr>
            </w:pPr>
            <w:r w:rsidRPr="00CA574B">
              <w:rPr>
                <w:rFonts w:ascii="Arial Black" w:hAnsi="Arial Black"/>
                <w:caps/>
                <w:sz w:val="15"/>
                <w:lang w:val="fr-FR"/>
              </w:rPr>
              <w:t>PCT/CTC/30/</w:t>
            </w:r>
            <w:bookmarkStart w:id="1" w:name="Code"/>
            <w:bookmarkEnd w:id="1"/>
            <w:r w:rsidRPr="00CA574B">
              <w:rPr>
                <w:rFonts w:ascii="Arial Black" w:hAnsi="Arial Black"/>
                <w:caps/>
                <w:sz w:val="15"/>
                <w:lang w:val="fr-FR"/>
              </w:rPr>
              <w:t>18</w:t>
            </w:r>
          </w:p>
        </w:tc>
      </w:tr>
      <w:tr w:rsidR="00ED786D" w:rsidRPr="00CA574B" w:rsidTr="00F350DD">
        <w:trPr>
          <w:trHeight w:hRule="exact" w:val="170"/>
        </w:trPr>
        <w:tc>
          <w:tcPr>
            <w:tcW w:w="9356" w:type="dxa"/>
            <w:gridSpan w:val="3"/>
            <w:noWrap/>
            <w:tcMar>
              <w:left w:w="0" w:type="dxa"/>
              <w:right w:w="0" w:type="dxa"/>
            </w:tcMar>
            <w:vAlign w:val="bottom"/>
          </w:tcPr>
          <w:p w:rsidR="00ED786D" w:rsidRPr="00CA574B" w:rsidRDefault="00ED786D" w:rsidP="00F350DD">
            <w:pPr>
              <w:jc w:val="right"/>
              <w:rPr>
                <w:rFonts w:ascii="Arial Black" w:hAnsi="Arial Black"/>
                <w:caps/>
                <w:sz w:val="15"/>
                <w:lang w:val="fr-FR"/>
              </w:rPr>
            </w:pPr>
            <w:r w:rsidRPr="00CA574B">
              <w:rPr>
                <w:rFonts w:ascii="Arial Black" w:hAnsi="Arial Black"/>
                <w:caps/>
                <w:sz w:val="15"/>
                <w:lang w:val="fr-FR"/>
              </w:rPr>
              <w:t xml:space="preserve">ORIGINAL : </w:t>
            </w:r>
            <w:bookmarkStart w:id="2" w:name="Original"/>
            <w:bookmarkEnd w:id="2"/>
            <w:r w:rsidRPr="00CA574B">
              <w:rPr>
                <w:rFonts w:ascii="Arial Black" w:hAnsi="Arial Black"/>
                <w:caps/>
                <w:sz w:val="15"/>
                <w:lang w:val="fr-FR"/>
              </w:rPr>
              <w:t>anglais</w:t>
            </w:r>
          </w:p>
        </w:tc>
      </w:tr>
      <w:tr w:rsidR="00ED786D" w:rsidRPr="00CA574B" w:rsidTr="00F350DD">
        <w:trPr>
          <w:trHeight w:hRule="exact" w:val="198"/>
        </w:trPr>
        <w:tc>
          <w:tcPr>
            <w:tcW w:w="9356" w:type="dxa"/>
            <w:gridSpan w:val="3"/>
            <w:tcMar>
              <w:left w:w="0" w:type="dxa"/>
              <w:right w:w="0" w:type="dxa"/>
            </w:tcMar>
            <w:vAlign w:val="bottom"/>
          </w:tcPr>
          <w:p w:rsidR="00ED786D" w:rsidRPr="00CA574B" w:rsidRDefault="00ED786D" w:rsidP="00F350DD">
            <w:pPr>
              <w:jc w:val="right"/>
              <w:rPr>
                <w:rFonts w:ascii="Arial Black" w:hAnsi="Arial Black"/>
                <w:caps/>
                <w:sz w:val="15"/>
                <w:lang w:val="fr-FR"/>
              </w:rPr>
            </w:pPr>
            <w:r w:rsidRPr="00CA574B">
              <w:rPr>
                <w:rFonts w:ascii="Arial Black" w:hAnsi="Arial Black"/>
                <w:caps/>
                <w:sz w:val="15"/>
                <w:lang w:val="fr-FR"/>
              </w:rPr>
              <w:t xml:space="preserve">DATE : </w:t>
            </w:r>
            <w:bookmarkStart w:id="3" w:name="Date"/>
            <w:bookmarkEnd w:id="3"/>
            <w:r w:rsidRPr="00CA574B">
              <w:rPr>
                <w:rFonts w:ascii="Arial Black" w:hAnsi="Arial Black"/>
                <w:caps/>
                <w:sz w:val="15"/>
                <w:lang w:val="fr-FR"/>
              </w:rPr>
              <w:t>16 mars 2017</w:t>
            </w:r>
          </w:p>
        </w:tc>
      </w:tr>
    </w:tbl>
    <w:p w:rsidR="00ED786D" w:rsidRPr="00CA574B" w:rsidRDefault="00ED786D" w:rsidP="00ED786D">
      <w:pPr>
        <w:rPr>
          <w:lang w:val="fr-FR"/>
        </w:rPr>
      </w:pPr>
    </w:p>
    <w:p w:rsidR="00ED786D" w:rsidRPr="00CA574B" w:rsidRDefault="00ED786D" w:rsidP="00ED786D">
      <w:pPr>
        <w:rPr>
          <w:lang w:val="fr-FR"/>
        </w:rPr>
      </w:pPr>
    </w:p>
    <w:p w:rsidR="00ED786D" w:rsidRPr="00CA574B" w:rsidRDefault="00ED786D" w:rsidP="00ED786D">
      <w:pPr>
        <w:rPr>
          <w:lang w:val="fr-FR"/>
        </w:rPr>
      </w:pPr>
    </w:p>
    <w:p w:rsidR="00ED786D" w:rsidRPr="00CA574B" w:rsidRDefault="00ED786D" w:rsidP="00ED786D">
      <w:pPr>
        <w:rPr>
          <w:lang w:val="fr-FR"/>
        </w:rPr>
      </w:pPr>
    </w:p>
    <w:p w:rsidR="00ED786D" w:rsidRPr="00CA574B" w:rsidRDefault="00ED786D" w:rsidP="00ED786D">
      <w:pPr>
        <w:rPr>
          <w:lang w:val="fr-FR"/>
        </w:rPr>
      </w:pPr>
    </w:p>
    <w:p w:rsidR="00ED786D" w:rsidRPr="00CA574B" w:rsidRDefault="00ED786D" w:rsidP="00ED786D">
      <w:pPr>
        <w:rPr>
          <w:b/>
          <w:sz w:val="28"/>
          <w:szCs w:val="28"/>
          <w:lang w:val="fr-FR"/>
        </w:rPr>
      </w:pPr>
      <w:r w:rsidRPr="00CA574B">
        <w:rPr>
          <w:b/>
          <w:sz w:val="28"/>
          <w:szCs w:val="28"/>
          <w:lang w:val="fr-FR"/>
        </w:rPr>
        <w:t>Traité de coopération en matière de brevets (PCT)</w:t>
      </w:r>
    </w:p>
    <w:p w:rsidR="00ED786D" w:rsidRPr="00CA574B" w:rsidRDefault="00ED786D" w:rsidP="00ED786D">
      <w:pPr>
        <w:rPr>
          <w:b/>
          <w:sz w:val="28"/>
          <w:szCs w:val="28"/>
          <w:lang w:val="fr-FR"/>
        </w:rPr>
      </w:pPr>
      <w:r w:rsidRPr="00CA574B">
        <w:rPr>
          <w:b/>
          <w:sz w:val="28"/>
          <w:szCs w:val="28"/>
          <w:lang w:val="fr-FR"/>
        </w:rPr>
        <w:t>Comité de coopération technique</w:t>
      </w:r>
    </w:p>
    <w:p w:rsidR="00ED786D" w:rsidRPr="00CA574B" w:rsidRDefault="00ED786D" w:rsidP="00ED786D">
      <w:pPr>
        <w:rPr>
          <w:lang w:val="fr-FR"/>
        </w:rPr>
      </w:pPr>
    </w:p>
    <w:p w:rsidR="00ED786D" w:rsidRPr="00CA574B" w:rsidRDefault="00ED786D" w:rsidP="00ED786D">
      <w:pPr>
        <w:rPr>
          <w:lang w:val="fr-FR"/>
        </w:rPr>
      </w:pPr>
    </w:p>
    <w:p w:rsidR="00ED786D" w:rsidRPr="00CA574B" w:rsidRDefault="00ED786D" w:rsidP="00ED786D">
      <w:pPr>
        <w:rPr>
          <w:b/>
          <w:sz w:val="24"/>
          <w:szCs w:val="24"/>
          <w:lang w:val="fr-FR"/>
        </w:rPr>
      </w:pPr>
      <w:r w:rsidRPr="00CA574B">
        <w:rPr>
          <w:b/>
          <w:sz w:val="24"/>
          <w:szCs w:val="24"/>
          <w:lang w:val="fr-FR"/>
        </w:rPr>
        <w:t>Trentième session</w:t>
      </w:r>
    </w:p>
    <w:p w:rsidR="00ED786D" w:rsidRPr="00CA574B" w:rsidRDefault="00ED786D" w:rsidP="00ED786D">
      <w:pPr>
        <w:rPr>
          <w:b/>
          <w:sz w:val="24"/>
          <w:szCs w:val="24"/>
          <w:lang w:val="fr-FR"/>
        </w:rPr>
      </w:pPr>
      <w:r w:rsidRPr="00CA574B">
        <w:rPr>
          <w:b/>
          <w:sz w:val="24"/>
          <w:szCs w:val="24"/>
          <w:lang w:val="fr-FR"/>
        </w:rPr>
        <w:t>Genève, 8 – 12 mai 2017</w:t>
      </w:r>
    </w:p>
    <w:p w:rsidR="00ED786D" w:rsidRPr="00CA574B" w:rsidRDefault="00ED786D" w:rsidP="00ED786D">
      <w:pPr>
        <w:rPr>
          <w:lang w:val="fr-FR"/>
        </w:rPr>
      </w:pPr>
    </w:p>
    <w:p w:rsidR="00ED786D" w:rsidRPr="00CA574B" w:rsidRDefault="00ED786D" w:rsidP="00ED786D">
      <w:pPr>
        <w:rPr>
          <w:lang w:val="fr-FR"/>
        </w:rPr>
      </w:pPr>
    </w:p>
    <w:p w:rsidR="00ED786D" w:rsidRPr="00CA574B" w:rsidRDefault="00ED786D" w:rsidP="00ED786D">
      <w:pPr>
        <w:rPr>
          <w:lang w:val="fr-FR"/>
        </w:rPr>
      </w:pPr>
    </w:p>
    <w:p w:rsidR="00891762" w:rsidRPr="00CC5550" w:rsidRDefault="00D14E98" w:rsidP="00CC5550">
      <w:pPr>
        <w:rPr>
          <w:caps/>
          <w:sz w:val="24"/>
          <w:lang w:val="fr-FR"/>
        </w:rPr>
      </w:pPr>
      <w:r w:rsidRPr="00CC5550">
        <w:rPr>
          <w:caps/>
          <w:sz w:val="24"/>
          <w:lang w:val="fr-FR"/>
        </w:rPr>
        <w:t>Prolongation de la nomination de l</w:t>
      </w:r>
      <w:r w:rsidR="00ED786D" w:rsidRPr="00CC5550">
        <w:rPr>
          <w:caps/>
          <w:sz w:val="24"/>
          <w:lang w:val="fr-FR"/>
        </w:rPr>
        <w:t>’</w:t>
      </w:r>
      <w:r w:rsidRPr="00CC5550">
        <w:rPr>
          <w:caps/>
          <w:sz w:val="24"/>
          <w:lang w:val="fr-FR"/>
        </w:rPr>
        <w:t>Office suédois des brevets et de l</w:t>
      </w:r>
      <w:r w:rsidR="00ED786D" w:rsidRPr="00CC5550">
        <w:rPr>
          <w:caps/>
          <w:sz w:val="24"/>
          <w:lang w:val="fr-FR"/>
        </w:rPr>
        <w:t>’</w:t>
      </w:r>
      <w:r w:rsidRPr="00CC5550">
        <w:rPr>
          <w:caps/>
          <w:sz w:val="24"/>
          <w:lang w:val="fr-FR"/>
        </w:rPr>
        <w:t>enregistrement en qualité d</w:t>
      </w:r>
      <w:r w:rsidR="00ED786D" w:rsidRPr="00CC5550">
        <w:rPr>
          <w:caps/>
          <w:sz w:val="24"/>
          <w:lang w:val="fr-FR"/>
        </w:rPr>
        <w:t>’</w:t>
      </w:r>
      <w:r w:rsidRPr="00CC5550">
        <w:rPr>
          <w:caps/>
          <w:sz w:val="24"/>
          <w:lang w:val="fr-FR"/>
        </w:rPr>
        <w:t>administration chargée de la recherche internationale et de l</w:t>
      </w:r>
      <w:r w:rsidR="00ED786D" w:rsidRPr="00CC5550">
        <w:rPr>
          <w:caps/>
          <w:sz w:val="24"/>
          <w:lang w:val="fr-FR"/>
        </w:rPr>
        <w:t>’</w:t>
      </w:r>
      <w:r w:rsidRPr="00CC5550">
        <w:rPr>
          <w:caps/>
          <w:sz w:val="24"/>
          <w:lang w:val="fr-FR"/>
        </w:rPr>
        <w:t>examen préliminaire international selon</w:t>
      </w:r>
      <w:r w:rsidR="00ED786D" w:rsidRPr="00CC5550">
        <w:rPr>
          <w:caps/>
          <w:sz w:val="24"/>
          <w:lang w:val="fr-FR"/>
        </w:rPr>
        <w:t xml:space="preserve"> le PCT</w:t>
      </w:r>
    </w:p>
    <w:p w:rsidR="00891762" w:rsidRPr="00CC5550" w:rsidRDefault="00891762" w:rsidP="00CC5550">
      <w:pPr>
        <w:rPr>
          <w:lang w:val="fr-FR"/>
        </w:rPr>
      </w:pPr>
    </w:p>
    <w:p w:rsidR="00891762" w:rsidRPr="00CC5550" w:rsidRDefault="00D14E98" w:rsidP="00CC5550">
      <w:pPr>
        <w:rPr>
          <w:i/>
          <w:lang w:val="fr-FR"/>
        </w:rPr>
      </w:pPr>
      <w:bookmarkStart w:id="4" w:name="Prepared"/>
      <w:bookmarkEnd w:id="4"/>
      <w:r w:rsidRPr="00CC5550">
        <w:rPr>
          <w:i/>
          <w:lang w:val="fr-FR"/>
        </w:rPr>
        <w:t>Document établi par le Bureau international</w:t>
      </w:r>
    </w:p>
    <w:p w:rsidR="00891762" w:rsidRPr="00CC5550" w:rsidRDefault="00891762" w:rsidP="00CC5550">
      <w:pPr>
        <w:rPr>
          <w:lang w:val="fr-FR"/>
        </w:rPr>
      </w:pPr>
    </w:p>
    <w:p w:rsidR="005C589A" w:rsidRPr="00CC5550" w:rsidRDefault="005C589A" w:rsidP="007749AC">
      <w:pPr>
        <w:pStyle w:val="ONUMFS"/>
        <w:rPr>
          <w:lang w:val="fr-FR"/>
        </w:rPr>
      </w:pPr>
      <w:bookmarkStart w:id="5" w:name="_Ref447032909"/>
      <w:r w:rsidRPr="00CC5550">
        <w:rPr>
          <w:lang w:val="fr-FR"/>
        </w:rPr>
        <w:t xml:space="preserve">Toutes les administrations internationales existantes ont été nommées par l’Assemblée de l’Union du PCT pour une période s’achevant le 31 décembre 2017.  </w:t>
      </w:r>
      <w:bookmarkEnd w:id="5"/>
      <w:r w:rsidRPr="00CC5550">
        <w:rPr>
          <w:lang w:val="fr-FR"/>
        </w:rPr>
        <w:t>En 2017, l’assemblée devra donc prendre une décision en ce qui concerne la prolongation de la nomination de chaque administration internationale existante qui souhaite demander une telle prolongation, après avoir sollicité l’avis du comité (voir les articles 16.3)e) et 32.3) du PCT).  On trouvera des informations concernant la procédure applicable et le rôle du comité dans le document PCT/CTC/30/INF/1.</w:t>
      </w:r>
    </w:p>
    <w:p w:rsidR="00891762" w:rsidRPr="00CC5550" w:rsidRDefault="00E274AE" w:rsidP="007749AC">
      <w:pPr>
        <w:pStyle w:val="ONUMFS"/>
        <w:rPr>
          <w:lang w:val="fr-FR"/>
        </w:rPr>
      </w:pPr>
      <w:r w:rsidRPr="00CC5550">
        <w:rPr>
          <w:lang w:val="fr-FR"/>
        </w:rPr>
        <w:t>Le</w:t>
      </w:r>
      <w:r w:rsidR="00ED786D" w:rsidRPr="00CC5550">
        <w:rPr>
          <w:lang w:val="fr-FR"/>
        </w:rPr>
        <w:t xml:space="preserve"> 1</w:t>
      </w:r>
      <w:r w:rsidR="00ED786D" w:rsidRPr="00CC5550">
        <w:rPr>
          <w:vertAlign w:val="superscript"/>
          <w:lang w:val="fr-FR"/>
        </w:rPr>
        <w:t>er</w:t>
      </w:r>
      <w:r w:rsidR="00ED786D" w:rsidRPr="00CC5550">
        <w:rPr>
          <w:lang w:val="fr-FR"/>
        </w:rPr>
        <w:t> mars 20</w:t>
      </w:r>
      <w:r w:rsidRPr="00CC5550">
        <w:rPr>
          <w:lang w:val="fr-FR"/>
        </w:rPr>
        <w:t>17, l</w:t>
      </w:r>
      <w:r w:rsidR="00ED786D" w:rsidRPr="00CC5550">
        <w:rPr>
          <w:lang w:val="fr-FR"/>
        </w:rPr>
        <w:t>’</w:t>
      </w:r>
      <w:r w:rsidRPr="00CC5550">
        <w:rPr>
          <w:lang w:val="fr-FR"/>
        </w:rPr>
        <w:t>Office suédois des brevets et de l</w:t>
      </w:r>
      <w:r w:rsidR="00ED786D" w:rsidRPr="00CC5550">
        <w:rPr>
          <w:lang w:val="fr-FR"/>
        </w:rPr>
        <w:t>’</w:t>
      </w:r>
      <w:r w:rsidRPr="00CC5550">
        <w:rPr>
          <w:lang w:val="fr-FR"/>
        </w:rPr>
        <w:t xml:space="preserve">enregistrement a </w:t>
      </w:r>
      <w:r w:rsidR="005C589A" w:rsidRPr="00CC5550">
        <w:rPr>
          <w:lang w:val="fr-FR"/>
        </w:rPr>
        <w:t>présenté</w:t>
      </w:r>
      <w:r w:rsidRPr="00CC5550">
        <w:rPr>
          <w:lang w:val="fr-FR"/>
        </w:rPr>
        <w:t xml:space="preserve"> une demande </w:t>
      </w:r>
      <w:r w:rsidR="005C589A" w:rsidRPr="00CC5550">
        <w:rPr>
          <w:lang w:val="fr-FR"/>
        </w:rPr>
        <w:t xml:space="preserve">de prolongation de </w:t>
      </w:r>
      <w:r w:rsidRPr="00CC5550">
        <w:rPr>
          <w:lang w:val="fr-FR"/>
        </w:rPr>
        <w:t>sa nomination en qualité d</w:t>
      </w:r>
      <w:r w:rsidR="00ED786D" w:rsidRPr="00CC5550">
        <w:rPr>
          <w:lang w:val="fr-FR"/>
        </w:rPr>
        <w:t>’</w:t>
      </w:r>
      <w:r w:rsidRPr="00CC5550">
        <w:rPr>
          <w:lang w:val="fr-FR"/>
        </w:rPr>
        <w:t xml:space="preserve">administration chargée de la recherche internationale et </w:t>
      </w:r>
      <w:r w:rsidR="005C589A" w:rsidRPr="00CC5550">
        <w:rPr>
          <w:lang w:val="fr-FR"/>
        </w:rPr>
        <w:t xml:space="preserve">d’administration chargée </w:t>
      </w:r>
      <w:r w:rsidRPr="00CC5550">
        <w:rPr>
          <w:lang w:val="fr-FR"/>
        </w:rPr>
        <w:t>de l</w:t>
      </w:r>
      <w:r w:rsidR="00ED786D" w:rsidRPr="00CC5550">
        <w:rPr>
          <w:lang w:val="fr-FR"/>
        </w:rPr>
        <w:t>’</w:t>
      </w:r>
      <w:r w:rsidRPr="00CC5550">
        <w:rPr>
          <w:lang w:val="fr-FR"/>
        </w:rPr>
        <w:t>examen préliminaire international selon le </w:t>
      </w:r>
      <w:r w:rsidR="00CA574B" w:rsidRPr="00CC5550">
        <w:rPr>
          <w:lang w:val="fr-FR"/>
        </w:rPr>
        <w:t>PCT.  Ce</w:t>
      </w:r>
      <w:r w:rsidRPr="00CC5550">
        <w:rPr>
          <w:lang w:val="fr-FR"/>
        </w:rPr>
        <w:t xml:space="preserve">tte demande est reproduite </w:t>
      </w:r>
      <w:r w:rsidR="005C589A" w:rsidRPr="00CC5550">
        <w:rPr>
          <w:lang w:val="fr-FR"/>
        </w:rPr>
        <w:t>à</w:t>
      </w:r>
      <w:r w:rsidRPr="00CC5550">
        <w:rPr>
          <w:lang w:val="fr-FR"/>
        </w:rPr>
        <w:t xml:space="preserve"> l</w:t>
      </w:r>
      <w:r w:rsidR="00ED786D" w:rsidRPr="00CC5550">
        <w:rPr>
          <w:lang w:val="fr-FR"/>
        </w:rPr>
        <w:t>’</w:t>
      </w:r>
      <w:r w:rsidRPr="00CC5550">
        <w:rPr>
          <w:lang w:val="fr-FR"/>
        </w:rPr>
        <w:t>annexe du présent document.</w:t>
      </w:r>
    </w:p>
    <w:p w:rsidR="00891762" w:rsidRPr="007749AC" w:rsidRDefault="00E274AE" w:rsidP="007749AC">
      <w:pPr>
        <w:pStyle w:val="ONUMFS"/>
        <w:ind w:left="5533"/>
        <w:rPr>
          <w:i/>
          <w:lang w:val="fr-FR"/>
        </w:rPr>
      </w:pPr>
      <w:r w:rsidRPr="007749AC">
        <w:rPr>
          <w:i/>
          <w:lang w:val="fr-FR"/>
        </w:rPr>
        <w:t>Le comité est invité à faire part de son avis sur cette question.</w:t>
      </w:r>
    </w:p>
    <w:p w:rsidR="00891762" w:rsidRPr="0090791A" w:rsidRDefault="00891762" w:rsidP="00CC5550">
      <w:pPr>
        <w:rPr>
          <w:lang w:val="fr-FR"/>
        </w:rPr>
      </w:pPr>
    </w:p>
    <w:p w:rsidR="00F350DD" w:rsidRPr="0090791A" w:rsidRDefault="00F350DD" w:rsidP="00CC5550">
      <w:pPr>
        <w:rPr>
          <w:lang w:val="fr-FR"/>
        </w:rPr>
      </w:pPr>
    </w:p>
    <w:p w:rsidR="00AA5F79" w:rsidRPr="00CC5550" w:rsidRDefault="00E274AE" w:rsidP="00CC5550">
      <w:pPr>
        <w:pStyle w:val="ONUME"/>
        <w:numPr>
          <w:ilvl w:val="0"/>
          <w:numId w:val="0"/>
        </w:numPr>
        <w:ind w:left="5533"/>
        <w:rPr>
          <w:lang w:val="fr-FR"/>
        </w:rPr>
        <w:sectPr w:rsidR="00AA5F79" w:rsidRPr="00CC5550" w:rsidSect="00ED786D">
          <w:headerReference w:type="default" r:id="rId10"/>
          <w:endnotePr>
            <w:numFmt w:val="decimal"/>
          </w:endnotePr>
          <w:pgSz w:w="11907" w:h="16840" w:code="9"/>
          <w:pgMar w:top="567" w:right="1134" w:bottom="1418" w:left="1418" w:header="510" w:footer="1021" w:gutter="0"/>
          <w:cols w:space="720"/>
          <w:titlePg/>
          <w:docGrid w:linePitch="299"/>
        </w:sectPr>
      </w:pPr>
      <w:r w:rsidRPr="00CC5550">
        <w:rPr>
          <w:lang w:val="fr-FR"/>
        </w:rPr>
        <w:t>[L</w:t>
      </w:r>
      <w:r w:rsidR="00ED786D" w:rsidRPr="00CC5550">
        <w:rPr>
          <w:lang w:val="fr-FR"/>
        </w:rPr>
        <w:t>’</w:t>
      </w:r>
      <w:r w:rsidRPr="00CC5550">
        <w:rPr>
          <w:lang w:val="fr-FR"/>
        </w:rPr>
        <w:t>annexe suit]</w:t>
      </w:r>
    </w:p>
    <w:p w:rsidR="00891762" w:rsidRPr="00CC5550" w:rsidRDefault="00E274AE" w:rsidP="00CC5550">
      <w:pPr>
        <w:pStyle w:val="ONUME"/>
        <w:numPr>
          <w:ilvl w:val="0"/>
          <w:numId w:val="0"/>
        </w:numPr>
        <w:jc w:val="center"/>
        <w:rPr>
          <w:caps/>
          <w:lang w:val="fr-FR"/>
        </w:rPr>
      </w:pPr>
      <w:r w:rsidRPr="00CC5550">
        <w:rPr>
          <w:caps/>
          <w:lang w:val="fr-FR"/>
        </w:rPr>
        <w:lastRenderedPageBreak/>
        <w:t xml:space="preserve">DEMANDE </w:t>
      </w:r>
      <w:r w:rsidR="005C589A" w:rsidRPr="00CC5550">
        <w:rPr>
          <w:caps/>
          <w:lang w:val="fr-FR"/>
        </w:rPr>
        <w:t>de prolongation de la nomination de</w:t>
      </w:r>
      <w:r w:rsidRPr="00CC5550">
        <w:rPr>
          <w:caps/>
          <w:lang w:val="fr-FR"/>
        </w:rPr>
        <w:t xml:space="preserve"> L</w:t>
      </w:r>
      <w:r w:rsidR="00ED786D" w:rsidRPr="00CC5550">
        <w:rPr>
          <w:caps/>
          <w:lang w:val="fr-FR"/>
        </w:rPr>
        <w:t>’</w:t>
      </w:r>
      <w:r w:rsidRPr="00CC5550">
        <w:rPr>
          <w:caps/>
          <w:lang w:val="fr-FR"/>
        </w:rPr>
        <w:t>OFFICE SUÉDOIS des brevets et de l</w:t>
      </w:r>
      <w:r w:rsidR="00ED786D" w:rsidRPr="00CC5550">
        <w:rPr>
          <w:caps/>
          <w:lang w:val="fr-FR"/>
        </w:rPr>
        <w:t>’</w:t>
      </w:r>
      <w:r w:rsidRPr="00CC5550">
        <w:rPr>
          <w:caps/>
          <w:lang w:val="fr-FR"/>
        </w:rPr>
        <w:t>enregistrement EN QUALITÉ d</w:t>
      </w:r>
      <w:r w:rsidR="00ED786D" w:rsidRPr="00CC5550">
        <w:rPr>
          <w:caps/>
          <w:lang w:val="fr-FR"/>
        </w:rPr>
        <w:t>’</w:t>
      </w:r>
      <w:r w:rsidRPr="00CC5550">
        <w:rPr>
          <w:caps/>
          <w:lang w:val="fr-FR"/>
        </w:rPr>
        <w:t>administration chargée de la recherche internationale et de l</w:t>
      </w:r>
      <w:r w:rsidR="00ED786D" w:rsidRPr="00CC5550">
        <w:rPr>
          <w:caps/>
          <w:lang w:val="fr-FR"/>
        </w:rPr>
        <w:t>’</w:t>
      </w:r>
      <w:r w:rsidRPr="00CC5550">
        <w:rPr>
          <w:caps/>
          <w:lang w:val="fr-FR"/>
        </w:rPr>
        <w:t>examen préliminaire international selon</w:t>
      </w:r>
      <w:r w:rsidR="00ED786D" w:rsidRPr="00CC5550">
        <w:rPr>
          <w:caps/>
          <w:lang w:val="fr-FR"/>
        </w:rPr>
        <w:t xml:space="preserve"> le PCT</w:t>
      </w:r>
    </w:p>
    <w:p w:rsidR="00891762" w:rsidRPr="00CC5550" w:rsidRDefault="00E274AE" w:rsidP="00CC5550">
      <w:pPr>
        <w:pStyle w:val="SectionHeading"/>
      </w:pPr>
      <w:r w:rsidRPr="00CC5550">
        <w:t>1.</w:t>
      </w:r>
      <w:r w:rsidR="00F350DD" w:rsidRPr="00CC5550">
        <w:t xml:space="preserve"> –</w:t>
      </w:r>
      <w:r w:rsidRPr="00CC5550">
        <w:t xml:space="preserve"> </w:t>
      </w:r>
      <w:r w:rsidR="00D87F4F">
        <w:t>G</w:t>
      </w:r>
      <w:r w:rsidRPr="00CC5550">
        <w:t>énéral</w:t>
      </w:r>
      <w:r w:rsidR="00D87F4F">
        <w:t>ité</w:t>
      </w:r>
      <w:r w:rsidRPr="00CC5550">
        <w:t>s</w:t>
      </w:r>
    </w:p>
    <w:p w:rsidR="00ED786D" w:rsidRPr="00CC5550" w:rsidRDefault="002A3F48" w:rsidP="00CC5550">
      <w:pPr>
        <w:rPr>
          <w:b/>
          <w:bCs/>
          <w:szCs w:val="22"/>
          <w:lang w:val="fr-FR"/>
        </w:rPr>
      </w:pPr>
      <w:r w:rsidRPr="00CC5550">
        <w:rPr>
          <w:b/>
          <w:bCs/>
          <w:szCs w:val="22"/>
          <w:lang w:val="fr-FR"/>
        </w:rPr>
        <w:t>Nom de l</w:t>
      </w:r>
      <w:r w:rsidR="00ED786D" w:rsidRPr="00CC5550">
        <w:rPr>
          <w:b/>
          <w:bCs/>
          <w:szCs w:val="22"/>
          <w:lang w:val="fr-FR"/>
        </w:rPr>
        <w:t>’</w:t>
      </w:r>
      <w:r w:rsidRPr="00CC5550">
        <w:rPr>
          <w:b/>
          <w:bCs/>
          <w:szCs w:val="22"/>
          <w:lang w:val="fr-FR"/>
        </w:rPr>
        <w:t>office ou de l</w:t>
      </w:r>
      <w:r w:rsidR="00ED786D" w:rsidRPr="00CC5550">
        <w:rPr>
          <w:b/>
          <w:bCs/>
          <w:szCs w:val="22"/>
          <w:lang w:val="fr-FR"/>
        </w:rPr>
        <w:t>’</w:t>
      </w:r>
      <w:r w:rsidRPr="00CC5550">
        <w:rPr>
          <w:b/>
          <w:bCs/>
          <w:szCs w:val="22"/>
          <w:lang w:val="fr-FR"/>
        </w:rPr>
        <w:t>organisation intergouvernementale</w:t>
      </w:r>
      <w:r w:rsidR="00ED786D" w:rsidRPr="00CC5550">
        <w:rPr>
          <w:b/>
          <w:bCs/>
          <w:szCs w:val="22"/>
          <w:lang w:val="fr-FR"/>
        </w:rPr>
        <w:t> :</w:t>
      </w:r>
    </w:p>
    <w:p w:rsidR="00891762" w:rsidRPr="00CC5550" w:rsidRDefault="00A8418E" w:rsidP="00CC5550">
      <w:pPr>
        <w:rPr>
          <w:lang w:val="fr-FR"/>
        </w:rPr>
      </w:pPr>
      <w:r w:rsidRPr="00CC5550">
        <w:rPr>
          <w:lang w:val="fr-FR"/>
        </w:rPr>
        <w:t>Patent</w:t>
      </w:r>
      <w:r w:rsidR="00F350DD" w:rsidRPr="00CC5550">
        <w:rPr>
          <w:lang w:val="fr-FR"/>
        </w:rPr>
        <w:noBreakHyphen/>
      </w:r>
      <w:r w:rsidRPr="00CC5550">
        <w:rPr>
          <w:lang w:val="fr-FR"/>
        </w:rPr>
        <w:t xml:space="preserve"> </w:t>
      </w:r>
      <w:proofErr w:type="spellStart"/>
      <w:r w:rsidRPr="00CC5550">
        <w:rPr>
          <w:lang w:val="fr-FR"/>
        </w:rPr>
        <w:t>och</w:t>
      </w:r>
      <w:proofErr w:type="spellEnd"/>
      <w:r w:rsidRPr="00CC5550">
        <w:rPr>
          <w:lang w:val="fr-FR"/>
        </w:rPr>
        <w:t xml:space="preserve"> </w:t>
      </w:r>
      <w:proofErr w:type="spellStart"/>
      <w:r w:rsidRPr="00CC5550">
        <w:rPr>
          <w:lang w:val="fr-FR"/>
        </w:rPr>
        <w:t>Registreringsverket</w:t>
      </w:r>
      <w:proofErr w:type="spellEnd"/>
      <w:r w:rsidRPr="00CC5550">
        <w:rPr>
          <w:lang w:val="fr-FR"/>
        </w:rPr>
        <w:t xml:space="preserve"> (PRV)</w:t>
      </w:r>
    </w:p>
    <w:p w:rsidR="00891762" w:rsidRPr="00CC5550" w:rsidRDefault="002A3F48" w:rsidP="00CC5550">
      <w:pPr>
        <w:rPr>
          <w:bCs/>
          <w:lang w:val="fr-FR"/>
        </w:rPr>
      </w:pPr>
      <w:r w:rsidRPr="00CC5550">
        <w:rPr>
          <w:bCs/>
          <w:lang w:val="fr-FR"/>
        </w:rPr>
        <w:t>Office suédois des brevets et de l</w:t>
      </w:r>
      <w:r w:rsidR="00ED786D" w:rsidRPr="00CC5550">
        <w:rPr>
          <w:bCs/>
          <w:lang w:val="fr-FR"/>
        </w:rPr>
        <w:t>’</w:t>
      </w:r>
      <w:r w:rsidRPr="00CC5550">
        <w:rPr>
          <w:bCs/>
          <w:lang w:val="fr-FR"/>
        </w:rPr>
        <w:t>enregistrement</w:t>
      </w:r>
    </w:p>
    <w:p w:rsidR="00891762" w:rsidRPr="00CC5550" w:rsidRDefault="00891762" w:rsidP="00CC5550">
      <w:pPr>
        <w:rPr>
          <w:b/>
          <w:bCs/>
          <w:szCs w:val="22"/>
          <w:lang w:val="fr-FR"/>
        </w:rPr>
      </w:pPr>
    </w:p>
    <w:p w:rsidR="00891762" w:rsidRPr="00CC5550" w:rsidRDefault="00891762" w:rsidP="00CC5550">
      <w:pPr>
        <w:rPr>
          <w:szCs w:val="22"/>
          <w:lang w:val="fr-FR"/>
        </w:rPr>
      </w:pPr>
    </w:p>
    <w:p w:rsidR="00ED786D" w:rsidRPr="00CC5550" w:rsidRDefault="002A3F48" w:rsidP="00CC5550">
      <w:pPr>
        <w:rPr>
          <w:b/>
          <w:lang w:val="fr-FR"/>
        </w:rPr>
      </w:pPr>
      <w:r w:rsidRPr="00CC5550">
        <w:rPr>
          <w:b/>
          <w:lang w:val="fr-FR"/>
        </w:rPr>
        <w:t xml:space="preserve">Date à laquelle le Directeur général a reçu la demande de </w:t>
      </w:r>
      <w:r w:rsidR="005C589A" w:rsidRPr="00CC5550">
        <w:rPr>
          <w:b/>
          <w:lang w:val="fr-FR"/>
        </w:rPr>
        <w:t>renouvellement</w:t>
      </w:r>
      <w:r w:rsidR="00ED786D" w:rsidRPr="00CC5550">
        <w:rPr>
          <w:b/>
          <w:lang w:val="fr-FR"/>
        </w:rPr>
        <w:t> :</w:t>
      </w:r>
    </w:p>
    <w:p w:rsidR="00891762" w:rsidRPr="00CC5550" w:rsidRDefault="002A3F48" w:rsidP="00CC5550">
      <w:pPr>
        <w:rPr>
          <w:lang w:val="fr-FR"/>
        </w:rPr>
      </w:pPr>
      <w:r w:rsidRPr="00CC5550">
        <w:rPr>
          <w:lang w:val="fr-FR"/>
        </w:rPr>
        <w:t>1</w:t>
      </w:r>
      <w:r w:rsidRPr="00CC5550">
        <w:rPr>
          <w:vertAlign w:val="superscript"/>
          <w:lang w:val="fr-FR"/>
        </w:rPr>
        <w:t>er</w:t>
      </w:r>
      <w:r w:rsidR="00F350DD" w:rsidRPr="00CC5550">
        <w:rPr>
          <w:lang w:val="fr-FR"/>
        </w:rPr>
        <w:t> </w:t>
      </w:r>
      <w:r w:rsidR="00ED786D" w:rsidRPr="00CC5550">
        <w:rPr>
          <w:lang w:val="fr-FR"/>
        </w:rPr>
        <w:t>mars 20</w:t>
      </w:r>
      <w:r w:rsidRPr="00CC5550">
        <w:rPr>
          <w:lang w:val="fr-FR"/>
        </w:rPr>
        <w:t>17</w:t>
      </w:r>
    </w:p>
    <w:p w:rsidR="00891762" w:rsidRPr="00CC5550" w:rsidRDefault="00891762" w:rsidP="00CC5550">
      <w:pPr>
        <w:rPr>
          <w:szCs w:val="22"/>
          <w:lang w:val="fr-FR"/>
        </w:rPr>
      </w:pPr>
    </w:p>
    <w:p w:rsidR="00ED786D" w:rsidRPr="00CC5550" w:rsidRDefault="002A3F48" w:rsidP="00CC5550">
      <w:pPr>
        <w:rPr>
          <w:b/>
          <w:szCs w:val="22"/>
          <w:lang w:val="fr-FR"/>
        </w:rPr>
      </w:pPr>
      <w:r w:rsidRPr="00CC5550">
        <w:rPr>
          <w:b/>
          <w:szCs w:val="22"/>
          <w:lang w:val="fr-FR"/>
        </w:rPr>
        <w:t>Session de l</w:t>
      </w:r>
      <w:r w:rsidR="00ED786D" w:rsidRPr="00CC5550">
        <w:rPr>
          <w:b/>
          <w:szCs w:val="22"/>
          <w:lang w:val="fr-FR"/>
        </w:rPr>
        <w:t>’</w:t>
      </w:r>
      <w:r w:rsidRPr="00CC5550">
        <w:rPr>
          <w:b/>
          <w:szCs w:val="22"/>
          <w:lang w:val="fr-FR"/>
        </w:rPr>
        <w:t xml:space="preserve">assemblée </w:t>
      </w:r>
      <w:r w:rsidR="008B144F" w:rsidRPr="00CC5550">
        <w:rPr>
          <w:b/>
          <w:szCs w:val="22"/>
          <w:lang w:val="fr-FR"/>
        </w:rPr>
        <w:t xml:space="preserve">à laquelle le </w:t>
      </w:r>
      <w:r w:rsidR="008B144F" w:rsidRPr="00CC5550">
        <w:rPr>
          <w:b/>
          <w:szCs w:val="24"/>
          <w:lang w:val="fr-FR"/>
        </w:rPr>
        <w:t xml:space="preserve">renouvellement </w:t>
      </w:r>
      <w:r w:rsidR="008B144F" w:rsidRPr="00CC5550">
        <w:rPr>
          <w:b/>
          <w:szCs w:val="22"/>
          <w:lang w:val="fr-FR"/>
        </w:rPr>
        <w:t>sera demandé</w:t>
      </w:r>
      <w:r w:rsidR="006C39C7" w:rsidRPr="00CC5550">
        <w:rPr>
          <w:b/>
          <w:szCs w:val="22"/>
          <w:lang w:val="fr-FR"/>
        </w:rPr>
        <w:t> </w:t>
      </w:r>
      <w:r w:rsidRPr="00CC5550">
        <w:rPr>
          <w:b/>
          <w:szCs w:val="22"/>
          <w:lang w:val="fr-FR"/>
        </w:rPr>
        <w:t>:</w:t>
      </w:r>
    </w:p>
    <w:p w:rsidR="00891762" w:rsidRPr="00CC5550" w:rsidRDefault="00F350DD" w:rsidP="00CC5550">
      <w:pPr>
        <w:rPr>
          <w:lang w:val="fr-FR"/>
        </w:rPr>
      </w:pPr>
      <w:r w:rsidRPr="00CC5550">
        <w:rPr>
          <w:lang w:val="fr-FR"/>
        </w:rPr>
        <w:t>Q</w:t>
      </w:r>
      <w:r w:rsidR="002A3F48" w:rsidRPr="00CC5550">
        <w:rPr>
          <w:lang w:val="fr-FR"/>
        </w:rPr>
        <w:t>uarante</w:t>
      </w:r>
      <w:r w:rsidRPr="00CC5550">
        <w:rPr>
          <w:lang w:val="fr-FR"/>
        </w:rPr>
        <w:noBreakHyphen/>
      </w:r>
      <w:r w:rsidR="002A3F48" w:rsidRPr="00CC5550">
        <w:rPr>
          <w:lang w:val="fr-FR"/>
        </w:rPr>
        <w:t>neuv</w:t>
      </w:r>
      <w:r w:rsidR="00ED786D" w:rsidRPr="00CC5550">
        <w:rPr>
          <w:lang w:val="fr-FR"/>
        </w:rPr>
        <w:t>ième session</w:t>
      </w:r>
      <w:r w:rsidR="002A3F48" w:rsidRPr="00CC5550">
        <w:rPr>
          <w:lang w:val="fr-FR"/>
        </w:rPr>
        <w:t xml:space="preserve"> de l</w:t>
      </w:r>
      <w:r w:rsidR="00ED786D" w:rsidRPr="00CC5550">
        <w:rPr>
          <w:lang w:val="fr-FR"/>
        </w:rPr>
        <w:t>’</w:t>
      </w:r>
      <w:r w:rsidR="002A3F48" w:rsidRPr="00CC5550">
        <w:rPr>
          <w:lang w:val="fr-FR"/>
        </w:rPr>
        <w:t>Assemblée de l</w:t>
      </w:r>
      <w:r w:rsidR="00ED786D" w:rsidRPr="00CC5550">
        <w:rPr>
          <w:lang w:val="fr-FR"/>
        </w:rPr>
        <w:t>’</w:t>
      </w:r>
      <w:r w:rsidR="002A3F48" w:rsidRPr="00CC5550">
        <w:rPr>
          <w:lang w:val="fr-FR"/>
        </w:rPr>
        <w:t>Union</w:t>
      </w:r>
      <w:r w:rsidR="00ED786D" w:rsidRPr="00CC5550">
        <w:rPr>
          <w:lang w:val="fr-FR"/>
        </w:rPr>
        <w:t xml:space="preserve"> du PCT</w:t>
      </w:r>
      <w:r w:rsidR="002A3F48" w:rsidRPr="00CC5550">
        <w:rPr>
          <w:lang w:val="fr-FR"/>
        </w:rPr>
        <w:t xml:space="preserve"> (2017)</w:t>
      </w:r>
    </w:p>
    <w:p w:rsidR="00891762" w:rsidRPr="00CC5550" w:rsidRDefault="00891762" w:rsidP="00CC5550">
      <w:pPr>
        <w:rPr>
          <w:szCs w:val="22"/>
          <w:lang w:val="fr-FR"/>
        </w:rPr>
      </w:pPr>
    </w:p>
    <w:p w:rsidR="00891762" w:rsidRPr="00CC5550" w:rsidRDefault="00891762" w:rsidP="00CC5550">
      <w:pPr>
        <w:rPr>
          <w:szCs w:val="22"/>
          <w:lang w:val="fr-FR"/>
        </w:rPr>
      </w:pPr>
    </w:p>
    <w:p w:rsidR="00891762" w:rsidRPr="00CC5550" w:rsidRDefault="008B144F" w:rsidP="00CC5550">
      <w:pPr>
        <w:rPr>
          <w:b/>
          <w:bCs/>
          <w:szCs w:val="22"/>
          <w:lang w:val="fr-FR"/>
        </w:rPr>
      </w:pPr>
      <w:r w:rsidRPr="00CC5550">
        <w:rPr>
          <w:b/>
          <w:szCs w:val="22"/>
          <w:lang w:val="fr-FR"/>
        </w:rPr>
        <w:t>Date à laquelle l</w:t>
      </w:r>
      <w:r w:rsidR="00ED786D" w:rsidRPr="00CC5550">
        <w:rPr>
          <w:b/>
          <w:szCs w:val="22"/>
          <w:lang w:val="fr-FR"/>
        </w:rPr>
        <w:t>’</w:t>
      </w:r>
      <w:r w:rsidRPr="00CC5550">
        <w:rPr>
          <w:b/>
          <w:szCs w:val="22"/>
          <w:lang w:val="fr-FR"/>
        </w:rPr>
        <w:t>office pourrait commencer à agir en qualité d</w:t>
      </w:r>
      <w:r w:rsidR="00ED786D" w:rsidRPr="00CC5550">
        <w:rPr>
          <w:b/>
          <w:szCs w:val="22"/>
          <w:lang w:val="fr-FR"/>
        </w:rPr>
        <w:t>’</w:t>
      </w:r>
      <w:r w:rsidRPr="00CC5550">
        <w:rPr>
          <w:b/>
          <w:szCs w:val="22"/>
          <w:lang w:val="fr-FR"/>
        </w:rPr>
        <w:t>administration chargée de la recherche internationale et de l</w:t>
      </w:r>
      <w:r w:rsidR="00ED786D" w:rsidRPr="00CC5550">
        <w:rPr>
          <w:b/>
          <w:szCs w:val="22"/>
          <w:lang w:val="fr-FR"/>
        </w:rPr>
        <w:t>’</w:t>
      </w:r>
      <w:r w:rsidRPr="00CC5550">
        <w:rPr>
          <w:b/>
          <w:szCs w:val="22"/>
          <w:lang w:val="fr-FR"/>
        </w:rPr>
        <w:t>examen préliminaire international</w:t>
      </w:r>
      <w:r w:rsidR="00ED786D" w:rsidRPr="00CC5550">
        <w:rPr>
          <w:b/>
          <w:szCs w:val="22"/>
          <w:lang w:val="fr-FR"/>
        </w:rPr>
        <w:t> :</w:t>
      </w:r>
    </w:p>
    <w:p w:rsidR="00891762" w:rsidRPr="00CC5550" w:rsidRDefault="00F350DD" w:rsidP="00CC5550">
      <w:pPr>
        <w:rPr>
          <w:lang w:val="fr-FR"/>
        </w:rPr>
      </w:pPr>
      <w:r w:rsidRPr="00CC5550">
        <w:rPr>
          <w:lang w:val="fr-FR"/>
        </w:rPr>
        <w:t>E</w:t>
      </w:r>
      <w:r w:rsidR="00AB0B97" w:rsidRPr="00CC5550">
        <w:rPr>
          <w:lang w:val="fr-FR"/>
        </w:rPr>
        <w:t>n cours</w:t>
      </w:r>
    </w:p>
    <w:p w:rsidR="00891762" w:rsidRPr="00CC5550" w:rsidRDefault="00891762" w:rsidP="00CC5550">
      <w:pPr>
        <w:rPr>
          <w:szCs w:val="22"/>
          <w:lang w:val="fr-FR"/>
        </w:rPr>
      </w:pPr>
    </w:p>
    <w:p w:rsidR="00891762" w:rsidRPr="00CC5550" w:rsidRDefault="008B144F" w:rsidP="00CC5550">
      <w:pPr>
        <w:rPr>
          <w:b/>
          <w:bCs/>
          <w:szCs w:val="22"/>
          <w:lang w:val="fr-FR"/>
        </w:rPr>
      </w:pPr>
      <w:r w:rsidRPr="00CC5550">
        <w:rPr>
          <w:b/>
          <w:szCs w:val="22"/>
          <w:lang w:val="fr-FR"/>
        </w:rPr>
        <w:t>Administrations actuellement chargées de la recherche internationale et de l</w:t>
      </w:r>
      <w:r w:rsidR="00ED786D" w:rsidRPr="00CC5550">
        <w:rPr>
          <w:b/>
          <w:szCs w:val="22"/>
          <w:lang w:val="fr-FR"/>
        </w:rPr>
        <w:t>’</w:t>
      </w:r>
      <w:r w:rsidRPr="00CC5550">
        <w:rPr>
          <w:b/>
          <w:szCs w:val="22"/>
          <w:lang w:val="fr-FR"/>
        </w:rPr>
        <w:t xml:space="preserve">examen préliminaire international qui prêtent leur </w:t>
      </w:r>
      <w:r w:rsidR="005C589A" w:rsidRPr="00CC5550">
        <w:rPr>
          <w:b/>
          <w:szCs w:val="22"/>
          <w:lang w:val="fr-FR"/>
        </w:rPr>
        <w:t xml:space="preserve">concours à l’évaluation de la mesure </w:t>
      </w:r>
      <w:r w:rsidRPr="00CC5550">
        <w:rPr>
          <w:b/>
          <w:szCs w:val="22"/>
          <w:lang w:val="fr-FR"/>
        </w:rPr>
        <w:t xml:space="preserve">dans </w:t>
      </w:r>
      <w:r w:rsidR="005C589A" w:rsidRPr="00CC5550">
        <w:rPr>
          <w:b/>
          <w:szCs w:val="22"/>
          <w:lang w:val="fr-FR"/>
        </w:rPr>
        <w:t>la</w:t>
      </w:r>
      <w:r w:rsidRPr="00CC5550">
        <w:rPr>
          <w:b/>
          <w:szCs w:val="22"/>
          <w:lang w:val="fr-FR"/>
        </w:rPr>
        <w:t>quelle les critères sont remplis</w:t>
      </w:r>
      <w:r w:rsidR="00ED786D" w:rsidRPr="00CC5550">
        <w:rPr>
          <w:b/>
          <w:szCs w:val="22"/>
          <w:lang w:val="fr-FR"/>
        </w:rPr>
        <w:t> :</w:t>
      </w:r>
    </w:p>
    <w:p w:rsidR="00891762" w:rsidRPr="00CC5550" w:rsidRDefault="00F350DD" w:rsidP="00CC5550">
      <w:pPr>
        <w:rPr>
          <w:szCs w:val="22"/>
          <w:lang w:val="fr-FR"/>
        </w:rPr>
      </w:pPr>
      <w:r w:rsidRPr="00CC5550">
        <w:rPr>
          <w:szCs w:val="22"/>
          <w:lang w:val="fr-FR"/>
        </w:rPr>
        <w:t>S</w:t>
      </w:r>
      <w:r w:rsidR="00AB0B97" w:rsidRPr="00CC5550">
        <w:rPr>
          <w:szCs w:val="22"/>
          <w:lang w:val="fr-FR"/>
        </w:rPr>
        <w:t xml:space="preserve">ans objet pour les prolongations de nomination, mais voir la note à la </w:t>
      </w:r>
      <w:r w:rsidR="00ED786D" w:rsidRPr="00CC5550">
        <w:rPr>
          <w:szCs w:val="22"/>
          <w:lang w:val="fr-FR"/>
        </w:rPr>
        <w:t>section 9</w:t>
      </w:r>
      <w:r w:rsidR="00AB0B97" w:rsidRPr="00CC5550">
        <w:rPr>
          <w:szCs w:val="22"/>
          <w:lang w:val="fr-FR"/>
        </w:rPr>
        <w:t>.</w:t>
      </w:r>
    </w:p>
    <w:p w:rsidR="00891762" w:rsidRPr="00CC5550" w:rsidRDefault="00891762" w:rsidP="00CC5550">
      <w:pPr>
        <w:rPr>
          <w:lang w:val="fr-FR"/>
        </w:rPr>
      </w:pPr>
    </w:p>
    <w:p w:rsidR="00891762" w:rsidRPr="00CC5550" w:rsidRDefault="00F350DD" w:rsidP="00CC5550">
      <w:pPr>
        <w:pStyle w:val="SectionHeading"/>
      </w:pPr>
      <w:r w:rsidRPr="00CC5550">
        <w:t>2 – Critères matériels : exigences minimales applicables à la nomination</w:t>
      </w:r>
    </w:p>
    <w:p w:rsidR="00891762" w:rsidRPr="00CC5550" w:rsidRDefault="00891762" w:rsidP="00CC5550">
      <w:pPr>
        <w:rPr>
          <w:szCs w:val="22"/>
          <w:lang w:val="fr-FR"/>
        </w:rPr>
      </w:pPr>
    </w:p>
    <w:p w:rsidR="00891762" w:rsidRPr="00CC5550" w:rsidRDefault="00AB0B97" w:rsidP="00CC5550">
      <w:pPr>
        <w:pStyle w:val="SectionHeading"/>
        <w:spacing w:before="0"/>
      </w:pPr>
      <w:r w:rsidRPr="00CC5550">
        <w:t>2.1</w:t>
      </w:r>
      <w:r w:rsidR="00ED786D" w:rsidRPr="00CC5550">
        <w:t xml:space="preserve"> – </w:t>
      </w:r>
      <w:r w:rsidR="008B144F" w:rsidRPr="00CC5550">
        <w:t>Capacit</w:t>
      </w:r>
      <w:r w:rsidR="00F350DD" w:rsidRPr="00CC5550">
        <w:t>é</w:t>
      </w:r>
      <w:r w:rsidRPr="00CC5550">
        <w:t xml:space="preserve"> en mati</w:t>
      </w:r>
      <w:r w:rsidR="00F350DD" w:rsidRPr="00CC5550">
        <w:t>è</w:t>
      </w:r>
      <w:r w:rsidRPr="00CC5550">
        <w:t>re de recherche et d</w:t>
      </w:r>
      <w:r w:rsidR="00ED786D" w:rsidRPr="00CC5550">
        <w:t>’</w:t>
      </w:r>
      <w:r w:rsidRPr="00CC5550">
        <w:t>examen</w:t>
      </w:r>
    </w:p>
    <w:p w:rsidR="00891762" w:rsidRPr="00CC5550" w:rsidRDefault="00ED786D" w:rsidP="00CC5550">
      <w:pPr>
        <w:rPr>
          <w:b/>
          <w:bCs/>
          <w:i/>
          <w:iCs/>
          <w:lang w:val="fr-FR"/>
        </w:rPr>
      </w:pPr>
      <w:r w:rsidRPr="00CC5550">
        <w:rPr>
          <w:b/>
          <w:bCs/>
          <w:i/>
          <w:iCs/>
          <w:lang w:val="fr-FR"/>
        </w:rPr>
        <w:t>Règles 3</w:t>
      </w:r>
      <w:r w:rsidR="00E63957" w:rsidRPr="00CC5550">
        <w:rPr>
          <w:b/>
          <w:bCs/>
          <w:i/>
          <w:iCs/>
          <w:lang w:val="fr-FR"/>
        </w:rPr>
        <w:t>6.1.i) et 63.1.i)</w:t>
      </w:r>
      <w:r w:rsidR="006C39C7" w:rsidRPr="00CC5550">
        <w:rPr>
          <w:b/>
          <w:bCs/>
          <w:i/>
          <w:iCs/>
          <w:lang w:val="fr-FR"/>
        </w:rPr>
        <w:t> :</w:t>
      </w:r>
      <w:r w:rsidR="00E63957" w:rsidRPr="00CC5550">
        <w:rPr>
          <w:b/>
          <w:bCs/>
          <w:i/>
          <w:iCs/>
          <w:lang w:val="fr-FR"/>
        </w:rPr>
        <w:t xml:space="preserve"> </w:t>
      </w:r>
      <w:r w:rsidR="008B144F" w:rsidRPr="00CC5550">
        <w:rPr>
          <w:b/>
          <w:bCs/>
          <w:i/>
          <w:iCs/>
          <w:lang w:val="fr-FR"/>
        </w:rPr>
        <w:t>l</w:t>
      </w:r>
      <w:r w:rsidRPr="00CC5550">
        <w:rPr>
          <w:b/>
          <w:bCs/>
          <w:i/>
          <w:iCs/>
          <w:lang w:val="fr-FR"/>
        </w:rPr>
        <w:t>’</w:t>
      </w:r>
      <w:r w:rsidR="00E63957" w:rsidRPr="00CC5550">
        <w:rPr>
          <w:b/>
          <w:bCs/>
          <w:i/>
          <w:iCs/>
          <w:lang w:val="fr-FR"/>
        </w:rPr>
        <w:t>office national ou l</w:t>
      </w:r>
      <w:r w:rsidRPr="00CC5550">
        <w:rPr>
          <w:b/>
          <w:bCs/>
          <w:i/>
          <w:iCs/>
          <w:lang w:val="fr-FR"/>
        </w:rPr>
        <w:t>’</w:t>
      </w:r>
      <w:r w:rsidR="00E63957" w:rsidRPr="00CC5550">
        <w:rPr>
          <w:b/>
          <w:bCs/>
          <w:i/>
          <w:iCs/>
          <w:lang w:val="fr-FR"/>
        </w:rPr>
        <w:t xml:space="preserve">organisation intergouvernementale doit avoir au moins cent employés à plein temps possédant des qualifications techniques suffisantes pour procéder </w:t>
      </w:r>
      <w:r w:rsidR="005C589A" w:rsidRPr="00CC5550">
        <w:rPr>
          <w:b/>
          <w:bCs/>
          <w:i/>
          <w:iCs/>
          <w:lang w:val="fr-FR"/>
        </w:rPr>
        <w:t>à la</w:t>
      </w:r>
      <w:r w:rsidR="00E63957" w:rsidRPr="00CC5550">
        <w:rPr>
          <w:b/>
          <w:bCs/>
          <w:i/>
          <w:iCs/>
          <w:lang w:val="fr-FR"/>
        </w:rPr>
        <w:t xml:space="preserve"> recherche et </w:t>
      </w:r>
      <w:r w:rsidR="005C589A" w:rsidRPr="00CC5550">
        <w:rPr>
          <w:b/>
          <w:bCs/>
          <w:i/>
          <w:iCs/>
          <w:lang w:val="fr-FR"/>
        </w:rPr>
        <w:t>à l’</w:t>
      </w:r>
      <w:r w:rsidR="00E63957" w:rsidRPr="00CC5550">
        <w:rPr>
          <w:b/>
          <w:bCs/>
          <w:i/>
          <w:iCs/>
          <w:lang w:val="fr-FR"/>
        </w:rPr>
        <w:t>examen</w:t>
      </w:r>
      <w:r w:rsidR="00146D41" w:rsidRPr="00CC5550">
        <w:rPr>
          <w:b/>
          <w:bCs/>
          <w:i/>
          <w:iCs/>
          <w:lang w:val="fr-FR"/>
        </w:rPr>
        <w:t>.</w:t>
      </w:r>
    </w:p>
    <w:p w:rsidR="00891762" w:rsidRPr="00CC5550" w:rsidRDefault="00891762" w:rsidP="00CC5550">
      <w:pPr>
        <w:keepNext/>
        <w:keepLines/>
        <w:rPr>
          <w:b/>
          <w:bCs/>
          <w:szCs w:val="22"/>
          <w:lang w:val="fr-FR"/>
        </w:rPr>
      </w:pPr>
    </w:p>
    <w:p w:rsidR="00A8418E" w:rsidRPr="00CC5550" w:rsidRDefault="00E63957" w:rsidP="00CC5550">
      <w:pPr>
        <w:keepNext/>
        <w:keepLines/>
        <w:rPr>
          <w:b/>
          <w:szCs w:val="22"/>
          <w:lang w:val="fr-FR"/>
        </w:rPr>
      </w:pPr>
      <w:r w:rsidRPr="00CC5550">
        <w:rPr>
          <w:b/>
          <w:szCs w:val="22"/>
          <w:lang w:val="fr-FR"/>
        </w:rPr>
        <w:t xml:space="preserve">Employés qualifiés pour </w:t>
      </w:r>
      <w:r w:rsidR="008B144F" w:rsidRPr="00CC5550">
        <w:rPr>
          <w:b/>
          <w:szCs w:val="22"/>
          <w:lang w:val="fr-FR"/>
        </w:rPr>
        <w:t xml:space="preserve">procéder </w:t>
      </w:r>
      <w:r w:rsidR="005C589A" w:rsidRPr="00CC5550">
        <w:rPr>
          <w:b/>
          <w:szCs w:val="22"/>
          <w:lang w:val="fr-FR"/>
        </w:rPr>
        <w:t>à la</w:t>
      </w:r>
      <w:r w:rsidR="008B144F" w:rsidRPr="00CC5550">
        <w:rPr>
          <w:b/>
          <w:szCs w:val="22"/>
          <w:lang w:val="fr-FR"/>
        </w:rPr>
        <w:t xml:space="preserve"> </w:t>
      </w:r>
      <w:r w:rsidRPr="00CC5550">
        <w:rPr>
          <w:b/>
          <w:szCs w:val="22"/>
          <w:lang w:val="fr-FR"/>
        </w:rPr>
        <w:t xml:space="preserve">recherche et </w:t>
      </w:r>
      <w:r w:rsidR="005C589A" w:rsidRPr="00CC5550">
        <w:rPr>
          <w:b/>
          <w:szCs w:val="22"/>
          <w:lang w:val="fr-FR"/>
        </w:rPr>
        <w:t>à l’</w:t>
      </w:r>
      <w:r w:rsidRPr="00CC5550">
        <w:rPr>
          <w:b/>
          <w:szCs w:val="22"/>
          <w:lang w:val="fr-FR"/>
        </w:rPr>
        <w:t>examen</w:t>
      </w:r>
      <w:r w:rsidR="006C39C7" w:rsidRPr="00CC5550">
        <w:rPr>
          <w:b/>
          <w:szCs w:val="22"/>
          <w:lang w:val="fr-FR"/>
        </w:rPr>
        <w:t> :</w:t>
      </w:r>
      <w:r w:rsidR="00A8418E" w:rsidRPr="00CC5550">
        <w:rPr>
          <w:b/>
          <w:szCs w:val="22"/>
          <w:lang w:val="fr-FR"/>
        </w:rPr>
        <w:t xml:space="preserve"> </w:t>
      </w:r>
    </w:p>
    <w:tbl>
      <w:tblPr>
        <w:tblW w:w="5778" w:type="dxa"/>
        <w:tblCellMar>
          <w:left w:w="0" w:type="dxa"/>
          <w:right w:w="0" w:type="dxa"/>
        </w:tblCellMar>
        <w:tblLook w:val="04A0" w:firstRow="1" w:lastRow="0" w:firstColumn="1" w:lastColumn="0" w:noHBand="0" w:noVBand="1"/>
      </w:tblPr>
      <w:tblGrid>
        <w:gridCol w:w="3527"/>
        <w:gridCol w:w="2251"/>
      </w:tblGrid>
      <w:tr w:rsidR="00CC5550" w:rsidRPr="00CC5550" w:rsidTr="00A8418E">
        <w:trPr>
          <w:cantSplit/>
        </w:trPr>
        <w:tc>
          <w:tcPr>
            <w:tcW w:w="35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418E" w:rsidRPr="00CC5550" w:rsidRDefault="00E63957" w:rsidP="00CC5550">
            <w:pPr>
              <w:keepNext/>
              <w:rPr>
                <w:b/>
                <w:bCs/>
                <w:szCs w:val="22"/>
                <w:lang w:val="fr-FR"/>
              </w:rPr>
            </w:pPr>
            <w:r w:rsidRPr="00CC5550">
              <w:rPr>
                <w:b/>
                <w:bCs/>
                <w:szCs w:val="22"/>
                <w:lang w:val="fr-FR"/>
              </w:rPr>
              <w:t>Domaine technique</w:t>
            </w:r>
          </w:p>
        </w:tc>
        <w:tc>
          <w:tcPr>
            <w:tcW w:w="22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418E" w:rsidRPr="00CC5550" w:rsidRDefault="00E63957" w:rsidP="00CC5550">
            <w:pPr>
              <w:keepNext/>
              <w:rPr>
                <w:b/>
                <w:bCs/>
                <w:szCs w:val="22"/>
                <w:lang w:val="fr-FR"/>
              </w:rPr>
            </w:pPr>
            <w:r w:rsidRPr="00CC5550">
              <w:rPr>
                <w:b/>
                <w:bCs/>
                <w:szCs w:val="22"/>
                <w:lang w:val="fr-FR"/>
              </w:rPr>
              <w:t>Nombre (équivalent plein</w:t>
            </w:r>
            <w:r w:rsidR="00146D41" w:rsidRPr="00CC5550">
              <w:rPr>
                <w:b/>
                <w:bCs/>
                <w:szCs w:val="22"/>
                <w:lang w:val="fr-FR"/>
              </w:rPr>
              <w:t xml:space="preserve"> </w:t>
            </w:r>
            <w:r w:rsidRPr="00CC5550">
              <w:rPr>
                <w:b/>
                <w:bCs/>
                <w:szCs w:val="22"/>
                <w:lang w:val="fr-FR"/>
              </w:rPr>
              <w:t>temps)</w:t>
            </w:r>
          </w:p>
        </w:tc>
      </w:tr>
      <w:tr w:rsidR="00CC5550" w:rsidRPr="00CC5550" w:rsidTr="00A8418E">
        <w:trPr>
          <w:cantSplit/>
        </w:trPr>
        <w:tc>
          <w:tcPr>
            <w:tcW w:w="35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18E" w:rsidRPr="00CC5550" w:rsidRDefault="00E63957" w:rsidP="00CC5550">
            <w:pPr>
              <w:keepNext/>
              <w:rPr>
                <w:szCs w:val="22"/>
                <w:lang w:val="fr-FR"/>
              </w:rPr>
            </w:pPr>
            <w:r w:rsidRPr="00CC5550">
              <w:rPr>
                <w:szCs w:val="22"/>
                <w:lang w:val="fr-FR"/>
              </w:rPr>
              <w:t>Mécanique</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A8418E" w:rsidRPr="00CC5550" w:rsidRDefault="00A8418E" w:rsidP="00CC5550">
            <w:pPr>
              <w:keepNext/>
              <w:rPr>
                <w:szCs w:val="22"/>
                <w:lang w:val="fr-FR"/>
              </w:rPr>
            </w:pPr>
            <w:r w:rsidRPr="00CC5550">
              <w:rPr>
                <w:szCs w:val="22"/>
                <w:lang w:val="fr-FR"/>
              </w:rPr>
              <w:t>42</w:t>
            </w:r>
          </w:p>
        </w:tc>
      </w:tr>
      <w:tr w:rsidR="00CC5550" w:rsidRPr="00CC5550" w:rsidTr="00A8418E">
        <w:trPr>
          <w:cantSplit/>
        </w:trPr>
        <w:tc>
          <w:tcPr>
            <w:tcW w:w="35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18E" w:rsidRPr="00CC5550" w:rsidRDefault="00547AE6" w:rsidP="00CC5550">
            <w:pPr>
              <w:keepNext/>
              <w:rPr>
                <w:szCs w:val="22"/>
                <w:lang w:val="fr-FR"/>
              </w:rPr>
            </w:pPr>
            <w:r w:rsidRPr="00CC5550">
              <w:rPr>
                <w:szCs w:val="22"/>
                <w:lang w:val="fr-FR"/>
              </w:rPr>
              <w:t>Électricité</w:t>
            </w:r>
            <w:r w:rsidR="00E63957" w:rsidRPr="00CC5550">
              <w:rPr>
                <w:szCs w:val="22"/>
                <w:lang w:val="fr-FR"/>
              </w:rPr>
              <w:t>/électronique</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A8418E" w:rsidRPr="00CC5550" w:rsidRDefault="00A8418E" w:rsidP="00CC5550">
            <w:pPr>
              <w:keepNext/>
              <w:rPr>
                <w:szCs w:val="22"/>
                <w:lang w:val="fr-FR"/>
              </w:rPr>
            </w:pPr>
            <w:r w:rsidRPr="00CC5550">
              <w:rPr>
                <w:szCs w:val="22"/>
                <w:lang w:val="fr-FR"/>
              </w:rPr>
              <w:t>40</w:t>
            </w:r>
          </w:p>
        </w:tc>
      </w:tr>
      <w:tr w:rsidR="00CC5550" w:rsidRPr="00CC5550" w:rsidTr="00A8418E">
        <w:trPr>
          <w:cantSplit/>
        </w:trPr>
        <w:tc>
          <w:tcPr>
            <w:tcW w:w="35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18E" w:rsidRPr="00CC5550" w:rsidRDefault="00E63957" w:rsidP="00CC5550">
            <w:pPr>
              <w:keepNext/>
              <w:rPr>
                <w:szCs w:val="22"/>
                <w:lang w:val="fr-FR"/>
              </w:rPr>
            </w:pPr>
            <w:r w:rsidRPr="00CC5550">
              <w:rPr>
                <w:szCs w:val="22"/>
                <w:lang w:val="fr-FR"/>
              </w:rPr>
              <w:t>Chimie</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A8418E" w:rsidRPr="00CC5550" w:rsidRDefault="00A8418E" w:rsidP="00CC5550">
            <w:pPr>
              <w:keepNext/>
              <w:rPr>
                <w:szCs w:val="22"/>
                <w:lang w:val="fr-FR"/>
              </w:rPr>
            </w:pPr>
            <w:r w:rsidRPr="00CC5550">
              <w:rPr>
                <w:szCs w:val="22"/>
                <w:lang w:val="fr-FR"/>
              </w:rPr>
              <w:t>27</w:t>
            </w:r>
          </w:p>
        </w:tc>
      </w:tr>
      <w:tr w:rsidR="00CC5550" w:rsidRPr="00CC5550" w:rsidTr="00A8418E">
        <w:trPr>
          <w:cantSplit/>
        </w:trPr>
        <w:tc>
          <w:tcPr>
            <w:tcW w:w="35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18E" w:rsidRPr="00CC5550" w:rsidRDefault="00BA5DA7" w:rsidP="00CC5550">
            <w:pPr>
              <w:keepNext/>
              <w:rPr>
                <w:szCs w:val="22"/>
                <w:lang w:val="fr-FR"/>
              </w:rPr>
            </w:pPr>
            <w:r w:rsidRPr="00CC5550">
              <w:rPr>
                <w:szCs w:val="22"/>
                <w:lang w:val="fr-FR"/>
              </w:rPr>
              <w:t>Biotechnologie</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A8418E" w:rsidRPr="00CC5550" w:rsidRDefault="00A8418E" w:rsidP="00CC5550">
            <w:pPr>
              <w:keepNext/>
              <w:rPr>
                <w:szCs w:val="22"/>
                <w:lang w:val="fr-FR"/>
              </w:rPr>
            </w:pPr>
            <w:r w:rsidRPr="00CC5550">
              <w:rPr>
                <w:szCs w:val="22"/>
                <w:lang w:val="fr-FR"/>
              </w:rPr>
              <w:t>5</w:t>
            </w:r>
          </w:p>
        </w:tc>
      </w:tr>
      <w:tr w:rsidR="00CC5550" w:rsidRPr="00CC5550" w:rsidTr="00A8418E">
        <w:trPr>
          <w:cantSplit/>
        </w:trPr>
        <w:tc>
          <w:tcPr>
            <w:tcW w:w="35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418E" w:rsidRPr="00CC5550" w:rsidRDefault="00E63957" w:rsidP="00CC5550">
            <w:pPr>
              <w:rPr>
                <w:i/>
                <w:iCs/>
                <w:szCs w:val="22"/>
                <w:lang w:val="fr-FR"/>
              </w:rPr>
            </w:pPr>
            <w:r w:rsidRPr="00CC5550">
              <w:rPr>
                <w:i/>
                <w:iCs/>
                <w:szCs w:val="22"/>
                <w:lang w:val="fr-FR"/>
              </w:rPr>
              <w:t>Total</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A8418E" w:rsidRPr="00CC5550" w:rsidRDefault="00A8418E" w:rsidP="00CC5550">
            <w:pPr>
              <w:rPr>
                <w:i/>
                <w:iCs/>
                <w:szCs w:val="22"/>
                <w:lang w:val="fr-FR"/>
              </w:rPr>
            </w:pPr>
            <w:r w:rsidRPr="00CC5550">
              <w:rPr>
                <w:i/>
                <w:iCs/>
                <w:szCs w:val="22"/>
                <w:lang w:val="fr-FR"/>
              </w:rPr>
              <w:t>114</w:t>
            </w:r>
          </w:p>
        </w:tc>
      </w:tr>
    </w:tbl>
    <w:p w:rsidR="00ED786D" w:rsidRPr="00CC5550" w:rsidRDefault="000336E6" w:rsidP="00CC5550">
      <w:pPr>
        <w:rPr>
          <w:bCs/>
          <w:lang w:val="fr-FR"/>
        </w:rPr>
      </w:pPr>
      <w:r w:rsidRPr="00CC5550">
        <w:rPr>
          <w:bCs/>
          <w:lang w:val="fr-FR"/>
        </w:rPr>
        <w:t>Le nombre d</w:t>
      </w:r>
      <w:r w:rsidR="00ED786D" w:rsidRPr="00CC5550">
        <w:rPr>
          <w:bCs/>
          <w:lang w:val="fr-FR"/>
        </w:rPr>
        <w:t>’</w:t>
      </w:r>
      <w:r w:rsidRPr="00CC5550">
        <w:rPr>
          <w:bCs/>
          <w:lang w:val="fr-FR"/>
        </w:rPr>
        <w:t>employés qualifiés a oscillé entre</w:t>
      </w:r>
      <w:r w:rsidR="00146D41" w:rsidRPr="00CC5550">
        <w:rPr>
          <w:bCs/>
          <w:lang w:val="fr-FR"/>
        </w:rPr>
        <w:t xml:space="preserve"> </w:t>
      </w:r>
      <w:r w:rsidRPr="00CC5550">
        <w:rPr>
          <w:bCs/>
          <w:lang w:val="fr-FR"/>
        </w:rPr>
        <w:t xml:space="preserve">110 et 180 au cours des dernières années; </w:t>
      </w:r>
      <w:r w:rsidR="006C39C7" w:rsidRPr="00CC5550">
        <w:rPr>
          <w:bCs/>
          <w:lang w:val="fr-FR"/>
        </w:rPr>
        <w:t xml:space="preserve"> </w:t>
      </w:r>
      <w:r w:rsidR="00ED786D" w:rsidRPr="00CC5550">
        <w:rPr>
          <w:bCs/>
          <w:lang w:val="fr-FR"/>
        </w:rPr>
        <w:t>en 2017</w:t>
      </w:r>
      <w:r w:rsidRPr="00CC5550">
        <w:rPr>
          <w:bCs/>
          <w:lang w:val="fr-FR"/>
        </w:rPr>
        <w:t>, l</w:t>
      </w:r>
      <w:r w:rsidR="00ED786D" w:rsidRPr="00CC5550">
        <w:rPr>
          <w:bCs/>
          <w:lang w:val="fr-FR"/>
        </w:rPr>
        <w:t>’</w:t>
      </w:r>
      <w:r w:rsidRPr="00CC5550">
        <w:rPr>
          <w:bCs/>
          <w:lang w:val="fr-FR"/>
        </w:rPr>
        <w:t xml:space="preserve">office augmente ses effectifs de </w:t>
      </w:r>
      <w:r w:rsidR="00146D41" w:rsidRPr="00CC5550">
        <w:rPr>
          <w:bCs/>
          <w:lang w:val="fr-FR"/>
        </w:rPr>
        <w:t>23</w:t>
      </w:r>
      <w:r w:rsidR="00F350DD" w:rsidRPr="00CC5550">
        <w:rPr>
          <w:bCs/>
          <w:lang w:val="fr-FR"/>
        </w:rPr>
        <w:t> </w:t>
      </w:r>
      <w:r w:rsidR="00146D41" w:rsidRPr="00CC5550">
        <w:rPr>
          <w:bCs/>
          <w:lang w:val="fr-FR"/>
        </w:rPr>
        <w:t>examinateurs à plein temps, lesquels</w:t>
      </w:r>
      <w:r w:rsidRPr="00CC5550">
        <w:rPr>
          <w:bCs/>
          <w:lang w:val="fr-FR"/>
        </w:rPr>
        <w:t xml:space="preserve"> doivent être ajoutés aux chiffres ci</w:t>
      </w:r>
      <w:r w:rsidR="00F350DD" w:rsidRPr="00CC5550">
        <w:rPr>
          <w:bCs/>
          <w:lang w:val="fr-FR"/>
        </w:rPr>
        <w:noBreakHyphen/>
      </w:r>
      <w:r w:rsidRPr="00CC5550">
        <w:rPr>
          <w:bCs/>
          <w:lang w:val="fr-FR"/>
        </w:rPr>
        <w:t>dessus.</w:t>
      </w:r>
    </w:p>
    <w:p w:rsidR="00891762" w:rsidRPr="00CC5550" w:rsidRDefault="00891762" w:rsidP="00CC5550">
      <w:pPr>
        <w:rPr>
          <w:bCs/>
          <w:lang w:val="fr-FR"/>
        </w:rPr>
      </w:pPr>
    </w:p>
    <w:p w:rsidR="00891762" w:rsidRPr="00CC5550" w:rsidRDefault="00363FF2" w:rsidP="00C61490">
      <w:pPr>
        <w:keepLines/>
        <w:rPr>
          <w:bCs/>
          <w:lang w:val="fr-FR"/>
        </w:rPr>
      </w:pPr>
      <w:r w:rsidRPr="00CC5550">
        <w:rPr>
          <w:bCs/>
          <w:lang w:val="fr-FR"/>
        </w:rPr>
        <w:t>*</w:t>
      </w:r>
      <w:r w:rsidR="000336E6" w:rsidRPr="00CC5550">
        <w:rPr>
          <w:bCs/>
          <w:lang w:val="fr-FR"/>
        </w:rPr>
        <w:t xml:space="preserve">Pour être qualifié, il faut avoir </w:t>
      </w:r>
      <w:bookmarkStart w:id="7" w:name="_GoBack"/>
      <w:r w:rsidR="000336E6" w:rsidRPr="00CC5550">
        <w:rPr>
          <w:bCs/>
          <w:lang w:val="fr-FR"/>
        </w:rPr>
        <w:t>au minimum</w:t>
      </w:r>
      <w:r w:rsidR="006C39C7" w:rsidRPr="00CC5550">
        <w:rPr>
          <w:bCs/>
          <w:lang w:val="fr-FR"/>
        </w:rPr>
        <w:t> </w:t>
      </w:r>
      <w:r w:rsidR="000336E6" w:rsidRPr="00CC5550">
        <w:rPr>
          <w:bCs/>
          <w:lang w:val="fr-FR"/>
        </w:rPr>
        <w:t xml:space="preserve">: un </w:t>
      </w:r>
      <w:r w:rsidR="002807AC" w:rsidRPr="00CC5550">
        <w:rPr>
          <w:bCs/>
          <w:lang w:val="fr-FR"/>
        </w:rPr>
        <w:t>master</w:t>
      </w:r>
      <w:r w:rsidR="000336E6" w:rsidRPr="00CC5550">
        <w:rPr>
          <w:bCs/>
          <w:lang w:val="fr-FR"/>
        </w:rPr>
        <w:t xml:space="preserve"> de scien</w:t>
      </w:r>
      <w:r w:rsidR="00F350DD" w:rsidRPr="00CC5550">
        <w:rPr>
          <w:bCs/>
          <w:lang w:val="fr-FR"/>
        </w:rPr>
        <w:t>ces ou un équivalent, un niveau </w:t>
      </w:r>
      <w:r w:rsidR="000336E6" w:rsidRPr="00CC5550">
        <w:rPr>
          <w:bCs/>
          <w:lang w:val="fr-FR"/>
        </w:rPr>
        <w:t>C en s</w:t>
      </w:r>
      <w:r w:rsidR="00F350DD" w:rsidRPr="00CC5550">
        <w:rPr>
          <w:bCs/>
          <w:lang w:val="fr-FR"/>
        </w:rPr>
        <w:t>uédois et en anglais, un niveau </w:t>
      </w:r>
      <w:r w:rsidR="000336E6" w:rsidRPr="00CC5550">
        <w:rPr>
          <w:bCs/>
          <w:lang w:val="fr-FR"/>
        </w:rPr>
        <w:t>B en allemand ou en français et la capacité de comprendre l</w:t>
      </w:r>
      <w:r w:rsidR="00ED786D" w:rsidRPr="00CC5550">
        <w:rPr>
          <w:bCs/>
          <w:lang w:val="fr-FR"/>
        </w:rPr>
        <w:t>’</w:t>
      </w:r>
      <w:r w:rsidR="000336E6" w:rsidRPr="00CC5550">
        <w:rPr>
          <w:bCs/>
          <w:lang w:val="fr-FR"/>
        </w:rPr>
        <w:t xml:space="preserve">autre langue, et </w:t>
      </w:r>
      <w:r w:rsidR="000A714E" w:rsidRPr="00CC5550">
        <w:rPr>
          <w:bCs/>
          <w:lang w:val="fr-FR"/>
        </w:rPr>
        <w:t>r</w:t>
      </w:r>
      <w:bookmarkEnd w:id="7"/>
      <w:r w:rsidR="000A714E" w:rsidRPr="00CC5550">
        <w:rPr>
          <w:bCs/>
          <w:lang w:val="fr-FR"/>
        </w:rPr>
        <w:t>éussi</w:t>
      </w:r>
      <w:r w:rsidR="000336E6" w:rsidRPr="00CC5550">
        <w:rPr>
          <w:bCs/>
          <w:lang w:val="fr-FR"/>
        </w:rPr>
        <w:t xml:space="preserve"> </w:t>
      </w:r>
      <w:r w:rsidR="000A714E" w:rsidRPr="00CC5550">
        <w:rPr>
          <w:bCs/>
          <w:lang w:val="fr-FR"/>
        </w:rPr>
        <w:t>l</w:t>
      </w:r>
      <w:r w:rsidR="000336E6" w:rsidRPr="00CC5550">
        <w:rPr>
          <w:bCs/>
          <w:lang w:val="fr-FR"/>
        </w:rPr>
        <w:t>es examens écrits sanctionnant notre formation interne destinée aux examinateurs, d</w:t>
      </w:r>
      <w:r w:rsidR="00ED786D" w:rsidRPr="00CC5550">
        <w:rPr>
          <w:bCs/>
          <w:lang w:val="fr-FR"/>
        </w:rPr>
        <w:t>’</w:t>
      </w:r>
      <w:r w:rsidR="000336E6" w:rsidRPr="00CC5550">
        <w:rPr>
          <w:bCs/>
          <w:lang w:val="fr-FR"/>
        </w:rPr>
        <w:t>une durée de 18</w:t>
      </w:r>
      <w:r w:rsidR="00F350DD" w:rsidRPr="00CC5550">
        <w:rPr>
          <w:bCs/>
          <w:lang w:val="fr-FR"/>
        </w:rPr>
        <w:t> </w:t>
      </w:r>
      <w:r w:rsidR="000336E6" w:rsidRPr="00CC5550">
        <w:rPr>
          <w:bCs/>
          <w:lang w:val="fr-FR"/>
        </w:rPr>
        <w:t>mois (voir ci</w:t>
      </w:r>
      <w:r w:rsidR="00F350DD" w:rsidRPr="00CC5550">
        <w:rPr>
          <w:bCs/>
          <w:lang w:val="fr-FR"/>
        </w:rPr>
        <w:noBreakHyphen/>
      </w:r>
      <w:r w:rsidR="000336E6" w:rsidRPr="00CC5550">
        <w:rPr>
          <w:bCs/>
          <w:lang w:val="fr-FR"/>
        </w:rPr>
        <w:t>après).</w:t>
      </w:r>
    </w:p>
    <w:p w:rsidR="00891762" w:rsidRPr="00CC5550" w:rsidRDefault="00891762" w:rsidP="00CC5550">
      <w:pPr>
        <w:rPr>
          <w:szCs w:val="22"/>
          <w:lang w:val="fr-FR"/>
        </w:rPr>
      </w:pPr>
    </w:p>
    <w:p w:rsidR="00891762" w:rsidRPr="00CC5550" w:rsidRDefault="000336E6" w:rsidP="00CC5550">
      <w:pPr>
        <w:rPr>
          <w:b/>
          <w:bCs/>
          <w:lang w:val="fr-FR"/>
        </w:rPr>
      </w:pPr>
      <w:r w:rsidRPr="00CC5550">
        <w:rPr>
          <w:b/>
          <w:bCs/>
          <w:lang w:val="fr-FR"/>
        </w:rPr>
        <w:t>Programmes de formation</w:t>
      </w:r>
    </w:p>
    <w:p w:rsidR="00891762" w:rsidRPr="00CC5550" w:rsidRDefault="00891762" w:rsidP="00CC5550">
      <w:pPr>
        <w:rPr>
          <w:b/>
          <w:bCs/>
          <w:lang w:val="fr-FR"/>
        </w:rPr>
      </w:pPr>
    </w:p>
    <w:p w:rsidR="00891762" w:rsidRPr="00CC5550" w:rsidRDefault="00FB7A84" w:rsidP="00CC5550">
      <w:pPr>
        <w:rPr>
          <w:lang w:val="fr-FR"/>
        </w:rPr>
      </w:pPr>
      <w:r w:rsidRPr="00CC5550">
        <w:rPr>
          <w:lang w:val="fr-FR"/>
        </w:rPr>
        <w:t>Les examinateurs et le</w:t>
      </w:r>
      <w:r w:rsidR="00146D41" w:rsidRPr="00CC5550">
        <w:rPr>
          <w:lang w:val="fr-FR"/>
        </w:rPr>
        <w:t xml:space="preserve"> personnel chargé</w:t>
      </w:r>
      <w:r w:rsidRPr="00CC5550">
        <w:rPr>
          <w:lang w:val="fr-FR"/>
        </w:rPr>
        <w:t xml:space="preserve"> des formalités suivent la formation initiale et les programmes de perfectionnement efficac</w:t>
      </w:r>
      <w:r w:rsidR="00CA574B" w:rsidRPr="00CC5550">
        <w:rPr>
          <w:lang w:val="fr-FR"/>
        </w:rPr>
        <w:t>es.  Il</w:t>
      </w:r>
      <w:r w:rsidR="0004002D" w:rsidRPr="00CC5550">
        <w:rPr>
          <w:lang w:val="fr-FR"/>
        </w:rPr>
        <w:t>s sont approuvés au moyen de différents examens de niveau qui leur permettent d</w:t>
      </w:r>
      <w:r w:rsidR="00ED786D" w:rsidRPr="00CC5550">
        <w:rPr>
          <w:lang w:val="fr-FR"/>
        </w:rPr>
        <w:t>’</w:t>
      </w:r>
      <w:r w:rsidR="0004002D" w:rsidRPr="00CC5550">
        <w:rPr>
          <w:lang w:val="fr-FR"/>
        </w:rPr>
        <w:t>acquérir et de conserver les compétences requis</w:t>
      </w:r>
      <w:r w:rsidR="00CA574B" w:rsidRPr="00CC5550">
        <w:rPr>
          <w:lang w:val="fr-FR"/>
        </w:rPr>
        <w:t>es.  Au</w:t>
      </w:r>
      <w:r w:rsidR="0004002D" w:rsidRPr="00CC5550">
        <w:rPr>
          <w:lang w:val="fr-FR"/>
        </w:rPr>
        <w:t xml:space="preserve"> cours du programme de formation pour les examinateurs, qui dure au minimum 18</w:t>
      </w:r>
      <w:r w:rsidR="00F350DD" w:rsidRPr="00CC5550">
        <w:rPr>
          <w:lang w:val="fr-FR"/>
        </w:rPr>
        <w:t> </w:t>
      </w:r>
      <w:r w:rsidR="0004002D" w:rsidRPr="00CC5550">
        <w:rPr>
          <w:lang w:val="fr-FR"/>
        </w:rPr>
        <w:t>mois et comprend environ 150</w:t>
      </w:r>
      <w:r w:rsidR="00F350DD" w:rsidRPr="00CC5550">
        <w:rPr>
          <w:lang w:val="fr-FR"/>
        </w:rPr>
        <w:t> </w:t>
      </w:r>
      <w:r w:rsidR="0004002D" w:rsidRPr="00CC5550">
        <w:rPr>
          <w:lang w:val="fr-FR"/>
        </w:rPr>
        <w:t>heures de cours, l</w:t>
      </w:r>
      <w:r w:rsidR="00ED786D" w:rsidRPr="00CC5550">
        <w:rPr>
          <w:lang w:val="fr-FR"/>
        </w:rPr>
        <w:t>’</w:t>
      </w:r>
      <w:r w:rsidR="0004002D" w:rsidRPr="00CC5550">
        <w:rPr>
          <w:lang w:val="fr-FR"/>
        </w:rPr>
        <w:t>examinateur est guidé pa</w:t>
      </w:r>
      <w:r w:rsidR="000A714E" w:rsidRPr="00CC5550">
        <w:rPr>
          <w:lang w:val="fr-FR"/>
        </w:rPr>
        <w:t>r</w:t>
      </w:r>
      <w:r w:rsidR="0004002D" w:rsidRPr="00CC5550">
        <w:rPr>
          <w:lang w:val="fr-FR"/>
        </w:rPr>
        <w:t xml:space="preserve"> plusieurs </w:t>
      </w:r>
      <w:r w:rsidR="00BA5DA7" w:rsidRPr="00CC5550">
        <w:rPr>
          <w:lang w:val="fr-FR"/>
        </w:rPr>
        <w:t>tuteurs</w:t>
      </w:r>
      <w:r w:rsidR="0004002D" w:rsidRPr="00CC5550">
        <w:rPr>
          <w:lang w:val="fr-FR"/>
        </w:rPr>
        <w:t>, qui sont responsables de</w:t>
      </w:r>
      <w:r w:rsidR="00146D41" w:rsidRPr="00CC5550">
        <w:rPr>
          <w:lang w:val="fr-FR"/>
        </w:rPr>
        <w:t xml:space="preserve"> se</w:t>
      </w:r>
      <w:r w:rsidR="0004002D" w:rsidRPr="00CC5550">
        <w:rPr>
          <w:lang w:val="fr-FR"/>
        </w:rPr>
        <w:t>s résulta</w:t>
      </w:r>
      <w:r w:rsidR="00CA574B" w:rsidRPr="00CC5550">
        <w:rPr>
          <w:lang w:val="fr-FR"/>
        </w:rPr>
        <w:t>ts.  La</w:t>
      </w:r>
      <w:r w:rsidR="0004002D" w:rsidRPr="00CC5550">
        <w:rPr>
          <w:lang w:val="fr-FR"/>
        </w:rPr>
        <w:t xml:space="preserve"> formation dispensée sur place est complétée par du matériel de formation écrit et détaillé ainsi que par des programmes de formation en lig</w:t>
      </w:r>
      <w:r w:rsidR="00CA574B" w:rsidRPr="00CC5550">
        <w:rPr>
          <w:lang w:val="fr-FR"/>
        </w:rPr>
        <w:t>ne.  Le</w:t>
      </w:r>
      <w:r w:rsidR="0004002D" w:rsidRPr="00CC5550">
        <w:rPr>
          <w:lang w:val="fr-FR"/>
        </w:rPr>
        <w:t xml:space="preserve"> </w:t>
      </w:r>
      <w:r w:rsidR="00BA5DA7" w:rsidRPr="00CC5550">
        <w:rPr>
          <w:lang w:val="fr-FR"/>
        </w:rPr>
        <w:t>programme</w:t>
      </w:r>
      <w:r w:rsidR="0004002D" w:rsidRPr="00CC5550">
        <w:rPr>
          <w:lang w:val="fr-FR"/>
        </w:rPr>
        <w:t xml:space="preserve"> de formation pour devenir examinateur comprend aussi des cours de langue (allemand, français, et rédaction de textes officiels en anglais).</w:t>
      </w:r>
    </w:p>
    <w:p w:rsidR="00891762" w:rsidRPr="00CC5550" w:rsidRDefault="00891762" w:rsidP="00CC5550">
      <w:pPr>
        <w:rPr>
          <w:lang w:val="fr-FR"/>
        </w:rPr>
      </w:pPr>
    </w:p>
    <w:p w:rsidR="00ED786D" w:rsidRPr="00CC5550" w:rsidRDefault="0004002D" w:rsidP="00CC5550">
      <w:pPr>
        <w:rPr>
          <w:lang w:val="fr-FR"/>
        </w:rPr>
      </w:pPr>
      <w:r w:rsidRPr="00CC5550">
        <w:rPr>
          <w:lang w:val="fr-FR"/>
        </w:rPr>
        <w:t xml:space="preserve">Chaque examinateur assiste à un cours </w:t>
      </w:r>
      <w:r w:rsidR="000A714E" w:rsidRPr="00CC5550">
        <w:rPr>
          <w:lang w:val="fr-FR"/>
        </w:rPr>
        <w:t xml:space="preserve">complet </w:t>
      </w:r>
      <w:r w:rsidRPr="00CC5550">
        <w:rPr>
          <w:lang w:val="fr-FR"/>
        </w:rPr>
        <w:t>de remise à niveau tous les cinq</w:t>
      </w:r>
      <w:r w:rsidR="006C39C7" w:rsidRPr="00CC5550">
        <w:rPr>
          <w:lang w:val="fr-FR"/>
        </w:rPr>
        <w:t> </w:t>
      </w:r>
      <w:r w:rsidRPr="00CC5550">
        <w:rPr>
          <w:lang w:val="fr-FR"/>
        </w:rPr>
        <w:t>a</w:t>
      </w:r>
      <w:r w:rsidR="00CA574B" w:rsidRPr="00CC5550">
        <w:rPr>
          <w:lang w:val="fr-FR"/>
        </w:rPr>
        <w:t>ns.  En</w:t>
      </w:r>
      <w:r w:rsidR="003C2AC5" w:rsidRPr="00CC5550">
        <w:rPr>
          <w:lang w:val="fr-FR"/>
        </w:rPr>
        <w:t xml:space="preserve"> outre, des séminaires sont offerts en réponse aux contrôles de qualité annuels ou à de nouvelles situations ou directiv</w:t>
      </w:r>
      <w:r w:rsidR="00CA574B" w:rsidRPr="00CC5550">
        <w:rPr>
          <w:lang w:val="fr-FR"/>
        </w:rPr>
        <w:t>es.  Le</w:t>
      </w:r>
      <w:r w:rsidR="003C2AC5" w:rsidRPr="00CC5550">
        <w:rPr>
          <w:lang w:val="fr-FR"/>
        </w:rPr>
        <w:t>s directeurs proposent des programmes d</w:t>
      </w:r>
      <w:r w:rsidR="00ED786D" w:rsidRPr="00CC5550">
        <w:rPr>
          <w:lang w:val="fr-FR"/>
        </w:rPr>
        <w:t>’</w:t>
      </w:r>
      <w:r w:rsidR="003C2AC5" w:rsidRPr="00CC5550">
        <w:rPr>
          <w:lang w:val="fr-FR"/>
        </w:rPr>
        <w:t>enseignement individuels, en concertation avec chaque personne, tant au sujet du droit de la propriété intellectuelle que des aspects techniqu</w:t>
      </w:r>
      <w:r w:rsidR="00CA574B" w:rsidRPr="00CC5550">
        <w:rPr>
          <w:lang w:val="fr-FR"/>
        </w:rPr>
        <w:t>es.  Le</w:t>
      </w:r>
      <w:r w:rsidR="003C2AC5" w:rsidRPr="00CC5550">
        <w:rPr>
          <w:lang w:val="fr-FR"/>
        </w:rPr>
        <w:t>s programmes d</w:t>
      </w:r>
      <w:r w:rsidR="00ED786D" w:rsidRPr="00CC5550">
        <w:rPr>
          <w:lang w:val="fr-FR"/>
        </w:rPr>
        <w:t>’</w:t>
      </w:r>
      <w:r w:rsidR="003C2AC5" w:rsidRPr="00CC5550">
        <w:rPr>
          <w:lang w:val="fr-FR"/>
        </w:rPr>
        <w:t>enseignement comprennent</w:t>
      </w:r>
      <w:r w:rsidR="006C39C7" w:rsidRPr="00CC5550">
        <w:rPr>
          <w:lang w:val="fr-FR"/>
        </w:rPr>
        <w:t> </w:t>
      </w:r>
      <w:r w:rsidR="003C2AC5" w:rsidRPr="00CC5550">
        <w:rPr>
          <w:lang w:val="fr-FR"/>
        </w:rPr>
        <w:t>: des ateliers (sur place), des échanges d</w:t>
      </w:r>
      <w:r w:rsidR="00ED786D" w:rsidRPr="00CC5550">
        <w:rPr>
          <w:lang w:val="fr-FR"/>
        </w:rPr>
        <w:t>’</w:t>
      </w:r>
      <w:r w:rsidR="003C2AC5" w:rsidRPr="00CC5550">
        <w:rPr>
          <w:lang w:val="fr-FR"/>
        </w:rPr>
        <w:t>examinateurs, des séminaires et cours sur place/à l</w:t>
      </w:r>
      <w:r w:rsidR="00ED786D" w:rsidRPr="00CC5550">
        <w:rPr>
          <w:lang w:val="fr-FR"/>
        </w:rPr>
        <w:t>’</w:t>
      </w:r>
      <w:r w:rsidR="003C2AC5" w:rsidRPr="00CC5550">
        <w:rPr>
          <w:lang w:val="fr-FR"/>
        </w:rPr>
        <w:t>extérie</w:t>
      </w:r>
      <w:r w:rsidR="00CA574B" w:rsidRPr="00CC5550">
        <w:rPr>
          <w:lang w:val="fr-FR"/>
        </w:rPr>
        <w:t>ur.  Un</w:t>
      </w:r>
      <w:r w:rsidR="000A714E" w:rsidRPr="00CC5550">
        <w:rPr>
          <w:lang w:val="fr-FR"/>
        </w:rPr>
        <w:t xml:space="preserve"> vaste</w:t>
      </w:r>
      <w:r w:rsidR="00FC5FA5" w:rsidRPr="00CC5550">
        <w:rPr>
          <w:lang w:val="fr-FR"/>
        </w:rPr>
        <w:t xml:space="preserve"> programme de recherche croisée et d</w:t>
      </w:r>
      <w:r w:rsidR="00ED786D" w:rsidRPr="00CC5550">
        <w:rPr>
          <w:lang w:val="fr-FR"/>
        </w:rPr>
        <w:t>’</w:t>
      </w:r>
      <w:r w:rsidR="00FC5FA5" w:rsidRPr="00CC5550">
        <w:rPr>
          <w:lang w:val="fr-FR"/>
        </w:rPr>
        <w:t>examen a été mis en place afin d</w:t>
      </w:r>
      <w:r w:rsidR="00ED786D" w:rsidRPr="00CC5550">
        <w:rPr>
          <w:lang w:val="fr-FR"/>
        </w:rPr>
        <w:t>’</w:t>
      </w:r>
      <w:r w:rsidR="00FC5FA5" w:rsidRPr="00CC5550">
        <w:rPr>
          <w:lang w:val="fr-FR"/>
        </w:rPr>
        <w:t>assurer la continuité et la qualité.</w:t>
      </w:r>
    </w:p>
    <w:p w:rsidR="00891762" w:rsidRPr="00CC5550" w:rsidRDefault="00891762" w:rsidP="00CC5550">
      <w:pPr>
        <w:rPr>
          <w:lang w:val="fr-FR"/>
        </w:rPr>
      </w:pPr>
    </w:p>
    <w:p w:rsidR="00891762" w:rsidRPr="00CC5550" w:rsidRDefault="00FC5FA5" w:rsidP="00CC5550">
      <w:pPr>
        <w:rPr>
          <w:lang w:val="fr-FR"/>
        </w:rPr>
      </w:pPr>
      <w:r w:rsidRPr="00CC5550">
        <w:rPr>
          <w:lang w:val="fr-FR"/>
        </w:rPr>
        <w:t>Les experts en brevets sont formés dans le cadre d</w:t>
      </w:r>
      <w:r w:rsidR="00ED786D" w:rsidRPr="00CC5550">
        <w:rPr>
          <w:lang w:val="fr-FR"/>
        </w:rPr>
        <w:t>’</w:t>
      </w:r>
      <w:r w:rsidRPr="00CC5550">
        <w:rPr>
          <w:lang w:val="fr-FR"/>
        </w:rPr>
        <w:t>un programme spéci</w:t>
      </w:r>
      <w:r w:rsidR="009F0B9A" w:rsidRPr="00CC5550">
        <w:rPr>
          <w:lang w:val="fr-FR"/>
        </w:rPr>
        <w:t>fiquement</w:t>
      </w:r>
      <w:r w:rsidRPr="00CC5550">
        <w:rPr>
          <w:lang w:val="fr-FR"/>
        </w:rPr>
        <w:t xml:space="preserve"> </w:t>
      </w:r>
      <w:r w:rsidR="009F0B9A" w:rsidRPr="00CC5550">
        <w:rPr>
          <w:lang w:val="fr-FR"/>
        </w:rPr>
        <w:t xml:space="preserve">destiné aux </w:t>
      </w:r>
      <w:r w:rsidRPr="00CC5550">
        <w:rPr>
          <w:lang w:val="fr-FR"/>
        </w:rPr>
        <w:t>experts, auquel participent les examinateurs hautement qualifi</w:t>
      </w:r>
      <w:r w:rsidR="00CA574B" w:rsidRPr="00CC5550">
        <w:rPr>
          <w:lang w:val="fr-FR"/>
        </w:rPr>
        <w:t>és.  Le</w:t>
      </w:r>
      <w:r w:rsidRPr="00CC5550">
        <w:rPr>
          <w:lang w:val="fr-FR"/>
        </w:rPr>
        <w:t xml:space="preserve"> programme est conséquent et s</w:t>
      </w:r>
      <w:r w:rsidR="00ED786D" w:rsidRPr="00CC5550">
        <w:rPr>
          <w:lang w:val="fr-FR"/>
        </w:rPr>
        <w:t>’</w:t>
      </w:r>
      <w:r w:rsidRPr="00CC5550">
        <w:rPr>
          <w:lang w:val="fr-FR"/>
        </w:rPr>
        <w:t xml:space="preserve">étale sur plusieurs années; </w:t>
      </w:r>
      <w:r w:rsidR="006C39C7" w:rsidRPr="00CC5550">
        <w:rPr>
          <w:lang w:val="fr-FR"/>
        </w:rPr>
        <w:t xml:space="preserve"> </w:t>
      </w:r>
      <w:r w:rsidRPr="00CC5550">
        <w:rPr>
          <w:lang w:val="fr-FR"/>
        </w:rPr>
        <w:t xml:space="preserve">il est combiné avec des tâches </w:t>
      </w:r>
      <w:r w:rsidR="00CB148E" w:rsidRPr="00CC5550">
        <w:rPr>
          <w:lang w:val="fr-FR"/>
        </w:rPr>
        <w:t xml:space="preserve">normales </w:t>
      </w:r>
      <w:r w:rsidRPr="00CC5550">
        <w:rPr>
          <w:lang w:val="fr-FR"/>
        </w:rPr>
        <w:t>de recherche et d</w:t>
      </w:r>
      <w:r w:rsidR="00ED786D" w:rsidRPr="00CC5550">
        <w:rPr>
          <w:lang w:val="fr-FR"/>
        </w:rPr>
        <w:t>’</w:t>
      </w:r>
      <w:r w:rsidRPr="00CC5550">
        <w:rPr>
          <w:lang w:val="fr-FR"/>
        </w:rPr>
        <w:t>exam</w:t>
      </w:r>
      <w:r w:rsidR="00CA574B" w:rsidRPr="00CC5550">
        <w:rPr>
          <w:lang w:val="fr-FR"/>
        </w:rPr>
        <w:t>en.  Le</w:t>
      </w:r>
      <w:r w:rsidRPr="00CC5550">
        <w:rPr>
          <w:lang w:val="fr-FR"/>
        </w:rPr>
        <w:t xml:space="preserve"> programme s</w:t>
      </w:r>
      <w:r w:rsidR="00ED786D" w:rsidRPr="00CC5550">
        <w:rPr>
          <w:lang w:val="fr-FR"/>
        </w:rPr>
        <w:t>’</w:t>
      </w:r>
      <w:r w:rsidRPr="00CC5550">
        <w:rPr>
          <w:lang w:val="fr-FR"/>
        </w:rPr>
        <w:t xml:space="preserve">achève par un examen et </w:t>
      </w:r>
      <w:r w:rsidR="009F0B9A" w:rsidRPr="00CC5550">
        <w:rPr>
          <w:lang w:val="fr-FR"/>
        </w:rPr>
        <w:t>la soutenance</w:t>
      </w:r>
      <w:r w:rsidRPr="00CC5550">
        <w:rPr>
          <w:lang w:val="fr-FR"/>
        </w:rPr>
        <w:t xml:space="preserve"> d</w:t>
      </w:r>
      <w:r w:rsidR="00ED786D" w:rsidRPr="00CC5550">
        <w:rPr>
          <w:lang w:val="fr-FR"/>
        </w:rPr>
        <w:t>’</w:t>
      </w:r>
      <w:r w:rsidRPr="00CC5550">
        <w:rPr>
          <w:lang w:val="fr-FR"/>
        </w:rPr>
        <w:t xml:space="preserve">une thèse </w:t>
      </w:r>
      <w:r w:rsidR="009F0B9A" w:rsidRPr="00CC5550">
        <w:rPr>
          <w:lang w:val="fr-FR"/>
        </w:rPr>
        <w:t xml:space="preserve">sur </w:t>
      </w:r>
      <w:r w:rsidRPr="00CC5550">
        <w:rPr>
          <w:lang w:val="fr-FR"/>
        </w:rPr>
        <w:t>l</w:t>
      </w:r>
      <w:r w:rsidR="00ED786D" w:rsidRPr="00CC5550">
        <w:rPr>
          <w:lang w:val="fr-FR"/>
        </w:rPr>
        <w:t>’</w:t>
      </w:r>
      <w:r w:rsidRPr="00CC5550">
        <w:rPr>
          <w:lang w:val="fr-FR"/>
        </w:rPr>
        <w:t>examen.</w:t>
      </w:r>
    </w:p>
    <w:p w:rsidR="00891762" w:rsidRPr="00CC5550" w:rsidRDefault="00891762" w:rsidP="00CC5550">
      <w:pPr>
        <w:rPr>
          <w:lang w:val="fr-FR"/>
        </w:rPr>
      </w:pPr>
    </w:p>
    <w:p w:rsidR="00891762" w:rsidRPr="00CC5550" w:rsidRDefault="00032B9E" w:rsidP="00CC5550">
      <w:pPr>
        <w:rPr>
          <w:lang w:val="fr-FR"/>
        </w:rPr>
      </w:pPr>
      <w:r w:rsidRPr="00CC5550">
        <w:rPr>
          <w:lang w:val="fr-FR"/>
        </w:rPr>
        <w:t>Tous les employés sont informés de l</w:t>
      </w:r>
      <w:r w:rsidR="00ED786D" w:rsidRPr="00CC5550">
        <w:rPr>
          <w:lang w:val="fr-FR"/>
        </w:rPr>
        <w:t>’</w:t>
      </w:r>
      <w:r w:rsidRPr="00CC5550">
        <w:rPr>
          <w:lang w:val="fr-FR"/>
        </w:rPr>
        <w:t>importance de respecter les critères et les normes de qualité dans le cadre du cours d</w:t>
      </w:r>
      <w:r w:rsidR="00ED786D" w:rsidRPr="00CC5550">
        <w:rPr>
          <w:lang w:val="fr-FR"/>
        </w:rPr>
        <w:t>’</w:t>
      </w:r>
      <w:r w:rsidRPr="00CC5550">
        <w:rPr>
          <w:lang w:val="fr-FR"/>
        </w:rPr>
        <w:t>introduction donné par l</w:t>
      </w:r>
      <w:r w:rsidR="00ED786D" w:rsidRPr="00CC5550">
        <w:rPr>
          <w:lang w:val="fr-FR"/>
        </w:rPr>
        <w:t>’</w:t>
      </w:r>
      <w:r w:rsidRPr="00CC5550">
        <w:rPr>
          <w:lang w:val="fr-FR"/>
        </w:rPr>
        <w:t>Office suédois des brevets et de l</w:t>
      </w:r>
      <w:r w:rsidR="00ED786D" w:rsidRPr="00CC5550">
        <w:rPr>
          <w:lang w:val="fr-FR"/>
        </w:rPr>
        <w:t>’</w:t>
      </w:r>
      <w:r w:rsidRPr="00CC5550">
        <w:rPr>
          <w:lang w:val="fr-FR"/>
        </w:rPr>
        <w:t>enregistrement lorsqu</w:t>
      </w:r>
      <w:r w:rsidR="00ED786D" w:rsidRPr="00CC5550">
        <w:rPr>
          <w:lang w:val="fr-FR"/>
        </w:rPr>
        <w:t>’</w:t>
      </w:r>
      <w:r w:rsidRPr="00CC5550">
        <w:rPr>
          <w:lang w:val="fr-FR"/>
        </w:rPr>
        <w:t>ils commencent leur contr</w:t>
      </w:r>
      <w:r w:rsidR="00CA574B" w:rsidRPr="00CC5550">
        <w:rPr>
          <w:lang w:val="fr-FR"/>
        </w:rPr>
        <w:t>at.  L’u</w:t>
      </w:r>
      <w:r w:rsidRPr="00CC5550">
        <w:rPr>
          <w:lang w:val="fr-FR"/>
        </w:rPr>
        <w:t>ne des principales responsabilités du directeur de la gestion de la qualité est de s</w:t>
      </w:r>
      <w:r w:rsidR="00ED786D" w:rsidRPr="00CC5550">
        <w:rPr>
          <w:lang w:val="fr-FR"/>
        </w:rPr>
        <w:t>’</w:t>
      </w:r>
      <w:r w:rsidRPr="00CC5550">
        <w:rPr>
          <w:lang w:val="fr-FR"/>
        </w:rPr>
        <w:t>assurer que ces connaissances sont préservées.</w:t>
      </w:r>
    </w:p>
    <w:p w:rsidR="00891762" w:rsidRPr="00CC5550" w:rsidRDefault="00891762" w:rsidP="00CC5550">
      <w:pPr>
        <w:rPr>
          <w:szCs w:val="22"/>
          <w:lang w:val="fr-FR"/>
        </w:rPr>
      </w:pPr>
    </w:p>
    <w:p w:rsidR="00891762" w:rsidRPr="00CC5550" w:rsidRDefault="00891762" w:rsidP="00CC5550">
      <w:pPr>
        <w:rPr>
          <w:szCs w:val="22"/>
          <w:lang w:val="fr-FR"/>
        </w:rPr>
      </w:pPr>
    </w:p>
    <w:p w:rsidR="00891762" w:rsidRPr="00CC5550" w:rsidRDefault="00ED786D" w:rsidP="00CC5550">
      <w:pPr>
        <w:rPr>
          <w:b/>
          <w:bCs/>
          <w:i/>
          <w:szCs w:val="24"/>
          <w:lang w:val="fr-FR"/>
        </w:rPr>
      </w:pPr>
      <w:r w:rsidRPr="00CC5550">
        <w:rPr>
          <w:b/>
          <w:bCs/>
          <w:i/>
          <w:szCs w:val="24"/>
          <w:lang w:val="fr-FR"/>
        </w:rPr>
        <w:t>Règles 3</w:t>
      </w:r>
      <w:r w:rsidR="008B144F" w:rsidRPr="00CC5550">
        <w:rPr>
          <w:b/>
          <w:bCs/>
          <w:i/>
          <w:szCs w:val="24"/>
          <w:lang w:val="fr-FR"/>
        </w:rPr>
        <w:t>6.1.ii) et 63.1.ii)</w:t>
      </w:r>
      <w:r w:rsidR="006C39C7" w:rsidRPr="00CC5550">
        <w:rPr>
          <w:b/>
          <w:bCs/>
          <w:i/>
          <w:szCs w:val="24"/>
          <w:lang w:val="fr-FR"/>
        </w:rPr>
        <w:t> :</w:t>
      </w:r>
      <w:r w:rsidR="008B144F" w:rsidRPr="00CC5550">
        <w:rPr>
          <w:b/>
          <w:bCs/>
          <w:i/>
          <w:szCs w:val="24"/>
          <w:lang w:val="fr-FR"/>
        </w:rPr>
        <w:t xml:space="preserve"> c</w:t>
      </w:r>
      <w:r w:rsidR="00032B9E" w:rsidRPr="00CC5550">
        <w:rPr>
          <w:b/>
          <w:bCs/>
          <w:i/>
          <w:szCs w:val="24"/>
          <w:lang w:val="fr-FR"/>
        </w:rPr>
        <w:t xml:space="preserve">et office ou cette organisation doit avoir en sa possession au moins la documentation minimale de la </w:t>
      </w:r>
      <w:r w:rsidRPr="00CC5550">
        <w:rPr>
          <w:b/>
          <w:bCs/>
          <w:i/>
          <w:szCs w:val="24"/>
          <w:lang w:val="fr-FR"/>
        </w:rPr>
        <w:t>règle 3</w:t>
      </w:r>
      <w:r w:rsidR="00032B9E" w:rsidRPr="00CC5550">
        <w:rPr>
          <w:b/>
          <w:bCs/>
          <w:i/>
          <w:szCs w:val="24"/>
          <w:lang w:val="fr-FR"/>
        </w:rPr>
        <w:t>4, ou avoir accès à cette documentation minimale, laquelle doit être disposée d</w:t>
      </w:r>
      <w:r w:rsidRPr="00CC5550">
        <w:rPr>
          <w:b/>
          <w:bCs/>
          <w:i/>
          <w:szCs w:val="24"/>
          <w:lang w:val="fr-FR"/>
        </w:rPr>
        <w:t>’</w:t>
      </w:r>
      <w:r w:rsidR="00032B9E" w:rsidRPr="00CC5550">
        <w:rPr>
          <w:b/>
          <w:bCs/>
          <w:i/>
          <w:szCs w:val="24"/>
          <w:lang w:val="fr-FR"/>
        </w:rPr>
        <w:t>une manière adéquate aux fins de la recherche et se présenter sur papier, sur microforme ou sur un support électronique.</w:t>
      </w:r>
    </w:p>
    <w:p w:rsidR="00891762" w:rsidRPr="00CC5550" w:rsidRDefault="00891762" w:rsidP="00CC5550">
      <w:pPr>
        <w:rPr>
          <w:szCs w:val="22"/>
          <w:lang w:val="fr-FR"/>
        </w:rPr>
      </w:pPr>
    </w:p>
    <w:p w:rsidR="00ED786D" w:rsidRPr="00CC5550" w:rsidRDefault="00032B9E" w:rsidP="00CC5550">
      <w:pPr>
        <w:keepNext/>
        <w:rPr>
          <w:b/>
          <w:szCs w:val="22"/>
          <w:lang w:val="fr-FR"/>
        </w:rPr>
      </w:pPr>
      <w:r w:rsidRPr="00CC5550">
        <w:rPr>
          <w:b/>
          <w:szCs w:val="22"/>
          <w:lang w:val="fr-FR"/>
        </w:rPr>
        <w:t>Accès à la documentation minimale aux fi</w:t>
      </w:r>
      <w:r w:rsidR="00CB148E" w:rsidRPr="00CC5550">
        <w:rPr>
          <w:b/>
          <w:szCs w:val="22"/>
          <w:lang w:val="fr-FR"/>
        </w:rPr>
        <w:t>n</w:t>
      </w:r>
      <w:r w:rsidRPr="00CC5550">
        <w:rPr>
          <w:b/>
          <w:szCs w:val="22"/>
          <w:lang w:val="fr-FR"/>
        </w:rPr>
        <w:t>s de la recherche</w:t>
      </w:r>
      <w:r w:rsidR="006C39C7" w:rsidRPr="00CC5550">
        <w:rPr>
          <w:b/>
          <w:szCs w:val="22"/>
          <w:lang w:val="fr-FR"/>
        </w:rPr>
        <w:t> </w:t>
      </w:r>
      <w:r w:rsidRPr="00CC5550">
        <w:rPr>
          <w:b/>
          <w:szCs w:val="22"/>
          <w:lang w:val="fr-FR"/>
        </w:rPr>
        <w:t>:</w:t>
      </w:r>
    </w:p>
    <w:p w:rsidR="00ED786D" w:rsidRPr="00CC5550" w:rsidRDefault="00F350DD" w:rsidP="00CC5550">
      <w:pPr>
        <w:rPr>
          <w:szCs w:val="22"/>
          <w:lang w:val="fr-FR"/>
        </w:rPr>
      </w:pPr>
      <w:proofErr w:type="gramStart"/>
      <w:r w:rsidRPr="00CC5550">
        <w:rPr>
          <w:szCs w:val="22"/>
          <w:lang w:val="fr-FR"/>
        </w:rPr>
        <w:t>( x</w:t>
      </w:r>
      <w:proofErr w:type="gramEnd"/>
      <w:r w:rsidRPr="00CC5550">
        <w:rPr>
          <w:szCs w:val="22"/>
          <w:lang w:val="fr-FR"/>
        </w:rPr>
        <w:t xml:space="preserve"> )</w:t>
      </w:r>
      <w:r w:rsidRPr="00CC5550">
        <w:rPr>
          <w:szCs w:val="22"/>
          <w:lang w:val="fr-FR"/>
        </w:rPr>
        <w:tab/>
      </w:r>
      <w:r w:rsidR="008B144F" w:rsidRPr="00CC5550">
        <w:rPr>
          <w:szCs w:val="22"/>
          <w:lang w:val="fr-FR"/>
        </w:rPr>
        <w:t>Plein a</w:t>
      </w:r>
      <w:r w:rsidR="00032B9E" w:rsidRPr="00CC5550">
        <w:rPr>
          <w:szCs w:val="22"/>
          <w:lang w:val="fr-FR"/>
        </w:rPr>
        <w:t>ccès</w:t>
      </w:r>
    </w:p>
    <w:p w:rsidR="00891762" w:rsidRPr="00CC5550" w:rsidRDefault="00891762" w:rsidP="00CC5550">
      <w:pPr>
        <w:rPr>
          <w:szCs w:val="22"/>
          <w:lang w:val="fr-FR"/>
        </w:rPr>
      </w:pPr>
    </w:p>
    <w:p w:rsidR="00ED786D" w:rsidRPr="00CC5550" w:rsidRDefault="00032B9E" w:rsidP="00CC5550">
      <w:pPr>
        <w:rPr>
          <w:b/>
          <w:szCs w:val="22"/>
          <w:lang w:val="fr-FR"/>
        </w:rPr>
      </w:pPr>
      <w:r w:rsidRPr="00CC5550">
        <w:rPr>
          <w:b/>
          <w:szCs w:val="22"/>
          <w:lang w:val="fr-FR"/>
        </w:rPr>
        <w:t>Systèmes de recherche</w:t>
      </w:r>
      <w:r w:rsidR="006C39C7" w:rsidRPr="00CC5550">
        <w:rPr>
          <w:b/>
          <w:szCs w:val="22"/>
          <w:lang w:val="fr-FR"/>
        </w:rPr>
        <w:t> </w:t>
      </w:r>
      <w:r w:rsidRPr="00CC5550">
        <w:rPr>
          <w:b/>
          <w:szCs w:val="22"/>
          <w:lang w:val="fr-FR"/>
        </w:rPr>
        <w:t>:</w:t>
      </w:r>
    </w:p>
    <w:p w:rsidR="00891762" w:rsidRPr="00CC5550" w:rsidRDefault="00032B9E" w:rsidP="00CC5550">
      <w:pPr>
        <w:rPr>
          <w:iCs/>
          <w:lang w:val="fr-FR"/>
        </w:rPr>
      </w:pPr>
      <w:proofErr w:type="spellStart"/>
      <w:r w:rsidRPr="00CC5550">
        <w:rPr>
          <w:iCs/>
          <w:lang w:val="fr-FR"/>
        </w:rPr>
        <w:t>EPOQUENet</w:t>
      </w:r>
      <w:proofErr w:type="spellEnd"/>
      <w:r w:rsidRPr="00CC5550">
        <w:rPr>
          <w:iCs/>
          <w:lang w:val="fr-FR"/>
        </w:rPr>
        <w:t xml:space="preserve">, STN, Questel, </w:t>
      </w:r>
      <w:proofErr w:type="spellStart"/>
      <w:r w:rsidRPr="00CC5550">
        <w:rPr>
          <w:iCs/>
          <w:lang w:val="fr-FR"/>
        </w:rPr>
        <w:t>Mintel</w:t>
      </w:r>
      <w:proofErr w:type="spellEnd"/>
      <w:r w:rsidRPr="00CC5550">
        <w:rPr>
          <w:iCs/>
          <w:lang w:val="fr-FR"/>
        </w:rPr>
        <w:t xml:space="preserve"> GNDP, service de recherche dans la bibliothèque interne.</w:t>
      </w:r>
    </w:p>
    <w:p w:rsidR="00891762" w:rsidRPr="00CC5550" w:rsidRDefault="00891762" w:rsidP="00CC5550">
      <w:pPr>
        <w:rPr>
          <w:szCs w:val="22"/>
          <w:lang w:val="fr-FR"/>
        </w:rPr>
      </w:pPr>
    </w:p>
    <w:p w:rsidR="00891762" w:rsidRPr="00CC5550" w:rsidRDefault="00891762" w:rsidP="00CC5550">
      <w:pPr>
        <w:rPr>
          <w:szCs w:val="22"/>
          <w:lang w:val="fr-FR"/>
        </w:rPr>
      </w:pPr>
    </w:p>
    <w:p w:rsidR="00891762" w:rsidRPr="00CC5550" w:rsidRDefault="00ED786D" w:rsidP="00CC5550">
      <w:pPr>
        <w:rPr>
          <w:b/>
          <w:bCs/>
          <w:i/>
          <w:szCs w:val="24"/>
          <w:lang w:val="fr-FR"/>
        </w:rPr>
      </w:pPr>
      <w:r w:rsidRPr="00CC5550">
        <w:rPr>
          <w:b/>
          <w:bCs/>
          <w:i/>
          <w:szCs w:val="24"/>
          <w:lang w:val="fr-FR"/>
        </w:rPr>
        <w:t>Règles 3</w:t>
      </w:r>
      <w:r w:rsidR="00032B9E" w:rsidRPr="00CC5550">
        <w:rPr>
          <w:b/>
          <w:bCs/>
          <w:i/>
          <w:szCs w:val="24"/>
          <w:lang w:val="fr-FR"/>
        </w:rPr>
        <w:t>6.1.iii) et 63.1.iii)</w:t>
      </w:r>
      <w:r w:rsidR="006C39C7" w:rsidRPr="00CC5550">
        <w:rPr>
          <w:b/>
          <w:bCs/>
          <w:i/>
          <w:szCs w:val="24"/>
          <w:lang w:val="fr-FR"/>
        </w:rPr>
        <w:t xml:space="preserve"> : </w:t>
      </w:r>
      <w:r w:rsidR="008B144F" w:rsidRPr="00CC5550">
        <w:rPr>
          <w:b/>
          <w:bCs/>
          <w:i/>
          <w:szCs w:val="24"/>
          <w:lang w:val="fr-FR"/>
        </w:rPr>
        <w:t>c</w:t>
      </w:r>
      <w:r w:rsidR="00032B9E" w:rsidRPr="00CC5550">
        <w:rPr>
          <w:b/>
          <w:bCs/>
          <w:i/>
          <w:szCs w:val="24"/>
          <w:lang w:val="fr-FR"/>
        </w:rPr>
        <w:t>et office ou cette organisation doit disposer d</w:t>
      </w:r>
      <w:r w:rsidRPr="00CC5550">
        <w:rPr>
          <w:b/>
          <w:bCs/>
          <w:i/>
          <w:szCs w:val="24"/>
          <w:lang w:val="fr-FR"/>
        </w:rPr>
        <w:t>’</w:t>
      </w:r>
      <w:r w:rsidR="00032B9E" w:rsidRPr="00CC5550">
        <w:rPr>
          <w:b/>
          <w:bCs/>
          <w:i/>
          <w:szCs w:val="24"/>
          <w:lang w:val="fr-FR"/>
        </w:rPr>
        <w:t>un personnel capable de procéder à la recherche et à l</w:t>
      </w:r>
      <w:r w:rsidRPr="00CC5550">
        <w:rPr>
          <w:b/>
          <w:bCs/>
          <w:i/>
          <w:szCs w:val="24"/>
          <w:lang w:val="fr-FR"/>
        </w:rPr>
        <w:t>’</w:t>
      </w:r>
      <w:r w:rsidR="00032B9E" w:rsidRPr="00CC5550">
        <w:rPr>
          <w:b/>
          <w:bCs/>
          <w:i/>
          <w:szCs w:val="24"/>
          <w:lang w:val="fr-FR"/>
        </w:rPr>
        <w:t xml:space="preserve">examen dans les domaines techniques sur lesquels la recherche doit porter et possédant les connaissances linguistiques nécessaires à la compréhension au moins des langues dans lesquelles la documentation minimale de la </w:t>
      </w:r>
      <w:r w:rsidRPr="00CC5550">
        <w:rPr>
          <w:b/>
          <w:bCs/>
          <w:i/>
          <w:szCs w:val="24"/>
          <w:lang w:val="fr-FR"/>
        </w:rPr>
        <w:t>règle 3</w:t>
      </w:r>
      <w:r w:rsidR="00CC5550">
        <w:rPr>
          <w:b/>
          <w:bCs/>
          <w:i/>
          <w:szCs w:val="24"/>
          <w:lang w:val="fr-FR"/>
        </w:rPr>
        <w:t>4 est rédigée ou traduite.</w:t>
      </w:r>
    </w:p>
    <w:p w:rsidR="00891762" w:rsidRPr="00CC5550" w:rsidRDefault="00891762" w:rsidP="00CC5550">
      <w:pPr>
        <w:rPr>
          <w:szCs w:val="22"/>
          <w:lang w:val="fr-FR"/>
        </w:rPr>
      </w:pPr>
    </w:p>
    <w:p w:rsidR="00ED786D" w:rsidRPr="00CC5550" w:rsidRDefault="00CB148E" w:rsidP="00CC5550">
      <w:pPr>
        <w:keepNext/>
        <w:keepLines/>
        <w:rPr>
          <w:b/>
          <w:szCs w:val="22"/>
          <w:lang w:val="fr-FR"/>
        </w:rPr>
      </w:pPr>
      <w:r w:rsidRPr="00CC5550">
        <w:rPr>
          <w:b/>
          <w:szCs w:val="22"/>
          <w:lang w:val="fr-FR"/>
        </w:rPr>
        <w:t>Langues</w:t>
      </w:r>
      <w:r w:rsidR="00032B9E" w:rsidRPr="00CC5550">
        <w:rPr>
          <w:b/>
          <w:szCs w:val="22"/>
          <w:lang w:val="fr-FR"/>
        </w:rPr>
        <w:t xml:space="preserve"> dans lesquelles les demandes nationales peuvent être déposées et traitées</w:t>
      </w:r>
      <w:r w:rsidR="006C39C7" w:rsidRPr="00CC5550">
        <w:rPr>
          <w:b/>
          <w:szCs w:val="22"/>
          <w:lang w:val="fr-FR"/>
        </w:rPr>
        <w:t> </w:t>
      </w:r>
      <w:r w:rsidR="00032B9E" w:rsidRPr="00CC5550">
        <w:rPr>
          <w:b/>
          <w:szCs w:val="22"/>
          <w:lang w:val="fr-FR"/>
        </w:rPr>
        <w:t>:</w:t>
      </w:r>
    </w:p>
    <w:p w:rsidR="00891762" w:rsidRPr="00CC5550" w:rsidRDefault="00F350DD" w:rsidP="00CC5550">
      <w:pPr>
        <w:keepNext/>
        <w:keepLines/>
        <w:rPr>
          <w:lang w:val="fr-FR"/>
        </w:rPr>
      </w:pPr>
      <w:r w:rsidRPr="00CC5550">
        <w:rPr>
          <w:lang w:val="fr-FR"/>
        </w:rPr>
        <w:t>S</w:t>
      </w:r>
      <w:r w:rsidR="00CB148E" w:rsidRPr="00CC5550">
        <w:rPr>
          <w:lang w:val="fr-FR"/>
        </w:rPr>
        <w:t>uédois</w:t>
      </w:r>
      <w:r w:rsidR="00032B9E" w:rsidRPr="00CC5550">
        <w:rPr>
          <w:lang w:val="fr-FR"/>
        </w:rPr>
        <w:t>, anglais.</w:t>
      </w:r>
    </w:p>
    <w:p w:rsidR="00891762" w:rsidRPr="00CC5550" w:rsidRDefault="00032B9E" w:rsidP="00CC5550">
      <w:pPr>
        <w:rPr>
          <w:bCs/>
          <w:lang w:val="fr-FR"/>
        </w:rPr>
      </w:pPr>
      <w:r w:rsidRPr="00CC5550">
        <w:rPr>
          <w:bCs/>
          <w:lang w:val="fr-FR"/>
        </w:rPr>
        <w:t xml:space="preserve">Les demandes déposées dans une langue scandinave sont acceptées, voir </w:t>
      </w:r>
      <w:r w:rsidR="00ED786D" w:rsidRPr="00CC5550">
        <w:rPr>
          <w:bCs/>
          <w:lang w:val="fr-FR"/>
        </w:rPr>
        <w:t>point 3</w:t>
      </w:r>
      <w:r w:rsidRPr="00CC5550">
        <w:rPr>
          <w:bCs/>
          <w:lang w:val="fr-FR"/>
        </w:rPr>
        <w:t xml:space="preserve"> ci</w:t>
      </w:r>
      <w:r w:rsidR="00F350DD" w:rsidRPr="00CC5550">
        <w:rPr>
          <w:bCs/>
          <w:lang w:val="fr-FR"/>
        </w:rPr>
        <w:noBreakHyphen/>
      </w:r>
      <w:r w:rsidRPr="00CC5550">
        <w:rPr>
          <w:bCs/>
          <w:lang w:val="fr-FR"/>
        </w:rPr>
        <w:t>après.</w:t>
      </w:r>
    </w:p>
    <w:p w:rsidR="00891762" w:rsidRPr="00CC5550" w:rsidRDefault="00891762" w:rsidP="00CC5550">
      <w:pPr>
        <w:rPr>
          <w:szCs w:val="22"/>
          <w:lang w:val="fr-FR"/>
        </w:rPr>
      </w:pPr>
    </w:p>
    <w:p w:rsidR="00ED786D" w:rsidRPr="00CC5550" w:rsidRDefault="0033010E" w:rsidP="00CC5550">
      <w:pPr>
        <w:rPr>
          <w:b/>
          <w:szCs w:val="22"/>
          <w:lang w:val="fr-FR"/>
        </w:rPr>
      </w:pPr>
      <w:r w:rsidRPr="00CC5550">
        <w:rPr>
          <w:b/>
          <w:szCs w:val="22"/>
          <w:lang w:val="fr-FR"/>
        </w:rPr>
        <w:t>Autres langues maîtrisées par un grand nombre d</w:t>
      </w:r>
      <w:r w:rsidR="00ED786D" w:rsidRPr="00CC5550">
        <w:rPr>
          <w:b/>
          <w:szCs w:val="22"/>
          <w:lang w:val="fr-FR"/>
        </w:rPr>
        <w:t>’</w:t>
      </w:r>
      <w:r w:rsidRPr="00CC5550">
        <w:rPr>
          <w:b/>
          <w:szCs w:val="22"/>
          <w:lang w:val="fr-FR"/>
        </w:rPr>
        <w:t>examinateurs</w:t>
      </w:r>
      <w:r w:rsidR="006C39C7" w:rsidRPr="00CC5550">
        <w:rPr>
          <w:b/>
          <w:szCs w:val="22"/>
          <w:lang w:val="fr-FR"/>
        </w:rPr>
        <w:t> </w:t>
      </w:r>
      <w:r w:rsidRPr="00CC5550">
        <w:rPr>
          <w:b/>
          <w:szCs w:val="22"/>
          <w:lang w:val="fr-FR"/>
        </w:rPr>
        <w:t>:</w:t>
      </w:r>
    </w:p>
    <w:p w:rsidR="00891762" w:rsidRPr="00CC5550" w:rsidRDefault="00F350DD" w:rsidP="00CC5550">
      <w:pPr>
        <w:rPr>
          <w:lang w:val="fr-FR"/>
        </w:rPr>
      </w:pPr>
      <w:r w:rsidRPr="00CC5550">
        <w:rPr>
          <w:lang w:val="fr-FR"/>
        </w:rPr>
        <w:t>A</w:t>
      </w:r>
      <w:r w:rsidR="00CB148E" w:rsidRPr="00CC5550">
        <w:rPr>
          <w:lang w:val="fr-FR"/>
        </w:rPr>
        <w:t>llemand</w:t>
      </w:r>
      <w:r w:rsidR="0033010E" w:rsidRPr="00CC5550">
        <w:rPr>
          <w:lang w:val="fr-FR"/>
        </w:rPr>
        <w:t>, français.</w:t>
      </w:r>
    </w:p>
    <w:p w:rsidR="00891762" w:rsidRPr="00CC5550" w:rsidRDefault="00891762" w:rsidP="00CC5550">
      <w:pPr>
        <w:rPr>
          <w:szCs w:val="22"/>
          <w:lang w:val="fr-FR"/>
        </w:rPr>
      </w:pPr>
    </w:p>
    <w:p w:rsidR="00ED786D" w:rsidRPr="00CC5550" w:rsidRDefault="008B144F" w:rsidP="00CC5550">
      <w:pPr>
        <w:rPr>
          <w:b/>
          <w:szCs w:val="22"/>
          <w:lang w:val="fr-FR"/>
        </w:rPr>
      </w:pPr>
      <w:r w:rsidRPr="00CC5550">
        <w:rPr>
          <w:b/>
          <w:szCs w:val="22"/>
          <w:lang w:val="fr-FR"/>
        </w:rPr>
        <w:t>Services proposés pour faciliter la recherche ou mieux comprendre l</w:t>
      </w:r>
      <w:r w:rsidR="00ED786D" w:rsidRPr="00CC5550">
        <w:rPr>
          <w:b/>
          <w:szCs w:val="22"/>
          <w:lang w:val="fr-FR"/>
        </w:rPr>
        <w:t>’</w:t>
      </w:r>
      <w:r w:rsidRPr="00CC5550">
        <w:rPr>
          <w:b/>
          <w:szCs w:val="22"/>
          <w:lang w:val="fr-FR"/>
        </w:rPr>
        <w:t>état de la technique dans d</w:t>
      </w:r>
      <w:r w:rsidR="00ED786D" w:rsidRPr="00CC5550">
        <w:rPr>
          <w:b/>
          <w:szCs w:val="22"/>
          <w:lang w:val="fr-FR"/>
        </w:rPr>
        <w:t>’</w:t>
      </w:r>
      <w:r w:rsidRPr="00CC5550">
        <w:rPr>
          <w:b/>
          <w:szCs w:val="22"/>
          <w:lang w:val="fr-FR"/>
        </w:rPr>
        <w:t xml:space="preserve">autres </w:t>
      </w:r>
      <w:r w:rsidR="0033010E" w:rsidRPr="00CC5550">
        <w:rPr>
          <w:b/>
          <w:szCs w:val="22"/>
          <w:lang w:val="fr-FR"/>
        </w:rPr>
        <w:t>langues</w:t>
      </w:r>
      <w:r w:rsidR="006C39C7" w:rsidRPr="00CC5550">
        <w:rPr>
          <w:b/>
          <w:szCs w:val="22"/>
          <w:lang w:val="fr-FR"/>
        </w:rPr>
        <w:t> </w:t>
      </w:r>
      <w:r w:rsidR="0033010E" w:rsidRPr="00CC5550">
        <w:rPr>
          <w:b/>
          <w:szCs w:val="22"/>
          <w:lang w:val="fr-FR"/>
        </w:rPr>
        <w:t>:</w:t>
      </w:r>
    </w:p>
    <w:p w:rsidR="00891762" w:rsidRPr="00CC5550" w:rsidRDefault="00F350DD" w:rsidP="00CC5550">
      <w:pPr>
        <w:rPr>
          <w:lang w:val="fr-FR"/>
        </w:rPr>
      </w:pPr>
      <w:r w:rsidRPr="00CC5550">
        <w:rPr>
          <w:lang w:val="fr-FR"/>
        </w:rPr>
        <w:t>S</w:t>
      </w:r>
      <w:r w:rsidR="0033010E" w:rsidRPr="00CC5550">
        <w:rPr>
          <w:lang w:val="fr-FR"/>
        </w:rPr>
        <w:t>ystèmes de traduction, CPMT, K</w:t>
      </w:r>
      <w:r w:rsidRPr="00CC5550">
        <w:rPr>
          <w:lang w:val="fr-FR"/>
        </w:rPr>
        <w:noBreakHyphen/>
      </w:r>
      <w:r w:rsidR="0033010E" w:rsidRPr="00CC5550">
        <w:rPr>
          <w:lang w:val="fr-FR"/>
        </w:rPr>
        <w:t>PION, PAJ.</w:t>
      </w:r>
    </w:p>
    <w:p w:rsidR="00F350DD" w:rsidRPr="00CC5550" w:rsidRDefault="00F350DD" w:rsidP="00CC5550">
      <w:pPr>
        <w:rPr>
          <w:szCs w:val="22"/>
          <w:lang w:val="fr-FR"/>
        </w:rPr>
      </w:pPr>
    </w:p>
    <w:p w:rsidR="00891762" w:rsidRPr="00CC5550" w:rsidRDefault="0033010E" w:rsidP="00CC5550">
      <w:pPr>
        <w:pStyle w:val="SectionHeading"/>
      </w:pPr>
      <w:r w:rsidRPr="00CC5550">
        <w:t xml:space="preserve">2.2 </w:t>
      </w:r>
      <w:r w:rsidR="00F350DD" w:rsidRPr="00CC5550">
        <w:t xml:space="preserve">– </w:t>
      </w:r>
      <w:r w:rsidRPr="00CC5550">
        <w:t>Gestion de la qualité</w:t>
      </w:r>
    </w:p>
    <w:p w:rsidR="00891762" w:rsidRPr="00CC5550" w:rsidRDefault="00ED786D" w:rsidP="00CC5550">
      <w:pPr>
        <w:rPr>
          <w:b/>
          <w:bCs/>
          <w:i/>
          <w:lang w:val="fr-FR"/>
        </w:rPr>
      </w:pPr>
      <w:r w:rsidRPr="00CC5550">
        <w:rPr>
          <w:b/>
          <w:bCs/>
          <w:i/>
          <w:lang w:val="fr-FR"/>
        </w:rPr>
        <w:t>Règles 3</w:t>
      </w:r>
      <w:r w:rsidR="0033010E" w:rsidRPr="00CC5550">
        <w:rPr>
          <w:b/>
          <w:bCs/>
          <w:i/>
          <w:lang w:val="fr-FR"/>
        </w:rPr>
        <w:t>6.1.iv) et 63.1.iv)</w:t>
      </w:r>
      <w:r w:rsidR="006C39C7" w:rsidRPr="00CC5550">
        <w:rPr>
          <w:b/>
          <w:bCs/>
          <w:i/>
          <w:lang w:val="fr-FR"/>
        </w:rPr>
        <w:t> :</w:t>
      </w:r>
      <w:r w:rsidR="008B144F" w:rsidRPr="00CC5550">
        <w:rPr>
          <w:b/>
          <w:bCs/>
          <w:i/>
          <w:lang w:val="fr-FR"/>
        </w:rPr>
        <w:t xml:space="preserve"> c</w:t>
      </w:r>
      <w:r w:rsidR="0033010E" w:rsidRPr="00CC5550">
        <w:rPr>
          <w:b/>
          <w:bCs/>
          <w:i/>
          <w:lang w:val="fr-FR"/>
        </w:rPr>
        <w:t>et office ou cette organisation doit disposer d</w:t>
      </w:r>
      <w:r w:rsidRPr="00CC5550">
        <w:rPr>
          <w:b/>
          <w:bCs/>
          <w:i/>
          <w:lang w:val="fr-FR"/>
        </w:rPr>
        <w:t>’</w:t>
      </w:r>
      <w:r w:rsidR="0033010E" w:rsidRPr="00CC5550">
        <w:rPr>
          <w:b/>
          <w:bCs/>
          <w:i/>
          <w:lang w:val="fr-FR"/>
        </w:rPr>
        <w:t>un système de gestion de la qualité et de dispositions internes en matière d</w:t>
      </w:r>
      <w:r w:rsidRPr="00CC5550">
        <w:rPr>
          <w:b/>
          <w:bCs/>
          <w:i/>
          <w:lang w:val="fr-FR"/>
        </w:rPr>
        <w:t>’</w:t>
      </w:r>
      <w:r w:rsidR="0033010E" w:rsidRPr="00CC5550">
        <w:rPr>
          <w:b/>
          <w:bCs/>
          <w:i/>
          <w:lang w:val="fr-FR"/>
        </w:rPr>
        <w:t>évaluation conformément aux règles communes de la recherche internationale.</w:t>
      </w:r>
    </w:p>
    <w:p w:rsidR="00891762" w:rsidRPr="00CC5550" w:rsidRDefault="00891762" w:rsidP="00CC5550">
      <w:pPr>
        <w:rPr>
          <w:b/>
          <w:bCs/>
          <w:szCs w:val="22"/>
          <w:lang w:val="fr-FR"/>
        </w:rPr>
      </w:pPr>
    </w:p>
    <w:p w:rsidR="00ED786D" w:rsidRPr="00CC5550" w:rsidRDefault="00CE60DD" w:rsidP="00CC5550">
      <w:pPr>
        <w:rPr>
          <w:bCs/>
          <w:lang w:val="fr-FR"/>
        </w:rPr>
      </w:pPr>
      <w:r w:rsidRPr="00CC5550">
        <w:rPr>
          <w:bCs/>
          <w:lang w:val="fr-FR"/>
        </w:rPr>
        <w:t>L</w:t>
      </w:r>
      <w:r w:rsidR="00ED786D" w:rsidRPr="00CC5550">
        <w:rPr>
          <w:bCs/>
          <w:lang w:val="fr-FR"/>
        </w:rPr>
        <w:t>’</w:t>
      </w:r>
      <w:r w:rsidRPr="00CC5550">
        <w:rPr>
          <w:bCs/>
          <w:lang w:val="fr-FR"/>
        </w:rPr>
        <w:t>Office suédois des brevets et de l</w:t>
      </w:r>
      <w:r w:rsidR="00ED786D" w:rsidRPr="00CC5550">
        <w:rPr>
          <w:bCs/>
          <w:lang w:val="fr-FR"/>
        </w:rPr>
        <w:t>’</w:t>
      </w:r>
      <w:r w:rsidRPr="00CC5550">
        <w:rPr>
          <w:bCs/>
          <w:lang w:val="fr-FR"/>
        </w:rPr>
        <w:t xml:space="preserve">enregistrement </w:t>
      </w:r>
      <w:r w:rsidR="003F5D6D" w:rsidRPr="00CC5550">
        <w:rPr>
          <w:bCs/>
          <w:lang w:val="fr-FR"/>
        </w:rPr>
        <w:t>est depuis longtemps connu pour la qualité de son travail et il respecte les normes internationales en matière</w:t>
      </w:r>
      <w:r w:rsidR="00A8418E" w:rsidRPr="00CC5550">
        <w:rPr>
          <w:bCs/>
          <w:lang w:val="fr-FR"/>
        </w:rPr>
        <w:t xml:space="preserve"> </w:t>
      </w:r>
      <w:r w:rsidR="003F5D6D" w:rsidRPr="00CC5550">
        <w:rPr>
          <w:bCs/>
          <w:lang w:val="fr-FR"/>
        </w:rPr>
        <w:t>de gestion de la qualité depuis la moitié des années</w:t>
      </w:r>
      <w:r w:rsidR="006C39C7" w:rsidRPr="00CC5550">
        <w:rPr>
          <w:bCs/>
          <w:lang w:val="fr-FR"/>
        </w:rPr>
        <w:t xml:space="preserve"> 90. </w:t>
      </w:r>
      <w:r w:rsidR="003F5D6D" w:rsidRPr="00CC5550">
        <w:rPr>
          <w:bCs/>
          <w:lang w:val="fr-FR"/>
        </w:rPr>
        <w:t xml:space="preserve"> À la fin </w:t>
      </w:r>
      <w:r w:rsidR="009F0B9A" w:rsidRPr="00CC5550">
        <w:rPr>
          <w:bCs/>
          <w:lang w:val="fr-FR"/>
        </w:rPr>
        <w:t>de cette décennie</w:t>
      </w:r>
      <w:r w:rsidR="003F5D6D" w:rsidRPr="00CC5550">
        <w:rPr>
          <w:bCs/>
          <w:lang w:val="fr-FR"/>
        </w:rPr>
        <w:t>, nous avons adapté nos</w:t>
      </w:r>
      <w:r w:rsidR="00A8418E" w:rsidRPr="00CC5550">
        <w:rPr>
          <w:bCs/>
          <w:lang w:val="fr-FR"/>
        </w:rPr>
        <w:t xml:space="preserve"> </w:t>
      </w:r>
      <w:r w:rsidR="003F5D6D" w:rsidRPr="00CC5550">
        <w:rPr>
          <w:bCs/>
          <w:lang w:val="fr-FR"/>
        </w:rPr>
        <w:t>procédures relatives à l</w:t>
      </w:r>
      <w:r w:rsidR="00ED786D" w:rsidRPr="00CC5550">
        <w:rPr>
          <w:bCs/>
          <w:lang w:val="fr-FR"/>
        </w:rPr>
        <w:t>’</w:t>
      </w:r>
      <w:r w:rsidR="003F5D6D" w:rsidRPr="00CC5550">
        <w:rPr>
          <w:bCs/>
          <w:lang w:val="fr-FR"/>
        </w:rPr>
        <w:t>octroi de breve</w:t>
      </w:r>
      <w:r w:rsidR="00CB148E" w:rsidRPr="00CC5550">
        <w:rPr>
          <w:bCs/>
          <w:lang w:val="fr-FR"/>
        </w:rPr>
        <w:t>ts</w:t>
      </w:r>
      <w:r w:rsidR="003F5D6D" w:rsidRPr="00CC5550">
        <w:rPr>
          <w:bCs/>
          <w:lang w:val="fr-FR"/>
        </w:rPr>
        <w:t xml:space="preserve"> aux principes de gestion de la qualité totale et nous avons aussi commencé à travailler avec des</w:t>
      </w:r>
      <w:r w:rsidR="00A8418E" w:rsidRPr="00CC5550">
        <w:rPr>
          <w:bCs/>
          <w:lang w:val="fr-FR"/>
        </w:rPr>
        <w:t xml:space="preserve"> plans </w:t>
      </w:r>
      <w:r w:rsidR="001135C1" w:rsidRPr="00CC5550">
        <w:rPr>
          <w:bCs/>
          <w:lang w:val="fr-FR"/>
        </w:rPr>
        <w:t>d</w:t>
      </w:r>
      <w:r w:rsidR="00ED786D" w:rsidRPr="00CC5550">
        <w:rPr>
          <w:bCs/>
          <w:lang w:val="fr-FR"/>
        </w:rPr>
        <w:t>’</w:t>
      </w:r>
      <w:r w:rsidR="001135C1" w:rsidRPr="00CC5550">
        <w:rPr>
          <w:bCs/>
          <w:lang w:val="fr-FR"/>
        </w:rPr>
        <w:t>amélioration continue et une évaluation</w:t>
      </w:r>
      <w:r w:rsidR="009F0B9A" w:rsidRPr="00CC5550">
        <w:rPr>
          <w:bCs/>
          <w:lang w:val="fr-FR"/>
        </w:rPr>
        <w:t>,</w:t>
      </w:r>
      <w:r w:rsidR="001135C1" w:rsidRPr="00CC5550">
        <w:rPr>
          <w:bCs/>
          <w:lang w:val="fr-FR"/>
        </w:rPr>
        <w:t xml:space="preserve"> en utilisant le</w:t>
      </w:r>
      <w:r w:rsidR="00A8418E" w:rsidRPr="00CC5550">
        <w:rPr>
          <w:bCs/>
          <w:lang w:val="fr-FR"/>
        </w:rPr>
        <w:t xml:space="preserve"> </w:t>
      </w:r>
      <w:r w:rsidR="001135C1" w:rsidRPr="00CC5550">
        <w:rPr>
          <w:bCs/>
          <w:lang w:val="fr-FR"/>
        </w:rPr>
        <w:t>Cadre commun d</w:t>
      </w:r>
      <w:r w:rsidR="00ED786D" w:rsidRPr="00CC5550">
        <w:rPr>
          <w:bCs/>
          <w:lang w:val="fr-FR"/>
        </w:rPr>
        <w:t>’</w:t>
      </w:r>
      <w:r w:rsidR="001135C1" w:rsidRPr="00CC5550">
        <w:rPr>
          <w:bCs/>
          <w:lang w:val="fr-FR"/>
        </w:rPr>
        <w:t>évaluati</w:t>
      </w:r>
      <w:r w:rsidR="00CA574B" w:rsidRPr="00CC5550">
        <w:rPr>
          <w:bCs/>
          <w:lang w:val="fr-FR"/>
        </w:rPr>
        <w:t>on.  En</w:t>
      </w:r>
      <w:r w:rsidR="00ED786D" w:rsidRPr="00CC5550">
        <w:rPr>
          <w:bCs/>
          <w:lang w:val="fr-FR"/>
        </w:rPr>
        <w:t> 2006</w:t>
      </w:r>
      <w:r w:rsidR="001135C1" w:rsidRPr="00CC5550">
        <w:rPr>
          <w:bCs/>
          <w:lang w:val="fr-FR"/>
        </w:rPr>
        <w:t>, l</w:t>
      </w:r>
      <w:r w:rsidR="00ED786D" w:rsidRPr="00CC5550">
        <w:rPr>
          <w:bCs/>
          <w:lang w:val="fr-FR"/>
        </w:rPr>
        <w:t>’</w:t>
      </w:r>
      <w:r w:rsidR="001135C1" w:rsidRPr="00CC5550">
        <w:rPr>
          <w:bCs/>
          <w:lang w:val="fr-FR"/>
        </w:rPr>
        <w:t>Office suédois des brevets et de l</w:t>
      </w:r>
      <w:r w:rsidR="00ED786D" w:rsidRPr="00CC5550">
        <w:rPr>
          <w:bCs/>
          <w:lang w:val="fr-FR"/>
        </w:rPr>
        <w:t>’</w:t>
      </w:r>
      <w:r w:rsidR="001135C1" w:rsidRPr="00CC5550">
        <w:rPr>
          <w:bCs/>
          <w:lang w:val="fr-FR"/>
        </w:rPr>
        <w:t>enregistrement a décidé de commencer à utiliser</w:t>
      </w:r>
      <w:r w:rsidR="00A8418E" w:rsidRPr="00CC5550">
        <w:rPr>
          <w:bCs/>
          <w:lang w:val="fr-FR"/>
        </w:rPr>
        <w:t xml:space="preserve"> </w:t>
      </w:r>
      <w:r w:rsidR="001135C1" w:rsidRPr="00CC5550">
        <w:rPr>
          <w:bCs/>
          <w:lang w:val="fr-FR"/>
        </w:rPr>
        <w:t>la norme</w:t>
      </w:r>
      <w:r w:rsidR="006C39C7" w:rsidRPr="00CC5550">
        <w:rPr>
          <w:bCs/>
          <w:lang w:val="fr-FR"/>
        </w:rPr>
        <w:t> </w:t>
      </w:r>
      <w:r w:rsidR="00A8418E" w:rsidRPr="00CC5550">
        <w:rPr>
          <w:bCs/>
          <w:lang w:val="fr-FR"/>
        </w:rPr>
        <w:t>ISO</w:t>
      </w:r>
      <w:r w:rsidR="00570030" w:rsidRPr="00CC5550">
        <w:rPr>
          <w:bCs/>
          <w:lang w:val="fr-FR"/>
        </w:rPr>
        <w:t> </w:t>
      </w:r>
      <w:r w:rsidR="00A8418E" w:rsidRPr="00CC5550">
        <w:rPr>
          <w:bCs/>
          <w:lang w:val="fr-FR"/>
        </w:rPr>
        <w:t xml:space="preserve">9001:2000 </w:t>
      </w:r>
      <w:r w:rsidR="001135C1" w:rsidRPr="00CC5550">
        <w:rPr>
          <w:bCs/>
          <w:lang w:val="fr-FR"/>
        </w:rPr>
        <w:t>de gestion de la qualité, et l</w:t>
      </w:r>
      <w:r w:rsidR="00ED786D" w:rsidRPr="00CC5550">
        <w:rPr>
          <w:bCs/>
          <w:lang w:val="fr-FR"/>
        </w:rPr>
        <w:t>’</w:t>
      </w:r>
      <w:r w:rsidR="001135C1" w:rsidRPr="00CC5550">
        <w:rPr>
          <w:bCs/>
          <w:lang w:val="fr-FR"/>
        </w:rPr>
        <w:t>ensemble de l</w:t>
      </w:r>
      <w:r w:rsidR="00ED786D" w:rsidRPr="00CC5550">
        <w:rPr>
          <w:bCs/>
          <w:lang w:val="fr-FR"/>
        </w:rPr>
        <w:t>’</w:t>
      </w:r>
      <w:r w:rsidR="00A8418E" w:rsidRPr="00CC5550">
        <w:rPr>
          <w:bCs/>
          <w:lang w:val="fr-FR"/>
        </w:rPr>
        <w:t xml:space="preserve">office </w:t>
      </w:r>
      <w:r w:rsidR="001135C1" w:rsidRPr="00CC5550">
        <w:rPr>
          <w:bCs/>
          <w:lang w:val="fr-FR"/>
        </w:rPr>
        <w:t xml:space="preserve">et des procédures, </w:t>
      </w:r>
      <w:r w:rsidR="00ED786D" w:rsidRPr="00CC5550">
        <w:rPr>
          <w:bCs/>
          <w:lang w:val="fr-FR"/>
        </w:rPr>
        <w:t>y compris</w:t>
      </w:r>
      <w:r w:rsidR="001135C1" w:rsidRPr="00CC5550">
        <w:rPr>
          <w:bCs/>
          <w:lang w:val="fr-FR"/>
        </w:rPr>
        <w:t xml:space="preserve"> bien sûr les procédures </w:t>
      </w:r>
      <w:r w:rsidR="009F0B9A" w:rsidRPr="00CC5550">
        <w:rPr>
          <w:bCs/>
          <w:lang w:val="fr-FR"/>
        </w:rPr>
        <w:t xml:space="preserve">nationales et internationales </w:t>
      </w:r>
      <w:r w:rsidR="001135C1" w:rsidRPr="00CC5550">
        <w:rPr>
          <w:bCs/>
          <w:lang w:val="fr-FR"/>
        </w:rPr>
        <w:t>d</w:t>
      </w:r>
      <w:r w:rsidR="00ED786D" w:rsidRPr="00CC5550">
        <w:rPr>
          <w:bCs/>
          <w:lang w:val="fr-FR"/>
        </w:rPr>
        <w:t>’</w:t>
      </w:r>
      <w:r w:rsidR="001135C1" w:rsidRPr="00CC5550">
        <w:rPr>
          <w:bCs/>
          <w:lang w:val="fr-FR"/>
        </w:rPr>
        <w:t xml:space="preserve">octroi de brevets </w:t>
      </w:r>
      <w:r w:rsidR="00A8418E" w:rsidRPr="00CC5550">
        <w:rPr>
          <w:bCs/>
          <w:lang w:val="fr-FR"/>
        </w:rPr>
        <w:t xml:space="preserve">(PCT), </w:t>
      </w:r>
      <w:r w:rsidR="0073252C" w:rsidRPr="00CC5550">
        <w:rPr>
          <w:bCs/>
          <w:lang w:val="fr-FR"/>
        </w:rPr>
        <w:t>ont</w:t>
      </w:r>
      <w:r w:rsidR="003E3897" w:rsidRPr="00CC5550">
        <w:rPr>
          <w:bCs/>
          <w:lang w:val="fr-FR"/>
        </w:rPr>
        <w:t xml:space="preserve"> été</w:t>
      </w:r>
      <w:r w:rsidR="001135C1" w:rsidRPr="00CC5550">
        <w:rPr>
          <w:bCs/>
          <w:lang w:val="fr-FR"/>
        </w:rPr>
        <w:t xml:space="preserve"> certifié</w:t>
      </w:r>
      <w:r w:rsidR="0073252C" w:rsidRPr="00CC5550">
        <w:rPr>
          <w:bCs/>
          <w:lang w:val="fr-FR"/>
        </w:rPr>
        <w:t>s</w:t>
      </w:r>
      <w:r w:rsidR="001135C1" w:rsidRPr="00CC5550">
        <w:rPr>
          <w:bCs/>
          <w:lang w:val="fr-FR"/>
        </w:rPr>
        <w:t xml:space="preserve"> selon la norme</w:t>
      </w:r>
      <w:r w:rsidR="006C39C7" w:rsidRPr="00CC5550">
        <w:rPr>
          <w:bCs/>
          <w:lang w:val="fr-FR"/>
        </w:rPr>
        <w:t> </w:t>
      </w:r>
      <w:r w:rsidR="00A8418E" w:rsidRPr="00CC5550">
        <w:rPr>
          <w:bCs/>
          <w:lang w:val="fr-FR"/>
        </w:rPr>
        <w:t>ISO</w:t>
      </w:r>
      <w:r w:rsidR="00570030" w:rsidRPr="00CC5550">
        <w:rPr>
          <w:bCs/>
          <w:lang w:val="fr-FR"/>
        </w:rPr>
        <w:t> </w:t>
      </w:r>
      <w:r w:rsidR="00A8418E" w:rsidRPr="00CC5550">
        <w:rPr>
          <w:bCs/>
          <w:lang w:val="fr-FR"/>
        </w:rPr>
        <w:t xml:space="preserve">9001 </w:t>
      </w:r>
      <w:r w:rsidR="003E3897" w:rsidRPr="00CC5550">
        <w:rPr>
          <w:bCs/>
          <w:lang w:val="fr-FR"/>
        </w:rPr>
        <w:t xml:space="preserve">en </w:t>
      </w:r>
      <w:r w:rsidR="00ED786D" w:rsidRPr="00CC5550">
        <w:rPr>
          <w:bCs/>
          <w:lang w:val="fr-FR"/>
        </w:rPr>
        <w:t>octobre 20</w:t>
      </w:r>
      <w:r w:rsidR="00A8418E" w:rsidRPr="00CC5550">
        <w:rPr>
          <w:bCs/>
          <w:lang w:val="fr-FR"/>
        </w:rPr>
        <w:t>07.</w:t>
      </w:r>
    </w:p>
    <w:p w:rsidR="00891762" w:rsidRPr="00CC5550" w:rsidRDefault="00891762" w:rsidP="00CC5550">
      <w:pPr>
        <w:rPr>
          <w:bCs/>
          <w:lang w:val="fr-FR"/>
        </w:rPr>
      </w:pPr>
    </w:p>
    <w:p w:rsidR="00891762" w:rsidRPr="00CC5550" w:rsidRDefault="00ED786D" w:rsidP="00CC5550">
      <w:pPr>
        <w:rPr>
          <w:bCs/>
          <w:i/>
          <w:lang w:val="fr-FR"/>
        </w:rPr>
      </w:pPr>
      <w:r w:rsidRPr="00CC5550">
        <w:rPr>
          <w:bCs/>
          <w:lang w:val="fr-FR"/>
        </w:rPr>
        <w:t>En 2015</w:t>
      </w:r>
      <w:r w:rsidR="003E3897" w:rsidRPr="00CC5550">
        <w:rPr>
          <w:bCs/>
          <w:lang w:val="fr-FR"/>
        </w:rPr>
        <w:t>,</w:t>
      </w:r>
      <w:r w:rsidR="00A8418E" w:rsidRPr="00CC5550">
        <w:rPr>
          <w:bCs/>
          <w:lang w:val="fr-FR"/>
        </w:rPr>
        <w:t xml:space="preserve"> </w:t>
      </w:r>
      <w:r w:rsidR="003E3897" w:rsidRPr="00CC5550">
        <w:rPr>
          <w:bCs/>
          <w:lang w:val="fr-FR"/>
        </w:rPr>
        <w:t>nous avons procédé à notre dernier examen externe selon la norme</w:t>
      </w:r>
      <w:r w:rsidR="006C39C7" w:rsidRPr="00CC5550">
        <w:rPr>
          <w:bCs/>
          <w:lang w:val="fr-FR"/>
        </w:rPr>
        <w:t> </w:t>
      </w:r>
      <w:r w:rsidR="00A8418E" w:rsidRPr="00CC5550">
        <w:rPr>
          <w:bCs/>
          <w:lang w:val="fr-FR"/>
        </w:rPr>
        <w:t>ISO</w:t>
      </w:r>
      <w:r w:rsidR="00570030" w:rsidRPr="00CC5550">
        <w:rPr>
          <w:lang w:val="fr-FR"/>
        </w:rPr>
        <w:t> </w:t>
      </w:r>
      <w:r w:rsidR="00A8418E" w:rsidRPr="00CC5550">
        <w:rPr>
          <w:bCs/>
          <w:lang w:val="fr-FR"/>
        </w:rPr>
        <w:t xml:space="preserve">9001:2008 </w:t>
      </w:r>
      <w:r w:rsidR="003E3897" w:rsidRPr="00CC5550">
        <w:rPr>
          <w:bCs/>
          <w:lang w:val="fr-FR"/>
        </w:rPr>
        <w:t xml:space="preserve">et le système de gestion de la qualité a </w:t>
      </w:r>
      <w:r w:rsidR="0073252C" w:rsidRPr="00CC5550">
        <w:rPr>
          <w:bCs/>
          <w:lang w:val="fr-FR"/>
        </w:rPr>
        <w:t xml:space="preserve">alors </w:t>
      </w:r>
      <w:r w:rsidR="003E3897" w:rsidRPr="00CC5550">
        <w:rPr>
          <w:bCs/>
          <w:lang w:val="fr-FR"/>
        </w:rPr>
        <w:t>été décrit</w:t>
      </w:r>
      <w:r w:rsidR="0073252C" w:rsidRPr="00CC5550">
        <w:rPr>
          <w:bCs/>
          <w:lang w:val="fr-FR"/>
        </w:rPr>
        <w:t xml:space="preserve"> ainsi</w:t>
      </w:r>
      <w:r w:rsidR="003E3897" w:rsidRPr="00CC5550">
        <w:rPr>
          <w:bCs/>
          <w:lang w:val="fr-FR"/>
        </w:rPr>
        <w:t xml:space="preserve"> par les examinateurs externes</w:t>
      </w:r>
      <w:r w:rsidRPr="00CC5550">
        <w:rPr>
          <w:bCs/>
          <w:lang w:val="fr-FR"/>
        </w:rPr>
        <w:t> :</w:t>
      </w:r>
      <w:r w:rsidR="00A8418E" w:rsidRPr="00CC5550">
        <w:rPr>
          <w:bCs/>
          <w:lang w:val="fr-FR"/>
        </w:rPr>
        <w:t xml:space="preserve"> </w:t>
      </w:r>
      <w:r w:rsidR="00A8418E" w:rsidRPr="00CC5550">
        <w:rPr>
          <w:bCs/>
          <w:i/>
          <w:lang w:val="fr-FR"/>
        </w:rPr>
        <w:t>“</w:t>
      </w:r>
      <w:r w:rsidR="00D05B1A" w:rsidRPr="00CC5550">
        <w:rPr>
          <w:bCs/>
          <w:i/>
          <w:lang w:val="fr-FR"/>
        </w:rPr>
        <w:t>Le système de gestion de la qualité est entièrement conforme à la norme</w:t>
      </w:r>
      <w:r w:rsidR="006C39C7" w:rsidRPr="00CC5550">
        <w:rPr>
          <w:bCs/>
          <w:i/>
          <w:lang w:val="fr-FR"/>
        </w:rPr>
        <w:t> </w:t>
      </w:r>
      <w:r w:rsidR="00D05B1A" w:rsidRPr="00CC5550">
        <w:rPr>
          <w:bCs/>
          <w:i/>
          <w:lang w:val="fr-FR"/>
        </w:rPr>
        <w:t>ISO</w:t>
      </w:r>
      <w:r w:rsidR="00F350DD" w:rsidRPr="00CC5550">
        <w:rPr>
          <w:bCs/>
          <w:i/>
          <w:lang w:val="fr-FR"/>
        </w:rPr>
        <w:t> </w:t>
      </w:r>
      <w:r w:rsidR="00D05B1A" w:rsidRPr="00CC5550">
        <w:rPr>
          <w:bCs/>
          <w:i/>
          <w:lang w:val="fr-FR"/>
        </w:rPr>
        <w:t>9001:2008, bien développé et exemplaire en termes de gestion de la qualité dans le secteur public</w:t>
      </w:r>
      <w:r w:rsidR="006C39C7" w:rsidRPr="00CC5550">
        <w:rPr>
          <w:bCs/>
          <w:i/>
          <w:lang w:val="fr-FR"/>
        </w:rPr>
        <w:t>”</w:t>
      </w:r>
      <w:r w:rsidR="00D05B1A" w:rsidRPr="00CC5550">
        <w:rPr>
          <w:bCs/>
          <w:i/>
          <w:lang w:val="fr-FR"/>
        </w:rPr>
        <w:t>.</w:t>
      </w:r>
    </w:p>
    <w:p w:rsidR="00891762" w:rsidRPr="00CC5550" w:rsidRDefault="00891762" w:rsidP="00CC5550">
      <w:pPr>
        <w:rPr>
          <w:bCs/>
          <w:lang w:val="fr-FR"/>
        </w:rPr>
      </w:pPr>
    </w:p>
    <w:p w:rsidR="00891762" w:rsidRPr="00CC5550" w:rsidRDefault="00D05B1A" w:rsidP="00CC5550">
      <w:pPr>
        <w:rPr>
          <w:bCs/>
          <w:lang w:val="fr-FR"/>
        </w:rPr>
      </w:pPr>
      <w:r w:rsidRPr="00CC5550">
        <w:rPr>
          <w:bCs/>
          <w:lang w:val="fr-FR"/>
        </w:rPr>
        <w:t xml:space="preserve">En </w:t>
      </w:r>
      <w:r w:rsidR="00ED786D" w:rsidRPr="00CC5550">
        <w:rPr>
          <w:bCs/>
          <w:lang w:val="fr-FR"/>
        </w:rPr>
        <w:t>septembre 20</w:t>
      </w:r>
      <w:r w:rsidRPr="00CC5550">
        <w:rPr>
          <w:bCs/>
          <w:lang w:val="fr-FR"/>
        </w:rPr>
        <w:t>16, l</w:t>
      </w:r>
      <w:r w:rsidR="00ED786D" w:rsidRPr="00CC5550">
        <w:rPr>
          <w:bCs/>
          <w:lang w:val="fr-FR"/>
        </w:rPr>
        <w:t>’</w:t>
      </w:r>
      <w:r w:rsidRPr="00CC5550">
        <w:rPr>
          <w:bCs/>
          <w:lang w:val="fr-FR"/>
        </w:rPr>
        <w:t>ensemble de l</w:t>
      </w:r>
      <w:r w:rsidR="00ED786D" w:rsidRPr="00CC5550">
        <w:rPr>
          <w:bCs/>
          <w:lang w:val="fr-FR"/>
        </w:rPr>
        <w:t>’</w:t>
      </w:r>
      <w:r w:rsidRPr="00CC5550">
        <w:rPr>
          <w:bCs/>
          <w:lang w:val="fr-FR"/>
        </w:rPr>
        <w:t>office a reçu un</w:t>
      </w:r>
      <w:r w:rsidR="0073252C" w:rsidRPr="00CC5550">
        <w:rPr>
          <w:bCs/>
          <w:lang w:val="fr-FR"/>
        </w:rPr>
        <w:t>e</w:t>
      </w:r>
      <w:r w:rsidRPr="00CC5550">
        <w:rPr>
          <w:bCs/>
          <w:lang w:val="fr-FR"/>
        </w:rPr>
        <w:t xml:space="preserve"> nouvelle certification conformément à la nouvelle norme</w:t>
      </w:r>
      <w:r w:rsidR="00F350DD" w:rsidRPr="00CC5550">
        <w:rPr>
          <w:bCs/>
          <w:lang w:val="fr-FR"/>
        </w:rPr>
        <w:t> </w:t>
      </w:r>
      <w:r w:rsidRPr="00CC5550">
        <w:rPr>
          <w:bCs/>
          <w:lang w:val="fr-FR"/>
        </w:rPr>
        <w:t>9001:2015.</w:t>
      </w:r>
    </w:p>
    <w:p w:rsidR="00891762" w:rsidRPr="00CC5550" w:rsidRDefault="00891762" w:rsidP="00CC5550">
      <w:pPr>
        <w:rPr>
          <w:bCs/>
          <w:lang w:val="fr-FR"/>
        </w:rPr>
      </w:pPr>
    </w:p>
    <w:p w:rsidR="00ED786D" w:rsidRPr="00CC5550" w:rsidRDefault="00FC4B92" w:rsidP="00CC5550">
      <w:pPr>
        <w:rPr>
          <w:bCs/>
          <w:lang w:val="fr-FR"/>
        </w:rPr>
      </w:pPr>
      <w:r w:rsidRPr="00CC5550">
        <w:rPr>
          <w:bCs/>
          <w:lang w:val="fr-FR"/>
        </w:rPr>
        <w:t xml:space="preserve">Les rapports sur les systèmes de gestion de la qualité réalisés </w:t>
      </w:r>
      <w:r w:rsidR="00150E26" w:rsidRPr="00CC5550">
        <w:rPr>
          <w:bCs/>
          <w:lang w:val="fr-FR"/>
        </w:rPr>
        <w:t>d</w:t>
      </w:r>
      <w:r w:rsidR="00ED786D" w:rsidRPr="00CC5550">
        <w:rPr>
          <w:bCs/>
          <w:lang w:val="fr-FR"/>
        </w:rPr>
        <w:t>’</w:t>
      </w:r>
      <w:r w:rsidR="00150E26" w:rsidRPr="00CC5550">
        <w:rPr>
          <w:bCs/>
          <w:lang w:val="fr-FR"/>
        </w:rPr>
        <w:t>après</w:t>
      </w:r>
      <w:r w:rsidR="0073252C" w:rsidRPr="00CC5550">
        <w:rPr>
          <w:bCs/>
          <w:lang w:val="fr-FR"/>
        </w:rPr>
        <w:t xml:space="preserve"> le</w:t>
      </w:r>
      <w:r w:rsidRPr="00CC5550">
        <w:rPr>
          <w:bCs/>
          <w:lang w:val="fr-FR"/>
        </w:rPr>
        <w:t xml:space="preserve"> modèle utilisé par les administrations internationales au sujet des conditions prévues par le chapitre 21 des directives concernant la recherche internationale et l</w:t>
      </w:r>
      <w:r w:rsidR="00ED786D" w:rsidRPr="00CC5550">
        <w:rPr>
          <w:bCs/>
          <w:lang w:val="fr-FR"/>
        </w:rPr>
        <w:t>’</w:t>
      </w:r>
      <w:r w:rsidRPr="00CC5550">
        <w:rPr>
          <w:bCs/>
          <w:lang w:val="fr-FR"/>
        </w:rPr>
        <w:t>examen préliminaire international selon le PCT peuvent être consultés sur le site</w:t>
      </w:r>
      <w:r w:rsidR="006C39C7" w:rsidRPr="00CC5550">
        <w:rPr>
          <w:bCs/>
          <w:lang w:val="fr-FR"/>
        </w:rPr>
        <w:t> </w:t>
      </w:r>
      <w:r w:rsidRPr="00CC5550">
        <w:rPr>
          <w:bCs/>
          <w:lang w:val="fr-FR"/>
        </w:rPr>
        <w:t>Web de l</w:t>
      </w:r>
      <w:r w:rsidR="00ED786D" w:rsidRPr="00CC5550">
        <w:rPr>
          <w:bCs/>
          <w:lang w:val="fr-FR"/>
        </w:rPr>
        <w:t>’</w:t>
      </w:r>
      <w:r w:rsidRPr="00CC5550">
        <w:rPr>
          <w:bCs/>
          <w:lang w:val="fr-FR"/>
        </w:rPr>
        <w:t xml:space="preserve">OMPI, </w:t>
      </w:r>
      <w:r w:rsidR="00C13B0F" w:rsidRPr="00CC5550">
        <w:rPr>
          <w:bCs/>
          <w:lang w:val="fr-FR"/>
        </w:rPr>
        <w:t>à l</w:t>
      </w:r>
      <w:r w:rsidR="00ED786D" w:rsidRPr="00CC5550">
        <w:rPr>
          <w:bCs/>
          <w:lang w:val="fr-FR"/>
        </w:rPr>
        <w:t>’</w:t>
      </w:r>
      <w:r w:rsidR="00C13B0F" w:rsidRPr="00CC5550">
        <w:rPr>
          <w:bCs/>
          <w:lang w:val="fr-FR"/>
        </w:rPr>
        <w:t>adresse</w:t>
      </w:r>
      <w:r w:rsidRPr="00CC5550">
        <w:rPr>
          <w:bCs/>
          <w:lang w:val="fr-FR"/>
        </w:rPr>
        <w:t xml:space="preserve"> </w:t>
      </w:r>
      <w:hyperlink r:id="rId11" w:history="1">
        <w:r w:rsidRPr="00CC5550">
          <w:rPr>
            <w:rStyle w:val="Hyperlink"/>
            <w:color w:val="auto"/>
            <w:lang w:val="fr-FR"/>
          </w:rPr>
          <w:t>http://www.wipo.int/pct/en/quality/authorities.html</w:t>
        </w:r>
      </w:hyperlink>
      <w:r w:rsidRPr="00CC5550">
        <w:rPr>
          <w:bCs/>
          <w:lang w:val="fr-FR"/>
        </w:rPr>
        <w:t>.</w:t>
      </w:r>
    </w:p>
    <w:p w:rsidR="00891762" w:rsidRPr="00CC5550" w:rsidRDefault="00891762" w:rsidP="00CC5550">
      <w:pPr>
        <w:rPr>
          <w:szCs w:val="22"/>
          <w:lang w:val="fr-FR"/>
        </w:rPr>
      </w:pPr>
    </w:p>
    <w:p w:rsidR="00891762" w:rsidRPr="00CC5550" w:rsidRDefault="00FC4B92" w:rsidP="00CC5550">
      <w:pPr>
        <w:pStyle w:val="SectionHeading"/>
      </w:pPr>
      <w:r w:rsidRPr="00CC5550">
        <w:t>3</w:t>
      </w:r>
      <w:r w:rsidR="00ED786D" w:rsidRPr="00CC5550">
        <w:t xml:space="preserve"> – </w:t>
      </w:r>
      <w:r w:rsidRPr="00CC5550">
        <w:t xml:space="preserve">Champ </w:t>
      </w:r>
      <w:r w:rsidR="00F1345D" w:rsidRPr="00CC5550">
        <w:t>d</w:t>
      </w:r>
      <w:r w:rsidR="00ED786D" w:rsidRPr="00CC5550">
        <w:t>’</w:t>
      </w:r>
      <w:r w:rsidR="00F1345D" w:rsidRPr="00CC5550">
        <w:t>application vis</w:t>
      </w:r>
      <w:r w:rsidR="00F350DD" w:rsidRPr="00CC5550">
        <w:t>é</w:t>
      </w:r>
    </w:p>
    <w:p w:rsidR="00891762" w:rsidRPr="00CC5550" w:rsidRDefault="00FC4B92" w:rsidP="00CC5550">
      <w:pPr>
        <w:rPr>
          <w:b/>
          <w:bCs/>
          <w:szCs w:val="22"/>
          <w:lang w:val="fr-FR"/>
        </w:rPr>
      </w:pPr>
      <w:r w:rsidRPr="00CC5550">
        <w:rPr>
          <w:b/>
          <w:bCs/>
          <w:szCs w:val="22"/>
          <w:lang w:val="fr-FR"/>
        </w:rPr>
        <w:t>Langues dans lesquelle</w:t>
      </w:r>
      <w:r w:rsidR="00BA5DA7" w:rsidRPr="00CC5550">
        <w:rPr>
          <w:b/>
          <w:bCs/>
          <w:szCs w:val="22"/>
          <w:lang w:val="fr-FR"/>
        </w:rPr>
        <w:t>s</w:t>
      </w:r>
      <w:r w:rsidRPr="00CC5550">
        <w:rPr>
          <w:b/>
          <w:bCs/>
          <w:szCs w:val="22"/>
          <w:lang w:val="fr-FR"/>
        </w:rPr>
        <w:t xml:space="preserve"> les services seraient proposés</w:t>
      </w:r>
      <w:r w:rsidR="006C39C7" w:rsidRPr="00CC5550">
        <w:rPr>
          <w:b/>
          <w:bCs/>
          <w:szCs w:val="22"/>
          <w:lang w:val="fr-FR"/>
        </w:rPr>
        <w:t> </w:t>
      </w:r>
      <w:r w:rsidRPr="00CC5550">
        <w:rPr>
          <w:b/>
          <w:bCs/>
          <w:szCs w:val="22"/>
          <w:lang w:val="fr-FR"/>
        </w:rPr>
        <w:t>:</w:t>
      </w:r>
    </w:p>
    <w:p w:rsidR="00891762" w:rsidRPr="00CC5550" w:rsidRDefault="00891762" w:rsidP="00CC5550">
      <w:pPr>
        <w:rPr>
          <w:b/>
          <w:bCs/>
          <w:szCs w:val="22"/>
          <w:lang w:val="fr-FR"/>
        </w:rPr>
      </w:pPr>
    </w:p>
    <w:p w:rsidR="00891762" w:rsidRPr="00CC5550" w:rsidRDefault="00F350DD" w:rsidP="00CC5550">
      <w:pPr>
        <w:rPr>
          <w:lang w:val="fr-FR"/>
        </w:rPr>
      </w:pPr>
      <w:r w:rsidRPr="00CC5550">
        <w:rPr>
          <w:lang w:val="fr-FR"/>
        </w:rPr>
        <w:t>D</w:t>
      </w:r>
      <w:r w:rsidR="00FC4B92" w:rsidRPr="00CC5550">
        <w:rPr>
          <w:lang w:val="fr-FR"/>
        </w:rPr>
        <w:t>anois, anglais, finnois, norvégien et suédois pour toutes les demandes international</w:t>
      </w:r>
      <w:r w:rsidR="00CA574B" w:rsidRPr="00CC5550">
        <w:rPr>
          <w:lang w:val="fr-FR"/>
        </w:rPr>
        <w:t>es.  Fr</w:t>
      </w:r>
      <w:r w:rsidR="00FC4B92" w:rsidRPr="00CC5550">
        <w:rPr>
          <w:lang w:val="fr-FR"/>
        </w:rPr>
        <w:t xml:space="preserve">ançais </w:t>
      </w:r>
      <w:r w:rsidR="00C13B0F" w:rsidRPr="00CC5550">
        <w:rPr>
          <w:lang w:val="fr-FR"/>
        </w:rPr>
        <w:t xml:space="preserve">également </w:t>
      </w:r>
      <w:r w:rsidR="00FC4B92" w:rsidRPr="00CC5550">
        <w:rPr>
          <w:lang w:val="fr-FR"/>
        </w:rPr>
        <w:t xml:space="preserve">dans le cas des demandes déposées par les États mentionnés au </w:t>
      </w:r>
      <w:r w:rsidR="00ED786D" w:rsidRPr="00CC5550">
        <w:rPr>
          <w:lang w:val="fr-FR"/>
        </w:rPr>
        <w:t>paragraphe b)</w:t>
      </w:r>
      <w:r w:rsidR="00FC4B92" w:rsidRPr="00CC5550">
        <w:rPr>
          <w:lang w:val="fr-FR"/>
        </w:rPr>
        <w:t xml:space="preserve"> ci</w:t>
      </w:r>
      <w:r w:rsidRPr="00CC5550">
        <w:rPr>
          <w:lang w:val="fr-FR"/>
        </w:rPr>
        <w:noBreakHyphen/>
      </w:r>
      <w:r w:rsidR="00FC4B92" w:rsidRPr="00CC5550">
        <w:rPr>
          <w:lang w:val="fr-FR"/>
        </w:rPr>
        <w:t>dessous.</w:t>
      </w:r>
    </w:p>
    <w:p w:rsidR="00891762" w:rsidRPr="00CC5550" w:rsidRDefault="00891762" w:rsidP="00CC5550">
      <w:pPr>
        <w:rPr>
          <w:szCs w:val="22"/>
          <w:lang w:val="fr-FR"/>
        </w:rPr>
      </w:pPr>
    </w:p>
    <w:p w:rsidR="00891762" w:rsidRPr="00CC5550" w:rsidRDefault="00F1345D" w:rsidP="00CC5550">
      <w:pPr>
        <w:keepNext/>
        <w:keepLines/>
        <w:rPr>
          <w:b/>
          <w:bCs/>
          <w:szCs w:val="22"/>
          <w:lang w:val="fr-FR"/>
        </w:rPr>
      </w:pPr>
      <w:r w:rsidRPr="00CC5550">
        <w:rPr>
          <w:b/>
          <w:bCs/>
          <w:szCs w:val="22"/>
          <w:lang w:val="fr-FR"/>
        </w:rPr>
        <w:t>États ou office</w:t>
      </w:r>
      <w:r w:rsidR="00DE2064" w:rsidRPr="00CC5550">
        <w:rPr>
          <w:b/>
          <w:bCs/>
          <w:szCs w:val="22"/>
          <w:lang w:val="fr-FR"/>
        </w:rPr>
        <w:t xml:space="preserve">s </w:t>
      </w:r>
      <w:r w:rsidRPr="00CC5550">
        <w:rPr>
          <w:b/>
          <w:bCs/>
          <w:szCs w:val="22"/>
          <w:lang w:val="fr-FR"/>
        </w:rPr>
        <w:t>récepteur</w:t>
      </w:r>
      <w:r w:rsidR="00DE2064" w:rsidRPr="00CC5550">
        <w:rPr>
          <w:b/>
          <w:bCs/>
          <w:szCs w:val="22"/>
          <w:lang w:val="fr-FR"/>
        </w:rPr>
        <w:t>s pour lesquels l</w:t>
      </w:r>
      <w:r w:rsidR="00ED786D" w:rsidRPr="00CC5550">
        <w:rPr>
          <w:b/>
          <w:bCs/>
          <w:szCs w:val="22"/>
          <w:lang w:val="fr-FR"/>
        </w:rPr>
        <w:t>’</w:t>
      </w:r>
      <w:r w:rsidR="00DE2064" w:rsidRPr="00CC5550">
        <w:rPr>
          <w:b/>
          <w:bCs/>
          <w:szCs w:val="22"/>
          <w:lang w:val="fr-FR"/>
        </w:rPr>
        <w:t>a</w:t>
      </w:r>
      <w:r w:rsidR="00C13B0F" w:rsidRPr="00CC5550">
        <w:rPr>
          <w:b/>
          <w:bCs/>
          <w:szCs w:val="22"/>
          <w:lang w:val="fr-FR"/>
        </w:rPr>
        <w:t>dministration</w:t>
      </w:r>
      <w:r w:rsidR="00DE2064" w:rsidRPr="00CC5550">
        <w:rPr>
          <w:b/>
          <w:bCs/>
          <w:szCs w:val="22"/>
          <w:lang w:val="fr-FR"/>
        </w:rPr>
        <w:t xml:space="preserve"> </w:t>
      </w:r>
      <w:r w:rsidRPr="00CC5550">
        <w:rPr>
          <w:b/>
          <w:bCs/>
          <w:szCs w:val="22"/>
          <w:lang w:val="fr-FR"/>
        </w:rPr>
        <w:t>serait</w:t>
      </w:r>
      <w:r w:rsidR="00DE2064" w:rsidRPr="00CC5550">
        <w:rPr>
          <w:b/>
          <w:bCs/>
          <w:szCs w:val="22"/>
          <w:lang w:val="fr-FR"/>
        </w:rPr>
        <w:t xml:space="preserve"> compétente</w:t>
      </w:r>
      <w:r w:rsidR="006C39C7" w:rsidRPr="00CC5550">
        <w:rPr>
          <w:b/>
          <w:bCs/>
          <w:szCs w:val="22"/>
          <w:lang w:val="fr-FR"/>
        </w:rPr>
        <w:t> </w:t>
      </w:r>
      <w:r w:rsidR="00DE2064" w:rsidRPr="00CC5550">
        <w:rPr>
          <w:b/>
          <w:bCs/>
          <w:szCs w:val="22"/>
          <w:lang w:val="fr-FR"/>
        </w:rPr>
        <w:t>:</w:t>
      </w:r>
    </w:p>
    <w:p w:rsidR="00891762" w:rsidRPr="00CC5550" w:rsidRDefault="00891762" w:rsidP="00CC5550">
      <w:pPr>
        <w:keepNext/>
        <w:keepLines/>
        <w:rPr>
          <w:b/>
          <w:bCs/>
          <w:szCs w:val="22"/>
          <w:lang w:val="fr-FR"/>
        </w:rPr>
      </w:pPr>
    </w:p>
    <w:p w:rsidR="00ED786D" w:rsidRPr="00CC5550" w:rsidRDefault="00DE2064" w:rsidP="00CC5550">
      <w:pPr>
        <w:keepNext/>
        <w:keepLines/>
        <w:rPr>
          <w:lang w:val="fr-FR"/>
        </w:rPr>
      </w:pPr>
      <w:r w:rsidRPr="00CC5550">
        <w:rPr>
          <w:lang w:val="fr-FR"/>
        </w:rPr>
        <w:t>États pour le</w:t>
      </w:r>
      <w:r w:rsidR="00C13B0F" w:rsidRPr="00CC5550">
        <w:rPr>
          <w:lang w:val="fr-FR"/>
        </w:rPr>
        <w:t xml:space="preserve"> compte d</w:t>
      </w:r>
      <w:r w:rsidR="00F1345D" w:rsidRPr="00CC5550">
        <w:rPr>
          <w:lang w:val="fr-FR"/>
        </w:rPr>
        <w:t>e</w:t>
      </w:r>
      <w:r w:rsidRPr="00CC5550">
        <w:rPr>
          <w:lang w:val="fr-FR"/>
        </w:rPr>
        <w:t>squels elle agira</w:t>
      </w:r>
      <w:r w:rsidR="00F350DD" w:rsidRPr="00CC5550">
        <w:rPr>
          <w:lang w:val="fr-FR"/>
        </w:rPr>
        <w:t> :</w:t>
      </w:r>
    </w:p>
    <w:p w:rsidR="00ED786D" w:rsidRPr="00CC5550" w:rsidRDefault="00DE2064" w:rsidP="00CC5550">
      <w:pPr>
        <w:keepNext/>
        <w:keepLines/>
        <w:rPr>
          <w:lang w:val="fr-FR"/>
        </w:rPr>
      </w:pPr>
      <w:r w:rsidRPr="00CC5550">
        <w:rPr>
          <w:lang w:val="fr-FR"/>
        </w:rPr>
        <w:t>a)</w:t>
      </w:r>
      <w:r w:rsidR="00AC1FD6" w:rsidRPr="00CC5550">
        <w:rPr>
          <w:lang w:val="fr-FR"/>
        </w:rPr>
        <w:tab/>
      </w:r>
      <w:r w:rsidRPr="00CC5550">
        <w:rPr>
          <w:lang w:val="fr-FR"/>
        </w:rPr>
        <w:t>Danemark, Finlande, Islande, Norvège, Suède;</w:t>
      </w:r>
    </w:p>
    <w:p w:rsidR="00891762" w:rsidRPr="00CC5550" w:rsidRDefault="00891762" w:rsidP="00CC5550">
      <w:pPr>
        <w:keepNext/>
        <w:keepLines/>
        <w:rPr>
          <w:lang w:val="fr-FR"/>
        </w:rPr>
      </w:pPr>
    </w:p>
    <w:p w:rsidR="00891762" w:rsidRPr="00CC5550" w:rsidRDefault="00DE2064" w:rsidP="00CC5550">
      <w:pPr>
        <w:keepNext/>
        <w:keepLines/>
        <w:rPr>
          <w:lang w:val="fr-FR"/>
        </w:rPr>
      </w:pPr>
      <w:r w:rsidRPr="00CC5550">
        <w:rPr>
          <w:lang w:val="fr-FR"/>
        </w:rPr>
        <w:t>b)</w:t>
      </w:r>
      <w:r w:rsidR="00AC1FD6" w:rsidRPr="00CC5550">
        <w:rPr>
          <w:lang w:val="fr-FR"/>
        </w:rPr>
        <w:tab/>
      </w:r>
      <w:r w:rsidRPr="00CC5550">
        <w:rPr>
          <w:lang w:val="fr-FR"/>
        </w:rPr>
        <w:t>les États considérés comme des pays en développement conformément à la pratique établie de l</w:t>
      </w:r>
      <w:r w:rsidR="00ED786D" w:rsidRPr="00CC5550">
        <w:rPr>
          <w:lang w:val="fr-FR"/>
        </w:rPr>
        <w:t>’</w:t>
      </w:r>
      <w:r w:rsidRPr="00CC5550">
        <w:rPr>
          <w:lang w:val="fr-FR"/>
        </w:rPr>
        <w:t xml:space="preserve">Assemblée générale des </w:t>
      </w:r>
      <w:r w:rsidR="00ED786D" w:rsidRPr="00CC5550">
        <w:rPr>
          <w:lang w:val="fr-FR"/>
        </w:rPr>
        <w:t>Nations Unies</w:t>
      </w:r>
      <w:r w:rsidRPr="00CC5550">
        <w:rPr>
          <w:lang w:val="fr-FR"/>
        </w:rPr>
        <w:t>, pour autant que la Suède, conformément à ses obligations dans le cadre de l</w:t>
      </w:r>
      <w:r w:rsidR="00ED786D" w:rsidRPr="00CC5550">
        <w:rPr>
          <w:lang w:val="fr-FR"/>
        </w:rPr>
        <w:t>’</w:t>
      </w:r>
      <w:r w:rsidRPr="00CC5550">
        <w:rPr>
          <w:lang w:val="fr-FR"/>
        </w:rPr>
        <w:t>Organisation européenne des brevets, ait conclu avec ces États un accord</w:t>
      </w:r>
      <w:r w:rsidR="00AC1FD6" w:rsidRPr="00CC5550">
        <w:rPr>
          <w:lang w:val="fr-FR"/>
        </w:rPr>
        <w:t xml:space="preserve"> à cette fin.</w:t>
      </w:r>
    </w:p>
    <w:p w:rsidR="00891762" w:rsidRPr="00CC5550" w:rsidRDefault="00891762" w:rsidP="00CC5550">
      <w:pPr>
        <w:rPr>
          <w:szCs w:val="22"/>
          <w:lang w:val="fr-FR"/>
        </w:rPr>
      </w:pPr>
    </w:p>
    <w:p w:rsidR="00891762" w:rsidRPr="00CC5550" w:rsidRDefault="00DE2064" w:rsidP="00CC5550">
      <w:pPr>
        <w:rPr>
          <w:b/>
          <w:szCs w:val="22"/>
          <w:lang w:val="fr-FR"/>
        </w:rPr>
      </w:pPr>
      <w:r w:rsidRPr="00CC5550">
        <w:rPr>
          <w:b/>
          <w:szCs w:val="22"/>
          <w:lang w:val="fr-FR"/>
        </w:rPr>
        <w:t xml:space="preserve">Limitations du champ </w:t>
      </w:r>
      <w:r w:rsidR="00F1345D" w:rsidRPr="00CC5550">
        <w:rPr>
          <w:b/>
          <w:szCs w:val="22"/>
          <w:lang w:val="fr-FR"/>
        </w:rPr>
        <w:t>d</w:t>
      </w:r>
      <w:r w:rsidR="00ED786D" w:rsidRPr="00CC5550">
        <w:rPr>
          <w:b/>
          <w:szCs w:val="22"/>
          <w:lang w:val="fr-FR"/>
        </w:rPr>
        <w:t>’</w:t>
      </w:r>
      <w:r w:rsidR="00F1345D" w:rsidRPr="00CC5550">
        <w:rPr>
          <w:b/>
          <w:szCs w:val="22"/>
          <w:lang w:val="fr-FR"/>
        </w:rPr>
        <w:t>application</w:t>
      </w:r>
      <w:r w:rsidR="006C39C7" w:rsidRPr="00CC5550">
        <w:rPr>
          <w:b/>
          <w:szCs w:val="22"/>
          <w:lang w:val="fr-FR"/>
        </w:rPr>
        <w:t> </w:t>
      </w:r>
      <w:r w:rsidRPr="00CC5550">
        <w:rPr>
          <w:b/>
          <w:szCs w:val="22"/>
          <w:lang w:val="fr-FR"/>
        </w:rPr>
        <w:t>:</w:t>
      </w:r>
    </w:p>
    <w:p w:rsidR="00891762" w:rsidRPr="00CC5550" w:rsidRDefault="00891762" w:rsidP="00CC5550">
      <w:pPr>
        <w:rPr>
          <w:szCs w:val="22"/>
          <w:lang w:val="fr-FR"/>
        </w:rPr>
      </w:pPr>
    </w:p>
    <w:p w:rsidR="00891762" w:rsidRPr="00CC5550" w:rsidRDefault="005C589A" w:rsidP="00CC5550">
      <w:pPr>
        <w:rPr>
          <w:lang w:val="fr-FR"/>
        </w:rPr>
      </w:pPr>
      <w:r w:rsidRPr="00CC5550">
        <w:rPr>
          <w:lang w:val="fr-FR"/>
        </w:rPr>
        <w:t>Néant</w:t>
      </w:r>
    </w:p>
    <w:p w:rsidR="00AC1FD6" w:rsidRPr="00CC5550" w:rsidRDefault="00AC1FD6" w:rsidP="00CC5550">
      <w:pPr>
        <w:rPr>
          <w:lang w:val="fr-FR"/>
        </w:rPr>
      </w:pPr>
    </w:p>
    <w:p w:rsidR="00891762" w:rsidRPr="00CC5550" w:rsidRDefault="00DE2064" w:rsidP="00CC5550">
      <w:pPr>
        <w:pStyle w:val="SectionHeading"/>
      </w:pPr>
      <w:r w:rsidRPr="00CC5550">
        <w:t>4</w:t>
      </w:r>
      <w:r w:rsidR="00ED786D" w:rsidRPr="00CC5550">
        <w:t xml:space="preserve"> – </w:t>
      </w:r>
      <w:r w:rsidR="00F1345D" w:rsidRPr="00CC5550">
        <w:t>Énon</w:t>
      </w:r>
      <w:r w:rsidR="00AC1FD6" w:rsidRPr="00CC5550">
        <w:t>cé</w:t>
      </w:r>
      <w:r w:rsidR="00F1345D" w:rsidRPr="00CC5550">
        <w:t xml:space="preserve"> des motivations</w:t>
      </w:r>
    </w:p>
    <w:p w:rsidR="00891762" w:rsidRPr="00CC5550" w:rsidRDefault="00807B2E" w:rsidP="00CC5550">
      <w:pPr>
        <w:rPr>
          <w:lang w:val="fr-FR"/>
        </w:rPr>
      </w:pPr>
      <w:r w:rsidRPr="00CC5550">
        <w:rPr>
          <w:lang w:val="fr-FR"/>
        </w:rPr>
        <w:t>L</w:t>
      </w:r>
      <w:r w:rsidR="00ED786D" w:rsidRPr="00CC5550">
        <w:rPr>
          <w:lang w:val="fr-FR"/>
        </w:rPr>
        <w:t>’</w:t>
      </w:r>
      <w:r w:rsidRPr="00CC5550">
        <w:rPr>
          <w:lang w:val="fr-FR"/>
        </w:rPr>
        <w:t>Office suédois des brevets et de l</w:t>
      </w:r>
      <w:r w:rsidR="00ED786D" w:rsidRPr="00CC5550">
        <w:rPr>
          <w:lang w:val="fr-FR"/>
        </w:rPr>
        <w:t>’</w:t>
      </w:r>
      <w:r w:rsidRPr="00CC5550">
        <w:rPr>
          <w:lang w:val="fr-FR"/>
        </w:rPr>
        <w:t xml:space="preserve">enregistrement est un office national de dépôt de demandes de brevet </w:t>
      </w:r>
      <w:r w:rsidR="00ED786D" w:rsidRPr="00CC5550">
        <w:rPr>
          <w:lang w:val="fr-FR"/>
        </w:rPr>
        <w:t>depuis 1885</w:t>
      </w:r>
      <w:r w:rsidRPr="00CC5550">
        <w:rPr>
          <w:lang w:val="fr-FR"/>
        </w:rPr>
        <w:t xml:space="preserve"> et une administration chargée de la recherche internationale et de l</w:t>
      </w:r>
      <w:r w:rsidR="00ED786D" w:rsidRPr="00CC5550">
        <w:rPr>
          <w:lang w:val="fr-FR"/>
        </w:rPr>
        <w:t>’</w:t>
      </w:r>
      <w:r w:rsidRPr="00CC5550">
        <w:rPr>
          <w:lang w:val="fr-FR"/>
        </w:rPr>
        <w:t xml:space="preserve">examen préliminaire </w:t>
      </w:r>
      <w:r w:rsidR="005C589A" w:rsidRPr="00CC5550">
        <w:rPr>
          <w:lang w:val="fr-FR"/>
        </w:rPr>
        <w:t xml:space="preserve">international </w:t>
      </w:r>
      <w:r w:rsidRPr="00CC5550">
        <w:rPr>
          <w:lang w:val="fr-FR"/>
        </w:rPr>
        <w:t>dans le cadre</w:t>
      </w:r>
      <w:r w:rsidR="00ED786D" w:rsidRPr="00CC5550">
        <w:rPr>
          <w:lang w:val="fr-FR"/>
        </w:rPr>
        <w:t xml:space="preserve"> du PCT</w:t>
      </w:r>
      <w:r w:rsidRPr="00CC5550">
        <w:rPr>
          <w:lang w:val="fr-FR"/>
        </w:rPr>
        <w:t xml:space="preserve"> </w:t>
      </w:r>
      <w:r w:rsidR="00ED786D" w:rsidRPr="00CC5550">
        <w:rPr>
          <w:lang w:val="fr-FR"/>
        </w:rPr>
        <w:t>depuis 1978</w:t>
      </w:r>
      <w:r w:rsidRPr="00CC5550">
        <w:rPr>
          <w:lang w:val="fr-FR"/>
        </w:rPr>
        <w:t>.</w:t>
      </w:r>
    </w:p>
    <w:p w:rsidR="00891762" w:rsidRPr="00CC5550" w:rsidRDefault="00891762" w:rsidP="00CC5550">
      <w:pPr>
        <w:rPr>
          <w:lang w:val="fr-FR"/>
        </w:rPr>
      </w:pPr>
    </w:p>
    <w:p w:rsidR="00891762" w:rsidRPr="00CC5550" w:rsidRDefault="00807B2E" w:rsidP="00CC5550">
      <w:pPr>
        <w:rPr>
          <w:lang w:val="fr-FR"/>
        </w:rPr>
      </w:pPr>
      <w:r w:rsidRPr="00CC5550">
        <w:rPr>
          <w:lang w:val="fr-FR"/>
        </w:rPr>
        <w:t>La Suède a été et reste l</w:t>
      </w:r>
      <w:r w:rsidR="00ED786D" w:rsidRPr="00CC5550">
        <w:rPr>
          <w:lang w:val="fr-FR"/>
        </w:rPr>
        <w:t>’</w:t>
      </w:r>
      <w:r w:rsidRPr="00CC5550">
        <w:rPr>
          <w:lang w:val="fr-FR"/>
        </w:rPr>
        <w:t xml:space="preserve">un des pays les plus innovants au monde; </w:t>
      </w:r>
      <w:r w:rsidR="006C39C7" w:rsidRPr="00CC5550">
        <w:rPr>
          <w:lang w:val="fr-FR"/>
        </w:rPr>
        <w:t xml:space="preserve"> </w:t>
      </w:r>
      <w:r w:rsidR="00ED786D" w:rsidRPr="00CC5550">
        <w:rPr>
          <w:lang w:val="fr-FR"/>
        </w:rPr>
        <w:t>en 2016</w:t>
      </w:r>
      <w:r w:rsidRPr="00CC5550">
        <w:rPr>
          <w:lang w:val="fr-FR"/>
        </w:rPr>
        <w:t xml:space="preserve">, </w:t>
      </w:r>
      <w:r w:rsidR="00150E26" w:rsidRPr="00CC5550">
        <w:rPr>
          <w:lang w:val="fr-FR"/>
        </w:rPr>
        <w:t>elle</w:t>
      </w:r>
      <w:r w:rsidRPr="00CC5550">
        <w:rPr>
          <w:lang w:val="fr-FR"/>
        </w:rPr>
        <w:t xml:space="preserve"> occupait la deuxième place du classement de l</w:t>
      </w:r>
      <w:r w:rsidR="00ED786D" w:rsidRPr="00CC5550">
        <w:rPr>
          <w:lang w:val="fr-FR"/>
        </w:rPr>
        <w:t>’</w:t>
      </w:r>
      <w:r w:rsidRPr="00CC5550">
        <w:rPr>
          <w:lang w:val="fr-FR"/>
        </w:rPr>
        <w:t>Indice mondial de l</w:t>
      </w:r>
      <w:r w:rsidR="00ED786D" w:rsidRPr="00CC5550">
        <w:rPr>
          <w:lang w:val="fr-FR"/>
        </w:rPr>
        <w:t>’</w:t>
      </w:r>
      <w:r w:rsidRPr="00CC5550">
        <w:rPr>
          <w:lang w:val="fr-FR"/>
        </w:rPr>
        <w:t>innovation.</w:t>
      </w:r>
    </w:p>
    <w:p w:rsidR="00891762" w:rsidRPr="00CC5550" w:rsidRDefault="00891762" w:rsidP="00CC5550">
      <w:pPr>
        <w:rPr>
          <w:lang w:val="fr-FR"/>
        </w:rPr>
      </w:pPr>
    </w:p>
    <w:p w:rsidR="00891762" w:rsidRPr="00CC5550" w:rsidRDefault="00F61DDD" w:rsidP="00CC5550">
      <w:pPr>
        <w:rPr>
          <w:lang w:val="fr-FR"/>
        </w:rPr>
      </w:pPr>
      <w:r w:rsidRPr="00CC5550">
        <w:rPr>
          <w:lang w:val="fr-FR"/>
        </w:rPr>
        <w:t xml:space="preserve">Il y a une demande importante, </w:t>
      </w:r>
      <w:r w:rsidR="00150E26" w:rsidRPr="00CC5550">
        <w:rPr>
          <w:lang w:val="fr-FR"/>
        </w:rPr>
        <w:t>de la part</w:t>
      </w:r>
      <w:r w:rsidRPr="00CC5550">
        <w:rPr>
          <w:lang w:val="fr-FR"/>
        </w:rPr>
        <w:t xml:space="preserve"> </w:t>
      </w:r>
      <w:r w:rsidR="00150E26" w:rsidRPr="00CC5550">
        <w:rPr>
          <w:lang w:val="fr-FR"/>
        </w:rPr>
        <w:t>d</w:t>
      </w:r>
      <w:r w:rsidRPr="00CC5550">
        <w:rPr>
          <w:lang w:val="fr-FR"/>
        </w:rPr>
        <w:t>es pays nordiques, en faveur de services locaux fournis dans les langues locales.</w:t>
      </w:r>
      <w:r w:rsidR="006C39C7" w:rsidRPr="00CC5550">
        <w:rPr>
          <w:lang w:val="fr-FR"/>
        </w:rPr>
        <w:t xml:space="preserve"> </w:t>
      </w:r>
      <w:r w:rsidR="00A8418E" w:rsidRPr="00CC5550">
        <w:rPr>
          <w:lang w:val="fr-FR"/>
        </w:rPr>
        <w:t xml:space="preserve"> </w:t>
      </w:r>
      <w:r w:rsidRPr="00CC5550">
        <w:rPr>
          <w:lang w:val="fr-FR"/>
        </w:rPr>
        <w:t>Le suédois, le danois, le finnois et le norvégien comptent toutes parmi les langues de dépôt autres que les langues de publication les plus utilisées.</w:t>
      </w:r>
      <w:r w:rsidR="006C39C7" w:rsidRPr="00CC5550">
        <w:rPr>
          <w:lang w:val="fr-FR"/>
        </w:rPr>
        <w:t xml:space="preserve"> </w:t>
      </w:r>
      <w:r w:rsidR="00A8418E" w:rsidRPr="00CC5550">
        <w:rPr>
          <w:lang w:val="fr-FR"/>
        </w:rPr>
        <w:t xml:space="preserve"> </w:t>
      </w:r>
      <w:r w:rsidR="007F74CE" w:rsidRPr="00CC5550">
        <w:rPr>
          <w:lang w:val="fr-FR"/>
        </w:rPr>
        <w:t>L</w:t>
      </w:r>
      <w:r w:rsidR="00ED786D" w:rsidRPr="00CC5550">
        <w:rPr>
          <w:lang w:val="fr-FR"/>
        </w:rPr>
        <w:t>’</w:t>
      </w:r>
      <w:r w:rsidR="007F74CE" w:rsidRPr="00CC5550">
        <w:rPr>
          <w:lang w:val="fr-FR"/>
        </w:rPr>
        <w:t>Office suédois des brevets et de l</w:t>
      </w:r>
      <w:r w:rsidR="00ED786D" w:rsidRPr="00CC5550">
        <w:rPr>
          <w:lang w:val="fr-FR"/>
        </w:rPr>
        <w:t>’</w:t>
      </w:r>
      <w:r w:rsidR="007F74CE" w:rsidRPr="00CC5550">
        <w:rPr>
          <w:lang w:val="fr-FR"/>
        </w:rPr>
        <w:t>enregistrement reste l</w:t>
      </w:r>
      <w:r w:rsidR="00ED786D" w:rsidRPr="00CC5550">
        <w:rPr>
          <w:lang w:val="fr-FR"/>
        </w:rPr>
        <w:t>’</w:t>
      </w:r>
      <w:r w:rsidR="007F74CE" w:rsidRPr="00CC5550">
        <w:rPr>
          <w:lang w:val="fr-FR"/>
        </w:rPr>
        <w:t>administration chargée de la recherche internationale choisie par un grand nombre de déposants de la région, notamment par le Danemark, la Finlande, la Norvège ainsi que la Suède.</w:t>
      </w:r>
    </w:p>
    <w:p w:rsidR="00ED786D" w:rsidRPr="00CC5550" w:rsidRDefault="00ED786D" w:rsidP="00CC5550">
      <w:pPr>
        <w:rPr>
          <w:lang w:val="fr-FR"/>
        </w:rPr>
      </w:pPr>
    </w:p>
    <w:p w:rsidR="00891762" w:rsidRPr="00CC5550" w:rsidRDefault="003E7D9A" w:rsidP="00CC5550">
      <w:pPr>
        <w:rPr>
          <w:lang w:val="fr-FR"/>
        </w:rPr>
      </w:pPr>
      <w:r w:rsidRPr="00CC5550">
        <w:rPr>
          <w:lang w:val="fr-FR"/>
        </w:rPr>
        <w:t>La position de l</w:t>
      </w:r>
      <w:r w:rsidR="00ED786D" w:rsidRPr="00CC5550">
        <w:rPr>
          <w:lang w:val="fr-FR"/>
        </w:rPr>
        <w:t>’</w:t>
      </w:r>
      <w:r w:rsidRPr="00CC5550">
        <w:rPr>
          <w:lang w:val="fr-FR"/>
        </w:rPr>
        <w:t>office en tant qu</w:t>
      </w:r>
      <w:r w:rsidR="00ED786D" w:rsidRPr="00CC5550">
        <w:rPr>
          <w:lang w:val="fr-FR"/>
        </w:rPr>
        <w:t>’</w:t>
      </w:r>
      <w:r w:rsidRPr="00CC5550">
        <w:rPr>
          <w:lang w:val="fr-FR"/>
        </w:rPr>
        <w:t xml:space="preserve">administration internationale et les activités entreprises en lien avec les informations et formations dans le domaine des brevets sont complémentaires, comme cela est expliqué à la </w:t>
      </w:r>
      <w:r w:rsidR="00ED786D" w:rsidRPr="00CC5550">
        <w:rPr>
          <w:lang w:val="fr-FR"/>
        </w:rPr>
        <w:t>section 5</w:t>
      </w:r>
      <w:r w:rsidRPr="00CC5550">
        <w:rPr>
          <w:lang w:val="fr-FR"/>
        </w:rPr>
        <w:t>.</w:t>
      </w:r>
    </w:p>
    <w:p w:rsidR="00891762" w:rsidRPr="00CC5550" w:rsidRDefault="003E7D9A" w:rsidP="00CC5550">
      <w:pPr>
        <w:pStyle w:val="SectionHeading"/>
        <w:keepLines/>
      </w:pPr>
      <w:r w:rsidRPr="00CC5550">
        <w:t xml:space="preserve">5 </w:t>
      </w:r>
      <w:r w:rsidR="00F1345D" w:rsidRPr="00CC5550">
        <w:t>–</w:t>
      </w:r>
      <w:r w:rsidRPr="00CC5550">
        <w:t xml:space="preserve"> État</w:t>
      </w:r>
      <w:r w:rsidR="00F1345D" w:rsidRPr="00CC5550">
        <w:t xml:space="preserve"> candidat</w:t>
      </w:r>
    </w:p>
    <w:p w:rsidR="00F1345D" w:rsidRPr="00CC5550" w:rsidRDefault="00F1345D" w:rsidP="00CC5550">
      <w:pPr>
        <w:keepNext/>
        <w:keepLines/>
        <w:rPr>
          <w:b/>
          <w:bCs/>
          <w:szCs w:val="22"/>
          <w:lang w:val="fr-FR"/>
        </w:rPr>
      </w:pPr>
      <w:r w:rsidRPr="00CC5550">
        <w:rPr>
          <w:b/>
          <w:bCs/>
          <w:szCs w:val="22"/>
          <w:lang w:val="fr-FR"/>
        </w:rPr>
        <w:t>Emplacement géographique</w:t>
      </w:r>
    </w:p>
    <w:p w:rsidR="00891762" w:rsidRPr="00CC5550" w:rsidRDefault="00891762" w:rsidP="00CC5550">
      <w:pPr>
        <w:keepNext/>
        <w:keepLines/>
        <w:rPr>
          <w:lang w:val="fr-FR"/>
        </w:rPr>
      </w:pPr>
    </w:p>
    <w:p w:rsidR="00891762" w:rsidRPr="00CC5550" w:rsidRDefault="00DF53ED" w:rsidP="00CC5550">
      <w:pPr>
        <w:keepNext/>
        <w:keepLines/>
        <w:jc w:val="center"/>
        <w:rPr>
          <w:lang w:val="fr-FR"/>
        </w:rPr>
      </w:pPr>
      <w:r w:rsidRPr="00CC5550">
        <w:rPr>
          <w:noProof/>
          <w:lang w:eastAsia="en-US"/>
        </w:rPr>
        <w:drawing>
          <wp:inline distT="0" distB="0" distL="0" distR="0" wp14:anchorId="2D423B5C" wp14:editId="60EBF39D">
            <wp:extent cx="3784600" cy="2672080"/>
            <wp:effectExtent l="0" t="0" r="6350" b="0"/>
            <wp:docPr id="2" name="Bild 2" descr="https://upload.wikimedia.org/wikipedia/commons/thumb/0/06/EU-Sweden.svg/250px-EU-Sweden.svg.png"/>
            <wp:cNvGraphicFramePr/>
            <a:graphic xmlns:a="http://schemas.openxmlformats.org/drawingml/2006/main">
              <a:graphicData uri="http://schemas.openxmlformats.org/drawingml/2006/picture">
                <pic:pic xmlns:pic="http://schemas.openxmlformats.org/drawingml/2006/picture">
                  <pic:nvPicPr>
                    <pic:cNvPr id="2" name="Bild 2" descr="https://upload.wikimedia.org/wikipedia/commons/thumb/0/06/EU-Sweden.svg/250px-EU-Sweden.svg.pn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84600" cy="2672080"/>
                    </a:xfrm>
                    <a:prstGeom prst="rect">
                      <a:avLst/>
                    </a:prstGeom>
                    <a:noFill/>
                    <a:ln>
                      <a:noFill/>
                    </a:ln>
                  </pic:spPr>
                </pic:pic>
              </a:graphicData>
            </a:graphic>
          </wp:inline>
        </w:drawing>
      </w:r>
    </w:p>
    <w:p w:rsidR="00891762" w:rsidRPr="00CC5550" w:rsidRDefault="003E7D9A" w:rsidP="00CC5550">
      <w:pPr>
        <w:jc w:val="center"/>
        <w:rPr>
          <w:rFonts w:eastAsia="Times New Roman"/>
          <w:i/>
          <w:iCs/>
          <w:szCs w:val="22"/>
          <w:lang w:val="fr-FR"/>
        </w:rPr>
      </w:pPr>
      <w:r w:rsidRPr="00CC5550">
        <w:rPr>
          <w:rFonts w:eastAsia="Times New Roman"/>
          <w:i/>
          <w:iCs/>
          <w:szCs w:val="22"/>
          <w:lang w:val="fr-FR"/>
        </w:rPr>
        <w:t>[Carte montrant la Suède et les États voisins]</w:t>
      </w:r>
    </w:p>
    <w:p w:rsidR="00891762" w:rsidRPr="00CC5550" w:rsidRDefault="00891762" w:rsidP="00CC5550">
      <w:pPr>
        <w:rPr>
          <w:lang w:val="fr-FR"/>
        </w:rPr>
      </w:pPr>
    </w:p>
    <w:p w:rsidR="00ED786D" w:rsidRPr="00CC5550" w:rsidRDefault="00F44221" w:rsidP="00CC5550">
      <w:pPr>
        <w:rPr>
          <w:b/>
          <w:szCs w:val="22"/>
          <w:lang w:val="fr-FR"/>
        </w:rPr>
      </w:pPr>
      <w:r w:rsidRPr="00CC5550">
        <w:rPr>
          <w:b/>
          <w:szCs w:val="22"/>
          <w:lang w:val="fr-FR"/>
        </w:rPr>
        <w:t>Appartenance à des organisations régionales</w:t>
      </w:r>
      <w:r w:rsidR="00ED786D" w:rsidRPr="00CC5550">
        <w:rPr>
          <w:b/>
          <w:szCs w:val="22"/>
          <w:lang w:val="fr-FR"/>
        </w:rPr>
        <w:t> :</w:t>
      </w:r>
    </w:p>
    <w:p w:rsidR="00891762" w:rsidRPr="00CC5550" w:rsidRDefault="007714C4" w:rsidP="00CC5550">
      <w:pPr>
        <w:rPr>
          <w:lang w:val="fr-FR"/>
        </w:rPr>
      </w:pPr>
      <w:r w:rsidRPr="00CC5550">
        <w:rPr>
          <w:lang w:val="fr-FR"/>
        </w:rPr>
        <w:t>U</w:t>
      </w:r>
      <w:r w:rsidR="00AC1FD6" w:rsidRPr="00CC5550">
        <w:rPr>
          <w:lang w:val="fr-FR"/>
        </w:rPr>
        <w:t>nion européenne</w:t>
      </w:r>
      <w:r w:rsidRPr="00CC5550">
        <w:rPr>
          <w:lang w:val="fr-FR"/>
        </w:rPr>
        <w:t>, Organisation européenne des brevets, Office de l</w:t>
      </w:r>
      <w:r w:rsidR="00ED786D" w:rsidRPr="00CC5550">
        <w:rPr>
          <w:lang w:val="fr-FR"/>
        </w:rPr>
        <w:t>’</w:t>
      </w:r>
      <w:r w:rsidRPr="00CC5550">
        <w:rPr>
          <w:lang w:val="fr-FR"/>
        </w:rPr>
        <w:t>Union européenne pour la propriété intellectuelle</w:t>
      </w:r>
    </w:p>
    <w:p w:rsidR="00891762" w:rsidRPr="00CC5550" w:rsidRDefault="00891762" w:rsidP="00CC5550">
      <w:pPr>
        <w:rPr>
          <w:lang w:val="fr-FR"/>
        </w:rPr>
      </w:pPr>
    </w:p>
    <w:p w:rsidR="00ED786D" w:rsidRPr="00CC5550" w:rsidRDefault="002D5802" w:rsidP="00CC5550">
      <w:pPr>
        <w:rPr>
          <w:szCs w:val="22"/>
          <w:lang w:val="fr-FR"/>
        </w:rPr>
      </w:pPr>
      <w:r w:rsidRPr="00CC5550">
        <w:rPr>
          <w:b/>
          <w:bCs/>
          <w:szCs w:val="22"/>
          <w:lang w:val="fr-FR"/>
        </w:rPr>
        <w:t>Population</w:t>
      </w:r>
      <w:r w:rsidR="006C39C7" w:rsidRPr="00CC5550">
        <w:rPr>
          <w:b/>
          <w:bCs/>
          <w:szCs w:val="22"/>
          <w:lang w:val="fr-FR"/>
        </w:rPr>
        <w:t> </w:t>
      </w:r>
      <w:r w:rsidRPr="00CC5550">
        <w:rPr>
          <w:b/>
          <w:bCs/>
          <w:szCs w:val="22"/>
          <w:lang w:val="fr-FR"/>
        </w:rPr>
        <w:t>:</w:t>
      </w:r>
    </w:p>
    <w:p w:rsidR="00891762" w:rsidRPr="00CC5550" w:rsidRDefault="007714C4" w:rsidP="00CC5550">
      <w:pPr>
        <w:rPr>
          <w:lang w:val="fr-FR"/>
        </w:rPr>
      </w:pPr>
      <w:r w:rsidRPr="00CC5550">
        <w:rPr>
          <w:lang w:val="fr-FR"/>
        </w:rPr>
        <w:t>Plus de 10</w:t>
      </w:r>
      <w:r w:rsidR="006C39C7" w:rsidRPr="00CC5550">
        <w:rPr>
          <w:lang w:val="fr-FR"/>
        </w:rPr>
        <w:t> </w:t>
      </w:r>
      <w:r w:rsidRPr="00CC5550">
        <w:rPr>
          <w:lang w:val="fr-FR"/>
        </w:rPr>
        <w:t>000 000</w:t>
      </w:r>
      <w:r w:rsidR="00F350DD" w:rsidRPr="00CC5550">
        <w:rPr>
          <w:lang w:val="fr-FR"/>
        </w:rPr>
        <w:t> </w:t>
      </w:r>
      <w:r w:rsidRPr="00CC5550">
        <w:rPr>
          <w:lang w:val="fr-FR"/>
        </w:rPr>
        <w:t>habitants (2017)</w:t>
      </w:r>
    </w:p>
    <w:p w:rsidR="00891762" w:rsidRPr="00CC5550" w:rsidRDefault="00891762" w:rsidP="00CC5550">
      <w:pPr>
        <w:rPr>
          <w:szCs w:val="22"/>
          <w:lang w:val="fr-FR"/>
        </w:rPr>
      </w:pPr>
    </w:p>
    <w:p w:rsidR="00ED786D" w:rsidRPr="00CC5550" w:rsidRDefault="007714C4" w:rsidP="00CC5550">
      <w:pPr>
        <w:rPr>
          <w:b/>
          <w:bCs/>
          <w:szCs w:val="22"/>
          <w:lang w:val="fr-FR"/>
        </w:rPr>
      </w:pPr>
      <w:r w:rsidRPr="00CC5550">
        <w:rPr>
          <w:b/>
          <w:bCs/>
          <w:szCs w:val="22"/>
          <w:lang w:val="fr-FR"/>
        </w:rPr>
        <w:t>PIB par habitant</w:t>
      </w:r>
      <w:r w:rsidR="006C39C7" w:rsidRPr="00CC5550">
        <w:rPr>
          <w:bCs/>
          <w:szCs w:val="22"/>
          <w:lang w:val="fr-FR"/>
        </w:rPr>
        <w:t> </w:t>
      </w:r>
      <w:r w:rsidRPr="00CC5550">
        <w:rPr>
          <w:bCs/>
          <w:szCs w:val="22"/>
          <w:lang w:val="fr-FR"/>
        </w:rPr>
        <w:t>:</w:t>
      </w:r>
    </w:p>
    <w:p w:rsidR="00891762" w:rsidRPr="00CC5550" w:rsidRDefault="007714C4" w:rsidP="00CC5550">
      <w:pPr>
        <w:rPr>
          <w:bCs/>
          <w:lang w:val="fr-FR"/>
        </w:rPr>
      </w:pPr>
      <w:r w:rsidRPr="00CC5550">
        <w:rPr>
          <w:bCs/>
          <w:lang w:val="fr-FR"/>
        </w:rPr>
        <w:t>424 400</w:t>
      </w:r>
      <w:r w:rsidR="00F350DD" w:rsidRPr="00CC5550">
        <w:rPr>
          <w:bCs/>
          <w:lang w:val="fr-FR"/>
        </w:rPr>
        <w:t> </w:t>
      </w:r>
      <w:r w:rsidRPr="00CC5550">
        <w:rPr>
          <w:bCs/>
          <w:lang w:val="fr-FR"/>
        </w:rPr>
        <w:t xml:space="preserve">couronnes suédoises; </w:t>
      </w:r>
      <w:r w:rsidR="006C39C7" w:rsidRPr="00CC5550">
        <w:rPr>
          <w:bCs/>
          <w:lang w:val="fr-FR"/>
        </w:rPr>
        <w:t xml:space="preserve"> </w:t>
      </w:r>
      <w:r w:rsidRPr="00CC5550">
        <w:rPr>
          <w:bCs/>
          <w:lang w:val="fr-FR"/>
        </w:rPr>
        <w:t>44 76</w:t>
      </w:r>
      <w:r w:rsidR="00ED786D" w:rsidRPr="00CC5550">
        <w:rPr>
          <w:bCs/>
          <w:lang w:val="fr-FR"/>
        </w:rPr>
        <w:t>1 euro</w:t>
      </w:r>
      <w:r w:rsidRPr="00CC5550">
        <w:rPr>
          <w:bCs/>
          <w:lang w:val="fr-FR"/>
        </w:rPr>
        <w:t>s;</w:t>
      </w:r>
      <w:r w:rsidR="006C39C7" w:rsidRPr="00CC5550">
        <w:rPr>
          <w:bCs/>
          <w:lang w:val="fr-FR"/>
        </w:rPr>
        <w:t xml:space="preserve"> </w:t>
      </w:r>
      <w:r w:rsidRPr="00CC5550">
        <w:rPr>
          <w:bCs/>
          <w:lang w:val="fr-FR"/>
        </w:rPr>
        <w:t xml:space="preserve"> 47 39</w:t>
      </w:r>
      <w:r w:rsidR="00ED786D" w:rsidRPr="00CC5550">
        <w:rPr>
          <w:bCs/>
          <w:lang w:val="fr-FR"/>
        </w:rPr>
        <w:t>5 dollar</w:t>
      </w:r>
      <w:r w:rsidRPr="00CC5550">
        <w:rPr>
          <w:bCs/>
          <w:lang w:val="fr-FR"/>
        </w:rPr>
        <w:t>s des États</w:t>
      </w:r>
      <w:r w:rsidR="00F350DD" w:rsidRPr="00CC5550">
        <w:rPr>
          <w:bCs/>
          <w:lang w:val="fr-FR"/>
        </w:rPr>
        <w:noBreakHyphen/>
      </w:r>
      <w:r w:rsidRPr="00CC5550">
        <w:rPr>
          <w:bCs/>
          <w:lang w:val="fr-FR"/>
        </w:rPr>
        <w:t>Unis d</w:t>
      </w:r>
      <w:r w:rsidR="00ED786D" w:rsidRPr="00CC5550">
        <w:rPr>
          <w:bCs/>
          <w:lang w:val="fr-FR"/>
        </w:rPr>
        <w:t>’</w:t>
      </w:r>
      <w:r w:rsidRPr="00CC5550">
        <w:rPr>
          <w:bCs/>
          <w:lang w:val="fr-FR"/>
        </w:rPr>
        <w:t>Amérique.</w:t>
      </w:r>
    </w:p>
    <w:p w:rsidR="00891762" w:rsidRPr="00CC5550" w:rsidRDefault="00891762" w:rsidP="00CC5550">
      <w:pPr>
        <w:rPr>
          <w:bCs/>
          <w:lang w:val="fr-FR"/>
        </w:rPr>
      </w:pPr>
    </w:p>
    <w:p w:rsidR="00891762" w:rsidRPr="00CC5550" w:rsidRDefault="008B35EB" w:rsidP="00CC5550">
      <w:pPr>
        <w:rPr>
          <w:bCs/>
          <w:lang w:val="fr-FR"/>
        </w:rPr>
      </w:pPr>
      <w:r w:rsidRPr="00CC5550">
        <w:rPr>
          <w:b/>
          <w:szCs w:val="22"/>
          <w:lang w:val="fr-FR"/>
        </w:rPr>
        <w:t>Estimation des dépenses nationales en recherche</w:t>
      </w:r>
      <w:r w:rsidR="00F350DD" w:rsidRPr="00CC5550">
        <w:rPr>
          <w:b/>
          <w:szCs w:val="22"/>
          <w:lang w:val="fr-FR"/>
        </w:rPr>
        <w:noBreakHyphen/>
      </w:r>
      <w:r w:rsidRPr="00CC5550">
        <w:rPr>
          <w:b/>
          <w:szCs w:val="22"/>
          <w:lang w:val="fr-FR"/>
        </w:rPr>
        <w:t>développement (pourcentage</w:t>
      </w:r>
      <w:r w:rsidR="00ED786D" w:rsidRPr="00CC5550">
        <w:rPr>
          <w:b/>
          <w:szCs w:val="22"/>
          <w:lang w:val="fr-FR"/>
        </w:rPr>
        <w:t xml:space="preserve"> du PIB</w:t>
      </w:r>
      <w:r w:rsidRPr="00CC5550">
        <w:rPr>
          <w:b/>
          <w:szCs w:val="22"/>
          <w:lang w:val="fr-FR"/>
        </w:rPr>
        <w:t>)</w:t>
      </w:r>
      <w:r w:rsidR="006C39C7" w:rsidRPr="00CC5550">
        <w:rPr>
          <w:b/>
          <w:szCs w:val="22"/>
          <w:lang w:val="fr-FR"/>
        </w:rPr>
        <w:t> :</w:t>
      </w:r>
      <w:r w:rsidRPr="00CC5550">
        <w:rPr>
          <w:b/>
          <w:lang w:val="fr-FR"/>
        </w:rPr>
        <w:t xml:space="preserve"> </w:t>
      </w:r>
      <w:r w:rsidR="007714C4" w:rsidRPr="00CC5550">
        <w:rPr>
          <w:bCs/>
          <w:lang w:val="fr-FR"/>
        </w:rPr>
        <w:t>3,31</w:t>
      </w:r>
      <w:r w:rsidR="002205FF" w:rsidRPr="00CC5550">
        <w:rPr>
          <w:bCs/>
          <w:lang w:val="fr-FR"/>
        </w:rPr>
        <w:t>%</w:t>
      </w:r>
      <w:r w:rsidR="007714C4" w:rsidRPr="00CC5550">
        <w:rPr>
          <w:bCs/>
          <w:lang w:val="fr-FR"/>
        </w:rPr>
        <w:t xml:space="preserve"> (2013)</w:t>
      </w:r>
    </w:p>
    <w:p w:rsidR="00891762" w:rsidRPr="00CC5550" w:rsidRDefault="00891762" w:rsidP="00CC5550">
      <w:pPr>
        <w:rPr>
          <w:szCs w:val="22"/>
          <w:lang w:val="fr-FR"/>
        </w:rPr>
      </w:pPr>
    </w:p>
    <w:p w:rsidR="008B35EB" w:rsidRPr="00CC5550" w:rsidRDefault="008B35EB" w:rsidP="00CC5550">
      <w:pPr>
        <w:rPr>
          <w:b/>
          <w:bCs/>
          <w:szCs w:val="22"/>
          <w:lang w:val="fr-FR"/>
        </w:rPr>
      </w:pPr>
      <w:r w:rsidRPr="00CC5550">
        <w:rPr>
          <w:b/>
          <w:bCs/>
          <w:szCs w:val="22"/>
          <w:lang w:val="fr-FR"/>
        </w:rPr>
        <w:t>Nombre d</w:t>
      </w:r>
      <w:r w:rsidR="00ED786D" w:rsidRPr="00CC5550">
        <w:rPr>
          <w:b/>
          <w:bCs/>
          <w:szCs w:val="22"/>
          <w:lang w:val="fr-FR"/>
        </w:rPr>
        <w:t>’</w:t>
      </w:r>
      <w:r w:rsidRPr="00CC5550">
        <w:rPr>
          <w:b/>
          <w:bCs/>
          <w:szCs w:val="22"/>
          <w:lang w:val="fr-FR"/>
        </w:rPr>
        <w:t>instituts universitaires de recherche</w:t>
      </w:r>
      <w:r w:rsidR="006C39C7" w:rsidRPr="00CC5550">
        <w:rPr>
          <w:b/>
          <w:bCs/>
          <w:szCs w:val="22"/>
          <w:lang w:val="fr-FR"/>
        </w:rPr>
        <w:t> :</w:t>
      </w:r>
      <w:r w:rsidRPr="00CC5550">
        <w:rPr>
          <w:b/>
          <w:lang w:val="fr-FR"/>
        </w:rPr>
        <w:t xml:space="preserve"> </w:t>
      </w:r>
    </w:p>
    <w:p w:rsidR="00891762" w:rsidRPr="00CC5550" w:rsidRDefault="00AC1FD6" w:rsidP="00CC5550">
      <w:pPr>
        <w:rPr>
          <w:bCs/>
          <w:lang w:val="fr-FR"/>
        </w:rPr>
      </w:pPr>
      <w:r w:rsidRPr="00CC5550">
        <w:rPr>
          <w:bCs/>
          <w:lang w:val="fr-FR"/>
        </w:rPr>
        <w:t>28 </w:t>
      </w:r>
      <w:r w:rsidR="007714C4" w:rsidRPr="00CC5550">
        <w:rPr>
          <w:bCs/>
          <w:lang w:val="fr-FR"/>
        </w:rPr>
        <w:t>universités</w:t>
      </w:r>
    </w:p>
    <w:p w:rsidR="00891762" w:rsidRPr="00CC5550" w:rsidRDefault="00891762" w:rsidP="00CC5550">
      <w:pPr>
        <w:rPr>
          <w:szCs w:val="22"/>
          <w:lang w:val="fr-FR"/>
        </w:rPr>
      </w:pPr>
    </w:p>
    <w:p w:rsidR="00ED786D" w:rsidRPr="00CC5550" w:rsidRDefault="008B35EB" w:rsidP="00CC5550">
      <w:pPr>
        <w:rPr>
          <w:b/>
          <w:bCs/>
          <w:szCs w:val="22"/>
          <w:lang w:val="fr-FR"/>
        </w:rPr>
      </w:pPr>
      <w:r w:rsidRPr="00CC5550">
        <w:rPr>
          <w:b/>
          <w:bCs/>
          <w:szCs w:val="22"/>
          <w:lang w:val="fr-FR"/>
        </w:rPr>
        <w:t>Présentation du réseau national de centres d</w:t>
      </w:r>
      <w:r w:rsidR="00ED786D" w:rsidRPr="00CC5550">
        <w:rPr>
          <w:b/>
          <w:bCs/>
          <w:szCs w:val="22"/>
          <w:lang w:val="fr-FR"/>
        </w:rPr>
        <w:t>’</w:t>
      </w:r>
      <w:r w:rsidRPr="00CC5550">
        <w:rPr>
          <w:b/>
          <w:bCs/>
          <w:szCs w:val="22"/>
          <w:lang w:val="fr-FR"/>
        </w:rPr>
        <w:t>information en matière de brevets (par exemple, bibliothèque des brevets, centres d</w:t>
      </w:r>
      <w:r w:rsidR="00ED786D" w:rsidRPr="00CC5550">
        <w:rPr>
          <w:b/>
          <w:bCs/>
          <w:szCs w:val="22"/>
          <w:lang w:val="fr-FR"/>
        </w:rPr>
        <w:t>’</w:t>
      </w:r>
      <w:r w:rsidRPr="00CC5550">
        <w:rPr>
          <w:b/>
          <w:bCs/>
          <w:szCs w:val="22"/>
          <w:lang w:val="fr-FR"/>
        </w:rPr>
        <w:t>appui à la technologie et à l</w:t>
      </w:r>
      <w:r w:rsidR="00ED786D" w:rsidRPr="00CC5550">
        <w:rPr>
          <w:b/>
          <w:bCs/>
          <w:szCs w:val="22"/>
          <w:lang w:val="fr-FR"/>
        </w:rPr>
        <w:t>’</w:t>
      </w:r>
      <w:r w:rsidRPr="00CC5550">
        <w:rPr>
          <w:b/>
          <w:bCs/>
          <w:szCs w:val="22"/>
          <w:lang w:val="fr-FR"/>
        </w:rPr>
        <w:t>innovation)</w:t>
      </w:r>
      <w:r w:rsidR="00ED786D" w:rsidRPr="00CC5550">
        <w:rPr>
          <w:lang w:val="fr-FR"/>
        </w:rPr>
        <w:t> :</w:t>
      </w:r>
    </w:p>
    <w:p w:rsidR="00891762" w:rsidRPr="00CC5550" w:rsidRDefault="00891762" w:rsidP="00CC5550">
      <w:pPr>
        <w:rPr>
          <w:b/>
          <w:bCs/>
          <w:szCs w:val="22"/>
          <w:lang w:val="fr-FR"/>
        </w:rPr>
      </w:pPr>
    </w:p>
    <w:p w:rsidR="00ED786D" w:rsidRPr="00CC5550" w:rsidRDefault="00BA1493" w:rsidP="00CC5550">
      <w:pPr>
        <w:rPr>
          <w:szCs w:val="22"/>
          <w:lang w:val="fr-FR" w:eastAsia="en-US"/>
        </w:rPr>
      </w:pPr>
      <w:r w:rsidRPr="00CC5550">
        <w:rPr>
          <w:szCs w:val="22"/>
          <w:lang w:val="fr-FR" w:eastAsia="en-US"/>
        </w:rPr>
        <w:t>L</w:t>
      </w:r>
      <w:r w:rsidR="00ED786D" w:rsidRPr="00CC5550">
        <w:rPr>
          <w:szCs w:val="22"/>
          <w:lang w:val="fr-FR" w:eastAsia="en-US"/>
        </w:rPr>
        <w:t>’</w:t>
      </w:r>
      <w:r w:rsidRPr="00CC5550">
        <w:rPr>
          <w:szCs w:val="22"/>
          <w:lang w:val="fr-FR" w:eastAsia="en-US"/>
        </w:rPr>
        <w:t>Office suédois des brevets et de l</w:t>
      </w:r>
      <w:r w:rsidR="00ED786D" w:rsidRPr="00CC5550">
        <w:rPr>
          <w:szCs w:val="22"/>
          <w:lang w:val="fr-FR" w:eastAsia="en-US"/>
        </w:rPr>
        <w:t>’</w:t>
      </w:r>
      <w:r w:rsidRPr="00CC5550">
        <w:rPr>
          <w:szCs w:val="22"/>
          <w:lang w:val="fr-FR" w:eastAsia="en-US"/>
        </w:rPr>
        <w:t>enregistrement travaille à diffuser des informations relatives aux brevets et à la propriété intellectuelle de plusieurs manièr</w:t>
      </w:r>
      <w:r w:rsidR="00CA574B" w:rsidRPr="00CC5550">
        <w:rPr>
          <w:szCs w:val="22"/>
          <w:lang w:val="fr-FR" w:eastAsia="en-US"/>
        </w:rPr>
        <w:t>es.  La</w:t>
      </w:r>
      <w:r w:rsidRPr="00CC5550">
        <w:rPr>
          <w:szCs w:val="22"/>
          <w:lang w:val="fr-FR" w:eastAsia="en-US"/>
        </w:rPr>
        <w:t xml:space="preserve"> stratégie employée pour soutenir les </w:t>
      </w:r>
      <w:r w:rsidR="00891762" w:rsidRPr="00CC5550">
        <w:rPr>
          <w:szCs w:val="22"/>
          <w:lang w:val="fr-FR" w:eastAsia="en-US"/>
        </w:rPr>
        <w:t>entrepreneurs</w:t>
      </w:r>
      <w:r w:rsidRPr="00CC5550">
        <w:rPr>
          <w:szCs w:val="22"/>
          <w:lang w:val="fr-FR" w:eastAsia="en-US"/>
        </w:rPr>
        <w:t xml:space="preserve"> et</w:t>
      </w:r>
      <w:r w:rsidR="00ED786D" w:rsidRPr="00CC5550">
        <w:rPr>
          <w:szCs w:val="22"/>
          <w:lang w:val="fr-FR" w:eastAsia="en-US"/>
        </w:rPr>
        <w:t xml:space="preserve"> les PME</w:t>
      </w:r>
      <w:r w:rsidRPr="00CC5550">
        <w:rPr>
          <w:szCs w:val="22"/>
          <w:lang w:val="fr-FR" w:eastAsia="en-US"/>
        </w:rPr>
        <w:t xml:space="preserve"> en leur communiquant des informations est de combiner un accès à des informations précieuses sur des </w:t>
      </w:r>
      <w:r w:rsidR="006C39C7" w:rsidRPr="00CC5550">
        <w:rPr>
          <w:szCs w:val="22"/>
          <w:lang w:val="fr-FR" w:eastAsia="en-US"/>
        </w:rPr>
        <w:t>plateformes</w:t>
      </w:r>
      <w:r w:rsidRPr="00CC5550">
        <w:rPr>
          <w:szCs w:val="22"/>
          <w:lang w:val="fr-FR" w:eastAsia="en-US"/>
        </w:rPr>
        <w:t xml:space="preserve"> numériques avec des rencontres </w:t>
      </w:r>
      <w:r w:rsidR="003D0980" w:rsidRPr="00CC5550">
        <w:rPr>
          <w:szCs w:val="22"/>
          <w:lang w:val="fr-FR" w:eastAsia="en-US"/>
        </w:rPr>
        <w:t>en personne</w:t>
      </w:r>
      <w:r w:rsidRPr="00CC5550">
        <w:rPr>
          <w:szCs w:val="22"/>
          <w:lang w:val="fr-FR" w:eastAsia="en-US"/>
        </w:rPr>
        <w:t>, mais aussi par le biais d</w:t>
      </w:r>
      <w:r w:rsidR="00ED786D" w:rsidRPr="00CC5550">
        <w:rPr>
          <w:szCs w:val="22"/>
          <w:lang w:val="fr-FR" w:eastAsia="en-US"/>
        </w:rPr>
        <w:t>’</w:t>
      </w:r>
      <w:r w:rsidRPr="00CC5550">
        <w:rPr>
          <w:szCs w:val="22"/>
          <w:lang w:val="fr-FR" w:eastAsia="en-US"/>
        </w:rPr>
        <w:t>intermédiaires telles que diverses organisation</w:t>
      </w:r>
      <w:r w:rsidR="00891762" w:rsidRPr="00CC5550">
        <w:rPr>
          <w:szCs w:val="22"/>
          <w:lang w:val="fr-FR" w:eastAsia="en-US"/>
        </w:rPr>
        <w:t>s</w:t>
      </w:r>
      <w:r w:rsidRPr="00CC5550">
        <w:rPr>
          <w:szCs w:val="22"/>
          <w:lang w:val="fr-FR" w:eastAsia="en-US"/>
        </w:rPr>
        <w:t xml:space="preserve"> de conseils publics.</w:t>
      </w:r>
    </w:p>
    <w:p w:rsidR="00891762" w:rsidRPr="00CC5550" w:rsidRDefault="00891762" w:rsidP="00CC5550">
      <w:pPr>
        <w:rPr>
          <w:szCs w:val="22"/>
          <w:lang w:val="fr-FR" w:eastAsia="en-US"/>
        </w:rPr>
      </w:pPr>
    </w:p>
    <w:p w:rsidR="00ED786D" w:rsidRPr="00CC5550" w:rsidRDefault="00891762" w:rsidP="00CC5550">
      <w:pPr>
        <w:rPr>
          <w:szCs w:val="22"/>
          <w:lang w:val="fr-FR" w:eastAsia="en-US"/>
        </w:rPr>
      </w:pPr>
      <w:r w:rsidRPr="00CC5550">
        <w:rPr>
          <w:szCs w:val="22"/>
          <w:lang w:val="fr-FR" w:eastAsia="en-US"/>
        </w:rPr>
        <w:t>Le site</w:t>
      </w:r>
      <w:r w:rsidR="006C39C7" w:rsidRPr="00CC5550">
        <w:rPr>
          <w:szCs w:val="22"/>
          <w:lang w:val="fr-FR" w:eastAsia="en-US"/>
        </w:rPr>
        <w:t> </w:t>
      </w:r>
      <w:r w:rsidRPr="00CC5550">
        <w:rPr>
          <w:szCs w:val="22"/>
          <w:lang w:val="fr-FR" w:eastAsia="en-US"/>
        </w:rPr>
        <w:t>Web de l</w:t>
      </w:r>
      <w:r w:rsidR="00ED786D" w:rsidRPr="00CC5550">
        <w:rPr>
          <w:szCs w:val="22"/>
          <w:lang w:val="fr-FR" w:eastAsia="en-US"/>
        </w:rPr>
        <w:t>’</w:t>
      </w:r>
      <w:r w:rsidRPr="00CC5550">
        <w:rPr>
          <w:szCs w:val="22"/>
          <w:lang w:val="fr-FR" w:eastAsia="en-US"/>
        </w:rPr>
        <w:t>Office suédois des brevets et de l</w:t>
      </w:r>
      <w:r w:rsidR="00ED786D" w:rsidRPr="00CC5550">
        <w:rPr>
          <w:szCs w:val="22"/>
          <w:lang w:val="fr-FR" w:eastAsia="en-US"/>
        </w:rPr>
        <w:t>’</w:t>
      </w:r>
      <w:r w:rsidRPr="00CC5550">
        <w:rPr>
          <w:szCs w:val="22"/>
          <w:lang w:val="fr-FR" w:eastAsia="en-US"/>
        </w:rPr>
        <w:t>enregistrement et</w:t>
      </w:r>
      <w:r w:rsidR="0087401B" w:rsidRPr="00CC5550">
        <w:rPr>
          <w:szCs w:val="22"/>
          <w:lang w:val="fr-FR" w:eastAsia="en-US"/>
        </w:rPr>
        <w:t xml:space="preserve"> de</w:t>
      </w:r>
      <w:r w:rsidRPr="00CC5550">
        <w:rPr>
          <w:szCs w:val="22"/>
          <w:lang w:val="fr-FR" w:eastAsia="en-US"/>
        </w:rPr>
        <w:t xml:space="preserve"> verksamt.se fonctionnent tous deux comme des </w:t>
      </w:r>
      <w:r w:rsidR="006C39C7" w:rsidRPr="00CC5550">
        <w:rPr>
          <w:szCs w:val="22"/>
          <w:lang w:val="fr-FR" w:eastAsia="en-US"/>
        </w:rPr>
        <w:t>plateformes</w:t>
      </w:r>
      <w:r w:rsidRPr="00CC5550">
        <w:rPr>
          <w:szCs w:val="22"/>
          <w:lang w:val="fr-FR" w:eastAsia="en-US"/>
        </w:rPr>
        <w:t xml:space="preserve"> numériques destinées à diffuser des informatio</w:t>
      </w:r>
      <w:r w:rsidR="00CA574B" w:rsidRPr="00CC5550">
        <w:rPr>
          <w:szCs w:val="22"/>
          <w:lang w:val="fr-FR" w:eastAsia="en-US"/>
        </w:rPr>
        <w:t>ns.  Ve</w:t>
      </w:r>
      <w:r w:rsidRPr="00CC5550">
        <w:rPr>
          <w:szCs w:val="22"/>
          <w:lang w:val="fr-FR" w:eastAsia="en-US"/>
        </w:rPr>
        <w:t>rksamt.se a été créé par un réseau d</w:t>
      </w:r>
      <w:r w:rsidR="00ED786D" w:rsidRPr="00CC5550">
        <w:rPr>
          <w:szCs w:val="22"/>
          <w:lang w:val="fr-FR" w:eastAsia="en-US"/>
        </w:rPr>
        <w:t>’</w:t>
      </w:r>
      <w:r w:rsidRPr="00CC5550">
        <w:rPr>
          <w:szCs w:val="22"/>
          <w:lang w:val="fr-FR" w:eastAsia="en-US"/>
        </w:rPr>
        <w:t>organismes suédois d</w:t>
      </w:r>
      <w:r w:rsidR="00ED786D" w:rsidRPr="00CC5550">
        <w:rPr>
          <w:szCs w:val="22"/>
          <w:lang w:val="fr-FR" w:eastAsia="en-US"/>
        </w:rPr>
        <w:t>’</w:t>
      </w:r>
      <w:r w:rsidRPr="00CC5550">
        <w:rPr>
          <w:szCs w:val="22"/>
          <w:lang w:val="fr-FR" w:eastAsia="en-US"/>
        </w:rPr>
        <w:t>appui à l</w:t>
      </w:r>
      <w:r w:rsidR="00ED786D" w:rsidRPr="00CC5550">
        <w:rPr>
          <w:szCs w:val="22"/>
          <w:lang w:val="fr-FR" w:eastAsia="en-US"/>
        </w:rPr>
        <w:t>’</w:t>
      </w:r>
      <w:r w:rsidRPr="00CC5550">
        <w:rPr>
          <w:szCs w:val="22"/>
          <w:lang w:val="fr-FR" w:eastAsia="en-US"/>
        </w:rPr>
        <w:t>innovation, dans le but de fournir</w:t>
      </w:r>
      <w:r w:rsidR="0087401B" w:rsidRPr="00CC5550">
        <w:rPr>
          <w:szCs w:val="22"/>
          <w:lang w:val="fr-FR" w:eastAsia="en-US"/>
        </w:rPr>
        <w:t xml:space="preserve"> toutes</w:t>
      </w:r>
      <w:r w:rsidRPr="00CC5550">
        <w:rPr>
          <w:szCs w:val="22"/>
          <w:lang w:val="fr-FR" w:eastAsia="en-US"/>
        </w:rPr>
        <w:t xml:space="preserve"> les informations nécessaires pour ouvrir, développer et gérer une entreprise, le tout sur un</w:t>
      </w:r>
      <w:r w:rsidR="0087401B" w:rsidRPr="00CC5550">
        <w:rPr>
          <w:szCs w:val="22"/>
          <w:lang w:val="fr-FR" w:eastAsia="en-US"/>
        </w:rPr>
        <w:t>e</w:t>
      </w:r>
      <w:r w:rsidRPr="00CC5550">
        <w:rPr>
          <w:szCs w:val="22"/>
          <w:lang w:val="fr-FR" w:eastAsia="en-US"/>
        </w:rPr>
        <w:t xml:space="preserve"> </w:t>
      </w:r>
      <w:r w:rsidR="006C39C7" w:rsidRPr="00CC5550">
        <w:rPr>
          <w:szCs w:val="22"/>
          <w:lang w:val="fr-FR" w:eastAsia="en-US"/>
        </w:rPr>
        <w:t>plateforme</w:t>
      </w:r>
      <w:r w:rsidRPr="00CC5550">
        <w:rPr>
          <w:szCs w:val="22"/>
          <w:lang w:val="fr-FR" w:eastAsia="en-US"/>
        </w:rPr>
        <w:t xml:space="preserve"> commu</w:t>
      </w:r>
      <w:r w:rsidR="00CA574B" w:rsidRPr="00CC5550">
        <w:rPr>
          <w:szCs w:val="22"/>
          <w:lang w:val="fr-FR" w:eastAsia="en-US"/>
        </w:rPr>
        <w:t>ne.  Gr</w:t>
      </w:r>
      <w:r w:rsidRPr="00CC5550">
        <w:rPr>
          <w:szCs w:val="22"/>
          <w:lang w:val="fr-FR" w:eastAsia="en-US"/>
        </w:rPr>
        <w:t>âce à sa contribution au réseau, l</w:t>
      </w:r>
      <w:r w:rsidR="00ED786D" w:rsidRPr="00CC5550">
        <w:rPr>
          <w:szCs w:val="22"/>
          <w:lang w:val="fr-FR" w:eastAsia="en-US"/>
        </w:rPr>
        <w:t>’</w:t>
      </w:r>
      <w:r w:rsidRPr="00CC5550">
        <w:rPr>
          <w:szCs w:val="22"/>
          <w:lang w:val="fr-FR" w:eastAsia="en-US"/>
        </w:rPr>
        <w:t>Office suédois des brevets et de l</w:t>
      </w:r>
      <w:r w:rsidR="00ED786D" w:rsidRPr="00CC5550">
        <w:rPr>
          <w:szCs w:val="22"/>
          <w:lang w:val="fr-FR" w:eastAsia="en-US"/>
        </w:rPr>
        <w:t>’</w:t>
      </w:r>
      <w:r w:rsidRPr="00CC5550">
        <w:rPr>
          <w:szCs w:val="22"/>
          <w:lang w:val="fr-FR" w:eastAsia="en-US"/>
        </w:rPr>
        <w:t>enregistrement a fait en sorte que les informations relatives à la propriété intellectuelle soient fournies dans un contexte pertinent.</w:t>
      </w:r>
    </w:p>
    <w:p w:rsidR="00891762" w:rsidRPr="00CC5550" w:rsidRDefault="00891762" w:rsidP="00CC5550">
      <w:pPr>
        <w:rPr>
          <w:szCs w:val="22"/>
          <w:lang w:val="fr-FR" w:eastAsia="en-US"/>
        </w:rPr>
      </w:pPr>
    </w:p>
    <w:p w:rsidR="00ED786D" w:rsidRPr="00CC5550" w:rsidRDefault="00142FA3" w:rsidP="00CC5550">
      <w:pPr>
        <w:rPr>
          <w:szCs w:val="22"/>
          <w:lang w:val="fr-FR" w:eastAsia="en-US"/>
        </w:rPr>
      </w:pPr>
      <w:r w:rsidRPr="00CC5550">
        <w:rPr>
          <w:szCs w:val="22"/>
          <w:lang w:val="fr-FR" w:eastAsia="en-US"/>
        </w:rPr>
        <w:t>Afin de permettre d</w:t>
      </w:r>
      <w:r w:rsidR="00ED786D" w:rsidRPr="00CC5550">
        <w:rPr>
          <w:szCs w:val="22"/>
          <w:lang w:val="fr-FR" w:eastAsia="en-US"/>
        </w:rPr>
        <w:t>’</w:t>
      </w:r>
      <w:r w:rsidRPr="00CC5550">
        <w:rPr>
          <w:szCs w:val="22"/>
          <w:lang w:val="fr-FR" w:eastAsia="en-US"/>
        </w:rPr>
        <w:t xml:space="preserve">organiser des rencontres </w:t>
      </w:r>
      <w:r w:rsidR="003D0980" w:rsidRPr="00CC5550">
        <w:rPr>
          <w:szCs w:val="22"/>
          <w:lang w:val="fr-FR" w:eastAsia="en-US"/>
        </w:rPr>
        <w:t>en personne</w:t>
      </w:r>
      <w:r w:rsidRPr="00CC5550">
        <w:rPr>
          <w:szCs w:val="22"/>
          <w:lang w:val="fr-FR" w:eastAsia="en-US"/>
        </w:rPr>
        <w:t>, l</w:t>
      </w:r>
      <w:r w:rsidR="00ED786D" w:rsidRPr="00CC5550">
        <w:rPr>
          <w:szCs w:val="22"/>
          <w:lang w:val="fr-FR" w:eastAsia="en-US"/>
        </w:rPr>
        <w:t>’</w:t>
      </w:r>
      <w:r w:rsidRPr="00CC5550">
        <w:rPr>
          <w:szCs w:val="22"/>
          <w:lang w:val="fr-FR" w:eastAsia="en-US"/>
        </w:rPr>
        <w:t>Office suédois des brevets et de l</w:t>
      </w:r>
      <w:r w:rsidR="00ED786D" w:rsidRPr="00CC5550">
        <w:rPr>
          <w:szCs w:val="22"/>
          <w:lang w:val="fr-FR" w:eastAsia="en-US"/>
        </w:rPr>
        <w:t>’</w:t>
      </w:r>
      <w:r w:rsidRPr="00CC5550">
        <w:rPr>
          <w:szCs w:val="22"/>
          <w:lang w:val="fr-FR" w:eastAsia="en-US"/>
        </w:rPr>
        <w:t>enregistrement est régulièrement présent aux journées de l</w:t>
      </w:r>
      <w:r w:rsidR="00ED786D" w:rsidRPr="00CC5550">
        <w:rPr>
          <w:szCs w:val="22"/>
          <w:lang w:val="fr-FR" w:eastAsia="en-US"/>
        </w:rPr>
        <w:t>’</w:t>
      </w:r>
      <w:r w:rsidRPr="00CC5550">
        <w:rPr>
          <w:szCs w:val="22"/>
          <w:lang w:val="fr-FR" w:eastAsia="en-US"/>
        </w:rPr>
        <w:t>innovation au</w:t>
      </w:r>
      <w:r w:rsidR="00F350DD" w:rsidRPr="00CC5550">
        <w:rPr>
          <w:szCs w:val="22"/>
          <w:lang w:val="fr-FR" w:eastAsia="en-US"/>
        </w:rPr>
        <w:t xml:space="preserve">x </w:t>
      </w:r>
      <w:r w:rsidRPr="00CC5550">
        <w:rPr>
          <w:szCs w:val="22"/>
          <w:lang w:val="fr-FR" w:eastAsia="en-US"/>
        </w:rPr>
        <w:t>niveau</w:t>
      </w:r>
      <w:r w:rsidR="00F350DD" w:rsidRPr="00CC5550">
        <w:rPr>
          <w:szCs w:val="22"/>
          <w:lang w:val="fr-FR" w:eastAsia="en-US"/>
        </w:rPr>
        <w:t xml:space="preserve">x </w:t>
      </w:r>
      <w:r w:rsidRPr="00CC5550">
        <w:rPr>
          <w:szCs w:val="22"/>
          <w:lang w:val="fr-FR" w:eastAsia="en-US"/>
        </w:rPr>
        <w:t>local et régio</w:t>
      </w:r>
      <w:r w:rsidR="00BA5DA7" w:rsidRPr="00CC5550">
        <w:rPr>
          <w:szCs w:val="22"/>
          <w:lang w:val="fr-FR" w:eastAsia="en-US"/>
        </w:rPr>
        <w:t>n</w:t>
      </w:r>
      <w:r w:rsidRPr="00CC5550">
        <w:rPr>
          <w:szCs w:val="22"/>
          <w:lang w:val="fr-FR" w:eastAsia="en-US"/>
        </w:rPr>
        <w:t>al dans toute la Suède, afin d</w:t>
      </w:r>
      <w:r w:rsidR="00ED786D" w:rsidRPr="00CC5550">
        <w:rPr>
          <w:szCs w:val="22"/>
          <w:lang w:val="fr-FR" w:eastAsia="en-US"/>
        </w:rPr>
        <w:t>’</w:t>
      </w:r>
      <w:r w:rsidRPr="00CC5550">
        <w:rPr>
          <w:szCs w:val="22"/>
          <w:lang w:val="fr-FR" w:eastAsia="en-US"/>
        </w:rPr>
        <w:t>apporter des informations au sujet de la propriété intellectuelle.</w:t>
      </w:r>
    </w:p>
    <w:p w:rsidR="00891762" w:rsidRPr="00CC5550" w:rsidRDefault="00891762" w:rsidP="00CC5550">
      <w:pPr>
        <w:rPr>
          <w:szCs w:val="22"/>
          <w:lang w:val="fr-FR" w:eastAsia="en-US"/>
        </w:rPr>
      </w:pPr>
    </w:p>
    <w:p w:rsidR="00ED786D" w:rsidRPr="00CC5550" w:rsidRDefault="00142FA3" w:rsidP="00CC5550">
      <w:pPr>
        <w:rPr>
          <w:szCs w:val="22"/>
          <w:lang w:val="fr-FR" w:eastAsia="en-US"/>
        </w:rPr>
      </w:pPr>
      <w:r w:rsidRPr="00CC5550">
        <w:rPr>
          <w:szCs w:val="22"/>
          <w:lang w:val="fr-FR" w:eastAsia="en-US"/>
        </w:rPr>
        <w:t>Le réseau d</w:t>
      </w:r>
      <w:r w:rsidR="00ED786D" w:rsidRPr="00CC5550">
        <w:rPr>
          <w:szCs w:val="22"/>
          <w:lang w:val="fr-FR" w:eastAsia="en-US"/>
        </w:rPr>
        <w:t>’</w:t>
      </w:r>
      <w:r w:rsidRPr="00CC5550">
        <w:rPr>
          <w:szCs w:val="22"/>
          <w:lang w:val="fr-FR" w:eastAsia="en-US"/>
        </w:rPr>
        <w:t>organismes d</w:t>
      </w:r>
      <w:r w:rsidR="00ED786D" w:rsidRPr="00CC5550">
        <w:rPr>
          <w:szCs w:val="22"/>
          <w:lang w:val="fr-FR" w:eastAsia="en-US"/>
        </w:rPr>
        <w:t>’</w:t>
      </w:r>
      <w:r w:rsidRPr="00CC5550">
        <w:rPr>
          <w:szCs w:val="22"/>
          <w:lang w:val="fr-FR" w:eastAsia="en-US"/>
        </w:rPr>
        <w:t>appui à l</w:t>
      </w:r>
      <w:r w:rsidR="00ED786D" w:rsidRPr="00CC5550">
        <w:rPr>
          <w:szCs w:val="22"/>
          <w:lang w:val="fr-FR" w:eastAsia="en-US"/>
        </w:rPr>
        <w:t>’</w:t>
      </w:r>
      <w:r w:rsidRPr="00CC5550">
        <w:rPr>
          <w:szCs w:val="22"/>
          <w:lang w:val="fr-FR" w:eastAsia="en-US"/>
        </w:rPr>
        <w:t>innovatio</w:t>
      </w:r>
      <w:r w:rsidR="00BA5DA7" w:rsidRPr="00CC5550">
        <w:rPr>
          <w:szCs w:val="22"/>
          <w:lang w:val="fr-FR" w:eastAsia="en-US"/>
        </w:rPr>
        <w:t>n (mentionné ci</w:t>
      </w:r>
      <w:r w:rsidR="00F350DD" w:rsidRPr="00CC5550">
        <w:rPr>
          <w:szCs w:val="22"/>
          <w:lang w:val="fr-FR" w:eastAsia="en-US"/>
        </w:rPr>
        <w:noBreakHyphen/>
      </w:r>
      <w:r w:rsidR="00BA5DA7" w:rsidRPr="00CC5550">
        <w:rPr>
          <w:szCs w:val="22"/>
          <w:lang w:val="fr-FR" w:eastAsia="en-US"/>
        </w:rPr>
        <w:t xml:space="preserve">dessus) </w:t>
      </w:r>
      <w:r w:rsidR="003D0980" w:rsidRPr="00CC5550">
        <w:rPr>
          <w:szCs w:val="22"/>
          <w:lang w:val="fr-FR" w:eastAsia="en-US"/>
        </w:rPr>
        <w:t>organise aussi des</w:t>
      </w:r>
      <w:r w:rsidRPr="00CC5550">
        <w:rPr>
          <w:szCs w:val="22"/>
          <w:lang w:val="fr-FR" w:eastAsia="en-US"/>
        </w:rPr>
        <w:t xml:space="preserve"> journées</w:t>
      </w:r>
      <w:r w:rsidR="003D0980" w:rsidRPr="00CC5550">
        <w:rPr>
          <w:szCs w:val="22"/>
          <w:lang w:val="fr-FR" w:eastAsia="en-US"/>
        </w:rPr>
        <w:t xml:space="preserve"> sur les jeunes entreprises</w:t>
      </w:r>
      <w:r w:rsidRPr="00CC5550">
        <w:rPr>
          <w:szCs w:val="22"/>
          <w:lang w:val="fr-FR" w:eastAsia="en-US"/>
        </w:rPr>
        <w:t xml:space="preserve">, </w:t>
      </w:r>
      <w:r w:rsidR="003D0980" w:rsidRPr="00CC5550">
        <w:rPr>
          <w:szCs w:val="22"/>
          <w:lang w:val="fr-FR" w:eastAsia="en-US"/>
        </w:rPr>
        <w:t>qui attire</w:t>
      </w:r>
      <w:r w:rsidRPr="00CC5550">
        <w:rPr>
          <w:szCs w:val="22"/>
          <w:lang w:val="fr-FR" w:eastAsia="en-US"/>
        </w:rPr>
        <w:t xml:space="preserve">nt de nombreux participants, </w:t>
      </w:r>
      <w:r w:rsidR="003D0980" w:rsidRPr="00CC5550">
        <w:rPr>
          <w:szCs w:val="22"/>
          <w:lang w:val="fr-FR" w:eastAsia="en-US"/>
        </w:rPr>
        <w:t>et au cours desquelles d</w:t>
      </w:r>
      <w:r w:rsidRPr="00CC5550">
        <w:rPr>
          <w:szCs w:val="22"/>
          <w:lang w:val="fr-FR" w:eastAsia="en-US"/>
        </w:rPr>
        <w:t>es informations relatives à la propriété intellectuelle</w:t>
      </w:r>
      <w:r w:rsidR="003D0980" w:rsidRPr="00CC5550">
        <w:rPr>
          <w:szCs w:val="22"/>
          <w:lang w:val="fr-FR" w:eastAsia="en-US"/>
        </w:rPr>
        <w:t xml:space="preserve"> sont échangées</w:t>
      </w:r>
      <w:r w:rsidRPr="00CC5550">
        <w:rPr>
          <w:szCs w:val="22"/>
          <w:lang w:val="fr-FR" w:eastAsia="en-US"/>
        </w:rPr>
        <w:t>.</w:t>
      </w:r>
    </w:p>
    <w:p w:rsidR="00891762" w:rsidRPr="00CC5550" w:rsidRDefault="00ED786D" w:rsidP="00CC5550">
      <w:pPr>
        <w:rPr>
          <w:szCs w:val="22"/>
          <w:lang w:val="fr-FR" w:eastAsia="en-US"/>
        </w:rPr>
      </w:pPr>
      <w:r w:rsidRPr="00CC5550">
        <w:rPr>
          <w:szCs w:val="22"/>
          <w:lang w:val="fr-FR" w:eastAsia="en-US"/>
        </w:rPr>
        <w:t>En 2016</w:t>
      </w:r>
      <w:r w:rsidR="000817E1" w:rsidRPr="00CC5550">
        <w:rPr>
          <w:szCs w:val="22"/>
          <w:lang w:val="fr-FR" w:eastAsia="en-US"/>
        </w:rPr>
        <w:t>, dans le cadre de la stratégie d</w:t>
      </w:r>
      <w:r w:rsidRPr="00CC5550">
        <w:rPr>
          <w:szCs w:val="22"/>
          <w:lang w:val="fr-FR" w:eastAsia="en-US"/>
        </w:rPr>
        <w:t>’</w:t>
      </w:r>
      <w:r w:rsidR="000817E1" w:rsidRPr="00CC5550">
        <w:rPr>
          <w:szCs w:val="22"/>
          <w:lang w:val="fr-FR" w:eastAsia="en-US"/>
        </w:rPr>
        <w:t>exportation du Gouvernement suédois, six</w:t>
      </w:r>
      <w:r w:rsidR="006C39C7" w:rsidRPr="00CC5550">
        <w:rPr>
          <w:szCs w:val="22"/>
          <w:lang w:val="fr-FR" w:eastAsia="en-US"/>
        </w:rPr>
        <w:t> </w:t>
      </w:r>
      <w:r w:rsidR="000817E1" w:rsidRPr="00CC5550">
        <w:rPr>
          <w:szCs w:val="22"/>
          <w:lang w:val="fr-FR" w:eastAsia="en-US"/>
        </w:rPr>
        <w:t>centres régionaux d</w:t>
      </w:r>
      <w:r w:rsidRPr="00CC5550">
        <w:rPr>
          <w:szCs w:val="22"/>
          <w:lang w:val="fr-FR" w:eastAsia="en-US"/>
        </w:rPr>
        <w:t>’</w:t>
      </w:r>
      <w:r w:rsidR="000817E1" w:rsidRPr="00CC5550">
        <w:rPr>
          <w:szCs w:val="22"/>
          <w:lang w:val="fr-FR" w:eastAsia="en-US"/>
        </w:rPr>
        <w:t>exportation ont été cré</w:t>
      </w:r>
      <w:r w:rsidR="00CA574B" w:rsidRPr="00CC5550">
        <w:rPr>
          <w:szCs w:val="22"/>
          <w:lang w:val="fr-FR" w:eastAsia="en-US"/>
        </w:rPr>
        <w:t>és.  En</w:t>
      </w:r>
      <w:r w:rsidR="000817E1" w:rsidRPr="00CC5550">
        <w:rPr>
          <w:szCs w:val="22"/>
          <w:lang w:val="fr-FR" w:eastAsia="en-US"/>
        </w:rPr>
        <w:t xml:space="preserve"> tant qu</w:t>
      </w:r>
      <w:r w:rsidRPr="00CC5550">
        <w:rPr>
          <w:szCs w:val="22"/>
          <w:lang w:val="fr-FR" w:eastAsia="en-US"/>
        </w:rPr>
        <w:t>’</w:t>
      </w:r>
      <w:r w:rsidR="000817E1" w:rsidRPr="00CC5550">
        <w:rPr>
          <w:szCs w:val="22"/>
          <w:lang w:val="fr-FR" w:eastAsia="en-US"/>
        </w:rPr>
        <w:t>organisme national, l</w:t>
      </w:r>
      <w:r w:rsidRPr="00CC5550">
        <w:rPr>
          <w:szCs w:val="22"/>
          <w:lang w:val="fr-FR" w:eastAsia="en-US"/>
        </w:rPr>
        <w:t>’</w:t>
      </w:r>
      <w:r w:rsidR="000817E1" w:rsidRPr="00CC5550">
        <w:rPr>
          <w:szCs w:val="22"/>
          <w:lang w:val="fr-FR" w:eastAsia="en-US"/>
        </w:rPr>
        <w:t>Office suédois des brevets et de l</w:t>
      </w:r>
      <w:r w:rsidRPr="00CC5550">
        <w:rPr>
          <w:szCs w:val="22"/>
          <w:lang w:val="fr-FR" w:eastAsia="en-US"/>
        </w:rPr>
        <w:t>’</w:t>
      </w:r>
      <w:r w:rsidR="000817E1" w:rsidRPr="00CC5550">
        <w:rPr>
          <w:szCs w:val="22"/>
          <w:lang w:val="fr-FR" w:eastAsia="en-US"/>
        </w:rPr>
        <w:t xml:space="preserve">enregistrement fait partie de ces </w:t>
      </w:r>
      <w:r w:rsidR="00BA5DA7" w:rsidRPr="00CC5550">
        <w:rPr>
          <w:szCs w:val="22"/>
          <w:lang w:val="fr-FR" w:eastAsia="en-US"/>
        </w:rPr>
        <w:t>réseaux</w:t>
      </w:r>
      <w:r w:rsidR="000817E1" w:rsidRPr="00CC5550">
        <w:rPr>
          <w:szCs w:val="22"/>
          <w:lang w:val="fr-FR" w:eastAsia="en-US"/>
        </w:rPr>
        <w:t xml:space="preserve"> de centres d</w:t>
      </w:r>
      <w:r w:rsidRPr="00CC5550">
        <w:rPr>
          <w:szCs w:val="22"/>
          <w:lang w:val="fr-FR" w:eastAsia="en-US"/>
        </w:rPr>
        <w:t>’</w:t>
      </w:r>
      <w:r w:rsidR="000817E1" w:rsidRPr="00CC5550">
        <w:rPr>
          <w:szCs w:val="22"/>
          <w:lang w:val="fr-FR" w:eastAsia="en-US"/>
        </w:rPr>
        <w:t>information et d</w:t>
      </w:r>
      <w:r w:rsidRPr="00CC5550">
        <w:rPr>
          <w:szCs w:val="22"/>
          <w:lang w:val="fr-FR" w:eastAsia="en-US"/>
        </w:rPr>
        <w:t>’</w:t>
      </w:r>
      <w:r w:rsidR="000817E1" w:rsidRPr="00CC5550">
        <w:rPr>
          <w:szCs w:val="22"/>
          <w:lang w:val="fr-FR" w:eastAsia="en-US"/>
        </w:rPr>
        <w:t>appui à la propriété intellectuelle.</w:t>
      </w:r>
    </w:p>
    <w:p w:rsidR="00891762" w:rsidRPr="00CC5550" w:rsidRDefault="00891762" w:rsidP="00CC5550">
      <w:pPr>
        <w:rPr>
          <w:szCs w:val="22"/>
          <w:lang w:val="fr-FR" w:eastAsia="en-US"/>
        </w:rPr>
      </w:pPr>
    </w:p>
    <w:p w:rsidR="00891762" w:rsidRPr="00CC5550" w:rsidRDefault="00485E81" w:rsidP="00CC5550">
      <w:pPr>
        <w:rPr>
          <w:szCs w:val="22"/>
          <w:lang w:val="fr-FR" w:eastAsia="en-US"/>
        </w:rPr>
      </w:pPr>
      <w:r w:rsidRPr="00CC5550">
        <w:rPr>
          <w:szCs w:val="22"/>
          <w:lang w:val="fr-FR" w:eastAsia="en-US"/>
        </w:rPr>
        <w:t>Il</w:t>
      </w:r>
      <w:r w:rsidR="000817E1" w:rsidRPr="00CC5550">
        <w:rPr>
          <w:szCs w:val="22"/>
          <w:lang w:val="fr-FR" w:eastAsia="en-US"/>
        </w:rPr>
        <w:t xml:space="preserve"> a aussi mis en place un réseau d</w:t>
      </w:r>
      <w:r w:rsidR="00ED786D" w:rsidRPr="00CC5550">
        <w:rPr>
          <w:szCs w:val="22"/>
          <w:lang w:val="fr-FR" w:eastAsia="en-US"/>
        </w:rPr>
        <w:t>’</w:t>
      </w:r>
      <w:r w:rsidR="000817E1" w:rsidRPr="00CC5550">
        <w:rPr>
          <w:szCs w:val="22"/>
          <w:lang w:val="fr-FR" w:eastAsia="en-US"/>
        </w:rPr>
        <w:t>intermédiaires et il organise fréquemment des formations et séminaires pour ces organisatio</w:t>
      </w:r>
      <w:r w:rsidR="00CA574B" w:rsidRPr="00CC5550">
        <w:rPr>
          <w:szCs w:val="22"/>
          <w:lang w:val="fr-FR" w:eastAsia="en-US"/>
        </w:rPr>
        <w:t>ns.  Pa</w:t>
      </w:r>
      <w:r w:rsidR="000817E1" w:rsidRPr="00CC5550">
        <w:rPr>
          <w:szCs w:val="22"/>
          <w:lang w:val="fr-FR" w:eastAsia="en-US"/>
        </w:rPr>
        <w:t xml:space="preserve">r exemple, il diffuse </w:t>
      </w:r>
      <w:r w:rsidR="00ED786D" w:rsidRPr="00CC5550">
        <w:rPr>
          <w:szCs w:val="22"/>
          <w:lang w:val="fr-FR" w:eastAsia="en-US"/>
        </w:rPr>
        <w:t>depuis 2013</w:t>
      </w:r>
      <w:r w:rsidR="000817E1" w:rsidRPr="00CC5550">
        <w:rPr>
          <w:szCs w:val="22"/>
          <w:lang w:val="fr-FR" w:eastAsia="en-US"/>
        </w:rPr>
        <w:t>, en collaboration avec l</w:t>
      </w:r>
      <w:r w:rsidR="00ED786D" w:rsidRPr="00CC5550">
        <w:rPr>
          <w:szCs w:val="22"/>
          <w:lang w:val="fr-FR" w:eastAsia="en-US"/>
        </w:rPr>
        <w:t>’</w:t>
      </w:r>
      <w:r w:rsidR="000817E1" w:rsidRPr="00CC5550">
        <w:rPr>
          <w:szCs w:val="22"/>
          <w:lang w:val="fr-FR" w:eastAsia="en-US"/>
        </w:rPr>
        <w:t>organisme d</w:t>
      </w:r>
      <w:r w:rsidR="00ED786D" w:rsidRPr="00CC5550">
        <w:rPr>
          <w:szCs w:val="22"/>
          <w:lang w:val="fr-FR" w:eastAsia="en-US"/>
        </w:rPr>
        <w:t>’</w:t>
      </w:r>
      <w:r w:rsidR="000817E1" w:rsidRPr="00CC5550">
        <w:rPr>
          <w:szCs w:val="22"/>
          <w:lang w:val="fr-FR" w:eastAsia="en-US"/>
        </w:rPr>
        <w:t>innovation suédois, des séminaires sur Internet, sur différents sujets en lien avec la propriété intellectuelle, deux à quatre</w:t>
      </w:r>
      <w:r w:rsidR="006C39C7" w:rsidRPr="00CC5550">
        <w:rPr>
          <w:szCs w:val="22"/>
          <w:lang w:val="fr-FR" w:eastAsia="en-US"/>
        </w:rPr>
        <w:t> </w:t>
      </w:r>
      <w:r w:rsidR="000817E1" w:rsidRPr="00CC5550">
        <w:rPr>
          <w:szCs w:val="22"/>
          <w:lang w:val="fr-FR" w:eastAsia="en-US"/>
        </w:rPr>
        <w:t xml:space="preserve">fois par </w:t>
      </w:r>
      <w:r w:rsidR="00CA574B" w:rsidRPr="00CC5550">
        <w:rPr>
          <w:szCs w:val="22"/>
          <w:lang w:val="fr-FR" w:eastAsia="en-US"/>
        </w:rPr>
        <w:t>an.  Ce</w:t>
      </w:r>
      <w:r w:rsidR="007C3F24" w:rsidRPr="00CC5550">
        <w:rPr>
          <w:szCs w:val="22"/>
          <w:lang w:val="fr-FR" w:eastAsia="en-US"/>
        </w:rPr>
        <w:t>s séminaires sont également</w:t>
      </w:r>
      <w:r w:rsidRPr="00CC5550">
        <w:rPr>
          <w:szCs w:val="22"/>
          <w:lang w:val="fr-FR" w:eastAsia="en-US"/>
        </w:rPr>
        <w:t xml:space="preserve"> disponibles</w:t>
      </w:r>
      <w:r w:rsidR="007C3F24" w:rsidRPr="00CC5550">
        <w:rPr>
          <w:szCs w:val="22"/>
          <w:lang w:val="fr-FR" w:eastAsia="en-US"/>
        </w:rPr>
        <w:t xml:space="preserve"> sur le site</w:t>
      </w:r>
      <w:r w:rsidR="006C39C7" w:rsidRPr="00CC5550">
        <w:rPr>
          <w:szCs w:val="22"/>
          <w:lang w:val="fr-FR" w:eastAsia="en-US"/>
        </w:rPr>
        <w:t> </w:t>
      </w:r>
      <w:r w:rsidR="007C3F24" w:rsidRPr="00CC5550">
        <w:rPr>
          <w:szCs w:val="22"/>
          <w:lang w:val="fr-FR" w:eastAsia="en-US"/>
        </w:rPr>
        <w:t>Web de l</w:t>
      </w:r>
      <w:r w:rsidR="00ED786D" w:rsidRPr="00CC5550">
        <w:rPr>
          <w:szCs w:val="22"/>
          <w:lang w:val="fr-FR" w:eastAsia="en-US"/>
        </w:rPr>
        <w:t>’</w:t>
      </w:r>
      <w:r w:rsidR="007C3F24" w:rsidRPr="00CC5550">
        <w:rPr>
          <w:szCs w:val="22"/>
          <w:lang w:val="fr-FR" w:eastAsia="en-US"/>
        </w:rPr>
        <w:t>Office suédois des</w:t>
      </w:r>
      <w:r w:rsidR="00BA5DA7" w:rsidRPr="00CC5550">
        <w:rPr>
          <w:szCs w:val="22"/>
          <w:lang w:val="fr-FR" w:eastAsia="en-US"/>
        </w:rPr>
        <w:t xml:space="preserve"> brevets et de l</w:t>
      </w:r>
      <w:r w:rsidR="00ED786D" w:rsidRPr="00CC5550">
        <w:rPr>
          <w:szCs w:val="22"/>
          <w:lang w:val="fr-FR" w:eastAsia="en-US"/>
        </w:rPr>
        <w:t>’</w:t>
      </w:r>
      <w:r w:rsidR="00BA5DA7" w:rsidRPr="00CC5550">
        <w:rPr>
          <w:szCs w:val="22"/>
          <w:lang w:val="fr-FR" w:eastAsia="en-US"/>
        </w:rPr>
        <w:t>enregistrement</w:t>
      </w:r>
      <w:r w:rsidR="007C3F24" w:rsidRPr="00CC5550">
        <w:rPr>
          <w:szCs w:val="22"/>
          <w:lang w:val="fr-FR" w:eastAsia="en-US"/>
        </w:rPr>
        <w:t xml:space="preserve">, et ils peuvent être consultés </w:t>
      </w:r>
      <w:r w:rsidR="003D0980" w:rsidRPr="00CC5550">
        <w:rPr>
          <w:szCs w:val="22"/>
          <w:lang w:val="fr-FR" w:eastAsia="en-US"/>
        </w:rPr>
        <w:t>ultérieurement</w:t>
      </w:r>
      <w:r w:rsidR="007C3F24" w:rsidRPr="00CC5550">
        <w:rPr>
          <w:szCs w:val="22"/>
          <w:lang w:val="fr-FR" w:eastAsia="en-US"/>
        </w:rPr>
        <w:t>.</w:t>
      </w:r>
    </w:p>
    <w:p w:rsidR="00891762" w:rsidRPr="00CC5550" w:rsidRDefault="00891762" w:rsidP="00CC5550">
      <w:pPr>
        <w:rPr>
          <w:szCs w:val="22"/>
          <w:lang w:val="fr-FR"/>
        </w:rPr>
      </w:pPr>
    </w:p>
    <w:p w:rsidR="00ED786D" w:rsidRPr="00CC5550" w:rsidRDefault="007C3F24" w:rsidP="00CC5550">
      <w:pPr>
        <w:rPr>
          <w:b/>
          <w:szCs w:val="22"/>
          <w:lang w:val="fr-FR"/>
        </w:rPr>
      </w:pPr>
      <w:r w:rsidRPr="00CC5550">
        <w:rPr>
          <w:b/>
          <w:szCs w:val="22"/>
          <w:lang w:val="fr-FR"/>
        </w:rPr>
        <w:t xml:space="preserve">Principales </w:t>
      </w:r>
      <w:r w:rsidR="00485E81" w:rsidRPr="00CC5550">
        <w:rPr>
          <w:b/>
          <w:szCs w:val="22"/>
          <w:lang w:val="fr-FR"/>
        </w:rPr>
        <w:t>industries</w:t>
      </w:r>
      <w:r w:rsidR="003D0980" w:rsidRPr="00CC5550">
        <w:rPr>
          <w:b/>
          <w:szCs w:val="22"/>
          <w:lang w:val="fr-FR"/>
        </w:rPr>
        <w:t xml:space="preserve"> locales</w:t>
      </w:r>
    </w:p>
    <w:p w:rsidR="00891762" w:rsidRPr="00CC5550" w:rsidRDefault="00891762" w:rsidP="00CC5550">
      <w:pPr>
        <w:rPr>
          <w:szCs w:val="22"/>
          <w:lang w:val="fr-FR"/>
        </w:rPr>
      </w:pPr>
    </w:p>
    <w:p w:rsidR="00ED786D" w:rsidRPr="00CC5550" w:rsidRDefault="007C64A9" w:rsidP="00CC5550">
      <w:pPr>
        <w:rPr>
          <w:szCs w:val="22"/>
          <w:lang w:val="fr-FR"/>
        </w:rPr>
      </w:pPr>
      <w:r w:rsidRPr="00CC5550">
        <w:rPr>
          <w:szCs w:val="22"/>
          <w:lang w:val="fr-FR"/>
        </w:rPr>
        <w:t>L</w:t>
      </w:r>
      <w:r w:rsidR="00ED786D" w:rsidRPr="00CC5550">
        <w:rPr>
          <w:szCs w:val="22"/>
          <w:lang w:val="fr-FR"/>
        </w:rPr>
        <w:t>’</w:t>
      </w:r>
      <w:r w:rsidRPr="00CC5550">
        <w:rPr>
          <w:szCs w:val="22"/>
          <w:lang w:val="fr-FR"/>
        </w:rPr>
        <w:t>économie de la Suède est développée et axée sur les exportations,</w:t>
      </w:r>
      <w:r w:rsidR="00BA5DA7" w:rsidRPr="00CC5550">
        <w:rPr>
          <w:szCs w:val="22"/>
          <w:lang w:val="fr-FR"/>
        </w:rPr>
        <w:t xml:space="preserve"> </w:t>
      </w:r>
      <w:r w:rsidRPr="00CC5550">
        <w:rPr>
          <w:szCs w:val="22"/>
          <w:lang w:val="fr-FR"/>
        </w:rPr>
        <w:t>soutenue par le bois d</w:t>
      </w:r>
      <w:r w:rsidR="00ED786D" w:rsidRPr="00CC5550">
        <w:rPr>
          <w:szCs w:val="22"/>
          <w:lang w:val="fr-FR"/>
        </w:rPr>
        <w:t>’</w:t>
      </w:r>
      <w:r w:rsidR="00BA5DA7" w:rsidRPr="00CC5550">
        <w:rPr>
          <w:szCs w:val="22"/>
          <w:lang w:val="fr-FR"/>
        </w:rPr>
        <w:t>œuvre</w:t>
      </w:r>
      <w:r w:rsidRPr="00CC5550">
        <w:rPr>
          <w:szCs w:val="22"/>
          <w:lang w:val="fr-FR"/>
        </w:rPr>
        <w:t>, l</w:t>
      </w:r>
      <w:r w:rsidR="00ED786D" w:rsidRPr="00CC5550">
        <w:rPr>
          <w:szCs w:val="22"/>
          <w:lang w:val="fr-FR"/>
        </w:rPr>
        <w:t>’</w:t>
      </w:r>
      <w:r w:rsidRPr="00CC5550">
        <w:rPr>
          <w:szCs w:val="22"/>
          <w:lang w:val="fr-FR"/>
        </w:rPr>
        <w:t>énergie hydraulique et le minerai de f</w:t>
      </w:r>
      <w:r w:rsidR="00CA574B" w:rsidRPr="00CC5550">
        <w:rPr>
          <w:szCs w:val="22"/>
          <w:lang w:val="fr-FR"/>
        </w:rPr>
        <w:t>er.  Ce</w:t>
      </w:r>
      <w:r w:rsidRPr="00CC5550">
        <w:rPr>
          <w:szCs w:val="22"/>
          <w:lang w:val="fr-FR"/>
        </w:rPr>
        <w:t>s produits constituent la base des ressources d</w:t>
      </w:r>
      <w:r w:rsidR="00ED786D" w:rsidRPr="00CC5550">
        <w:rPr>
          <w:szCs w:val="22"/>
          <w:lang w:val="fr-FR"/>
        </w:rPr>
        <w:t>’</w:t>
      </w:r>
      <w:r w:rsidRPr="00CC5550">
        <w:rPr>
          <w:szCs w:val="22"/>
          <w:lang w:val="fr-FR"/>
        </w:rPr>
        <w:t>une économie axée sur le commerce extérie</w:t>
      </w:r>
      <w:r w:rsidR="00CA574B" w:rsidRPr="00CC5550">
        <w:rPr>
          <w:szCs w:val="22"/>
          <w:lang w:val="fr-FR"/>
        </w:rPr>
        <w:t>ur.  Le</w:t>
      </w:r>
      <w:r w:rsidRPr="00CC5550">
        <w:rPr>
          <w:szCs w:val="22"/>
          <w:lang w:val="fr-FR"/>
        </w:rPr>
        <w:t xml:space="preserve">s principales industries sont notamment les véhicules à moteur, les télécommunications, les produits pharmaceutiques, les machines industrielles, le matériel de précision, les produits chimiques, les équipements et appareils </w:t>
      </w:r>
      <w:r w:rsidR="003D0980" w:rsidRPr="00CC5550">
        <w:rPr>
          <w:szCs w:val="22"/>
          <w:lang w:val="fr-FR"/>
        </w:rPr>
        <w:t>domestiques</w:t>
      </w:r>
      <w:r w:rsidRPr="00CC5550">
        <w:rPr>
          <w:szCs w:val="22"/>
          <w:lang w:val="fr-FR"/>
        </w:rPr>
        <w:t>, l</w:t>
      </w:r>
      <w:r w:rsidR="00ED786D" w:rsidRPr="00CC5550">
        <w:rPr>
          <w:szCs w:val="22"/>
          <w:lang w:val="fr-FR"/>
        </w:rPr>
        <w:t>’</w:t>
      </w:r>
      <w:r w:rsidRPr="00CC5550">
        <w:rPr>
          <w:szCs w:val="22"/>
          <w:lang w:val="fr-FR"/>
        </w:rPr>
        <w:t>exploitation forestière, le fer et l</w:t>
      </w:r>
      <w:r w:rsidR="00ED786D" w:rsidRPr="00CC5550">
        <w:rPr>
          <w:szCs w:val="22"/>
          <w:lang w:val="fr-FR"/>
        </w:rPr>
        <w:t>’</w:t>
      </w:r>
      <w:r w:rsidRPr="00CC5550">
        <w:rPr>
          <w:szCs w:val="22"/>
          <w:lang w:val="fr-FR"/>
        </w:rPr>
        <w:t>acier.</w:t>
      </w:r>
    </w:p>
    <w:p w:rsidR="00891762" w:rsidRPr="00CC5550" w:rsidRDefault="00891762" w:rsidP="00CC5550">
      <w:pPr>
        <w:rPr>
          <w:szCs w:val="22"/>
          <w:lang w:val="fr-FR"/>
        </w:rPr>
      </w:pPr>
    </w:p>
    <w:p w:rsidR="00ED786D" w:rsidRPr="00CC5550" w:rsidRDefault="007C64A9" w:rsidP="00CC5550">
      <w:pPr>
        <w:rPr>
          <w:b/>
          <w:lang w:val="fr-FR"/>
        </w:rPr>
      </w:pPr>
      <w:r w:rsidRPr="00CC5550">
        <w:rPr>
          <w:b/>
          <w:lang w:val="fr-FR"/>
        </w:rPr>
        <w:t>Principaux partenaires commerciaux (les 10</w:t>
      </w:r>
      <w:r w:rsidR="00F350DD" w:rsidRPr="00CC5550">
        <w:rPr>
          <w:b/>
          <w:lang w:val="fr-FR"/>
        </w:rPr>
        <w:t> </w:t>
      </w:r>
      <w:r w:rsidRPr="00CC5550">
        <w:rPr>
          <w:b/>
          <w:lang w:val="fr-FR"/>
        </w:rPr>
        <w:t xml:space="preserve">premiers </w:t>
      </w:r>
      <w:r w:rsidR="004D5B89" w:rsidRPr="00CC5550">
        <w:rPr>
          <w:b/>
          <w:lang w:val="fr-FR"/>
        </w:rPr>
        <w:t xml:space="preserve">pays </w:t>
      </w:r>
      <w:r w:rsidR="00ED786D" w:rsidRPr="00CC5550">
        <w:rPr>
          <w:b/>
          <w:lang w:val="fr-FR"/>
        </w:rPr>
        <w:t>en 2015</w:t>
      </w:r>
      <w:r w:rsidRPr="00CC5550">
        <w:rPr>
          <w:b/>
          <w:lang w:val="fr-FR"/>
        </w:rPr>
        <w:t xml:space="preserve">, </w:t>
      </w:r>
      <w:r w:rsidR="004D5B89" w:rsidRPr="00CC5550">
        <w:rPr>
          <w:b/>
          <w:lang w:val="fr-FR"/>
        </w:rPr>
        <w:t>par</w:t>
      </w:r>
      <w:r w:rsidRPr="00CC5550">
        <w:rPr>
          <w:b/>
          <w:lang w:val="fr-FR"/>
        </w:rPr>
        <w:t xml:space="preserve"> ordre décroissant</w:t>
      </w:r>
      <w:r w:rsidR="004D5B89" w:rsidRPr="00CC5550">
        <w:rPr>
          <w:b/>
          <w:lang w:val="fr-FR"/>
        </w:rPr>
        <w:t>,</w:t>
      </w:r>
      <w:r w:rsidRPr="00CC5550">
        <w:rPr>
          <w:b/>
          <w:lang w:val="fr-FR"/>
        </w:rPr>
        <w:t xml:space="preserve"> sur la base </w:t>
      </w:r>
      <w:r w:rsidR="004D5B89" w:rsidRPr="00CC5550">
        <w:rPr>
          <w:b/>
          <w:lang w:val="fr-FR"/>
        </w:rPr>
        <w:t xml:space="preserve">de la valeur </w:t>
      </w:r>
      <w:r w:rsidRPr="00CC5550">
        <w:rPr>
          <w:b/>
          <w:lang w:val="fr-FR"/>
        </w:rPr>
        <w:t>des biens d</w:t>
      </w:r>
      <w:r w:rsidR="00ED786D" w:rsidRPr="00CC5550">
        <w:rPr>
          <w:b/>
          <w:lang w:val="fr-FR"/>
        </w:rPr>
        <w:t>’</w:t>
      </w:r>
      <w:r w:rsidRPr="00CC5550">
        <w:rPr>
          <w:b/>
          <w:lang w:val="fr-FR"/>
        </w:rPr>
        <w:t>exportation)</w:t>
      </w:r>
      <w:r w:rsidR="006C39C7" w:rsidRPr="00CC5550">
        <w:rPr>
          <w:b/>
          <w:lang w:val="fr-FR"/>
        </w:rPr>
        <w:t> :</w:t>
      </w:r>
    </w:p>
    <w:p w:rsidR="00891762" w:rsidRPr="00CC5550" w:rsidRDefault="00891762" w:rsidP="00CC5550">
      <w:pPr>
        <w:rPr>
          <w:lang w:val="fr-FR"/>
        </w:rPr>
      </w:pPr>
    </w:p>
    <w:p w:rsidR="00891762" w:rsidRPr="00CC5550" w:rsidRDefault="007C64A9" w:rsidP="00CC5550">
      <w:pPr>
        <w:rPr>
          <w:lang w:val="fr-FR"/>
        </w:rPr>
      </w:pPr>
      <w:r w:rsidRPr="00CC5550">
        <w:rPr>
          <w:lang w:val="fr-FR"/>
        </w:rPr>
        <w:t>Norvège</w:t>
      </w:r>
    </w:p>
    <w:p w:rsidR="00891762" w:rsidRPr="00CC5550" w:rsidRDefault="007C64A9" w:rsidP="00CC5550">
      <w:pPr>
        <w:rPr>
          <w:lang w:val="fr-FR"/>
        </w:rPr>
      </w:pPr>
      <w:r w:rsidRPr="00CC5550">
        <w:rPr>
          <w:lang w:val="fr-FR"/>
        </w:rPr>
        <w:t>Allemagne</w:t>
      </w:r>
    </w:p>
    <w:p w:rsidR="00891762" w:rsidRPr="00CC5550" w:rsidRDefault="007C64A9" w:rsidP="00CC5550">
      <w:pPr>
        <w:rPr>
          <w:lang w:val="fr-FR"/>
        </w:rPr>
      </w:pPr>
      <w:r w:rsidRPr="00CC5550">
        <w:rPr>
          <w:lang w:val="fr-FR"/>
        </w:rPr>
        <w:t>États</w:t>
      </w:r>
      <w:r w:rsidR="00F350DD" w:rsidRPr="00CC5550">
        <w:rPr>
          <w:lang w:val="fr-FR"/>
        </w:rPr>
        <w:noBreakHyphen/>
      </w:r>
      <w:r w:rsidRPr="00CC5550">
        <w:rPr>
          <w:lang w:val="fr-FR"/>
        </w:rPr>
        <w:t>Unis d</w:t>
      </w:r>
      <w:r w:rsidR="00ED786D" w:rsidRPr="00CC5550">
        <w:rPr>
          <w:lang w:val="fr-FR"/>
        </w:rPr>
        <w:t>’</w:t>
      </w:r>
      <w:r w:rsidRPr="00CC5550">
        <w:rPr>
          <w:lang w:val="fr-FR"/>
        </w:rPr>
        <w:t>Amérique</w:t>
      </w:r>
    </w:p>
    <w:p w:rsidR="00891762" w:rsidRPr="00CC5550" w:rsidRDefault="007C64A9" w:rsidP="00CC5550">
      <w:pPr>
        <w:rPr>
          <w:lang w:val="fr-FR"/>
        </w:rPr>
      </w:pPr>
      <w:r w:rsidRPr="00CC5550">
        <w:rPr>
          <w:lang w:val="fr-FR"/>
        </w:rPr>
        <w:t>Grande Bretagne</w:t>
      </w:r>
    </w:p>
    <w:p w:rsidR="00891762" w:rsidRPr="00CC5550" w:rsidRDefault="007C64A9" w:rsidP="00CC5550">
      <w:pPr>
        <w:rPr>
          <w:lang w:val="fr-FR"/>
        </w:rPr>
      </w:pPr>
      <w:r w:rsidRPr="00CC5550">
        <w:rPr>
          <w:lang w:val="fr-FR"/>
        </w:rPr>
        <w:t>Danemark</w:t>
      </w:r>
    </w:p>
    <w:p w:rsidR="00891762" w:rsidRPr="00CC5550" w:rsidRDefault="007C64A9" w:rsidP="00CC5550">
      <w:pPr>
        <w:rPr>
          <w:lang w:val="fr-FR"/>
        </w:rPr>
      </w:pPr>
      <w:r w:rsidRPr="00CC5550">
        <w:rPr>
          <w:lang w:val="fr-FR"/>
        </w:rPr>
        <w:t>Finlande</w:t>
      </w:r>
    </w:p>
    <w:p w:rsidR="00891762" w:rsidRPr="00CC5550" w:rsidRDefault="007C64A9" w:rsidP="00CC5550">
      <w:pPr>
        <w:rPr>
          <w:lang w:val="fr-FR"/>
        </w:rPr>
      </w:pPr>
      <w:r w:rsidRPr="00CC5550">
        <w:rPr>
          <w:lang w:val="fr-FR"/>
        </w:rPr>
        <w:t>Pays</w:t>
      </w:r>
      <w:r w:rsidR="00F350DD" w:rsidRPr="00CC5550">
        <w:rPr>
          <w:lang w:val="fr-FR"/>
        </w:rPr>
        <w:noBreakHyphen/>
      </w:r>
      <w:r w:rsidRPr="00CC5550">
        <w:rPr>
          <w:lang w:val="fr-FR"/>
        </w:rPr>
        <w:t>Bas</w:t>
      </w:r>
    </w:p>
    <w:p w:rsidR="00891762" w:rsidRPr="00CC5550" w:rsidRDefault="007C64A9" w:rsidP="00CC5550">
      <w:pPr>
        <w:rPr>
          <w:lang w:val="fr-FR"/>
        </w:rPr>
      </w:pPr>
      <w:r w:rsidRPr="00CC5550">
        <w:rPr>
          <w:lang w:val="fr-FR"/>
        </w:rPr>
        <w:t>Belgique</w:t>
      </w:r>
    </w:p>
    <w:p w:rsidR="00ED786D" w:rsidRPr="00CC5550" w:rsidRDefault="007C64A9" w:rsidP="00CC5550">
      <w:pPr>
        <w:rPr>
          <w:lang w:val="fr-FR"/>
        </w:rPr>
      </w:pPr>
      <w:r w:rsidRPr="00CC5550">
        <w:rPr>
          <w:lang w:val="fr-FR"/>
        </w:rPr>
        <w:t>France</w:t>
      </w:r>
    </w:p>
    <w:p w:rsidR="00891762" w:rsidRPr="00CC5550" w:rsidRDefault="007C64A9" w:rsidP="00CC5550">
      <w:pPr>
        <w:rPr>
          <w:lang w:val="fr-FR"/>
        </w:rPr>
      </w:pPr>
      <w:r w:rsidRPr="00CC5550">
        <w:rPr>
          <w:lang w:val="fr-FR"/>
        </w:rPr>
        <w:t>Chine</w:t>
      </w:r>
    </w:p>
    <w:p w:rsidR="00CC5550" w:rsidRDefault="00CC5550">
      <w:pPr>
        <w:rPr>
          <w:rFonts w:eastAsia="Times New Roman"/>
          <w:b/>
          <w:bCs/>
          <w:caps/>
          <w:kern w:val="32"/>
          <w:szCs w:val="22"/>
          <w:lang w:val="fr-FR"/>
        </w:rPr>
      </w:pPr>
      <w:r w:rsidRPr="0090791A">
        <w:rPr>
          <w:lang w:val="fr-FR"/>
        </w:rPr>
        <w:br w:type="page"/>
      </w:r>
    </w:p>
    <w:p w:rsidR="00891762" w:rsidRPr="00CC5550" w:rsidRDefault="007C64A9" w:rsidP="00CC5550">
      <w:pPr>
        <w:pStyle w:val="SectionHeading"/>
      </w:pPr>
      <w:r w:rsidRPr="00CC5550">
        <w:t>6</w:t>
      </w:r>
      <w:r w:rsidR="00ED786D" w:rsidRPr="00CC5550">
        <w:t xml:space="preserve"> – </w:t>
      </w:r>
      <w:r w:rsidRPr="00CC5550">
        <w:t>Profil des demandes de brevet</w:t>
      </w:r>
    </w:p>
    <w:p w:rsidR="00891762" w:rsidRPr="00CC5550" w:rsidRDefault="00891762" w:rsidP="00CC5550">
      <w:pPr>
        <w:keepNext/>
        <w:keepLines/>
        <w:rPr>
          <w:b/>
          <w:bCs/>
          <w:szCs w:val="22"/>
          <w:lang w:val="fr-FR"/>
        </w:rPr>
      </w:pPr>
    </w:p>
    <w:p w:rsidR="00891762" w:rsidRPr="00CC5550" w:rsidRDefault="007A35F7" w:rsidP="00CC5550">
      <w:pPr>
        <w:keepNext/>
        <w:keepLines/>
        <w:rPr>
          <w:b/>
          <w:bCs/>
          <w:szCs w:val="22"/>
          <w:lang w:val="fr-FR"/>
        </w:rPr>
      </w:pPr>
      <w:r w:rsidRPr="00CC5550">
        <w:rPr>
          <w:b/>
          <w:bCs/>
          <w:szCs w:val="22"/>
          <w:lang w:val="fr-FR"/>
        </w:rPr>
        <w:t>Nombre de demandes nationales reçues</w:t>
      </w:r>
      <w:r w:rsidR="00ED786D" w:rsidRPr="00CC5550">
        <w:rPr>
          <w:b/>
          <w:bCs/>
          <w:szCs w:val="22"/>
          <w:lang w:val="fr-FR"/>
        </w:rPr>
        <w:t xml:space="preserve"> – </w:t>
      </w:r>
      <w:r w:rsidRPr="00CC5550">
        <w:rPr>
          <w:b/>
          <w:bCs/>
          <w:szCs w:val="22"/>
          <w:lang w:val="fr-FR"/>
        </w:rPr>
        <w:t>par domaine technique</w:t>
      </w:r>
    </w:p>
    <w:p w:rsidR="00AA5F79" w:rsidRPr="00CC5550" w:rsidRDefault="00AA5F79" w:rsidP="00CC5550">
      <w:pPr>
        <w:rPr>
          <w:lang w:val="fr-FR"/>
        </w:rPr>
      </w:pPr>
    </w:p>
    <w:tbl>
      <w:tblPr>
        <w:tblStyle w:val="TableGrid"/>
        <w:tblW w:w="0" w:type="auto"/>
        <w:tblLook w:val="04A0" w:firstRow="1" w:lastRow="0" w:firstColumn="1" w:lastColumn="0" w:noHBand="0" w:noVBand="1"/>
      </w:tblPr>
      <w:tblGrid>
        <w:gridCol w:w="2643"/>
        <w:gridCol w:w="1385"/>
        <w:gridCol w:w="1386"/>
        <w:gridCol w:w="1385"/>
        <w:gridCol w:w="1386"/>
        <w:gridCol w:w="1386"/>
      </w:tblGrid>
      <w:tr w:rsidR="00CC5550" w:rsidRPr="00CC5550" w:rsidTr="00005FD7">
        <w:tc>
          <w:tcPr>
            <w:tcW w:w="2643" w:type="dxa"/>
          </w:tcPr>
          <w:p w:rsidR="00005FD7" w:rsidRPr="00CC5550" w:rsidRDefault="007A35F7" w:rsidP="00CC5550">
            <w:pPr>
              <w:jc w:val="center"/>
              <w:rPr>
                <w:b/>
                <w:lang w:val="fr-FR"/>
              </w:rPr>
            </w:pPr>
            <w:r w:rsidRPr="00CC5550">
              <w:rPr>
                <w:b/>
                <w:lang w:val="fr-FR"/>
              </w:rPr>
              <w:t>Domaine technique</w:t>
            </w:r>
            <w:r w:rsidR="00F350DD" w:rsidRPr="00CC5550">
              <w:rPr>
                <w:b/>
                <w:lang w:val="fr-FR"/>
              </w:rPr>
              <w:t>/</w:t>
            </w:r>
            <w:r w:rsidRPr="00CC5550">
              <w:rPr>
                <w:b/>
                <w:lang w:val="fr-FR"/>
              </w:rPr>
              <w:t>Année</w:t>
            </w:r>
          </w:p>
        </w:tc>
        <w:tc>
          <w:tcPr>
            <w:tcW w:w="1385" w:type="dxa"/>
          </w:tcPr>
          <w:p w:rsidR="00005FD7" w:rsidRPr="00CC5550" w:rsidRDefault="00005FD7" w:rsidP="00CC5550">
            <w:pPr>
              <w:jc w:val="center"/>
              <w:rPr>
                <w:b/>
                <w:lang w:val="fr-FR"/>
              </w:rPr>
            </w:pPr>
            <w:r w:rsidRPr="00CC5550">
              <w:rPr>
                <w:b/>
                <w:lang w:val="fr-FR"/>
              </w:rPr>
              <w:t>2012</w:t>
            </w:r>
          </w:p>
        </w:tc>
        <w:tc>
          <w:tcPr>
            <w:tcW w:w="1386" w:type="dxa"/>
          </w:tcPr>
          <w:p w:rsidR="00005FD7" w:rsidRPr="00CC5550" w:rsidRDefault="00005FD7" w:rsidP="00CC5550">
            <w:pPr>
              <w:jc w:val="center"/>
              <w:rPr>
                <w:b/>
                <w:lang w:val="fr-FR"/>
              </w:rPr>
            </w:pPr>
            <w:r w:rsidRPr="00CC5550">
              <w:rPr>
                <w:b/>
                <w:lang w:val="fr-FR"/>
              </w:rPr>
              <w:t>2013</w:t>
            </w:r>
          </w:p>
        </w:tc>
        <w:tc>
          <w:tcPr>
            <w:tcW w:w="1385" w:type="dxa"/>
          </w:tcPr>
          <w:p w:rsidR="00005FD7" w:rsidRPr="00CC5550" w:rsidRDefault="00005FD7" w:rsidP="00CC5550">
            <w:pPr>
              <w:jc w:val="center"/>
              <w:rPr>
                <w:b/>
                <w:lang w:val="fr-FR"/>
              </w:rPr>
            </w:pPr>
            <w:r w:rsidRPr="00CC5550">
              <w:rPr>
                <w:b/>
                <w:lang w:val="fr-FR"/>
              </w:rPr>
              <w:t>2014</w:t>
            </w:r>
          </w:p>
        </w:tc>
        <w:tc>
          <w:tcPr>
            <w:tcW w:w="1386" w:type="dxa"/>
          </w:tcPr>
          <w:p w:rsidR="00005FD7" w:rsidRPr="00CC5550" w:rsidRDefault="00005FD7" w:rsidP="00CC5550">
            <w:pPr>
              <w:jc w:val="center"/>
              <w:rPr>
                <w:b/>
                <w:lang w:val="fr-FR"/>
              </w:rPr>
            </w:pPr>
            <w:r w:rsidRPr="00CC5550">
              <w:rPr>
                <w:b/>
                <w:lang w:val="fr-FR"/>
              </w:rPr>
              <w:t>2015</w:t>
            </w:r>
          </w:p>
        </w:tc>
        <w:tc>
          <w:tcPr>
            <w:tcW w:w="1386" w:type="dxa"/>
          </w:tcPr>
          <w:p w:rsidR="00005FD7" w:rsidRPr="00CC5550" w:rsidRDefault="00005FD7" w:rsidP="00CC5550">
            <w:pPr>
              <w:jc w:val="center"/>
              <w:rPr>
                <w:b/>
                <w:lang w:val="fr-FR"/>
              </w:rPr>
            </w:pPr>
            <w:r w:rsidRPr="00CC5550">
              <w:rPr>
                <w:b/>
                <w:lang w:val="fr-FR"/>
              </w:rPr>
              <w:t>2016</w:t>
            </w:r>
          </w:p>
        </w:tc>
      </w:tr>
      <w:tr w:rsidR="00CC5550" w:rsidRPr="00CC5550" w:rsidTr="00005FD7">
        <w:tc>
          <w:tcPr>
            <w:tcW w:w="2643" w:type="dxa"/>
          </w:tcPr>
          <w:p w:rsidR="00005FD7" w:rsidRPr="00CC5550" w:rsidRDefault="007A35F7" w:rsidP="00CC5550">
            <w:pPr>
              <w:rPr>
                <w:lang w:val="fr-FR"/>
              </w:rPr>
            </w:pPr>
            <w:r w:rsidRPr="00CC5550">
              <w:rPr>
                <w:lang w:val="fr-FR"/>
              </w:rPr>
              <w:t>Chimie</w:t>
            </w:r>
          </w:p>
        </w:tc>
        <w:tc>
          <w:tcPr>
            <w:tcW w:w="1385" w:type="dxa"/>
          </w:tcPr>
          <w:p w:rsidR="00005FD7" w:rsidRPr="00CC5550" w:rsidRDefault="00005FD7" w:rsidP="00CC5550">
            <w:pPr>
              <w:jc w:val="right"/>
              <w:rPr>
                <w:lang w:val="fr-FR"/>
              </w:rPr>
            </w:pPr>
            <w:r w:rsidRPr="00CC5550">
              <w:rPr>
                <w:lang w:val="fr-FR"/>
              </w:rPr>
              <w:t>359</w:t>
            </w:r>
          </w:p>
        </w:tc>
        <w:tc>
          <w:tcPr>
            <w:tcW w:w="1386" w:type="dxa"/>
          </w:tcPr>
          <w:p w:rsidR="00005FD7" w:rsidRPr="00CC5550" w:rsidRDefault="00005FD7" w:rsidP="00CC5550">
            <w:pPr>
              <w:jc w:val="right"/>
              <w:rPr>
                <w:lang w:val="fr-FR"/>
              </w:rPr>
            </w:pPr>
            <w:r w:rsidRPr="00CC5550">
              <w:rPr>
                <w:lang w:val="fr-FR"/>
              </w:rPr>
              <w:t>400</w:t>
            </w:r>
          </w:p>
        </w:tc>
        <w:tc>
          <w:tcPr>
            <w:tcW w:w="1385" w:type="dxa"/>
          </w:tcPr>
          <w:p w:rsidR="00005FD7" w:rsidRPr="00CC5550" w:rsidRDefault="00005FD7" w:rsidP="00CC5550">
            <w:pPr>
              <w:jc w:val="right"/>
              <w:rPr>
                <w:lang w:val="fr-FR"/>
              </w:rPr>
            </w:pPr>
            <w:r w:rsidRPr="00CC5550">
              <w:rPr>
                <w:lang w:val="fr-FR"/>
              </w:rPr>
              <w:t>381</w:t>
            </w:r>
          </w:p>
        </w:tc>
        <w:tc>
          <w:tcPr>
            <w:tcW w:w="1386" w:type="dxa"/>
          </w:tcPr>
          <w:p w:rsidR="00005FD7" w:rsidRPr="00CC5550" w:rsidRDefault="00005FD7" w:rsidP="00CC5550">
            <w:pPr>
              <w:jc w:val="right"/>
              <w:rPr>
                <w:lang w:val="fr-FR"/>
              </w:rPr>
            </w:pPr>
            <w:r w:rsidRPr="00CC5550">
              <w:rPr>
                <w:lang w:val="fr-FR"/>
              </w:rPr>
              <w:t>349</w:t>
            </w:r>
          </w:p>
        </w:tc>
        <w:tc>
          <w:tcPr>
            <w:tcW w:w="1386" w:type="dxa"/>
          </w:tcPr>
          <w:p w:rsidR="00005FD7" w:rsidRPr="00CC5550" w:rsidRDefault="00005FD7" w:rsidP="00CC5550">
            <w:pPr>
              <w:jc w:val="right"/>
              <w:rPr>
                <w:lang w:val="fr-FR"/>
              </w:rPr>
            </w:pPr>
            <w:r w:rsidRPr="00CC5550">
              <w:rPr>
                <w:lang w:val="fr-FR"/>
              </w:rPr>
              <w:t>330</w:t>
            </w:r>
          </w:p>
        </w:tc>
      </w:tr>
      <w:tr w:rsidR="00CC5550" w:rsidRPr="00CC5550" w:rsidTr="00005FD7">
        <w:tc>
          <w:tcPr>
            <w:tcW w:w="2643" w:type="dxa"/>
          </w:tcPr>
          <w:p w:rsidR="00005FD7" w:rsidRPr="00CC5550" w:rsidRDefault="007A35F7" w:rsidP="00CC5550">
            <w:pPr>
              <w:rPr>
                <w:lang w:val="fr-FR"/>
              </w:rPr>
            </w:pPr>
            <w:r w:rsidRPr="00CC5550">
              <w:rPr>
                <w:lang w:val="fr-FR"/>
              </w:rPr>
              <w:t>Électrotechnique</w:t>
            </w:r>
          </w:p>
        </w:tc>
        <w:tc>
          <w:tcPr>
            <w:tcW w:w="1385" w:type="dxa"/>
          </w:tcPr>
          <w:p w:rsidR="00005FD7" w:rsidRPr="00CC5550" w:rsidRDefault="00005FD7" w:rsidP="00CC5550">
            <w:pPr>
              <w:jc w:val="right"/>
              <w:rPr>
                <w:lang w:val="fr-FR"/>
              </w:rPr>
            </w:pPr>
            <w:r w:rsidRPr="00CC5550">
              <w:rPr>
                <w:lang w:val="fr-FR"/>
              </w:rPr>
              <w:t>354</w:t>
            </w:r>
          </w:p>
        </w:tc>
        <w:tc>
          <w:tcPr>
            <w:tcW w:w="1386" w:type="dxa"/>
          </w:tcPr>
          <w:p w:rsidR="00005FD7" w:rsidRPr="00CC5550" w:rsidRDefault="00005FD7" w:rsidP="00CC5550">
            <w:pPr>
              <w:jc w:val="right"/>
              <w:rPr>
                <w:lang w:val="fr-FR"/>
              </w:rPr>
            </w:pPr>
            <w:r w:rsidRPr="00CC5550">
              <w:rPr>
                <w:lang w:val="fr-FR"/>
              </w:rPr>
              <w:t>342</w:t>
            </w:r>
          </w:p>
        </w:tc>
        <w:tc>
          <w:tcPr>
            <w:tcW w:w="1385" w:type="dxa"/>
          </w:tcPr>
          <w:p w:rsidR="00005FD7" w:rsidRPr="00CC5550" w:rsidRDefault="00005FD7" w:rsidP="00CC5550">
            <w:pPr>
              <w:jc w:val="right"/>
              <w:rPr>
                <w:lang w:val="fr-FR"/>
              </w:rPr>
            </w:pPr>
            <w:r w:rsidRPr="00CC5550">
              <w:rPr>
                <w:lang w:val="fr-FR"/>
              </w:rPr>
              <w:t>324</w:t>
            </w:r>
          </w:p>
        </w:tc>
        <w:tc>
          <w:tcPr>
            <w:tcW w:w="1386" w:type="dxa"/>
          </w:tcPr>
          <w:p w:rsidR="00005FD7" w:rsidRPr="00CC5550" w:rsidRDefault="00005FD7" w:rsidP="00CC5550">
            <w:pPr>
              <w:jc w:val="right"/>
              <w:rPr>
                <w:lang w:val="fr-FR"/>
              </w:rPr>
            </w:pPr>
            <w:r w:rsidRPr="00CC5550">
              <w:rPr>
                <w:lang w:val="fr-FR"/>
              </w:rPr>
              <w:t>366</w:t>
            </w:r>
          </w:p>
        </w:tc>
        <w:tc>
          <w:tcPr>
            <w:tcW w:w="1386" w:type="dxa"/>
          </w:tcPr>
          <w:p w:rsidR="00005FD7" w:rsidRPr="00CC5550" w:rsidRDefault="00005FD7" w:rsidP="00CC5550">
            <w:pPr>
              <w:jc w:val="right"/>
              <w:rPr>
                <w:lang w:val="fr-FR"/>
              </w:rPr>
            </w:pPr>
            <w:r w:rsidRPr="00CC5550">
              <w:rPr>
                <w:lang w:val="fr-FR"/>
              </w:rPr>
              <w:t>383</w:t>
            </w:r>
          </w:p>
        </w:tc>
      </w:tr>
      <w:tr w:rsidR="00CC5550" w:rsidRPr="00CC5550" w:rsidTr="00005FD7">
        <w:tc>
          <w:tcPr>
            <w:tcW w:w="2643" w:type="dxa"/>
          </w:tcPr>
          <w:p w:rsidR="00005FD7" w:rsidRPr="00CC5550" w:rsidRDefault="007A35F7" w:rsidP="00CC5550">
            <w:pPr>
              <w:rPr>
                <w:lang w:val="fr-FR"/>
              </w:rPr>
            </w:pPr>
            <w:r w:rsidRPr="00CC5550">
              <w:rPr>
                <w:lang w:val="fr-FR"/>
              </w:rPr>
              <w:t>Instruments</w:t>
            </w:r>
          </w:p>
        </w:tc>
        <w:tc>
          <w:tcPr>
            <w:tcW w:w="1385" w:type="dxa"/>
          </w:tcPr>
          <w:p w:rsidR="00005FD7" w:rsidRPr="00CC5550" w:rsidRDefault="00005FD7" w:rsidP="00CC5550">
            <w:pPr>
              <w:jc w:val="right"/>
              <w:rPr>
                <w:lang w:val="fr-FR"/>
              </w:rPr>
            </w:pPr>
            <w:r w:rsidRPr="00CC5550">
              <w:rPr>
                <w:lang w:val="fr-FR"/>
              </w:rPr>
              <w:t>396</w:t>
            </w:r>
          </w:p>
        </w:tc>
        <w:tc>
          <w:tcPr>
            <w:tcW w:w="1386" w:type="dxa"/>
          </w:tcPr>
          <w:p w:rsidR="00005FD7" w:rsidRPr="00CC5550" w:rsidRDefault="00005FD7" w:rsidP="00CC5550">
            <w:pPr>
              <w:jc w:val="right"/>
              <w:rPr>
                <w:lang w:val="fr-FR"/>
              </w:rPr>
            </w:pPr>
            <w:r w:rsidRPr="00CC5550">
              <w:rPr>
                <w:lang w:val="fr-FR"/>
              </w:rPr>
              <w:t>352</w:t>
            </w:r>
          </w:p>
        </w:tc>
        <w:tc>
          <w:tcPr>
            <w:tcW w:w="1385" w:type="dxa"/>
          </w:tcPr>
          <w:p w:rsidR="00005FD7" w:rsidRPr="00CC5550" w:rsidRDefault="00005FD7" w:rsidP="00CC5550">
            <w:pPr>
              <w:jc w:val="right"/>
              <w:rPr>
                <w:lang w:val="fr-FR"/>
              </w:rPr>
            </w:pPr>
            <w:r w:rsidRPr="00CC5550">
              <w:rPr>
                <w:lang w:val="fr-FR"/>
              </w:rPr>
              <w:t>343</w:t>
            </w:r>
          </w:p>
        </w:tc>
        <w:tc>
          <w:tcPr>
            <w:tcW w:w="1386" w:type="dxa"/>
          </w:tcPr>
          <w:p w:rsidR="00005FD7" w:rsidRPr="00CC5550" w:rsidRDefault="00005FD7" w:rsidP="00CC5550">
            <w:pPr>
              <w:jc w:val="right"/>
              <w:rPr>
                <w:lang w:val="fr-FR"/>
              </w:rPr>
            </w:pPr>
            <w:r w:rsidRPr="00CC5550">
              <w:rPr>
                <w:lang w:val="fr-FR"/>
              </w:rPr>
              <w:t>328</w:t>
            </w:r>
          </w:p>
        </w:tc>
        <w:tc>
          <w:tcPr>
            <w:tcW w:w="1386" w:type="dxa"/>
          </w:tcPr>
          <w:p w:rsidR="00005FD7" w:rsidRPr="00CC5550" w:rsidRDefault="00005FD7" w:rsidP="00CC5550">
            <w:pPr>
              <w:jc w:val="right"/>
              <w:rPr>
                <w:lang w:val="fr-FR"/>
              </w:rPr>
            </w:pPr>
            <w:r w:rsidRPr="00CC5550">
              <w:rPr>
                <w:lang w:val="fr-FR"/>
              </w:rPr>
              <w:t>337</w:t>
            </w:r>
          </w:p>
        </w:tc>
      </w:tr>
      <w:tr w:rsidR="00CC5550" w:rsidRPr="00CC5550" w:rsidTr="00005FD7">
        <w:tc>
          <w:tcPr>
            <w:tcW w:w="2643" w:type="dxa"/>
          </w:tcPr>
          <w:p w:rsidR="00005FD7" w:rsidRPr="00CC5550" w:rsidRDefault="007A35F7" w:rsidP="00CC5550">
            <w:pPr>
              <w:rPr>
                <w:lang w:val="fr-FR"/>
              </w:rPr>
            </w:pPr>
            <w:r w:rsidRPr="00CC5550">
              <w:rPr>
                <w:lang w:val="fr-FR"/>
              </w:rPr>
              <w:t>Mécanique</w:t>
            </w:r>
          </w:p>
        </w:tc>
        <w:tc>
          <w:tcPr>
            <w:tcW w:w="1385" w:type="dxa"/>
          </w:tcPr>
          <w:p w:rsidR="00005FD7" w:rsidRPr="00CC5550" w:rsidRDefault="00005FD7" w:rsidP="00CC5550">
            <w:pPr>
              <w:jc w:val="right"/>
              <w:rPr>
                <w:lang w:val="fr-FR"/>
              </w:rPr>
            </w:pPr>
            <w:r w:rsidRPr="00CC5550">
              <w:rPr>
                <w:lang w:val="fr-FR"/>
              </w:rPr>
              <w:t>923</w:t>
            </w:r>
          </w:p>
        </w:tc>
        <w:tc>
          <w:tcPr>
            <w:tcW w:w="1386" w:type="dxa"/>
          </w:tcPr>
          <w:p w:rsidR="00005FD7" w:rsidRPr="00CC5550" w:rsidRDefault="00005FD7" w:rsidP="00CC5550">
            <w:pPr>
              <w:jc w:val="right"/>
              <w:rPr>
                <w:lang w:val="fr-FR"/>
              </w:rPr>
            </w:pPr>
            <w:r w:rsidRPr="00CC5550">
              <w:rPr>
                <w:lang w:val="fr-FR"/>
              </w:rPr>
              <w:t>996</w:t>
            </w:r>
          </w:p>
        </w:tc>
        <w:tc>
          <w:tcPr>
            <w:tcW w:w="1385" w:type="dxa"/>
          </w:tcPr>
          <w:p w:rsidR="00005FD7" w:rsidRPr="00CC5550" w:rsidRDefault="00005FD7" w:rsidP="00CC5550">
            <w:pPr>
              <w:jc w:val="right"/>
              <w:rPr>
                <w:lang w:val="fr-FR"/>
              </w:rPr>
            </w:pPr>
            <w:r w:rsidRPr="00CC5550">
              <w:rPr>
                <w:lang w:val="fr-FR"/>
              </w:rPr>
              <w:t>1030</w:t>
            </w:r>
          </w:p>
        </w:tc>
        <w:tc>
          <w:tcPr>
            <w:tcW w:w="1386" w:type="dxa"/>
          </w:tcPr>
          <w:p w:rsidR="00005FD7" w:rsidRPr="00CC5550" w:rsidRDefault="00005FD7" w:rsidP="00CC5550">
            <w:pPr>
              <w:jc w:val="right"/>
              <w:rPr>
                <w:lang w:val="fr-FR"/>
              </w:rPr>
            </w:pPr>
            <w:r w:rsidRPr="00CC5550">
              <w:rPr>
                <w:lang w:val="fr-FR"/>
              </w:rPr>
              <w:t>963</w:t>
            </w:r>
          </w:p>
        </w:tc>
        <w:tc>
          <w:tcPr>
            <w:tcW w:w="1386" w:type="dxa"/>
          </w:tcPr>
          <w:p w:rsidR="00005FD7" w:rsidRPr="00CC5550" w:rsidRDefault="00005FD7" w:rsidP="00CC5550">
            <w:pPr>
              <w:jc w:val="right"/>
              <w:rPr>
                <w:lang w:val="fr-FR"/>
              </w:rPr>
            </w:pPr>
            <w:r w:rsidRPr="00CC5550">
              <w:rPr>
                <w:lang w:val="fr-FR"/>
              </w:rPr>
              <w:t>893</w:t>
            </w:r>
          </w:p>
        </w:tc>
      </w:tr>
      <w:tr w:rsidR="00CC5550" w:rsidRPr="00CC5550" w:rsidTr="00005FD7">
        <w:tc>
          <w:tcPr>
            <w:tcW w:w="2643" w:type="dxa"/>
          </w:tcPr>
          <w:p w:rsidR="00005FD7" w:rsidRPr="00CC5550" w:rsidRDefault="007A35F7" w:rsidP="00CC5550">
            <w:pPr>
              <w:rPr>
                <w:lang w:val="fr-FR"/>
              </w:rPr>
            </w:pPr>
            <w:r w:rsidRPr="00CC5550">
              <w:rPr>
                <w:lang w:val="fr-FR"/>
              </w:rPr>
              <w:t>Autres domaines</w:t>
            </w:r>
          </w:p>
        </w:tc>
        <w:tc>
          <w:tcPr>
            <w:tcW w:w="1385" w:type="dxa"/>
          </w:tcPr>
          <w:p w:rsidR="00005FD7" w:rsidRPr="00CC5550" w:rsidRDefault="00005FD7" w:rsidP="00CC5550">
            <w:pPr>
              <w:jc w:val="right"/>
              <w:rPr>
                <w:lang w:val="fr-FR"/>
              </w:rPr>
            </w:pPr>
            <w:r w:rsidRPr="00CC5550">
              <w:rPr>
                <w:lang w:val="fr-FR"/>
              </w:rPr>
              <w:t>377</w:t>
            </w:r>
          </w:p>
        </w:tc>
        <w:tc>
          <w:tcPr>
            <w:tcW w:w="1386" w:type="dxa"/>
          </w:tcPr>
          <w:p w:rsidR="00005FD7" w:rsidRPr="00CC5550" w:rsidRDefault="00005FD7" w:rsidP="00CC5550">
            <w:pPr>
              <w:jc w:val="right"/>
              <w:rPr>
                <w:lang w:val="fr-FR"/>
              </w:rPr>
            </w:pPr>
            <w:r w:rsidRPr="00CC5550">
              <w:rPr>
                <w:lang w:val="fr-FR"/>
              </w:rPr>
              <w:t>376</w:t>
            </w:r>
          </w:p>
        </w:tc>
        <w:tc>
          <w:tcPr>
            <w:tcW w:w="1385" w:type="dxa"/>
          </w:tcPr>
          <w:p w:rsidR="00005FD7" w:rsidRPr="00CC5550" w:rsidRDefault="00005FD7" w:rsidP="00CC5550">
            <w:pPr>
              <w:jc w:val="right"/>
              <w:rPr>
                <w:lang w:val="fr-FR"/>
              </w:rPr>
            </w:pPr>
            <w:r w:rsidRPr="00CC5550">
              <w:rPr>
                <w:lang w:val="fr-FR"/>
              </w:rPr>
              <w:t>310</w:t>
            </w:r>
          </w:p>
        </w:tc>
        <w:tc>
          <w:tcPr>
            <w:tcW w:w="1386" w:type="dxa"/>
          </w:tcPr>
          <w:p w:rsidR="00005FD7" w:rsidRPr="00CC5550" w:rsidRDefault="00005FD7" w:rsidP="00CC5550">
            <w:pPr>
              <w:jc w:val="right"/>
              <w:rPr>
                <w:lang w:val="fr-FR"/>
              </w:rPr>
            </w:pPr>
            <w:r w:rsidRPr="00CC5550">
              <w:rPr>
                <w:lang w:val="fr-FR"/>
              </w:rPr>
              <w:t>354</w:t>
            </w:r>
          </w:p>
        </w:tc>
        <w:tc>
          <w:tcPr>
            <w:tcW w:w="1386" w:type="dxa"/>
          </w:tcPr>
          <w:p w:rsidR="00005FD7" w:rsidRPr="00CC5550" w:rsidRDefault="00005FD7" w:rsidP="00CC5550">
            <w:pPr>
              <w:jc w:val="right"/>
              <w:rPr>
                <w:lang w:val="fr-FR"/>
              </w:rPr>
            </w:pPr>
            <w:r w:rsidRPr="00CC5550">
              <w:rPr>
                <w:lang w:val="fr-FR"/>
              </w:rPr>
              <w:t>350</w:t>
            </w:r>
          </w:p>
        </w:tc>
      </w:tr>
      <w:tr w:rsidR="00CC5550" w:rsidRPr="00CC5550" w:rsidTr="00005FD7">
        <w:tc>
          <w:tcPr>
            <w:tcW w:w="2643" w:type="dxa"/>
          </w:tcPr>
          <w:p w:rsidR="00005FD7" w:rsidRPr="00CC5550" w:rsidRDefault="003D0980" w:rsidP="00CC5550">
            <w:pPr>
              <w:rPr>
                <w:lang w:val="fr-FR"/>
              </w:rPr>
            </w:pPr>
            <w:r w:rsidRPr="00CC5550">
              <w:rPr>
                <w:lang w:val="fr-FR"/>
              </w:rPr>
              <w:t>Non mentionné</w:t>
            </w:r>
          </w:p>
        </w:tc>
        <w:tc>
          <w:tcPr>
            <w:tcW w:w="1385" w:type="dxa"/>
          </w:tcPr>
          <w:p w:rsidR="00005FD7" w:rsidRPr="00CC5550" w:rsidRDefault="00005FD7" w:rsidP="00CC5550">
            <w:pPr>
              <w:jc w:val="right"/>
              <w:rPr>
                <w:lang w:val="fr-FR"/>
              </w:rPr>
            </w:pPr>
            <w:r w:rsidRPr="00CC5550">
              <w:rPr>
                <w:lang w:val="fr-FR"/>
              </w:rPr>
              <w:t>29</w:t>
            </w:r>
          </w:p>
        </w:tc>
        <w:tc>
          <w:tcPr>
            <w:tcW w:w="1386" w:type="dxa"/>
          </w:tcPr>
          <w:p w:rsidR="00005FD7" w:rsidRPr="00CC5550" w:rsidRDefault="00005FD7" w:rsidP="00CC5550">
            <w:pPr>
              <w:jc w:val="right"/>
              <w:rPr>
                <w:lang w:val="fr-FR"/>
              </w:rPr>
            </w:pPr>
            <w:r w:rsidRPr="00CC5550">
              <w:rPr>
                <w:lang w:val="fr-FR"/>
              </w:rPr>
              <w:t>30</w:t>
            </w:r>
          </w:p>
        </w:tc>
        <w:tc>
          <w:tcPr>
            <w:tcW w:w="1385" w:type="dxa"/>
          </w:tcPr>
          <w:p w:rsidR="00005FD7" w:rsidRPr="00CC5550" w:rsidRDefault="00005FD7" w:rsidP="00CC5550">
            <w:pPr>
              <w:jc w:val="right"/>
              <w:rPr>
                <w:lang w:val="fr-FR"/>
              </w:rPr>
            </w:pPr>
            <w:r w:rsidRPr="00CC5550">
              <w:rPr>
                <w:lang w:val="fr-FR"/>
              </w:rPr>
              <w:t>36</w:t>
            </w:r>
          </w:p>
        </w:tc>
        <w:tc>
          <w:tcPr>
            <w:tcW w:w="1386" w:type="dxa"/>
          </w:tcPr>
          <w:p w:rsidR="00005FD7" w:rsidRPr="00CC5550" w:rsidRDefault="00005FD7" w:rsidP="00CC5550">
            <w:pPr>
              <w:jc w:val="right"/>
              <w:rPr>
                <w:lang w:val="fr-FR"/>
              </w:rPr>
            </w:pPr>
            <w:r w:rsidRPr="00CC5550">
              <w:rPr>
                <w:lang w:val="fr-FR"/>
              </w:rPr>
              <w:t>67</w:t>
            </w:r>
          </w:p>
        </w:tc>
        <w:tc>
          <w:tcPr>
            <w:tcW w:w="1386" w:type="dxa"/>
          </w:tcPr>
          <w:p w:rsidR="00005FD7" w:rsidRPr="00CC5550" w:rsidRDefault="00005FD7" w:rsidP="00CC5550">
            <w:pPr>
              <w:jc w:val="right"/>
              <w:rPr>
                <w:lang w:val="fr-FR"/>
              </w:rPr>
            </w:pPr>
            <w:r w:rsidRPr="00CC5550">
              <w:rPr>
                <w:lang w:val="fr-FR"/>
              </w:rPr>
              <w:t>91</w:t>
            </w:r>
          </w:p>
        </w:tc>
      </w:tr>
      <w:tr w:rsidR="00005FD7" w:rsidRPr="00CC5550" w:rsidTr="00005FD7">
        <w:tc>
          <w:tcPr>
            <w:tcW w:w="2643" w:type="dxa"/>
          </w:tcPr>
          <w:p w:rsidR="00005FD7" w:rsidRPr="00CC5550" w:rsidRDefault="00005FD7" w:rsidP="00CC5550">
            <w:pPr>
              <w:rPr>
                <w:b/>
                <w:lang w:val="fr-FR"/>
              </w:rPr>
            </w:pPr>
            <w:r w:rsidRPr="00CC5550">
              <w:rPr>
                <w:b/>
                <w:lang w:val="fr-FR"/>
              </w:rPr>
              <w:t>TOTAL</w:t>
            </w:r>
          </w:p>
        </w:tc>
        <w:tc>
          <w:tcPr>
            <w:tcW w:w="1385" w:type="dxa"/>
          </w:tcPr>
          <w:p w:rsidR="00005FD7" w:rsidRPr="00CC5550" w:rsidRDefault="007A35F7" w:rsidP="00CC5550">
            <w:pPr>
              <w:jc w:val="right"/>
              <w:rPr>
                <w:lang w:val="fr-FR"/>
              </w:rPr>
            </w:pPr>
            <w:r w:rsidRPr="00CC5550">
              <w:rPr>
                <w:lang w:val="fr-FR"/>
              </w:rPr>
              <w:t>2 438</w:t>
            </w:r>
          </w:p>
        </w:tc>
        <w:tc>
          <w:tcPr>
            <w:tcW w:w="1386" w:type="dxa"/>
          </w:tcPr>
          <w:p w:rsidR="00005FD7" w:rsidRPr="00CC5550" w:rsidRDefault="007A35F7" w:rsidP="00CC5550">
            <w:pPr>
              <w:jc w:val="right"/>
              <w:rPr>
                <w:lang w:val="fr-FR"/>
              </w:rPr>
            </w:pPr>
            <w:r w:rsidRPr="00CC5550">
              <w:rPr>
                <w:lang w:val="fr-FR"/>
              </w:rPr>
              <w:t>2 495</w:t>
            </w:r>
          </w:p>
        </w:tc>
        <w:tc>
          <w:tcPr>
            <w:tcW w:w="1385" w:type="dxa"/>
          </w:tcPr>
          <w:p w:rsidR="00005FD7" w:rsidRPr="00CC5550" w:rsidRDefault="007A35F7" w:rsidP="00CC5550">
            <w:pPr>
              <w:jc w:val="right"/>
              <w:rPr>
                <w:lang w:val="fr-FR"/>
              </w:rPr>
            </w:pPr>
            <w:r w:rsidRPr="00CC5550">
              <w:rPr>
                <w:lang w:val="fr-FR"/>
              </w:rPr>
              <w:t>2 425</w:t>
            </w:r>
          </w:p>
        </w:tc>
        <w:tc>
          <w:tcPr>
            <w:tcW w:w="1386" w:type="dxa"/>
          </w:tcPr>
          <w:p w:rsidR="00005FD7" w:rsidRPr="00CC5550" w:rsidRDefault="007A35F7" w:rsidP="00CC5550">
            <w:pPr>
              <w:jc w:val="right"/>
              <w:rPr>
                <w:lang w:val="fr-FR"/>
              </w:rPr>
            </w:pPr>
            <w:r w:rsidRPr="00CC5550">
              <w:rPr>
                <w:lang w:val="fr-FR"/>
              </w:rPr>
              <w:t>2 427</w:t>
            </w:r>
          </w:p>
        </w:tc>
        <w:tc>
          <w:tcPr>
            <w:tcW w:w="1386" w:type="dxa"/>
          </w:tcPr>
          <w:p w:rsidR="00005FD7" w:rsidRPr="00CC5550" w:rsidRDefault="007A35F7" w:rsidP="00CC5550">
            <w:pPr>
              <w:jc w:val="right"/>
              <w:rPr>
                <w:lang w:val="fr-FR"/>
              </w:rPr>
            </w:pPr>
            <w:r w:rsidRPr="00CC5550">
              <w:rPr>
                <w:lang w:val="fr-FR"/>
              </w:rPr>
              <w:t>2 384</w:t>
            </w:r>
          </w:p>
        </w:tc>
      </w:tr>
    </w:tbl>
    <w:p w:rsidR="00891762" w:rsidRPr="00CC5550" w:rsidRDefault="00891762" w:rsidP="00CC5550">
      <w:pPr>
        <w:rPr>
          <w:lang w:val="fr-FR"/>
        </w:rPr>
      </w:pPr>
    </w:p>
    <w:p w:rsidR="00891762" w:rsidRPr="00CC5550" w:rsidRDefault="00891762" w:rsidP="00CC5550">
      <w:pPr>
        <w:rPr>
          <w:lang w:val="fr-FR"/>
        </w:rPr>
      </w:pPr>
    </w:p>
    <w:p w:rsidR="00891762" w:rsidRPr="00CC5550" w:rsidRDefault="007A35F7" w:rsidP="00CC5550">
      <w:pPr>
        <w:rPr>
          <w:b/>
          <w:bCs/>
          <w:szCs w:val="22"/>
          <w:lang w:val="fr-FR"/>
        </w:rPr>
      </w:pPr>
      <w:r w:rsidRPr="00CC5550">
        <w:rPr>
          <w:b/>
          <w:bCs/>
          <w:szCs w:val="22"/>
          <w:lang w:val="fr-FR"/>
        </w:rPr>
        <w:t>Nombre de demandes selon</w:t>
      </w:r>
      <w:r w:rsidR="00ED786D" w:rsidRPr="00CC5550">
        <w:rPr>
          <w:b/>
          <w:bCs/>
          <w:szCs w:val="22"/>
          <w:lang w:val="fr-FR"/>
        </w:rPr>
        <w:t xml:space="preserve"> le PCT</w:t>
      </w:r>
      <w:r w:rsidRPr="00CC5550">
        <w:rPr>
          <w:b/>
          <w:bCs/>
          <w:szCs w:val="22"/>
          <w:lang w:val="fr-FR"/>
        </w:rPr>
        <w:t xml:space="preserve"> reçues</w:t>
      </w:r>
      <w:r w:rsidR="00ED786D" w:rsidRPr="00CC5550">
        <w:rPr>
          <w:b/>
          <w:bCs/>
          <w:szCs w:val="22"/>
          <w:lang w:val="fr-FR"/>
        </w:rPr>
        <w:t xml:space="preserve"> – </w:t>
      </w:r>
      <w:r w:rsidRPr="00CC5550">
        <w:rPr>
          <w:b/>
          <w:bCs/>
          <w:szCs w:val="22"/>
          <w:lang w:val="fr-FR"/>
        </w:rPr>
        <w:t>par domaine technique</w:t>
      </w:r>
    </w:p>
    <w:p w:rsidR="00005FD7" w:rsidRPr="00CC5550" w:rsidRDefault="00005FD7" w:rsidP="00CC5550">
      <w:pPr>
        <w:rPr>
          <w:lang w:val="fr-FR"/>
        </w:rPr>
      </w:pPr>
    </w:p>
    <w:tbl>
      <w:tblPr>
        <w:tblStyle w:val="TableGrid"/>
        <w:tblW w:w="0" w:type="auto"/>
        <w:tblLook w:val="04A0" w:firstRow="1" w:lastRow="0" w:firstColumn="1" w:lastColumn="0" w:noHBand="0" w:noVBand="1"/>
      </w:tblPr>
      <w:tblGrid>
        <w:gridCol w:w="2643"/>
        <w:gridCol w:w="1385"/>
        <w:gridCol w:w="1386"/>
        <w:gridCol w:w="1385"/>
        <w:gridCol w:w="1386"/>
        <w:gridCol w:w="1386"/>
      </w:tblGrid>
      <w:tr w:rsidR="00CC5550" w:rsidRPr="00CC5550" w:rsidTr="00A84EAA">
        <w:tc>
          <w:tcPr>
            <w:tcW w:w="2643" w:type="dxa"/>
          </w:tcPr>
          <w:p w:rsidR="00005FD7" w:rsidRPr="00CC5550" w:rsidRDefault="007A35F7" w:rsidP="00CC5550">
            <w:pPr>
              <w:jc w:val="center"/>
              <w:rPr>
                <w:b/>
                <w:lang w:val="fr-FR"/>
              </w:rPr>
            </w:pPr>
            <w:r w:rsidRPr="00CC5550">
              <w:rPr>
                <w:b/>
                <w:lang w:val="fr-FR"/>
              </w:rPr>
              <w:t>Domaine technique</w:t>
            </w:r>
            <w:r w:rsidR="00F350DD" w:rsidRPr="00CC5550">
              <w:rPr>
                <w:b/>
                <w:lang w:val="fr-FR"/>
              </w:rPr>
              <w:t>/</w:t>
            </w:r>
            <w:r w:rsidRPr="00CC5550">
              <w:rPr>
                <w:b/>
                <w:lang w:val="fr-FR"/>
              </w:rPr>
              <w:t>Année</w:t>
            </w:r>
          </w:p>
        </w:tc>
        <w:tc>
          <w:tcPr>
            <w:tcW w:w="1385" w:type="dxa"/>
          </w:tcPr>
          <w:p w:rsidR="00005FD7" w:rsidRPr="00CC5550" w:rsidRDefault="00005FD7" w:rsidP="00CC5550">
            <w:pPr>
              <w:jc w:val="center"/>
              <w:rPr>
                <w:b/>
                <w:lang w:val="fr-FR"/>
              </w:rPr>
            </w:pPr>
            <w:r w:rsidRPr="00CC5550">
              <w:rPr>
                <w:b/>
                <w:lang w:val="fr-FR"/>
              </w:rPr>
              <w:t>2012</w:t>
            </w:r>
          </w:p>
        </w:tc>
        <w:tc>
          <w:tcPr>
            <w:tcW w:w="1386" w:type="dxa"/>
          </w:tcPr>
          <w:p w:rsidR="00005FD7" w:rsidRPr="00CC5550" w:rsidRDefault="00005FD7" w:rsidP="00CC5550">
            <w:pPr>
              <w:jc w:val="center"/>
              <w:rPr>
                <w:b/>
                <w:lang w:val="fr-FR"/>
              </w:rPr>
            </w:pPr>
            <w:r w:rsidRPr="00CC5550">
              <w:rPr>
                <w:b/>
                <w:lang w:val="fr-FR"/>
              </w:rPr>
              <w:t>2013</w:t>
            </w:r>
          </w:p>
        </w:tc>
        <w:tc>
          <w:tcPr>
            <w:tcW w:w="1385" w:type="dxa"/>
          </w:tcPr>
          <w:p w:rsidR="00005FD7" w:rsidRPr="00CC5550" w:rsidRDefault="00005FD7" w:rsidP="00CC5550">
            <w:pPr>
              <w:jc w:val="center"/>
              <w:rPr>
                <w:b/>
                <w:lang w:val="fr-FR"/>
              </w:rPr>
            </w:pPr>
            <w:r w:rsidRPr="00CC5550">
              <w:rPr>
                <w:b/>
                <w:lang w:val="fr-FR"/>
              </w:rPr>
              <w:t>2014</w:t>
            </w:r>
          </w:p>
        </w:tc>
        <w:tc>
          <w:tcPr>
            <w:tcW w:w="1386" w:type="dxa"/>
          </w:tcPr>
          <w:p w:rsidR="00005FD7" w:rsidRPr="00CC5550" w:rsidRDefault="00005FD7" w:rsidP="00CC5550">
            <w:pPr>
              <w:jc w:val="center"/>
              <w:rPr>
                <w:b/>
                <w:lang w:val="fr-FR"/>
              </w:rPr>
            </w:pPr>
            <w:r w:rsidRPr="00CC5550">
              <w:rPr>
                <w:b/>
                <w:lang w:val="fr-FR"/>
              </w:rPr>
              <w:t>2015</w:t>
            </w:r>
          </w:p>
        </w:tc>
        <w:tc>
          <w:tcPr>
            <w:tcW w:w="1386" w:type="dxa"/>
          </w:tcPr>
          <w:p w:rsidR="00005FD7" w:rsidRPr="00CC5550" w:rsidRDefault="00005FD7" w:rsidP="00CC5550">
            <w:pPr>
              <w:jc w:val="center"/>
              <w:rPr>
                <w:b/>
                <w:lang w:val="fr-FR"/>
              </w:rPr>
            </w:pPr>
            <w:r w:rsidRPr="00CC5550">
              <w:rPr>
                <w:b/>
                <w:lang w:val="fr-FR"/>
              </w:rPr>
              <w:t>2016</w:t>
            </w:r>
          </w:p>
        </w:tc>
      </w:tr>
      <w:tr w:rsidR="00CC5550" w:rsidRPr="00CC5550" w:rsidTr="00A84EAA">
        <w:tc>
          <w:tcPr>
            <w:tcW w:w="2643" w:type="dxa"/>
          </w:tcPr>
          <w:p w:rsidR="00005FD7" w:rsidRPr="00CC5550" w:rsidRDefault="007A35F7" w:rsidP="00CC5550">
            <w:pPr>
              <w:rPr>
                <w:lang w:val="fr-FR"/>
              </w:rPr>
            </w:pPr>
            <w:r w:rsidRPr="00CC5550">
              <w:rPr>
                <w:lang w:val="fr-FR"/>
              </w:rPr>
              <w:t>Chimie</w:t>
            </w:r>
          </w:p>
        </w:tc>
        <w:tc>
          <w:tcPr>
            <w:tcW w:w="1385" w:type="dxa"/>
          </w:tcPr>
          <w:p w:rsidR="00005FD7" w:rsidRPr="00CC5550" w:rsidRDefault="00367344" w:rsidP="00CC5550">
            <w:pPr>
              <w:jc w:val="right"/>
              <w:rPr>
                <w:lang w:val="fr-FR"/>
              </w:rPr>
            </w:pPr>
            <w:r w:rsidRPr="00CC5550">
              <w:rPr>
                <w:lang w:val="fr-FR"/>
              </w:rPr>
              <w:t>231</w:t>
            </w:r>
          </w:p>
        </w:tc>
        <w:tc>
          <w:tcPr>
            <w:tcW w:w="1386" w:type="dxa"/>
          </w:tcPr>
          <w:p w:rsidR="00005FD7" w:rsidRPr="00CC5550" w:rsidRDefault="00367344" w:rsidP="00CC5550">
            <w:pPr>
              <w:jc w:val="right"/>
              <w:rPr>
                <w:lang w:val="fr-FR"/>
              </w:rPr>
            </w:pPr>
            <w:r w:rsidRPr="00CC5550">
              <w:rPr>
                <w:lang w:val="fr-FR"/>
              </w:rPr>
              <w:t>203</w:t>
            </w:r>
          </w:p>
        </w:tc>
        <w:tc>
          <w:tcPr>
            <w:tcW w:w="1385" w:type="dxa"/>
          </w:tcPr>
          <w:p w:rsidR="00005FD7" w:rsidRPr="00CC5550" w:rsidRDefault="00367344" w:rsidP="00CC5550">
            <w:pPr>
              <w:jc w:val="right"/>
              <w:rPr>
                <w:lang w:val="fr-FR"/>
              </w:rPr>
            </w:pPr>
            <w:r w:rsidRPr="00CC5550">
              <w:rPr>
                <w:lang w:val="fr-FR"/>
              </w:rPr>
              <w:t>180</w:t>
            </w:r>
          </w:p>
        </w:tc>
        <w:tc>
          <w:tcPr>
            <w:tcW w:w="1386" w:type="dxa"/>
          </w:tcPr>
          <w:p w:rsidR="00005FD7" w:rsidRPr="00CC5550" w:rsidRDefault="00367344" w:rsidP="00CC5550">
            <w:pPr>
              <w:jc w:val="right"/>
              <w:rPr>
                <w:lang w:val="fr-FR"/>
              </w:rPr>
            </w:pPr>
            <w:r w:rsidRPr="00CC5550">
              <w:rPr>
                <w:lang w:val="fr-FR"/>
              </w:rPr>
              <w:t>172</w:t>
            </w:r>
          </w:p>
        </w:tc>
        <w:tc>
          <w:tcPr>
            <w:tcW w:w="1386" w:type="dxa"/>
          </w:tcPr>
          <w:p w:rsidR="00005FD7" w:rsidRPr="00CC5550" w:rsidRDefault="00367344" w:rsidP="00CC5550">
            <w:pPr>
              <w:jc w:val="right"/>
              <w:rPr>
                <w:lang w:val="fr-FR"/>
              </w:rPr>
            </w:pPr>
            <w:r w:rsidRPr="00CC5550">
              <w:rPr>
                <w:lang w:val="fr-FR"/>
              </w:rPr>
              <w:t>112</w:t>
            </w:r>
          </w:p>
        </w:tc>
      </w:tr>
      <w:tr w:rsidR="00CC5550" w:rsidRPr="00CC5550" w:rsidTr="00A84EAA">
        <w:tc>
          <w:tcPr>
            <w:tcW w:w="2643" w:type="dxa"/>
          </w:tcPr>
          <w:p w:rsidR="00005FD7" w:rsidRPr="00CC5550" w:rsidRDefault="007A35F7" w:rsidP="00CC5550">
            <w:pPr>
              <w:rPr>
                <w:lang w:val="fr-FR"/>
              </w:rPr>
            </w:pPr>
            <w:r w:rsidRPr="00CC5550">
              <w:rPr>
                <w:lang w:val="fr-FR"/>
              </w:rPr>
              <w:t>Électrotechnique</w:t>
            </w:r>
          </w:p>
        </w:tc>
        <w:tc>
          <w:tcPr>
            <w:tcW w:w="1385" w:type="dxa"/>
          </w:tcPr>
          <w:p w:rsidR="00005FD7" w:rsidRPr="00CC5550" w:rsidRDefault="00367344" w:rsidP="00CC5550">
            <w:pPr>
              <w:jc w:val="right"/>
              <w:rPr>
                <w:lang w:val="fr-FR"/>
              </w:rPr>
            </w:pPr>
            <w:r w:rsidRPr="00CC5550">
              <w:rPr>
                <w:lang w:val="fr-FR"/>
              </w:rPr>
              <w:t>520</w:t>
            </w:r>
          </w:p>
        </w:tc>
        <w:tc>
          <w:tcPr>
            <w:tcW w:w="1386" w:type="dxa"/>
          </w:tcPr>
          <w:p w:rsidR="00005FD7" w:rsidRPr="00CC5550" w:rsidRDefault="00367344" w:rsidP="00CC5550">
            <w:pPr>
              <w:jc w:val="right"/>
              <w:rPr>
                <w:lang w:val="fr-FR"/>
              </w:rPr>
            </w:pPr>
            <w:r w:rsidRPr="00CC5550">
              <w:rPr>
                <w:lang w:val="fr-FR"/>
              </w:rPr>
              <w:t>449</w:t>
            </w:r>
          </w:p>
        </w:tc>
        <w:tc>
          <w:tcPr>
            <w:tcW w:w="1385" w:type="dxa"/>
          </w:tcPr>
          <w:p w:rsidR="00005FD7" w:rsidRPr="00CC5550" w:rsidRDefault="00367344" w:rsidP="00CC5550">
            <w:pPr>
              <w:jc w:val="right"/>
              <w:rPr>
                <w:lang w:val="fr-FR"/>
              </w:rPr>
            </w:pPr>
            <w:r w:rsidRPr="00CC5550">
              <w:rPr>
                <w:lang w:val="fr-FR"/>
              </w:rPr>
              <w:t>349</w:t>
            </w:r>
          </w:p>
        </w:tc>
        <w:tc>
          <w:tcPr>
            <w:tcW w:w="1386" w:type="dxa"/>
          </w:tcPr>
          <w:p w:rsidR="00005FD7" w:rsidRPr="00CC5550" w:rsidRDefault="00367344" w:rsidP="00CC5550">
            <w:pPr>
              <w:jc w:val="right"/>
              <w:rPr>
                <w:lang w:val="fr-FR"/>
              </w:rPr>
            </w:pPr>
            <w:r w:rsidRPr="00CC5550">
              <w:rPr>
                <w:lang w:val="fr-FR"/>
              </w:rPr>
              <w:t>332</w:t>
            </w:r>
          </w:p>
        </w:tc>
        <w:tc>
          <w:tcPr>
            <w:tcW w:w="1386" w:type="dxa"/>
          </w:tcPr>
          <w:p w:rsidR="00005FD7" w:rsidRPr="00CC5550" w:rsidRDefault="00367344" w:rsidP="00CC5550">
            <w:pPr>
              <w:jc w:val="right"/>
              <w:rPr>
                <w:lang w:val="fr-FR"/>
              </w:rPr>
            </w:pPr>
            <w:r w:rsidRPr="00CC5550">
              <w:rPr>
                <w:lang w:val="fr-FR"/>
              </w:rPr>
              <w:t>198</w:t>
            </w:r>
          </w:p>
        </w:tc>
      </w:tr>
      <w:tr w:rsidR="00CC5550" w:rsidRPr="00CC5550" w:rsidTr="00A84EAA">
        <w:tc>
          <w:tcPr>
            <w:tcW w:w="2643" w:type="dxa"/>
          </w:tcPr>
          <w:p w:rsidR="00005FD7" w:rsidRPr="00CC5550" w:rsidRDefault="007A35F7" w:rsidP="00CC5550">
            <w:pPr>
              <w:rPr>
                <w:lang w:val="fr-FR"/>
              </w:rPr>
            </w:pPr>
            <w:r w:rsidRPr="00CC5550">
              <w:rPr>
                <w:lang w:val="fr-FR"/>
              </w:rPr>
              <w:t>Instruments</w:t>
            </w:r>
          </w:p>
        </w:tc>
        <w:tc>
          <w:tcPr>
            <w:tcW w:w="1385" w:type="dxa"/>
          </w:tcPr>
          <w:p w:rsidR="00005FD7" w:rsidRPr="00CC5550" w:rsidRDefault="00367344" w:rsidP="00CC5550">
            <w:pPr>
              <w:jc w:val="right"/>
              <w:rPr>
                <w:lang w:val="fr-FR"/>
              </w:rPr>
            </w:pPr>
            <w:r w:rsidRPr="00CC5550">
              <w:rPr>
                <w:lang w:val="fr-FR"/>
              </w:rPr>
              <w:t>238</w:t>
            </w:r>
          </w:p>
        </w:tc>
        <w:tc>
          <w:tcPr>
            <w:tcW w:w="1386" w:type="dxa"/>
          </w:tcPr>
          <w:p w:rsidR="00005FD7" w:rsidRPr="00CC5550" w:rsidRDefault="00367344" w:rsidP="00CC5550">
            <w:pPr>
              <w:jc w:val="right"/>
              <w:rPr>
                <w:lang w:val="fr-FR"/>
              </w:rPr>
            </w:pPr>
            <w:r w:rsidRPr="00CC5550">
              <w:rPr>
                <w:lang w:val="fr-FR"/>
              </w:rPr>
              <w:t>214</w:t>
            </w:r>
          </w:p>
        </w:tc>
        <w:tc>
          <w:tcPr>
            <w:tcW w:w="1385" w:type="dxa"/>
          </w:tcPr>
          <w:p w:rsidR="00005FD7" w:rsidRPr="00CC5550" w:rsidRDefault="00367344" w:rsidP="00CC5550">
            <w:pPr>
              <w:jc w:val="right"/>
              <w:rPr>
                <w:lang w:val="fr-FR"/>
              </w:rPr>
            </w:pPr>
            <w:r w:rsidRPr="00CC5550">
              <w:rPr>
                <w:lang w:val="fr-FR"/>
              </w:rPr>
              <w:t>186</w:t>
            </w:r>
          </w:p>
        </w:tc>
        <w:tc>
          <w:tcPr>
            <w:tcW w:w="1386" w:type="dxa"/>
          </w:tcPr>
          <w:p w:rsidR="00005FD7" w:rsidRPr="00CC5550" w:rsidRDefault="00367344" w:rsidP="00CC5550">
            <w:pPr>
              <w:jc w:val="right"/>
              <w:rPr>
                <w:lang w:val="fr-FR"/>
              </w:rPr>
            </w:pPr>
            <w:r w:rsidRPr="00CC5550">
              <w:rPr>
                <w:lang w:val="fr-FR"/>
              </w:rPr>
              <w:t>131</w:t>
            </w:r>
          </w:p>
        </w:tc>
        <w:tc>
          <w:tcPr>
            <w:tcW w:w="1386" w:type="dxa"/>
          </w:tcPr>
          <w:p w:rsidR="00005FD7" w:rsidRPr="00CC5550" w:rsidRDefault="00367344" w:rsidP="00CC5550">
            <w:pPr>
              <w:jc w:val="right"/>
              <w:rPr>
                <w:lang w:val="fr-FR"/>
              </w:rPr>
            </w:pPr>
            <w:r w:rsidRPr="00CC5550">
              <w:rPr>
                <w:lang w:val="fr-FR"/>
              </w:rPr>
              <w:t>78</w:t>
            </w:r>
          </w:p>
        </w:tc>
      </w:tr>
      <w:tr w:rsidR="00CC5550" w:rsidRPr="00CC5550" w:rsidTr="00A84EAA">
        <w:tc>
          <w:tcPr>
            <w:tcW w:w="2643" w:type="dxa"/>
          </w:tcPr>
          <w:p w:rsidR="00005FD7" w:rsidRPr="00CC5550" w:rsidRDefault="007A35F7" w:rsidP="00CC5550">
            <w:pPr>
              <w:rPr>
                <w:lang w:val="fr-FR"/>
              </w:rPr>
            </w:pPr>
            <w:r w:rsidRPr="00CC5550">
              <w:rPr>
                <w:lang w:val="fr-FR"/>
              </w:rPr>
              <w:t>Mécanique</w:t>
            </w:r>
          </w:p>
        </w:tc>
        <w:tc>
          <w:tcPr>
            <w:tcW w:w="1385" w:type="dxa"/>
          </w:tcPr>
          <w:p w:rsidR="00005FD7" w:rsidRPr="00CC5550" w:rsidRDefault="00367344" w:rsidP="00CC5550">
            <w:pPr>
              <w:jc w:val="right"/>
              <w:rPr>
                <w:lang w:val="fr-FR"/>
              </w:rPr>
            </w:pPr>
            <w:r w:rsidRPr="00CC5550">
              <w:rPr>
                <w:lang w:val="fr-FR"/>
              </w:rPr>
              <w:t>426</w:t>
            </w:r>
          </w:p>
        </w:tc>
        <w:tc>
          <w:tcPr>
            <w:tcW w:w="1386" w:type="dxa"/>
          </w:tcPr>
          <w:p w:rsidR="00005FD7" w:rsidRPr="00CC5550" w:rsidRDefault="00367344" w:rsidP="00CC5550">
            <w:pPr>
              <w:jc w:val="right"/>
              <w:rPr>
                <w:lang w:val="fr-FR"/>
              </w:rPr>
            </w:pPr>
            <w:r w:rsidRPr="00CC5550">
              <w:rPr>
                <w:lang w:val="fr-FR"/>
              </w:rPr>
              <w:t>496</w:t>
            </w:r>
          </w:p>
        </w:tc>
        <w:tc>
          <w:tcPr>
            <w:tcW w:w="1385" w:type="dxa"/>
          </w:tcPr>
          <w:p w:rsidR="00005FD7" w:rsidRPr="00CC5550" w:rsidRDefault="00367344" w:rsidP="00CC5550">
            <w:pPr>
              <w:jc w:val="right"/>
              <w:rPr>
                <w:lang w:val="fr-FR"/>
              </w:rPr>
            </w:pPr>
            <w:r w:rsidRPr="00CC5550">
              <w:rPr>
                <w:lang w:val="fr-FR"/>
              </w:rPr>
              <w:t>483</w:t>
            </w:r>
          </w:p>
        </w:tc>
        <w:tc>
          <w:tcPr>
            <w:tcW w:w="1386" w:type="dxa"/>
          </w:tcPr>
          <w:p w:rsidR="00005FD7" w:rsidRPr="00CC5550" w:rsidRDefault="00367344" w:rsidP="00CC5550">
            <w:pPr>
              <w:jc w:val="right"/>
              <w:rPr>
                <w:lang w:val="fr-FR"/>
              </w:rPr>
            </w:pPr>
            <w:r w:rsidRPr="00CC5550">
              <w:rPr>
                <w:lang w:val="fr-FR"/>
              </w:rPr>
              <w:t>343</w:t>
            </w:r>
          </w:p>
        </w:tc>
        <w:tc>
          <w:tcPr>
            <w:tcW w:w="1386" w:type="dxa"/>
          </w:tcPr>
          <w:p w:rsidR="00005FD7" w:rsidRPr="00CC5550" w:rsidRDefault="00367344" w:rsidP="00CC5550">
            <w:pPr>
              <w:jc w:val="right"/>
              <w:rPr>
                <w:lang w:val="fr-FR"/>
              </w:rPr>
            </w:pPr>
            <w:r w:rsidRPr="00CC5550">
              <w:rPr>
                <w:lang w:val="fr-FR"/>
              </w:rPr>
              <w:t>237</w:t>
            </w:r>
          </w:p>
        </w:tc>
      </w:tr>
      <w:tr w:rsidR="00CC5550" w:rsidRPr="00CC5550" w:rsidTr="00A84EAA">
        <w:tc>
          <w:tcPr>
            <w:tcW w:w="2643" w:type="dxa"/>
          </w:tcPr>
          <w:p w:rsidR="00005FD7" w:rsidRPr="00CC5550" w:rsidRDefault="007A35F7" w:rsidP="00CC5550">
            <w:pPr>
              <w:rPr>
                <w:lang w:val="fr-FR"/>
              </w:rPr>
            </w:pPr>
            <w:r w:rsidRPr="00CC5550">
              <w:rPr>
                <w:lang w:val="fr-FR"/>
              </w:rPr>
              <w:t>Autres domaines</w:t>
            </w:r>
          </w:p>
        </w:tc>
        <w:tc>
          <w:tcPr>
            <w:tcW w:w="1385" w:type="dxa"/>
          </w:tcPr>
          <w:p w:rsidR="00005FD7" w:rsidRPr="00CC5550" w:rsidRDefault="00367344" w:rsidP="00CC5550">
            <w:pPr>
              <w:jc w:val="right"/>
              <w:rPr>
                <w:lang w:val="fr-FR"/>
              </w:rPr>
            </w:pPr>
            <w:r w:rsidRPr="00CC5550">
              <w:rPr>
                <w:lang w:val="fr-FR"/>
              </w:rPr>
              <w:t>156</w:t>
            </w:r>
          </w:p>
        </w:tc>
        <w:tc>
          <w:tcPr>
            <w:tcW w:w="1386" w:type="dxa"/>
          </w:tcPr>
          <w:p w:rsidR="00005FD7" w:rsidRPr="00CC5550" w:rsidRDefault="00367344" w:rsidP="00CC5550">
            <w:pPr>
              <w:jc w:val="right"/>
              <w:rPr>
                <w:lang w:val="fr-FR"/>
              </w:rPr>
            </w:pPr>
            <w:r w:rsidRPr="00CC5550">
              <w:rPr>
                <w:lang w:val="fr-FR"/>
              </w:rPr>
              <w:t>147</w:t>
            </w:r>
          </w:p>
        </w:tc>
        <w:tc>
          <w:tcPr>
            <w:tcW w:w="1385" w:type="dxa"/>
          </w:tcPr>
          <w:p w:rsidR="00005FD7" w:rsidRPr="00CC5550" w:rsidRDefault="00367344" w:rsidP="00CC5550">
            <w:pPr>
              <w:jc w:val="right"/>
              <w:rPr>
                <w:lang w:val="fr-FR"/>
              </w:rPr>
            </w:pPr>
            <w:r w:rsidRPr="00CC5550">
              <w:rPr>
                <w:lang w:val="fr-FR"/>
              </w:rPr>
              <w:t>127</w:t>
            </w:r>
          </w:p>
        </w:tc>
        <w:tc>
          <w:tcPr>
            <w:tcW w:w="1386" w:type="dxa"/>
          </w:tcPr>
          <w:p w:rsidR="00005FD7" w:rsidRPr="00CC5550" w:rsidRDefault="00367344" w:rsidP="00CC5550">
            <w:pPr>
              <w:jc w:val="right"/>
              <w:rPr>
                <w:lang w:val="fr-FR"/>
              </w:rPr>
            </w:pPr>
            <w:r w:rsidRPr="00CC5550">
              <w:rPr>
                <w:lang w:val="fr-FR"/>
              </w:rPr>
              <w:t>128</w:t>
            </w:r>
          </w:p>
        </w:tc>
        <w:tc>
          <w:tcPr>
            <w:tcW w:w="1386" w:type="dxa"/>
          </w:tcPr>
          <w:p w:rsidR="00005FD7" w:rsidRPr="00CC5550" w:rsidRDefault="00367344" w:rsidP="00CC5550">
            <w:pPr>
              <w:jc w:val="right"/>
              <w:rPr>
                <w:lang w:val="fr-FR"/>
              </w:rPr>
            </w:pPr>
            <w:r w:rsidRPr="00CC5550">
              <w:rPr>
                <w:lang w:val="fr-FR"/>
              </w:rPr>
              <w:t>95</w:t>
            </w:r>
          </w:p>
        </w:tc>
      </w:tr>
      <w:tr w:rsidR="00CC5550" w:rsidRPr="00CC5550" w:rsidTr="00A84EAA">
        <w:tc>
          <w:tcPr>
            <w:tcW w:w="2643" w:type="dxa"/>
          </w:tcPr>
          <w:p w:rsidR="00005FD7" w:rsidRPr="00CC5550" w:rsidRDefault="003D0980" w:rsidP="00CC5550">
            <w:pPr>
              <w:rPr>
                <w:lang w:val="fr-FR"/>
              </w:rPr>
            </w:pPr>
            <w:r w:rsidRPr="00CC5550">
              <w:rPr>
                <w:lang w:val="fr-FR"/>
              </w:rPr>
              <w:t>Non mentionné</w:t>
            </w:r>
          </w:p>
        </w:tc>
        <w:tc>
          <w:tcPr>
            <w:tcW w:w="1385" w:type="dxa"/>
          </w:tcPr>
          <w:p w:rsidR="00005FD7" w:rsidRPr="00CC5550" w:rsidRDefault="00367344" w:rsidP="00CC5550">
            <w:pPr>
              <w:jc w:val="right"/>
              <w:rPr>
                <w:lang w:val="fr-FR"/>
              </w:rPr>
            </w:pPr>
            <w:r w:rsidRPr="00CC5550">
              <w:rPr>
                <w:lang w:val="fr-FR"/>
              </w:rPr>
              <w:t>20</w:t>
            </w:r>
          </w:p>
        </w:tc>
        <w:tc>
          <w:tcPr>
            <w:tcW w:w="1386" w:type="dxa"/>
          </w:tcPr>
          <w:p w:rsidR="00005FD7" w:rsidRPr="00CC5550" w:rsidRDefault="00367344" w:rsidP="00CC5550">
            <w:pPr>
              <w:jc w:val="right"/>
              <w:rPr>
                <w:lang w:val="fr-FR"/>
              </w:rPr>
            </w:pPr>
            <w:r w:rsidRPr="00CC5550">
              <w:rPr>
                <w:lang w:val="fr-FR"/>
              </w:rPr>
              <w:t>25</w:t>
            </w:r>
          </w:p>
        </w:tc>
        <w:tc>
          <w:tcPr>
            <w:tcW w:w="1385" w:type="dxa"/>
          </w:tcPr>
          <w:p w:rsidR="00005FD7" w:rsidRPr="00CC5550" w:rsidRDefault="00367344" w:rsidP="00CC5550">
            <w:pPr>
              <w:jc w:val="right"/>
              <w:rPr>
                <w:lang w:val="fr-FR"/>
              </w:rPr>
            </w:pPr>
            <w:r w:rsidRPr="00CC5550">
              <w:rPr>
                <w:lang w:val="fr-FR"/>
              </w:rPr>
              <w:t>34</w:t>
            </w:r>
          </w:p>
        </w:tc>
        <w:tc>
          <w:tcPr>
            <w:tcW w:w="1386" w:type="dxa"/>
          </w:tcPr>
          <w:p w:rsidR="00005FD7" w:rsidRPr="00CC5550" w:rsidRDefault="00367344" w:rsidP="00CC5550">
            <w:pPr>
              <w:jc w:val="right"/>
              <w:rPr>
                <w:lang w:val="fr-FR"/>
              </w:rPr>
            </w:pPr>
            <w:r w:rsidRPr="00CC5550">
              <w:rPr>
                <w:lang w:val="fr-FR"/>
              </w:rPr>
              <w:t>12</w:t>
            </w:r>
          </w:p>
        </w:tc>
        <w:tc>
          <w:tcPr>
            <w:tcW w:w="1386" w:type="dxa"/>
          </w:tcPr>
          <w:p w:rsidR="00005FD7" w:rsidRPr="00CC5550" w:rsidRDefault="00367344" w:rsidP="00CC5550">
            <w:pPr>
              <w:jc w:val="right"/>
              <w:rPr>
                <w:lang w:val="fr-FR"/>
              </w:rPr>
            </w:pPr>
            <w:r w:rsidRPr="00CC5550">
              <w:rPr>
                <w:lang w:val="fr-FR"/>
              </w:rPr>
              <w:t>261</w:t>
            </w:r>
          </w:p>
        </w:tc>
      </w:tr>
      <w:tr w:rsidR="00005FD7" w:rsidRPr="00CC5550" w:rsidTr="00A84EAA">
        <w:tc>
          <w:tcPr>
            <w:tcW w:w="2643" w:type="dxa"/>
          </w:tcPr>
          <w:p w:rsidR="00005FD7" w:rsidRPr="00CC5550" w:rsidRDefault="00005FD7" w:rsidP="00CC5550">
            <w:pPr>
              <w:rPr>
                <w:b/>
                <w:lang w:val="fr-FR"/>
              </w:rPr>
            </w:pPr>
            <w:r w:rsidRPr="00CC5550">
              <w:rPr>
                <w:b/>
                <w:lang w:val="fr-FR"/>
              </w:rPr>
              <w:t>TOTAL</w:t>
            </w:r>
          </w:p>
        </w:tc>
        <w:tc>
          <w:tcPr>
            <w:tcW w:w="1385" w:type="dxa"/>
          </w:tcPr>
          <w:p w:rsidR="00005FD7" w:rsidRPr="00CC5550" w:rsidRDefault="007A35F7" w:rsidP="00CC5550">
            <w:pPr>
              <w:jc w:val="right"/>
              <w:rPr>
                <w:lang w:val="fr-FR"/>
              </w:rPr>
            </w:pPr>
            <w:r w:rsidRPr="00CC5550">
              <w:rPr>
                <w:lang w:val="fr-FR"/>
              </w:rPr>
              <w:t>1 592</w:t>
            </w:r>
          </w:p>
        </w:tc>
        <w:tc>
          <w:tcPr>
            <w:tcW w:w="1386" w:type="dxa"/>
          </w:tcPr>
          <w:p w:rsidR="00005FD7" w:rsidRPr="00CC5550" w:rsidRDefault="007A35F7" w:rsidP="00CC5550">
            <w:pPr>
              <w:jc w:val="right"/>
              <w:rPr>
                <w:lang w:val="fr-FR"/>
              </w:rPr>
            </w:pPr>
            <w:r w:rsidRPr="00CC5550">
              <w:rPr>
                <w:lang w:val="fr-FR"/>
              </w:rPr>
              <w:t>1 534</w:t>
            </w:r>
          </w:p>
        </w:tc>
        <w:tc>
          <w:tcPr>
            <w:tcW w:w="1385" w:type="dxa"/>
          </w:tcPr>
          <w:p w:rsidR="00005FD7" w:rsidRPr="00CC5550" w:rsidRDefault="007A35F7" w:rsidP="00CC5550">
            <w:pPr>
              <w:jc w:val="right"/>
              <w:rPr>
                <w:lang w:val="fr-FR"/>
              </w:rPr>
            </w:pPr>
            <w:r w:rsidRPr="00CC5550">
              <w:rPr>
                <w:lang w:val="fr-FR"/>
              </w:rPr>
              <w:t>1 359</w:t>
            </w:r>
          </w:p>
        </w:tc>
        <w:tc>
          <w:tcPr>
            <w:tcW w:w="1386" w:type="dxa"/>
          </w:tcPr>
          <w:p w:rsidR="00005FD7" w:rsidRPr="00CC5550" w:rsidRDefault="007A35F7" w:rsidP="00CC5550">
            <w:pPr>
              <w:jc w:val="right"/>
              <w:rPr>
                <w:lang w:val="fr-FR"/>
              </w:rPr>
            </w:pPr>
            <w:r w:rsidRPr="00CC5550">
              <w:rPr>
                <w:lang w:val="fr-FR"/>
              </w:rPr>
              <w:t>1 118</w:t>
            </w:r>
          </w:p>
        </w:tc>
        <w:tc>
          <w:tcPr>
            <w:tcW w:w="1386" w:type="dxa"/>
          </w:tcPr>
          <w:p w:rsidR="00005FD7" w:rsidRPr="00CC5550" w:rsidRDefault="00367344" w:rsidP="00CC5550">
            <w:pPr>
              <w:jc w:val="right"/>
              <w:rPr>
                <w:lang w:val="fr-FR"/>
              </w:rPr>
            </w:pPr>
            <w:r w:rsidRPr="00CC5550">
              <w:rPr>
                <w:lang w:val="fr-FR"/>
              </w:rPr>
              <w:t>982</w:t>
            </w:r>
          </w:p>
        </w:tc>
      </w:tr>
    </w:tbl>
    <w:p w:rsidR="00891762" w:rsidRPr="00CC5550" w:rsidRDefault="00891762" w:rsidP="00CC5550">
      <w:pPr>
        <w:rPr>
          <w:lang w:val="fr-FR"/>
        </w:rPr>
      </w:pPr>
    </w:p>
    <w:p w:rsidR="00891762" w:rsidRPr="00CC5550" w:rsidRDefault="00891762" w:rsidP="00CC5550">
      <w:pPr>
        <w:rPr>
          <w:lang w:val="fr-FR"/>
        </w:rPr>
      </w:pPr>
    </w:p>
    <w:p w:rsidR="00891762" w:rsidRPr="00CC5550" w:rsidRDefault="007A35F7" w:rsidP="00CC5550">
      <w:pPr>
        <w:rPr>
          <w:b/>
          <w:bCs/>
          <w:szCs w:val="22"/>
          <w:lang w:val="fr-FR"/>
        </w:rPr>
      </w:pPr>
      <w:r w:rsidRPr="00CC5550">
        <w:rPr>
          <w:b/>
          <w:bCs/>
          <w:szCs w:val="22"/>
          <w:lang w:val="fr-FR"/>
        </w:rPr>
        <w:t>Nombre de demandes nationales reçues</w:t>
      </w:r>
      <w:r w:rsidR="00ED786D" w:rsidRPr="00CC5550">
        <w:rPr>
          <w:b/>
          <w:bCs/>
          <w:szCs w:val="22"/>
          <w:lang w:val="fr-FR"/>
        </w:rPr>
        <w:t xml:space="preserve"> – </w:t>
      </w:r>
      <w:r w:rsidRPr="00CC5550">
        <w:rPr>
          <w:b/>
          <w:bCs/>
          <w:szCs w:val="22"/>
          <w:lang w:val="fr-FR"/>
        </w:rPr>
        <w:t xml:space="preserve">par </w:t>
      </w:r>
      <w:r w:rsidR="003D0980" w:rsidRPr="00CC5550">
        <w:rPr>
          <w:b/>
          <w:bCs/>
          <w:szCs w:val="22"/>
          <w:lang w:val="fr-FR"/>
        </w:rPr>
        <w:t>voie de dépôt</w:t>
      </w:r>
    </w:p>
    <w:p w:rsidR="00AA5F79" w:rsidRPr="00CC5550" w:rsidRDefault="00AA5F79" w:rsidP="00CC5550">
      <w:pPr>
        <w:rPr>
          <w:lang w:val="fr-FR"/>
        </w:rPr>
      </w:pPr>
    </w:p>
    <w:tbl>
      <w:tblPr>
        <w:tblStyle w:val="TableGrid"/>
        <w:tblW w:w="0" w:type="auto"/>
        <w:tblLayout w:type="fixed"/>
        <w:tblLook w:val="04A0" w:firstRow="1" w:lastRow="0" w:firstColumn="1" w:lastColumn="0" w:noHBand="0" w:noVBand="1"/>
      </w:tblPr>
      <w:tblGrid>
        <w:gridCol w:w="4077"/>
        <w:gridCol w:w="1134"/>
        <w:gridCol w:w="1134"/>
        <w:gridCol w:w="1134"/>
        <w:gridCol w:w="1134"/>
        <w:gridCol w:w="958"/>
      </w:tblGrid>
      <w:tr w:rsidR="00CC5550" w:rsidRPr="00CC5550" w:rsidTr="00AC1FD6">
        <w:tc>
          <w:tcPr>
            <w:tcW w:w="4077" w:type="dxa"/>
          </w:tcPr>
          <w:p w:rsidR="00367344" w:rsidRPr="00CC5550" w:rsidRDefault="003D0980" w:rsidP="00CC5550">
            <w:pPr>
              <w:jc w:val="center"/>
              <w:rPr>
                <w:b/>
                <w:lang w:val="fr-FR"/>
              </w:rPr>
            </w:pPr>
            <w:r w:rsidRPr="00CC5550">
              <w:rPr>
                <w:b/>
                <w:lang w:val="fr-FR"/>
              </w:rPr>
              <w:t>Voie</w:t>
            </w:r>
            <w:r w:rsidR="00F350DD" w:rsidRPr="00CC5550">
              <w:rPr>
                <w:b/>
                <w:lang w:val="fr-FR"/>
              </w:rPr>
              <w:t>/</w:t>
            </w:r>
            <w:r w:rsidR="007A35F7" w:rsidRPr="00CC5550">
              <w:rPr>
                <w:b/>
                <w:lang w:val="fr-FR"/>
              </w:rPr>
              <w:t>Année</w:t>
            </w:r>
          </w:p>
        </w:tc>
        <w:tc>
          <w:tcPr>
            <w:tcW w:w="1134" w:type="dxa"/>
          </w:tcPr>
          <w:p w:rsidR="00367344" w:rsidRPr="00CC5550" w:rsidRDefault="00367344" w:rsidP="00CC5550">
            <w:pPr>
              <w:jc w:val="center"/>
              <w:rPr>
                <w:b/>
                <w:lang w:val="fr-FR"/>
              </w:rPr>
            </w:pPr>
            <w:r w:rsidRPr="00CC5550">
              <w:rPr>
                <w:b/>
                <w:lang w:val="fr-FR"/>
              </w:rPr>
              <w:t>2012</w:t>
            </w:r>
          </w:p>
        </w:tc>
        <w:tc>
          <w:tcPr>
            <w:tcW w:w="1134" w:type="dxa"/>
          </w:tcPr>
          <w:p w:rsidR="00367344" w:rsidRPr="00CC5550" w:rsidRDefault="00367344" w:rsidP="00CC5550">
            <w:pPr>
              <w:jc w:val="center"/>
              <w:rPr>
                <w:b/>
                <w:lang w:val="fr-FR"/>
              </w:rPr>
            </w:pPr>
            <w:r w:rsidRPr="00CC5550">
              <w:rPr>
                <w:b/>
                <w:lang w:val="fr-FR"/>
              </w:rPr>
              <w:t>2013</w:t>
            </w:r>
          </w:p>
        </w:tc>
        <w:tc>
          <w:tcPr>
            <w:tcW w:w="1134" w:type="dxa"/>
          </w:tcPr>
          <w:p w:rsidR="00367344" w:rsidRPr="00CC5550" w:rsidRDefault="00367344" w:rsidP="00CC5550">
            <w:pPr>
              <w:jc w:val="center"/>
              <w:rPr>
                <w:b/>
                <w:lang w:val="fr-FR"/>
              </w:rPr>
            </w:pPr>
            <w:r w:rsidRPr="00CC5550">
              <w:rPr>
                <w:b/>
                <w:lang w:val="fr-FR"/>
              </w:rPr>
              <w:t>2014</w:t>
            </w:r>
          </w:p>
        </w:tc>
        <w:tc>
          <w:tcPr>
            <w:tcW w:w="1134" w:type="dxa"/>
          </w:tcPr>
          <w:p w:rsidR="00367344" w:rsidRPr="00CC5550" w:rsidRDefault="00367344" w:rsidP="00CC5550">
            <w:pPr>
              <w:jc w:val="center"/>
              <w:rPr>
                <w:b/>
                <w:lang w:val="fr-FR"/>
              </w:rPr>
            </w:pPr>
            <w:r w:rsidRPr="00CC5550">
              <w:rPr>
                <w:b/>
                <w:lang w:val="fr-FR"/>
              </w:rPr>
              <w:t>2015</w:t>
            </w:r>
          </w:p>
        </w:tc>
        <w:tc>
          <w:tcPr>
            <w:tcW w:w="958" w:type="dxa"/>
          </w:tcPr>
          <w:p w:rsidR="00367344" w:rsidRPr="00CC5550" w:rsidRDefault="00367344" w:rsidP="00CC5550">
            <w:pPr>
              <w:jc w:val="center"/>
              <w:rPr>
                <w:b/>
                <w:lang w:val="fr-FR"/>
              </w:rPr>
            </w:pPr>
            <w:r w:rsidRPr="00CC5550">
              <w:rPr>
                <w:b/>
                <w:lang w:val="fr-FR"/>
              </w:rPr>
              <w:t>2016</w:t>
            </w:r>
          </w:p>
        </w:tc>
      </w:tr>
      <w:tr w:rsidR="00CC5550" w:rsidRPr="00CC5550" w:rsidTr="00AC1FD6">
        <w:tc>
          <w:tcPr>
            <w:tcW w:w="4077" w:type="dxa"/>
          </w:tcPr>
          <w:p w:rsidR="00367344" w:rsidRPr="00CC5550" w:rsidRDefault="008B35EB" w:rsidP="00CC5550">
            <w:pPr>
              <w:rPr>
                <w:lang w:val="fr-FR"/>
              </w:rPr>
            </w:pPr>
            <w:r w:rsidRPr="00CC5550">
              <w:rPr>
                <w:lang w:val="fr-FR"/>
              </w:rPr>
              <w:t>Premier dépôt national</w:t>
            </w:r>
            <w:r w:rsidR="00F350DD" w:rsidRPr="00CC5550">
              <w:rPr>
                <w:lang w:val="fr-FR"/>
              </w:rPr>
              <w:t>/</w:t>
            </w:r>
            <w:r w:rsidRPr="00CC5550">
              <w:rPr>
                <w:lang w:val="fr-FR"/>
              </w:rPr>
              <w:t>p</w:t>
            </w:r>
            <w:r w:rsidR="007A35F7" w:rsidRPr="00CC5550">
              <w:rPr>
                <w:lang w:val="fr-FR"/>
              </w:rPr>
              <w:t>riorité interne</w:t>
            </w:r>
          </w:p>
        </w:tc>
        <w:tc>
          <w:tcPr>
            <w:tcW w:w="1134" w:type="dxa"/>
          </w:tcPr>
          <w:p w:rsidR="00367344" w:rsidRPr="00CC5550" w:rsidRDefault="007A35F7" w:rsidP="00CC5550">
            <w:pPr>
              <w:jc w:val="right"/>
              <w:rPr>
                <w:lang w:val="fr-FR"/>
              </w:rPr>
            </w:pPr>
            <w:r w:rsidRPr="00CC5550">
              <w:rPr>
                <w:lang w:val="fr-FR"/>
              </w:rPr>
              <w:t>2 264</w:t>
            </w:r>
          </w:p>
        </w:tc>
        <w:tc>
          <w:tcPr>
            <w:tcW w:w="1134" w:type="dxa"/>
          </w:tcPr>
          <w:p w:rsidR="00367344" w:rsidRPr="00CC5550" w:rsidRDefault="007A35F7" w:rsidP="00CC5550">
            <w:pPr>
              <w:jc w:val="right"/>
              <w:rPr>
                <w:lang w:val="fr-FR"/>
              </w:rPr>
            </w:pPr>
            <w:r w:rsidRPr="00CC5550">
              <w:rPr>
                <w:lang w:val="fr-FR"/>
              </w:rPr>
              <w:t>2 323</w:t>
            </w:r>
          </w:p>
        </w:tc>
        <w:tc>
          <w:tcPr>
            <w:tcW w:w="1134" w:type="dxa"/>
          </w:tcPr>
          <w:p w:rsidR="00367344" w:rsidRPr="00CC5550" w:rsidRDefault="007A35F7" w:rsidP="00CC5550">
            <w:pPr>
              <w:jc w:val="right"/>
              <w:rPr>
                <w:lang w:val="fr-FR"/>
              </w:rPr>
            </w:pPr>
            <w:r w:rsidRPr="00CC5550">
              <w:rPr>
                <w:lang w:val="fr-FR"/>
              </w:rPr>
              <w:t>2 264</w:t>
            </w:r>
          </w:p>
        </w:tc>
        <w:tc>
          <w:tcPr>
            <w:tcW w:w="1134" w:type="dxa"/>
          </w:tcPr>
          <w:p w:rsidR="00367344" w:rsidRPr="00CC5550" w:rsidRDefault="007A35F7" w:rsidP="00CC5550">
            <w:pPr>
              <w:jc w:val="right"/>
              <w:rPr>
                <w:lang w:val="fr-FR"/>
              </w:rPr>
            </w:pPr>
            <w:r w:rsidRPr="00CC5550">
              <w:rPr>
                <w:lang w:val="fr-FR"/>
              </w:rPr>
              <w:t>2 269</w:t>
            </w:r>
          </w:p>
        </w:tc>
        <w:tc>
          <w:tcPr>
            <w:tcW w:w="958" w:type="dxa"/>
          </w:tcPr>
          <w:p w:rsidR="00367344" w:rsidRPr="00CC5550" w:rsidRDefault="007A35F7" w:rsidP="00CC5550">
            <w:pPr>
              <w:jc w:val="right"/>
              <w:rPr>
                <w:lang w:val="fr-FR"/>
              </w:rPr>
            </w:pPr>
            <w:r w:rsidRPr="00CC5550">
              <w:rPr>
                <w:lang w:val="fr-FR"/>
              </w:rPr>
              <w:t>2 243</w:t>
            </w:r>
          </w:p>
        </w:tc>
      </w:tr>
      <w:tr w:rsidR="00CC5550" w:rsidRPr="00CC5550" w:rsidTr="00AC1FD6">
        <w:tc>
          <w:tcPr>
            <w:tcW w:w="4077" w:type="dxa"/>
          </w:tcPr>
          <w:p w:rsidR="00367344" w:rsidRPr="00CC5550" w:rsidRDefault="007A35F7" w:rsidP="00CC5550">
            <w:pPr>
              <w:rPr>
                <w:lang w:val="fr-FR"/>
              </w:rPr>
            </w:pPr>
            <w:r w:rsidRPr="00CC5550">
              <w:rPr>
                <w:lang w:val="fr-FR"/>
              </w:rPr>
              <w:t xml:space="preserve">Priorité </w:t>
            </w:r>
            <w:r w:rsidR="003D0980" w:rsidRPr="00CC5550">
              <w:rPr>
                <w:lang w:val="fr-FR"/>
              </w:rPr>
              <w:t>selon</w:t>
            </w:r>
            <w:r w:rsidRPr="00CC5550">
              <w:rPr>
                <w:lang w:val="fr-FR"/>
              </w:rPr>
              <w:t xml:space="preserve"> la Convention de Paris</w:t>
            </w:r>
          </w:p>
        </w:tc>
        <w:tc>
          <w:tcPr>
            <w:tcW w:w="1134" w:type="dxa"/>
          </w:tcPr>
          <w:p w:rsidR="00367344" w:rsidRPr="00CC5550" w:rsidRDefault="00367344" w:rsidP="00CC5550">
            <w:pPr>
              <w:jc w:val="right"/>
              <w:rPr>
                <w:lang w:val="fr-FR"/>
              </w:rPr>
            </w:pPr>
            <w:r w:rsidRPr="00CC5550">
              <w:rPr>
                <w:lang w:val="fr-FR"/>
              </w:rPr>
              <w:t>94</w:t>
            </w:r>
          </w:p>
        </w:tc>
        <w:tc>
          <w:tcPr>
            <w:tcW w:w="1134" w:type="dxa"/>
          </w:tcPr>
          <w:p w:rsidR="00367344" w:rsidRPr="00CC5550" w:rsidRDefault="00367344" w:rsidP="00CC5550">
            <w:pPr>
              <w:jc w:val="right"/>
              <w:rPr>
                <w:lang w:val="fr-FR"/>
              </w:rPr>
            </w:pPr>
            <w:r w:rsidRPr="00CC5550">
              <w:rPr>
                <w:lang w:val="fr-FR"/>
              </w:rPr>
              <w:t>105</w:t>
            </w:r>
          </w:p>
        </w:tc>
        <w:tc>
          <w:tcPr>
            <w:tcW w:w="1134" w:type="dxa"/>
          </w:tcPr>
          <w:p w:rsidR="00367344" w:rsidRPr="00CC5550" w:rsidRDefault="00367344" w:rsidP="00CC5550">
            <w:pPr>
              <w:jc w:val="right"/>
              <w:rPr>
                <w:lang w:val="fr-FR"/>
              </w:rPr>
            </w:pPr>
            <w:r w:rsidRPr="00CC5550">
              <w:rPr>
                <w:lang w:val="fr-FR"/>
              </w:rPr>
              <w:t>93</w:t>
            </w:r>
          </w:p>
        </w:tc>
        <w:tc>
          <w:tcPr>
            <w:tcW w:w="1134" w:type="dxa"/>
          </w:tcPr>
          <w:p w:rsidR="00367344" w:rsidRPr="00CC5550" w:rsidRDefault="00367344" w:rsidP="00CC5550">
            <w:pPr>
              <w:jc w:val="right"/>
              <w:rPr>
                <w:lang w:val="fr-FR"/>
              </w:rPr>
            </w:pPr>
            <w:r w:rsidRPr="00CC5550">
              <w:rPr>
                <w:lang w:val="fr-FR"/>
              </w:rPr>
              <w:t>79</w:t>
            </w:r>
          </w:p>
        </w:tc>
        <w:tc>
          <w:tcPr>
            <w:tcW w:w="958" w:type="dxa"/>
          </w:tcPr>
          <w:p w:rsidR="00367344" w:rsidRPr="00CC5550" w:rsidRDefault="00367344" w:rsidP="00CC5550">
            <w:pPr>
              <w:jc w:val="right"/>
              <w:rPr>
                <w:lang w:val="fr-FR"/>
              </w:rPr>
            </w:pPr>
            <w:r w:rsidRPr="00CC5550">
              <w:rPr>
                <w:lang w:val="fr-FR"/>
              </w:rPr>
              <w:t>68</w:t>
            </w:r>
          </w:p>
        </w:tc>
      </w:tr>
      <w:tr w:rsidR="00367344" w:rsidRPr="00CC5550" w:rsidTr="00AC1FD6">
        <w:tc>
          <w:tcPr>
            <w:tcW w:w="4077" w:type="dxa"/>
          </w:tcPr>
          <w:p w:rsidR="00367344" w:rsidRPr="00CC5550" w:rsidRDefault="007A35F7" w:rsidP="00CC5550">
            <w:pPr>
              <w:rPr>
                <w:lang w:val="fr-FR"/>
              </w:rPr>
            </w:pPr>
            <w:r w:rsidRPr="00CC5550">
              <w:rPr>
                <w:lang w:val="fr-FR"/>
              </w:rPr>
              <w:t xml:space="preserve">Phase nationale </w:t>
            </w:r>
            <w:r w:rsidR="003D0980" w:rsidRPr="00CC5550">
              <w:rPr>
                <w:lang w:val="fr-FR"/>
              </w:rPr>
              <w:t>du</w:t>
            </w:r>
            <w:r w:rsidRPr="00CC5550">
              <w:rPr>
                <w:lang w:val="fr-FR"/>
              </w:rPr>
              <w:t> PCT</w:t>
            </w:r>
          </w:p>
        </w:tc>
        <w:tc>
          <w:tcPr>
            <w:tcW w:w="1134" w:type="dxa"/>
          </w:tcPr>
          <w:p w:rsidR="00367344" w:rsidRPr="00CC5550" w:rsidRDefault="00367344" w:rsidP="00CC5550">
            <w:pPr>
              <w:jc w:val="right"/>
              <w:rPr>
                <w:lang w:val="fr-FR"/>
              </w:rPr>
            </w:pPr>
            <w:r w:rsidRPr="00CC5550">
              <w:rPr>
                <w:lang w:val="fr-FR"/>
              </w:rPr>
              <w:t>80</w:t>
            </w:r>
          </w:p>
        </w:tc>
        <w:tc>
          <w:tcPr>
            <w:tcW w:w="1134" w:type="dxa"/>
          </w:tcPr>
          <w:p w:rsidR="00367344" w:rsidRPr="00CC5550" w:rsidRDefault="00367344" w:rsidP="00CC5550">
            <w:pPr>
              <w:jc w:val="right"/>
              <w:rPr>
                <w:lang w:val="fr-FR"/>
              </w:rPr>
            </w:pPr>
            <w:r w:rsidRPr="00CC5550">
              <w:rPr>
                <w:lang w:val="fr-FR"/>
              </w:rPr>
              <w:t>67</w:t>
            </w:r>
          </w:p>
        </w:tc>
        <w:tc>
          <w:tcPr>
            <w:tcW w:w="1134" w:type="dxa"/>
          </w:tcPr>
          <w:p w:rsidR="00367344" w:rsidRPr="00CC5550" w:rsidRDefault="00367344" w:rsidP="00CC5550">
            <w:pPr>
              <w:jc w:val="right"/>
              <w:rPr>
                <w:lang w:val="fr-FR"/>
              </w:rPr>
            </w:pPr>
            <w:r w:rsidRPr="00CC5550">
              <w:rPr>
                <w:lang w:val="fr-FR"/>
              </w:rPr>
              <w:t>68</w:t>
            </w:r>
          </w:p>
        </w:tc>
        <w:tc>
          <w:tcPr>
            <w:tcW w:w="1134" w:type="dxa"/>
          </w:tcPr>
          <w:p w:rsidR="00367344" w:rsidRPr="00CC5550" w:rsidRDefault="00367344" w:rsidP="00CC5550">
            <w:pPr>
              <w:jc w:val="right"/>
              <w:rPr>
                <w:lang w:val="fr-FR"/>
              </w:rPr>
            </w:pPr>
            <w:r w:rsidRPr="00CC5550">
              <w:rPr>
                <w:lang w:val="fr-FR"/>
              </w:rPr>
              <w:t>79</w:t>
            </w:r>
          </w:p>
        </w:tc>
        <w:tc>
          <w:tcPr>
            <w:tcW w:w="958" w:type="dxa"/>
          </w:tcPr>
          <w:p w:rsidR="00367344" w:rsidRPr="00CC5550" w:rsidRDefault="00367344" w:rsidP="00CC5550">
            <w:pPr>
              <w:jc w:val="right"/>
              <w:rPr>
                <w:lang w:val="fr-FR"/>
              </w:rPr>
            </w:pPr>
            <w:r w:rsidRPr="00CC5550">
              <w:rPr>
                <w:lang w:val="fr-FR"/>
              </w:rPr>
              <w:t>73</w:t>
            </w:r>
          </w:p>
        </w:tc>
      </w:tr>
    </w:tbl>
    <w:p w:rsidR="00891762" w:rsidRPr="00CC5550" w:rsidRDefault="00891762" w:rsidP="00CC5550">
      <w:pPr>
        <w:rPr>
          <w:lang w:val="fr-FR"/>
        </w:rPr>
      </w:pPr>
    </w:p>
    <w:p w:rsidR="00891762" w:rsidRPr="00CC5550" w:rsidRDefault="00891762" w:rsidP="00CC5550">
      <w:pPr>
        <w:rPr>
          <w:lang w:val="fr-FR"/>
        </w:rPr>
      </w:pPr>
    </w:p>
    <w:p w:rsidR="00891762" w:rsidRPr="00CC5550" w:rsidRDefault="007A35F7" w:rsidP="00CC5550">
      <w:pPr>
        <w:rPr>
          <w:b/>
          <w:bCs/>
          <w:szCs w:val="22"/>
          <w:lang w:val="fr-FR"/>
        </w:rPr>
      </w:pPr>
      <w:r w:rsidRPr="00CC5550">
        <w:rPr>
          <w:b/>
          <w:bCs/>
          <w:szCs w:val="22"/>
          <w:lang w:val="fr-FR"/>
        </w:rPr>
        <w:t>Nombre de demandes internationales reçues en tant qu</w:t>
      </w:r>
      <w:r w:rsidR="00ED786D" w:rsidRPr="00CC5550">
        <w:rPr>
          <w:b/>
          <w:bCs/>
          <w:szCs w:val="22"/>
          <w:lang w:val="fr-FR"/>
        </w:rPr>
        <w:t>’</w:t>
      </w:r>
      <w:r w:rsidRPr="00CC5550">
        <w:rPr>
          <w:b/>
          <w:bCs/>
          <w:szCs w:val="22"/>
          <w:lang w:val="fr-FR"/>
        </w:rPr>
        <w:t>office récepteur</w:t>
      </w:r>
    </w:p>
    <w:p w:rsidR="00367344" w:rsidRPr="00CC5550" w:rsidRDefault="00367344" w:rsidP="00CC5550">
      <w:pPr>
        <w:rPr>
          <w:lang w:val="fr-FR"/>
        </w:rPr>
      </w:pPr>
    </w:p>
    <w:tbl>
      <w:tblPr>
        <w:tblStyle w:val="TableGrid"/>
        <w:tblW w:w="0" w:type="auto"/>
        <w:tblLayout w:type="fixed"/>
        <w:tblLook w:val="04A0" w:firstRow="1" w:lastRow="0" w:firstColumn="1" w:lastColumn="0" w:noHBand="0" w:noVBand="1"/>
      </w:tblPr>
      <w:tblGrid>
        <w:gridCol w:w="3510"/>
        <w:gridCol w:w="1212"/>
        <w:gridCol w:w="1212"/>
        <w:gridCol w:w="1212"/>
        <w:gridCol w:w="1212"/>
        <w:gridCol w:w="1213"/>
      </w:tblGrid>
      <w:tr w:rsidR="00CC5550" w:rsidRPr="00CC5550" w:rsidTr="00A84EAA">
        <w:tc>
          <w:tcPr>
            <w:tcW w:w="3510" w:type="dxa"/>
          </w:tcPr>
          <w:p w:rsidR="00367344" w:rsidRPr="00CC5550" w:rsidRDefault="007A35F7" w:rsidP="00CC5550">
            <w:pPr>
              <w:jc w:val="center"/>
              <w:rPr>
                <w:b/>
                <w:lang w:val="fr-FR"/>
              </w:rPr>
            </w:pPr>
            <w:r w:rsidRPr="00CC5550">
              <w:rPr>
                <w:b/>
                <w:lang w:val="fr-FR"/>
              </w:rPr>
              <w:t>Année</w:t>
            </w:r>
          </w:p>
        </w:tc>
        <w:tc>
          <w:tcPr>
            <w:tcW w:w="1212" w:type="dxa"/>
          </w:tcPr>
          <w:p w:rsidR="00367344" w:rsidRPr="00CC5550" w:rsidRDefault="00367344" w:rsidP="00CC5550">
            <w:pPr>
              <w:jc w:val="center"/>
              <w:rPr>
                <w:b/>
                <w:lang w:val="fr-FR"/>
              </w:rPr>
            </w:pPr>
            <w:r w:rsidRPr="00CC5550">
              <w:rPr>
                <w:b/>
                <w:lang w:val="fr-FR"/>
              </w:rPr>
              <w:t>2012</w:t>
            </w:r>
          </w:p>
        </w:tc>
        <w:tc>
          <w:tcPr>
            <w:tcW w:w="1212" w:type="dxa"/>
          </w:tcPr>
          <w:p w:rsidR="00367344" w:rsidRPr="00CC5550" w:rsidRDefault="00367344" w:rsidP="00CC5550">
            <w:pPr>
              <w:jc w:val="center"/>
              <w:rPr>
                <w:b/>
                <w:lang w:val="fr-FR"/>
              </w:rPr>
            </w:pPr>
            <w:r w:rsidRPr="00CC5550">
              <w:rPr>
                <w:b/>
                <w:lang w:val="fr-FR"/>
              </w:rPr>
              <w:t>2013</w:t>
            </w:r>
          </w:p>
        </w:tc>
        <w:tc>
          <w:tcPr>
            <w:tcW w:w="1212" w:type="dxa"/>
          </w:tcPr>
          <w:p w:rsidR="00367344" w:rsidRPr="00CC5550" w:rsidRDefault="00367344" w:rsidP="00CC5550">
            <w:pPr>
              <w:jc w:val="center"/>
              <w:rPr>
                <w:b/>
                <w:lang w:val="fr-FR"/>
              </w:rPr>
            </w:pPr>
            <w:r w:rsidRPr="00CC5550">
              <w:rPr>
                <w:b/>
                <w:lang w:val="fr-FR"/>
              </w:rPr>
              <w:t>2014</w:t>
            </w:r>
          </w:p>
        </w:tc>
        <w:tc>
          <w:tcPr>
            <w:tcW w:w="1212" w:type="dxa"/>
          </w:tcPr>
          <w:p w:rsidR="00367344" w:rsidRPr="00CC5550" w:rsidRDefault="00367344" w:rsidP="00CC5550">
            <w:pPr>
              <w:jc w:val="center"/>
              <w:rPr>
                <w:b/>
                <w:lang w:val="fr-FR"/>
              </w:rPr>
            </w:pPr>
            <w:r w:rsidRPr="00CC5550">
              <w:rPr>
                <w:b/>
                <w:lang w:val="fr-FR"/>
              </w:rPr>
              <w:t>2015</w:t>
            </w:r>
          </w:p>
        </w:tc>
        <w:tc>
          <w:tcPr>
            <w:tcW w:w="1213" w:type="dxa"/>
          </w:tcPr>
          <w:p w:rsidR="00367344" w:rsidRPr="00CC5550" w:rsidRDefault="00367344" w:rsidP="00CC5550">
            <w:pPr>
              <w:jc w:val="center"/>
              <w:rPr>
                <w:b/>
                <w:lang w:val="fr-FR"/>
              </w:rPr>
            </w:pPr>
            <w:r w:rsidRPr="00CC5550">
              <w:rPr>
                <w:b/>
                <w:lang w:val="fr-FR"/>
              </w:rPr>
              <w:t>2016</w:t>
            </w:r>
          </w:p>
        </w:tc>
      </w:tr>
      <w:tr w:rsidR="00367344" w:rsidRPr="00CC5550" w:rsidTr="00A84EAA">
        <w:tc>
          <w:tcPr>
            <w:tcW w:w="3510" w:type="dxa"/>
          </w:tcPr>
          <w:p w:rsidR="00367344" w:rsidRPr="00CC5550" w:rsidRDefault="007A35F7" w:rsidP="00CC5550">
            <w:pPr>
              <w:rPr>
                <w:lang w:val="fr-FR"/>
              </w:rPr>
            </w:pPr>
            <w:r w:rsidRPr="00CC5550">
              <w:rPr>
                <w:lang w:val="fr-FR"/>
              </w:rPr>
              <w:t>Nombre de demandes internationales reçues en tant qu</w:t>
            </w:r>
            <w:r w:rsidR="00ED786D" w:rsidRPr="00CC5550">
              <w:rPr>
                <w:lang w:val="fr-FR"/>
              </w:rPr>
              <w:t>’</w:t>
            </w:r>
            <w:r w:rsidRPr="00CC5550">
              <w:rPr>
                <w:lang w:val="fr-FR"/>
              </w:rPr>
              <w:t>office récepteur</w:t>
            </w:r>
          </w:p>
        </w:tc>
        <w:tc>
          <w:tcPr>
            <w:tcW w:w="1212" w:type="dxa"/>
          </w:tcPr>
          <w:p w:rsidR="00367344" w:rsidRPr="00CC5550" w:rsidRDefault="007A35F7" w:rsidP="00CC5550">
            <w:pPr>
              <w:jc w:val="right"/>
              <w:rPr>
                <w:lang w:val="fr-FR"/>
              </w:rPr>
            </w:pPr>
            <w:r w:rsidRPr="00CC5550">
              <w:rPr>
                <w:lang w:val="fr-FR"/>
              </w:rPr>
              <w:t>1 683</w:t>
            </w:r>
          </w:p>
        </w:tc>
        <w:tc>
          <w:tcPr>
            <w:tcW w:w="1212" w:type="dxa"/>
          </w:tcPr>
          <w:p w:rsidR="00367344" w:rsidRPr="00CC5550" w:rsidRDefault="007A35F7" w:rsidP="00CC5550">
            <w:pPr>
              <w:jc w:val="right"/>
              <w:rPr>
                <w:lang w:val="fr-FR"/>
              </w:rPr>
            </w:pPr>
            <w:r w:rsidRPr="00CC5550">
              <w:rPr>
                <w:lang w:val="fr-FR"/>
              </w:rPr>
              <w:t>1 778</w:t>
            </w:r>
          </w:p>
        </w:tc>
        <w:tc>
          <w:tcPr>
            <w:tcW w:w="1212" w:type="dxa"/>
          </w:tcPr>
          <w:p w:rsidR="00367344" w:rsidRPr="00CC5550" w:rsidRDefault="007A35F7" w:rsidP="00CC5550">
            <w:pPr>
              <w:jc w:val="right"/>
              <w:rPr>
                <w:lang w:val="fr-FR"/>
              </w:rPr>
            </w:pPr>
            <w:r w:rsidRPr="00CC5550">
              <w:rPr>
                <w:lang w:val="fr-FR"/>
              </w:rPr>
              <w:t>1 691</w:t>
            </w:r>
          </w:p>
        </w:tc>
        <w:tc>
          <w:tcPr>
            <w:tcW w:w="1212" w:type="dxa"/>
          </w:tcPr>
          <w:p w:rsidR="00367344" w:rsidRPr="00CC5550" w:rsidRDefault="007A35F7" w:rsidP="00CC5550">
            <w:pPr>
              <w:jc w:val="right"/>
              <w:rPr>
                <w:lang w:val="fr-FR"/>
              </w:rPr>
            </w:pPr>
            <w:r w:rsidRPr="00CC5550">
              <w:rPr>
                <w:lang w:val="fr-FR"/>
              </w:rPr>
              <w:t>1 447</w:t>
            </w:r>
          </w:p>
        </w:tc>
        <w:tc>
          <w:tcPr>
            <w:tcW w:w="1213" w:type="dxa"/>
          </w:tcPr>
          <w:p w:rsidR="00367344" w:rsidRPr="00CC5550" w:rsidRDefault="007A35F7" w:rsidP="00CC5550">
            <w:pPr>
              <w:jc w:val="right"/>
              <w:rPr>
                <w:lang w:val="fr-FR"/>
              </w:rPr>
            </w:pPr>
            <w:r w:rsidRPr="00CC5550">
              <w:rPr>
                <w:lang w:val="fr-FR"/>
              </w:rPr>
              <w:t>1 352</w:t>
            </w:r>
          </w:p>
        </w:tc>
      </w:tr>
    </w:tbl>
    <w:p w:rsidR="00891762" w:rsidRPr="00CC5550" w:rsidRDefault="00891762" w:rsidP="00CC5550">
      <w:pPr>
        <w:rPr>
          <w:lang w:val="fr-FR"/>
        </w:rPr>
      </w:pPr>
    </w:p>
    <w:p w:rsidR="00891762" w:rsidRPr="00CC5550" w:rsidRDefault="00891762" w:rsidP="00CC5550">
      <w:pPr>
        <w:rPr>
          <w:lang w:val="fr-FR"/>
        </w:rPr>
      </w:pPr>
    </w:p>
    <w:p w:rsidR="00891762" w:rsidRPr="00CC5550" w:rsidRDefault="00DD5774" w:rsidP="00CC5550">
      <w:pPr>
        <w:rPr>
          <w:b/>
          <w:bCs/>
          <w:szCs w:val="22"/>
          <w:lang w:val="fr-FR"/>
        </w:rPr>
      </w:pPr>
      <w:r w:rsidRPr="00CC5550">
        <w:rPr>
          <w:b/>
          <w:bCs/>
          <w:szCs w:val="22"/>
          <w:lang w:val="fr-FR"/>
        </w:rPr>
        <w:t>Principaux offices/États faisant l</w:t>
      </w:r>
      <w:r w:rsidR="00ED786D" w:rsidRPr="00CC5550">
        <w:rPr>
          <w:b/>
          <w:bCs/>
          <w:szCs w:val="22"/>
          <w:lang w:val="fr-FR"/>
        </w:rPr>
        <w:t>’</w:t>
      </w:r>
      <w:r w:rsidRPr="00CC5550">
        <w:rPr>
          <w:b/>
          <w:bCs/>
          <w:szCs w:val="22"/>
          <w:lang w:val="fr-FR"/>
        </w:rPr>
        <w:t>objet d</w:t>
      </w:r>
      <w:r w:rsidR="00ED786D" w:rsidRPr="00CC5550">
        <w:rPr>
          <w:b/>
          <w:bCs/>
          <w:szCs w:val="22"/>
          <w:lang w:val="fr-FR"/>
        </w:rPr>
        <w:t>’</w:t>
      </w:r>
      <w:r w:rsidRPr="00CC5550">
        <w:rPr>
          <w:b/>
          <w:bCs/>
          <w:szCs w:val="22"/>
          <w:lang w:val="fr-FR"/>
        </w:rPr>
        <w:t>une revendication de priorité dans les demandes nationales</w:t>
      </w:r>
    </w:p>
    <w:p w:rsidR="00891762" w:rsidRPr="00CC5550" w:rsidRDefault="00891762" w:rsidP="00CC5550">
      <w:pPr>
        <w:rPr>
          <w:lang w:val="fr-FR"/>
        </w:rPr>
      </w:pPr>
    </w:p>
    <w:p w:rsidR="00891762" w:rsidRPr="00CC5550" w:rsidRDefault="00F66AAB" w:rsidP="00CC5550">
      <w:pPr>
        <w:rPr>
          <w:lang w:val="fr-FR"/>
        </w:rPr>
      </w:pPr>
      <w:r w:rsidRPr="00CC5550">
        <w:rPr>
          <w:lang w:val="fr-FR"/>
        </w:rPr>
        <w:t>SE, EP, US, CN, CA, KR, JP, AU, DE.</w:t>
      </w:r>
    </w:p>
    <w:p w:rsidR="00891762" w:rsidRPr="00CC5550" w:rsidRDefault="00891762" w:rsidP="00CC5550">
      <w:pPr>
        <w:rPr>
          <w:lang w:val="fr-FR"/>
        </w:rPr>
      </w:pPr>
    </w:p>
    <w:p w:rsidR="00891762" w:rsidRPr="00CC5550" w:rsidRDefault="00891762" w:rsidP="00CC5550">
      <w:pPr>
        <w:rPr>
          <w:lang w:val="fr-FR"/>
        </w:rPr>
      </w:pPr>
    </w:p>
    <w:p w:rsidR="00891762" w:rsidRPr="00CC5550" w:rsidRDefault="00A66CE1" w:rsidP="00CC5550">
      <w:pPr>
        <w:keepNext/>
        <w:rPr>
          <w:b/>
          <w:lang w:val="fr-FR"/>
        </w:rPr>
      </w:pPr>
      <w:r w:rsidRPr="00CC5550">
        <w:rPr>
          <w:b/>
          <w:lang w:val="fr-FR"/>
        </w:rPr>
        <w:t>Délai</w:t>
      </w:r>
      <w:r w:rsidR="00FB1982" w:rsidRPr="00CC5550">
        <w:rPr>
          <w:b/>
          <w:lang w:val="fr-FR"/>
        </w:rPr>
        <w:t xml:space="preserve"> moyen </w:t>
      </w:r>
      <w:r w:rsidRPr="00CC5550">
        <w:rPr>
          <w:b/>
          <w:lang w:val="fr-FR"/>
        </w:rPr>
        <w:t>d</w:t>
      </w:r>
      <w:r w:rsidR="00ED786D" w:rsidRPr="00CC5550">
        <w:rPr>
          <w:b/>
          <w:szCs w:val="22"/>
          <w:lang w:val="fr-FR"/>
        </w:rPr>
        <w:t>’</w:t>
      </w:r>
      <w:r w:rsidR="00DD5774" w:rsidRPr="00CC5550">
        <w:rPr>
          <w:b/>
          <w:szCs w:val="22"/>
          <w:lang w:val="fr-FR"/>
        </w:rPr>
        <w:t>instruction des demandes de brevet</w:t>
      </w:r>
      <w:r w:rsidR="00C26990" w:rsidRPr="00CC5550">
        <w:rPr>
          <w:b/>
          <w:szCs w:val="22"/>
          <w:lang w:val="fr-FR"/>
        </w:rPr>
        <w:t xml:space="preserve"> nationales</w:t>
      </w:r>
    </w:p>
    <w:p w:rsidR="00F66AAB" w:rsidRPr="00CC5550" w:rsidRDefault="00F66AAB" w:rsidP="00CC5550">
      <w:pPr>
        <w:keepNext/>
        <w:rPr>
          <w:b/>
          <w:lang w:val="fr-FR"/>
        </w:rPr>
      </w:pPr>
    </w:p>
    <w:tbl>
      <w:tblPr>
        <w:tblStyle w:val="TableGrid"/>
        <w:tblW w:w="0" w:type="auto"/>
        <w:tblLook w:val="04A0" w:firstRow="1" w:lastRow="0" w:firstColumn="1" w:lastColumn="0" w:noHBand="0" w:noVBand="1"/>
      </w:tblPr>
      <w:tblGrid>
        <w:gridCol w:w="1403"/>
        <w:gridCol w:w="7011"/>
        <w:gridCol w:w="1157"/>
      </w:tblGrid>
      <w:tr w:rsidR="00CC5550" w:rsidRPr="00CC5550" w:rsidTr="00F66AAB">
        <w:tc>
          <w:tcPr>
            <w:tcW w:w="1403" w:type="dxa"/>
          </w:tcPr>
          <w:p w:rsidR="00F66AAB" w:rsidRPr="00CC5550" w:rsidRDefault="00FB1982" w:rsidP="00CC5550">
            <w:pPr>
              <w:keepNext/>
              <w:jc w:val="center"/>
              <w:rPr>
                <w:b/>
                <w:i/>
                <w:lang w:val="fr-FR"/>
              </w:rPr>
            </w:pPr>
            <w:r w:rsidRPr="00CC5550">
              <w:rPr>
                <w:b/>
                <w:lang w:val="fr-FR"/>
              </w:rPr>
              <w:t>Indicateur</w:t>
            </w:r>
          </w:p>
        </w:tc>
        <w:tc>
          <w:tcPr>
            <w:tcW w:w="7011" w:type="dxa"/>
          </w:tcPr>
          <w:p w:rsidR="00F66AAB" w:rsidRPr="00CC5550" w:rsidRDefault="0045393A" w:rsidP="00CC5550">
            <w:pPr>
              <w:keepNext/>
              <w:jc w:val="center"/>
              <w:rPr>
                <w:b/>
                <w:i/>
                <w:lang w:val="fr-FR"/>
              </w:rPr>
            </w:pPr>
            <w:r w:rsidRPr="00CC5550">
              <w:rPr>
                <w:b/>
                <w:i/>
                <w:lang w:val="fr-FR"/>
              </w:rPr>
              <w:t>À compter</w:t>
            </w:r>
            <w:r w:rsidR="00FB1982" w:rsidRPr="00CC5550">
              <w:rPr>
                <w:b/>
                <w:i/>
                <w:lang w:val="fr-FR"/>
              </w:rPr>
              <w:t xml:space="preserve"> de</w:t>
            </w:r>
          </w:p>
        </w:tc>
        <w:tc>
          <w:tcPr>
            <w:tcW w:w="1157" w:type="dxa"/>
          </w:tcPr>
          <w:p w:rsidR="00F66AAB" w:rsidRPr="00CC5550" w:rsidRDefault="00FB1982" w:rsidP="00CC5550">
            <w:pPr>
              <w:keepNext/>
              <w:jc w:val="center"/>
              <w:rPr>
                <w:b/>
                <w:i/>
                <w:lang w:val="fr-FR"/>
              </w:rPr>
            </w:pPr>
            <w:r w:rsidRPr="00CC5550">
              <w:rPr>
                <w:b/>
                <w:lang w:val="fr-FR"/>
              </w:rPr>
              <w:t>Délai (mois)</w:t>
            </w:r>
          </w:p>
        </w:tc>
      </w:tr>
      <w:tr w:rsidR="00CC5550" w:rsidRPr="00CC5550" w:rsidTr="00F66AAB">
        <w:tc>
          <w:tcPr>
            <w:tcW w:w="1403" w:type="dxa"/>
          </w:tcPr>
          <w:p w:rsidR="00F66AAB" w:rsidRPr="00CC5550" w:rsidRDefault="008B35EB" w:rsidP="00CC5550">
            <w:pPr>
              <w:keepNext/>
              <w:rPr>
                <w:lang w:val="fr-FR"/>
              </w:rPr>
            </w:pPr>
            <w:r w:rsidRPr="00CC5550">
              <w:rPr>
                <w:szCs w:val="22"/>
                <w:lang w:val="fr-FR" w:bidi="he-IL"/>
              </w:rPr>
              <w:t>Jusqu</w:t>
            </w:r>
            <w:r w:rsidR="00ED786D" w:rsidRPr="00CC5550">
              <w:rPr>
                <w:szCs w:val="22"/>
                <w:lang w:val="fr-FR" w:bidi="he-IL"/>
              </w:rPr>
              <w:t>’</w:t>
            </w:r>
            <w:r w:rsidRPr="00CC5550">
              <w:rPr>
                <w:szCs w:val="22"/>
                <w:lang w:val="fr-FR" w:bidi="he-IL"/>
              </w:rPr>
              <w:t>à la recherche</w:t>
            </w:r>
          </w:p>
        </w:tc>
        <w:tc>
          <w:tcPr>
            <w:tcW w:w="7011" w:type="dxa"/>
          </w:tcPr>
          <w:p w:rsidR="00891762" w:rsidRPr="00CC5550" w:rsidRDefault="00FB1982" w:rsidP="00CC5550">
            <w:pPr>
              <w:keepNext/>
              <w:rPr>
                <w:lang w:val="fr-FR"/>
              </w:rPr>
            </w:pPr>
            <w:r w:rsidRPr="00CC5550">
              <w:rPr>
                <w:lang w:val="fr-FR"/>
              </w:rPr>
              <w:t>Premiers dépôts uniqueme</w:t>
            </w:r>
            <w:r w:rsidR="00CA574B" w:rsidRPr="00CC5550">
              <w:rPr>
                <w:lang w:val="fr-FR"/>
              </w:rPr>
              <w:t>nt.  Ca</w:t>
            </w:r>
            <w:r w:rsidRPr="00CC5550">
              <w:rPr>
                <w:lang w:val="fr-FR"/>
              </w:rPr>
              <w:t>lcul réalisé pour les rapports de recherche au cours de l</w:t>
            </w:r>
            <w:r w:rsidR="00ED786D" w:rsidRPr="00CC5550">
              <w:rPr>
                <w:lang w:val="fr-FR"/>
              </w:rPr>
              <w:t>’</w:t>
            </w:r>
            <w:r w:rsidRPr="00CC5550">
              <w:rPr>
                <w:lang w:val="fr-FR"/>
              </w:rPr>
              <w:t>année</w:t>
            </w:r>
            <w:r w:rsidR="00F350DD" w:rsidRPr="00CC5550">
              <w:rPr>
                <w:lang w:val="fr-FR"/>
              </w:rPr>
              <w:t> </w:t>
            </w:r>
            <w:r w:rsidRPr="00CC5550">
              <w:rPr>
                <w:lang w:val="fr-FR"/>
              </w:rPr>
              <w:t>2016.</w:t>
            </w:r>
          </w:p>
          <w:p w:rsidR="00F66AAB" w:rsidRPr="00CC5550" w:rsidRDefault="003D0980" w:rsidP="00CC5550">
            <w:pPr>
              <w:keepNext/>
              <w:rPr>
                <w:lang w:val="fr-FR"/>
              </w:rPr>
            </w:pPr>
            <w:r w:rsidRPr="00CC5550">
              <w:rPr>
                <w:lang w:val="fr-FR"/>
              </w:rPr>
              <w:t>Délai écoulé</w:t>
            </w:r>
            <w:r w:rsidR="00FB1982" w:rsidRPr="00CC5550">
              <w:rPr>
                <w:lang w:val="fr-FR"/>
              </w:rPr>
              <w:t xml:space="preserve"> entre </w:t>
            </w:r>
            <w:r w:rsidRPr="00CC5550">
              <w:rPr>
                <w:lang w:val="fr-FR"/>
              </w:rPr>
              <w:t>la date</w:t>
            </w:r>
            <w:r w:rsidR="00FB1982" w:rsidRPr="00CC5550">
              <w:rPr>
                <w:lang w:val="fr-FR"/>
              </w:rPr>
              <w:t xml:space="preserve"> du dépôt et </w:t>
            </w:r>
            <w:r w:rsidRPr="00CC5550">
              <w:rPr>
                <w:lang w:val="fr-FR"/>
              </w:rPr>
              <w:t>la date</w:t>
            </w:r>
            <w:r w:rsidR="00FB1982" w:rsidRPr="00CC5550">
              <w:rPr>
                <w:lang w:val="fr-FR"/>
              </w:rPr>
              <w:t xml:space="preserve"> du rapport </w:t>
            </w:r>
            <w:r w:rsidRPr="00CC5550">
              <w:rPr>
                <w:lang w:val="fr-FR"/>
              </w:rPr>
              <w:t>sur</w:t>
            </w:r>
            <w:r w:rsidR="00FB1982" w:rsidRPr="00CC5550">
              <w:rPr>
                <w:lang w:val="fr-FR"/>
              </w:rPr>
              <w:t xml:space="preserve"> la recherche.</w:t>
            </w:r>
          </w:p>
        </w:tc>
        <w:tc>
          <w:tcPr>
            <w:tcW w:w="1157" w:type="dxa"/>
          </w:tcPr>
          <w:p w:rsidR="00F66AAB" w:rsidRPr="00CC5550" w:rsidRDefault="00FB1982" w:rsidP="00CC5550">
            <w:pPr>
              <w:keepNext/>
              <w:jc w:val="center"/>
              <w:rPr>
                <w:lang w:val="fr-FR"/>
              </w:rPr>
            </w:pPr>
            <w:r w:rsidRPr="00CC5550">
              <w:rPr>
                <w:lang w:val="fr-FR"/>
              </w:rPr>
              <w:t>7,0</w:t>
            </w:r>
          </w:p>
        </w:tc>
      </w:tr>
      <w:tr w:rsidR="00CC5550" w:rsidRPr="00CC5550" w:rsidTr="00F66AAB">
        <w:tc>
          <w:tcPr>
            <w:tcW w:w="1403" w:type="dxa"/>
          </w:tcPr>
          <w:p w:rsidR="00F66AAB" w:rsidRPr="00CC5550" w:rsidRDefault="008B35EB" w:rsidP="00CC5550">
            <w:pPr>
              <w:keepNext/>
              <w:rPr>
                <w:lang w:val="fr-FR"/>
              </w:rPr>
            </w:pPr>
            <w:r w:rsidRPr="00CC5550">
              <w:rPr>
                <w:szCs w:val="22"/>
                <w:lang w:val="fr-FR" w:bidi="he-IL"/>
              </w:rPr>
              <w:t>Jusqu</w:t>
            </w:r>
            <w:r w:rsidR="00ED786D" w:rsidRPr="00CC5550">
              <w:rPr>
                <w:szCs w:val="22"/>
                <w:lang w:val="fr-FR" w:bidi="he-IL"/>
              </w:rPr>
              <w:t>’</w:t>
            </w:r>
            <w:r w:rsidRPr="00CC5550">
              <w:rPr>
                <w:szCs w:val="22"/>
                <w:lang w:val="fr-FR" w:bidi="he-IL"/>
              </w:rPr>
              <w:t>au premier examen</w:t>
            </w:r>
            <w:r w:rsidRPr="00CC5550">
              <w:rPr>
                <w:lang w:val="fr-FR"/>
              </w:rPr>
              <w:t xml:space="preserve"> </w:t>
            </w:r>
          </w:p>
        </w:tc>
        <w:tc>
          <w:tcPr>
            <w:tcW w:w="7011" w:type="dxa"/>
          </w:tcPr>
          <w:p w:rsidR="00891762" w:rsidRPr="00CC5550" w:rsidRDefault="00FB1982" w:rsidP="00CC5550">
            <w:pPr>
              <w:keepNext/>
              <w:rPr>
                <w:lang w:val="fr-FR"/>
              </w:rPr>
            </w:pPr>
            <w:r w:rsidRPr="00CC5550">
              <w:rPr>
                <w:lang w:val="fr-FR"/>
              </w:rPr>
              <w:t>Premiers dépôts uniqueme</w:t>
            </w:r>
            <w:r w:rsidR="00CA574B" w:rsidRPr="00CC5550">
              <w:rPr>
                <w:lang w:val="fr-FR"/>
              </w:rPr>
              <w:t>nt.  Dé</w:t>
            </w:r>
            <w:r w:rsidR="003D0980" w:rsidRPr="00CC5550">
              <w:rPr>
                <w:lang w:val="fr-FR"/>
              </w:rPr>
              <w:t>lai écoulé</w:t>
            </w:r>
            <w:r w:rsidR="00A84EAA" w:rsidRPr="00CC5550">
              <w:rPr>
                <w:lang w:val="fr-FR"/>
              </w:rPr>
              <w:t xml:space="preserve"> entre </w:t>
            </w:r>
            <w:r w:rsidR="003D0980" w:rsidRPr="00CC5550">
              <w:rPr>
                <w:lang w:val="fr-FR"/>
              </w:rPr>
              <w:t>la date</w:t>
            </w:r>
            <w:r w:rsidR="00A84EAA" w:rsidRPr="00CC5550">
              <w:rPr>
                <w:lang w:val="fr-FR"/>
              </w:rPr>
              <w:t xml:space="preserve"> du dépôt et </w:t>
            </w:r>
            <w:r w:rsidR="003D0980" w:rsidRPr="00CC5550">
              <w:rPr>
                <w:lang w:val="fr-FR"/>
              </w:rPr>
              <w:t>la date</w:t>
            </w:r>
            <w:r w:rsidR="00A84EAA" w:rsidRPr="00CC5550">
              <w:rPr>
                <w:lang w:val="fr-FR"/>
              </w:rPr>
              <w:t xml:space="preserve"> du rapport </w:t>
            </w:r>
            <w:r w:rsidR="003D0980" w:rsidRPr="00CC5550">
              <w:rPr>
                <w:lang w:val="fr-FR"/>
              </w:rPr>
              <w:t>sur</w:t>
            </w:r>
            <w:r w:rsidR="00A84EAA" w:rsidRPr="00CC5550">
              <w:rPr>
                <w:lang w:val="fr-FR"/>
              </w:rPr>
              <w:t xml:space="preserve"> la recherche </w:t>
            </w:r>
            <w:r w:rsidR="004D5B89" w:rsidRPr="00CC5550">
              <w:rPr>
                <w:lang w:val="fr-FR"/>
              </w:rPr>
              <w:t>et l</w:t>
            </w:r>
            <w:r w:rsidR="00ED786D" w:rsidRPr="00CC5550">
              <w:rPr>
                <w:lang w:val="fr-FR"/>
              </w:rPr>
              <w:t>’</w:t>
            </w:r>
            <w:r w:rsidR="004D5B89" w:rsidRPr="00CC5550">
              <w:rPr>
                <w:lang w:val="fr-FR"/>
              </w:rPr>
              <w:t xml:space="preserve">examen </w:t>
            </w:r>
            <w:r w:rsidR="00A84EAA" w:rsidRPr="00CC5550">
              <w:rPr>
                <w:lang w:val="fr-FR"/>
              </w:rPr>
              <w:t>communiqué au déposant au cours de l</w:t>
            </w:r>
            <w:r w:rsidR="00ED786D" w:rsidRPr="00CC5550">
              <w:rPr>
                <w:lang w:val="fr-FR"/>
              </w:rPr>
              <w:t>’</w:t>
            </w:r>
            <w:r w:rsidR="00A84EAA" w:rsidRPr="00CC5550">
              <w:rPr>
                <w:lang w:val="fr-FR"/>
              </w:rPr>
              <w:t>année</w:t>
            </w:r>
            <w:r w:rsidR="00F350DD" w:rsidRPr="00CC5550">
              <w:rPr>
                <w:lang w:val="fr-FR"/>
              </w:rPr>
              <w:t> </w:t>
            </w:r>
            <w:r w:rsidR="00A84EAA" w:rsidRPr="00CC5550">
              <w:rPr>
                <w:lang w:val="fr-FR"/>
              </w:rPr>
              <w:t>2016.</w:t>
            </w:r>
          </w:p>
          <w:p w:rsidR="00F66AAB" w:rsidRPr="00CC5550" w:rsidRDefault="00A84EAA" w:rsidP="00CC5550">
            <w:pPr>
              <w:keepNext/>
              <w:rPr>
                <w:lang w:val="fr-FR"/>
              </w:rPr>
            </w:pPr>
            <w:r w:rsidRPr="00CC5550">
              <w:rPr>
                <w:lang w:val="fr-FR"/>
              </w:rPr>
              <w:t>Veuillez noter que la recherche et l</w:t>
            </w:r>
            <w:r w:rsidR="00ED786D" w:rsidRPr="00CC5550">
              <w:rPr>
                <w:lang w:val="fr-FR"/>
              </w:rPr>
              <w:t>’</w:t>
            </w:r>
            <w:r w:rsidRPr="00CC5550">
              <w:rPr>
                <w:lang w:val="fr-FR"/>
              </w:rPr>
              <w:t>examen sont effectués au même moment.</w:t>
            </w:r>
          </w:p>
        </w:tc>
        <w:tc>
          <w:tcPr>
            <w:tcW w:w="1157" w:type="dxa"/>
          </w:tcPr>
          <w:p w:rsidR="00F66AAB" w:rsidRPr="00CC5550" w:rsidRDefault="00A84EAA" w:rsidP="00CC5550">
            <w:pPr>
              <w:keepNext/>
              <w:jc w:val="center"/>
              <w:rPr>
                <w:lang w:val="fr-FR"/>
              </w:rPr>
            </w:pPr>
            <w:r w:rsidRPr="00CC5550">
              <w:rPr>
                <w:lang w:val="fr-FR"/>
              </w:rPr>
              <w:t>7,0</w:t>
            </w:r>
          </w:p>
        </w:tc>
      </w:tr>
      <w:tr w:rsidR="00F66AAB" w:rsidRPr="00CC5550" w:rsidTr="00F66AAB">
        <w:tc>
          <w:tcPr>
            <w:tcW w:w="1403" w:type="dxa"/>
          </w:tcPr>
          <w:p w:rsidR="00F66AAB" w:rsidRPr="00CC5550" w:rsidRDefault="008B35EB" w:rsidP="00CC5550">
            <w:pPr>
              <w:keepNext/>
              <w:rPr>
                <w:lang w:val="fr-FR"/>
              </w:rPr>
            </w:pPr>
            <w:r w:rsidRPr="00CC5550">
              <w:rPr>
                <w:szCs w:val="22"/>
                <w:lang w:val="fr-FR" w:bidi="he-IL"/>
              </w:rPr>
              <w:t>Jusqu</w:t>
            </w:r>
            <w:r w:rsidR="00ED786D" w:rsidRPr="00CC5550">
              <w:rPr>
                <w:szCs w:val="22"/>
                <w:lang w:val="fr-FR" w:bidi="he-IL"/>
              </w:rPr>
              <w:t>’</w:t>
            </w:r>
            <w:r w:rsidRPr="00CC5550">
              <w:rPr>
                <w:szCs w:val="22"/>
                <w:lang w:val="fr-FR" w:bidi="he-IL"/>
              </w:rPr>
              <w:t>à la délivrance</w:t>
            </w:r>
          </w:p>
        </w:tc>
        <w:tc>
          <w:tcPr>
            <w:tcW w:w="7011" w:type="dxa"/>
          </w:tcPr>
          <w:p w:rsidR="00891762" w:rsidRPr="00CC5550" w:rsidRDefault="00A84EAA" w:rsidP="00CC5550">
            <w:pPr>
              <w:keepNext/>
              <w:rPr>
                <w:lang w:val="fr-FR"/>
              </w:rPr>
            </w:pPr>
            <w:r w:rsidRPr="00CC5550">
              <w:rPr>
                <w:lang w:val="fr-FR"/>
              </w:rPr>
              <w:t>Premiers dépôts uniquement.</w:t>
            </w:r>
            <w:r w:rsidR="00F66AAB" w:rsidRPr="00CC5550">
              <w:rPr>
                <w:lang w:val="fr-FR"/>
              </w:rPr>
              <w:t xml:space="preserve"> </w:t>
            </w:r>
            <w:r w:rsidR="000A7B95" w:rsidRPr="00CC5550">
              <w:rPr>
                <w:lang w:val="fr-FR"/>
              </w:rPr>
              <w:t xml:space="preserve"> </w:t>
            </w:r>
            <w:r w:rsidRPr="00CC5550">
              <w:rPr>
                <w:lang w:val="fr-FR"/>
              </w:rPr>
              <w:t>Calcul réalisé pour les demandes satisfaites au cours de l</w:t>
            </w:r>
            <w:r w:rsidR="00ED786D" w:rsidRPr="00CC5550">
              <w:rPr>
                <w:lang w:val="fr-FR"/>
              </w:rPr>
              <w:t>’</w:t>
            </w:r>
            <w:r w:rsidRPr="00CC5550">
              <w:rPr>
                <w:lang w:val="fr-FR"/>
              </w:rPr>
              <w:t>année</w:t>
            </w:r>
            <w:r w:rsidR="00F350DD" w:rsidRPr="00CC5550">
              <w:rPr>
                <w:lang w:val="fr-FR"/>
              </w:rPr>
              <w:t> </w:t>
            </w:r>
            <w:r w:rsidRPr="00CC5550">
              <w:rPr>
                <w:lang w:val="fr-FR"/>
              </w:rPr>
              <w:t>2016</w:t>
            </w:r>
            <w:r w:rsidR="003D0980" w:rsidRPr="00CC5550">
              <w:rPr>
                <w:lang w:val="fr-FR"/>
              </w:rPr>
              <w:t>.</w:t>
            </w:r>
          </w:p>
          <w:p w:rsidR="00F66AAB" w:rsidRPr="00CC5550" w:rsidRDefault="003D0980" w:rsidP="00CC5550">
            <w:pPr>
              <w:keepNext/>
              <w:rPr>
                <w:lang w:val="fr-FR"/>
              </w:rPr>
            </w:pPr>
            <w:r w:rsidRPr="00CC5550">
              <w:rPr>
                <w:lang w:val="fr-FR"/>
              </w:rPr>
              <w:t>Délai écoulé</w:t>
            </w:r>
            <w:r w:rsidR="00A84EAA" w:rsidRPr="00CC5550">
              <w:rPr>
                <w:lang w:val="fr-FR"/>
              </w:rPr>
              <w:t xml:space="preserve"> entre </w:t>
            </w:r>
            <w:r w:rsidRPr="00CC5550">
              <w:rPr>
                <w:lang w:val="fr-FR"/>
              </w:rPr>
              <w:t>la date</w:t>
            </w:r>
            <w:r w:rsidR="00A84EAA" w:rsidRPr="00CC5550">
              <w:rPr>
                <w:lang w:val="fr-FR"/>
              </w:rPr>
              <w:t xml:space="preserve"> du dépôt et </w:t>
            </w:r>
            <w:r w:rsidRPr="00CC5550">
              <w:rPr>
                <w:lang w:val="fr-FR"/>
              </w:rPr>
              <w:t>la date à laquelle</w:t>
            </w:r>
            <w:r w:rsidR="00A84EAA" w:rsidRPr="00CC5550">
              <w:rPr>
                <w:lang w:val="fr-FR"/>
              </w:rPr>
              <w:t xml:space="preserve"> le brevet est </w:t>
            </w:r>
            <w:r w:rsidRPr="00CC5550">
              <w:rPr>
                <w:lang w:val="fr-FR"/>
              </w:rPr>
              <w:t>délivré</w:t>
            </w:r>
            <w:r w:rsidR="00A84EAA" w:rsidRPr="00CC5550">
              <w:rPr>
                <w:lang w:val="fr-FR"/>
              </w:rPr>
              <w:t xml:space="preserve"> et publié.</w:t>
            </w:r>
          </w:p>
        </w:tc>
        <w:tc>
          <w:tcPr>
            <w:tcW w:w="1157" w:type="dxa"/>
          </w:tcPr>
          <w:p w:rsidR="00F66AAB" w:rsidRPr="00CC5550" w:rsidRDefault="00A84EAA" w:rsidP="00CC5550">
            <w:pPr>
              <w:keepNext/>
              <w:jc w:val="center"/>
              <w:rPr>
                <w:lang w:val="fr-FR"/>
              </w:rPr>
            </w:pPr>
            <w:r w:rsidRPr="00CC5550">
              <w:rPr>
                <w:lang w:val="fr-FR"/>
              </w:rPr>
              <w:t>28,9</w:t>
            </w:r>
          </w:p>
        </w:tc>
      </w:tr>
    </w:tbl>
    <w:p w:rsidR="00891762" w:rsidRPr="00CC5550" w:rsidRDefault="00891762" w:rsidP="00CC5550">
      <w:pPr>
        <w:rPr>
          <w:lang w:val="fr-FR"/>
        </w:rPr>
      </w:pPr>
    </w:p>
    <w:p w:rsidR="00891762" w:rsidRPr="00CC5550" w:rsidRDefault="00891762" w:rsidP="00CC5550">
      <w:pPr>
        <w:rPr>
          <w:lang w:val="fr-FR"/>
        </w:rPr>
      </w:pPr>
    </w:p>
    <w:p w:rsidR="00ED786D" w:rsidRPr="00CC5550" w:rsidRDefault="00A84EAA" w:rsidP="00CC5550">
      <w:pPr>
        <w:rPr>
          <w:b/>
          <w:lang w:val="fr-FR"/>
        </w:rPr>
      </w:pPr>
      <w:r w:rsidRPr="00CC5550">
        <w:rPr>
          <w:b/>
          <w:lang w:val="fr-FR"/>
        </w:rPr>
        <w:t>Demandes nationales en attente de traitement</w:t>
      </w:r>
    </w:p>
    <w:p w:rsidR="00AA5F79" w:rsidRPr="00CC5550" w:rsidRDefault="00AA5F79" w:rsidP="00CC5550">
      <w:pPr>
        <w:rPr>
          <w:lang w:val="fr-FR"/>
        </w:rPr>
      </w:pPr>
    </w:p>
    <w:tbl>
      <w:tblPr>
        <w:tblStyle w:val="TableGrid"/>
        <w:tblW w:w="9606" w:type="dxa"/>
        <w:tblLayout w:type="fixed"/>
        <w:tblLook w:val="04A0" w:firstRow="1" w:lastRow="0" w:firstColumn="1" w:lastColumn="0" w:noHBand="0" w:noVBand="1"/>
      </w:tblPr>
      <w:tblGrid>
        <w:gridCol w:w="6345"/>
        <w:gridCol w:w="3261"/>
      </w:tblGrid>
      <w:tr w:rsidR="00CC5550" w:rsidRPr="00CC5550" w:rsidTr="00F66AAB">
        <w:tc>
          <w:tcPr>
            <w:tcW w:w="6345" w:type="dxa"/>
          </w:tcPr>
          <w:p w:rsidR="00F66AAB" w:rsidRPr="00CC5550" w:rsidRDefault="00A84EAA" w:rsidP="00CC5550">
            <w:pPr>
              <w:jc w:val="center"/>
              <w:rPr>
                <w:b/>
                <w:lang w:val="fr-FR"/>
              </w:rPr>
            </w:pPr>
            <w:r w:rsidRPr="00CC5550">
              <w:rPr>
                <w:b/>
                <w:lang w:val="fr-FR"/>
              </w:rPr>
              <w:t>Mesure</w:t>
            </w:r>
          </w:p>
        </w:tc>
        <w:tc>
          <w:tcPr>
            <w:tcW w:w="3261" w:type="dxa"/>
          </w:tcPr>
          <w:p w:rsidR="00F66AAB" w:rsidRPr="00CC5550" w:rsidRDefault="00A84EAA" w:rsidP="00CC5550">
            <w:pPr>
              <w:jc w:val="center"/>
              <w:rPr>
                <w:b/>
                <w:lang w:val="fr-FR"/>
              </w:rPr>
            </w:pPr>
            <w:r w:rsidRPr="00CC5550">
              <w:rPr>
                <w:b/>
                <w:lang w:val="fr-FR"/>
              </w:rPr>
              <w:t>Nombre de demandes</w:t>
            </w:r>
          </w:p>
        </w:tc>
      </w:tr>
      <w:tr w:rsidR="00CC5550" w:rsidRPr="00CC5550" w:rsidTr="00F66AAB">
        <w:tc>
          <w:tcPr>
            <w:tcW w:w="6345" w:type="dxa"/>
          </w:tcPr>
          <w:p w:rsidR="00F66AAB" w:rsidRPr="00CC5550" w:rsidRDefault="00A84EAA" w:rsidP="00CC5550">
            <w:pPr>
              <w:rPr>
                <w:lang w:val="fr-FR"/>
              </w:rPr>
            </w:pPr>
            <w:r w:rsidRPr="00CC5550">
              <w:rPr>
                <w:lang w:val="fr-FR"/>
              </w:rPr>
              <w:t>Toute</w:t>
            </w:r>
            <w:r w:rsidR="00BA5DA7" w:rsidRPr="00CC5550">
              <w:rPr>
                <w:lang w:val="fr-FR"/>
              </w:rPr>
              <w:t>s</w:t>
            </w:r>
            <w:r w:rsidRPr="00CC5550">
              <w:rPr>
                <w:lang w:val="fr-FR"/>
              </w:rPr>
              <w:t xml:space="preserve"> les demandes en </w:t>
            </w:r>
            <w:r w:rsidR="008B35EB" w:rsidRPr="00CC5550">
              <w:rPr>
                <w:lang w:val="fr-FR"/>
              </w:rPr>
              <w:t>instance</w:t>
            </w:r>
          </w:p>
        </w:tc>
        <w:tc>
          <w:tcPr>
            <w:tcW w:w="3261" w:type="dxa"/>
          </w:tcPr>
          <w:p w:rsidR="00F66AAB" w:rsidRPr="00CC5550" w:rsidRDefault="00A84EAA" w:rsidP="00CC5550">
            <w:pPr>
              <w:jc w:val="right"/>
              <w:rPr>
                <w:lang w:val="fr-FR"/>
              </w:rPr>
            </w:pPr>
            <w:r w:rsidRPr="00CC5550">
              <w:rPr>
                <w:lang w:val="fr-FR"/>
              </w:rPr>
              <w:t>4 174</w:t>
            </w:r>
          </w:p>
        </w:tc>
      </w:tr>
      <w:tr w:rsidR="00F66AAB" w:rsidRPr="00CC5550" w:rsidTr="00F66AAB">
        <w:tc>
          <w:tcPr>
            <w:tcW w:w="6345" w:type="dxa"/>
          </w:tcPr>
          <w:p w:rsidR="00F66AAB" w:rsidRPr="00CC5550" w:rsidRDefault="00A84EAA" w:rsidP="00CC5550">
            <w:pPr>
              <w:rPr>
                <w:lang w:val="fr-FR"/>
              </w:rPr>
            </w:pPr>
            <w:r w:rsidRPr="00CC5550">
              <w:rPr>
                <w:lang w:val="fr-FR"/>
              </w:rPr>
              <w:t xml:space="preserve">Demandes en attente de </w:t>
            </w:r>
            <w:r w:rsidR="008B35EB" w:rsidRPr="00CC5550">
              <w:rPr>
                <w:lang w:val="fr-FR"/>
              </w:rPr>
              <w:t xml:space="preserve">la </w:t>
            </w:r>
            <w:r w:rsidRPr="00CC5550">
              <w:rPr>
                <w:lang w:val="fr-FR"/>
              </w:rPr>
              <w:t>recherche (</w:t>
            </w:r>
            <w:r w:rsidR="008B35EB" w:rsidRPr="00CC5550">
              <w:rPr>
                <w:lang w:val="fr-FR"/>
              </w:rPr>
              <w:t>taxes correspondantes payées</w:t>
            </w:r>
            <w:r w:rsidRPr="00CC5550">
              <w:rPr>
                <w:lang w:val="fr-FR"/>
              </w:rPr>
              <w:t>)</w:t>
            </w:r>
          </w:p>
        </w:tc>
        <w:tc>
          <w:tcPr>
            <w:tcW w:w="3261" w:type="dxa"/>
          </w:tcPr>
          <w:p w:rsidR="00F66AAB" w:rsidRPr="00CC5550" w:rsidRDefault="00A84EAA" w:rsidP="00CC5550">
            <w:pPr>
              <w:jc w:val="right"/>
              <w:rPr>
                <w:lang w:val="fr-FR"/>
              </w:rPr>
            </w:pPr>
            <w:r w:rsidRPr="00CC5550">
              <w:rPr>
                <w:lang w:val="fr-FR"/>
              </w:rPr>
              <w:t>1 241</w:t>
            </w:r>
          </w:p>
        </w:tc>
      </w:tr>
    </w:tbl>
    <w:p w:rsidR="00891762" w:rsidRPr="00CC5550" w:rsidRDefault="00891762" w:rsidP="00CC5550">
      <w:pPr>
        <w:rPr>
          <w:lang w:val="fr-FR"/>
        </w:rPr>
      </w:pPr>
    </w:p>
    <w:p w:rsidR="00891762" w:rsidRPr="00CC5550" w:rsidRDefault="00891762" w:rsidP="00CC5550">
      <w:pPr>
        <w:rPr>
          <w:lang w:val="fr-FR"/>
        </w:rPr>
      </w:pPr>
    </w:p>
    <w:p w:rsidR="00891762" w:rsidRPr="00CC5550" w:rsidRDefault="00A84EAA" w:rsidP="00CC5550">
      <w:pPr>
        <w:pStyle w:val="SectionHeading"/>
      </w:pPr>
      <w:r w:rsidRPr="00CC5550">
        <w:t>7</w:t>
      </w:r>
      <w:r w:rsidR="00ED786D" w:rsidRPr="00CC5550">
        <w:t xml:space="preserve"> – </w:t>
      </w:r>
      <w:r w:rsidRPr="00CC5550">
        <w:t xml:space="preserve">Appui </w:t>
      </w:r>
      <w:r w:rsidR="00AC1FD6" w:rsidRPr="00CC5550">
        <w:t>né</w:t>
      </w:r>
      <w:r w:rsidR="008B35EB" w:rsidRPr="00CC5550">
        <w:t>cessaire</w:t>
      </w:r>
    </w:p>
    <w:p w:rsidR="00891762" w:rsidRPr="00CC5550" w:rsidRDefault="00A84EAA" w:rsidP="00CC5550">
      <w:pPr>
        <w:rPr>
          <w:iCs/>
          <w:lang w:val="fr-FR"/>
        </w:rPr>
      </w:pPr>
      <w:r w:rsidRPr="00CC5550">
        <w:rPr>
          <w:iCs/>
          <w:lang w:val="fr-FR"/>
        </w:rPr>
        <w:t>Aucun appui spécifique n</w:t>
      </w:r>
      <w:r w:rsidR="00ED786D" w:rsidRPr="00CC5550">
        <w:rPr>
          <w:iCs/>
          <w:lang w:val="fr-FR"/>
        </w:rPr>
        <w:t>’</w:t>
      </w:r>
      <w:r w:rsidRPr="00CC5550">
        <w:rPr>
          <w:iCs/>
          <w:lang w:val="fr-FR"/>
        </w:rPr>
        <w:t xml:space="preserve">est </w:t>
      </w:r>
      <w:r w:rsidR="008B35EB" w:rsidRPr="00CC5550">
        <w:rPr>
          <w:iCs/>
          <w:lang w:val="fr-FR"/>
        </w:rPr>
        <w:t>nécessaire</w:t>
      </w:r>
      <w:r w:rsidRPr="00CC5550">
        <w:rPr>
          <w:iCs/>
          <w:lang w:val="fr-FR"/>
        </w:rPr>
        <w:t>.</w:t>
      </w:r>
    </w:p>
    <w:p w:rsidR="00891762" w:rsidRPr="00CC5550" w:rsidRDefault="00891762" w:rsidP="00CC5550">
      <w:pPr>
        <w:rPr>
          <w:lang w:val="fr-FR"/>
        </w:rPr>
      </w:pPr>
    </w:p>
    <w:p w:rsidR="00891762" w:rsidRPr="00CC5550" w:rsidRDefault="00A84EAA" w:rsidP="00CC5550">
      <w:pPr>
        <w:pStyle w:val="SectionHeading"/>
      </w:pPr>
      <w:r w:rsidRPr="00CC5550">
        <w:t>8</w:t>
      </w:r>
      <w:r w:rsidR="00ED786D" w:rsidRPr="00CC5550">
        <w:t xml:space="preserve"> – </w:t>
      </w:r>
      <w:r w:rsidRPr="00CC5550">
        <w:t>Autres</w:t>
      </w:r>
    </w:p>
    <w:p w:rsidR="00891762" w:rsidRPr="00CC5550" w:rsidRDefault="00A84EAA" w:rsidP="00CC5550">
      <w:pPr>
        <w:rPr>
          <w:iCs/>
          <w:szCs w:val="22"/>
          <w:lang w:val="fr-FR"/>
        </w:rPr>
      </w:pPr>
      <w:r w:rsidRPr="00CC5550">
        <w:rPr>
          <w:iCs/>
          <w:szCs w:val="22"/>
          <w:lang w:val="fr-FR"/>
        </w:rPr>
        <w:t>Sans objet</w:t>
      </w:r>
      <w:r w:rsidR="00AC1FD6" w:rsidRPr="00CC5550">
        <w:rPr>
          <w:iCs/>
          <w:szCs w:val="22"/>
          <w:lang w:val="fr-FR"/>
        </w:rPr>
        <w:t>.</w:t>
      </w:r>
    </w:p>
    <w:p w:rsidR="00891762" w:rsidRPr="00CC5550" w:rsidRDefault="00891762" w:rsidP="00CC5550">
      <w:pPr>
        <w:rPr>
          <w:szCs w:val="22"/>
          <w:lang w:val="fr-FR"/>
        </w:rPr>
      </w:pPr>
    </w:p>
    <w:p w:rsidR="00891762" w:rsidRPr="00CC5550" w:rsidRDefault="00A84EAA" w:rsidP="00CC5550">
      <w:pPr>
        <w:pStyle w:val="SectionHeading"/>
      </w:pPr>
      <w:r w:rsidRPr="00CC5550">
        <w:t>9</w:t>
      </w:r>
      <w:r w:rsidR="00ED786D" w:rsidRPr="00CC5550">
        <w:t xml:space="preserve"> – </w:t>
      </w:r>
      <w:r w:rsidRPr="00CC5550">
        <w:t>Évaluation par d</w:t>
      </w:r>
      <w:r w:rsidR="00ED786D" w:rsidRPr="00CC5550">
        <w:t>’</w:t>
      </w:r>
      <w:r w:rsidRPr="00CC5550">
        <w:t>autres administrations</w:t>
      </w:r>
    </w:p>
    <w:p w:rsidR="00891762" w:rsidRPr="00CC5550" w:rsidRDefault="00A84EAA" w:rsidP="00CC5550">
      <w:pPr>
        <w:rPr>
          <w:szCs w:val="22"/>
          <w:lang w:val="fr-FR"/>
        </w:rPr>
      </w:pPr>
      <w:r w:rsidRPr="00CC5550">
        <w:rPr>
          <w:iCs/>
          <w:szCs w:val="22"/>
          <w:lang w:val="fr-FR"/>
        </w:rPr>
        <w:t>L</w:t>
      </w:r>
      <w:r w:rsidR="00ED786D" w:rsidRPr="00CC5550">
        <w:rPr>
          <w:iCs/>
          <w:szCs w:val="22"/>
          <w:lang w:val="fr-FR"/>
        </w:rPr>
        <w:t>’</w:t>
      </w:r>
      <w:r w:rsidRPr="00CC5550">
        <w:rPr>
          <w:iCs/>
          <w:szCs w:val="22"/>
          <w:lang w:val="fr-FR"/>
        </w:rPr>
        <w:t>Office suédois des brevets et de l</w:t>
      </w:r>
      <w:r w:rsidR="00ED786D" w:rsidRPr="00CC5550">
        <w:rPr>
          <w:iCs/>
          <w:szCs w:val="22"/>
          <w:lang w:val="fr-FR"/>
        </w:rPr>
        <w:t>’</w:t>
      </w:r>
      <w:r w:rsidRPr="00CC5550">
        <w:rPr>
          <w:iCs/>
          <w:szCs w:val="22"/>
          <w:lang w:val="fr-FR"/>
        </w:rPr>
        <w:t>enregistrement a mené plusieurs activités de référenc</w:t>
      </w:r>
      <w:r w:rsidR="00BA5DA7" w:rsidRPr="00CC5550">
        <w:rPr>
          <w:iCs/>
          <w:szCs w:val="22"/>
          <w:lang w:val="fr-FR"/>
        </w:rPr>
        <w:t>ement</w:t>
      </w:r>
      <w:r w:rsidRPr="00CC5550">
        <w:rPr>
          <w:iCs/>
          <w:szCs w:val="22"/>
          <w:lang w:val="fr-FR"/>
        </w:rPr>
        <w:t xml:space="preserve"> et d</w:t>
      </w:r>
      <w:r w:rsidR="00ED786D" w:rsidRPr="00CC5550">
        <w:rPr>
          <w:iCs/>
          <w:szCs w:val="22"/>
          <w:lang w:val="fr-FR"/>
        </w:rPr>
        <w:t>’</w:t>
      </w:r>
      <w:r w:rsidRPr="00CC5550">
        <w:rPr>
          <w:iCs/>
          <w:szCs w:val="22"/>
          <w:lang w:val="fr-FR"/>
        </w:rPr>
        <w:t>évaluation avec d</w:t>
      </w:r>
      <w:r w:rsidR="00ED786D" w:rsidRPr="00CC5550">
        <w:rPr>
          <w:iCs/>
          <w:szCs w:val="22"/>
          <w:lang w:val="fr-FR"/>
        </w:rPr>
        <w:t>’</w:t>
      </w:r>
      <w:r w:rsidRPr="00CC5550">
        <w:rPr>
          <w:iCs/>
          <w:szCs w:val="22"/>
          <w:lang w:val="fr-FR"/>
        </w:rPr>
        <w:t>autres administrations internationales au fil des anné</w:t>
      </w:r>
      <w:r w:rsidR="00CA574B" w:rsidRPr="00CC5550">
        <w:rPr>
          <w:iCs/>
          <w:szCs w:val="22"/>
          <w:lang w:val="fr-FR"/>
        </w:rPr>
        <w:t>es.  Il</w:t>
      </w:r>
      <w:r w:rsidR="00A0035E" w:rsidRPr="00CC5550">
        <w:rPr>
          <w:iCs/>
          <w:szCs w:val="22"/>
          <w:lang w:val="fr-FR"/>
        </w:rPr>
        <w:t xml:space="preserve"> poursuivra ces activités dans le futur et est ouvert à toute suggestion de la part des offices nationaux ou internationaux au sujet des régime</w:t>
      </w:r>
      <w:r w:rsidR="00BA5DA7" w:rsidRPr="00CC5550">
        <w:rPr>
          <w:iCs/>
          <w:szCs w:val="22"/>
          <w:lang w:val="fr-FR"/>
        </w:rPr>
        <w:t>s</w:t>
      </w:r>
      <w:r w:rsidR="00A0035E" w:rsidRPr="00CC5550">
        <w:rPr>
          <w:iCs/>
          <w:szCs w:val="22"/>
          <w:lang w:val="fr-FR"/>
        </w:rPr>
        <w:t xml:space="preserve"> d</w:t>
      </w:r>
      <w:r w:rsidR="00ED786D" w:rsidRPr="00CC5550">
        <w:rPr>
          <w:iCs/>
          <w:szCs w:val="22"/>
          <w:lang w:val="fr-FR"/>
        </w:rPr>
        <w:t>’</w:t>
      </w:r>
      <w:r w:rsidR="00A0035E" w:rsidRPr="00CC5550">
        <w:rPr>
          <w:iCs/>
          <w:szCs w:val="22"/>
          <w:lang w:val="fr-FR"/>
        </w:rPr>
        <w:t>évaluation mutuel</w:t>
      </w:r>
      <w:r w:rsidR="00CA574B" w:rsidRPr="00CC5550">
        <w:rPr>
          <w:iCs/>
          <w:szCs w:val="22"/>
          <w:lang w:val="fr-FR"/>
        </w:rPr>
        <w:t>le.  Il</w:t>
      </w:r>
      <w:r w:rsidR="00A0035E" w:rsidRPr="00CC5550">
        <w:rPr>
          <w:iCs/>
          <w:szCs w:val="22"/>
          <w:lang w:val="fr-FR"/>
        </w:rPr>
        <w:t xml:space="preserve"> </w:t>
      </w:r>
      <w:r w:rsidR="00BA5DA7" w:rsidRPr="00CC5550">
        <w:rPr>
          <w:iCs/>
          <w:szCs w:val="22"/>
          <w:lang w:val="fr-FR"/>
        </w:rPr>
        <w:t>participera</w:t>
      </w:r>
      <w:r w:rsidR="00A0035E" w:rsidRPr="00CC5550">
        <w:rPr>
          <w:iCs/>
          <w:szCs w:val="22"/>
          <w:lang w:val="fr-FR"/>
        </w:rPr>
        <w:t xml:space="preserve"> à l</w:t>
      </w:r>
      <w:r w:rsidR="00ED786D" w:rsidRPr="00CC5550">
        <w:rPr>
          <w:iCs/>
          <w:szCs w:val="22"/>
          <w:lang w:val="fr-FR"/>
        </w:rPr>
        <w:t>’</w:t>
      </w:r>
      <w:r w:rsidR="00A0035E" w:rsidRPr="00CC5550">
        <w:rPr>
          <w:iCs/>
          <w:szCs w:val="22"/>
          <w:lang w:val="fr-FR"/>
        </w:rPr>
        <w:t>évaluation proposée</w:t>
      </w:r>
      <w:r w:rsidR="00BA5DA7" w:rsidRPr="00CC5550">
        <w:rPr>
          <w:iCs/>
          <w:szCs w:val="22"/>
          <w:lang w:val="fr-FR"/>
        </w:rPr>
        <w:t xml:space="preserve"> par le Canada (CIPO), laquelle </w:t>
      </w:r>
      <w:r w:rsidR="00A0035E" w:rsidRPr="00CC5550">
        <w:rPr>
          <w:iCs/>
          <w:szCs w:val="22"/>
          <w:lang w:val="fr-FR"/>
        </w:rPr>
        <w:t>aura lieu dans l</w:t>
      </w:r>
      <w:r w:rsidR="004D5B89" w:rsidRPr="00CC5550">
        <w:rPr>
          <w:iCs/>
          <w:szCs w:val="22"/>
          <w:lang w:val="fr-FR"/>
        </w:rPr>
        <w:t>e</w:t>
      </w:r>
      <w:r w:rsidR="003D0980" w:rsidRPr="00CC5550">
        <w:rPr>
          <w:iCs/>
          <w:szCs w:val="22"/>
          <w:lang w:val="fr-FR"/>
        </w:rPr>
        <w:t xml:space="preserve"> cadre de</w:t>
      </w:r>
      <w:r w:rsidR="00A0035E" w:rsidRPr="00CC5550">
        <w:rPr>
          <w:iCs/>
          <w:szCs w:val="22"/>
          <w:lang w:val="fr-FR"/>
        </w:rPr>
        <w:t xml:space="preserve"> la réunion du Sous</w:t>
      </w:r>
      <w:r w:rsidR="00F350DD" w:rsidRPr="00CC5550">
        <w:rPr>
          <w:iCs/>
          <w:szCs w:val="22"/>
          <w:lang w:val="fr-FR"/>
        </w:rPr>
        <w:noBreakHyphen/>
      </w:r>
      <w:r w:rsidR="00A0035E" w:rsidRPr="00CC5550">
        <w:rPr>
          <w:iCs/>
          <w:szCs w:val="22"/>
          <w:lang w:val="fr-FR"/>
        </w:rPr>
        <w:t xml:space="preserve">groupe chargé de la qualité, à partir </w:t>
      </w:r>
      <w:r w:rsidR="00ED786D" w:rsidRPr="00CC5550">
        <w:rPr>
          <w:iCs/>
          <w:szCs w:val="22"/>
          <w:lang w:val="fr-FR"/>
        </w:rPr>
        <w:t>de 2018</w:t>
      </w:r>
      <w:r w:rsidR="00A0035E" w:rsidRPr="00CC5550">
        <w:rPr>
          <w:iCs/>
          <w:szCs w:val="22"/>
          <w:lang w:val="fr-FR"/>
        </w:rPr>
        <w:t>.</w:t>
      </w:r>
    </w:p>
    <w:p w:rsidR="00891762" w:rsidRPr="00CC5550" w:rsidRDefault="00891762" w:rsidP="00CC5550">
      <w:pPr>
        <w:rPr>
          <w:szCs w:val="22"/>
          <w:lang w:val="fr-FR"/>
        </w:rPr>
      </w:pPr>
    </w:p>
    <w:p w:rsidR="00891762" w:rsidRPr="00CC5550" w:rsidRDefault="00891762" w:rsidP="00CC5550">
      <w:pPr>
        <w:rPr>
          <w:lang w:val="fr-FR"/>
        </w:rPr>
      </w:pPr>
    </w:p>
    <w:p w:rsidR="00AC1FD6" w:rsidRPr="00CC5550" w:rsidRDefault="00AC1FD6" w:rsidP="00CC5550">
      <w:pPr>
        <w:rPr>
          <w:lang w:val="fr-FR"/>
        </w:rPr>
      </w:pPr>
    </w:p>
    <w:p w:rsidR="00891762" w:rsidRPr="00CC5550" w:rsidRDefault="00A0035E" w:rsidP="00CC5550">
      <w:pPr>
        <w:pStyle w:val="Endofdocument-Annex"/>
        <w:rPr>
          <w:lang w:val="fr-FR"/>
        </w:rPr>
      </w:pPr>
      <w:r w:rsidRPr="00CC5550">
        <w:rPr>
          <w:lang w:val="fr-FR"/>
        </w:rPr>
        <w:t>[Fin de l</w:t>
      </w:r>
      <w:r w:rsidR="00ED786D" w:rsidRPr="00CC5550">
        <w:rPr>
          <w:lang w:val="fr-FR"/>
        </w:rPr>
        <w:t>’</w:t>
      </w:r>
      <w:r w:rsidRPr="00CC5550">
        <w:rPr>
          <w:lang w:val="fr-FR"/>
        </w:rPr>
        <w:t>annexe et du document]</w:t>
      </w:r>
    </w:p>
    <w:sectPr w:rsidR="00891762" w:rsidRPr="00CC5550" w:rsidSect="00ED786D">
      <w:head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0DD" w:rsidRDefault="00F350DD">
      <w:r>
        <w:separator/>
      </w:r>
    </w:p>
  </w:endnote>
  <w:endnote w:type="continuationSeparator" w:id="0">
    <w:p w:rsidR="00F350DD" w:rsidRDefault="00F350DD" w:rsidP="003B38C1">
      <w:r>
        <w:separator/>
      </w:r>
    </w:p>
    <w:p w:rsidR="00F350DD" w:rsidRPr="003B38C1" w:rsidRDefault="00F350DD" w:rsidP="003B38C1">
      <w:pPr>
        <w:spacing w:after="60"/>
        <w:rPr>
          <w:sz w:val="17"/>
        </w:rPr>
      </w:pPr>
      <w:r>
        <w:rPr>
          <w:sz w:val="17"/>
        </w:rPr>
        <w:t>[Endnote continued from previous page]</w:t>
      </w:r>
    </w:p>
  </w:endnote>
  <w:endnote w:type="continuationNotice" w:id="1">
    <w:p w:rsidR="00F350DD" w:rsidRPr="003B38C1" w:rsidRDefault="00F350D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0DD" w:rsidRPr="00F350DD" w:rsidRDefault="00F350DD" w:rsidP="00F350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0DD" w:rsidRDefault="00F350DD">
      <w:r>
        <w:separator/>
      </w:r>
    </w:p>
  </w:footnote>
  <w:footnote w:type="continuationSeparator" w:id="0">
    <w:p w:rsidR="00F350DD" w:rsidRDefault="00F350DD" w:rsidP="008B60B2">
      <w:r>
        <w:separator/>
      </w:r>
    </w:p>
    <w:p w:rsidR="00F350DD" w:rsidRPr="00ED77FB" w:rsidRDefault="00F350DD" w:rsidP="008B60B2">
      <w:pPr>
        <w:spacing w:after="60"/>
        <w:rPr>
          <w:sz w:val="17"/>
          <w:szCs w:val="17"/>
        </w:rPr>
      </w:pPr>
      <w:r w:rsidRPr="00ED77FB">
        <w:rPr>
          <w:sz w:val="17"/>
          <w:szCs w:val="17"/>
        </w:rPr>
        <w:t>[Footnote continued from previous page]</w:t>
      </w:r>
    </w:p>
  </w:footnote>
  <w:footnote w:type="continuationNotice" w:id="1">
    <w:p w:rsidR="00F350DD" w:rsidRPr="00ED77FB" w:rsidRDefault="00F350D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0DD" w:rsidRDefault="00F350DD" w:rsidP="00477D6B">
    <w:pPr>
      <w:jc w:val="right"/>
    </w:pPr>
    <w:bookmarkStart w:id="6" w:name="Code2"/>
    <w:bookmarkEnd w:id="6"/>
    <w:r>
      <w:t>PCT/CTC/30/18</w:t>
    </w:r>
  </w:p>
  <w:p w:rsidR="00F350DD" w:rsidRDefault="00F350DD" w:rsidP="00477D6B">
    <w:pPr>
      <w:jc w:val="right"/>
    </w:pPr>
    <w:proofErr w:type="gramStart"/>
    <w:r>
      <w:t>page</w:t>
    </w:r>
    <w:proofErr w:type="gramEnd"/>
    <w:r>
      <w:t> </w:t>
    </w:r>
    <w:r>
      <w:fldChar w:fldCharType="begin"/>
    </w:r>
    <w:r>
      <w:instrText xml:space="preserve"> PAGE  \* MERGEFORMAT </w:instrText>
    </w:r>
    <w:r>
      <w:fldChar w:fldCharType="separate"/>
    </w:r>
    <w:r w:rsidR="00CC5550">
      <w:rPr>
        <w:noProof/>
      </w:rPr>
      <w:t>2</w:t>
    </w:r>
    <w:r>
      <w:fldChar w:fldCharType="end"/>
    </w:r>
  </w:p>
  <w:p w:rsidR="00F350DD" w:rsidRDefault="00F350D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0DD" w:rsidRPr="00AA5F79" w:rsidRDefault="00F350DD" w:rsidP="00477D6B">
    <w:pPr>
      <w:jc w:val="right"/>
      <w:rPr>
        <w:lang w:val="fr-FR"/>
      </w:rPr>
    </w:pPr>
    <w:r w:rsidRPr="00AA5F79">
      <w:rPr>
        <w:lang w:val="fr-FR"/>
      </w:rPr>
      <w:t>PCT/CTC/30/</w:t>
    </w:r>
    <w:r>
      <w:rPr>
        <w:lang w:val="fr-FR"/>
      </w:rPr>
      <w:t>18</w:t>
    </w:r>
  </w:p>
  <w:p w:rsidR="00F350DD" w:rsidRPr="00AA5F79" w:rsidRDefault="00F350DD" w:rsidP="00477D6B">
    <w:pPr>
      <w:jc w:val="right"/>
      <w:rPr>
        <w:lang w:val="fr-FR"/>
      </w:rPr>
    </w:pPr>
    <w:r w:rsidRPr="00AA5F79">
      <w:rPr>
        <w:lang w:val="fr-FR"/>
      </w:rPr>
      <w:t>Annex</w:t>
    </w:r>
    <w:r>
      <w:rPr>
        <w:lang w:val="fr-FR"/>
      </w:rPr>
      <w:t>e</w:t>
    </w:r>
    <w:r w:rsidR="007353EE">
      <w:rPr>
        <w:lang w:val="fr-FR"/>
      </w:rPr>
      <w:t>, page </w:t>
    </w:r>
    <w:r>
      <w:fldChar w:fldCharType="begin"/>
    </w:r>
    <w:r w:rsidRPr="00AA5F79">
      <w:rPr>
        <w:lang w:val="fr-FR"/>
      </w:rPr>
      <w:instrText xml:space="preserve"> PAGE  \* MERGEFORMAT </w:instrText>
    </w:r>
    <w:r>
      <w:fldChar w:fldCharType="separate"/>
    </w:r>
    <w:r w:rsidR="00C61490">
      <w:rPr>
        <w:noProof/>
        <w:lang w:val="fr-FR"/>
      </w:rPr>
      <w:t>8</w:t>
    </w:r>
    <w:r>
      <w:fldChar w:fldCharType="end"/>
    </w:r>
  </w:p>
  <w:p w:rsidR="00F350DD" w:rsidRPr="00AA5F79" w:rsidRDefault="00F350DD"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0DD" w:rsidRDefault="00F350DD" w:rsidP="00AA5F79">
    <w:pPr>
      <w:pStyle w:val="Header"/>
      <w:jc w:val="right"/>
    </w:pPr>
    <w:r>
      <w:t>PCT/CTC/30/18</w:t>
    </w:r>
  </w:p>
  <w:p w:rsidR="00F350DD" w:rsidRDefault="00F350DD" w:rsidP="00AA5F79">
    <w:pPr>
      <w:pStyle w:val="Header"/>
      <w:jc w:val="right"/>
    </w:pPr>
    <w:r>
      <w:t>ANNEXE</w:t>
    </w:r>
  </w:p>
  <w:p w:rsidR="00F350DD" w:rsidRDefault="00F350DD" w:rsidP="00F350D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C650A4"/>
    <w:rsid w:val="00005FD7"/>
    <w:rsid w:val="00011582"/>
    <w:rsid w:val="00032B9E"/>
    <w:rsid w:val="000336E6"/>
    <w:rsid w:val="0004002D"/>
    <w:rsid w:val="00043CAA"/>
    <w:rsid w:val="00075432"/>
    <w:rsid w:val="000817E1"/>
    <w:rsid w:val="000968ED"/>
    <w:rsid w:val="000A714E"/>
    <w:rsid w:val="000A7B95"/>
    <w:rsid w:val="000F5E56"/>
    <w:rsid w:val="001135C1"/>
    <w:rsid w:val="0011588A"/>
    <w:rsid w:val="001362EE"/>
    <w:rsid w:val="00142FA3"/>
    <w:rsid w:val="001443A5"/>
    <w:rsid w:val="00146D41"/>
    <w:rsid w:val="00150E26"/>
    <w:rsid w:val="001832A6"/>
    <w:rsid w:val="0021217E"/>
    <w:rsid w:val="002205FF"/>
    <w:rsid w:val="002634C4"/>
    <w:rsid w:val="002807AC"/>
    <w:rsid w:val="002928D3"/>
    <w:rsid w:val="002A3F48"/>
    <w:rsid w:val="002D5802"/>
    <w:rsid w:val="002F1FE6"/>
    <w:rsid w:val="002F4E68"/>
    <w:rsid w:val="00312F7F"/>
    <w:rsid w:val="0033010E"/>
    <w:rsid w:val="0035027E"/>
    <w:rsid w:val="00361450"/>
    <w:rsid w:val="00363FF2"/>
    <w:rsid w:val="00367344"/>
    <w:rsid w:val="003673CF"/>
    <w:rsid w:val="003845C1"/>
    <w:rsid w:val="00387BBF"/>
    <w:rsid w:val="003A6F89"/>
    <w:rsid w:val="003B38C1"/>
    <w:rsid w:val="003C2AC5"/>
    <w:rsid w:val="003D0980"/>
    <w:rsid w:val="003E3897"/>
    <w:rsid w:val="003E7D9A"/>
    <w:rsid w:val="003F5D6D"/>
    <w:rsid w:val="00423E3E"/>
    <w:rsid w:val="00427AF4"/>
    <w:rsid w:val="00440223"/>
    <w:rsid w:val="0045393A"/>
    <w:rsid w:val="004647DA"/>
    <w:rsid w:val="00474062"/>
    <w:rsid w:val="00477D6B"/>
    <w:rsid w:val="00485E81"/>
    <w:rsid w:val="004D5B89"/>
    <w:rsid w:val="004F74E6"/>
    <w:rsid w:val="005019FF"/>
    <w:rsid w:val="0053057A"/>
    <w:rsid w:val="00547AE6"/>
    <w:rsid w:val="00560A29"/>
    <w:rsid w:val="00570030"/>
    <w:rsid w:val="005C3BFF"/>
    <w:rsid w:val="005C40A3"/>
    <w:rsid w:val="005C589A"/>
    <w:rsid w:val="005C6649"/>
    <w:rsid w:val="005F02F6"/>
    <w:rsid w:val="00605827"/>
    <w:rsid w:val="00636ACB"/>
    <w:rsid w:val="00646050"/>
    <w:rsid w:val="006713CA"/>
    <w:rsid w:val="00676C5C"/>
    <w:rsid w:val="006C39C7"/>
    <w:rsid w:val="00716377"/>
    <w:rsid w:val="0073252C"/>
    <w:rsid w:val="00732AB6"/>
    <w:rsid w:val="007353EE"/>
    <w:rsid w:val="007714C4"/>
    <w:rsid w:val="007749AC"/>
    <w:rsid w:val="007A35F7"/>
    <w:rsid w:val="007C3F24"/>
    <w:rsid w:val="007C64A9"/>
    <w:rsid w:val="007D1613"/>
    <w:rsid w:val="007E4C0E"/>
    <w:rsid w:val="007F74CE"/>
    <w:rsid w:val="00807B2E"/>
    <w:rsid w:val="00837953"/>
    <w:rsid w:val="0087401B"/>
    <w:rsid w:val="00891762"/>
    <w:rsid w:val="008B144F"/>
    <w:rsid w:val="008B2CC1"/>
    <w:rsid w:val="008B35EB"/>
    <w:rsid w:val="008B50A2"/>
    <w:rsid w:val="008B60B2"/>
    <w:rsid w:val="0090731E"/>
    <w:rsid w:val="0090791A"/>
    <w:rsid w:val="00916EE2"/>
    <w:rsid w:val="009352E3"/>
    <w:rsid w:val="00966A22"/>
    <w:rsid w:val="0096722F"/>
    <w:rsid w:val="00980843"/>
    <w:rsid w:val="009E2791"/>
    <w:rsid w:val="009E3F6F"/>
    <w:rsid w:val="009F0B9A"/>
    <w:rsid w:val="009F499F"/>
    <w:rsid w:val="00A0035E"/>
    <w:rsid w:val="00A42DAF"/>
    <w:rsid w:val="00A45BD8"/>
    <w:rsid w:val="00A66CE1"/>
    <w:rsid w:val="00A8418E"/>
    <w:rsid w:val="00A84EAA"/>
    <w:rsid w:val="00A869B7"/>
    <w:rsid w:val="00A93FC2"/>
    <w:rsid w:val="00AA5F79"/>
    <w:rsid w:val="00AB0B97"/>
    <w:rsid w:val="00AC1FD6"/>
    <w:rsid w:val="00AC205C"/>
    <w:rsid w:val="00AF0A6B"/>
    <w:rsid w:val="00AF129B"/>
    <w:rsid w:val="00AF3C58"/>
    <w:rsid w:val="00B05A69"/>
    <w:rsid w:val="00B9734B"/>
    <w:rsid w:val="00BA1493"/>
    <w:rsid w:val="00BA30E2"/>
    <w:rsid w:val="00BA5DA7"/>
    <w:rsid w:val="00BD078D"/>
    <w:rsid w:val="00C11BFE"/>
    <w:rsid w:val="00C13B0F"/>
    <w:rsid w:val="00C26990"/>
    <w:rsid w:val="00C37C03"/>
    <w:rsid w:val="00C5068F"/>
    <w:rsid w:val="00C54F15"/>
    <w:rsid w:val="00C61490"/>
    <w:rsid w:val="00C650A4"/>
    <w:rsid w:val="00CA574B"/>
    <w:rsid w:val="00CB148E"/>
    <w:rsid w:val="00CC5550"/>
    <w:rsid w:val="00CD04F1"/>
    <w:rsid w:val="00CD594A"/>
    <w:rsid w:val="00CE60DD"/>
    <w:rsid w:val="00D05B1A"/>
    <w:rsid w:val="00D14E98"/>
    <w:rsid w:val="00D4401E"/>
    <w:rsid w:val="00D45252"/>
    <w:rsid w:val="00D71B4D"/>
    <w:rsid w:val="00D753D0"/>
    <w:rsid w:val="00D87F4F"/>
    <w:rsid w:val="00D93D55"/>
    <w:rsid w:val="00DD5774"/>
    <w:rsid w:val="00DE2064"/>
    <w:rsid w:val="00DF53ED"/>
    <w:rsid w:val="00E00A54"/>
    <w:rsid w:val="00E15015"/>
    <w:rsid w:val="00E274AE"/>
    <w:rsid w:val="00E335FE"/>
    <w:rsid w:val="00E63957"/>
    <w:rsid w:val="00E82D0C"/>
    <w:rsid w:val="00E870F2"/>
    <w:rsid w:val="00EC463D"/>
    <w:rsid w:val="00EC4E49"/>
    <w:rsid w:val="00ED77FB"/>
    <w:rsid w:val="00ED786D"/>
    <w:rsid w:val="00EE45FA"/>
    <w:rsid w:val="00F1345D"/>
    <w:rsid w:val="00F241A3"/>
    <w:rsid w:val="00F350DD"/>
    <w:rsid w:val="00F44221"/>
    <w:rsid w:val="00F61DDD"/>
    <w:rsid w:val="00F66152"/>
    <w:rsid w:val="00F66AAB"/>
    <w:rsid w:val="00F8158F"/>
    <w:rsid w:val="00F92EC8"/>
    <w:rsid w:val="00FA4CE0"/>
    <w:rsid w:val="00FB1982"/>
    <w:rsid w:val="00FB7A84"/>
    <w:rsid w:val="00FC4B92"/>
    <w:rsid w:val="00FC5FA5"/>
    <w:rsid w:val="00FD06A7"/>
    <w:rsid w:val="00FF2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SectionHeadingChar">
    <w:name w:val="Section Heading Char"/>
    <w:link w:val="SectionHeading"/>
    <w:locked/>
    <w:rsid w:val="00F350DD"/>
    <w:rPr>
      <w:rFonts w:ascii="Arial" w:hAnsi="Arial" w:cs="Arial"/>
      <w:b/>
      <w:bCs/>
      <w:caps/>
      <w:kern w:val="32"/>
      <w:sz w:val="22"/>
      <w:szCs w:val="22"/>
      <w:lang w:val="fr-FR" w:eastAsia="zh-CN"/>
    </w:rPr>
  </w:style>
  <w:style w:type="paragraph" w:customStyle="1" w:styleId="SectionHeading">
    <w:name w:val="Section Heading"/>
    <w:basedOn w:val="Heading1"/>
    <w:link w:val="SectionHeadingChar"/>
    <w:qFormat/>
    <w:rsid w:val="00F350DD"/>
    <w:pPr>
      <w:pBdr>
        <w:top w:val="single" w:sz="4" w:space="1" w:color="auto"/>
        <w:bottom w:val="single" w:sz="4" w:space="1" w:color="auto"/>
      </w:pBdr>
      <w:spacing w:before="360" w:after="200"/>
    </w:pPr>
    <w:rPr>
      <w:rFonts w:eastAsia="Times New Roman"/>
      <w:szCs w:val="22"/>
      <w:lang w:val="fr-FR"/>
    </w:rPr>
  </w:style>
  <w:style w:type="character" w:styleId="Hyperlink">
    <w:name w:val="Hyperlink"/>
    <w:basedOn w:val="DefaultParagraphFont"/>
    <w:rsid w:val="00DF53ED"/>
    <w:rPr>
      <w:color w:val="0000FF" w:themeColor="hyperlink"/>
      <w:u w:val="single"/>
    </w:rPr>
  </w:style>
  <w:style w:type="character" w:styleId="FollowedHyperlink">
    <w:name w:val="FollowedHyperlink"/>
    <w:basedOn w:val="DefaultParagraphFont"/>
    <w:rsid w:val="002D5802"/>
    <w:rPr>
      <w:color w:val="800080" w:themeColor="followedHyperlink"/>
      <w:u w:val="single"/>
    </w:rPr>
  </w:style>
  <w:style w:type="table" w:styleId="TableGrid">
    <w:name w:val="Table Grid"/>
    <w:basedOn w:val="TableNormal"/>
    <w:rsid w:val="00005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SectionHeadingChar">
    <w:name w:val="Section Heading Char"/>
    <w:link w:val="SectionHeading"/>
    <w:locked/>
    <w:rsid w:val="00F350DD"/>
    <w:rPr>
      <w:rFonts w:ascii="Arial" w:hAnsi="Arial" w:cs="Arial"/>
      <w:b/>
      <w:bCs/>
      <w:caps/>
      <w:kern w:val="32"/>
      <w:sz w:val="22"/>
      <w:szCs w:val="22"/>
      <w:lang w:val="fr-FR" w:eastAsia="zh-CN"/>
    </w:rPr>
  </w:style>
  <w:style w:type="paragraph" w:customStyle="1" w:styleId="SectionHeading">
    <w:name w:val="Section Heading"/>
    <w:basedOn w:val="Heading1"/>
    <w:link w:val="SectionHeadingChar"/>
    <w:qFormat/>
    <w:rsid w:val="00F350DD"/>
    <w:pPr>
      <w:pBdr>
        <w:top w:val="single" w:sz="4" w:space="1" w:color="auto"/>
        <w:bottom w:val="single" w:sz="4" w:space="1" w:color="auto"/>
      </w:pBdr>
      <w:spacing w:before="360" w:after="200"/>
    </w:pPr>
    <w:rPr>
      <w:rFonts w:eastAsia="Times New Roman"/>
      <w:szCs w:val="22"/>
      <w:lang w:val="fr-FR"/>
    </w:rPr>
  </w:style>
  <w:style w:type="character" w:styleId="Hyperlink">
    <w:name w:val="Hyperlink"/>
    <w:basedOn w:val="DefaultParagraphFont"/>
    <w:rsid w:val="00DF53ED"/>
    <w:rPr>
      <w:color w:val="0000FF" w:themeColor="hyperlink"/>
      <w:u w:val="single"/>
    </w:rPr>
  </w:style>
  <w:style w:type="character" w:styleId="FollowedHyperlink">
    <w:name w:val="FollowedHyperlink"/>
    <w:basedOn w:val="DefaultParagraphFont"/>
    <w:rsid w:val="002D5802"/>
    <w:rPr>
      <w:color w:val="800080" w:themeColor="followedHyperlink"/>
      <w:u w:val="single"/>
    </w:rPr>
  </w:style>
  <w:style w:type="table" w:styleId="TableGrid">
    <w:name w:val="Table Grid"/>
    <w:basedOn w:val="TableNormal"/>
    <w:rsid w:val="00005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132829">
      <w:bodyDiv w:val="1"/>
      <w:marLeft w:val="0"/>
      <w:marRight w:val="0"/>
      <w:marTop w:val="0"/>
      <w:marBottom w:val="0"/>
      <w:divBdr>
        <w:top w:val="none" w:sz="0" w:space="0" w:color="auto"/>
        <w:left w:val="none" w:sz="0" w:space="0" w:color="auto"/>
        <w:bottom w:val="none" w:sz="0" w:space="0" w:color="auto"/>
        <w:right w:val="none" w:sz="0" w:space="0" w:color="auto"/>
      </w:divBdr>
    </w:div>
    <w:div w:id="962418566">
      <w:bodyDiv w:val="1"/>
      <w:marLeft w:val="0"/>
      <w:marRight w:val="0"/>
      <w:marTop w:val="0"/>
      <w:marBottom w:val="0"/>
      <w:divBdr>
        <w:top w:val="none" w:sz="0" w:space="0" w:color="auto"/>
        <w:left w:val="none" w:sz="0" w:space="0" w:color="auto"/>
        <w:bottom w:val="none" w:sz="0" w:space="0" w:color="auto"/>
        <w:right w:val="none" w:sz="0" w:space="0" w:color="auto"/>
      </w:divBdr>
    </w:div>
    <w:div w:id="1026055406">
      <w:bodyDiv w:val="1"/>
      <w:marLeft w:val="0"/>
      <w:marRight w:val="0"/>
      <w:marTop w:val="0"/>
      <w:marBottom w:val="0"/>
      <w:divBdr>
        <w:top w:val="none" w:sz="0" w:space="0" w:color="auto"/>
        <w:left w:val="none" w:sz="0" w:space="0" w:color="auto"/>
        <w:bottom w:val="none" w:sz="0" w:space="0" w:color="auto"/>
        <w:right w:val="none" w:sz="0" w:space="0" w:color="auto"/>
      </w:divBdr>
    </w:div>
    <w:div w:id="1268124014">
      <w:bodyDiv w:val="1"/>
      <w:marLeft w:val="0"/>
      <w:marRight w:val="0"/>
      <w:marTop w:val="0"/>
      <w:marBottom w:val="0"/>
      <w:divBdr>
        <w:top w:val="none" w:sz="0" w:space="0" w:color="auto"/>
        <w:left w:val="none" w:sz="0" w:space="0" w:color="auto"/>
        <w:bottom w:val="none" w:sz="0" w:space="0" w:color="auto"/>
        <w:right w:val="none" w:sz="0" w:space="0" w:color="auto"/>
      </w:divBdr>
    </w:div>
    <w:div w:id="1467430899">
      <w:bodyDiv w:val="1"/>
      <w:marLeft w:val="0"/>
      <w:marRight w:val="0"/>
      <w:marTop w:val="0"/>
      <w:marBottom w:val="0"/>
      <w:divBdr>
        <w:top w:val="none" w:sz="0" w:space="0" w:color="auto"/>
        <w:left w:val="none" w:sz="0" w:space="0" w:color="auto"/>
        <w:bottom w:val="none" w:sz="0" w:space="0" w:color="auto"/>
        <w:right w:val="none" w:sz="0" w:space="0" w:color="auto"/>
      </w:divBdr>
    </w:div>
    <w:div w:id="1796173732">
      <w:bodyDiv w:val="1"/>
      <w:marLeft w:val="0"/>
      <w:marRight w:val="0"/>
      <w:marTop w:val="0"/>
      <w:marBottom w:val="0"/>
      <w:divBdr>
        <w:top w:val="none" w:sz="0" w:space="0" w:color="auto"/>
        <w:left w:val="none" w:sz="0" w:space="0" w:color="auto"/>
        <w:bottom w:val="none" w:sz="0" w:space="0" w:color="auto"/>
        <w:right w:val="none" w:sz="0" w:space="0" w:color="auto"/>
      </w:divBdr>
    </w:div>
    <w:div w:id="1934124688">
      <w:bodyDiv w:val="1"/>
      <w:marLeft w:val="0"/>
      <w:marRight w:val="0"/>
      <w:marTop w:val="0"/>
      <w:marBottom w:val="0"/>
      <w:divBdr>
        <w:top w:val="none" w:sz="0" w:space="0" w:color="auto"/>
        <w:left w:val="none" w:sz="0" w:space="0" w:color="auto"/>
        <w:bottom w:val="none" w:sz="0" w:space="0" w:color="auto"/>
        <w:right w:val="none" w:sz="0" w:space="0" w:color="auto"/>
      </w:divBdr>
    </w:div>
    <w:div w:id="1948735424">
      <w:bodyDiv w:val="1"/>
      <w:marLeft w:val="0"/>
      <w:marRight w:val="0"/>
      <w:marTop w:val="0"/>
      <w:marBottom w:val="0"/>
      <w:divBdr>
        <w:top w:val="none" w:sz="0" w:space="0" w:color="auto"/>
        <w:left w:val="none" w:sz="0" w:space="0" w:color="auto"/>
        <w:bottom w:val="none" w:sz="0" w:space="0" w:color="auto"/>
        <w:right w:val="none" w:sz="0" w:space="0" w:color="auto"/>
      </w:divBdr>
    </w:div>
    <w:div w:id="196642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pct/en/quality/authorities.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868B4-4DD5-49B2-8680-88348E62C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Template>
  <TotalTime>3</TotalTime>
  <Pages>9</Pages>
  <Words>2741</Words>
  <Characters>15533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PCT/CTC/30/18</vt:lpstr>
    </vt:vector>
  </TitlesOfParts>
  <Company>WIPO</Company>
  <LinksUpToDate>false</LinksUpToDate>
  <CharactersWithSpaces>18238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PCT/CTC/30/18</dc:title>
  <dc:subject>Extension of Appointment of the Swedish Patent and Registration Office as an International Searching and Preliminary Examining Authority Under the PCT</dc:subject>
  <dc:creator>MARLOW Thomas</dc:creator>
  <cp:keywords>LC/ko</cp:keywords>
  <cp:lastModifiedBy>MARLOW Thomas</cp:lastModifiedBy>
  <cp:revision>3</cp:revision>
  <cp:lastPrinted>2017-03-24T12:55:00Z</cp:lastPrinted>
  <dcterms:created xsi:type="dcterms:W3CDTF">2017-03-27T13:46:00Z</dcterms:created>
  <dcterms:modified xsi:type="dcterms:W3CDTF">2017-03-27T13:48:00Z</dcterms:modified>
</cp:coreProperties>
</file>