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710E8" w:rsidRPr="004118AE" w14:paraId="7FF25981" w14:textId="77777777" w:rsidTr="00B74610">
        <w:tc>
          <w:tcPr>
            <w:tcW w:w="4513" w:type="dxa"/>
            <w:tcBorders>
              <w:bottom w:val="single" w:sz="4" w:space="0" w:color="auto"/>
            </w:tcBorders>
            <w:tcMar>
              <w:bottom w:w="170" w:type="dxa"/>
            </w:tcMar>
          </w:tcPr>
          <w:p w14:paraId="169251CF" w14:textId="77777777" w:rsidR="003710E8" w:rsidRPr="004118AE" w:rsidRDefault="003710E8" w:rsidP="00DA07A9">
            <w:bookmarkStart w:id="0" w:name="TitleOfDoc"/>
            <w:bookmarkEnd w:id="0"/>
          </w:p>
        </w:tc>
        <w:tc>
          <w:tcPr>
            <w:tcW w:w="4337" w:type="dxa"/>
            <w:tcBorders>
              <w:bottom w:val="single" w:sz="4" w:space="0" w:color="auto"/>
            </w:tcBorders>
            <w:tcMar>
              <w:left w:w="0" w:type="dxa"/>
              <w:right w:w="0" w:type="dxa"/>
            </w:tcMar>
          </w:tcPr>
          <w:p w14:paraId="06593018" w14:textId="77777777" w:rsidR="003710E8" w:rsidRPr="004118AE" w:rsidRDefault="003710E8" w:rsidP="00DA07A9">
            <w:r w:rsidRPr="004118AE">
              <w:rPr>
                <w:noProof/>
                <w:lang w:val="en-US" w:eastAsia="en-US"/>
              </w:rPr>
              <w:drawing>
                <wp:inline distT="0" distB="0" distL="0" distR="0" wp14:anchorId="13037447" wp14:editId="0690873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696BD8C" w14:textId="77777777" w:rsidR="003710E8" w:rsidRPr="004118AE" w:rsidRDefault="003710E8" w:rsidP="00DA07A9">
            <w:pPr>
              <w:jc w:val="right"/>
            </w:pPr>
            <w:r w:rsidRPr="004118AE">
              <w:rPr>
                <w:b/>
                <w:sz w:val="40"/>
                <w:szCs w:val="40"/>
              </w:rPr>
              <w:t>F</w:t>
            </w:r>
          </w:p>
        </w:tc>
      </w:tr>
      <w:tr w:rsidR="003710E8" w:rsidRPr="004118AE" w14:paraId="0AB99C4E" w14:textId="77777777" w:rsidTr="00B74610">
        <w:trPr>
          <w:trHeight w:hRule="exact" w:val="357"/>
        </w:trPr>
        <w:tc>
          <w:tcPr>
            <w:tcW w:w="9356" w:type="dxa"/>
            <w:gridSpan w:val="3"/>
            <w:tcBorders>
              <w:top w:val="single" w:sz="4" w:space="0" w:color="auto"/>
            </w:tcBorders>
            <w:tcMar>
              <w:top w:w="170" w:type="dxa"/>
              <w:left w:w="0" w:type="dxa"/>
              <w:right w:w="0" w:type="dxa"/>
            </w:tcMar>
            <w:vAlign w:val="bottom"/>
          </w:tcPr>
          <w:p w14:paraId="0F60AC2B" w14:textId="4DF8A0A6" w:rsidR="003710E8" w:rsidRPr="004118AE" w:rsidRDefault="003710E8" w:rsidP="00DA07A9">
            <w:pPr>
              <w:jc w:val="right"/>
              <w:rPr>
                <w:rFonts w:ascii="Arial Black" w:hAnsi="Arial Black"/>
                <w:caps/>
                <w:sz w:val="15"/>
              </w:rPr>
            </w:pPr>
            <w:r w:rsidRPr="004118AE">
              <w:rPr>
                <w:rFonts w:ascii="Arial Black" w:hAnsi="Arial Black"/>
                <w:caps/>
                <w:sz w:val="15"/>
              </w:rPr>
              <w:t>PCT/CTC/30/</w:t>
            </w:r>
            <w:bookmarkStart w:id="1" w:name="Code"/>
            <w:bookmarkEnd w:id="1"/>
            <w:r w:rsidRPr="004118AE">
              <w:rPr>
                <w:rFonts w:ascii="Arial Black" w:hAnsi="Arial Black"/>
                <w:caps/>
                <w:sz w:val="15"/>
              </w:rPr>
              <w:t>2</w:t>
            </w:r>
            <w:r w:rsidR="00E65CB6" w:rsidRPr="004118AE">
              <w:rPr>
                <w:rFonts w:ascii="Arial Black" w:hAnsi="Arial Black"/>
                <w:caps/>
                <w:sz w:val="15"/>
              </w:rPr>
              <w:t> </w:t>
            </w:r>
            <w:r w:rsidRPr="004118AE">
              <w:rPr>
                <w:rFonts w:ascii="Arial Black" w:hAnsi="Arial Black"/>
                <w:caps/>
                <w:sz w:val="15"/>
              </w:rPr>
              <w:t>Rev.</w:t>
            </w:r>
          </w:p>
        </w:tc>
      </w:tr>
      <w:tr w:rsidR="003710E8" w:rsidRPr="004118AE" w14:paraId="6A90057F" w14:textId="77777777" w:rsidTr="00B74610">
        <w:trPr>
          <w:trHeight w:hRule="exact" w:val="170"/>
        </w:trPr>
        <w:tc>
          <w:tcPr>
            <w:tcW w:w="9356" w:type="dxa"/>
            <w:gridSpan w:val="3"/>
            <w:noWrap/>
            <w:tcMar>
              <w:left w:w="0" w:type="dxa"/>
              <w:right w:w="0" w:type="dxa"/>
            </w:tcMar>
            <w:vAlign w:val="bottom"/>
          </w:tcPr>
          <w:p w14:paraId="0DAE1609" w14:textId="6F495A1D" w:rsidR="003710E8" w:rsidRPr="004118AE" w:rsidRDefault="003710E8" w:rsidP="00DA07A9">
            <w:pPr>
              <w:jc w:val="right"/>
              <w:rPr>
                <w:rFonts w:ascii="Arial Black" w:hAnsi="Arial Black"/>
                <w:caps/>
                <w:sz w:val="15"/>
              </w:rPr>
            </w:pPr>
            <w:r w:rsidRPr="004118AE">
              <w:rPr>
                <w:rFonts w:ascii="Arial Black" w:hAnsi="Arial Black"/>
                <w:caps/>
                <w:sz w:val="15"/>
              </w:rPr>
              <w:t>ORIGINAL</w:t>
            </w:r>
            <w:r w:rsidR="00FF47D7" w:rsidRPr="004118AE">
              <w:rPr>
                <w:rFonts w:ascii="Arial Black" w:hAnsi="Arial Black"/>
                <w:caps/>
                <w:sz w:val="15"/>
              </w:rPr>
              <w:t> :</w:t>
            </w:r>
            <w:r w:rsidRPr="004118AE">
              <w:rPr>
                <w:rFonts w:ascii="Arial Black" w:hAnsi="Arial Black"/>
                <w:caps/>
                <w:sz w:val="15"/>
              </w:rPr>
              <w:t xml:space="preserve"> </w:t>
            </w:r>
            <w:bookmarkStart w:id="2" w:name="Original"/>
            <w:bookmarkEnd w:id="2"/>
            <w:r w:rsidRPr="004118AE">
              <w:rPr>
                <w:rFonts w:ascii="Arial Black" w:hAnsi="Arial Black"/>
                <w:caps/>
                <w:sz w:val="15"/>
              </w:rPr>
              <w:t>anglais</w:t>
            </w:r>
          </w:p>
        </w:tc>
      </w:tr>
      <w:tr w:rsidR="003710E8" w:rsidRPr="004118AE" w14:paraId="711C0B7D" w14:textId="77777777" w:rsidTr="00B74610">
        <w:trPr>
          <w:trHeight w:hRule="exact" w:val="198"/>
        </w:trPr>
        <w:tc>
          <w:tcPr>
            <w:tcW w:w="9356" w:type="dxa"/>
            <w:gridSpan w:val="3"/>
            <w:tcMar>
              <w:left w:w="0" w:type="dxa"/>
              <w:right w:w="0" w:type="dxa"/>
            </w:tcMar>
            <w:vAlign w:val="bottom"/>
          </w:tcPr>
          <w:p w14:paraId="322FDC1D" w14:textId="2F0A7354" w:rsidR="003710E8" w:rsidRPr="004118AE" w:rsidRDefault="003710E8" w:rsidP="00DA07A9">
            <w:pPr>
              <w:jc w:val="right"/>
              <w:rPr>
                <w:rFonts w:ascii="Arial Black" w:hAnsi="Arial Black"/>
                <w:caps/>
                <w:sz w:val="15"/>
              </w:rPr>
            </w:pPr>
            <w:r w:rsidRPr="004118AE">
              <w:rPr>
                <w:rFonts w:ascii="Arial Black" w:hAnsi="Arial Black"/>
                <w:caps/>
                <w:sz w:val="15"/>
              </w:rPr>
              <w:t>DATE</w:t>
            </w:r>
            <w:r w:rsidR="00FF47D7" w:rsidRPr="004118AE">
              <w:rPr>
                <w:rFonts w:ascii="Arial Black" w:hAnsi="Arial Black"/>
                <w:caps/>
                <w:sz w:val="15"/>
              </w:rPr>
              <w:t> :</w:t>
            </w:r>
            <w:r w:rsidRPr="004118AE">
              <w:rPr>
                <w:rFonts w:ascii="Arial Black" w:hAnsi="Arial Black"/>
                <w:caps/>
                <w:sz w:val="15"/>
              </w:rPr>
              <w:t xml:space="preserve"> </w:t>
            </w:r>
            <w:bookmarkStart w:id="3" w:name="Date"/>
            <w:bookmarkEnd w:id="3"/>
            <w:r w:rsidRPr="004118AE">
              <w:rPr>
                <w:rFonts w:ascii="Arial Black" w:hAnsi="Arial Black"/>
                <w:caps/>
                <w:sz w:val="15"/>
              </w:rPr>
              <w:t>1</w:t>
            </w:r>
            <w:r w:rsidR="005F3FE3" w:rsidRPr="004118AE">
              <w:rPr>
                <w:rFonts w:ascii="Arial Black" w:hAnsi="Arial Black"/>
                <w:caps/>
                <w:sz w:val="15"/>
              </w:rPr>
              <w:t>7 mars 20</w:t>
            </w:r>
            <w:r w:rsidRPr="004118AE">
              <w:rPr>
                <w:rFonts w:ascii="Arial Black" w:hAnsi="Arial Black"/>
                <w:caps/>
                <w:sz w:val="15"/>
              </w:rPr>
              <w:t>17</w:t>
            </w:r>
          </w:p>
        </w:tc>
      </w:tr>
    </w:tbl>
    <w:p w14:paraId="5BF1BB23" w14:textId="77777777" w:rsidR="003710E8" w:rsidRPr="004118AE" w:rsidRDefault="003710E8" w:rsidP="00DA07A9"/>
    <w:p w14:paraId="63A509F3" w14:textId="77777777" w:rsidR="003710E8" w:rsidRPr="004118AE" w:rsidRDefault="003710E8" w:rsidP="00DA07A9"/>
    <w:p w14:paraId="4D7BA01E" w14:textId="77777777" w:rsidR="003710E8" w:rsidRPr="004118AE" w:rsidRDefault="003710E8" w:rsidP="00DA07A9"/>
    <w:p w14:paraId="1ABA8DDF" w14:textId="77777777" w:rsidR="003710E8" w:rsidRPr="004118AE" w:rsidRDefault="003710E8" w:rsidP="00DA07A9"/>
    <w:p w14:paraId="01E157DE" w14:textId="77777777" w:rsidR="003710E8" w:rsidRPr="004118AE" w:rsidRDefault="003710E8" w:rsidP="00DA07A9"/>
    <w:p w14:paraId="3CF48770" w14:textId="77777777" w:rsidR="003710E8" w:rsidRPr="004118AE" w:rsidRDefault="003710E8" w:rsidP="00DA07A9">
      <w:pPr>
        <w:rPr>
          <w:b/>
          <w:sz w:val="28"/>
          <w:szCs w:val="28"/>
        </w:rPr>
      </w:pPr>
      <w:r w:rsidRPr="004118AE">
        <w:rPr>
          <w:b/>
          <w:sz w:val="28"/>
          <w:szCs w:val="28"/>
        </w:rPr>
        <w:t>Traité de coopération en matière de brevets (PCT)</w:t>
      </w:r>
    </w:p>
    <w:p w14:paraId="0BFC987A" w14:textId="77777777" w:rsidR="003710E8" w:rsidRPr="004118AE" w:rsidRDefault="003710E8" w:rsidP="00DA07A9">
      <w:pPr>
        <w:rPr>
          <w:b/>
          <w:sz w:val="28"/>
          <w:szCs w:val="28"/>
        </w:rPr>
      </w:pPr>
      <w:r w:rsidRPr="004118AE">
        <w:rPr>
          <w:b/>
          <w:sz w:val="28"/>
          <w:szCs w:val="28"/>
        </w:rPr>
        <w:t>Comité de coopération technique</w:t>
      </w:r>
    </w:p>
    <w:p w14:paraId="7472410E" w14:textId="77777777" w:rsidR="003710E8" w:rsidRPr="004118AE" w:rsidRDefault="003710E8" w:rsidP="00DA07A9"/>
    <w:p w14:paraId="5E36B3E4" w14:textId="77777777" w:rsidR="003710E8" w:rsidRPr="004118AE" w:rsidRDefault="003710E8" w:rsidP="00DA07A9"/>
    <w:p w14:paraId="73A00AC4" w14:textId="23861D82" w:rsidR="003710E8" w:rsidRPr="004118AE" w:rsidRDefault="003710E8" w:rsidP="00DA07A9">
      <w:pPr>
        <w:rPr>
          <w:b/>
          <w:sz w:val="24"/>
          <w:szCs w:val="24"/>
        </w:rPr>
      </w:pPr>
      <w:r w:rsidRPr="004118AE">
        <w:rPr>
          <w:b/>
          <w:sz w:val="24"/>
          <w:szCs w:val="24"/>
        </w:rPr>
        <w:t>Trent</w:t>
      </w:r>
      <w:r w:rsidR="00FF47D7" w:rsidRPr="004118AE">
        <w:rPr>
          <w:b/>
          <w:sz w:val="24"/>
          <w:szCs w:val="24"/>
        </w:rPr>
        <w:t>ième session</w:t>
      </w:r>
    </w:p>
    <w:p w14:paraId="5DC9F258" w14:textId="2971592C" w:rsidR="003710E8" w:rsidRPr="004118AE" w:rsidRDefault="003710E8" w:rsidP="00DA07A9">
      <w:pPr>
        <w:rPr>
          <w:b/>
          <w:sz w:val="24"/>
          <w:szCs w:val="24"/>
        </w:rPr>
      </w:pPr>
      <w:r w:rsidRPr="004118AE">
        <w:rPr>
          <w:b/>
          <w:sz w:val="24"/>
          <w:szCs w:val="24"/>
        </w:rPr>
        <w:t>Genève, 8 – 1</w:t>
      </w:r>
      <w:r w:rsidR="005F3FE3" w:rsidRPr="004118AE">
        <w:rPr>
          <w:b/>
          <w:sz w:val="24"/>
          <w:szCs w:val="24"/>
        </w:rPr>
        <w:t>2 mai 20</w:t>
      </w:r>
      <w:r w:rsidRPr="004118AE">
        <w:rPr>
          <w:b/>
          <w:sz w:val="24"/>
          <w:szCs w:val="24"/>
        </w:rPr>
        <w:t>17</w:t>
      </w:r>
    </w:p>
    <w:p w14:paraId="2762FE99" w14:textId="77777777" w:rsidR="003710E8" w:rsidRPr="004118AE" w:rsidRDefault="003710E8" w:rsidP="00DA07A9"/>
    <w:p w14:paraId="1BCE0B40" w14:textId="77777777" w:rsidR="003710E8" w:rsidRPr="004118AE" w:rsidRDefault="003710E8" w:rsidP="00DA07A9"/>
    <w:p w14:paraId="4A925DA8" w14:textId="77777777" w:rsidR="003710E8" w:rsidRPr="004118AE" w:rsidRDefault="003710E8" w:rsidP="00DA07A9"/>
    <w:p w14:paraId="57243A8B" w14:textId="58A90BDD" w:rsidR="005F3FE3" w:rsidRPr="004118AE" w:rsidRDefault="00232AA8" w:rsidP="00DA07A9">
      <w:pPr>
        <w:rPr>
          <w:caps/>
          <w:sz w:val="24"/>
        </w:rPr>
      </w:pPr>
      <w:r w:rsidRPr="004118AE">
        <w:rPr>
          <w:caps/>
          <w:sz w:val="24"/>
        </w:rPr>
        <w:t>Nomination de l</w:t>
      </w:r>
      <w:r w:rsidR="00FF47D7" w:rsidRPr="004118AE">
        <w:rPr>
          <w:caps/>
          <w:sz w:val="24"/>
        </w:rPr>
        <w:t>’</w:t>
      </w:r>
      <w:r w:rsidRPr="004118AE">
        <w:rPr>
          <w:caps/>
          <w:sz w:val="24"/>
        </w:rPr>
        <w:t>Office de la propriété intellectuelle des philippines en qualité d</w:t>
      </w:r>
      <w:r w:rsidR="00FF47D7" w:rsidRPr="004118AE">
        <w:rPr>
          <w:caps/>
          <w:sz w:val="24"/>
        </w:rPr>
        <w:t>’</w:t>
      </w:r>
      <w:r w:rsidRPr="004118AE">
        <w:rPr>
          <w:caps/>
          <w:sz w:val="24"/>
        </w:rPr>
        <w:t>administration chargée de la recherche internationale et de l</w:t>
      </w:r>
      <w:r w:rsidR="00FF47D7" w:rsidRPr="004118AE">
        <w:rPr>
          <w:caps/>
          <w:sz w:val="24"/>
        </w:rPr>
        <w:t>’</w:t>
      </w:r>
      <w:r w:rsidRPr="004118AE">
        <w:rPr>
          <w:caps/>
          <w:sz w:val="24"/>
        </w:rPr>
        <w:t>examen préliminaire international selon</w:t>
      </w:r>
      <w:r w:rsidR="005F3FE3" w:rsidRPr="004118AE">
        <w:rPr>
          <w:caps/>
          <w:sz w:val="24"/>
        </w:rPr>
        <w:t xml:space="preserve"> le PCT</w:t>
      </w:r>
    </w:p>
    <w:p w14:paraId="1C0EC8D5" w14:textId="40354852" w:rsidR="008B2CC1" w:rsidRPr="004118AE" w:rsidRDefault="008B2CC1" w:rsidP="00DA07A9"/>
    <w:p w14:paraId="7E3B523E" w14:textId="77777777" w:rsidR="008B2CC1" w:rsidRPr="004118AE" w:rsidRDefault="00232AA8" w:rsidP="00DA07A9">
      <w:pPr>
        <w:rPr>
          <w:i/>
        </w:rPr>
      </w:pPr>
      <w:bookmarkStart w:id="4" w:name="Prepared"/>
      <w:bookmarkEnd w:id="4"/>
      <w:r w:rsidRPr="004118AE">
        <w:rPr>
          <w:i/>
        </w:rPr>
        <w:t>Document établi par le Bureau international</w:t>
      </w:r>
    </w:p>
    <w:p w14:paraId="44CEFD93" w14:textId="77777777" w:rsidR="00AC205C" w:rsidRPr="004118AE" w:rsidRDefault="00AC205C" w:rsidP="00DA07A9"/>
    <w:p w14:paraId="53E2BD5A" w14:textId="77777777" w:rsidR="000F5E56" w:rsidRDefault="000F5E56" w:rsidP="00DA07A9"/>
    <w:p w14:paraId="61CE6CE0" w14:textId="77777777" w:rsidR="00F07FF6" w:rsidRPr="004118AE" w:rsidRDefault="00F07FF6" w:rsidP="00DA07A9"/>
    <w:p w14:paraId="2527F85D" w14:textId="77777777" w:rsidR="00333654" w:rsidRPr="004118AE" w:rsidRDefault="00333654" w:rsidP="00DA07A9">
      <w:pPr>
        <w:tabs>
          <w:tab w:val="left" w:pos="5565"/>
        </w:tabs>
      </w:pPr>
    </w:p>
    <w:p w14:paraId="096FBBF0" w14:textId="1266E3AA" w:rsidR="002928D3" w:rsidRPr="004118AE" w:rsidRDefault="00333654" w:rsidP="00DA07A9">
      <w:pPr>
        <w:tabs>
          <w:tab w:val="left" w:pos="5565"/>
        </w:tabs>
        <w:rPr>
          <w:i/>
        </w:rPr>
      </w:pPr>
      <w:r w:rsidRPr="004118AE">
        <w:rPr>
          <w:i/>
        </w:rPr>
        <w:t>[</w:t>
      </w:r>
      <w:r w:rsidR="00871F80" w:rsidRPr="004118AE">
        <w:rPr>
          <w:i/>
        </w:rPr>
        <w:t>Ce document remplace la version publiée le 1</w:t>
      </w:r>
      <w:r w:rsidR="005F3FE3" w:rsidRPr="004118AE">
        <w:rPr>
          <w:i/>
        </w:rPr>
        <w:t>6 mars 20</w:t>
      </w:r>
      <w:r w:rsidR="00871F80" w:rsidRPr="004118AE">
        <w:rPr>
          <w:i/>
        </w:rPr>
        <w:t>17, qui contenait une version non définitive du rapport à l</w:t>
      </w:r>
      <w:r w:rsidR="00FF47D7" w:rsidRPr="004118AE">
        <w:rPr>
          <w:i/>
        </w:rPr>
        <w:t>’</w:t>
      </w:r>
      <w:r w:rsidR="00871F80" w:rsidRPr="004118AE">
        <w:rPr>
          <w:i/>
        </w:rPr>
        <w:t>appendice</w:t>
      </w:r>
      <w:r w:rsidR="006A33AF" w:rsidRPr="004118AE">
        <w:rPr>
          <w:i/>
        </w:rPr>
        <w:t> </w:t>
      </w:r>
      <w:r w:rsidR="00871F80" w:rsidRPr="004118AE">
        <w:rPr>
          <w:i/>
        </w:rPr>
        <w:t>3 de l</w:t>
      </w:r>
      <w:r w:rsidR="00FF47D7" w:rsidRPr="004118AE">
        <w:rPr>
          <w:i/>
        </w:rPr>
        <w:t>’</w:t>
      </w:r>
      <w:r w:rsidR="00871F80" w:rsidRPr="004118AE">
        <w:rPr>
          <w:i/>
        </w:rPr>
        <w:t>anne</w:t>
      </w:r>
      <w:r w:rsidR="006A33AF" w:rsidRPr="004118AE">
        <w:rPr>
          <w:i/>
        </w:rPr>
        <w:t>xe.  Ce</w:t>
      </w:r>
      <w:r w:rsidR="000A519A" w:rsidRPr="004118AE">
        <w:rPr>
          <w:i/>
        </w:rPr>
        <w:t>la ne concerne que la version anglaise.</w:t>
      </w:r>
      <w:r w:rsidRPr="004118AE">
        <w:rPr>
          <w:i/>
        </w:rPr>
        <w:t>]</w:t>
      </w:r>
    </w:p>
    <w:p w14:paraId="1E89A9DA" w14:textId="77777777" w:rsidR="002928D3" w:rsidRPr="004118AE" w:rsidRDefault="002928D3" w:rsidP="00DA07A9"/>
    <w:p w14:paraId="2443B369" w14:textId="62B3473A" w:rsidR="00F07FF6" w:rsidRDefault="007D402F" w:rsidP="00DA07A9">
      <w:pPr>
        <w:pStyle w:val="ONUMFS"/>
      </w:pPr>
      <w:r w:rsidRPr="004118AE">
        <w:t xml:space="preserve">Le </w:t>
      </w:r>
      <w:r w:rsidR="005F3FE3" w:rsidRPr="004118AE">
        <w:t>2 septembre 20</w:t>
      </w:r>
      <w:r w:rsidRPr="004118AE">
        <w:t>16, conformément à l</w:t>
      </w:r>
      <w:r w:rsidR="00FF47D7" w:rsidRPr="004118AE">
        <w:t>’</w:t>
      </w:r>
      <w:r w:rsidR="005F3FE3" w:rsidRPr="004118AE">
        <w:t>alinéa c)</w:t>
      </w:r>
      <w:r w:rsidRPr="004118AE">
        <w:t xml:space="preserve"> des procédures établies dans l</w:t>
      </w:r>
      <w:r w:rsidR="00FF47D7" w:rsidRPr="004118AE">
        <w:t>’</w:t>
      </w:r>
      <w:r w:rsidR="00230989" w:rsidRPr="004118AE">
        <w:t xml:space="preserve">Accord de principe </w:t>
      </w:r>
      <w:r w:rsidRPr="004118AE">
        <w:t>adopté par l</w:t>
      </w:r>
      <w:r w:rsidR="00FF47D7" w:rsidRPr="004118AE">
        <w:t>’</w:t>
      </w:r>
      <w:r w:rsidRPr="004118AE">
        <w:t>Assemblée de l</w:t>
      </w:r>
      <w:r w:rsidR="00FF47D7" w:rsidRPr="004118AE">
        <w:t>’</w:t>
      </w:r>
      <w:r w:rsidRPr="004118AE">
        <w:t>Union</w:t>
      </w:r>
      <w:r w:rsidR="005F3FE3" w:rsidRPr="004118AE">
        <w:t xml:space="preserve"> du PCT</w:t>
      </w:r>
      <w:r w:rsidRPr="004118AE">
        <w:t xml:space="preserve"> à sa quarante</w:t>
      </w:r>
      <w:r w:rsidR="00BC3CD7">
        <w:noBreakHyphen/>
      </w:r>
      <w:r w:rsidRPr="004118AE">
        <w:t>six</w:t>
      </w:r>
      <w:r w:rsidR="00FF47D7" w:rsidRPr="004118AE">
        <w:t>ième session</w:t>
      </w:r>
      <w:r w:rsidRPr="004118AE">
        <w:t>, l</w:t>
      </w:r>
      <w:r w:rsidR="00FF47D7" w:rsidRPr="004118AE">
        <w:t>’</w:t>
      </w:r>
      <w:r w:rsidRPr="004118AE">
        <w:t>Office de la propriété intellectuelle des Philippines (IPOPHL) a indiqué qu</w:t>
      </w:r>
      <w:r w:rsidR="00FF47D7" w:rsidRPr="004118AE">
        <w:t>’</w:t>
      </w:r>
      <w:r w:rsidRPr="004118AE">
        <w:t>il souhaitait obtenir</w:t>
      </w:r>
      <w:r w:rsidR="00375E56" w:rsidRPr="004118AE">
        <w:t xml:space="preserve">, </w:t>
      </w:r>
      <w:r w:rsidR="005F3FE3" w:rsidRPr="004118AE">
        <w:t>en 2017</w:t>
      </w:r>
      <w:r w:rsidR="00375E56" w:rsidRPr="004118AE">
        <w:t>,</w:t>
      </w:r>
      <w:r w:rsidRPr="004118AE">
        <w:t xml:space="preserve"> une nomination par </w:t>
      </w:r>
      <w:r w:rsidR="00CE2671" w:rsidRPr="004118AE">
        <w:t>l</w:t>
      </w:r>
      <w:r w:rsidR="00FF47D7" w:rsidRPr="004118AE">
        <w:t>’</w:t>
      </w:r>
      <w:r w:rsidR="00CE2671" w:rsidRPr="004118AE">
        <w:t>Assemblée de l</w:t>
      </w:r>
      <w:r w:rsidR="00FF47D7" w:rsidRPr="004118AE">
        <w:t>’</w:t>
      </w:r>
      <w:r w:rsidR="00CE2671" w:rsidRPr="004118AE">
        <w:t>Union</w:t>
      </w:r>
      <w:r w:rsidR="005F3FE3" w:rsidRPr="004118AE">
        <w:t xml:space="preserve"> du PCT</w:t>
      </w:r>
      <w:r w:rsidR="00CE2671" w:rsidRPr="004118AE">
        <w:t xml:space="preserve"> </w:t>
      </w:r>
      <w:r w:rsidRPr="004118AE">
        <w:t xml:space="preserve">en </w:t>
      </w:r>
      <w:r w:rsidR="00CE2671" w:rsidRPr="004118AE">
        <w:t>qualité d</w:t>
      </w:r>
      <w:r w:rsidR="00FF47D7" w:rsidRPr="004118AE">
        <w:t>’</w:t>
      </w:r>
      <w:r w:rsidR="00CE2671" w:rsidRPr="004118AE">
        <w:t>a</w:t>
      </w:r>
      <w:r w:rsidRPr="004118AE">
        <w:t>dministration chargée de la recherche internati</w:t>
      </w:r>
      <w:r w:rsidR="00CE2671" w:rsidRPr="004118AE">
        <w:t>onale et d</w:t>
      </w:r>
      <w:r w:rsidR="00FF47D7" w:rsidRPr="004118AE">
        <w:t>’</w:t>
      </w:r>
      <w:r w:rsidR="00CE2671" w:rsidRPr="004118AE">
        <w:t>administration chargée de</w:t>
      </w:r>
      <w:r w:rsidRPr="004118AE">
        <w:t xml:space="preserve"> l</w:t>
      </w:r>
      <w:r w:rsidR="00FF47D7" w:rsidRPr="004118AE">
        <w:t>’</w:t>
      </w:r>
      <w:r w:rsidRPr="004118AE">
        <w:t xml:space="preserve">examen préliminaire international </w:t>
      </w:r>
      <w:r w:rsidR="00CE2671" w:rsidRPr="004118AE">
        <w:t>selon</w:t>
      </w:r>
      <w:r w:rsidR="005F3FE3" w:rsidRPr="004118AE">
        <w:t xml:space="preserve"> le PCT</w:t>
      </w:r>
      <w:r w:rsidR="00CE2671" w:rsidRPr="004118AE">
        <w:t xml:space="preserve"> </w:t>
      </w:r>
      <w:r w:rsidR="00375E56" w:rsidRPr="004118AE">
        <w:t>e</w:t>
      </w:r>
      <w:r w:rsidR="00CE2671" w:rsidRPr="004118AE">
        <w:t xml:space="preserve">t que le </w:t>
      </w:r>
      <w:r w:rsidR="00042BAB" w:rsidRPr="004118AE">
        <w:t>Comité de coopération technique</w:t>
      </w:r>
      <w:r w:rsidR="005F3FE3" w:rsidRPr="004118AE">
        <w:t xml:space="preserve"> du PCT</w:t>
      </w:r>
      <w:r w:rsidR="00042BAB" w:rsidRPr="004118AE">
        <w:t xml:space="preserve"> (PCT/CTC) </w:t>
      </w:r>
      <w:r w:rsidRPr="004118AE">
        <w:t>soit convoqué en conséquen</w:t>
      </w:r>
      <w:r w:rsidR="006A33AF" w:rsidRPr="004118AE">
        <w:t>ce.  Le</w:t>
      </w:r>
      <w:r w:rsidR="00D22D8B" w:rsidRPr="004118AE">
        <w:t xml:space="preserve"> </w:t>
      </w:r>
      <w:r w:rsidR="005F3FE3" w:rsidRPr="004118AE">
        <w:t>8 mars 20</w:t>
      </w:r>
      <w:r w:rsidR="00D22D8B" w:rsidRPr="004118AE">
        <w:t>17, conformément à l</w:t>
      </w:r>
      <w:r w:rsidR="00FF47D7" w:rsidRPr="004118AE">
        <w:t>’</w:t>
      </w:r>
      <w:r w:rsidR="005F3FE3" w:rsidRPr="004118AE">
        <w:t>alinéa e)</w:t>
      </w:r>
      <w:r w:rsidR="00D22D8B" w:rsidRPr="004118AE">
        <w:t xml:space="preserve"> des</w:t>
      </w:r>
      <w:r w:rsidR="00260360" w:rsidRPr="004118AE">
        <w:t>dites</w:t>
      </w:r>
      <w:r w:rsidR="00D22D8B" w:rsidRPr="004118AE">
        <w:t xml:space="preserve"> procédures, </w:t>
      </w:r>
      <w:r w:rsidR="00260360" w:rsidRPr="004118AE">
        <w:t>l</w:t>
      </w:r>
      <w:r w:rsidR="00FF47D7" w:rsidRPr="004118AE">
        <w:t>’</w:t>
      </w:r>
      <w:r w:rsidR="00D22D8B" w:rsidRPr="004118AE">
        <w:t xml:space="preserve">IPOPHL a présenté des documents </w:t>
      </w:r>
      <w:r w:rsidR="00B20712" w:rsidRPr="004118AE">
        <w:t>à l</w:t>
      </w:r>
      <w:r w:rsidR="00FF47D7" w:rsidRPr="004118AE">
        <w:t>’</w:t>
      </w:r>
      <w:r w:rsidR="00B20712" w:rsidRPr="004118AE">
        <w:t>appui de</w:t>
      </w:r>
      <w:r w:rsidR="00260360" w:rsidRPr="004118AE">
        <w:t xml:space="preserve"> </w:t>
      </w:r>
      <w:r w:rsidR="00D22D8B" w:rsidRPr="004118AE">
        <w:t>sa demande</w:t>
      </w:r>
      <w:r w:rsidR="00B20712" w:rsidRPr="004118AE">
        <w:t xml:space="preserve"> </w:t>
      </w:r>
      <w:r w:rsidR="00260360" w:rsidRPr="004118AE">
        <w:t>dont un exemplaire est reproduit en annexe d</w:t>
      </w:r>
      <w:r w:rsidR="00D22D8B" w:rsidRPr="004118AE">
        <w:t>u présent document.</w:t>
      </w:r>
    </w:p>
    <w:p w14:paraId="69900DBB" w14:textId="4733AB69" w:rsidR="00BD309E" w:rsidRPr="004118AE" w:rsidRDefault="001F29C6" w:rsidP="00DA07A9">
      <w:pPr>
        <w:pStyle w:val="ONUMFS"/>
      </w:pPr>
      <w:r w:rsidRPr="004118AE">
        <w:t xml:space="preserve">En </w:t>
      </w:r>
      <w:r w:rsidR="005F3FE3" w:rsidRPr="004118AE">
        <w:t>octobre 20</w:t>
      </w:r>
      <w:r w:rsidRPr="004118AE">
        <w:t>17, l</w:t>
      </w:r>
      <w:r w:rsidR="00FF47D7" w:rsidRPr="004118AE">
        <w:t>’</w:t>
      </w:r>
      <w:r w:rsidRPr="004118AE">
        <w:t>Assemblée de l</w:t>
      </w:r>
      <w:r w:rsidR="00FF47D7" w:rsidRPr="004118AE">
        <w:t>’</w:t>
      </w:r>
      <w:r w:rsidRPr="004118AE">
        <w:t>Union</w:t>
      </w:r>
      <w:r w:rsidR="005F3FE3" w:rsidRPr="004118AE">
        <w:t xml:space="preserve"> du PCT</w:t>
      </w:r>
      <w:r w:rsidRPr="004118AE">
        <w:t xml:space="preserve"> sera invitée à prendre une décision sur cette nomination, après avoir d</w:t>
      </w:r>
      <w:r w:rsidR="00FF47D7" w:rsidRPr="004118AE">
        <w:t>’</w:t>
      </w:r>
      <w:r w:rsidRPr="004118AE">
        <w:t xml:space="preserve">abord </w:t>
      </w:r>
      <w:r w:rsidR="00B20712" w:rsidRPr="004118AE">
        <w:t xml:space="preserve">pris </w:t>
      </w:r>
      <w:r w:rsidRPr="004118AE">
        <w:t>l</w:t>
      </w:r>
      <w:r w:rsidR="00FF47D7" w:rsidRPr="004118AE">
        <w:t>’</w:t>
      </w:r>
      <w:r w:rsidRPr="004118AE">
        <w:t>avis du Comité de coopération technique</w:t>
      </w:r>
      <w:r w:rsidR="005F3FE3" w:rsidRPr="004118AE">
        <w:t xml:space="preserve"> du PCT</w:t>
      </w:r>
      <w:r w:rsidRPr="004118AE">
        <w:t xml:space="preserve"> (voir les </w:t>
      </w:r>
      <w:r w:rsidR="005F3FE3" w:rsidRPr="004118AE">
        <w:t>articles 1</w:t>
      </w:r>
      <w:r w:rsidRPr="004118AE">
        <w:t>6.3) e) et 32.3)</w:t>
      </w:r>
      <w:r w:rsidR="005F3FE3" w:rsidRPr="004118AE">
        <w:t xml:space="preserve"> du PCT</w:t>
      </w:r>
      <w:r w:rsidRPr="004118AE">
        <w:t>).</w:t>
      </w:r>
      <w:r w:rsidR="00BD309E" w:rsidRPr="004118AE">
        <w:t xml:space="preserve"> </w:t>
      </w:r>
      <w:r w:rsidR="00D5250D" w:rsidRPr="004118AE">
        <w:t xml:space="preserve"> </w:t>
      </w:r>
      <w:r w:rsidR="00B74610" w:rsidRPr="004118AE">
        <w:t>Les informations relatives à ce</w:t>
      </w:r>
      <w:r w:rsidR="00292AF7" w:rsidRPr="004118AE">
        <w:t>tte procédure</w:t>
      </w:r>
      <w:r w:rsidR="00B74610" w:rsidRPr="004118AE">
        <w:t xml:space="preserve"> </w:t>
      </w:r>
      <w:r w:rsidR="00292AF7" w:rsidRPr="004118AE">
        <w:t>ainsi qu</w:t>
      </w:r>
      <w:r w:rsidR="00FF47D7" w:rsidRPr="004118AE">
        <w:t>’</w:t>
      </w:r>
      <w:r w:rsidR="00B74610" w:rsidRPr="004118AE">
        <w:t xml:space="preserve">au rôle du </w:t>
      </w:r>
      <w:r w:rsidR="006A33AF" w:rsidRPr="004118AE">
        <w:t>c</w:t>
      </w:r>
      <w:r w:rsidR="00B74610" w:rsidRPr="004118AE">
        <w:t>omité figurent d</w:t>
      </w:r>
      <w:r w:rsidR="00292AF7" w:rsidRPr="004118AE">
        <w:t>ans le document PCT/CTC/30/INF/</w:t>
      </w:r>
      <w:r w:rsidR="00B74610" w:rsidRPr="004118AE">
        <w:t>1.</w:t>
      </w:r>
    </w:p>
    <w:p w14:paraId="566BB7B8" w14:textId="77777777" w:rsidR="00645F37" w:rsidRPr="004118AE" w:rsidRDefault="00645F37" w:rsidP="00F94A20">
      <w:pPr>
        <w:pStyle w:val="ONUMFS"/>
        <w:keepNext/>
        <w:ind w:left="5533"/>
        <w:rPr>
          <w:i/>
        </w:rPr>
      </w:pPr>
      <w:r w:rsidRPr="004118AE">
        <w:rPr>
          <w:i/>
        </w:rPr>
        <w:lastRenderedPageBreak/>
        <w:t>Le comité est invité à faire part de son avis sur cette question.</w:t>
      </w:r>
    </w:p>
    <w:p w14:paraId="54469BEF" w14:textId="77777777" w:rsidR="00F07FF6" w:rsidRDefault="00F07FF6" w:rsidP="00F94A20">
      <w:pPr>
        <w:keepNext/>
      </w:pPr>
    </w:p>
    <w:p w14:paraId="33D90308" w14:textId="77777777" w:rsidR="00F07FF6" w:rsidRDefault="00F07FF6" w:rsidP="00F94A20">
      <w:pPr>
        <w:keepNext/>
      </w:pPr>
    </w:p>
    <w:p w14:paraId="7D73E030" w14:textId="23A3E145" w:rsidR="00AA5F79" w:rsidRDefault="00AA5F79" w:rsidP="00F94A20">
      <w:pPr>
        <w:pStyle w:val="ONUME"/>
        <w:keepNext/>
        <w:numPr>
          <w:ilvl w:val="0"/>
          <w:numId w:val="0"/>
        </w:numPr>
        <w:ind w:left="5533"/>
      </w:pPr>
      <w:r w:rsidRPr="004118AE">
        <w:t>[</w:t>
      </w:r>
      <w:r w:rsidR="006F2B36" w:rsidRPr="004118AE">
        <w:t>L</w:t>
      </w:r>
      <w:r w:rsidR="00FF47D7" w:rsidRPr="004118AE">
        <w:t>’</w:t>
      </w:r>
      <w:r w:rsidR="006F2B36" w:rsidRPr="004118AE">
        <w:t>annexe suit</w:t>
      </w:r>
      <w:r w:rsidRPr="004118AE">
        <w:t>]</w:t>
      </w:r>
    </w:p>
    <w:p w14:paraId="5FE0C216" w14:textId="77777777" w:rsidR="008C1458" w:rsidRDefault="008C1458" w:rsidP="00DA07A9">
      <w:pPr>
        <w:pStyle w:val="ONUME"/>
        <w:numPr>
          <w:ilvl w:val="0"/>
          <w:numId w:val="0"/>
        </w:numPr>
        <w:ind w:left="5533"/>
      </w:pPr>
    </w:p>
    <w:p w14:paraId="4C82B316" w14:textId="77777777" w:rsidR="008C1458" w:rsidRPr="004118AE" w:rsidRDefault="008C1458" w:rsidP="00DA07A9">
      <w:pPr>
        <w:pStyle w:val="ONUME"/>
        <w:numPr>
          <w:ilvl w:val="0"/>
          <w:numId w:val="0"/>
        </w:numPr>
        <w:ind w:left="5533"/>
        <w:sectPr w:rsidR="008C1458" w:rsidRPr="004118AE" w:rsidSect="005F3FE3">
          <w:headerReference w:type="default" r:id="rId10"/>
          <w:endnotePr>
            <w:numFmt w:val="decimal"/>
          </w:endnotePr>
          <w:pgSz w:w="11907" w:h="16840" w:code="9"/>
          <w:pgMar w:top="567" w:right="1134" w:bottom="1417" w:left="1417" w:header="510" w:footer="1020" w:gutter="0"/>
          <w:cols w:space="720"/>
          <w:titlePg/>
          <w:docGrid w:linePitch="299"/>
        </w:sectPr>
      </w:pPr>
    </w:p>
    <w:p w14:paraId="616C832D" w14:textId="6354E565" w:rsidR="00AA5F79" w:rsidRPr="004118AE" w:rsidRDefault="00274F74" w:rsidP="00DA07A9">
      <w:pPr>
        <w:jc w:val="center"/>
        <w:rPr>
          <w:caps/>
        </w:rPr>
      </w:pPr>
      <w:r w:rsidRPr="004118AE">
        <w:rPr>
          <w:caps/>
        </w:rPr>
        <w:lastRenderedPageBreak/>
        <w:t>CANDIDATURE DE L</w:t>
      </w:r>
      <w:r w:rsidR="00FF47D7" w:rsidRPr="004118AE">
        <w:rPr>
          <w:caps/>
        </w:rPr>
        <w:t>’</w:t>
      </w:r>
      <w:r w:rsidRPr="004118AE">
        <w:rPr>
          <w:caps/>
        </w:rPr>
        <w:t>OFFICE DE LA PROPRIÉTÉ INTELLECTUELLE DES PHILIPPINES EN</w:t>
      </w:r>
      <w:r w:rsidR="004118AE">
        <w:rPr>
          <w:caps/>
        </w:rPr>
        <w:t> </w:t>
      </w:r>
      <w:r w:rsidRPr="004118AE">
        <w:rPr>
          <w:caps/>
        </w:rPr>
        <w:t>VUE DE SA NOMINATION EN QUALITÉ D</w:t>
      </w:r>
      <w:r w:rsidR="00FF47D7" w:rsidRPr="004118AE">
        <w:rPr>
          <w:caps/>
        </w:rPr>
        <w:t>’</w:t>
      </w:r>
      <w:r w:rsidRPr="004118AE">
        <w:rPr>
          <w:caps/>
        </w:rPr>
        <w:t>ADMINISTRATION CHARGÉE DE</w:t>
      </w:r>
      <w:r w:rsidR="004118AE">
        <w:rPr>
          <w:caps/>
        </w:rPr>
        <w:t> </w:t>
      </w:r>
      <w:r w:rsidRPr="004118AE">
        <w:rPr>
          <w:caps/>
        </w:rPr>
        <w:t>LA</w:t>
      </w:r>
      <w:r w:rsidR="004118AE">
        <w:rPr>
          <w:caps/>
        </w:rPr>
        <w:t> </w:t>
      </w:r>
      <w:r w:rsidRPr="004118AE">
        <w:rPr>
          <w:caps/>
        </w:rPr>
        <w:t>RECHERCHE INTERNATIONALE ET DE L</w:t>
      </w:r>
      <w:r w:rsidR="00FF47D7" w:rsidRPr="004118AE">
        <w:rPr>
          <w:caps/>
        </w:rPr>
        <w:t>’</w:t>
      </w:r>
      <w:r w:rsidRPr="004118AE">
        <w:rPr>
          <w:caps/>
        </w:rPr>
        <w:t>EXAMEN PRÉLIMINAIRE INTERNATIONAL SELON LE PCT</w:t>
      </w:r>
    </w:p>
    <w:p w14:paraId="1AF14B5D" w14:textId="77777777" w:rsidR="00110FEA" w:rsidRPr="004118AE" w:rsidRDefault="00110FEA" w:rsidP="00DA07A9">
      <w:pPr>
        <w:jc w:val="center"/>
      </w:pPr>
    </w:p>
    <w:p w14:paraId="35E4E57C" w14:textId="77777777" w:rsidR="00110FEA" w:rsidRPr="004118AE" w:rsidRDefault="00110FEA" w:rsidP="00DA07A9">
      <w:pPr>
        <w:jc w:val="center"/>
      </w:pPr>
    </w:p>
    <w:p w14:paraId="29449074" w14:textId="6EA86893" w:rsidR="001647E2" w:rsidRPr="004118AE" w:rsidRDefault="00C747B0" w:rsidP="00DA07A9">
      <w:pPr>
        <w:pStyle w:val="ONUMFS"/>
        <w:numPr>
          <w:ilvl w:val="0"/>
          <w:numId w:val="0"/>
        </w:numPr>
      </w:pPr>
      <w:r w:rsidRPr="004118AE">
        <w:t>L</w:t>
      </w:r>
      <w:r w:rsidR="00FF47D7" w:rsidRPr="004118AE">
        <w:t>’</w:t>
      </w:r>
      <w:r w:rsidRPr="004118AE">
        <w:t xml:space="preserve">Office de </w:t>
      </w:r>
      <w:r w:rsidR="005A11EA" w:rsidRPr="004118AE">
        <w:t xml:space="preserve">la </w:t>
      </w:r>
      <w:r w:rsidRPr="004118AE">
        <w:t xml:space="preserve">propriété intellectuelle des Philippines (IPOPHL) </w:t>
      </w:r>
      <w:r w:rsidR="00C96354">
        <w:t>présente sa</w:t>
      </w:r>
      <w:r w:rsidRPr="004118AE">
        <w:t xml:space="preserve"> candidature </w:t>
      </w:r>
      <w:r w:rsidR="00C96354">
        <w:t xml:space="preserve">en vue de </w:t>
      </w:r>
      <w:r w:rsidRPr="004118AE">
        <w:t>sa nomination en qualité d</w:t>
      </w:r>
      <w:r w:rsidR="00FF47D7" w:rsidRPr="004118AE">
        <w:t>’</w:t>
      </w:r>
      <w:r w:rsidRPr="004118AE">
        <w:t>administration chargée de la recherche internationale et de l</w:t>
      </w:r>
      <w:r w:rsidR="00FF47D7" w:rsidRPr="004118AE">
        <w:t>’</w:t>
      </w:r>
      <w:r w:rsidRPr="004118AE">
        <w:t>examen préliminaire international selon</w:t>
      </w:r>
      <w:r w:rsidR="005F3FE3" w:rsidRPr="004118AE">
        <w:t xml:space="preserve"> le PCT</w:t>
      </w:r>
      <w:r w:rsidRPr="004118AE">
        <w:t xml:space="preserve"> (</w:t>
      </w:r>
      <w:r w:rsidR="00DC2C80" w:rsidRPr="004118AE">
        <w:t>dé</w:t>
      </w:r>
      <w:r w:rsidRPr="004118AE">
        <w:t>nommée ci</w:t>
      </w:r>
      <w:r w:rsidR="00BC3CD7">
        <w:noBreakHyphen/>
      </w:r>
      <w:r w:rsidRPr="004118AE">
        <w:t>après</w:t>
      </w:r>
      <w:r w:rsidR="008303F5" w:rsidRPr="004118AE">
        <w:t xml:space="preserve"> </w:t>
      </w:r>
      <w:r w:rsidR="00E65CB6" w:rsidRPr="004118AE">
        <w:t>“</w:t>
      </w:r>
      <w:r w:rsidR="008303F5" w:rsidRPr="004118AE">
        <w:t>administration</w:t>
      </w:r>
      <w:r w:rsidRPr="004118AE">
        <w:t xml:space="preserve"> </w:t>
      </w:r>
      <w:r w:rsidR="008303F5" w:rsidRPr="004118AE">
        <w:t>internationale</w:t>
      </w:r>
      <w:r w:rsidR="00D60E02" w:rsidRPr="004118AE">
        <w:t>”</w:t>
      </w:r>
      <w:r w:rsidRPr="004118AE">
        <w:t>)</w:t>
      </w:r>
      <w:r w:rsidR="00E65CB6" w:rsidRPr="004118AE">
        <w:t>.</w:t>
      </w:r>
      <w:r w:rsidR="00D873AD" w:rsidRPr="004118AE">
        <w:t xml:space="preserve">  </w:t>
      </w:r>
      <w:r w:rsidR="009861A9" w:rsidRPr="004118AE">
        <w:t>Si</w:t>
      </w:r>
      <w:r w:rsidR="0049798F" w:rsidRPr="004118AE">
        <w:t xml:space="preserve"> </w:t>
      </w:r>
      <w:r w:rsidR="00946B3C" w:rsidRPr="004118AE">
        <w:t>l</w:t>
      </w:r>
      <w:r w:rsidR="00FF47D7" w:rsidRPr="004118AE">
        <w:t>’</w:t>
      </w:r>
      <w:r w:rsidR="00946B3C" w:rsidRPr="004118AE">
        <w:t xml:space="preserve">IPOPHL </w:t>
      </w:r>
      <w:r w:rsidR="0049798F" w:rsidRPr="004118AE">
        <w:t xml:space="preserve">est </w:t>
      </w:r>
      <w:r w:rsidR="00C96354">
        <w:t xml:space="preserve">nommé </w:t>
      </w:r>
      <w:r w:rsidR="005A11EA" w:rsidRPr="004118AE">
        <w:t>à la quarante</w:t>
      </w:r>
      <w:r w:rsidR="00BC3CD7">
        <w:noBreakHyphen/>
      </w:r>
      <w:r w:rsidR="005A11EA" w:rsidRPr="004118AE">
        <w:t>neuv</w:t>
      </w:r>
      <w:r w:rsidR="00FF47D7" w:rsidRPr="004118AE">
        <w:t>ième session</w:t>
      </w:r>
      <w:r w:rsidR="005A11EA" w:rsidRPr="004118AE">
        <w:t xml:space="preserve"> de l</w:t>
      </w:r>
      <w:r w:rsidR="00FF47D7" w:rsidRPr="004118AE">
        <w:t>’</w:t>
      </w:r>
      <w:r w:rsidR="005A11EA" w:rsidRPr="004118AE">
        <w:t>Assemblée de l</w:t>
      </w:r>
      <w:r w:rsidR="00FF47D7" w:rsidRPr="004118AE">
        <w:t>’</w:t>
      </w:r>
      <w:r w:rsidR="005A11EA" w:rsidRPr="004118AE">
        <w:t xml:space="preserve">Union internationale de coopération en matière de brevets, </w:t>
      </w:r>
      <w:r w:rsidR="00946B3C" w:rsidRPr="004118AE">
        <w:t>i</w:t>
      </w:r>
      <w:r w:rsidR="005A11EA" w:rsidRPr="004118AE">
        <w:t xml:space="preserve">l prévoit </w:t>
      </w:r>
      <w:r w:rsidR="004F5D9A" w:rsidRPr="004118AE">
        <w:t>de débuter son activité</w:t>
      </w:r>
      <w:r w:rsidR="005A11EA" w:rsidRPr="004118AE">
        <w:t xml:space="preserve"> en </w:t>
      </w:r>
      <w:r w:rsidR="005F3FE3" w:rsidRPr="004118AE">
        <w:t>octobre 20</w:t>
      </w:r>
      <w:r w:rsidR="005A11EA" w:rsidRPr="004118AE">
        <w:t>18.</w:t>
      </w:r>
    </w:p>
    <w:p w14:paraId="466673C7" w14:textId="1D4F86AC" w:rsidR="001647E2" w:rsidRPr="004118AE" w:rsidRDefault="00CE4603" w:rsidP="00DA07A9">
      <w:pPr>
        <w:pStyle w:val="ONUMFS"/>
        <w:numPr>
          <w:ilvl w:val="0"/>
          <w:numId w:val="0"/>
        </w:numPr>
      </w:pPr>
      <w:r w:rsidRPr="004118AE">
        <w:t>L</w:t>
      </w:r>
      <w:r w:rsidR="00FF47D7" w:rsidRPr="004118AE">
        <w:t>’</w:t>
      </w:r>
      <w:r w:rsidRPr="004118AE">
        <w:t>IPOPHL répon</w:t>
      </w:r>
      <w:r w:rsidR="00A63745" w:rsidRPr="004118AE">
        <w:t xml:space="preserve">d aux exigences minimales </w:t>
      </w:r>
      <w:r w:rsidR="00C96354">
        <w:t xml:space="preserve">requises </w:t>
      </w:r>
      <w:r w:rsidR="00A63745" w:rsidRPr="004118AE">
        <w:t>pour s</w:t>
      </w:r>
      <w:r w:rsidRPr="004118AE">
        <w:t>a nomination en qualité d</w:t>
      </w:r>
      <w:r w:rsidR="00FF47D7" w:rsidRPr="004118AE">
        <w:t>’</w:t>
      </w:r>
      <w:r w:rsidRPr="004118AE">
        <w:t>administration internationale.</w:t>
      </w:r>
      <w:r w:rsidR="001647E2" w:rsidRPr="004118AE">
        <w:t xml:space="preserve"> </w:t>
      </w:r>
      <w:r w:rsidR="00BF4C01" w:rsidRPr="004118AE">
        <w:t xml:space="preserve"> </w:t>
      </w:r>
      <w:r w:rsidR="00AC5151" w:rsidRPr="004118AE">
        <w:t>L</w:t>
      </w:r>
      <w:r w:rsidR="00FF47D7" w:rsidRPr="004118AE">
        <w:t>’</w:t>
      </w:r>
      <w:r w:rsidR="00AC5151" w:rsidRPr="004118AE">
        <w:t xml:space="preserve">Office </w:t>
      </w:r>
      <w:r w:rsidR="006B744E" w:rsidRPr="004118AE">
        <w:t xml:space="preserve">japonais </w:t>
      </w:r>
      <w:r w:rsidR="00AC5151" w:rsidRPr="004118AE">
        <w:t xml:space="preserve">des brevets (JPO) et </w:t>
      </w:r>
      <w:r w:rsidR="001722B2" w:rsidRPr="004118AE">
        <w:t>l</w:t>
      </w:r>
      <w:r w:rsidR="00FF47D7" w:rsidRPr="004118AE">
        <w:t>’</w:t>
      </w:r>
      <w:r w:rsidR="00CB6114" w:rsidRPr="004118AE">
        <w:t>O</w:t>
      </w:r>
      <w:r w:rsidR="001722B2" w:rsidRPr="004118AE">
        <w:t xml:space="preserve">ffice australien de la propriété intellectuelle </w:t>
      </w:r>
      <w:r w:rsidR="00E15981" w:rsidRPr="004118AE">
        <w:t>(</w:t>
      </w:r>
      <w:r w:rsidR="00AC5151" w:rsidRPr="004118AE">
        <w:t>IP</w:t>
      </w:r>
      <w:r w:rsidR="00E65CB6" w:rsidRPr="004118AE">
        <w:t> </w:t>
      </w:r>
      <w:proofErr w:type="spellStart"/>
      <w:r w:rsidR="00AC5151" w:rsidRPr="004118AE">
        <w:t>Australia</w:t>
      </w:r>
      <w:proofErr w:type="spellEnd"/>
      <w:r w:rsidR="00E15981" w:rsidRPr="004118AE">
        <w:t>)</w:t>
      </w:r>
      <w:r w:rsidR="00AC5151" w:rsidRPr="004118AE">
        <w:t xml:space="preserve"> ont évalué la conformité de l</w:t>
      </w:r>
      <w:r w:rsidR="00FF47D7" w:rsidRPr="004118AE">
        <w:t>’</w:t>
      </w:r>
      <w:r w:rsidR="00E15981" w:rsidRPr="004118AE">
        <w:t>IPOPHL</w:t>
      </w:r>
      <w:r w:rsidR="00AC5151" w:rsidRPr="004118AE">
        <w:t xml:space="preserve"> aux exigences minimales </w:t>
      </w:r>
      <w:r w:rsidR="00E15981" w:rsidRPr="004118AE">
        <w:t xml:space="preserve">à remplir </w:t>
      </w:r>
      <w:r w:rsidR="00DB18C5" w:rsidRPr="004118AE">
        <w:t>pour s</w:t>
      </w:r>
      <w:r w:rsidR="00AC5151" w:rsidRPr="004118AE">
        <w:t>a nomination en qualité d</w:t>
      </w:r>
      <w:r w:rsidR="00FF47D7" w:rsidRPr="004118AE">
        <w:t>’</w:t>
      </w:r>
      <w:r w:rsidR="00AC5151" w:rsidRPr="004118AE">
        <w:t>administration internationale et ont tous deux</w:t>
      </w:r>
      <w:r w:rsidR="00E65CB6" w:rsidRPr="004118AE">
        <w:t> </w:t>
      </w:r>
      <w:r w:rsidR="00AC5151" w:rsidRPr="004118AE">
        <w:t>conclu que l</w:t>
      </w:r>
      <w:r w:rsidR="00FF47D7" w:rsidRPr="004118AE">
        <w:t>’</w:t>
      </w:r>
      <w:r w:rsidR="00C96354" w:rsidRPr="004118AE">
        <w:t>office</w:t>
      </w:r>
      <w:r w:rsidR="00AC5151" w:rsidRPr="004118AE">
        <w:t xml:space="preserve"> </w:t>
      </w:r>
      <w:r w:rsidR="00070166" w:rsidRPr="004118AE">
        <w:t xml:space="preserve">aura </w:t>
      </w:r>
      <w:r w:rsidR="00E15981" w:rsidRPr="004118AE">
        <w:t>s</w:t>
      </w:r>
      <w:r w:rsidR="00070166" w:rsidRPr="004118AE">
        <w:t>atisf</w:t>
      </w:r>
      <w:r w:rsidR="00E15981" w:rsidRPr="004118AE">
        <w:t xml:space="preserve">ait aux exigences énoncées aux </w:t>
      </w:r>
      <w:r w:rsidR="005F3FE3" w:rsidRPr="004118AE">
        <w:t>règles 3</w:t>
      </w:r>
      <w:r w:rsidR="00E15981" w:rsidRPr="004118AE">
        <w:t>6 et 63</w:t>
      </w:r>
      <w:r w:rsidR="00AC5151" w:rsidRPr="004118AE">
        <w:t xml:space="preserve"> </w:t>
      </w:r>
      <w:r w:rsidR="00E15981" w:rsidRPr="004118AE">
        <w:t>du règlement d</w:t>
      </w:r>
      <w:r w:rsidR="00FF47D7" w:rsidRPr="004118AE">
        <w:t>’</w:t>
      </w:r>
      <w:r w:rsidR="00E15981" w:rsidRPr="004118AE">
        <w:t>exécution</w:t>
      </w:r>
      <w:r w:rsidR="005F3FE3" w:rsidRPr="004118AE">
        <w:t xml:space="preserve"> du PCT</w:t>
      </w:r>
      <w:r w:rsidR="00E15981" w:rsidRPr="004118AE">
        <w:t xml:space="preserve"> </w:t>
      </w:r>
      <w:r w:rsidR="00AC5151" w:rsidRPr="004118AE">
        <w:t xml:space="preserve">au moment </w:t>
      </w:r>
      <w:r w:rsidR="00FA3C39" w:rsidRPr="004118AE">
        <w:t xml:space="preserve">où </w:t>
      </w:r>
      <w:r w:rsidR="00AC5151" w:rsidRPr="004118AE">
        <w:t>l</w:t>
      </w:r>
      <w:r w:rsidR="00FF47D7" w:rsidRPr="004118AE">
        <w:t>’</w:t>
      </w:r>
      <w:r w:rsidR="00AC5151" w:rsidRPr="004118AE">
        <w:t>Assemblée</w:t>
      </w:r>
      <w:r w:rsidR="00FA3C39" w:rsidRPr="004118AE">
        <w:t xml:space="preserve"> se réunira</w:t>
      </w:r>
      <w:r w:rsidR="00AC5151" w:rsidRPr="004118AE">
        <w:t>.</w:t>
      </w:r>
    </w:p>
    <w:p w14:paraId="68927C36" w14:textId="68A61C0D" w:rsidR="005F3FE3" w:rsidRPr="004118AE" w:rsidRDefault="0037052C" w:rsidP="00DA07A9">
      <w:pPr>
        <w:pStyle w:val="ONUMFS"/>
        <w:numPr>
          <w:ilvl w:val="0"/>
          <w:numId w:val="0"/>
        </w:numPr>
      </w:pPr>
      <w:r w:rsidRPr="004118AE">
        <w:t xml:space="preserve">Le Comité est invité à examiner et à approuver </w:t>
      </w:r>
      <w:r w:rsidR="0046424F" w:rsidRPr="004118AE">
        <w:t xml:space="preserve">lors de </w:t>
      </w:r>
      <w:r w:rsidRPr="004118AE">
        <w:t>l</w:t>
      </w:r>
      <w:r w:rsidR="00FF47D7" w:rsidRPr="004118AE">
        <w:t>’</w:t>
      </w:r>
      <w:r w:rsidRPr="004118AE">
        <w:t>Assemblée de l</w:t>
      </w:r>
      <w:r w:rsidR="00FF47D7" w:rsidRPr="004118AE">
        <w:t>’</w:t>
      </w:r>
      <w:r w:rsidRPr="004118AE">
        <w:t>Union</w:t>
      </w:r>
      <w:r w:rsidR="005F3FE3" w:rsidRPr="004118AE">
        <w:t xml:space="preserve"> du PCT</w:t>
      </w:r>
      <w:r w:rsidRPr="004118AE">
        <w:t xml:space="preserve"> </w:t>
      </w:r>
      <w:r w:rsidR="008E355F" w:rsidRPr="004118AE">
        <w:t xml:space="preserve">la proposition de </w:t>
      </w:r>
      <w:r w:rsidRPr="004118AE">
        <w:t xml:space="preserve">nomination </w:t>
      </w:r>
      <w:r w:rsidR="008E355F" w:rsidRPr="004118AE">
        <w:t>de l</w:t>
      </w:r>
      <w:r w:rsidR="00FF47D7" w:rsidRPr="004118AE">
        <w:t>’</w:t>
      </w:r>
      <w:r w:rsidRPr="004118AE">
        <w:t>IPOPHL en qualité d</w:t>
      </w:r>
      <w:r w:rsidR="00FF47D7" w:rsidRPr="004118AE">
        <w:t>’</w:t>
      </w:r>
      <w:r w:rsidRPr="004118AE">
        <w:t>administration internationale.</w:t>
      </w:r>
    </w:p>
    <w:p w14:paraId="061E2945" w14:textId="593C335B" w:rsidR="00110FEA" w:rsidRDefault="004118AE" w:rsidP="00DA07A9">
      <w:pPr>
        <w:pStyle w:val="Heading1"/>
      </w:pPr>
      <w:r>
        <w:t>I.</w:t>
      </w:r>
      <w:r>
        <w:tab/>
      </w:r>
      <w:r w:rsidR="00666EDB" w:rsidRPr="004118AE">
        <w:t>L</w:t>
      </w:r>
      <w:r w:rsidR="00FF47D7" w:rsidRPr="004118AE">
        <w:t>’</w:t>
      </w:r>
      <w:r w:rsidR="00666EDB" w:rsidRPr="004118AE">
        <w:t>O</w:t>
      </w:r>
      <w:r w:rsidR="00C44A62" w:rsidRPr="004118AE">
        <w:t xml:space="preserve">ffice de la propriété intellectuelle des Philippines </w:t>
      </w:r>
      <w:r w:rsidR="00110FEA" w:rsidRPr="004118AE">
        <w:t>(IPOPHL)</w:t>
      </w:r>
    </w:p>
    <w:p w14:paraId="29534004" w14:textId="77777777" w:rsidR="004118AE" w:rsidRPr="004118AE" w:rsidRDefault="004118AE" w:rsidP="00DA07A9"/>
    <w:p w14:paraId="0A9A832F" w14:textId="78878373" w:rsidR="00A4537B" w:rsidRPr="004118AE" w:rsidRDefault="007B307B" w:rsidP="00DA07A9">
      <w:pPr>
        <w:pStyle w:val="ONUMFS"/>
        <w:numPr>
          <w:ilvl w:val="0"/>
          <w:numId w:val="34"/>
        </w:numPr>
      </w:pPr>
      <w:r w:rsidRPr="004118AE">
        <w:t>Le Plan de développement des Philippines (PDP) 2017</w:t>
      </w:r>
      <w:r w:rsidR="00BC3CD7">
        <w:noBreakHyphen/>
      </w:r>
      <w:r w:rsidRPr="004118AE">
        <w:t xml:space="preserve">2022 est un cadre national à moyen terme qui </w:t>
      </w:r>
      <w:r w:rsidR="00907B91" w:rsidRPr="004118AE">
        <w:t xml:space="preserve">jette </w:t>
      </w:r>
      <w:r w:rsidRPr="004118AE">
        <w:t>les bases solides d</w:t>
      </w:r>
      <w:r w:rsidR="00FF47D7" w:rsidRPr="004118AE">
        <w:t>’</w:t>
      </w:r>
      <w:r w:rsidRPr="004118AE">
        <w:t>une croissance inclusive, d</w:t>
      </w:r>
      <w:r w:rsidR="00FF47D7" w:rsidRPr="004118AE">
        <w:t>’</w:t>
      </w:r>
      <w:r w:rsidRPr="004118AE">
        <w:t xml:space="preserve">une société </w:t>
      </w:r>
      <w:r w:rsidR="00633034" w:rsidRPr="004118AE">
        <w:t xml:space="preserve">basée sur la </w:t>
      </w:r>
      <w:r w:rsidRPr="004118AE">
        <w:t>confiance et d</w:t>
      </w:r>
      <w:r w:rsidR="00FF47D7" w:rsidRPr="004118AE">
        <w:t>’</w:t>
      </w:r>
      <w:r w:rsidRPr="004118AE">
        <w:t xml:space="preserve">une économie </w:t>
      </w:r>
      <w:r w:rsidR="00907B91" w:rsidRPr="004118AE">
        <w:t xml:space="preserve">fondée sur le </w:t>
      </w:r>
      <w:r w:rsidRPr="004118AE">
        <w:t xml:space="preserve">savoir </w:t>
      </w:r>
      <w:r w:rsidR="00AA42FF" w:rsidRPr="004118AE">
        <w:t xml:space="preserve">et </w:t>
      </w:r>
      <w:r w:rsidR="00907B91" w:rsidRPr="004118AE">
        <w:t>compétitive</w:t>
      </w:r>
      <w:r w:rsidR="00D549AE" w:rsidRPr="004118AE">
        <w:t xml:space="preserve"> au niveau internation</w:t>
      </w:r>
      <w:r w:rsidR="006A33AF" w:rsidRPr="004118AE">
        <w:t>al.  Ce</w:t>
      </w:r>
      <w:r w:rsidR="0076386B" w:rsidRPr="004118AE">
        <w:t xml:space="preserve"> </w:t>
      </w:r>
      <w:r w:rsidR="00C96354" w:rsidRPr="004118AE">
        <w:t xml:space="preserve">plan </w:t>
      </w:r>
      <w:r w:rsidR="008D59A2" w:rsidRPr="004118AE">
        <w:t>met en évidence l</w:t>
      </w:r>
      <w:r w:rsidR="00175ECB" w:rsidRPr="004118AE">
        <w:t>e rôle essentiel de la science et de la technologie dans la réalisation de ce projet.</w:t>
      </w:r>
    </w:p>
    <w:p w14:paraId="044ED76F" w14:textId="15B7679D" w:rsidR="00110FEA" w:rsidRPr="004118AE" w:rsidRDefault="00AF6D4E" w:rsidP="00DA07A9">
      <w:pPr>
        <w:pStyle w:val="ONUMFS"/>
      </w:pPr>
      <w:r w:rsidRPr="004118AE">
        <w:t>L</w:t>
      </w:r>
      <w:r w:rsidR="00FF47D7" w:rsidRPr="004118AE">
        <w:t>’</w:t>
      </w:r>
      <w:r w:rsidRPr="004118AE">
        <w:t>une des composantes majeures</w:t>
      </w:r>
      <w:r w:rsidR="005F3FE3" w:rsidRPr="004118AE">
        <w:t xml:space="preserve"> du PDP</w:t>
      </w:r>
      <w:r w:rsidRPr="004118AE">
        <w:t xml:space="preserve"> </w:t>
      </w:r>
      <w:r w:rsidR="00792F86" w:rsidRPr="004118AE">
        <w:t xml:space="preserve">consiste en une </w:t>
      </w:r>
      <w:r w:rsidR="00E65CB6" w:rsidRPr="004118AE">
        <w:t>plateforme</w:t>
      </w:r>
      <w:r w:rsidR="00792F86" w:rsidRPr="004118AE">
        <w:t xml:space="preserve"> intégrée en matière de science, de technologie et d</w:t>
      </w:r>
      <w:r w:rsidR="00FF47D7" w:rsidRPr="004118AE">
        <w:t>’</w:t>
      </w:r>
      <w:r w:rsidRPr="004118AE">
        <w:t xml:space="preserve">innovation dans les </w:t>
      </w:r>
      <w:r w:rsidR="00AD3613" w:rsidRPr="004118AE">
        <w:t xml:space="preserve">différents </w:t>
      </w:r>
      <w:r w:rsidRPr="004118AE">
        <w:t>programmes nationaux et locaux de développement, axée sur le ren</w:t>
      </w:r>
      <w:r w:rsidR="00AD3613" w:rsidRPr="004118AE">
        <w:t>forcement et l</w:t>
      </w:r>
      <w:r w:rsidR="00FF47D7" w:rsidRPr="004118AE">
        <w:t>’</w:t>
      </w:r>
      <w:r w:rsidR="00AD3613" w:rsidRPr="004118AE">
        <w:t>amélioration des innovations scientifiques et technologiqu</w:t>
      </w:r>
      <w:r w:rsidR="006A33AF" w:rsidRPr="004118AE">
        <w:t>es.  La</w:t>
      </w:r>
      <w:r w:rsidR="008F0B8C" w:rsidRPr="004118AE">
        <w:t xml:space="preserve"> protection des droits d</w:t>
      </w:r>
      <w:r w:rsidR="00A316D4" w:rsidRPr="004118AE">
        <w:t>e propriété intellectuelle</w:t>
      </w:r>
      <w:r w:rsidR="008F0B8C" w:rsidRPr="004118AE">
        <w:t xml:space="preserve"> est essentielle et le système de la propriété intellectuelle doit </w:t>
      </w:r>
      <w:r w:rsidR="00C96354">
        <w:t xml:space="preserve">viser </w:t>
      </w:r>
      <w:r w:rsidR="008F0B8C" w:rsidRPr="004118AE">
        <w:t>à ce que l</w:t>
      </w:r>
      <w:r w:rsidR="007D51E6" w:rsidRPr="004118AE">
        <w:t>a circulation d</w:t>
      </w:r>
      <w:r w:rsidR="008F0B8C" w:rsidRPr="004118AE">
        <w:t>es connaissances soit facilit</w:t>
      </w:r>
      <w:r w:rsidR="006A33AF" w:rsidRPr="004118AE">
        <w:t>ée.  Le</w:t>
      </w:r>
      <w:r w:rsidR="008F0B8C" w:rsidRPr="004118AE">
        <w:t xml:space="preserve"> développement des réseaux et des ma</w:t>
      </w:r>
      <w:r w:rsidR="007D51E6" w:rsidRPr="004118AE">
        <w:t>rchés permettra une création et une</w:t>
      </w:r>
      <w:r w:rsidR="008F0B8C" w:rsidRPr="004118AE">
        <w:t xml:space="preserve"> diffusion efficaces de</w:t>
      </w:r>
      <w:r w:rsidR="006A193D" w:rsidRPr="004118AE">
        <w:t xml:space="preserve"> ce</w:t>
      </w:r>
      <w:r w:rsidR="008F0B8C" w:rsidRPr="004118AE">
        <w:t>s connaissanc</w:t>
      </w:r>
      <w:r w:rsidR="006A33AF" w:rsidRPr="004118AE">
        <w:t>es.  Il</w:t>
      </w:r>
      <w:r w:rsidR="00D55013" w:rsidRPr="004118AE">
        <w:t xml:space="preserve"> est tout aussi important de renforcer l</w:t>
      </w:r>
      <w:r w:rsidR="00FF47D7" w:rsidRPr="004118AE">
        <w:t>’</w:t>
      </w:r>
      <w:r w:rsidR="00D55013" w:rsidRPr="004118AE">
        <w:t xml:space="preserve">environnement politique et réglementaire qui </w:t>
      </w:r>
      <w:r w:rsidR="00594C71" w:rsidRPr="004118AE">
        <w:t xml:space="preserve">permet de maîtriser </w:t>
      </w:r>
      <w:r w:rsidR="00D55013" w:rsidRPr="004118AE">
        <w:t>les risques liés à l</w:t>
      </w:r>
      <w:r w:rsidR="00FF47D7" w:rsidRPr="004118AE">
        <w:t>’</w:t>
      </w:r>
      <w:r w:rsidR="00D55013" w:rsidRPr="004118AE">
        <w:t xml:space="preserve">innovation et </w:t>
      </w:r>
      <w:r w:rsidR="00594C71" w:rsidRPr="004118AE">
        <w:t xml:space="preserve">autorise </w:t>
      </w:r>
      <w:r w:rsidR="00D55013" w:rsidRPr="004118AE">
        <w:t xml:space="preserve">un développement </w:t>
      </w:r>
      <w:r w:rsidR="00594C71" w:rsidRPr="004118AE">
        <w:t>rationnel</w:t>
      </w:r>
      <w:r w:rsidR="00D55013" w:rsidRPr="004118AE">
        <w:t xml:space="preserve"> des technologies.</w:t>
      </w:r>
    </w:p>
    <w:p w14:paraId="5FAB7598" w14:textId="5C07249F" w:rsidR="001647E2" w:rsidRPr="004118AE" w:rsidRDefault="00A64BA0" w:rsidP="00DA07A9">
      <w:pPr>
        <w:pStyle w:val="ONUMFS"/>
      </w:pPr>
      <w:r w:rsidRPr="004118AE">
        <w:t>L</w:t>
      </w:r>
      <w:r w:rsidR="00FF47D7" w:rsidRPr="004118AE">
        <w:t>’</w:t>
      </w:r>
      <w:r w:rsidRPr="004118AE">
        <w:t>importance de la propriété intellectuelle est bien ancrée aux Philippin</w:t>
      </w:r>
      <w:r w:rsidR="006A33AF" w:rsidRPr="004118AE">
        <w:t>es.  La</w:t>
      </w:r>
      <w:r w:rsidRPr="004118AE">
        <w:t xml:space="preserve"> Constitution philippine </w:t>
      </w:r>
      <w:r w:rsidR="005F3FE3" w:rsidRPr="004118AE">
        <w:t>de 1987</w:t>
      </w:r>
      <w:r w:rsidR="0016513C" w:rsidRPr="004118AE">
        <w:t xml:space="preserve"> reconnaît même </w:t>
      </w:r>
      <w:r w:rsidR="00030715" w:rsidRPr="004118AE">
        <w:t>le rôle essentiel de la science et de la technologie dans le développement et les progrès nationa</w:t>
      </w:r>
      <w:r w:rsidR="006A33AF" w:rsidRPr="004118AE">
        <w:t>ux.  El</w:t>
      </w:r>
      <w:r w:rsidR="004C7BE6" w:rsidRPr="004118AE">
        <w:t>le</w:t>
      </w:r>
      <w:r w:rsidRPr="004118AE">
        <w:t xml:space="preserve"> </w:t>
      </w:r>
      <w:r w:rsidR="009C2F3C" w:rsidRPr="004118AE">
        <w:t>prévoit</w:t>
      </w:r>
      <w:r w:rsidR="004C7BE6" w:rsidRPr="004118AE">
        <w:t xml:space="preserve"> </w:t>
      </w:r>
      <w:r w:rsidRPr="004118AE">
        <w:t>que l</w:t>
      </w:r>
      <w:r w:rsidR="00FF47D7" w:rsidRPr="004118AE">
        <w:t>’</w:t>
      </w:r>
      <w:r w:rsidR="004C7BE6" w:rsidRPr="004118AE">
        <w:t>État</w:t>
      </w:r>
      <w:r w:rsidRPr="004118AE">
        <w:t xml:space="preserve"> </w:t>
      </w:r>
      <w:r w:rsidR="004C7BE6" w:rsidRPr="004118AE">
        <w:t xml:space="preserve">doit </w:t>
      </w:r>
      <w:r w:rsidRPr="004118AE">
        <w:t>accorder la priorité à la recherche</w:t>
      </w:r>
      <w:r w:rsidR="00BC3CD7">
        <w:noBreakHyphen/>
      </w:r>
      <w:r w:rsidRPr="004118AE">
        <w:t>développement, à l</w:t>
      </w:r>
      <w:r w:rsidR="00FF47D7" w:rsidRPr="004118AE">
        <w:t>’</w:t>
      </w:r>
      <w:r w:rsidRPr="004118AE">
        <w:t>invention, à l</w:t>
      </w:r>
      <w:r w:rsidR="00FF47D7" w:rsidRPr="004118AE">
        <w:t>’</w:t>
      </w:r>
      <w:r w:rsidRPr="004118AE">
        <w:t xml:space="preserve">innovation </w:t>
      </w:r>
      <w:r w:rsidR="004C7BE6" w:rsidRPr="004118AE">
        <w:t xml:space="preserve">et </w:t>
      </w:r>
      <w:r w:rsidRPr="004118AE">
        <w:t xml:space="preserve">à leur </w:t>
      </w:r>
      <w:r w:rsidR="00912FBE" w:rsidRPr="004118AE">
        <w:t>exploitation</w:t>
      </w:r>
      <w:r w:rsidR="004C7BE6" w:rsidRPr="004118AE">
        <w:t>, ainsi qu</w:t>
      </w:r>
      <w:r w:rsidR="00FF47D7" w:rsidRPr="004118AE">
        <w:t>’</w:t>
      </w:r>
      <w:r w:rsidR="004C7BE6" w:rsidRPr="004118AE">
        <w:t>à l</w:t>
      </w:r>
      <w:r w:rsidR="00FF47D7" w:rsidRPr="004118AE">
        <w:t>’</w:t>
      </w:r>
      <w:r w:rsidR="004C7BE6" w:rsidRPr="004118AE">
        <w:t>enseignement, à la formation et aux services scientifiques et technologiqu</w:t>
      </w:r>
      <w:r w:rsidR="006A33AF" w:rsidRPr="004118AE">
        <w:t>es.  Il</w:t>
      </w:r>
      <w:r w:rsidR="00037D02" w:rsidRPr="004118AE">
        <w:t xml:space="preserve"> doit </w:t>
      </w:r>
      <w:r w:rsidR="009C2F3C" w:rsidRPr="004118AE">
        <w:t>favoriser</w:t>
      </w:r>
      <w:r w:rsidR="00037D02" w:rsidRPr="004118AE">
        <w:t xml:space="preserve"> les </w:t>
      </w:r>
      <w:r w:rsidR="009C2F3C" w:rsidRPr="004118AE">
        <w:t xml:space="preserve">potentiels </w:t>
      </w:r>
      <w:r w:rsidR="00037D02" w:rsidRPr="004118AE">
        <w:t xml:space="preserve">scientifiques et technologiques autochtones, </w:t>
      </w:r>
      <w:r w:rsidR="0016513C" w:rsidRPr="004118AE">
        <w:t>pertinent</w:t>
      </w:r>
      <w:r w:rsidR="00391FD1" w:rsidRPr="004118AE">
        <w:t>s</w:t>
      </w:r>
      <w:r w:rsidR="00037D02" w:rsidRPr="004118AE">
        <w:t xml:space="preserve"> et autonomes, et leur application à la vie productive et nationale du pays.</w:t>
      </w:r>
    </w:p>
    <w:p w14:paraId="54C40402" w14:textId="50B8070E" w:rsidR="005F3FE3" w:rsidRPr="004118AE" w:rsidRDefault="00030715" w:rsidP="00DA07A9">
      <w:pPr>
        <w:pStyle w:val="ONUMFS"/>
      </w:pPr>
      <w:r w:rsidRPr="004118AE">
        <w:t>En outre, l</w:t>
      </w:r>
      <w:r w:rsidR="00FF47D7" w:rsidRPr="004118AE">
        <w:t>’</w:t>
      </w:r>
      <w:r w:rsidRPr="004118AE">
        <w:t>État reconnaît qu</w:t>
      </w:r>
      <w:r w:rsidR="00FF47D7" w:rsidRPr="004118AE">
        <w:t>’</w:t>
      </w:r>
      <w:r w:rsidRPr="004118AE">
        <w:t xml:space="preserve">un </w:t>
      </w:r>
      <w:r w:rsidR="009516F3" w:rsidRPr="004118AE">
        <w:t xml:space="preserve">système de propriété intellectuelle et industrielle efficace </w:t>
      </w:r>
      <w:r w:rsidRPr="004118AE">
        <w:t xml:space="preserve">est </w:t>
      </w:r>
      <w:r w:rsidR="00E376D8" w:rsidRPr="004118AE">
        <w:t xml:space="preserve">indispensable </w:t>
      </w:r>
      <w:r w:rsidRPr="004118AE">
        <w:t>au développement de l</w:t>
      </w:r>
      <w:r w:rsidR="00FF47D7" w:rsidRPr="004118AE">
        <w:t>’</w:t>
      </w:r>
      <w:r w:rsidRPr="004118AE">
        <w:t xml:space="preserve">activité </w:t>
      </w:r>
      <w:r w:rsidR="009516F3" w:rsidRPr="004118AE">
        <w:t xml:space="preserve">créative </w:t>
      </w:r>
      <w:r w:rsidRPr="004118AE">
        <w:t xml:space="preserve">nationale, </w:t>
      </w:r>
      <w:r w:rsidR="009516F3" w:rsidRPr="004118AE">
        <w:t>qu</w:t>
      </w:r>
      <w:r w:rsidR="00FF47D7" w:rsidRPr="004118AE">
        <w:t>’</w:t>
      </w:r>
      <w:r w:rsidR="009516F3" w:rsidRPr="004118AE">
        <w:t xml:space="preserve">il </w:t>
      </w:r>
      <w:r w:rsidRPr="004118AE">
        <w:t>facilite le transfert de technologie</w:t>
      </w:r>
      <w:r w:rsidR="009516F3" w:rsidRPr="004118AE">
        <w:t>s</w:t>
      </w:r>
      <w:r w:rsidRPr="004118AE">
        <w:t xml:space="preserve">, attire les investissements étrangers et garantit </w:t>
      </w:r>
      <w:r w:rsidR="006E34FD" w:rsidRPr="004118AE">
        <w:t xml:space="preserve">la mise sur le marché de </w:t>
      </w:r>
      <w:r w:rsidR="009516F3" w:rsidRPr="004118AE">
        <w:t>produits philippi</w:t>
      </w:r>
      <w:r w:rsidR="006A33AF" w:rsidRPr="004118AE">
        <w:t>ns.  Il</w:t>
      </w:r>
      <w:r w:rsidR="00F9412E" w:rsidRPr="004118AE">
        <w:t xml:space="preserve"> doit protéger et garantir </w:t>
      </w:r>
      <w:r w:rsidR="00931AC5" w:rsidRPr="004118AE">
        <w:t xml:space="preserve">aux </w:t>
      </w:r>
      <w:r w:rsidR="00F9412E" w:rsidRPr="004118AE">
        <w:t xml:space="preserve">scientifiques, inventeurs, artistes et autres citoyens doués </w:t>
      </w:r>
      <w:r w:rsidR="00931AC5" w:rsidRPr="004118AE">
        <w:t xml:space="preserve">les droits exclusifs sur </w:t>
      </w:r>
      <w:r w:rsidR="00F9412E" w:rsidRPr="004118AE">
        <w:t>leur propriété intellectuelle et leurs c</w:t>
      </w:r>
      <w:r w:rsidR="00931AC5" w:rsidRPr="004118AE">
        <w:t>réations, en particulier lorsque celles</w:t>
      </w:r>
      <w:r w:rsidR="00BC3CD7">
        <w:noBreakHyphen/>
      </w:r>
      <w:r w:rsidR="00931AC5" w:rsidRPr="004118AE">
        <w:t xml:space="preserve">ci </w:t>
      </w:r>
      <w:r w:rsidR="00F9412E" w:rsidRPr="004118AE">
        <w:t>sont bénéfiques pour le peuple.</w:t>
      </w:r>
    </w:p>
    <w:p w14:paraId="23FB17C1" w14:textId="4CB5DD8B" w:rsidR="005F3FE3" w:rsidRPr="004118AE" w:rsidRDefault="00422903" w:rsidP="00DA07A9">
      <w:pPr>
        <w:pStyle w:val="ONUMFS"/>
        <w:rPr>
          <w:bCs/>
          <w:iCs/>
        </w:rPr>
      </w:pPr>
      <w:r w:rsidRPr="004118AE">
        <w:lastRenderedPageBreak/>
        <w:t>L</w:t>
      </w:r>
      <w:r w:rsidR="00FF47D7" w:rsidRPr="004118AE">
        <w:t>’</w:t>
      </w:r>
      <w:r w:rsidRPr="004118AE">
        <w:t xml:space="preserve">IPOPHL a été créé pour administrer et mettre en œuvre les politiques </w:t>
      </w:r>
      <w:r w:rsidR="00F75A36" w:rsidRPr="004118AE">
        <w:t xml:space="preserve">définies par </w:t>
      </w:r>
      <w:r w:rsidRPr="004118AE">
        <w:t>l</w:t>
      </w:r>
      <w:r w:rsidR="00FF47D7" w:rsidRPr="004118AE">
        <w:t>’</w:t>
      </w:r>
      <w:r w:rsidRPr="004118AE">
        <w:t xml:space="preserve">État </w:t>
      </w:r>
      <w:r w:rsidR="00F75A36" w:rsidRPr="004118AE">
        <w:t xml:space="preserve">en matière de </w:t>
      </w:r>
      <w:r w:rsidRPr="004118AE">
        <w:t>propriété intellectuelle</w:t>
      </w:r>
      <w:r w:rsidR="00691B87" w:rsidRPr="004118AE">
        <w:t xml:space="preserve">.  </w:t>
      </w:r>
      <w:r w:rsidR="000C6164" w:rsidRPr="004118AE">
        <w:t>L</w:t>
      </w:r>
      <w:r w:rsidR="00FF47D7" w:rsidRPr="004118AE">
        <w:t>’</w:t>
      </w:r>
      <w:r w:rsidR="000C6164" w:rsidRPr="004118AE">
        <w:t>IPOPHL agit non seulement en tant qu</w:t>
      </w:r>
      <w:r w:rsidR="00FF47D7" w:rsidRPr="004118AE">
        <w:t>’</w:t>
      </w:r>
      <w:r w:rsidR="000C6164" w:rsidRPr="004118AE">
        <w:t xml:space="preserve">organisme gouvernemental de réglementation et </w:t>
      </w:r>
      <w:r w:rsidR="00BD7A96" w:rsidRPr="004118AE">
        <w:t>d</w:t>
      </w:r>
      <w:r w:rsidR="00FF47D7" w:rsidRPr="004118AE">
        <w:t>’</w:t>
      </w:r>
      <w:r w:rsidR="00BD7A96" w:rsidRPr="004118AE">
        <w:t>administration</w:t>
      </w:r>
      <w:r w:rsidR="000C6164" w:rsidRPr="004118AE">
        <w:t>, mais joue également un rôle de développement auprès des milieux universi</w:t>
      </w:r>
      <w:r w:rsidR="00C01F95" w:rsidRPr="004118AE">
        <w:t xml:space="preserve">taires, des industries, </w:t>
      </w:r>
      <w:r w:rsidR="000C6164" w:rsidRPr="004118AE">
        <w:t xml:space="preserve">des </w:t>
      </w:r>
      <w:r w:rsidR="00C01F95" w:rsidRPr="004118AE">
        <w:t xml:space="preserve">spécialistes </w:t>
      </w:r>
      <w:r w:rsidR="000C6164" w:rsidRPr="004118AE">
        <w:t xml:space="preserve">de la propriété intellectuelle </w:t>
      </w:r>
      <w:r w:rsidR="00C01F95" w:rsidRPr="004118AE">
        <w:t xml:space="preserve">ainsi que </w:t>
      </w:r>
      <w:r w:rsidR="000C6164" w:rsidRPr="004118AE">
        <w:t>d</w:t>
      </w:r>
      <w:r w:rsidR="00FF47D7" w:rsidRPr="004118AE">
        <w:t>’</w:t>
      </w:r>
      <w:r w:rsidR="000C6164" w:rsidRPr="004118AE">
        <w:t xml:space="preserve">autres </w:t>
      </w:r>
      <w:r w:rsidR="00C01F95" w:rsidRPr="004118AE">
        <w:t>organismes gouvernementaux et parties prenantes</w:t>
      </w:r>
      <w:r w:rsidR="000C6164" w:rsidRPr="004118AE">
        <w:t>.</w:t>
      </w:r>
      <w:r w:rsidR="005B4EDE" w:rsidRPr="004118AE">
        <w:t xml:space="preserve">  </w:t>
      </w:r>
      <w:r w:rsidR="00691B87" w:rsidRPr="004118AE">
        <w:rPr>
          <w:bCs/>
          <w:iCs/>
        </w:rPr>
        <w:t>L</w:t>
      </w:r>
      <w:r w:rsidR="00FF47D7" w:rsidRPr="004118AE">
        <w:rPr>
          <w:bCs/>
          <w:iCs/>
        </w:rPr>
        <w:t>’</w:t>
      </w:r>
      <w:r w:rsidR="00691B87" w:rsidRPr="004118AE">
        <w:rPr>
          <w:bCs/>
          <w:iCs/>
        </w:rPr>
        <w:t xml:space="preserve">IPOPHL est une organisation gouvernementale </w:t>
      </w:r>
      <w:r w:rsidR="007A7152" w:rsidRPr="004118AE">
        <w:rPr>
          <w:bCs/>
          <w:iCs/>
        </w:rPr>
        <w:t xml:space="preserve">fondée </w:t>
      </w:r>
      <w:r w:rsidR="00691B87" w:rsidRPr="004118AE">
        <w:rPr>
          <w:bCs/>
          <w:iCs/>
        </w:rPr>
        <w:t xml:space="preserve">sur </w:t>
      </w:r>
      <w:r w:rsidR="002A19B2" w:rsidRPr="004118AE">
        <w:rPr>
          <w:bCs/>
          <w:iCs/>
        </w:rPr>
        <w:t>le savoir</w:t>
      </w:r>
      <w:r w:rsidR="00691B87" w:rsidRPr="004118AE">
        <w:rPr>
          <w:bCs/>
          <w:iCs/>
        </w:rPr>
        <w:t xml:space="preserve"> qui </w:t>
      </w:r>
      <w:r w:rsidR="00E65CB6" w:rsidRPr="004118AE">
        <w:rPr>
          <w:bCs/>
          <w:iCs/>
        </w:rPr>
        <w:t>“</w:t>
      </w:r>
      <w:r w:rsidR="00416165" w:rsidRPr="004118AE">
        <w:rPr>
          <w:bCs/>
          <w:i/>
          <w:iCs/>
        </w:rPr>
        <w:t>œuvre au</w:t>
      </w:r>
      <w:r w:rsidR="00416165" w:rsidRPr="004118AE">
        <w:rPr>
          <w:bCs/>
          <w:iCs/>
        </w:rPr>
        <w:t xml:space="preserve"> </w:t>
      </w:r>
      <w:r w:rsidR="00691B87" w:rsidRPr="004118AE">
        <w:rPr>
          <w:bCs/>
          <w:i/>
          <w:iCs/>
        </w:rPr>
        <w:t>développement économique, technologique et socioculturel en co</w:t>
      </w:r>
      <w:r w:rsidR="00723E55" w:rsidRPr="004118AE">
        <w:rPr>
          <w:bCs/>
          <w:i/>
          <w:iCs/>
        </w:rPr>
        <w:t xml:space="preserve">mmuniquant, permettant et </w:t>
      </w:r>
      <w:r w:rsidR="00691B87" w:rsidRPr="004118AE">
        <w:rPr>
          <w:bCs/>
          <w:i/>
          <w:iCs/>
        </w:rPr>
        <w:t>assurant l</w:t>
      </w:r>
      <w:r w:rsidR="00FF47D7" w:rsidRPr="004118AE">
        <w:rPr>
          <w:bCs/>
          <w:i/>
          <w:iCs/>
        </w:rPr>
        <w:t>’</w:t>
      </w:r>
      <w:r w:rsidR="00691B87" w:rsidRPr="004118AE">
        <w:rPr>
          <w:bCs/>
          <w:i/>
          <w:iCs/>
        </w:rPr>
        <w:t xml:space="preserve">utilisation efficace du système de </w:t>
      </w:r>
      <w:r w:rsidR="008F0AF6" w:rsidRPr="004118AE">
        <w:rPr>
          <w:bCs/>
          <w:i/>
          <w:iCs/>
        </w:rPr>
        <w:t xml:space="preserve">la </w:t>
      </w:r>
      <w:r w:rsidR="00691B87" w:rsidRPr="004118AE">
        <w:rPr>
          <w:bCs/>
          <w:i/>
          <w:iCs/>
        </w:rPr>
        <w:t>propriété intellectuelle à tous les niveaux de la société pour la création, la protection, l</w:t>
      </w:r>
      <w:r w:rsidR="00FF47D7" w:rsidRPr="004118AE">
        <w:rPr>
          <w:bCs/>
          <w:i/>
          <w:iCs/>
        </w:rPr>
        <w:t>’</w:t>
      </w:r>
      <w:r w:rsidR="00F279B7" w:rsidRPr="004118AE">
        <w:rPr>
          <w:bCs/>
          <w:i/>
          <w:iCs/>
        </w:rPr>
        <w:t xml:space="preserve">exploitation </w:t>
      </w:r>
      <w:r w:rsidR="00691B87" w:rsidRPr="004118AE">
        <w:rPr>
          <w:bCs/>
          <w:i/>
          <w:iCs/>
        </w:rPr>
        <w:t>et l</w:t>
      </w:r>
      <w:r w:rsidR="00FF47D7" w:rsidRPr="004118AE">
        <w:rPr>
          <w:bCs/>
          <w:i/>
          <w:iCs/>
        </w:rPr>
        <w:t>’</w:t>
      </w:r>
      <w:r w:rsidR="00691B87" w:rsidRPr="004118AE">
        <w:rPr>
          <w:bCs/>
          <w:i/>
          <w:iCs/>
        </w:rPr>
        <w:t xml:space="preserve">application </w:t>
      </w:r>
      <w:r w:rsidR="001648D0" w:rsidRPr="004118AE">
        <w:rPr>
          <w:bCs/>
          <w:i/>
          <w:iCs/>
        </w:rPr>
        <w:t xml:space="preserve">des droits de </w:t>
      </w:r>
      <w:r w:rsidR="00691B87" w:rsidRPr="004118AE">
        <w:rPr>
          <w:bCs/>
          <w:i/>
          <w:iCs/>
        </w:rPr>
        <w:t>propriété intellectuelle</w:t>
      </w:r>
      <w:r w:rsidR="00E65CB6" w:rsidRPr="004118AE">
        <w:rPr>
          <w:bCs/>
          <w:iCs/>
        </w:rPr>
        <w:t>”</w:t>
      </w:r>
      <w:r w:rsidR="00691B87" w:rsidRPr="004118AE">
        <w:rPr>
          <w:bCs/>
          <w:iCs/>
        </w:rPr>
        <w:t>.</w:t>
      </w:r>
    </w:p>
    <w:p w14:paraId="0CB1A496" w14:textId="321FAAE2" w:rsidR="001647E2" w:rsidRDefault="00AC48BD" w:rsidP="00DA07A9">
      <w:pPr>
        <w:pStyle w:val="Heading1"/>
      </w:pPr>
      <w:r w:rsidRPr="004118AE">
        <w:t>II.</w:t>
      </w:r>
      <w:r w:rsidR="00C44A62">
        <w:tab/>
      </w:r>
      <w:r w:rsidRPr="004118AE">
        <w:t>L</w:t>
      </w:r>
      <w:r w:rsidR="00FF47D7" w:rsidRPr="004118AE">
        <w:t>’</w:t>
      </w:r>
      <w:r w:rsidRPr="004118AE">
        <w:t>O</w:t>
      </w:r>
      <w:r w:rsidR="00C44A62" w:rsidRPr="004118AE">
        <w:t xml:space="preserve">ffice de la propriété intellectuelle des Philippines (IPOPHL) dans le système du </w:t>
      </w:r>
      <w:r w:rsidRPr="004118AE">
        <w:t>pct</w:t>
      </w:r>
    </w:p>
    <w:p w14:paraId="758B1893" w14:textId="77777777" w:rsidR="00C44A62" w:rsidRPr="00C44A62" w:rsidRDefault="00C44A62" w:rsidP="00DA07A9"/>
    <w:p w14:paraId="1603B8AE" w14:textId="6C49B0D7" w:rsidR="001647E2" w:rsidRPr="004118AE" w:rsidRDefault="006F17AA" w:rsidP="00DA07A9">
      <w:pPr>
        <w:pStyle w:val="ONUMFS"/>
      </w:pPr>
      <w:r w:rsidRPr="004118AE">
        <w:t>Les Philippines sont un partenaire de confiance dans le système international des breve</w:t>
      </w:r>
      <w:r w:rsidR="006A33AF" w:rsidRPr="004118AE">
        <w:t>ts.  Le</w:t>
      </w:r>
      <w:r w:rsidR="00354E42" w:rsidRPr="004118AE">
        <w:t>ur</w:t>
      </w:r>
      <w:r w:rsidRPr="004118AE">
        <w:t xml:space="preserve"> système indépendant des brevets </w:t>
      </w:r>
      <w:r w:rsidR="00354E42" w:rsidRPr="004118AE">
        <w:t xml:space="preserve">a été créé </w:t>
      </w:r>
      <w:r w:rsidR="005F3FE3" w:rsidRPr="004118AE">
        <w:t>en 1947</w:t>
      </w:r>
      <w:r w:rsidR="00354E42" w:rsidRPr="004118AE">
        <w:t xml:space="preserve"> et</w:t>
      </w:r>
      <w:r w:rsidRPr="004118AE">
        <w:t xml:space="preserve"> </w:t>
      </w:r>
      <w:r w:rsidR="00354E42" w:rsidRPr="004118AE">
        <w:t>c</w:t>
      </w:r>
      <w:r w:rsidR="00FF47D7" w:rsidRPr="004118AE">
        <w:t>’</w:t>
      </w:r>
      <w:r w:rsidR="00354E42" w:rsidRPr="004118AE">
        <w:t xml:space="preserve">est ainsi que </w:t>
      </w:r>
      <w:r w:rsidRPr="004118AE">
        <w:t>l</w:t>
      </w:r>
      <w:r w:rsidR="00FF47D7" w:rsidRPr="004118AE">
        <w:t>’</w:t>
      </w:r>
      <w:r w:rsidRPr="004118AE">
        <w:t xml:space="preserve">IPOPHL </w:t>
      </w:r>
      <w:r w:rsidR="00354E42" w:rsidRPr="004118AE">
        <w:t>s</w:t>
      </w:r>
      <w:r w:rsidR="00FF47D7" w:rsidRPr="004118AE">
        <w:t>’</w:t>
      </w:r>
      <w:r w:rsidR="00354E42" w:rsidRPr="004118AE">
        <w:t xml:space="preserve">est forgé une </w:t>
      </w:r>
      <w:r w:rsidRPr="004118AE">
        <w:t xml:space="preserve">vaste expérience </w:t>
      </w:r>
      <w:r w:rsidR="00354E42" w:rsidRPr="004118AE">
        <w:t>de près de 70</w:t>
      </w:r>
      <w:r w:rsidR="006A33AF" w:rsidRPr="004118AE">
        <w:t> </w:t>
      </w:r>
      <w:r w:rsidR="00354E42" w:rsidRPr="004118AE">
        <w:t>ans dans le domaine de la recherche et de l</w:t>
      </w:r>
      <w:r w:rsidR="00FF47D7" w:rsidRPr="004118AE">
        <w:t>’</w:t>
      </w:r>
      <w:r w:rsidR="00354E42" w:rsidRPr="004118AE">
        <w:t xml:space="preserve">examen </w:t>
      </w:r>
      <w:r w:rsidR="00270C92" w:rsidRPr="004118AE">
        <w:t xml:space="preserve">quant au </w:t>
      </w:r>
      <w:r w:rsidR="00B95202" w:rsidRPr="004118AE">
        <w:t>fo</w:t>
      </w:r>
      <w:r w:rsidR="006A33AF" w:rsidRPr="004118AE">
        <w:t>nd.  Ce</w:t>
      </w:r>
      <w:r w:rsidR="007D3046" w:rsidRPr="004118AE">
        <w:t>la confère à l</w:t>
      </w:r>
      <w:r w:rsidR="00FF47D7" w:rsidRPr="004118AE">
        <w:t>’</w:t>
      </w:r>
      <w:r w:rsidR="007D3046" w:rsidRPr="004118AE">
        <w:t>IPOPHL un net avantage dans la région.</w:t>
      </w:r>
    </w:p>
    <w:p w14:paraId="27D0A8CE" w14:textId="1CC2CF53" w:rsidR="001647E2" w:rsidRPr="004118AE" w:rsidRDefault="001F4B9F" w:rsidP="00DA07A9">
      <w:pPr>
        <w:pStyle w:val="ONUMFS"/>
      </w:pPr>
      <w:r w:rsidRPr="004118AE">
        <w:t>L</w:t>
      </w:r>
      <w:r w:rsidR="00FF47D7" w:rsidRPr="004118AE">
        <w:t>’</w:t>
      </w:r>
      <w:r w:rsidRPr="004118AE">
        <w:t>économie philippine a connu une croissance constante à un taux annuel moyen de 6</w:t>
      </w:r>
      <w:r w:rsidR="00E65CB6" w:rsidRPr="004118AE">
        <w:t>%</w:t>
      </w:r>
      <w:r w:rsidRPr="004118AE">
        <w:t xml:space="preserve"> au </w:t>
      </w:r>
      <w:r w:rsidR="000B4AB5" w:rsidRPr="004118AE">
        <w:t>cours des cinq</w:t>
      </w:r>
      <w:r w:rsidR="00E65CB6" w:rsidRPr="004118AE">
        <w:t> </w:t>
      </w:r>
      <w:r w:rsidR="000B4AB5" w:rsidRPr="004118AE">
        <w:t>dernières anné</w:t>
      </w:r>
      <w:r w:rsidR="006A33AF" w:rsidRPr="004118AE">
        <w:t>es.  En</w:t>
      </w:r>
      <w:r w:rsidR="005F3FE3" w:rsidRPr="004118AE">
        <w:t> 2016</w:t>
      </w:r>
      <w:r w:rsidR="007A0848" w:rsidRPr="004118AE">
        <w:t xml:space="preserve">, </w:t>
      </w:r>
      <w:r w:rsidR="00947F5F" w:rsidRPr="004118AE">
        <w:t xml:space="preserve">avec un taux de croissance de 6,8%, </w:t>
      </w:r>
      <w:r w:rsidR="007A0848" w:rsidRPr="004118AE">
        <w:t xml:space="preserve">les Philippines figuraient parmi les économies </w:t>
      </w:r>
      <w:r w:rsidR="00947F5F" w:rsidRPr="004118AE">
        <w:t xml:space="preserve">ayant connu </w:t>
      </w:r>
      <w:r w:rsidR="007A0848" w:rsidRPr="004118AE">
        <w:t>la croissance la plus rapide dans la région de</w:t>
      </w:r>
      <w:r w:rsidR="001D454E" w:rsidRPr="004118AE">
        <w:t xml:space="preserve"> l</w:t>
      </w:r>
      <w:r w:rsidR="00FF47D7" w:rsidRPr="004118AE">
        <w:t>’</w:t>
      </w:r>
      <w:r w:rsidR="001D454E" w:rsidRPr="004118AE">
        <w:t>Association des nations de l</w:t>
      </w:r>
      <w:r w:rsidR="00FF47D7" w:rsidRPr="004118AE">
        <w:t>’</w:t>
      </w:r>
      <w:r w:rsidR="001D454E" w:rsidRPr="004118AE">
        <w:t>Asie du Sud</w:t>
      </w:r>
      <w:r w:rsidR="00BC3CD7">
        <w:noBreakHyphen/>
      </w:r>
      <w:r w:rsidR="001D454E" w:rsidRPr="004118AE">
        <w:t>Est (ASEAN).</w:t>
      </w:r>
      <w:r w:rsidR="001647E2" w:rsidRPr="004118AE">
        <w:t xml:space="preserve"> </w:t>
      </w:r>
      <w:r w:rsidR="000E2CA1" w:rsidRPr="004118AE">
        <w:t xml:space="preserve"> </w:t>
      </w:r>
      <w:r w:rsidR="000B4AB5" w:rsidRPr="004118AE">
        <w:t>L</w:t>
      </w:r>
      <w:r w:rsidR="00C96354">
        <w:t xml:space="preserve">a croissance économique </w:t>
      </w:r>
      <w:r w:rsidR="000B4AB5" w:rsidRPr="004118AE">
        <w:t>philippine</w:t>
      </w:r>
      <w:r w:rsidR="00C96354">
        <w:t>,</w:t>
      </w:r>
      <w:r w:rsidR="000B4AB5" w:rsidRPr="004118AE">
        <w:t xml:space="preserve"> </w:t>
      </w:r>
      <w:r w:rsidR="00C96354">
        <w:t xml:space="preserve">qui </w:t>
      </w:r>
      <w:r w:rsidR="000B4AB5" w:rsidRPr="004118AE">
        <w:t>devrait augmenter de plus de 6</w:t>
      </w:r>
      <w:r w:rsidR="00E65CB6" w:rsidRPr="004118AE">
        <w:t>%</w:t>
      </w:r>
      <w:r w:rsidR="000B4AB5" w:rsidRPr="004118AE">
        <w:t xml:space="preserve"> jusqu</w:t>
      </w:r>
      <w:r w:rsidR="00FF47D7" w:rsidRPr="004118AE">
        <w:t>’</w:t>
      </w:r>
      <w:r w:rsidR="005F3FE3" w:rsidRPr="004118AE">
        <w:t>en 2018</w:t>
      </w:r>
      <w:r w:rsidR="00C96354">
        <w:t>,</w:t>
      </w:r>
      <w:r w:rsidR="00DE1866" w:rsidRPr="004118AE">
        <w:t xml:space="preserve"> se place </w:t>
      </w:r>
      <w:r w:rsidR="000B4AB5" w:rsidRPr="004118AE">
        <w:t xml:space="preserve">parmi les plus </w:t>
      </w:r>
      <w:r w:rsidR="00DE1866" w:rsidRPr="004118AE">
        <w:t xml:space="preserve">florissantes </w:t>
      </w:r>
      <w:r w:rsidR="000B4AB5" w:rsidRPr="004118AE">
        <w:t>de la région.</w:t>
      </w:r>
    </w:p>
    <w:p w14:paraId="0AE8A627" w14:textId="0B7EBF47" w:rsidR="001647E2" w:rsidRPr="004118AE" w:rsidRDefault="000E2CA1" w:rsidP="00DA07A9">
      <w:pPr>
        <w:pStyle w:val="ONUMFS"/>
      </w:pPr>
      <w:r w:rsidRPr="004118AE">
        <w:t>Sur 10</w:t>
      </w:r>
      <w:r w:rsidR="005F3FE3" w:rsidRPr="004118AE">
        <w:t>4 million</w:t>
      </w:r>
      <w:r w:rsidRPr="004118AE">
        <w:t>s de Philippins, environ 92</w:t>
      </w:r>
      <w:r w:rsidR="00E65CB6" w:rsidRPr="004118AE">
        <w:t>%</w:t>
      </w:r>
      <w:r w:rsidRPr="004118AE">
        <w:t xml:space="preserve"> parlent anglais alors que 70</w:t>
      </w:r>
      <w:r w:rsidR="00E65CB6" w:rsidRPr="004118AE">
        <w:t>%</w:t>
      </w:r>
      <w:r w:rsidRPr="004118AE">
        <w:t xml:space="preserve"> </w:t>
      </w:r>
      <w:r w:rsidR="00217516" w:rsidRPr="004118AE">
        <w:t>en ont une excellente maîtrise</w:t>
      </w:r>
      <w:r w:rsidRPr="004118AE">
        <w:t xml:space="preserve">, </w:t>
      </w:r>
      <w:r w:rsidR="00217516" w:rsidRPr="004118AE">
        <w:t xml:space="preserve">taux </w:t>
      </w:r>
      <w:r w:rsidRPr="004118AE">
        <w:t>parmi les plus élevés de la régi</w:t>
      </w:r>
      <w:r w:rsidR="006A33AF" w:rsidRPr="004118AE">
        <w:t>on.  L’a</w:t>
      </w:r>
      <w:r w:rsidR="00F71364" w:rsidRPr="004118AE">
        <w:t>nglais</w:t>
      </w:r>
      <w:r w:rsidR="00421E21" w:rsidRPr="004118AE">
        <w:t xml:space="preserve"> est utilisé</w:t>
      </w:r>
      <w:r w:rsidR="00217516" w:rsidRPr="004118AE">
        <w:t xml:space="preserve"> dans les affaires et </w:t>
      </w:r>
      <w:r w:rsidR="00421E21" w:rsidRPr="004118AE">
        <w:t>l</w:t>
      </w:r>
      <w:r w:rsidR="00FF47D7" w:rsidRPr="004118AE">
        <w:t>’</w:t>
      </w:r>
      <w:r w:rsidR="00421E21" w:rsidRPr="004118AE">
        <w:t>administrati</w:t>
      </w:r>
      <w:r w:rsidR="006A33AF" w:rsidRPr="004118AE">
        <w:t>on.  Ét</w:t>
      </w:r>
      <w:r w:rsidR="00AA26CD" w:rsidRPr="004118AE">
        <w:t>ant donné qu</w:t>
      </w:r>
      <w:r w:rsidR="00FF47D7" w:rsidRPr="004118AE">
        <w:t>’</w:t>
      </w:r>
      <w:r w:rsidR="005F3FE3" w:rsidRPr="004118AE">
        <w:t>en 2015</w:t>
      </w:r>
      <w:r w:rsidR="00AA26CD" w:rsidRPr="004118AE">
        <w:t>,</w:t>
      </w:r>
      <w:r w:rsidR="00F71364" w:rsidRPr="004118AE">
        <w:t xml:space="preserve"> 95</w:t>
      </w:r>
      <w:r w:rsidR="00E65CB6" w:rsidRPr="004118AE">
        <w:t>%</w:t>
      </w:r>
      <w:r w:rsidR="00F71364" w:rsidRPr="004118AE">
        <w:t xml:space="preserve"> des demandes </w:t>
      </w:r>
      <w:r w:rsidR="00B86063" w:rsidRPr="004118AE">
        <w:t>selon</w:t>
      </w:r>
      <w:r w:rsidR="005F3FE3" w:rsidRPr="004118AE">
        <w:t xml:space="preserve"> le PCT</w:t>
      </w:r>
      <w:r w:rsidR="00F71364" w:rsidRPr="004118AE">
        <w:t xml:space="preserve"> en provenance de la région </w:t>
      </w:r>
      <w:r w:rsidR="001D454E" w:rsidRPr="004118AE">
        <w:t>de l</w:t>
      </w:r>
      <w:r w:rsidR="00FF47D7" w:rsidRPr="004118AE">
        <w:t>’</w:t>
      </w:r>
      <w:r w:rsidR="00B86063" w:rsidRPr="004118AE">
        <w:t>Asie du Sud</w:t>
      </w:r>
      <w:r w:rsidR="00BC3CD7">
        <w:noBreakHyphen/>
      </w:r>
      <w:r w:rsidR="00B86063" w:rsidRPr="004118AE">
        <w:t>Est</w:t>
      </w:r>
      <w:r w:rsidR="00AA26CD" w:rsidRPr="004118AE">
        <w:t xml:space="preserve"> ont été</w:t>
      </w:r>
      <w:r w:rsidR="00F71364" w:rsidRPr="004118AE">
        <w:t xml:space="preserve"> déposées en angl</w:t>
      </w:r>
      <w:r w:rsidR="00B86063" w:rsidRPr="004118AE">
        <w:t>ais</w:t>
      </w:r>
      <w:r w:rsidR="00F71364" w:rsidRPr="004118AE">
        <w:t xml:space="preserve">, les Philippines sont en bonne position pour </w:t>
      </w:r>
      <w:r w:rsidR="00AA26CD" w:rsidRPr="004118AE">
        <w:t>mener des activités internationales</w:t>
      </w:r>
      <w:r w:rsidR="00F71364" w:rsidRPr="004118AE">
        <w:t>.</w:t>
      </w:r>
    </w:p>
    <w:p w14:paraId="1A3AEC4E" w14:textId="585CAD11" w:rsidR="001647E2" w:rsidRPr="004118AE" w:rsidRDefault="000E554A" w:rsidP="00DA07A9">
      <w:pPr>
        <w:pStyle w:val="ONUMFS"/>
      </w:pPr>
      <w:r w:rsidRPr="004118AE">
        <w:t>Entre</w:t>
      </w:r>
      <w:r w:rsidR="00201D29" w:rsidRPr="004118AE">
        <w:t xml:space="preserve"> 2010</w:t>
      </w:r>
      <w:r w:rsidRPr="004118AE">
        <w:t xml:space="preserve"> et </w:t>
      </w:r>
      <w:r w:rsidR="00201D29" w:rsidRPr="004118AE">
        <w:t xml:space="preserve">2015, il </w:t>
      </w:r>
      <w:r w:rsidR="00A775EA" w:rsidRPr="004118AE">
        <w:t xml:space="preserve">a été observé </w:t>
      </w:r>
      <w:r w:rsidR="00201D29" w:rsidRPr="004118AE">
        <w:t>une augmentation des dépôts selon</w:t>
      </w:r>
      <w:r w:rsidR="005F3FE3" w:rsidRPr="004118AE">
        <w:t xml:space="preserve"> le PCT</w:t>
      </w:r>
      <w:r w:rsidR="00201D29" w:rsidRPr="004118AE">
        <w:t xml:space="preserve"> à un taux annuel moyen de 5,85</w:t>
      </w:r>
      <w:r w:rsidR="00E65CB6" w:rsidRPr="004118AE">
        <w:t>%</w:t>
      </w:r>
      <w:r w:rsidR="00FD521B" w:rsidRPr="004118AE">
        <w:t>.</w:t>
      </w:r>
      <w:r w:rsidR="00D60E02" w:rsidRPr="004118AE">
        <w:t xml:space="preserve">  Su</w:t>
      </w:r>
      <w:r w:rsidR="00FB447F" w:rsidRPr="004118AE">
        <w:t>r les 214</w:t>
      </w:r>
      <w:r w:rsidR="00E65CB6" w:rsidRPr="004118AE">
        <w:t> </w:t>
      </w:r>
      <w:r w:rsidR="00FB447F" w:rsidRPr="004118AE">
        <w:t>500</w:t>
      </w:r>
      <w:r w:rsidR="006A33AF" w:rsidRPr="004118AE">
        <w:t> </w:t>
      </w:r>
      <w:r w:rsidR="00FB447F" w:rsidRPr="004118AE">
        <w:t xml:space="preserve">demandes </w:t>
      </w:r>
      <w:r w:rsidR="00B9555C" w:rsidRPr="004118AE">
        <w:t>selon</w:t>
      </w:r>
      <w:r w:rsidR="005F3FE3" w:rsidRPr="004118AE">
        <w:t xml:space="preserve"> le PCT</w:t>
      </w:r>
      <w:r w:rsidR="00FB447F" w:rsidRPr="004118AE">
        <w:t xml:space="preserve"> </w:t>
      </w:r>
      <w:r w:rsidR="00B9555C" w:rsidRPr="004118AE">
        <w:t xml:space="preserve">déposées </w:t>
      </w:r>
      <w:r w:rsidR="005F3FE3" w:rsidRPr="004118AE">
        <w:t>en 2014</w:t>
      </w:r>
      <w:r w:rsidR="00FB447F" w:rsidRPr="004118AE">
        <w:t>, environ 110</w:t>
      </w:r>
      <w:r w:rsidR="00B9555C" w:rsidRPr="004118AE">
        <w:t> </w:t>
      </w:r>
      <w:r w:rsidR="00FB447F" w:rsidRPr="004118AE">
        <w:t>054</w:t>
      </w:r>
      <w:r w:rsidR="00B9555C" w:rsidRPr="004118AE">
        <w:t xml:space="preserve">, soit </w:t>
      </w:r>
      <w:r w:rsidR="00FB447F" w:rsidRPr="004118AE">
        <w:t>51,6% ont été déposées en angla</w:t>
      </w:r>
      <w:r w:rsidR="006A33AF" w:rsidRPr="004118AE">
        <w:t>is.  La</w:t>
      </w:r>
      <w:r w:rsidR="00E90184" w:rsidRPr="004118AE">
        <w:t xml:space="preserve"> demande en </w:t>
      </w:r>
      <w:r w:rsidR="00776992" w:rsidRPr="004118AE">
        <w:t>faveur d</w:t>
      </w:r>
      <w:r w:rsidR="00FF47D7" w:rsidRPr="004118AE">
        <w:t>’</w:t>
      </w:r>
      <w:r w:rsidR="00776992" w:rsidRPr="004118AE">
        <w:t xml:space="preserve">une collaboration internationale </w:t>
      </w:r>
      <w:r w:rsidR="00972219" w:rsidRPr="004118AE">
        <w:t xml:space="preserve">est </w:t>
      </w:r>
      <w:r w:rsidR="00E90184" w:rsidRPr="004118AE">
        <w:t xml:space="preserve">de toute évidence croissante </w:t>
      </w:r>
      <w:r w:rsidR="00B9555C" w:rsidRPr="004118AE">
        <w:t>et l</w:t>
      </w:r>
      <w:r w:rsidR="00FF47D7" w:rsidRPr="004118AE">
        <w:t>’</w:t>
      </w:r>
      <w:r w:rsidR="00B9555C" w:rsidRPr="004118AE">
        <w:t>IPOPHL</w:t>
      </w:r>
      <w:r w:rsidR="00776992" w:rsidRPr="004118AE">
        <w:t>,</w:t>
      </w:r>
      <w:r w:rsidR="00B9555C" w:rsidRPr="004118AE">
        <w:t xml:space="preserve"> avec son avantage</w:t>
      </w:r>
      <w:r w:rsidR="008D234B" w:rsidRPr="004118AE">
        <w:t xml:space="preserve"> considérable</w:t>
      </w:r>
      <w:r w:rsidR="00776992" w:rsidRPr="004118AE">
        <w:t>,</w:t>
      </w:r>
      <w:r w:rsidR="008D234B" w:rsidRPr="004118AE">
        <w:t xml:space="preserve"> </w:t>
      </w:r>
      <w:r w:rsidR="00776992" w:rsidRPr="004118AE">
        <w:t>est en mesure d</w:t>
      </w:r>
      <w:r w:rsidR="00FF47D7" w:rsidRPr="004118AE">
        <w:t>’</w:t>
      </w:r>
      <w:r w:rsidR="003507E9" w:rsidRPr="004118AE">
        <w:t>aider le système</w:t>
      </w:r>
      <w:r w:rsidR="005F3FE3" w:rsidRPr="004118AE">
        <w:t xml:space="preserve"> du PCT</w:t>
      </w:r>
      <w:r w:rsidR="003507E9" w:rsidRPr="004118AE">
        <w:t xml:space="preserve"> </w:t>
      </w:r>
      <w:r w:rsidR="00776992" w:rsidRPr="004118AE">
        <w:t>dans la réalisation de l</w:t>
      </w:r>
      <w:r w:rsidR="00B9555C" w:rsidRPr="004118AE">
        <w:t xml:space="preserve">a recherche internationale et </w:t>
      </w:r>
      <w:r w:rsidR="00776992" w:rsidRPr="004118AE">
        <w:t xml:space="preserve">de </w:t>
      </w:r>
      <w:r w:rsidR="00B9555C" w:rsidRPr="004118AE">
        <w:t>l</w:t>
      </w:r>
      <w:r w:rsidR="00FF47D7" w:rsidRPr="004118AE">
        <w:t>’</w:t>
      </w:r>
      <w:r w:rsidR="00B9555C" w:rsidRPr="004118AE">
        <w:t>examen international.</w:t>
      </w:r>
    </w:p>
    <w:p w14:paraId="61882069" w14:textId="0B6F2EB2" w:rsidR="001647E2" w:rsidRPr="004118AE" w:rsidRDefault="005F3FE3" w:rsidP="00DA07A9">
      <w:pPr>
        <w:pStyle w:val="ONUMFS"/>
      </w:pPr>
      <w:r w:rsidRPr="004118AE">
        <w:t>En 2015</w:t>
      </w:r>
      <w:r w:rsidR="00A46886" w:rsidRPr="004118AE">
        <w:t>, l</w:t>
      </w:r>
      <w:r w:rsidR="00FF47D7" w:rsidRPr="004118AE">
        <w:t>’</w:t>
      </w:r>
      <w:r w:rsidR="00A46886" w:rsidRPr="004118AE">
        <w:t>Asie</w:t>
      </w:r>
      <w:r w:rsidR="00E61911" w:rsidRPr="004118AE">
        <w:t xml:space="preserve"> a été</w:t>
      </w:r>
      <w:r w:rsidR="00A46886" w:rsidRPr="004118AE">
        <w:t xml:space="preserve"> le plus gros utilisateur du système</w:t>
      </w:r>
      <w:r w:rsidRPr="004118AE">
        <w:t xml:space="preserve"> du PCT</w:t>
      </w:r>
      <w:r w:rsidR="00EB5D34" w:rsidRPr="004118AE">
        <w:t xml:space="preserve"> avec </w:t>
      </w:r>
      <w:r w:rsidR="00A46886" w:rsidRPr="004118AE">
        <w:t>43,5% du total des demand</w:t>
      </w:r>
      <w:r w:rsidR="006A33AF" w:rsidRPr="004118AE">
        <w:t>es.  Le</w:t>
      </w:r>
      <w:r w:rsidR="000441FC" w:rsidRPr="004118AE">
        <w:t xml:space="preserve"> </w:t>
      </w:r>
      <w:r w:rsidR="00EB5D34" w:rsidRPr="004118AE">
        <w:t xml:space="preserve">nombre de </w:t>
      </w:r>
      <w:r w:rsidR="000441FC" w:rsidRPr="004118AE">
        <w:t>dépôts internationaux et régionaux selon</w:t>
      </w:r>
      <w:r w:rsidRPr="004118AE">
        <w:t xml:space="preserve"> le PCT</w:t>
      </w:r>
      <w:r w:rsidR="00EB5D34" w:rsidRPr="004118AE">
        <w:t xml:space="preserve"> </w:t>
      </w:r>
      <w:r w:rsidR="00957C62" w:rsidRPr="004118AE">
        <w:t>fait apparaître q</w:t>
      </w:r>
      <w:r w:rsidR="000441FC" w:rsidRPr="004118AE">
        <w:t>u</w:t>
      </w:r>
      <w:r w:rsidR="00FF47D7" w:rsidRPr="004118AE">
        <w:t>’</w:t>
      </w:r>
      <w:r w:rsidR="000441FC" w:rsidRPr="004118AE">
        <w:t xml:space="preserve">il y a eu </w:t>
      </w:r>
      <w:r w:rsidR="00957C62" w:rsidRPr="004118AE">
        <w:t xml:space="preserve">au fil des ans </w:t>
      </w:r>
      <w:r w:rsidR="000441FC" w:rsidRPr="004118AE">
        <w:t>une augmentation significative des demandes en provenance d</w:t>
      </w:r>
      <w:r w:rsidR="00FF47D7" w:rsidRPr="004118AE">
        <w:t>’</w:t>
      </w:r>
      <w:r w:rsidR="000441FC" w:rsidRPr="004118AE">
        <w:t>Asie et de la région de l</w:t>
      </w:r>
      <w:r w:rsidR="00FF47D7" w:rsidRPr="004118AE">
        <w:t>’</w:t>
      </w:r>
      <w:r w:rsidR="000441FC" w:rsidRPr="004118AE">
        <w:t>Asie du Sud</w:t>
      </w:r>
      <w:r w:rsidR="00BC3CD7">
        <w:noBreakHyphen/>
      </w:r>
      <w:r w:rsidR="000441FC" w:rsidRPr="004118AE">
        <w:t xml:space="preserve">Est et </w:t>
      </w:r>
      <w:r w:rsidR="00957C62" w:rsidRPr="004118AE">
        <w:t xml:space="preserve">montre </w:t>
      </w:r>
      <w:r w:rsidR="00030A94" w:rsidRPr="004118AE">
        <w:t xml:space="preserve">que cette demande </w:t>
      </w:r>
      <w:r w:rsidR="00957C62" w:rsidRPr="004118AE">
        <w:t>en faveur d</w:t>
      </w:r>
      <w:r w:rsidR="00FF47D7" w:rsidRPr="004118AE">
        <w:t>’</w:t>
      </w:r>
      <w:r w:rsidR="00957C62" w:rsidRPr="004118AE">
        <w:t xml:space="preserve">une collaboration internationale </w:t>
      </w:r>
      <w:r w:rsidR="000441FC" w:rsidRPr="004118AE">
        <w:t>continue de croître</w:t>
      </w:r>
      <w:r w:rsidR="00957C62" w:rsidRPr="004118AE">
        <w:t xml:space="preserve"> de manière notab</w:t>
      </w:r>
      <w:r w:rsidR="006A33AF" w:rsidRPr="004118AE">
        <w:t>le.  La</w:t>
      </w:r>
      <w:r w:rsidR="00675770" w:rsidRPr="004118AE">
        <w:t xml:space="preserve"> </w:t>
      </w:r>
      <w:r w:rsidR="00F43EA6" w:rsidRPr="004118AE">
        <w:t xml:space="preserve">nomination </w:t>
      </w:r>
      <w:r w:rsidR="00675770" w:rsidRPr="004118AE">
        <w:t>de l</w:t>
      </w:r>
      <w:r w:rsidR="00FF47D7" w:rsidRPr="004118AE">
        <w:t>’</w:t>
      </w:r>
      <w:r w:rsidR="00957346" w:rsidRPr="004118AE">
        <w:t>IPOPHL comme d</w:t>
      </w:r>
      <w:r w:rsidR="00675770" w:rsidRPr="004118AE">
        <w:t>euxième administration internationale en Asie du Sud</w:t>
      </w:r>
      <w:r w:rsidR="00BC3CD7">
        <w:noBreakHyphen/>
      </w:r>
      <w:r w:rsidR="00675770" w:rsidRPr="004118AE">
        <w:t xml:space="preserve">Est </w:t>
      </w:r>
      <w:r w:rsidR="00F43EA6" w:rsidRPr="004118AE">
        <w:t xml:space="preserve">vise à </w:t>
      </w:r>
      <w:r w:rsidR="00675770" w:rsidRPr="004118AE">
        <w:t xml:space="preserve">avoir un effet </w:t>
      </w:r>
      <w:r w:rsidR="007D3C32" w:rsidRPr="004118AE">
        <w:t xml:space="preserve">de </w:t>
      </w:r>
      <w:r w:rsidR="00675770" w:rsidRPr="004118AE">
        <w:t>synergi</w:t>
      </w:r>
      <w:r w:rsidR="007D3C32" w:rsidRPr="004118AE">
        <w:t>e</w:t>
      </w:r>
      <w:r w:rsidR="00675770" w:rsidRPr="004118AE">
        <w:t>, en particulier dans le contexte de l</w:t>
      </w:r>
      <w:r w:rsidR="00FF47D7" w:rsidRPr="004118AE">
        <w:t>’</w:t>
      </w:r>
      <w:r w:rsidR="00675770" w:rsidRPr="004118AE">
        <w:t>intégration économique de l</w:t>
      </w:r>
      <w:r w:rsidR="00FF47D7" w:rsidRPr="004118AE">
        <w:t>’</w:t>
      </w:r>
      <w:r w:rsidR="00675770" w:rsidRPr="004118AE">
        <w:t>ASEAN</w:t>
      </w:r>
      <w:r w:rsidR="00F43EA6" w:rsidRPr="004118AE">
        <w:t>,</w:t>
      </w:r>
      <w:r w:rsidR="00675770" w:rsidRPr="004118AE">
        <w:t xml:space="preserve"> qui stimulera les activités de développement et d</w:t>
      </w:r>
      <w:r w:rsidR="00FF47D7" w:rsidRPr="004118AE">
        <w:t>’</w:t>
      </w:r>
      <w:r w:rsidR="00675770" w:rsidRPr="004118AE">
        <w:t>innovation dans la régi</w:t>
      </w:r>
      <w:r w:rsidR="006A33AF" w:rsidRPr="004118AE">
        <w:t>on.  En</w:t>
      </w:r>
      <w:r w:rsidR="005A6B4A" w:rsidRPr="004118AE">
        <w:t xml:space="preserve"> outre, cela </w:t>
      </w:r>
      <w:r w:rsidR="00736EFD" w:rsidRPr="004118AE">
        <w:t xml:space="preserve">viendra compléter </w:t>
      </w:r>
      <w:r w:rsidR="005A6B4A" w:rsidRPr="004118AE">
        <w:t>les initiatives visant à accroître l</w:t>
      </w:r>
      <w:r w:rsidR="00FF47D7" w:rsidRPr="004118AE">
        <w:t>’</w:t>
      </w:r>
      <w:r w:rsidR="005A6B4A" w:rsidRPr="004118AE">
        <w:t>efficacité et à améliorer la qualité d</w:t>
      </w:r>
      <w:r w:rsidR="000C23F2" w:rsidRPr="004118AE">
        <w:t xml:space="preserve">e la recherche </w:t>
      </w:r>
      <w:r w:rsidR="005A6B4A" w:rsidRPr="004118AE">
        <w:t>et de</w:t>
      </w:r>
      <w:r w:rsidR="00736EFD" w:rsidRPr="004118AE">
        <w:t xml:space="preserve"> l</w:t>
      </w:r>
      <w:r w:rsidR="00FF47D7" w:rsidRPr="004118AE">
        <w:t>’</w:t>
      </w:r>
      <w:r w:rsidR="00736EFD" w:rsidRPr="004118AE">
        <w:t>examen</w:t>
      </w:r>
      <w:r w:rsidR="005A6B4A" w:rsidRPr="004118AE">
        <w:t xml:space="preserve"> </w:t>
      </w:r>
      <w:r w:rsidR="000C23F2" w:rsidRPr="004118AE">
        <w:t xml:space="preserve">au sein de </w:t>
      </w:r>
      <w:r w:rsidR="005A6B4A" w:rsidRPr="004118AE">
        <w:t xml:space="preserve">la </w:t>
      </w:r>
      <w:r w:rsidR="00E65CB6" w:rsidRPr="004118AE">
        <w:t>plateforme</w:t>
      </w:r>
      <w:r w:rsidR="005A6B4A" w:rsidRPr="004118AE">
        <w:t xml:space="preserve"> régionale de partage des </w:t>
      </w:r>
      <w:r w:rsidR="000C23F2" w:rsidRPr="004118AE">
        <w:t xml:space="preserve">tâches </w:t>
      </w:r>
      <w:r w:rsidR="00F43EA6" w:rsidRPr="004118AE">
        <w:t xml:space="preserve">destinée aux </w:t>
      </w:r>
      <w:r w:rsidR="005A6B4A" w:rsidRPr="004118AE">
        <w:t>États membres de l</w:t>
      </w:r>
      <w:r w:rsidR="00FF47D7" w:rsidRPr="004118AE">
        <w:t>’</w:t>
      </w:r>
      <w:r w:rsidR="00736EFD" w:rsidRPr="004118AE">
        <w:t>ASEAN</w:t>
      </w:r>
      <w:r w:rsidR="005A6B4A" w:rsidRPr="004118AE">
        <w:t xml:space="preserve"> dans le cadre du</w:t>
      </w:r>
      <w:r w:rsidR="00736EFD" w:rsidRPr="004118AE">
        <w:t xml:space="preserve"> </w:t>
      </w:r>
      <w:r w:rsidR="007C7311" w:rsidRPr="004118AE">
        <w:t>programme de coopération de l</w:t>
      </w:r>
      <w:r w:rsidR="00FF47D7" w:rsidRPr="004118AE">
        <w:t>’</w:t>
      </w:r>
      <w:r w:rsidR="007C7311" w:rsidRPr="004118AE">
        <w:t>ASEAN en matière d</w:t>
      </w:r>
      <w:r w:rsidR="00FF47D7" w:rsidRPr="004118AE">
        <w:t>’</w:t>
      </w:r>
      <w:r w:rsidR="007C7311" w:rsidRPr="004118AE">
        <w:t>examen des brevets (ASPEC).</w:t>
      </w:r>
    </w:p>
    <w:p w14:paraId="3E503F33" w14:textId="3C3A40A0" w:rsidR="001647E2" w:rsidRPr="004118AE" w:rsidRDefault="00BF1AE6" w:rsidP="00DA07A9">
      <w:pPr>
        <w:pStyle w:val="ONUMFS"/>
      </w:pPr>
      <w:r w:rsidRPr="004118AE">
        <w:t>Les Philippines comptent plus de 10</w:t>
      </w:r>
      <w:r w:rsidR="005F3FE3" w:rsidRPr="004118AE">
        <w:t>4 million</w:t>
      </w:r>
      <w:r w:rsidRPr="004118AE">
        <w:t>s d</w:t>
      </w:r>
      <w:r w:rsidR="00FF47D7" w:rsidRPr="004118AE">
        <w:t>’</w:t>
      </w:r>
      <w:r w:rsidRPr="004118AE">
        <w:t xml:space="preserve">habitants et environ </w:t>
      </w:r>
      <w:r w:rsidR="00E65CB6" w:rsidRPr="004118AE">
        <w:t>2180</w:t>
      </w:r>
      <w:r w:rsidR="006A33AF" w:rsidRPr="004118AE">
        <w:t> </w:t>
      </w:r>
      <w:r w:rsidR="00D14A08" w:rsidRPr="004118AE">
        <w:t>établissements d</w:t>
      </w:r>
      <w:r w:rsidR="00FF47D7" w:rsidRPr="004118AE">
        <w:t>’</w:t>
      </w:r>
      <w:r w:rsidR="00D14A08" w:rsidRPr="004118AE">
        <w:t xml:space="preserve">enseignement supérieur </w:t>
      </w:r>
      <w:r w:rsidRPr="004118AE">
        <w:t>et universit</w:t>
      </w:r>
      <w:r w:rsidR="006A33AF" w:rsidRPr="004118AE">
        <w:t>és.  Co</w:t>
      </w:r>
      <w:r w:rsidR="00E03DD4" w:rsidRPr="004118AE">
        <w:t xml:space="preserve">nscient </w:t>
      </w:r>
      <w:r w:rsidR="00220ADD" w:rsidRPr="004118AE">
        <w:t>que le renforcement</w:t>
      </w:r>
      <w:r w:rsidR="00B47641" w:rsidRPr="004118AE">
        <w:t xml:space="preserve"> d</w:t>
      </w:r>
      <w:r w:rsidR="00FF47D7" w:rsidRPr="004118AE">
        <w:t>’</w:t>
      </w:r>
      <w:r w:rsidR="00B47641" w:rsidRPr="004118AE">
        <w:t>une économie fondée sur l</w:t>
      </w:r>
      <w:r w:rsidR="006C7878" w:rsidRPr="004118AE">
        <w:t>e savoir</w:t>
      </w:r>
      <w:r w:rsidR="00B47641" w:rsidRPr="004118AE">
        <w:t xml:space="preserve"> est la clé du développement national, l</w:t>
      </w:r>
      <w:r w:rsidR="00FF47D7" w:rsidRPr="004118AE">
        <w:t>’</w:t>
      </w:r>
      <w:r w:rsidR="00B47641" w:rsidRPr="004118AE">
        <w:t xml:space="preserve">IPOPHL cherche à développer une </w:t>
      </w:r>
      <w:r w:rsidR="00B47641" w:rsidRPr="004118AE">
        <w:lastRenderedPageBreak/>
        <w:t xml:space="preserve">culture de la </w:t>
      </w:r>
      <w:r w:rsidR="00CE7DB5" w:rsidRPr="004118AE">
        <w:t>recherche et de l</w:t>
      </w:r>
      <w:r w:rsidR="00FF47D7" w:rsidRPr="004118AE">
        <w:t>’</w:t>
      </w:r>
      <w:r w:rsidR="00CE7DB5" w:rsidRPr="004118AE">
        <w:t>innovation au moyen</w:t>
      </w:r>
      <w:r w:rsidR="00DF2265" w:rsidRPr="004118AE">
        <w:t xml:space="preserve"> du P</w:t>
      </w:r>
      <w:r w:rsidR="00B47641" w:rsidRPr="004118AE">
        <w:t xml:space="preserve">rogramme </w:t>
      </w:r>
      <w:r w:rsidR="00E03DD4" w:rsidRPr="004118AE">
        <w:t>des bureaux d</w:t>
      </w:r>
      <w:r w:rsidR="00FF47D7" w:rsidRPr="004118AE">
        <w:t>’</w:t>
      </w:r>
      <w:r w:rsidR="00220ADD" w:rsidRPr="004118AE">
        <w:t>appui à l</w:t>
      </w:r>
      <w:r w:rsidR="00FF47D7" w:rsidRPr="004118AE">
        <w:t>’</w:t>
      </w:r>
      <w:r w:rsidR="00220ADD" w:rsidRPr="004118AE">
        <w:t>innovation et à la technologie (ITSO)</w:t>
      </w:r>
      <w:r w:rsidR="00B47641" w:rsidRPr="004118AE">
        <w:t>.</w:t>
      </w:r>
      <w:r w:rsidR="00110FEA" w:rsidRPr="004118AE">
        <w:t xml:space="preserve"> </w:t>
      </w:r>
      <w:r w:rsidR="00FE62B5" w:rsidRPr="004118AE">
        <w:t xml:space="preserve"> Le réseau ITSO a été créé</w:t>
      </w:r>
      <w:r w:rsidR="00E03DD4" w:rsidRPr="004118AE">
        <w:t xml:space="preserve"> </w:t>
      </w:r>
      <w:r w:rsidR="00FE62B5" w:rsidRPr="004118AE">
        <w:t>en collaboration avec l</w:t>
      </w:r>
      <w:r w:rsidR="00FF47D7" w:rsidRPr="004118AE">
        <w:t>’</w:t>
      </w:r>
      <w:r w:rsidR="00FE62B5" w:rsidRPr="004118AE">
        <w:t>Organisation Mondiale de la Propriété Intellectuelle (OMPI) et couvre environ 85</w:t>
      </w:r>
      <w:r w:rsidR="006A33AF" w:rsidRPr="004118AE">
        <w:t> </w:t>
      </w:r>
      <w:r w:rsidR="00FE62B5" w:rsidRPr="004118AE">
        <w:t>universités, d</w:t>
      </w:r>
      <w:r w:rsidR="00E03DD4" w:rsidRPr="004118AE">
        <w:t>es établissement</w:t>
      </w:r>
      <w:r w:rsidR="00FE62B5" w:rsidRPr="004118AE">
        <w:t>s d</w:t>
      </w:r>
      <w:r w:rsidR="00FF47D7" w:rsidRPr="004118AE">
        <w:t>’</w:t>
      </w:r>
      <w:r w:rsidR="00FE62B5" w:rsidRPr="004118AE">
        <w:t>enseignement supérieur</w:t>
      </w:r>
      <w:r w:rsidR="00E03DD4" w:rsidRPr="004118AE">
        <w:t xml:space="preserve"> qui sont pour la plupart des centres d</w:t>
      </w:r>
      <w:r w:rsidR="00FF47D7" w:rsidRPr="004118AE">
        <w:t>’</w:t>
      </w:r>
      <w:r w:rsidR="00E03DD4" w:rsidRPr="004118AE">
        <w:t>excellence reconnus dans l</w:t>
      </w:r>
      <w:r w:rsidR="00FF47D7" w:rsidRPr="004118AE">
        <w:t>’</w:t>
      </w:r>
      <w:r w:rsidR="00E03DD4" w:rsidRPr="004118AE">
        <w:t>enseignement supérieur</w:t>
      </w:r>
      <w:r w:rsidR="00FE62B5" w:rsidRPr="004118AE">
        <w:t>,</w:t>
      </w:r>
      <w:r w:rsidR="00E03DD4" w:rsidRPr="004118AE">
        <w:t xml:space="preserve"> ainsi que des </w:t>
      </w:r>
      <w:r w:rsidR="00D810A6" w:rsidRPr="004118AE">
        <w:t xml:space="preserve">instituts </w:t>
      </w:r>
      <w:r w:rsidR="00E03DD4" w:rsidRPr="004118AE">
        <w:t>de recherc</w:t>
      </w:r>
      <w:r w:rsidR="006A33AF" w:rsidRPr="004118AE">
        <w:t>he.  Ce</w:t>
      </w:r>
      <w:r w:rsidR="00981E43" w:rsidRPr="004118AE">
        <w:t xml:space="preserve"> programme </w:t>
      </w:r>
      <w:r w:rsidR="00747428" w:rsidRPr="004118AE">
        <w:t xml:space="preserve">a pour but de </w:t>
      </w:r>
      <w:r w:rsidR="00981E43" w:rsidRPr="004118AE">
        <w:t xml:space="preserve">renforcer la capacité </w:t>
      </w:r>
      <w:r w:rsidR="0075407D" w:rsidRPr="004118AE">
        <w:t>des institutions</w:t>
      </w:r>
      <w:r w:rsidR="00981E43" w:rsidRPr="004118AE">
        <w:t xml:space="preserve"> locale</w:t>
      </w:r>
      <w:r w:rsidR="0075407D" w:rsidRPr="004118AE">
        <w:t>s</w:t>
      </w:r>
      <w:r w:rsidR="00981E43" w:rsidRPr="004118AE">
        <w:t xml:space="preserve"> d</w:t>
      </w:r>
      <w:r w:rsidR="00FF47D7" w:rsidRPr="004118AE">
        <w:t>’</w:t>
      </w:r>
      <w:r w:rsidR="00981E43" w:rsidRPr="004118AE">
        <w:t xml:space="preserve">accéder à </w:t>
      </w:r>
      <w:r w:rsidR="00747428" w:rsidRPr="004118AE">
        <w:t xml:space="preserve">des </w:t>
      </w:r>
      <w:r w:rsidR="00981E43" w:rsidRPr="004118AE">
        <w:t>information</w:t>
      </w:r>
      <w:r w:rsidR="00747428" w:rsidRPr="004118AE">
        <w:t>s</w:t>
      </w:r>
      <w:r w:rsidR="00981E43" w:rsidRPr="004118AE">
        <w:t xml:space="preserve"> en matière de brevets </w:t>
      </w:r>
      <w:r w:rsidR="0075407D" w:rsidRPr="004118AE">
        <w:t>utile</w:t>
      </w:r>
      <w:r w:rsidR="00747428" w:rsidRPr="004118AE">
        <w:t>s</w:t>
      </w:r>
      <w:r w:rsidR="0075407D" w:rsidRPr="004118AE">
        <w:t xml:space="preserve"> </w:t>
      </w:r>
      <w:r w:rsidR="00981E43" w:rsidRPr="004118AE">
        <w:t>pour la recherche, l</w:t>
      </w:r>
      <w:r w:rsidR="00FF47D7" w:rsidRPr="004118AE">
        <w:t>’</w:t>
      </w:r>
      <w:r w:rsidR="00BA1AD1" w:rsidRPr="004118AE">
        <w:t>enseignement</w:t>
      </w:r>
      <w:r w:rsidR="00981E43" w:rsidRPr="004118AE">
        <w:t>, la génération d</w:t>
      </w:r>
      <w:r w:rsidR="00FF47D7" w:rsidRPr="004118AE">
        <w:t>’</w:t>
      </w:r>
      <w:r w:rsidR="00981E43" w:rsidRPr="004118AE">
        <w:t xml:space="preserve">idées et le développement </w:t>
      </w:r>
      <w:r w:rsidR="00547591" w:rsidRPr="004118AE">
        <w:t>économique en génér</w:t>
      </w:r>
      <w:r w:rsidR="006A33AF" w:rsidRPr="004118AE">
        <w:t>al.  En</w:t>
      </w:r>
      <w:r w:rsidR="00BA1AD1" w:rsidRPr="004118AE">
        <w:t xml:space="preserve"> outre, le</w:t>
      </w:r>
      <w:r w:rsidR="00683F92" w:rsidRPr="004118AE">
        <w:t>s bureaux d</w:t>
      </w:r>
      <w:r w:rsidR="00FF47D7" w:rsidRPr="004118AE">
        <w:t>’</w:t>
      </w:r>
      <w:r w:rsidR="00683F92" w:rsidRPr="004118AE">
        <w:t>appui à l</w:t>
      </w:r>
      <w:r w:rsidR="00FF47D7" w:rsidRPr="004118AE">
        <w:t>’</w:t>
      </w:r>
      <w:r w:rsidR="00683F92" w:rsidRPr="004118AE">
        <w:t xml:space="preserve">innovation et à la technologie </w:t>
      </w:r>
      <w:r w:rsidR="007A317D" w:rsidRPr="004118AE">
        <w:t>visent à</w:t>
      </w:r>
      <w:r w:rsidR="00683F92" w:rsidRPr="004118AE">
        <w:t xml:space="preserve"> </w:t>
      </w:r>
      <w:r w:rsidR="00BA1AD1" w:rsidRPr="004118AE">
        <w:t>fourni</w:t>
      </w:r>
      <w:r w:rsidR="00683F92" w:rsidRPr="004118AE">
        <w:t xml:space="preserve">r </w:t>
      </w:r>
      <w:r w:rsidR="00BA1AD1" w:rsidRPr="004118AE">
        <w:t>de</w:t>
      </w:r>
      <w:r w:rsidR="00683F92" w:rsidRPr="004118AE">
        <w:t>s</w:t>
      </w:r>
      <w:r w:rsidR="00BA1AD1" w:rsidRPr="004118AE">
        <w:t xml:space="preserve"> services </w:t>
      </w:r>
      <w:r w:rsidR="00D0091F" w:rsidRPr="004118AE">
        <w:t xml:space="preserve">en matière </w:t>
      </w:r>
      <w:r w:rsidR="00BA1AD1" w:rsidRPr="004118AE">
        <w:t xml:space="preserve">de brevets dans leurs communautés locales, en </w:t>
      </w:r>
      <w:r w:rsidR="00361792" w:rsidRPr="004118AE">
        <w:t xml:space="preserve">assurant </w:t>
      </w:r>
      <w:r w:rsidR="00BA1AD1" w:rsidRPr="004118AE">
        <w:t xml:space="preserve">non seulement </w:t>
      </w:r>
      <w:r w:rsidR="00B15AE1" w:rsidRPr="004118AE">
        <w:t xml:space="preserve">la recherche </w:t>
      </w:r>
      <w:r w:rsidR="006F2F47" w:rsidRPr="004118AE">
        <w:t xml:space="preserve">en matière </w:t>
      </w:r>
      <w:r w:rsidR="00BA1AD1" w:rsidRPr="004118AE">
        <w:t xml:space="preserve">de brevets, mais aussi </w:t>
      </w:r>
      <w:r w:rsidR="00B15AE1" w:rsidRPr="004118AE">
        <w:t>la rédaction des demandes de brevet</w:t>
      </w:r>
      <w:r w:rsidR="00BA1AD1" w:rsidRPr="004118AE">
        <w:t xml:space="preserve">, la représentation </w:t>
      </w:r>
      <w:r w:rsidR="007A317D" w:rsidRPr="004118AE">
        <w:t>lors de p</w:t>
      </w:r>
      <w:r w:rsidR="00BA1AD1" w:rsidRPr="004118AE">
        <w:t xml:space="preserve">oursuites, le conseil, la formation </w:t>
      </w:r>
      <w:r w:rsidR="00221BB4" w:rsidRPr="004118AE">
        <w:t xml:space="preserve">ainsi que </w:t>
      </w:r>
      <w:r w:rsidR="00BA1AD1" w:rsidRPr="004118AE">
        <w:t>la gestion globale de la propriété intellectuelle pour les industries, les institutions gouvernementales et d</w:t>
      </w:r>
      <w:r w:rsidR="00FF47D7" w:rsidRPr="004118AE">
        <w:t>’</w:t>
      </w:r>
      <w:r w:rsidR="00BA1AD1" w:rsidRPr="004118AE">
        <w:t>autres entit</w:t>
      </w:r>
      <w:r w:rsidR="006A33AF" w:rsidRPr="004118AE">
        <w:t>és.  Le</w:t>
      </w:r>
      <w:r w:rsidR="00B3300E" w:rsidRPr="004118AE">
        <w:t>s dépôts selon</w:t>
      </w:r>
      <w:r w:rsidR="005F3FE3" w:rsidRPr="004118AE">
        <w:t xml:space="preserve"> le PCT</w:t>
      </w:r>
      <w:r w:rsidR="008D05D0" w:rsidRPr="004118AE">
        <w:t xml:space="preserve"> émanant du réseau ITSO présentent des perspectives très prometteus</w:t>
      </w:r>
      <w:r w:rsidR="006A33AF" w:rsidRPr="004118AE">
        <w:t>es.  La</w:t>
      </w:r>
      <w:r w:rsidR="009136B4" w:rsidRPr="004118AE">
        <w:t xml:space="preserve"> désignation de l</w:t>
      </w:r>
      <w:r w:rsidR="00FF47D7" w:rsidRPr="004118AE">
        <w:t>’</w:t>
      </w:r>
      <w:r w:rsidR="009136B4" w:rsidRPr="004118AE">
        <w:t xml:space="preserve">IPOPHL </w:t>
      </w:r>
      <w:r w:rsidR="008E7550" w:rsidRPr="004118AE">
        <w:t>en qualité d</w:t>
      </w:r>
      <w:r w:rsidR="00FF47D7" w:rsidRPr="004118AE">
        <w:t>’</w:t>
      </w:r>
      <w:r w:rsidR="009136B4" w:rsidRPr="004118AE">
        <w:t>administration internationale facilitera l</w:t>
      </w:r>
      <w:r w:rsidR="00FF47D7" w:rsidRPr="004118AE">
        <w:t>’</w:t>
      </w:r>
      <w:r w:rsidR="009136B4" w:rsidRPr="004118AE">
        <w:t>utilisation du système</w:t>
      </w:r>
      <w:r w:rsidR="005F3FE3" w:rsidRPr="004118AE">
        <w:t xml:space="preserve"> du PCT</w:t>
      </w:r>
      <w:r w:rsidR="0098082C" w:rsidRPr="004118AE">
        <w:t xml:space="preserve"> par les </w:t>
      </w:r>
      <w:r w:rsidR="009136B4" w:rsidRPr="004118AE">
        <w:t>Philippines.</w:t>
      </w:r>
    </w:p>
    <w:p w14:paraId="27956650" w14:textId="2FD04C8C" w:rsidR="001647E2" w:rsidRPr="004118AE" w:rsidRDefault="003E2AF1" w:rsidP="00DA07A9">
      <w:pPr>
        <w:pStyle w:val="ONUMFS"/>
      </w:pPr>
      <w:r w:rsidRPr="004118AE">
        <w:t>De nombreuses entreprises internationales ont une présence commerciale et industrielle dans le pa</w:t>
      </w:r>
      <w:r w:rsidR="006A33AF" w:rsidRPr="004118AE">
        <w:t>ys.  Le</w:t>
      </w:r>
      <w:r w:rsidR="002A6A43" w:rsidRPr="004118AE">
        <w:t xml:space="preserve"> développement des activités universitaires, commerciales, industrielles et </w:t>
      </w:r>
      <w:r w:rsidR="007E34F2" w:rsidRPr="004118AE">
        <w:t xml:space="preserve">professionnelles </w:t>
      </w:r>
      <w:r w:rsidR="00C96354">
        <w:t>crée</w:t>
      </w:r>
      <w:r w:rsidR="007E34F2" w:rsidRPr="004118AE">
        <w:t xml:space="preserve"> </w:t>
      </w:r>
      <w:r w:rsidR="002A6A43" w:rsidRPr="004118AE">
        <w:t>un environnement dynamique de recherche</w:t>
      </w:r>
      <w:r w:rsidR="00BC3CD7">
        <w:noBreakHyphen/>
      </w:r>
      <w:r w:rsidR="002A6A43" w:rsidRPr="004118AE">
        <w:t xml:space="preserve">développement qui </w:t>
      </w:r>
      <w:r w:rsidR="004D052A" w:rsidRPr="004118AE">
        <w:t>génère</w:t>
      </w:r>
      <w:r w:rsidR="002A6A43" w:rsidRPr="004118AE">
        <w:t xml:space="preserve"> la création d</w:t>
      </w:r>
      <w:r w:rsidR="00FF47D7" w:rsidRPr="004118AE">
        <w:t>’</w:t>
      </w:r>
      <w:r w:rsidR="002A6A43" w:rsidRPr="004118AE">
        <w:t xml:space="preserve">un nombre important de droits de propriété intellectuelle, ouvrant ainsi un potentiel énorme </w:t>
      </w:r>
      <w:r w:rsidR="00AF71B3" w:rsidRPr="004118AE">
        <w:t xml:space="preserve">pour </w:t>
      </w:r>
      <w:r w:rsidR="008156CE" w:rsidRPr="004118AE">
        <w:t xml:space="preserve">un accroissement </w:t>
      </w:r>
      <w:r w:rsidR="00AF71B3" w:rsidRPr="004118AE">
        <w:t>de la</w:t>
      </w:r>
      <w:r w:rsidR="002A6A43" w:rsidRPr="004118AE">
        <w:t xml:space="preserve"> demande internationale </w:t>
      </w:r>
      <w:r w:rsidR="00C563F1" w:rsidRPr="004118AE">
        <w:t>en faveur d</w:t>
      </w:r>
      <w:r w:rsidR="00FF47D7" w:rsidRPr="004118AE">
        <w:t>’</w:t>
      </w:r>
      <w:r w:rsidR="00C563F1" w:rsidRPr="004118AE">
        <w:t>une collaboration internationale,</w:t>
      </w:r>
      <w:r w:rsidR="002A6A43" w:rsidRPr="004118AE">
        <w:t xml:space="preserve"> </w:t>
      </w:r>
      <w:r w:rsidR="00AF71B3" w:rsidRPr="004118AE">
        <w:t xml:space="preserve">une </w:t>
      </w:r>
      <w:r w:rsidR="00F71C67" w:rsidRPr="004118AE">
        <w:t>bonne connaissance du</w:t>
      </w:r>
      <w:r w:rsidR="00AF71B3" w:rsidRPr="004118AE">
        <w:t xml:space="preserve"> système</w:t>
      </w:r>
      <w:r w:rsidR="005F3FE3" w:rsidRPr="004118AE">
        <w:t xml:space="preserve"> du PCT</w:t>
      </w:r>
      <w:r w:rsidR="00AF71B3" w:rsidRPr="004118AE">
        <w:t xml:space="preserve"> et une </w:t>
      </w:r>
      <w:r w:rsidR="00515E04" w:rsidRPr="004118AE">
        <w:t xml:space="preserve">grande </w:t>
      </w:r>
      <w:r w:rsidR="00AF71B3" w:rsidRPr="004118AE">
        <w:t xml:space="preserve">expérience </w:t>
      </w:r>
      <w:r w:rsidR="00515E04" w:rsidRPr="004118AE">
        <w:t xml:space="preserve">en matière de </w:t>
      </w:r>
      <w:r w:rsidR="00AF71B3" w:rsidRPr="004118AE">
        <w:t>recherche et d</w:t>
      </w:r>
      <w:r w:rsidR="00FF47D7" w:rsidRPr="004118AE">
        <w:t>’</w:t>
      </w:r>
      <w:r w:rsidR="00AF71B3" w:rsidRPr="004118AE">
        <w:t>examen</w:t>
      </w:r>
      <w:r w:rsidR="002A6A43" w:rsidRPr="004118AE">
        <w:t>.</w:t>
      </w:r>
    </w:p>
    <w:p w14:paraId="2982DC49" w14:textId="22AA343C" w:rsidR="001647E2" w:rsidRPr="004118AE" w:rsidRDefault="005F3FE3" w:rsidP="00DA07A9">
      <w:pPr>
        <w:pStyle w:val="ONUMFS"/>
      </w:pPr>
      <w:r w:rsidRPr="004118AE">
        <w:t>Depuis 2001</w:t>
      </w:r>
      <w:r w:rsidR="008156CE" w:rsidRPr="004118AE">
        <w:t>, date à laquelle les Philippines sont deven</w:t>
      </w:r>
      <w:r w:rsidR="0070428F" w:rsidRPr="004118AE">
        <w:t>ues le 112</w:t>
      </w:r>
      <w:r w:rsidR="0052597A" w:rsidRPr="004118AE">
        <w:rPr>
          <w:vertAlign w:val="superscript"/>
        </w:rPr>
        <w:t>e</w:t>
      </w:r>
      <w:r w:rsidR="006A33AF" w:rsidRPr="004118AE">
        <w:t> </w:t>
      </w:r>
      <w:r w:rsidR="0070428F" w:rsidRPr="004118AE">
        <w:t>État contractant</w:t>
      </w:r>
      <w:r w:rsidR="00C96354">
        <w:t xml:space="preserve"> d</w:t>
      </w:r>
      <w:r w:rsidRPr="004118AE">
        <w:t>u PCT</w:t>
      </w:r>
      <w:r w:rsidR="008156CE" w:rsidRPr="004118AE">
        <w:t xml:space="preserve">, </w:t>
      </w:r>
      <w:r w:rsidR="00051F1C" w:rsidRPr="004118AE">
        <w:t>l</w:t>
      </w:r>
      <w:r w:rsidR="00FF47D7" w:rsidRPr="004118AE">
        <w:t>’</w:t>
      </w:r>
      <w:r w:rsidR="008156CE" w:rsidRPr="004118AE">
        <w:t xml:space="preserve">IPOPHL </w:t>
      </w:r>
      <w:r w:rsidR="00DE417F" w:rsidRPr="004118AE">
        <w:t>est</w:t>
      </w:r>
      <w:r w:rsidR="008156CE" w:rsidRPr="004118AE">
        <w:t xml:space="preserve"> l</w:t>
      </w:r>
      <w:r w:rsidR="00FF47D7" w:rsidRPr="004118AE">
        <w:t>’</w:t>
      </w:r>
      <w:r w:rsidR="008156CE" w:rsidRPr="004118AE">
        <w:t xml:space="preserve">office récepteur des demandes </w:t>
      </w:r>
      <w:r w:rsidR="00C301AD" w:rsidRPr="004118AE">
        <w:t>selon</w:t>
      </w:r>
      <w:r w:rsidRPr="004118AE">
        <w:t xml:space="preserve"> le </w:t>
      </w:r>
      <w:r w:rsidR="006A33AF" w:rsidRPr="004118AE">
        <w:t>PCT.  Ai</w:t>
      </w:r>
      <w:r w:rsidR="00EF73C2" w:rsidRPr="004118AE">
        <w:t>nsi,</w:t>
      </w:r>
      <w:r w:rsidR="00DE417F" w:rsidRPr="004118AE">
        <w:t xml:space="preserve"> cet </w:t>
      </w:r>
      <w:r w:rsidR="00C96354" w:rsidRPr="004118AE">
        <w:t xml:space="preserve">office </w:t>
      </w:r>
      <w:r w:rsidR="00EF73C2" w:rsidRPr="004118AE">
        <w:t xml:space="preserve">qui possède une connaissance considérable des </w:t>
      </w:r>
      <w:r w:rsidR="00646742" w:rsidRPr="004118AE">
        <w:t>activités</w:t>
      </w:r>
      <w:r w:rsidRPr="004118AE">
        <w:t xml:space="preserve"> du PCT</w:t>
      </w:r>
      <w:r w:rsidR="00646742" w:rsidRPr="004118AE">
        <w:t>,</w:t>
      </w:r>
      <w:r w:rsidR="005B5812" w:rsidRPr="004118AE">
        <w:t xml:space="preserve"> ainsi qu</w:t>
      </w:r>
      <w:r w:rsidR="00FF47D7" w:rsidRPr="004118AE">
        <w:t>’</w:t>
      </w:r>
      <w:r w:rsidR="00EF73C2" w:rsidRPr="004118AE">
        <w:t xml:space="preserve">une </w:t>
      </w:r>
      <w:r w:rsidR="00E81C31" w:rsidRPr="004118AE">
        <w:t xml:space="preserve">grande </w:t>
      </w:r>
      <w:r w:rsidR="00EF73C2" w:rsidRPr="004118AE">
        <w:t>expérience en matière de recherche et d</w:t>
      </w:r>
      <w:r w:rsidR="00FF47D7" w:rsidRPr="004118AE">
        <w:t>’</w:t>
      </w:r>
      <w:r w:rsidR="00EF73C2" w:rsidRPr="004118AE">
        <w:t xml:space="preserve">examen </w:t>
      </w:r>
      <w:r w:rsidR="008F7E52" w:rsidRPr="004118AE">
        <w:t xml:space="preserve">quant au </w:t>
      </w:r>
      <w:r w:rsidR="00B95202" w:rsidRPr="004118AE">
        <w:t>fond</w:t>
      </w:r>
      <w:r w:rsidR="00EA6037" w:rsidRPr="004118AE">
        <w:t>, est convaincu</w:t>
      </w:r>
      <w:r w:rsidR="00EF73C2" w:rsidRPr="004118AE">
        <w:t xml:space="preserve"> d</w:t>
      </w:r>
      <w:r w:rsidR="00FF47D7" w:rsidRPr="004118AE">
        <w:t>’</w:t>
      </w:r>
      <w:r w:rsidR="00EF73C2" w:rsidRPr="004118AE">
        <w:t>assumer un rôle plus actif dans le système</w:t>
      </w:r>
      <w:r w:rsidRPr="004118AE">
        <w:t xml:space="preserve"> du PCT</w:t>
      </w:r>
      <w:r w:rsidR="00EF73C2" w:rsidRPr="004118AE">
        <w:t xml:space="preserve"> </w:t>
      </w:r>
      <w:r w:rsidR="00EA6037" w:rsidRPr="004118AE">
        <w:t>en qualité d</w:t>
      </w:r>
      <w:r w:rsidR="00FF47D7" w:rsidRPr="004118AE">
        <w:t>’</w:t>
      </w:r>
      <w:r w:rsidR="00EA6037" w:rsidRPr="004118AE">
        <w:t>administration chargée de la recherche internationale et d</w:t>
      </w:r>
      <w:r w:rsidR="00FF47D7" w:rsidRPr="004118AE">
        <w:t>’</w:t>
      </w:r>
      <w:r w:rsidR="00EA6037" w:rsidRPr="004118AE">
        <w:t>administration chargée de l</w:t>
      </w:r>
      <w:r w:rsidR="00FF47D7" w:rsidRPr="004118AE">
        <w:t>’</w:t>
      </w:r>
      <w:r w:rsidR="00EA6037" w:rsidRPr="004118AE">
        <w:t>examen préliminaire international</w:t>
      </w:r>
      <w:r w:rsidR="00EF73C2" w:rsidRPr="004118AE">
        <w:t>.</w:t>
      </w:r>
    </w:p>
    <w:p w14:paraId="1C49B277" w14:textId="266337AB" w:rsidR="00110FEA" w:rsidRPr="004118AE" w:rsidRDefault="004C5C7D" w:rsidP="00DA07A9">
      <w:pPr>
        <w:pStyle w:val="ONUMFS"/>
      </w:pPr>
      <w:r w:rsidRPr="004118AE">
        <w:t>L</w:t>
      </w:r>
      <w:r w:rsidR="00FF47D7" w:rsidRPr="004118AE">
        <w:t>’</w:t>
      </w:r>
      <w:r w:rsidRPr="004118AE">
        <w:t>IPOPHL est une organisation certifiée</w:t>
      </w:r>
      <w:r w:rsidR="00441EC9" w:rsidRPr="004118AE">
        <w:t xml:space="preserve"> ISO</w:t>
      </w:r>
      <w:r w:rsidR="006A33AF" w:rsidRPr="004118AE">
        <w:t> </w:t>
      </w:r>
      <w:r w:rsidR="00441EC9" w:rsidRPr="004118AE">
        <w:t>9001</w:t>
      </w:r>
      <w:r w:rsidR="00FF47D7" w:rsidRPr="004118AE">
        <w:t>:</w:t>
      </w:r>
      <w:r w:rsidRPr="004118AE">
        <w:t xml:space="preserve">2008 </w:t>
      </w:r>
      <w:r w:rsidR="004B3D85" w:rsidRPr="004118AE">
        <w:t>dotée</w:t>
      </w:r>
      <w:r w:rsidR="003166D7" w:rsidRPr="004118AE">
        <w:t xml:space="preserve"> </w:t>
      </w:r>
      <w:r w:rsidR="004B3D85" w:rsidRPr="004118AE">
        <w:t>d</w:t>
      </w:r>
      <w:r w:rsidR="00FF47D7" w:rsidRPr="004118AE">
        <w:t>’</w:t>
      </w:r>
      <w:r w:rsidRPr="004118AE">
        <w:t>un systèm</w:t>
      </w:r>
      <w:r w:rsidR="003166D7" w:rsidRPr="004118AE">
        <w:t>e de gestion de la qualité</w:t>
      </w:r>
      <w:r w:rsidRPr="004118AE">
        <w:t xml:space="preserve"> </w:t>
      </w:r>
      <w:r w:rsidR="009B3C93" w:rsidRPr="004118AE">
        <w:t>pour l</w:t>
      </w:r>
      <w:r w:rsidR="008153C0" w:rsidRPr="004118AE">
        <w:t>es procédures</w:t>
      </w:r>
      <w:r w:rsidRPr="004118AE">
        <w:t xml:space="preserve"> de base de recherche </w:t>
      </w:r>
      <w:r w:rsidR="0075685D" w:rsidRPr="004118AE">
        <w:t>et d</w:t>
      </w:r>
      <w:r w:rsidR="00FF47D7" w:rsidRPr="004118AE">
        <w:t>’</w:t>
      </w:r>
      <w:r w:rsidR="0075685D" w:rsidRPr="004118AE">
        <w:t xml:space="preserve">examen en matière </w:t>
      </w:r>
      <w:r w:rsidRPr="004118AE">
        <w:t xml:space="preserve">de brevets et </w:t>
      </w:r>
      <w:r w:rsidR="008153C0" w:rsidRPr="004118AE">
        <w:t>d</w:t>
      </w:r>
      <w:r w:rsidR="00FF47D7" w:rsidRPr="004118AE">
        <w:t>’</w:t>
      </w:r>
      <w:r w:rsidRPr="004118AE">
        <w:t>enregistrement des marques.</w:t>
      </w:r>
      <w:r w:rsidR="001647E2" w:rsidRPr="004118AE">
        <w:t xml:space="preserve"> </w:t>
      </w:r>
      <w:r w:rsidR="002C31F5" w:rsidRPr="004118AE">
        <w:t xml:space="preserve"> </w:t>
      </w:r>
      <w:r w:rsidR="002B2ADC" w:rsidRPr="004118AE">
        <w:t>L</w:t>
      </w:r>
      <w:r w:rsidR="00FF47D7" w:rsidRPr="004118AE">
        <w:t>’</w:t>
      </w:r>
      <w:r w:rsidR="002B2ADC" w:rsidRPr="004118AE">
        <w:t>IPOPHL a obtenu sa certification ISO</w:t>
      </w:r>
      <w:r w:rsidR="006A33AF" w:rsidRPr="004118AE">
        <w:t> </w:t>
      </w:r>
      <w:r w:rsidR="002B2ADC" w:rsidRPr="004118AE">
        <w:t>9001</w:t>
      </w:r>
      <w:r w:rsidR="00FF47D7" w:rsidRPr="004118AE">
        <w:t>:</w:t>
      </w:r>
      <w:r w:rsidR="002B2ADC" w:rsidRPr="004118AE">
        <w:t xml:space="preserve">2008 en </w:t>
      </w:r>
      <w:r w:rsidR="005F3FE3" w:rsidRPr="004118AE">
        <w:t>janvier 20</w:t>
      </w:r>
      <w:r w:rsidR="002B2ADC" w:rsidRPr="004118AE">
        <w:t xml:space="preserve">13 et sa certification de deuxième cycle en </w:t>
      </w:r>
      <w:r w:rsidR="005F3FE3" w:rsidRPr="004118AE">
        <w:t>janvier 20</w:t>
      </w:r>
      <w:r w:rsidR="002B2ADC" w:rsidRPr="004118AE">
        <w:t>16.</w:t>
      </w:r>
      <w:r w:rsidR="001647E2" w:rsidRPr="004118AE">
        <w:t xml:space="preserve"> </w:t>
      </w:r>
      <w:r w:rsidR="00AB46E8" w:rsidRPr="004118AE">
        <w:t xml:space="preserve"> </w:t>
      </w:r>
      <w:r w:rsidR="0050186B" w:rsidRPr="004118AE">
        <w:t>L</w:t>
      </w:r>
      <w:r w:rsidR="00FF47D7" w:rsidRPr="004118AE">
        <w:t>’</w:t>
      </w:r>
      <w:r w:rsidR="002C31F5" w:rsidRPr="004118AE">
        <w:t>IPOPHL a obtenu la certification ISO</w:t>
      </w:r>
      <w:r w:rsidR="004118AE" w:rsidRPr="004118AE">
        <w:t> </w:t>
      </w:r>
      <w:r w:rsidR="002C31F5" w:rsidRPr="004118AE">
        <w:t>9001</w:t>
      </w:r>
      <w:r w:rsidR="00FF47D7" w:rsidRPr="004118AE">
        <w:t>:</w:t>
      </w:r>
      <w:r w:rsidR="002C31F5" w:rsidRPr="004118AE">
        <w:t xml:space="preserve">2000 </w:t>
      </w:r>
      <w:r w:rsidR="00CC5CD3" w:rsidRPr="004118AE">
        <w:t xml:space="preserve">en application de </w:t>
      </w:r>
      <w:r w:rsidR="002C31F5" w:rsidRPr="004118AE">
        <w:t xml:space="preserve">la politique </w:t>
      </w:r>
      <w:r w:rsidR="00CC5CD3" w:rsidRPr="004118AE">
        <w:t xml:space="preserve">gouvernementale afin de </w:t>
      </w:r>
      <w:r w:rsidR="009816C5" w:rsidRPr="004118AE">
        <w:t xml:space="preserve">garantir </w:t>
      </w:r>
      <w:r w:rsidR="002C31F5" w:rsidRPr="004118AE">
        <w:t xml:space="preserve">que tous les organismes </w:t>
      </w:r>
      <w:r w:rsidR="006B0DD3" w:rsidRPr="004118AE">
        <w:t>obéissent à la volonté d</w:t>
      </w:r>
      <w:r w:rsidR="00FF47D7" w:rsidRPr="004118AE">
        <w:t>’</w:t>
      </w:r>
      <w:r w:rsidR="002C31F5" w:rsidRPr="004118AE">
        <w:t>amélioration con</w:t>
      </w:r>
      <w:r w:rsidR="006B0DD3" w:rsidRPr="004118AE">
        <w:t xml:space="preserve">stante </w:t>
      </w:r>
      <w:r w:rsidR="002C31F5" w:rsidRPr="004118AE">
        <w:t>de</w:t>
      </w:r>
      <w:r w:rsidR="006B0DD3" w:rsidRPr="004118AE">
        <w:t xml:space="preserve">s </w:t>
      </w:r>
      <w:r w:rsidR="002C31F5" w:rsidRPr="004118AE">
        <w:t>prestation</w:t>
      </w:r>
      <w:r w:rsidR="006B0DD3" w:rsidRPr="004118AE">
        <w:t>s fournies par</w:t>
      </w:r>
      <w:r w:rsidR="002C31F5" w:rsidRPr="004118AE">
        <w:t xml:space="preserve"> </w:t>
      </w:r>
      <w:r w:rsidR="006B0DD3" w:rsidRPr="004118AE">
        <w:t>l</w:t>
      </w:r>
      <w:r w:rsidR="002C31F5" w:rsidRPr="004118AE">
        <w:t xml:space="preserve">es services publics, </w:t>
      </w:r>
      <w:r w:rsidR="00CC5CD3" w:rsidRPr="004118AE">
        <w:t>d</w:t>
      </w:r>
      <w:r w:rsidR="00FF47D7" w:rsidRPr="004118AE">
        <w:t>’</w:t>
      </w:r>
      <w:r w:rsidR="002C31F5" w:rsidRPr="004118AE">
        <w:t>accroître la</w:t>
      </w:r>
      <w:r w:rsidR="00955707" w:rsidRPr="004118AE">
        <w:t xml:space="preserve"> productivité </w:t>
      </w:r>
      <w:r w:rsidR="002C31F5" w:rsidRPr="004118AE">
        <w:t>et l</w:t>
      </w:r>
      <w:r w:rsidR="00FF47D7" w:rsidRPr="004118AE">
        <w:t>’</w:t>
      </w:r>
      <w:r w:rsidR="002C31F5" w:rsidRPr="004118AE">
        <w:t>efficacité</w:t>
      </w:r>
      <w:r w:rsidR="00955707" w:rsidRPr="004118AE">
        <w:t xml:space="preserve"> de l</w:t>
      </w:r>
      <w:r w:rsidR="00FF47D7" w:rsidRPr="004118AE">
        <w:t>’</w:t>
      </w:r>
      <w:r w:rsidR="00C86E08" w:rsidRPr="004118AE">
        <w:t>o</w:t>
      </w:r>
      <w:r w:rsidR="00955707" w:rsidRPr="004118AE">
        <w:t>rganisation</w:t>
      </w:r>
      <w:r w:rsidR="002C31F5" w:rsidRPr="004118AE">
        <w:t xml:space="preserve">, et </w:t>
      </w:r>
      <w:r w:rsidR="00CC5CD3" w:rsidRPr="004118AE">
        <w:t>de</w:t>
      </w:r>
      <w:r w:rsidR="003637BE" w:rsidRPr="004118AE">
        <w:t xml:space="preserve"> </w:t>
      </w:r>
      <w:r w:rsidR="002C31F5" w:rsidRPr="004118AE">
        <w:t>promouvoir</w:t>
      </w:r>
      <w:r w:rsidR="0050186B" w:rsidRPr="004118AE">
        <w:t xml:space="preserve"> auprès des employés</w:t>
      </w:r>
      <w:r w:rsidR="002C31F5" w:rsidRPr="004118AE">
        <w:t xml:space="preserve"> </w:t>
      </w:r>
      <w:r w:rsidR="009816C5" w:rsidRPr="004118AE">
        <w:t>davantage d</w:t>
      </w:r>
      <w:r w:rsidR="002C31F5" w:rsidRPr="004118AE">
        <w:t xml:space="preserve">e professionnalisme et </w:t>
      </w:r>
      <w:r w:rsidR="0050186B" w:rsidRPr="004118AE">
        <w:t>de dévouement dans le trava</w:t>
      </w:r>
      <w:r w:rsidR="006A33AF" w:rsidRPr="004118AE">
        <w:t>il.  Ac</w:t>
      </w:r>
      <w:r w:rsidR="00072CA2" w:rsidRPr="004118AE">
        <w:t>tuellement, l</w:t>
      </w:r>
      <w:r w:rsidR="00FF47D7" w:rsidRPr="004118AE">
        <w:t>’</w:t>
      </w:r>
      <w:r w:rsidR="006668A6" w:rsidRPr="004118AE">
        <w:t>IPOPHL prépare la transition de la norme</w:t>
      </w:r>
      <w:r w:rsidR="00E65CB6" w:rsidRPr="004118AE">
        <w:t> </w:t>
      </w:r>
      <w:r w:rsidR="006668A6" w:rsidRPr="004118AE">
        <w:t>ISO</w:t>
      </w:r>
      <w:r w:rsidR="004118AE" w:rsidRPr="004118AE">
        <w:t> </w:t>
      </w:r>
      <w:r w:rsidR="006668A6" w:rsidRPr="004118AE">
        <w:t>9001</w:t>
      </w:r>
      <w:r w:rsidR="005F3FE3" w:rsidRPr="004118AE">
        <w:t>:</w:t>
      </w:r>
      <w:r w:rsidR="006668A6" w:rsidRPr="004118AE">
        <w:t xml:space="preserve">2008 </w:t>
      </w:r>
      <w:r w:rsidR="00453FDB" w:rsidRPr="004118AE">
        <w:t xml:space="preserve">à la </w:t>
      </w:r>
      <w:r w:rsidR="006668A6" w:rsidRPr="004118AE">
        <w:t>norme</w:t>
      </w:r>
      <w:r w:rsidR="00E65CB6" w:rsidRPr="004118AE">
        <w:t> </w:t>
      </w:r>
      <w:r w:rsidR="006668A6" w:rsidRPr="004118AE">
        <w:t>ISO</w:t>
      </w:r>
      <w:r w:rsidR="00D60E02" w:rsidRPr="004118AE">
        <w:t> </w:t>
      </w:r>
      <w:r w:rsidR="006668A6" w:rsidRPr="004118AE">
        <w:t>9001</w:t>
      </w:r>
      <w:r w:rsidR="005F3FE3" w:rsidRPr="004118AE">
        <w:t>:</w:t>
      </w:r>
      <w:r w:rsidR="008E0C57" w:rsidRPr="004118AE">
        <w:t>2015</w:t>
      </w:r>
      <w:r w:rsidR="006668A6" w:rsidRPr="004118AE">
        <w:t xml:space="preserve"> </w:t>
      </w:r>
      <w:r w:rsidR="00CC5CD3" w:rsidRPr="004118AE">
        <w:t xml:space="preserve">en vue de </w:t>
      </w:r>
      <w:r w:rsidR="006668A6" w:rsidRPr="004118AE">
        <w:t xml:space="preserve">renforcer </w:t>
      </w:r>
      <w:r w:rsidR="00CC5CD3" w:rsidRPr="004118AE">
        <w:t>encore la capacité d</w:t>
      </w:r>
      <w:r w:rsidR="00FF47D7" w:rsidRPr="004118AE">
        <w:t>’</w:t>
      </w:r>
      <w:r w:rsidR="00CC5CD3" w:rsidRPr="004118AE">
        <w:t xml:space="preserve">initiative </w:t>
      </w:r>
      <w:r w:rsidR="006668A6" w:rsidRPr="004118AE">
        <w:t>dans l</w:t>
      </w:r>
      <w:r w:rsidR="00FF47D7" w:rsidRPr="004118AE">
        <w:t>’</w:t>
      </w:r>
      <w:r w:rsidR="006668A6" w:rsidRPr="004118AE">
        <w:t>ensemble de l</w:t>
      </w:r>
      <w:r w:rsidR="00FF47D7" w:rsidRPr="004118AE">
        <w:t>’</w:t>
      </w:r>
      <w:r w:rsidR="006668A6" w:rsidRPr="004118AE">
        <w:t xml:space="preserve">organisation, </w:t>
      </w:r>
      <w:r w:rsidR="00CC5CD3" w:rsidRPr="004118AE">
        <w:t xml:space="preserve">de maintenir la bonne marche </w:t>
      </w:r>
      <w:r w:rsidR="006668A6" w:rsidRPr="004118AE">
        <w:t xml:space="preserve">des entreprises et </w:t>
      </w:r>
      <w:r w:rsidR="00CC5CD3" w:rsidRPr="004118AE">
        <w:t>d</w:t>
      </w:r>
      <w:r w:rsidR="00FF47D7" w:rsidRPr="004118AE">
        <w:t>’</w:t>
      </w:r>
      <w:r w:rsidR="00072CA2" w:rsidRPr="004118AE">
        <w:t xml:space="preserve">élaborer </w:t>
      </w:r>
      <w:r w:rsidR="006668A6" w:rsidRPr="004118AE">
        <w:t>des stratégies efficaces de gestion des risques.</w:t>
      </w:r>
    </w:p>
    <w:p w14:paraId="72ED62A4" w14:textId="5B5D8630" w:rsidR="005F3FE3" w:rsidRPr="004118AE" w:rsidRDefault="004775FA" w:rsidP="00DA07A9">
      <w:pPr>
        <w:pStyle w:val="ONUMFS"/>
      </w:pPr>
      <w:r w:rsidRPr="004118AE">
        <w:t>Les dépôts selon</w:t>
      </w:r>
      <w:r w:rsidR="005F3FE3" w:rsidRPr="004118AE">
        <w:t xml:space="preserve"> le PCT</w:t>
      </w:r>
      <w:r w:rsidRPr="004118AE">
        <w:t xml:space="preserve"> en provenance des Philippines </w:t>
      </w:r>
      <w:r w:rsidR="00040974" w:rsidRPr="004118AE">
        <w:t>sont susceptibles d</w:t>
      </w:r>
      <w:r w:rsidR="00FF47D7" w:rsidRPr="004118AE">
        <w:t>’</w:t>
      </w:r>
      <w:r w:rsidR="00040974" w:rsidRPr="004118AE">
        <w:t>être notablement amélior</w:t>
      </w:r>
      <w:r w:rsidR="006A33AF" w:rsidRPr="004118AE">
        <w:t>és.  Le</w:t>
      </w:r>
      <w:r w:rsidR="00040974" w:rsidRPr="004118AE">
        <w:t>s Philippines sont prêtes à devenir une administration internationale, grâce à une économie en pleine expansion au sein d</w:t>
      </w:r>
      <w:r w:rsidR="00FF47D7" w:rsidRPr="004118AE">
        <w:t>’</w:t>
      </w:r>
      <w:r w:rsidR="00040974" w:rsidRPr="004118AE">
        <w:t>une région dynamique qui s</w:t>
      </w:r>
      <w:r w:rsidR="00FF47D7" w:rsidRPr="004118AE">
        <w:t>’</w:t>
      </w:r>
      <w:r w:rsidR="00040974" w:rsidRPr="004118AE">
        <w:t>inscrit dans un solide programme national d</w:t>
      </w:r>
      <w:r w:rsidR="00FF47D7" w:rsidRPr="004118AE">
        <w:t>’</w:t>
      </w:r>
      <w:r w:rsidR="00040974" w:rsidRPr="004118AE">
        <w:t>innovation et de recherche, à une grande expérience de recherche et d</w:t>
      </w:r>
      <w:r w:rsidR="00FF47D7" w:rsidRPr="004118AE">
        <w:t>’</w:t>
      </w:r>
      <w:r w:rsidR="00040974" w:rsidRPr="004118AE">
        <w:t>examen en matière de brevets, à une connaissance des activités</w:t>
      </w:r>
      <w:r w:rsidR="005F3FE3" w:rsidRPr="004118AE">
        <w:t xml:space="preserve"> du PCT</w:t>
      </w:r>
      <w:r w:rsidR="00040974" w:rsidRPr="004118AE">
        <w:t xml:space="preserve"> et à un système de gestion de la qualité, le tout dans un contexte de demande croissante en faveur d</w:t>
      </w:r>
      <w:r w:rsidR="00FF47D7" w:rsidRPr="004118AE">
        <w:t>’</w:t>
      </w:r>
      <w:r w:rsidR="00040974" w:rsidRPr="004118AE">
        <w:t>une collaboration internationale.</w:t>
      </w:r>
    </w:p>
    <w:p w14:paraId="6BAD24CB" w14:textId="70AF7D41" w:rsidR="001647E2" w:rsidRPr="004118AE" w:rsidRDefault="00110FEA" w:rsidP="00DA07A9">
      <w:pPr>
        <w:pStyle w:val="Heading1"/>
      </w:pPr>
      <w:r w:rsidRPr="004118AE">
        <w:lastRenderedPageBreak/>
        <w:t>III.</w:t>
      </w:r>
      <w:r w:rsidR="00C44A62">
        <w:tab/>
      </w:r>
      <w:r w:rsidR="00C44A62" w:rsidRPr="004118AE">
        <w:t>Contexte</w:t>
      </w:r>
    </w:p>
    <w:p w14:paraId="26792DC0" w14:textId="77777777" w:rsidR="005F3FE3" w:rsidRDefault="0096012F" w:rsidP="00DA07A9">
      <w:pPr>
        <w:pStyle w:val="Heading3"/>
      </w:pPr>
      <w:r w:rsidRPr="004118AE">
        <w:t>Profil du pays</w:t>
      </w:r>
    </w:p>
    <w:p w14:paraId="343D00B5" w14:textId="77777777" w:rsidR="00C44A62" w:rsidRPr="00C44A62" w:rsidRDefault="00C44A62" w:rsidP="00DA07A9"/>
    <w:p w14:paraId="21B5749F" w14:textId="4AC9A460" w:rsidR="001647E2" w:rsidRPr="004118AE" w:rsidRDefault="0096012F" w:rsidP="00DA07A9">
      <w:pPr>
        <w:pStyle w:val="ONUMFS"/>
      </w:pPr>
      <w:r w:rsidRPr="004118AE">
        <w:t xml:space="preserve">Les Philippines </w:t>
      </w:r>
      <w:r w:rsidR="00F352E3" w:rsidRPr="004118AE">
        <w:t xml:space="preserve">ont une situation stratégique au cœur de la région Asie et </w:t>
      </w:r>
      <w:r w:rsidRPr="004118AE">
        <w:t>Pacifiq</w:t>
      </w:r>
      <w:r w:rsidR="006A33AF" w:rsidRPr="004118AE">
        <w:t>ue.  Le</w:t>
      </w:r>
      <w:r w:rsidR="00B6318A" w:rsidRPr="004118AE">
        <w:t xml:space="preserve"> pays </w:t>
      </w:r>
      <w:r w:rsidR="001A6D14" w:rsidRPr="004118AE">
        <w:t>tire avantage de sa</w:t>
      </w:r>
      <w:r w:rsidR="00B6318A" w:rsidRPr="004118AE">
        <w:t xml:space="preserve"> </w:t>
      </w:r>
      <w:r w:rsidR="001A6D14" w:rsidRPr="004118AE">
        <w:t xml:space="preserve">position </w:t>
      </w:r>
      <w:r w:rsidR="00B6318A" w:rsidRPr="004118AE">
        <w:t xml:space="preserve">insulaire par rapport au continent asiatique </w:t>
      </w:r>
      <w:r w:rsidR="00AF0F4D" w:rsidRPr="004118AE">
        <w:t xml:space="preserve">en entretenant </w:t>
      </w:r>
      <w:r w:rsidR="00B6318A" w:rsidRPr="004118AE">
        <w:t xml:space="preserve">des relations </w:t>
      </w:r>
      <w:r w:rsidR="00AF0F4D" w:rsidRPr="004118AE">
        <w:t xml:space="preserve">économiques solides et </w:t>
      </w:r>
      <w:r w:rsidR="001A6D14" w:rsidRPr="004118AE">
        <w:t xml:space="preserve">des relations </w:t>
      </w:r>
      <w:r w:rsidR="00AF0F4D" w:rsidRPr="004118AE">
        <w:t>diplomatiques pacifiques avec se</w:t>
      </w:r>
      <w:r w:rsidR="00B6318A" w:rsidRPr="004118AE">
        <w:t>s voisi</w:t>
      </w:r>
      <w:r w:rsidR="006A33AF" w:rsidRPr="004118AE">
        <w:t>ns.  En</w:t>
      </w:r>
      <w:r w:rsidR="008A2D6E" w:rsidRPr="004118AE">
        <w:t xml:space="preserve"> raison de cette position géographique, </w:t>
      </w:r>
      <w:r w:rsidR="00BC3CD7">
        <w:t xml:space="preserve">le pays est devenu </w:t>
      </w:r>
      <w:r w:rsidR="008A2D6E" w:rsidRPr="004118AE">
        <w:t>un</w:t>
      </w:r>
      <w:r w:rsidR="00D30D72" w:rsidRPr="004118AE">
        <w:t xml:space="preserve">e plaque tournante </w:t>
      </w:r>
      <w:r w:rsidR="008A2D6E" w:rsidRPr="004118AE">
        <w:t>important</w:t>
      </w:r>
      <w:r w:rsidR="00D30D72" w:rsidRPr="004118AE">
        <w:t>e</w:t>
      </w:r>
      <w:r w:rsidR="008A2D6E" w:rsidRPr="004118AE">
        <w:t xml:space="preserve"> pour le commerce et les investissements en Asie et dans le Pacifique.</w:t>
      </w:r>
    </w:p>
    <w:p w14:paraId="4947C11E" w14:textId="3A73FCA2" w:rsidR="001647E2" w:rsidRPr="004118AE" w:rsidRDefault="009801DF" w:rsidP="00DA07A9">
      <w:pPr>
        <w:pStyle w:val="ONUMFS"/>
      </w:pPr>
      <w:r w:rsidRPr="004118AE">
        <w:t xml:space="preserve">Les Philippines ont une population relativement jeune dont 57% </w:t>
      </w:r>
      <w:r w:rsidR="00BC3CD7">
        <w:t>est</w:t>
      </w:r>
      <w:r w:rsidRPr="004118AE">
        <w:t xml:space="preserve"> âgé</w:t>
      </w:r>
      <w:r w:rsidR="00BC3CD7">
        <w:t>e</w:t>
      </w:r>
      <w:r w:rsidRPr="004118AE">
        <w:t xml:space="preserve"> de 15 à 54</w:t>
      </w:r>
      <w:r w:rsidR="006A33AF" w:rsidRPr="004118AE">
        <w:t> </w:t>
      </w:r>
      <w:r w:rsidRPr="004118AE">
        <w:t>a</w:t>
      </w:r>
      <w:r w:rsidR="006A33AF" w:rsidRPr="004118AE">
        <w:t>ns.  Ce</w:t>
      </w:r>
      <w:r w:rsidR="009D01D8" w:rsidRPr="004118AE">
        <w:t>t atout démographique devrait permettre d</w:t>
      </w:r>
      <w:r w:rsidR="00FF47D7" w:rsidRPr="004118AE">
        <w:t>’</w:t>
      </w:r>
      <w:r w:rsidR="009D01D8" w:rsidRPr="004118AE">
        <w:t xml:space="preserve">y accélérer </w:t>
      </w:r>
      <w:r w:rsidR="009D01D8" w:rsidRPr="004118AE">
        <w:rPr>
          <w:shd w:val="clear" w:color="auto" w:fill="FFFFFF"/>
        </w:rPr>
        <w:t>l</w:t>
      </w:r>
      <w:r w:rsidR="00A2004C" w:rsidRPr="004118AE">
        <w:rPr>
          <w:shd w:val="clear" w:color="auto" w:fill="FFFFFF"/>
        </w:rPr>
        <w:t>a croissance économique</w:t>
      </w:r>
      <w:r w:rsidR="00A63DD6" w:rsidRPr="004118AE">
        <w:rPr>
          <w:shd w:val="clear" w:color="auto" w:fill="FFFFFF"/>
        </w:rPr>
        <w:t xml:space="preserve">, notamment grâce à la population de </w:t>
      </w:r>
      <w:r w:rsidR="004418D6" w:rsidRPr="004118AE">
        <w:rPr>
          <w:shd w:val="clear" w:color="auto" w:fill="FFFFFF"/>
        </w:rPr>
        <w:t>j</w:t>
      </w:r>
      <w:r w:rsidR="00A63DD6" w:rsidRPr="004118AE">
        <w:rPr>
          <w:shd w:val="clear" w:color="auto" w:fill="FFFFFF"/>
        </w:rPr>
        <w:t xml:space="preserve">eunes </w:t>
      </w:r>
      <w:r w:rsidR="009D01D8" w:rsidRPr="004118AE">
        <w:rPr>
          <w:shd w:val="clear" w:color="auto" w:fill="FFFFFF"/>
        </w:rPr>
        <w:t>hautement qualifiés</w:t>
      </w:r>
      <w:r w:rsidR="00A63DD6" w:rsidRPr="004118AE">
        <w:rPr>
          <w:shd w:val="clear" w:color="auto" w:fill="FFFFFF"/>
        </w:rPr>
        <w:t xml:space="preserve"> </w:t>
      </w:r>
      <w:r w:rsidR="004418D6" w:rsidRPr="004118AE">
        <w:rPr>
          <w:shd w:val="clear" w:color="auto" w:fill="FFFFFF"/>
        </w:rPr>
        <w:t>âgés de 25 à 34</w:t>
      </w:r>
      <w:r w:rsidR="006A33AF" w:rsidRPr="004118AE">
        <w:rPr>
          <w:shd w:val="clear" w:color="auto" w:fill="FFFFFF"/>
        </w:rPr>
        <w:t> </w:t>
      </w:r>
      <w:r w:rsidR="004418D6" w:rsidRPr="004118AE">
        <w:rPr>
          <w:shd w:val="clear" w:color="auto" w:fill="FFFFFF"/>
        </w:rPr>
        <w:t xml:space="preserve">ans </w:t>
      </w:r>
      <w:r w:rsidR="000C259C" w:rsidRPr="004118AE">
        <w:rPr>
          <w:shd w:val="clear" w:color="auto" w:fill="FFFFFF"/>
        </w:rPr>
        <w:t>dont on prévoit qu</w:t>
      </w:r>
      <w:r w:rsidR="00FF47D7" w:rsidRPr="004118AE">
        <w:rPr>
          <w:shd w:val="clear" w:color="auto" w:fill="FFFFFF"/>
        </w:rPr>
        <w:t>’</w:t>
      </w:r>
      <w:r w:rsidR="000C259C" w:rsidRPr="004118AE">
        <w:rPr>
          <w:shd w:val="clear" w:color="auto" w:fill="FFFFFF"/>
        </w:rPr>
        <w:t>ils représenteront</w:t>
      </w:r>
      <w:r w:rsidR="00A63DD6" w:rsidRPr="004118AE">
        <w:rPr>
          <w:shd w:val="clear" w:color="auto" w:fill="FFFFFF"/>
        </w:rPr>
        <w:t xml:space="preserve"> </w:t>
      </w:r>
      <w:r w:rsidR="00D86D8B" w:rsidRPr="004118AE">
        <w:rPr>
          <w:shd w:val="clear" w:color="auto" w:fill="FFFFFF"/>
        </w:rPr>
        <w:t xml:space="preserve">pas moins de </w:t>
      </w:r>
      <w:r w:rsidR="004418D6" w:rsidRPr="004118AE">
        <w:rPr>
          <w:shd w:val="clear" w:color="auto" w:fill="FFFFFF"/>
        </w:rPr>
        <w:t>25</w:t>
      </w:r>
      <w:r w:rsidR="00F94BE8" w:rsidRPr="004118AE">
        <w:rPr>
          <w:shd w:val="clear" w:color="auto" w:fill="FFFFFF"/>
        </w:rPr>
        <w:t>%</w:t>
      </w:r>
      <w:r w:rsidR="004418D6" w:rsidRPr="004118AE">
        <w:rPr>
          <w:shd w:val="clear" w:color="auto" w:fill="FFFFFF"/>
        </w:rPr>
        <w:t xml:space="preserve"> du produit intérieur brut (PIB)</w:t>
      </w:r>
      <w:r w:rsidR="00E06DFF" w:rsidRPr="004118AE">
        <w:rPr>
          <w:shd w:val="clear" w:color="auto" w:fill="FFFFFF"/>
        </w:rPr>
        <w:t xml:space="preserve"> </w:t>
      </w:r>
      <w:r w:rsidR="004418D6" w:rsidRPr="004118AE">
        <w:rPr>
          <w:shd w:val="clear" w:color="auto" w:fill="FFFFFF"/>
        </w:rPr>
        <w:t>d</w:t>
      </w:r>
      <w:r w:rsidR="00FF47D7" w:rsidRPr="004118AE">
        <w:rPr>
          <w:shd w:val="clear" w:color="auto" w:fill="FFFFFF"/>
        </w:rPr>
        <w:t>’</w:t>
      </w:r>
      <w:r w:rsidR="004418D6" w:rsidRPr="004118AE">
        <w:rPr>
          <w:shd w:val="clear" w:color="auto" w:fill="FFFFFF"/>
        </w:rPr>
        <w:t>ici 2020.</w:t>
      </w:r>
      <w:r w:rsidR="0083159A" w:rsidRPr="004118AE">
        <w:rPr>
          <w:shd w:val="clear" w:color="auto" w:fill="FFFFFF"/>
        </w:rPr>
        <w:t xml:space="preserve">  </w:t>
      </w:r>
      <w:r w:rsidR="00E06DFF" w:rsidRPr="004118AE">
        <w:t>De plus, le pays a un taux d</w:t>
      </w:r>
      <w:r w:rsidR="00FF47D7" w:rsidRPr="004118AE">
        <w:t>’</w:t>
      </w:r>
      <w:r w:rsidR="00E06DFF" w:rsidRPr="004118AE">
        <w:t xml:space="preserve">alphabétisation élevé </w:t>
      </w:r>
      <w:r w:rsidR="001E3B0C" w:rsidRPr="004118AE">
        <w:t>supérieur à</w:t>
      </w:r>
      <w:r w:rsidR="00E06DFF" w:rsidRPr="004118AE">
        <w:t xml:space="preserve"> 95</w:t>
      </w:r>
      <w:r w:rsidR="0083159A" w:rsidRPr="004118AE">
        <w:t>%</w:t>
      </w:r>
      <w:r w:rsidR="00E06DFF" w:rsidRPr="004118AE">
        <w:t>.</w:t>
      </w:r>
      <w:r w:rsidR="00110FEA" w:rsidRPr="004118AE">
        <w:t xml:space="preserve"> </w:t>
      </w:r>
      <w:r w:rsidR="00FF57A0" w:rsidRPr="004118AE">
        <w:t xml:space="preserve"> </w:t>
      </w:r>
      <w:r w:rsidR="0083159A" w:rsidRPr="004118AE">
        <w:t xml:space="preserve">Conscient du potentiel </w:t>
      </w:r>
      <w:r w:rsidR="00FF0350" w:rsidRPr="004118AE">
        <w:t xml:space="preserve">qui réside dans </w:t>
      </w:r>
      <w:r w:rsidR="00C42D06" w:rsidRPr="004118AE">
        <w:t>se</w:t>
      </w:r>
      <w:r w:rsidR="0083159A" w:rsidRPr="004118AE">
        <w:t>s ressources humaines</w:t>
      </w:r>
      <w:r w:rsidR="00C42D06" w:rsidRPr="004118AE">
        <w:t xml:space="preserve"> abondantes</w:t>
      </w:r>
      <w:r w:rsidR="0083159A" w:rsidRPr="004118AE">
        <w:t xml:space="preserve"> pour stimuler l</w:t>
      </w:r>
      <w:r w:rsidR="00FF47D7" w:rsidRPr="004118AE">
        <w:t>’</w:t>
      </w:r>
      <w:r w:rsidR="0083159A" w:rsidRPr="004118AE">
        <w:t xml:space="preserve">innovation et la recherche, le </w:t>
      </w:r>
      <w:r w:rsidR="00E65CB6" w:rsidRPr="004118AE">
        <w:t>Gouvernement</w:t>
      </w:r>
      <w:r w:rsidR="0083159A" w:rsidRPr="004118AE">
        <w:t xml:space="preserve"> philippin a systématiquement affecté un budget important à l</w:t>
      </w:r>
      <w:r w:rsidR="00FF47D7" w:rsidRPr="004118AE">
        <w:t>’</w:t>
      </w:r>
      <w:r w:rsidR="0083159A" w:rsidRPr="004118AE">
        <w:t>éducation, à la science et à la technologie.</w:t>
      </w:r>
    </w:p>
    <w:p w14:paraId="60C86F11" w14:textId="67CC2E05" w:rsidR="001647E2" w:rsidRPr="004118AE" w:rsidRDefault="007D577C" w:rsidP="00DA07A9">
      <w:pPr>
        <w:pStyle w:val="ONUMFS"/>
      </w:pPr>
      <w:r w:rsidRPr="004118AE">
        <w:t xml:space="preserve">La vigoureuse économie philippine est propulsée par </w:t>
      </w:r>
      <w:r w:rsidR="00D45D16" w:rsidRPr="004118AE">
        <w:t xml:space="preserve">des secteurs </w:t>
      </w:r>
      <w:r w:rsidRPr="004118AE">
        <w:t>industrie</w:t>
      </w:r>
      <w:r w:rsidR="00D45D16" w:rsidRPr="004118AE">
        <w:t>l</w:t>
      </w:r>
      <w:r w:rsidRPr="004118AE">
        <w:t xml:space="preserve">, </w:t>
      </w:r>
      <w:r w:rsidR="00D45D16" w:rsidRPr="004118AE">
        <w:t>manufacturier, tertiaire et agricole en pleine croissan</w:t>
      </w:r>
      <w:r w:rsidR="006A33AF" w:rsidRPr="004118AE">
        <w:t>ce.  Le</w:t>
      </w:r>
      <w:r w:rsidR="006D7F53" w:rsidRPr="004118AE">
        <w:t xml:space="preserve"> pays est un partenaire commercial actif des économies de premier plan et </w:t>
      </w:r>
      <w:r w:rsidR="00BC3CD7">
        <w:t>des pays avancés</w:t>
      </w:r>
      <w:r w:rsidR="006D7F53" w:rsidRPr="004118AE">
        <w:t>.</w:t>
      </w:r>
    </w:p>
    <w:p w14:paraId="0459D0D9" w14:textId="163B6C1C" w:rsidR="001647E2" w:rsidRDefault="00E3483A" w:rsidP="00DA07A9">
      <w:pPr>
        <w:pStyle w:val="Heading3"/>
      </w:pPr>
      <w:r w:rsidRPr="004118AE">
        <w:t xml:space="preserve">Le système de la propriété intellectuelle aux </w:t>
      </w:r>
      <w:r w:rsidR="00B04F58" w:rsidRPr="004118AE">
        <w:t>Philippines</w:t>
      </w:r>
    </w:p>
    <w:p w14:paraId="2350FA0B" w14:textId="77777777" w:rsidR="00C44A62" w:rsidRPr="00C44A62" w:rsidRDefault="00C44A62" w:rsidP="00DA07A9"/>
    <w:p w14:paraId="04ADB701" w14:textId="01272500" w:rsidR="001647E2" w:rsidRPr="004118AE" w:rsidRDefault="00B04F58" w:rsidP="00DA07A9">
      <w:pPr>
        <w:pStyle w:val="ONUMFS"/>
      </w:pPr>
      <w:r w:rsidRPr="004118AE">
        <w:t>Les Philippines ont l</w:t>
      </w:r>
      <w:r w:rsidR="00FF47D7" w:rsidRPr="004118AE">
        <w:t>’</w:t>
      </w:r>
      <w:r w:rsidRPr="004118AE">
        <w:t>une des plus longues expériences d</w:t>
      </w:r>
      <w:r w:rsidR="00FF47D7" w:rsidRPr="004118AE">
        <w:t>’</w:t>
      </w:r>
      <w:r w:rsidRPr="004118AE">
        <w:t>examen en matière de brevets en Asie du Sud</w:t>
      </w:r>
      <w:r w:rsidR="00BC3CD7">
        <w:noBreakHyphen/>
      </w:r>
      <w:r w:rsidRPr="004118AE">
        <w:t>E</w:t>
      </w:r>
      <w:r w:rsidR="006A33AF" w:rsidRPr="004118AE">
        <w:t>st.  Au</w:t>
      </w:r>
      <w:r w:rsidR="007242B6" w:rsidRPr="004118AE">
        <w:t>x Philippines, l</w:t>
      </w:r>
      <w:r w:rsidRPr="004118AE">
        <w:t xml:space="preserve">e système </w:t>
      </w:r>
      <w:r w:rsidR="007242B6" w:rsidRPr="004118AE">
        <w:t xml:space="preserve">indépendant </w:t>
      </w:r>
      <w:r w:rsidRPr="004118AE">
        <w:t>de</w:t>
      </w:r>
      <w:r w:rsidR="007242B6" w:rsidRPr="004118AE">
        <w:t>s</w:t>
      </w:r>
      <w:r w:rsidRPr="004118AE">
        <w:t xml:space="preserve"> brevets a été inst</w:t>
      </w:r>
      <w:r w:rsidR="007242B6" w:rsidRPr="004118AE">
        <w:t>auré</w:t>
      </w:r>
      <w:r w:rsidR="009722D2" w:rsidRPr="004118AE">
        <w:t xml:space="preserve"> avec l</w:t>
      </w:r>
      <w:r w:rsidR="00FF47D7" w:rsidRPr="004118AE">
        <w:t>’</w:t>
      </w:r>
      <w:r w:rsidR="009722D2" w:rsidRPr="004118AE">
        <w:t>adoption</w:t>
      </w:r>
      <w:r w:rsidR="00405861" w:rsidRPr="004118AE">
        <w:t>,</w:t>
      </w:r>
      <w:r w:rsidR="009722D2" w:rsidRPr="004118AE">
        <w:t xml:space="preserve"> </w:t>
      </w:r>
      <w:r w:rsidR="00405861" w:rsidRPr="004118AE">
        <w:t>le 2</w:t>
      </w:r>
      <w:r w:rsidR="005F3FE3" w:rsidRPr="004118AE">
        <w:t>0 juin 19</w:t>
      </w:r>
      <w:r w:rsidR="00405861" w:rsidRPr="004118AE">
        <w:t xml:space="preserve">47, </w:t>
      </w:r>
      <w:r w:rsidR="009722D2" w:rsidRPr="004118AE">
        <w:t>de la loi de</w:t>
      </w:r>
      <w:r w:rsidRPr="004118AE">
        <w:t xml:space="preserve"> la République </w:t>
      </w:r>
      <w:r w:rsidR="00B057B3" w:rsidRPr="004118AE">
        <w:t>n°</w:t>
      </w:r>
      <w:r w:rsidR="00E65CB6" w:rsidRPr="004118AE">
        <w:t> </w:t>
      </w:r>
      <w:r w:rsidRPr="004118AE">
        <w:t xml:space="preserve">165 intitulée </w:t>
      </w:r>
      <w:r w:rsidR="00E65CB6" w:rsidRPr="004118AE">
        <w:t>“</w:t>
      </w:r>
      <w:r w:rsidRPr="004118AE">
        <w:t>Loi créant un office des brevets, prescrivant ses pouvoirs e</w:t>
      </w:r>
      <w:r w:rsidR="009722D2" w:rsidRPr="004118AE">
        <w:t xml:space="preserve">t ses fonctions, réglementant </w:t>
      </w:r>
      <w:r w:rsidR="00B30B4C" w:rsidRPr="004118AE">
        <w:t xml:space="preserve">la </w:t>
      </w:r>
      <w:r w:rsidR="001E3B0C" w:rsidRPr="004118AE">
        <w:t xml:space="preserve">publication </w:t>
      </w:r>
      <w:r w:rsidRPr="004118AE">
        <w:t>de</w:t>
      </w:r>
      <w:r w:rsidR="00B30B4C" w:rsidRPr="004118AE">
        <w:t>s</w:t>
      </w:r>
      <w:r w:rsidRPr="004118AE">
        <w:t xml:space="preserve"> brevets et</w:t>
      </w:r>
      <w:r w:rsidR="00EF2FC6" w:rsidRPr="004118AE">
        <w:t xml:space="preserve"> l</w:t>
      </w:r>
      <w:r w:rsidR="00FF47D7" w:rsidRPr="004118AE">
        <w:t>’</w:t>
      </w:r>
      <w:r w:rsidR="00EF2FC6" w:rsidRPr="004118AE">
        <w:t>affectation d</w:t>
      </w:r>
      <w:r w:rsidR="001E3B0C" w:rsidRPr="004118AE">
        <w:t>e</w:t>
      </w:r>
      <w:r w:rsidRPr="004118AE">
        <w:t xml:space="preserve"> fonds </w:t>
      </w:r>
      <w:r w:rsidR="001E3B0C" w:rsidRPr="004118AE">
        <w:t>à cet effet</w:t>
      </w:r>
      <w:r w:rsidR="00D60E02" w:rsidRPr="004118AE">
        <w:t>”</w:t>
      </w:r>
      <w:r w:rsidR="00E65CB6" w:rsidRPr="004118AE">
        <w:t>.</w:t>
      </w:r>
      <w:r w:rsidR="00110FEA" w:rsidRPr="004118AE">
        <w:t xml:space="preserve"> </w:t>
      </w:r>
      <w:r w:rsidR="0038696D" w:rsidRPr="004118AE">
        <w:t xml:space="preserve"> </w:t>
      </w:r>
      <w:r w:rsidR="005F3FE3" w:rsidRPr="004118AE">
        <w:t>Depuis 1947</w:t>
      </w:r>
      <w:r w:rsidR="007737BE" w:rsidRPr="004118AE">
        <w:t>, l</w:t>
      </w:r>
      <w:r w:rsidR="00FF47D7" w:rsidRPr="004118AE">
        <w:t>’</w:t>
      </w:r>
      <w:r w:rsidR="007737BE" w:rsidRPr="004118AE">
        <w:t>Office des brevets des Philippines examine et délivre des brevets.</w:t>
      </w:r>
    </w:p>
    <w:p w14:paraId="17524E40" w14:textId="1BDE24BE" w:rsidR="001647E2" w:rsidRPr="004118AE" w:rsidRDefault="005F3FE3" w:rsidP="00DA07A9">
      <w:pPr>
        <w:pStyle w:val="ONUMFS"/>
      </w:pPr>
      <w:r w:rsidRPr="004118AE">
        <w:t>En 1995</w:t>
      </w:r>
      <w:r w:rsidR="00B057B3" w:rsidRPr="004118AE">
        <w:t>,</w:t>
      </w:r>
      <w:r w:rsidR="0021158F" w:rsidRPr="004118AE">
        <w:t xml:space="preserve"> </w:t>
      </w:r>
      <w:r w:rsidR="006E0833" w:rsidRPr="004118AE">
        <w:t xml:space="preserve">avec </w:t>
      </w:r>
      <w:r w:rsidR="0021158F" w:rsidRPr="004118AE">
        <w:t>l</w:t>
      </w:r>
      <w:r w:rsidR="00FF47D7" w:rsidRPr="004118AE">
        <w:t>’</w:t>
      </w:r>
      <w:r w:rsidR="0021158F" w:rsidRPr="004118AE">
        <w:t>adhésion des Philippines à l</w:t>
      </w:r>
      <w:r w:rsidR="00FF47D7" w:rsidRPr="004118AE">
        <w:t>’</w:t>
      </w:r>
      <w:r w:rsidR="0021158F" w:rsidRPr="004118AE">
        <w:t xml:space="preserve">Organisation mondiale du commerce et </w:t>
      </w:r>
      <w:r w:rsidR="00951BDD" w:rsidRPr="004118AE">
        <w:t xml:space="preserve">à </w:t>
      </w:r>
      <w:r w:rsidR="0021158F" w:rsidRPr="004118AE">
        <w:t>l</w:t>
      </w:r>
      <w:r w:rsidR="00FF47D7" w:rsidRPr="004118AE">
        <w:t>’</w:t>
      </w:r>
      <w:r w:rsidR="0021158F" w:rsidRPr="004118AE">
        <w:t xml:space="preserve">Accord sur les aspects des droits de propriété intellectuelle </w:t>
      </w:r>
      <w:r w:rsidR="001F23CD" w:rsidRPr="004118AE">
        <w:t xml:space="preserve">touchant </w:t>
      </w:r>
      <w:r w:rsidR="0021158F" w:rsidRPr="004118AE">
        <w:t>au commerce (Accord sur</w:t>
      </w:r>
      <w:r w:rsidRPr="004118AE">
        <w:t xml:space="preserve"> les ADP</w:t>
      </w:r>
      <w:r w:rsidR="0021158F" w:rsidRPr="004118AE">
        <w:t>IC)</w:t>
      </w:r>
      <w:r w:rsidR="006E0833" w:rsidRPr="004118AE">
        <w:t xml:space="preserve">, </w:t>
      </w:r>
      <w:r w:rsidR="0021158F" w:rsidRPr="004118AE">
        <w:t xml:space="preserve">une </w:t>
      </w:r>
      <w:r w:rsidR="00C8116F" w:rsidRPr="004118AE">
        <w:t xml:space="preserve">législation </w:t>
      </w:r>
      <w:r w:rsidR="009B43AA" w:rsidRPr="004118AE">
        <w:t xml:space="preserve">détaillée </w:t>
      </w:r>
      <w:r w:rsidR="0021158F" w:rsidRPr="004118AE">
        <w:t xml:space="preserve">et complète </w:t>
      </w:r>
      <w:r w:rsidR="00C8116F" w:rsidRPr="004118AE">
        <w:t>sur le</w:t>
      </w:r>
      <w:r w:rsidR="009B43AA" w:rsidRPr="004118AE">
        <w:t xml:space="preserve"> </w:t>
      </w:r>
      <w:r w:rsidR="0021158F" w:rsidRPr="004118AE">
        <w:t>système de</w:t>
      </w:r>
      <w:r w:rsidR="00B057B3" w:rsidRPr="004118AE">
        <w:t xml:space="preserve"> </w:t>
      </w:r>
      <w:r w:rsidR="008F0AF6" w:rsidRPr="004118AE">
        <w:t xml:space="preserve">la </w:t>
      </w:r>
      <w:r w:rsidR="00B057B3" w:rsidRPr="004118AE">
        <w:t xml:space="preserve">propriété intellectuelle </w:t>
      </w:r>
      <w:r w:rsidR="006E0833" w:rsidRPr="004118AE">
        <w:t>a été mise en place avec l</w:t>
      </w:r>
      <w:r w:rsidR="00FF47D7" w:rsidRPr="004118AE">
        <w:t>’</w:t>
      </w:r>
      <w:r w:rsidR="006E0833" w:rsidRPr="004118AE">
        <w:t xml:space="preserve">adoption de </w:t>
      </w:r>
      <w:r w:rsidR="0021158F" w:rsidRPr="004118AE">
        <w:t xml:space="preserve">la loi </w:t>
      </w:r>
      <w:r w:rsidR="00C8116F" w:rsidRPr="004118AE">
        <w:t xml:space="preserve">de la République </w:t>
      </w:r>
      <w:r w:rsidR="00B057B3" w:rsidRPr="004118AE">
        <w:t>n°</w:t>
      </w:r>
      <w:r w:rsidR="00E65CB6" w:rsidRPr="004118AE">
        <w:t> </w:t>
      </w:r>
      <w:r w:rsidR="0021158F" w:rsidRPr="004118AE">
        <w:t>8293 (R</w:t>
      </w:r>
      <w:r w:rsidR="00C8116F" w:rsidRPr="004118AE">
        <w:t>.</w:t>
      </w:r>
      <w:r w:rsidR="00D60E02" w:rsidRPr="004118AE">
        <w:t> </w:t>
      </w:r>
      <w:r w:rsidR="0021158F" w:rsidRPr="004118AE">
        <w:t>A</w:t>
      </w:r>
      <w:r w:rsidR="00C8116F" w:rsidRPr="004118AE">
        <w:t>.</w:t>
      </w:r>
      <w:r w:rsidR="00D60E02" w:rsidRPr="004118AE">
        <w:t> </w:t>
      </w:r>
      <w:r w:rsidR="0021158F" w:rsidRPr="004118AE">
        <w:t>8293)</w:t>
      </w:r>
      <w:r w:rsidR="006E0833" w:rsidRPr="004118AE">
        <w:t>, soit</w:t>
      </w:r>
      <w:r w:rsidR="00B057B3" w:rsidRPr="004118AE">
        <w:t xml:space="preserve"> le </w:t>
      </w:r>
      <w:r w:rsidR="00E65CB6" w:rsidRPr="004118AE">
        <w:t>“</w:t>
      </w:r>
      <w:r w:rsidR="00B057B3" w:rsidRPr="004118AE">
        <w:rPr>
          <w:i/>
        </w:rPr>
        <w:t>Code de la propriété intellectuelle des Philippines</w:t>
      </w:r>
      <w:r w:rsidR="00E65CB6" w:rsidRPr="004118AE">
        <w:t>”.</w:t>
      </w:r>
      <w:r w:rsidR="001647E2" w:rsidRPr="004118AE">
        <w:t xml:space="preserve"> </w:t>
      </w:r>
      <w:r w:rsidR="002937A8" w:rsidRPr="004118AE">
        <w:t xml:space="preserve"> </w:t>
      </w:r>
      <w:r w:rsidR="00552E21" w:rsidRPr="004118AE">
        <w:t>En vertu dudit Code, l</w:t>
      </w:r>
      <w:r w:rsidR="00FF47D7" w:rsidRPr="004118AE">
        <w:t>’</w:t>
      </w:r>
      <w:r w:rsidR="00552E21" w:rsidRPr="004118AE">
        <w:t>IPOPHL a été créé afin d</w:t>
      </w:r>
      <w:r w:rsidR="00FF47D7" w:rsidRPr="004118AE">
        <w:t>’</w:t>
      </w:r>
      <w:r w:rsidR="00552E21" w:rsidRPr="004118AE">
        <w:t>administrer un système</w:t>
      </w:r>
      <w:r w:rsidR="005B2F44" w:rsidRPr="004118AE">
        <w:t xml:space="preserve"> de</w:t>
      </w:r>
      <w:r w:rsidR="005B767C" w:rsidRPr="004118AE">
        <w:t xml:space="preserve"> propriété intellectuelle </w:t>
      </w:r>
      <w:r w:rsidR="00552E21" w:rsidRPr="004118AE">
        <w:t xml:space="preserve">efficace qui </w:t>
      </w:r>
      <w:r w:rsidR="003D7AB3" w:rsidRPr="004118AE">
        <w:t>protège</w:t>
      </w:r>
      <w:r w:rsidR="00552E21" w:rsidRPr="004118AE">
        <w:t xml:space="preserve"> l</w:t>
      </w:r>
      <w:r w:rsidR="008F0AF6" w:rsidRPr="004118AE">
        <w:t xml:space="preserve">es </w:t>
      </w:r>
      <w:r w:rsidR="00552E21" w:rsidRPr="004118AE">
        <w:t>invention</w:t>
      </w:r>
      <w:r w:rsidR="008F0AF6" w:rsidRPr="004118AE">
        <w:t>s</w:t>
      </w:r>
      <w:r w:rsidR="00552E21" w:rsidRPr="004118AE">
        <w:t>, le</w:t>
      </w:r>
      <w:r w:rsidR="008F0AF6" w:rsidRPr="004118AE">
        <w:t>s</w:t>
      </w:r>
      <w:r w:rsidR="00552E21" w:rsidRPr="004118AE">
        <w:t xml:space="preserve"> modèle</w:t>
      </w:r>
      <w:r w:rsidR="008F0AF6" w:rsidRPr="004118AE">
        <w:t>s</w:t>
      </w:r>
      <w:r w:rsidR="00552E21" w:rsidRPr="004118AE">
        <w:t xml:space="preserve"> d</w:t>
      </w:r>
      <w:r w:rsidR="00FF47D7" w:rsidRPr="004118AE">
        <w:t>’</w:t>
      </w:r>
      <w:r w:rsidR="00552E21" w:rsidRPr="004118AE">
        <w:t xml:space="preserve">utilité, </w:t>
      </w:r>
      <w:r w:rsidR="008F0AF6" w:rsidRPr="004118AE">
        <w:t>les dessins et modèles industriels</w:t>
      </w:r>
      <w:r w:rsidR="00552E21" w:rsidRPr="004118AE">
        <w:t>, les marques, le droit d</w:t>
      </w:r>
      <w:r w:rsidR="00FF47D7" w:rsidRPr="004118AE">
        <w:t>’</w:t>
      </w:r>
      <w:r w:rsidR="00552E21" w:rsidRPr="004118AE">
        <w:t xml:space="preserve">auteur </w:t>
      </w:r>
      <w:r w:rsidR="002937A8" w:rsidRPr="004118AE">
        <w:t xml:space="preserve">et les schémas de configuration </w:t>
      </w:r>
      <w:r w:rsidR="00552E21" w:rsidRPr="004118AE">
        <w:t>de</w:t>
      </w:r>
      <w:r w:rsidR="002937A8" w:rsidRPr="004118AE">
        <w:t>s</w:t>
      </w:r>
      <w:r w:rsidR="00552E21" w:rsidRPr="004118AE">
        <w:t xml:space="preserve"> circuits intégrés, entre autres.</w:t>
      </w:r>
    </w:p>
    <w:p w14:paraId="4B909928" w14:textId="507B7956" w:rsidR="001647E2" w:rsidRPr="004118AE" w:rsidRDefault="00176A66" w:rsidP="00DA07A9">
      <w:pPr>
        <w:pStyle w:val="ONUMFS"/>
      </w:pPr>
      <w:r w:rsidRPr="004118AE">
        <w:t>Les Philippines sont devenues parties à la Convention de Paris pour la protection de la propriété industrielle le 1</w:t>
      </w:r>
      <w:r w:rsidR="005F3FE3" w:rsidRPr="004118AE">
        <w:t>2 août 19</w:t>
      </w:r>
      <w:r w:rsidRPr="004118AE">
        <w:t>65, membre de l</w:t>
      </w:r>
      <w:r w:rsidR="006A33AF" w:rsidRPr="004118AE">
        <w:t>’</w:t>
      </w:r>
      <w:r w:rsidRPr="004118AE">
        <w:t xml:space="preserve">OMPI </w:t>
      </w:r>
      <w:r w:rsidR="005F3FE3" w:rsidRPr="004118AE">
        <w:t>en 1980</w:t>
      </w:r>
      <w:r w:rsidRPr="004118AE">
        <w:t xml:space="preserve"> et ont adhéré au Traité de Budapest </w:t>
      </w:r>
      <w:r w:rsidR="005F3FE3" w:rsidRPr="004118AE">
        <w:t>en 1981</w:t>
      </w:r>
      <w:r w:rsidRPr="004118AE">
        <w:t>.</w:t>
      </w:r>
    </w:p>
    <w:p w14:paraId="05507E4F" w14:textId="32756FE9" w:rsidR="001647E2" w:rsidRPr="004118AE" w:rsidRDefault="000C4DA9" w:rsidP="00DA07A9">
      <w:pPr>
        <w:pStyle w:val="ONUMFS"/>
      </w:pPr>
      <w:r w:rsidRPr="004118AE">
        <w:t>Les Philippines sont également signataires d</w:t>
      </w:r>
      <w:r w:rsidR="00FF47D7" w:rsidRPr="004118AE">
        <w:t>’</w:t>
      </w:r>
      <w:r w:rsidRPr="004118AE">
        <w:t>autres traités et accords administrés par l</w:t>
      </w:r>
      <w:r w:rsidR="00FF47D7" w:rsidRPr="004118AE">
        <w:t>’</w:t>
      </w:r>
      <w:r w:rsidRPr="004118AE">
        <w:t>OMPI tels que la Convention de Berne, le Protocole de Madrid, la Convention pour la protection des producteurs de phonogrammes, la Convention de Rome, le Traité de l</w:t>
      </w:r>
      <w:r w:rsidR="00FF47D7" w:rsidRPr="004118AE">
        <w:t>’</w:t>
      </w:r>
      <w:r w:rsidRPr="004118AE">
        <w:t>OMPI sur le droit d</w:t>
      </w:r>
      <w:r w:rsidR="00FF47D7" w:rsidRPr="004118AE">
        <w:t>’</w:t>
      </w:r>
      <w:r w:rsidRPr="004118AE">
        <w:t xml:space="preserve">auteur </w:t>
      </w:r>
      <w:r w:rsidR="00597578" w:rsidRPr="004118AE">
        <w:t xml:space="preserve">ainsi que </w:t>
      </w:r>
      <w:r w:rsidRPr="004118AE">
        <w:t xml:space="preserve">le </w:t>
      </w:r>
      <w:r w:rsidR="00597578" w:rsidRPr="004118AE">
        <w:t>Traité de l</w:t>
      </w:r>
      <w:r w:rsidR="00FF47D7" w:rsidRPr="004118AE">
        <w:t>’</w:t>
      </w:r>
      <w:r w:rsidR="00597578" w:rsidRPr="004118AE">
        <w:t>OMPI sur les interprétations et exécutions et les phonogrammes</w:t>
      </w:r>
      <w:r w:rsidRPr="004118AE">
        <w:t>.</w:t>
      </w:r>
    </w:p>
    <w:p w14:paraId="7C0A49F4" w14:textId="3182A6B5" w:rsidR="00110FEA" w:rsidRPr="004118AE" w:rsidRDefault="00032A8D" w:rsidP="00DA07A9">
      <w:pPr>
        <w:pStyle w:val="ONUMFS"/>
      </w:pPr>
      <w:r w:rsidRPr="004118AE">
        <w:rPr>
          <w:iCs/>
        </w:rPr>
        <w:t>Les Philippines disposent d</w:t>
      </w:r>
      <w:r w:rsidR="00FF47D7" w:rsidRPr="004118AE">
        <w:rPr>
          <w:iCs/>
        </w:rPr>
        <w:t>’</w:t>
      </w:r>
      <w:r w:rsidRPr="004118AE">
        <w:rPr>
          <w:iCs/>
        </w:rPr>
        <w:t xml:space="preserve">une solide infrastructure juridique, institutionnelle et opérationnelle en matière de propriété intellectuelle, démontrant </w:t>
      </w:r>
      <w:r w:rsidR="00345C94" w:rsidRPr="004118AE">
        <w:rPr>
          <w:iCs/>
        </w:rPr>
        <w:t xml:space="preserve">ainsi un </w:t>
      </w:r>
      <w:r w:rsidRPr="004118AE">
        <w:rPr>
          <w:iCs/>
        </w:rPr>
        <w:t>engagement sérieux en faveur du renforcement de la compétitivité</w:t>
      </w:r>
      <w:r w:rsidR="005A40B2" w:rsidRPr="004118AE">
        <w:rPr>
          <w:iCs/>
        </w:rPr>
        <w:t xml:space="preserve"> au niveau national</w:t>
      </w:r>
      <w:r w:rsidRPr="004118AE">
        <w:rPr>
          <w:iCs/>
        </w:rPr>
        <w:t xml:space="preserve"> et du développement des innovations et des technologies.</w:t>
      </w:r>
    </w:p>
    <w:p w14:paraId="31C40AC1" w14:textId="1417F709" w:rsidR="001647E2" w:rsidRDefault="009B032E" w:rsidP="00DA07A9">
      <w:pPr>
        <w:pStyle w:val="Heading3"/>
      </w:pPr>
      <w:r w:rsidRPr="004118AE">
        <w:lastRenderedPageBreak/>
        <w:t xml:space="preserve">Stratégie philippine </w:t>
      </w:r>
      <w:r w:rsidR="00CA7666" w:rsidRPr="004118AE">
        <w:t xml:space="preserve">en matière </w:t>
      </w:r>
      <w:r w:rsidRPr="004118AE">
        <w:t>de développement et d</w:t>
      </w:r>
      <w:r w:rsidR="00FF47D7" w:rsidRPr="004118AE">
        <w:t>’</w:t>
      </w:r>
      <w:r w:rsidRPr="004118AE">
        <w:t>innovation</w:t>
      </w:r>
    </w:p>
    <w:p w14:paraId="74954D1D" w14:textId="77777777" w:rsidR="00C44A62" w:rsidRPr="00C44A62" w:rsidRDefault="00C44A62" w:rsidP="00DA07A9"/>
    <w:p w14:paraId="48DD645B" w14:textId="4DDE7BCD" w:rsidR="00110FEA" w:rsidRPr="004118AE" w:rsidRDefault="00B82620" w:rsidP="00DA07A9">
      <w:pPr>
        <w:pStyle w:val="ONUMFS"/>
      </w:pPr>
      <w:r w:rsidRPr="004118AE">
        <w:t>À mesure que les Philippines s</w:t>
      </w:r>
      <w:r w:rsidR="00FF47D7" w:rsidRPr="004118AE">
        <w:t>’</w:t>
      </w:r>
      <w:r w:rsidRPr="004118AE">
        <w:t xml:space="preserve">orientent vers une économie fondée sur </w:t>
      </w:r>
      <w:r w:rsidR="00317F4D" w:rsidRPr="004118AE">
        <w:t>le savoir</w:t>
      </w:r>
      <w:r w:rsidRPr="004118AE">
        <w:t>, elles adoptent une stratégie d</w:t>
      </w:r>
      <w:r w:rsidR="00FF47D7" w:rsidRPr="004118AE">
        <w:t>’</w:t>
      </w:r>
      <w:r w:rsidRPr="004118AE">
        <w:t>innovation et de recherche visant à développer</w:t>
      </w:r>
      <w:r w:rsidR="00FF47D7" w:rsidRPr="004118AE">
        <w:t> :</w:t>
      </w:r>
      <w:r w:rsidRPr="004118AE">
        <w:t xml:space="preserve"> a)</w:t>
      </w:r>
      <w:r w:rsidR="00E65CB6" w:rsidRPr="004118AE">
        <w:t> </w:t>
      </w:r>
      <w:r w:rsidRPr="004118AE">
        <w:t>une main</w:t>
      </w:r>
      <w:r w:rsidR="00BC3CD7">
        <w:noBreakHyphen/>
      </w:r>
      <w:r w:rsidRPr="004118AE">
        <w:t>d</w:t>
      </w:r>
      <w:r w:rsidR="00FF47D7" w:rsidRPr="004118AE">
        <w:t>’</w:t>
      </w:r>
      <w:r w:rsidRPr="004118AE">
        <w:t xml:space="preserve">œuvre compétitive et polyvalente compétente dans la production de services à valeur ajoutée basés sur </w:t>
      </w:r>
      <w:r w:rsidR="00317F4D" w:rsidRPr="004118AE">
        <w:t>le savoir</w:t>
      </w:r>
      <w:r w:rsidR="00602795" w:rsidRPr="004118AE">
        <w:t xml:space="preserve"> et de qualité reconnue</w:t>
      </w:r>
      <w:r w:rsidR="00E65CB6" w:rsidRPr="004118AE">
        <w:t xml:space="preserve">; </w:t>
      </w:r>
      <w:r w:rsidR="001647E2" w:rsidRPr="004118AE">
        <w:t xml:space="preserve"> </w:t>
      </w:r>
      <w:r w:rsidRPr="004118AE">
        <w:t>b)</w:t>
      </w:r>
      <w:r w:rsidR="00E65CB6" w:rsidRPr="004118AE">
        <w:t> </w:t>
      </w:r>
      <w:r w:rsidRPr="004118AE">
        <w:t xml:space="preserve">des entreprises locales compétitives, </w:t>
      </w:r>
      <w:r w:rsidR="008F2613" w:rsidRPr="004118AE">
        <w:t>mues</w:t>
      </w:r>
      <w:r w:rsidR="00AE5D32" w:rsidRPr="004118AE">
        <w:t xml:space="preserve"> ou stimulées par d</w:t>
      </w:r>
      <w:r w:rsidRPr="004118AE">
        <w:t xml:space="preserve">es innovations constantes </w:t>
      </w:r>
      <w:r w:rsidR="00B96A11" w:rsidRPr="004118AE">
        <w:t>elles</w:t>
      </w:r>
      <w:r w:rsidR="00BC3CD7">
        <w:noBreakHyphen/>
      </w:r>
      <w:r w:rsidR="00B96A11" w:rsidRPr="004118AE">
        <w:t xml:space="preserve">mêmes </w:t>
      </w:r>
      <w:r w:rsidRPr="004118AE">
        <w:t xml:space="preserve">engendrées par </w:t>
      </w:r>
      <w:r w:rsidR="00AE5D32" w:rsidRPr="004118AE">
        <w:t>u</w:t>
      </w:r>
      <w:r w:rsidR="00B96A11" w:rsidRPr="004118AE">
        <w:t xml:space="preserve">n essor </w:t>
      </w:r>
      <w:r w:rsidRPr="004118AE">
        <w:t xml:space="preserve">de la </w:t>
      </w:r>
      <w:r w:rsidR="00AE5D32" w:rsidRPr="004118AE">
        <w:t>recherche</w:t>
      </w:r>
      <w:r w:rsidR="00BC3CD7">
        <w:noBreakHyphen/>
      </w:r>
      <w:r w:rsidR="00AE5D32" w:rsidRPr="004118AE">
        <w:t>développement</w:t>
      </w:r>
      <w:r w:rsidR="00E65CB6" w:rsidRPr="004118AE">
        <w:t xml:space="preserve">; </w:t>
      </w:r>
      <w:r w:rsidR="005B0C2C" w:rsidRPr="004118AE">
        <w:t xml:space="preserve"> </w:t>
      </w:r>
      <w:r w:rsidR="00B96A11" w:rsidRPr="004118AE">
        <w:t>et c)</w:t>
      </w:r>
      <w:r w:rsidR="00E65CB6" w:rsidRPr="004118AE">
        <w:t> </w:t>
      </w:r>
      <w:r w:rsidR="00B96A11" w:rsidRPr="004118AE">
        <w:t xml:space="preserve">un </w:t>
      </w:r>
      <w:r w:rsidR="00CE7DB5" w:rsidRPr="004118AE">
        <w:t xml:space="preserve">cadre </w:t>
      </w:r>
      <w:r w:rsidR="00B96A11" w:rsidRPr="004118AE">
        <w:t>de politiques publiques garantissant une innovation permanente non seulement par le biais d</w:t>
      </w:r>
      <w:r w:rsidR="00FF47D7" w:rsidRPr="004118AE">
        <w:t>’</w:t>
      </w:r>
      <w:r w:rsidR="00B96A11" w:rsidRPr="004118AE">
        <w:t>initiatives prises par les pouvoirs exécutif, législatif et judiciaire, mais aussi par le biais de programmes gouvernementaux locaux.</w:t>
      </w:r>
    </w:p>
    <w:p w14:paraId="705FD384" w14:textId="611E1D9E" w:rsidR="001647E2" w:rsidRPr="004118AE" w:rsidRDefault="00196FB9" w:rsidP="00DA07A9">
      <w:pPr>
        <w:pStyle w:val="ONUMFS"/>
      </w:pPr>
      <w:r w:rsidRPr="004118AE">
        <w:t>Les programmes nationaux de recherche</w:t>
      </w:r>
      <w:r w:rsidR="00BC3CD7">
        <w:noBreakHyphen/>
      </w:r>
      <w:r w:rsidRPr="004118AE">
        <w:t xml:space="preserve">développement sont </w:t>
      </w:r>
      <w:r w:rsidR="00552F2D" w:rsidRPr="004118AE">
        <w:t xml:space="preserve">consolidés </w:t>
      </w:r>
      <w:r w:rsidRPr="004118AE">
        <w:t>par des initiatives efficaces et fonctionnelles qui visent à renforcer les capacités d</w:t>
      </w:r>
      <w:r w:rsidR="00FF47D7" w:rsidRPr="004118AE">
        <w:t>’</w:t>
      </w:r>
      <w:r w:rsidRPr="004118AE">
        <w:t>innovation des investisseurs nationaux et étrange</w:t>
      </w:r>
      <w:r w:rsidR="006A33AF" w:rsidRPr="004118AE">
        <w:t>rs.  Le</w:t>
      </w:r>
      <w:r w:rsidR="00112DCF" w:rsidRPr="004118AE">
        <w:t xml:space="preserve">s Philippines ont </w:t>
      </w:r>
      <w:r w:rsidR="00CA4D45" w:rsidRPr="004118AE">
        <w:t>instauré</w:t>
      </w:r>
      <w:r w:rsidR="00112DCF" w:rsidRPr="004118AE">
        <w:t xml:space="preserve"> le Programme national harmonisé de recher</w:t>
      </w:r>
      <w:r w:rsidR="0010620D" w:rsidRPr="004118AE">
        <w:t>che</w:t>
      </w:r>
      <w:r w:rsidR="00BC3CD7">
        <w:noBreakHyphen/>
      </w:r>
      <w:r w:rsidR="0010620D" w:rsidRPr="004118AE">
        <w:t>développement (HNRDA)</w:t>
      </w:r>
      <w:r w:rsidR="00112DCF" w:rsidRPr="004118AE">
        <w:t xml:space="preserve"> conçu pour </w:t>
      </w:r>
      <w:r w:rsidR="0010620D" w:rsidRPr="004118AE">
        <w:t xml:space="preserve">amener le pays vers une </w:t>
      </w:r>
      <w:r w:rsidR="00112DCF" w:rsidRPr="004118AE">
        <w:t>auto</w:t>
      </w:r>
      <w:r w:rsidR="0010620D" w:rsidRPr="004118AE">
        <w:t>nomie</w:t>
      </w:r>
      <w:r w:rsidR="00112DCF" w:rsidRPr="004118AE">
        <w:t xml:space="preserve"> technologiq</w:t>
      </w:r>
      <w:r w:rsidR="006A33AF" w:rsidRPr="004118AE">
        <w:t>ue.  Da</w:t>
      </w:r>
      <w:r w:rsidR="00780FCE" w:rsidRPr="004118AE">
        <w:t>ns le cadre d</w:t>
      </w:r>
      <w:r w:rsidR="0056456B" w:rsidRPr="004118AE">
        <w:t xml:space="preserve">e ce </w:t>
      </w:r>
      <w:r w:rsidR="00BC3CD7" w:rsidRPr="004118AE">
        <w:t>programme</w:t>
      </w:r>
      <w:r w:rsidR="0056456B" w:rsidRPr="004118AE">
        <w:t>,</w:t>
      </w:r>
      <w:r w:rsidR="00780FCE" w:rsidRPr="004118AE">
        <w:t xml:space="preserve"> les initiatives</w:t>
      </w:r>
      <w:r w:rsidR="00733577" w:rsidRPr="004118AE">
        <w:t xml:space="preserve"> en matière</w:t>
      </w:r>
      <w:r w:rsidR="00780FCE" w:rsidRPr="004118AE">
        <w:t xml:space="preserve"> de recherche</w:t>
      </w:r>
      <w:r w:rsidR="00BC3CD7">
        <w:noBreakHyphen/>
      </w:r>
      <w:r w:rsidR="00780FCE" w:rsidRPr="004118AE">
        <w:t>développement entreprises par les institutions publi</w:t>
      </w:r>
      <w:r w:rsidR="00733577" w:rsidRPr="004118AE">
        <w:t>ques, les administrations, les établissements d</w:t>
      </w:r>
      <w:r w:rsidR="00FF47D7" w:rsidRPr="004118AE">
        <w:t>’</w:t>
      </w:r>
      <w:r w:rsidR="00733577" w:rsidRPr="004118AE">
        <w:t xml:space="preserve">enseignement supérieur </w:t>
      </w:r>
      <w:r w:rsidR="00780FCE" w:rsidRPr="004118AE">
        <w:t xml:space="preserve">et les universités </w:t>
      </w:r>
      <w:r w:rsidR="00733577" w:rsidRPr="004118AE">
        <w:t xml:space="preserve">publics </w:t>
      </w:r>
      <w:r w:rsidR="00780FCE" w:rsidRPr="004118AE">
        <w:t xml:space="preserve">ainsi que </w:t>
      </w:r>
      <w:r w:rsidR="00733577" w:rsidRPr="004118AE">
        <w:t xml:space="preserve">par </w:t>
      </w:r>
      <w:r w:rsidR="00780FCE" w:rsidRPr="004118AE">
        <w:t>le secteur privé sont harmonisées en fonction des priorités du gouverneme</w:t>
      </w:r>
      <w:r w:rsidR="006A33AF" w:rsidRPr="004118AE">
        <w:t>nt.  Le</w:t>
      </w:r>
      <w:r w:rsidR="005F3FE3" w:rsidRPr="004118AE">
        <w:t> HNR</w:t>
      </w:r>
      <w:r w:rsidR="003520C8" w:rsidRPr="004118AE">
        <w:t>DA est mis en œuvre à l</w:t>
      </w:r>
      <w:r w:rsidR="00FF47D7" w:rsidRPr="004118AE">
        <w:t>’</w:t>
      </w:r>
      <w:r w:rsidR="003520C8" w:rsidRPr="004118AE">
        <w:t>aide de consortiums et de conseils d</w:t>
      </w:r>
      <w:r w:rsidR="00CA4D45" w:rsidRPr="004118AE">
        <w:t>e recherche dans cinq</w:t>
      </w:r>
      <w:r w:rsidR="00E65CB6" w:rsidRPr="004118AE">
        <w:t> </w:t>
      </w:r>
      <w:r w:rsidR="00CA4D45" w:rsidRPr="004118AE">
        <w:t>secteurs</w:t>
      </w:r>
      <w:r w:rsidR="00FF47D7" w:rsidRPr="004118AE">
        <w:t> :</w:t>
      </w:r>
      <w:r w:rsidR="003520C8" w:rsidRPr="004118AE">
        <w:t xml:space="preserve"> la recherche fondamentale </w:t>
      </w:r>
      <w:r w:rsidR="00E265F2" w:rsidRPr="004118AE">
        <w:t xml:space="preserve">nationale </w:t>
      </w:r>
      <w:r w:rsidR="003520C8" w:rsidRPr="004118AE">
        <w:t>intégrée</w:t>
      </w:r>
      <w:r w:rsidR="00E65CB6" w:rsidRPr="004118AE">
        <w:t xml:space="preserve">; </w:t>
      </w:r>
      <w:r w:rsidR="003520C8" w:rsidRPr="004118AE">
        <w:t xml:space="preserve"> </w:t>
      </w:r>
      <w:r w:rsidR="002F3036" w:rsidRPr="004118AE">
        <w:t>la santé</w:t>
      </w:r>
      <w:r w:rsidR="00E65CB6" w:rsidRPr="004118AE">
        <w:t xml:space="preserve">; </w:t>
      </w:r>
      <w:r w:rsidR="00C56398" w:rsidRPr="004118AE">
        <w:t xml:space="preserve"> </w:t>
      </w:r>
      <w:r w:rsidR="002F3036" w:rsidRPr="004118AE">
        <w:t>l</w:t>
      </w:r>
      <w:r w:rsidR="00FF47D7" w:rsidRPr="004118AE">
        <w:t>’</w:t>
      </w:r>
      <w:r w:rsidR="00110FEA" w:rsidRPr="004118AE">
        <w:t xml:space="preserve">agriculture, </w:t>
      </w:r>
      <w:r w:rsidR="00C56398" w:rsidRPr="004118AE">
        <w:t>les ressources aquatiques et naturelles</w:t>
      </w:r>
      <w:r w:rsidR="00E65CB6" w:rsidRPr="004118AE">
        <w:t xml:space="preserve">; </w:t>
      </w:r>
      <w:r w:rsidR="00C56398" w:rsidRPr="004118AE">
        <w:t xml:space="preserve"> l</w:t>
      </w:r>
      <w:r w:rsidR="00FF47D7" w:rsidRPr="004118AE">
        <w:t>’</w:t>
      </w:r>
      <w:r w:rsidR="00C56398" w:rsidRPr="004118AE">
        <w:t>industrie, l</w:t>
      </w:r>
      <w:r w:rsidR="00FF47D7" w:rsidRPr="004118AE">
        <w:t>’</w:t>
      </w:r>
      <w:r w:rsidR="00C56398" w:rsidRPr="004118AE">
        <w:t>énergie et les technologies émergentes</w:t>
      </w:r>
      <w:r w:rsidR="00FA0006" w:rsidRPr="004118AE">
        <w:t>,</w:t>
      </w:r>
      <w:r w:rsidR="001647E2" w:rsidRPr="004118AE">
        <w:t xml:space="preserve"> </w:t>
      </w:r>
      <w:r w:rsidR="00397189" w:rsidRPr="004118AE">
        <w:t>ainsi que</w:t>
      </w:r>
      <w:r w:rsidR="00110FEA" w:rsidRPr="004118AE">
        <w:t xml:space="preserve"> </w:t>
      </w:r>
      <w:r w:rsidR="00397189" w:rsidRPr="004118AE">
        <w:t>la réduction de</w:t>
      </w:r>
      <w:r w:rsidR="00CA4D45" w:rsidRPr="004118AE">
        <w:t>s risques de catastrophes et l</w:t>
      </w:r>
      <w:r w:rsidR="00FF47D7" w:rsidRPr="004118AE">
        <w:t>’</w:t>
      </w:r>
      <w:r w:rsidR="00CA4D45" w:rsidRPr="004118AE">
        <w:t>adaptation</w:t>
      </w:r>
      <w:r w:rsidR="00397189" w:rsidRPr="004118AE">
        <w:t xml:space="preserve"> au changement climatique</w:t>
      </w:r>
      <w:r w:rsidR="00110FEA" w:rsidRPr="004118AE">
        <w:t>.</w:t>
      </w:r>
    </w:p>
    <w:p w14:paraId="274274B4" w14:textId="2D497077" w:rsidR="00110FEA" w:rsidRPr="004118AE" w:rsidRDefault="00485902" w:rsidP="00DA07A9">
      <w:pPr>
        <w:pStyle w:val="ONUMFS"/>
        <w:rPr>
          <w:rFonts w:eastAsia="Meiryo"/>
        </w:rPr>
      </w:pPr>
      <w:r w:rsidRPr="004118AE">
        <w:t>L</w:t>
      </w:r>
      <w:r w:rsidR="00FF47D7" w:rsidRPr="004118AE">
        <w:t>’</w:t>
      </w:r>
      <w:r w:rsidRPr="004118AE">
        <w:t xml:space="preserve">IPOPHL a pris plusieurs initiatives </w:t>
      </w:r>
      <w:r w:rsidR="00401505" w:rsidRPr="004118AE">
        <w:t xml:space="preserve">en faveur de </w:t>
      </w:r>
      <w:r w:rsidRPr="004118AE">
        <w:t>la création de propriété intellectuel</w:t>
      </w:r>
      <w:r w:rsidR="006A33AF" w:rsidRPr="004118AE">
        <w:t>le.  L’i</w:t>
      </w:r>
      <w:r w:rsidR="004857F8" w:rsidRPr="004118AE">
        <w:t>nitiative la plus importante</w:t>
      </w:r>
      <w:r w:rsidR="00BC1DC7" w:rsidRPr="004118AE">
        <w:t xml:space="preserve"> </w:t>
      </w:r>
      <w:r w:rsidR="004857F8" w:rsidRPr="004118AE">
        <w:t>est</w:t>
      </w:r>
      <w:r w:rsidR="00BC1DC7" w:rsidRPr="004118AE">
        <w:t xml:space="preserve"> </w:t>
      </w:r>
      <w:r w:rsidR="00DF2265" w:rsidRPr="004118AE">
        <w:t xml:space="preserve">le Programme </w:t>
      </w:r>
      <w:r w:rsidR="00BC3CD7">
        <w:t>de</w:t>
      </w:r>
      <w:r w:rsidR="00DF2265" w:rsidRPr="004118AE">
        <w:t xml:space="preserve"> bureau</w:t>
      </w:r>
      <w:r w:rsidR="00BC3CD7">
        <w:t>x</w:t>
      </w:r>
      <w:r w:rsidR="00DF2265" w:rsidRPr="004118AE">
        <w:t xml:space="preserve"> d</w:t>
      </w:r>
      <w:r w:rsidR="00FF47D7" w:rsidRPr="004118AE">
        <w:t>’</w:t>
      </w:r>
      <w:r w:rsidR="00DF2265" w:rsidRPr="004118AE">
        <w:t>appui à l</w:t>
      </w:r>
      <w:r w:rsidR="00FF47D7" w:rsidRPr="004118AE">
        <w:t>’</w:t>
      </w:r>
      <w:r w:rsidR="00DF2265" w:rsidRPr="004118AE">
        <w:t xml:space="preserve">innovation et à la technologie (ITSO) </w:t>
      </w:r>
      <w:r w:rsidR="00401505" w:rsidRPr="004118AE">
        <w:t xml:space="preserve">dirigé par </w:t>
      </w:r>
      <w:r w:rsidR="00B37A62" w:rsidRPr="004118AE">
        <w:t>l</w:t>
      </w:r>
      <w:r w:rsidR="00FF47D7" w:rsidRPr="004118AE">
        <w:t>’</w:t>
      </w:r>
      <w:r w:rsidR="00401505" w:rsidRPr="004118AE">
        <w:t>IPOPHL</w:t>
      </w:r>
      <w:r w:rsidR="004E6324" w:rsidRPr="004118AE">
        <w:t>, lequel</w:t>
      </w:r>
      <w:r w:rsidR="00401505" w:rsidRPr="004118AE">
        <w:t xml:space="preserve"> s</w:t>
      </w:r>
      <w:r w:rsidR="00FF47D7" w:rsidRPr="004118AE">
        <w:t>’</w:t>
      </w:r>
      <w:r w:rsidR="00401505" w:rsidRPr="004118AE">
        <w:t xml:space="preserve">inscrit bien dans le </w:t>
      </w:r>
      <w:r w:rsidR="00E265F2" w:rsidRPr="004118AE">
        <w:t>Plan de développement des Philippines (PDP)</w:t>
      </w:r>
      <w:r w:rsidR="00BC1DC7" w:rsidRPr="004118AE">
        <w:t>,</w:t>
      </w:r>
      <w:r w:rsidR="00E265F2" w:rsidRPr="004118AE">
        <w:t xml:space="preserve"> </w:t>
      </w:r>
      <w:r w:rsidR="00401505" w:rsidRPr="004118AE">
        <w:t xml:space="preserve">et la </w:t>
      </w:r>
      <w:r w:rsidR="00E265F2" w:rsidRPr="004118AE">
        <w:t>nomination de l</w:t>
      </w:r>
      <w:r w:rsidR="00FF47D7" w:rsidRPr="004118AE">
        <w:t>’</w:t>
      </w:r>
      <w:r w:rsidR="00E265F2" w:rsidRPr="004118AE">
        <w:t>IPOPHL en qualité d</w:t>
      </w:r>
      <w:r w:rsidR="00FF47D7" w:rsidRPr="004118AE">
        <w:t>’</w:t>
      </w:r>
      <w:r w:rsidR="00E265F2" w:rsidRPr="004118AE">
        <w:t>administration chargée de la recherche internationale et de l</w:t>
      </w:r>
      <w:r w:rsidR="00FF47D7" w:rsidRPr="004118AE">
        <w:t>’</w:t>
      </w:r>
      <w:r w:rsidR="00E265F2" w:rsidRPr="004118AE">
        <w:t xml:space="preserve">examen préliminaire international </w:t>
      </w:r>
      <w:r w:rsidR="00401505" w:rsidRPr="004118AE">
        <w:t>fait partie de la stratégie nationale globale d</w:t>
      </w:r>
      <w:r w:rsidR="00FF47D7" w:rsidRPr="004118AE">
        <w:t>’</w:t>
      </w:r>
      <w:r w:rsidR="00401505" w:rsidRPr="004118AE">
        <w:t>innovation et de recherc</w:t>
      </w:r>
      <w:r w:rsidR="006A33AF" w:rsidRPr="004118AE">
        <w:t>he.  Le</w:t>
      </w:r>
      <w:r w:rsidR="00AE6E8D" w:rsidRPr="004118AE">
        <w:t>s membres de l</w:t>
      </w:r>
      <w:r w:rsidR="00FF47D7" w:rsidRPr="004118AE">
        <w:t>’</w:t>
      </w:r>
      <w:r w:rsidR="00AE6E8D" w:rsidRPr="004118AE">
        <w:t xml:space="preserve">ITSO sont </w:t>
      </w:r>
      <w:r w:rsidR="005B3167" w:rsidRPr="004118AE">
        <w:t xml:space="preserve">accompagnés </w:t>
      </w:r>
      <w:r w:rsidR="004857F8" w:rsidRPr="004118AE">
        <w:t>par le P</w:t>
      </w:r>
      <w:r w:rsidR="00AE6E8D" w:rsidRPr="004118AE">
        <w:t>rogramme de centres d</w:t>
      </w:r>
      <w:r w:rsidR="00FF47D7" w:rsidRPr="004118AE">
        <w:t>’</w:t>
      </w:r>
      <w:r w:rsidR="00AE6E8D" w:rsidRPr="004118AE">
        <w:t>appui à la technologie et à l</w:t>
      </w:r>
      <w:r w:rsidR="00FF47D7" w:rsidRPr="004118AE">
        <w:t>’</w:t>
      </w:r>
      <w:r w:rsidR="00AE6E8D" w:rsidRPr="004118AE">
        <w:t>innovation (CATI) de l</w:t>
      </w:r>
      <w:r w:rsidR="00FF47D7" w:rsidRPr="004118AE">
        <w:t>’</w:t>
      </w:r>
      <w:r w:rsidR="00AE6E8D" w:rsidRPr="004118AE">
        <w:t>O</w:t>
      </w:r>
      <w:r w:rsidR="006A33AF" w:rsidRPr="004118AE">
        <w:t>MPI.  Le</w:t>
      </w:r>
      <w:r w:rsidR="005F3FE3" w:rsidRPr="004118AE">
        <w:t>s CAT</w:t>
      </w:r>
      <w:r w:rsidR="005B3167" w:rsidRPr="004118AE">
        <w:t xml:space="preserve">I visent à </w:t>
      </w:r>
      <w:r w:rsidR="003A3B8C" w:rsidRPr="004118AE">
        <w:t xml:space="preserve">fournir aux innovateurs des pays en développement un accès à des </w:t>
      </w:r>
      <w:r w:rsidR="007D6BB1" w:rsidRPr="004118AE">
        <w:t>prestations locales d</w:t>
      </w:r>
      <w:r w:rsidR="00FF47D7" w:rsidRPr="004118AE">
        <w:t>’</w:t>
      </w:r>
      <w:r w:rsidR="003A3B8C" w:rsidRPr="004118AE">
        <w:t>information</w:t>
      </w:r>
      <w:r w:rsidR="007D6BB1" w:rsidRPr="004118AE">
        <w:t>s</w:t>
      </w:r>
      <w:r w:rsidR="003A3B8C" w:rsidRPr="004118AE">
        <w:t xml:space="preserve"> technologique</w:t>
      </w:r>
      <w:r w:rsidR="007D6BB1" w:rsidRPr="004118AE">
        <w:t>s</w:t>
      </w:r>
      <w:r w:rsidR="003A3B8C" w:rsidRPr="004118AE">
        <w:t xml:space="preserve"> de qualité et d</w:t>
      </w:r>
      <w:r w:rsidR="00FF47D7" w:rsidRPr="004118AE">
        <w:t>’</w:t>
      </w:r>
      <w:r w:rsidR="003A3B8C" w:rsidRPr="004118AE">
        <w:t>autres services connex</w:t>
      </w:r>
      <w:r w:rsidR="006A33AF" w:rsidRPr="004118AE">
        <w:t xml:space="preserve">es.  </w:t>
      </w:r>
      <w:r w:rsidR="006A33AF" w:rsidRPr="004118AE">
        <w:rPr>
          <w:bdr w:val="none" w:sz="0" w:space="0" w:color="auto" w:frame="1"/>
        </w:rPr>
        <w:t>En</w:t>
      </w:r>
      <w:r w:rsidR="003A3B8C" w:rsidRPr="004118AE">
        <w:rPr>
          <w:bdr w:val="none" w:sz="0" w:space="0" w:color="auto" w:frame="1"/>
        </w:rPr>
        <w:t xml:space="preserve"> complément, l</w:t>
      </w:r>
      <w:r w:rsidR="00FF47D7" w:rsidRPr="004118AE">
        <w:rPr>
          <w:bdr w:val="none" w:sz="0" w:space="0" w:color="auto" w:frame="1"/>
        </w:rPr>
        <w:t>’</w:t>
      </w:r>
      <w:r w:rsidR="003A3B8C" w:rsidRPr="004118AE">
        <w:rPr>
          <w:bdr w:val="none" w:sz="0" w:space="0" w:color="auto" w:frame="1"/>
        </w:rPr>
        <w:t xml:space="preserve">IPOPHL a mis en place le </w:t>
      </w:r>
      <w:r w:rsidR="003A3B8C" w:rsidRPr="004118AE">
        <w:rPr>
          <w:i/>
          <w:bdr w:val="none" w:sz="0" w:space="0" w:color="auto" w:frame="1"/>
        </w:rPr>
        <w:t>Programme d</w:t>
      </w:r>
      <w:r w:rsidR="00FF47D7" w:rsidRPr="004118AE">
        <w:rPr>
          <w:i/>
          <w:bdr w:val="none" w:sz="0" w:space="0" w:color="auto" w:frame="1"/>
        </w:rPr>
        <w:t>’</w:t>
      </w:r>
      <w:r w:rsidR="003A3B8C" w:rsidRPr="004118AE">
        <w:rPr>
          <w:i/>
          <w:bdr w:val="none" w:sz="0" w:space="0" w:color="auto" w:frame="1"/>
        </w:rPr>
        <w:t>incitation à la protection des brevets (PPIP)</w:t>
      </w:r>
      <w:r w:rsidR="003A3B8C" w:rsidRPr="004118AE">
        <w:rPr>
          <w:bdr w:val="none" w:sz="0" w:space="0" w:color="auto" w:frame="1"/>
        </w:rPr>
        <w:t xml:space="preserve"> qui a pour objectif de développer une culture de l</w:t>
      </w:r>
      <w:r w:rsidR="00FF47D7" w:rsidRPr="004118AE">
        <w:rPr>
          <w:bdr w:val="none" w:sz="0" w:space="0" w:color="auto" w:frame="1"/>
        </w:rPr>
        <w:t>’</w:t>
      </w:r>
      <w:r w:rsidR="003A3B8C" w:rsidRPr="004118AE">
        <w:rPr>
          <w:bdr w:val="none" w:sz="0" w:space="0" w:color="auto" w:frame="1"/>
        </w:rPr>
        <w:t>innovation dans le pa</w:t>
      </w:r>
      <w:r w:rsidR="006A33AF" w:rsidRPr="004118AE">
        <w:rPr>
          <w:bdr w:val="none" w:sz="0" w:space="0" w:color="auto" w:frame="1"/>
        </w:rPr>
        <w:t xml:space="preserve">ys.  </w:t>
      </w:r>
      <w:r w:rsidR="006A33AF" w:rsidRPr="004118AE">
        <w:t>Il</w:t>
      </w:r>
      <w:r w:rsidR="0003059F" w:rsidRPr="004118AE">
        <w:t xml:space="preserve"> prévoit un </w:t>
      </w:r>
      <w:r w:rsidR="006C4207" w:rsidRPr="004118AE">
        <w:t xml:space="preserve">mécanisme incitatif </w:t>
      </w:r>
      <w:r w:rsidR="007D6BB1" w:rsidRPr="004118AE">
        <w:t xml:space="preserve">assorti de </w:t>
      </w:r>
      <w:r w:rsidR="00664CE1" w:rsidRPr="004118AE">
        <w:t xml:space="preserve">la </w:t>
      </w:r>
      <w:r w:rsidR="0003059F" w:rsidRPr="004118AE">
        <w:t xml:space="preserve">condition </w:t>
      </w:r>
      <w:r w:rsidR="006C4207" w:rsidRPr="004118AE">
        <w:t>que l</w:t>
      </w:r>
      <w:r w:rsidR="00FF47D7" w:rsidRPr="004118AE">
        <w:t>’</w:t>
      </w:r>
      <w:r w:rsidR="006C4207" w:rsidRPr="004118AE">
        <w:t xml:space="preserve">invention </w:t>
      </w:r>
      <w:r w:rsidR="0003059F" w:rsidRPr="004118AE">
        <w:t xml:space="preserve">soit </w:t>
      </w:r>
      <w:r w:rsidR="006C4207" w:rsidRPr="004118AE">
        <w:t xml:space="preserve">déposée </w:t>
      </w:r>
      <w:r w:rsidR="00664CE1" w:rsidRPr="004118AE">
        <w:t>selon le</w:t>
      </w:r>
      <w:r w:rsidR="0003059F" w:rsidRPr="004118AE">
        <w:t xml:space="preserve"> </w:t>
      </w:r>
      <w:r w:rsidR="006C4207" w:rsidRPr="004118AE">
        <w:t>système</w:t>
      </w:r>
      <w:r w:rsidR="005F3FE3" w:rsidRPr="004118AE">
        <w:t xml:space="preserve"> du PCT</w:t>
      </w:r>
      <w:r w:rsidR="00723CE0" w:rsidRPr="004118AE">
        <w:t>,</w:t>
      </w:r>
      <w:r w:rsidR="004857F8" w:rsidRPr="004118AE">
        <w:t xml:space="preserve"> et </w:t>
      </w:r>
      <w:r w:rsidR="004352E9" w:rsidRPr="004118AE">
        <w:t xml:space="preserve">vise à augmenter </w:t>
      </w:r>
      <w:r w:rsidR="00117EB3" w:rsidRPr="004118AE">
        <w:t>le nombre de</w:t>
      </w:r>
      <w:r w:rsidR="004352E9" w:rsidRPr="004118AE">
        <w:t xml:space="preserve"> dépôts philippins dans le système</w:t>
      </w:r>
      <w:r w:rsidR="005F3FE3" w:rsidRPr="004118AE">
        <w:t xml:space="preserve"> du PCT</w:t>
      </w:r>
      <w:r w:rsidR="004352E9" w:rsidRPr="004118AE">
        <w:t xml:space="preserve"> </w:t>
      </w:r>
      <w:r w:rsidR="00117EB3" w:rsidRPr="004118AE">
        <w:t xml:space="preserve">pour </w:t>
      </w:r>
      <w:r w:rsidR="004352E9" w:rsidRPr="004118AE">
        <w:t>les années à ven</w:t>
      </w:r>
      <w:r w:rsidR="006A33AF" w:rsidRPr="004118AE">
        <w:t xml:space="preserve">ir.  </w:t>
      </w:r>
      <w:r w:rsidR="006A33AF" w:rsidRPr="004118AE">
        <w:rPr>
          <w:bdr w:val="none" w:sz="0" w:space="0" w:color="auto" w:frame="1"/>
        </w:rPr>
        <w:t>Le</w:t>
      </w:r>
      <w:r w:rsidR="006D383F" w:rsidRPr="004118AE">
        <w:rPr>
          <w:bdr w:val="none" w:sz="0" w:space="0" w:color="auto" w:frame="1"/>
        </w:rPr>
        <w:t xml:space="preserve">s Philippines sont </w:t>
      </w:r>
      <w:r w:rsidR="004352E9" w:rsidRPr="004118AE">
        <w:rPr>
          <w:bdr w:val="none" w:sz="0" w:space="0" w:color="auto" w:frame="1"/>
        </w:rPr>
        <w:t>l</w:t>
      </w:r>
      <w:r w:rsidR="00FF47D7" w:rsidRPr="004118AE">
        <w:rPr>
          <w:bdr w:val="none" w:sz="0" w:space="0" w:color="auto" w:frame="1"/>
        </w:rPr>
        <w:t>’</w:t>
      </w:r>
      <w:r w:rsidR="004352E9" w:rsidRPr="004118AE">
        <w:rPr>
          <w:bdr w:val="none" w:sz="0" w:space="0" w:color="auto" w:frame="1"/>
        </w:rPr>
        <w:t xml:space="preserve">un des pays pilotes du </w:t>
      </w:r>
      <w:r w:rsidR="004352E9" w:rsidRPr="004118AE">
        <w:rPr>
          <w:i/>
          <w:bdr w:val="none" w:sz="0" w:space="0" w:color="auto" w:frame="1"/>
        </w:rPr>
        <w:t xml:space="preserve">Programme </w:t>
      </w:r>
      <w:r w:rsidR="002A7FEB" w:rsidRPr="004118AE">
        <w:rPr>
          <w:i/>
          <w:bdr w:val="none" w:sz="0" w:space="0" w:color="auto" w:frame="1"/>
        </w:rPr>
        <w:t>d</w:t>
      </w:r>
      <w:r w:rsidR="00FF47D7" w:rsidRPr="004118AE">
        <w:rPr>
          <w:i/>
          <w:bdr w:val="none" w:sz="0" w:space="0" w:color="auto" w:frame="1"/>
        </w:rPr>
        <w:t>’</w:t>
      </w:r>
      <w:r w:rsidR="002A7FEB" w:rsidRPr="004118AE">
        <w:rPr>
          <w:i/>
          <w:bdr w:val="none" w:sz="0" w:space="0" w:color="auto" w:frame="1"/>
        </w:rPr>
        <w:t>a</w:t>
      </w:r>
      <w:r w:rsidR="006D383F" w:rsidRPr="004118AE">
        <w:rPr>
          <w:i/>
          <w:bdr w:val="none" w:sz="0" w:space="0" w:color="auto" w:frame="1"/>
        </w:rPr>
        <w:t>ide</w:t>
      </w:r>
      <w:r w:rsidR="002A7FEB" w:rsidRPr="004118AE">
        <w:rPr>
          <w:i/>
          <w:bdr w:val="none" w:sz="0" w:space="0" w:color="auto" w:frame="1"/>
        </w:rPr>
        <w:t xml:space="preserve"> aux inven</w:t>
      </w:r>
      <w:r w:rsidR="006D383F" w:rsidRPr="004118AE">
        <w:rPr>
          <w:i/>
          <w:bdr w:val="none" w:sz="0" w:space="0" w:color="auto" w:frame="1"/>
        </w:rPr>
        <w:t>teu</w:t>
      </w:r>
      <w:r w:rsidR="006A33AF" w:rsidRPr="004118AE">
        <w:rPr>
          <w:i/>
          <w:bdr w:val="none" w:sz="0" w:space="0" w:color="auto" w:frame="1"/>
        </w:rPr>
        <w:t xml:space="preserve">rs.  </w:t>
      </w:r>
      <w:r w:rsidR="006A33AF" w:rsidRPr="004118AE">
        <w:rPr>
          <w:rFonts w:eastAsia="Meiryo"/>
        </w:rPr>
        <w:t>Ce</w:t>
      </w:r>
      <w:r w:rsidR="00D65099" w:rsidRPr="004118AE">
        <w:rPr>
          <w:rFonts w:eastAsia="Meiryo"/>
        </w:rPr>
        <w:t xml:space="preserve"> </w:t>
      </w:r>
      <w:r w:rsidR="00BC3CD7" w:rsidRPr="004118AE">
        <w:rPr>
          <w:rFonts w:eastAsia="Meiryo"/>
        </w:rPr>
        <w:t>programme</w:t>
      </w:r>
      <w:r w:rsidR="00D65099" w:rsidRPr="004118AE">
        <w:rPr>
          <w:rFonts w:eastAsia="Meiryo"/>
        </w:rPr>
        <w:t xml:space="preserve"> lancé </w:t>
      </w:r>
      <w:r w:rsidR="00117EB3" w:rsidRPr="004118AE">
        <w:rPr>
          <w:rFonts w:eastAsia="Meiryo"/>
        </w:rPr>
        <w:t xml:space="preserve">conjointement </w:t>
      </w:r>
      <w:r w:rsidR="00D65099" w:rsidRPr="004118AE">
        <w:rPr>
          <w:rFonts w:eastAsia="Meiryo"/>
        </w:rPr>
        <w:t>par l</w:t>
      </w:r>
      <w:r w:rsidR="00FF47D7" w:rsidRPr="004118AE">
        <w:rPr>
          <w:rFonts w:eastAsia="Meiryo"/>
        </w:rPr>
        <w:t>’</w:t>
      </w:r>
      <w:r w:rsidR="00D65099" w:rsidRPr="004118AE">
        <w:rPr>
          <w:rFonts w:eastAsia="Meiryo"/>
        </w:rPr>
        <w:t xml:space="preserve">OMPI et le Forum économique mondial vise à aider les inventeurs </w:t>
      </w:r>
      <w:r w:rsidR="00E65CB6" w:rsidRPr="004118AE">
        <w:rPr>
          <w:rFonts w:eastAsia="Meiryo"/>
        </w:rPr>
        <w:t>“</w:t>
      </w:r>
      <w:r w:rsidR="00117EB3" w:rsidRPr="004118AE">
        <w:rPr>
          <w:rFonts w:eastAsia="Meiryo"/>
        </w:rPr>
        <w:t xml:space="preserve">manquant de </w:t>
      </w:r>
      <w:r w:rsidR="00D65099" w:rsidRPr="004118AE">
        <w:rPr>
          <w:rFonts w:eastAsia="Meiryo"/>
        </w:rPr>
        <w:t>ressources</w:t>
      </w:r>
      <w:r w:rsidR="00117EB3" w:rsidRPr="004118AE">
        <w:rPr>
          <w:rFonts w:eastAsia="Meiryo"/>
        </w:rPr>
        <w:t xml:space="preserve"> financières</w:t>
      </w:r>
      <w:r w:rsidR="00D60E02" w:rsidRPr="004118AE">
        <w:rPr>
          <w:rFonts w:eastAsia="Meiryo"/>
        </w:rPr>
        <w:t xml:space="preserve">” </w:t>
      </w:r>
      <w:r w:rsidR="00D65099" w:rsidRPr="004118AE">
        <w:rPr>
          <w:rFonts w:eastAsia="Meiryo"/>
        </w:rPr>
        <w:t xml:space="preserve">à </w:t>
      </w:r>
      <w:r w:rsidR="00723CE0" w:rsidRPr="004118AE">
        <w:rPr>
          <w:rFonts w:eastAsia="Meiryo"/>
        </w:rPr>
        <w:t>obtenir</w:t>
      </w:r>
      <w:r w:rsidR="00117EB3" w:rsidRPr="004118AE">
        <w:rPr>
          <w:rFonts w:eastAsia="Meiryo"/>
        </w:rPr>
        <w:t xml:space="preserve"> </w:t>
      </w:r>
      <w:r w:rsidR="00D65099" w:rsidRPr="004118AE">
        <w:rPr>
          <w:rFonts w:eastAsia="Meiryo"/>
        </w:rPr>
        <w:t>la protection de la propriété intellectuelle dans d</w:t>
      </w:r>
      <w:r w:rsidR="00FF47D7" w:rsidRPr="004118AE">
        <w:rPr>
          <w:rFonts w:eastAsia="Meiryo"/>
        </w:rPr>
        <w:t>’</w:t>
      </w:r>
      <w:r w:rsidR="00D65099" w:rsidRPr="004118AE">
        <w:rPr>
          <w:rFonts w:eastAsia="Meiryo"/>
        </w:rPr>
        <w:t>autres juridictio</w:t>
      </w:r>
      <w:r w:rsidR="006A33AF" w:rsidRPr="004118AE">
        <w:rPr>
          <w:rFonts w:eastAsia="Meiryo"/>
        </w:rPr>
        <w:t>ns.  Le</w:t>
      </w:r>
      <w:r w:rsidR="00F42821" w:rsidRPr="004118AE">
        <w:rPr>
          <w:rFonts w:eastAsia="Meiryo"/>
        </w:rPr>
        <w:t xml:space="preserve"> </w:t>
      </w:r>
      <w:r w:rsidR="00BC3CD7" w:rsidRPr="004118AE">
        <w:rPr>
          <w:rFonts w:eastAsia="Meiryo"/>
        </w:rPr>
        <w:t>programme</w:t>
      </w:r>
      <w:r w:rsidR="00410949" w:rsidRPr="004118AE">
        <w:rPr>
          <w:rFonts w:eastAsia="Meiryo"/>
        </w:rPr>
        <w:t xml:space="preserve"> </w:t>
      </w:r>
      <w:r w:rsidR="00635C1F" w:rsidRPr="004118AE">
        <w:rPr>
          <w:rFonts w:eastAsia="Meiryo"/>
        </w:rPr>
        <w:t xml:space="preserve">préconise </w:t>
      </w:r>
      <w:r w:rsidR="00410949" w:rsidRPr="004118AE">
        <w:rPr>
          <w:rFonts w:eastAsia="Meiryo"/>
        </w:rPr>
        <w:t xml:space="preserve">la </w:t>
      </w:r>
      <w:r w:rsidR="00635C1F" w:rsidRPr="004118AE">
        <w:rPr>
          <w:rFonts w:eastAsia="Meiryo"/>
        </w:rPr>
        <w:t>prestation d</w:t>
      </w:r>
      <w:r w:rsidR="00410949" w:rsidRPr="004118AE">
        <w:rPr>
          <w:rFonts w:eastAsia="Meiryo"/>
        </w:rPr>
        <w:t>e services bénévoles</w:t>
      </w:r>
      <w:r w:rsidR="00BC4375" w:rsidRPr="004118AE">
        <w:rPr>
          <w:rFonts w:eastAsia="Meiryo"/>
        </w:rPr>
        <w:t>,</w:t>
      </w:r>
      <w:r w:rsidR="00410949" w:rsidRPr="004118AE">
        <w:rPr>
          <w:rFonts w:eastAsia="Meiryo"/>
        </w:rPr>
        <w:t xml:space="preserve"> par des </w:t>
      </w:r>
      <w:r w:rsidR="00F42821" w:rsidRPr="004118AE">
        <w:rPr>
          <w:rFonts w:eastAsia="Meiryo"/>
        </w:rPr>
        <w:t xml:space="preserve">conseils </w:t>
      </w:r>
      <w:r w:rsidR="00410949" w:rsidRPr="004118AE">
        <w:rPr>
          <w:rFonts w:eastAsia="Meiryo"/>
        </w:rPr>
        <w:t>ou des avocats</w:t>
      </w:r>
      <w:r w:rsidR="00F42821" w:rsidRPr="004118AE">
        <w:rPr>
          <w:rFonts w:eastAsia="Meiryo"/>
        </w:rPr>
        <w:t xml:space="preserve"> spécialisés dans les brevets</w:t>
      </w:r>
      <w:r w:rsidR="00BC4375" w:rsidRPr="004118AE">
        <w:rPr>
          <w:rFonts w:eastAsia="Meiryo"/>
        </w:rPr>
        <w:t>,</w:t>
      </w:r>
      <w:r w:rsidR="00410949" w:rsidRPr="004118AE">
        <w:rPr>
          <w:rFonts w:eastAsia="Meiryo"/>
        </w:rPr>
        <w:t xml:space="preserve"> à des inventeurs qui </w:t>
      </w:r>
      <w:r w:rsidR="00635C1F" w:rsidRPr="004118AE">
        <w:rPr>
          <w:rFonts w:eastAsia="Meiryo"/>
        </w:rPr>
        <w:t>n</w:t>
      </w:r>
      <w:r w:rsidR="00FF47D7" w:rsidRPr="004118AE">
        <w:rPr>
          <w:rFonts w:eastAsia="Meiryo"/>
        </w:rPr>
        <w:t>’</w:t>
      </w:r>
      <w:r w:rsidR="00635C1F" w:rsidRPr="004118AE">
        <w:rPr>
          <w:rFonts w:eastAsia="Meiryo"/>
        </w:rPr>
        <w:t xml:space="preserve">ont pas les moyens </w:t>
      </w:r>
      <w:r w:rsidR="00410949" w:rsidRPr="004118AE">
        <w:rPr>
          <w:rFonts w:eastAsia="Meiryo"/>
        </w:rPr>
        <w:t>de payer le coût d</w:t>
      </w:r>
      <w:r w:rsidR="00635C1F" w:rsidRPr="004118AE">
        <w:rPr>
          <w:rFonts w:eastAsia="Meiryo"/>
        </w:rPr>
        <w:t xml:space="preserve">es </w:t>
      </w:r>
      <w:r w:rsidR="0029066E" w:rsidRPr="004118AE">
        <w:rPr>
          <w:rFonts w:eastAsia="Meiryo"/>
        </w:rPr>
        <w:t xml:space="preserve">prestations </w:t>
      </w:r>
      <w:r w:rsidR="00635C1F" w:rsidRPr="004118AE">
        <w:rPr>
          <w:rFonts w:eastAsia="Meiryo"/>
        </w:rPr>
        <w:t>juridiques lié</w:t>
      </w:r>
      <w:r w:rsidR="0029066E" w:rsidRPr="004118AE">
        <w:rPr>
          <w:rFonts w:eastAsia="Meiryo"/>
        </w:rPr>
        <w:t>e</w:t>
      </w:r>
      <w:r w:rsidR="00635C1F" w:rsidRPr="004118AE">
        <w:rPr>
          <w:rFonts w:eastAsia="Meiryo"/>
        </w:rPr>
        <w:t xml:space="preserve">s à </w:t>
      </w:r>
      <w:r w:rsidR="00410949" w:rsidRPr="004118AE">
        <w:rPr>
          <w:rFonts w:eastAsia="Meiryo"/>
        </w:rPr>
        <w:t xml:space="preserve">la protection des brevets aux Philippines et dans les juridictions </w:t>
      </w:r>
      <w:r w:rsidR="00635C1F" w:rsidRPr="004118AE">
        <w:rPr>
          <w:rFonts w:eastAsia="Meiryo"/>
        </w:rPr>
        <w:t>étrangères</w:t>
      </w:r>
      <w:r w:rsidR="00410949" w:rsidRPr="004118AE">
        <w:rPr>
          <w:rFonts w:eastAsia="Meiryo"/>
        </w:rPr>
        <w:t>.</w:t>
      </w:r>
    </w:p>
    <w:p w14:paraId="3B83D9B5" w14:textId="3C811B9F" w:rsidR="001647E2" w:rsidRPr="004118AE" w:rsidRDefault="0036071C" w:rsidP="00DA07A9">
      <w:pPr>
        <w:pStyle w:val="ONUMFS"/>
        <w:rPr>
          <w:bdr w:val="none" w:sz="0" w:space="0" w:color="auto" w:frame="1"/>
        </w:rPr>
      </w:pPr>
      <w:r w:rsidRPr="004118AE">
        <w:t>L</w:t>
      </w:r>
      <w:r w:rsidR="00FF47D7" w:rsidRPr="004118AE">
        <w:t>’</w:t>
      </w:r>
      <w:r w:rsidRPr="004118AE">
        <w:t xml:space="preserve">IPOPHL prend activement en charge la commercialisation </w:t>
      </w:r>
      <w:r w:rsidR="009B06BA" w:rsidRPr="004118AE">
        <w:t>des actifs de propriété intellectuel</w:t>
      </w:r>
      <w:r w:rsidR="006A33AF" w:rsidRPr="004118AE">
        <w:t xml:space="preserve">le.  </w:t>
      </w:r>
      <w:r w:rsidR="006A33AF" w:rsidRPr="004118AE">
        <w:rPr>
          <w:bdr w:val="none" w:sz="0" w:space="0" w:color="auto" w:frame="1"/>
        </w:rPr>
        <w:t>Il</w:t>
      </w:r>
      <w:r w:rsidR="0099471F" w:rsidRPr="004118AE">
        <w:rPr>
          <w:bdr w:val="none" w:sz="0" w:space="0" w:color="auto" w:frame="1"/>
        </w:rPr>
        <w:t xml:space="preserve"> a développé </w:t>
      </w:r>
      <w:r w:rsidR="00F96DC5" w:rsidRPr="004118AE">
        <w:rPr>
          <w:bdr w:val="none" w:sz="0" w:space="0" w:color="auto" w:frame="1"/>
        </w:rPr>
        <w:t>l</w:t>
      </w:r>
      <w:r w:rsidR="00FF47D7" w:rsidRPr="004118AE">
        <w:rPr>
          <w:bdr w:val="none" w:sz="0" w:space="0" w:color="auto" w:frame="1"/>
        </w:rPr>
        <w:t>’</w:t>
      </w:r>
      <w:r w:rsidR="00F96DC5" w:rsidRPr="004118AE">
        <w:rPr>
          <w:bdr w:val="none" w:sz="0" w:space="0" w:color="auto" w:frame="1"/>
        </w:rPr>
        <w:t xml:space="preserve">instrument </w:t>
      </w:r>
      <w:r w:rsidR="00F96DC5" w:rsidRPr="004118AE">
        <w:rPr>
          <w:i/>
          <w:bdr w:val="none" w:sz="0" w:space="0" w:color="auto" w:frame="1"/>
        </w:rPr>
        <w:t xml:space="preserve">IP </w:t>
      </w:r>
      <w:proofErr w:type="spellStart"/>
      <w:r w:rsidR="00F96DC5" w:rsidRPr="004118AE">
        <w:rPr>
          <w:i/>
          <w:bdr w:val="none" w:sz="0" w:space="0" w:color="auto" w:frame="1"/>
        </w:rPr>
        <w:t>Depot</w:t>
      </w:r>
      <w:proofErr w:type="spellEnd"/>
      <w:r w:rsidR="00F96DC5" w:rsidRPr="004118AE">
        <w:rPr>
          <w:bdr w:val="none" w:sz="0" w:space="0" w:color="auto" w:frame="1"/>
        </w:rPr>
        <w:t xml:space="preserve"> </w:t>
      </w:r>
      <w:r w:rsidR="0099471F" w:rsidRPr="004118AE">
        <w:rPr>
          <w:bdr w:val="none" w:sz="0" w:space="0" w:color="auto" w:frame="1"/>
        </w:rPr>
        <w:t xml:space="preserve">qui est une </w:t>
      </w:r>
      <w:r w:rsidR="00E65CB6" w:rsidRPr="004118AE">
        <w:rPr>
          <w:bdr w:val="none" w:sz="0" w:space="0" w:color="auto" w:frame="1"/>
        </w:rPr>
        <w:t>plateforme</w:t>
      </w:r>
      <w:r w:rsidR="0099471F" w:rsidRPr="004118AE">
        <w:rPr>
          <w:bdr w:val="none" w:sz="0" w:space="0" w:color="auto" w:frame="1"/>
        </w:rPr>
        <w:t xml:space="preserve"> n</w:t>
      </w:r>
      <w:r w:rsidR="00F96DC5" w:rsidRPr="004118AE">
        <w:rPr>
          <w:bdr w:val="none" w:sz="0" w:space="0" w:color="auto" w:frame="1"/>
        </w:rPr>
        <w:t>umérique (un site</w:t>
      </w:r>
      <w:r w:rsidR="00E65CB6" w:rsidRPr="004118AE">
        <w:rPr>
          <w:bdr w:val="none" w:sz="0" w:space="0" w:color="auto" w:frame="1"/>
        </w:rPr>
        <w:t> Web</w:t>
      </w:r>
      <w:r w:rsidR="00F96DC5" w:rsidRPr="004118AE">
        <w:rPr>
          <w:bdr w:val="none" w:sz="0" w:space="0" w:color="auto" w:frame="1"/>
        </w:rPr>
        <w:t xml:space="preserve">) pour les titulaires de droits de propriété intellectuelle </w:t>
      </w:r>
      <w:r w:rsidR="0099471F" w:rsidRPr="004118AE">
        <w:rPr>
          <w:bdr w:val="none" w:sz="0" w:space="0" w:color="auto" w:frame="1"/>
        </w:rPr>
        <w:t xml:space="preserve">afin de promouvoir leurs actifs de propriété intellectuelle </w:t>
      </w:r>
      <w:r w:rsidR="00F96DC5" w:rsidRPr="004118AE">
        <w:rPr>
          <w:bdr w:val="none" w:sz="0" w:space="0" w:color="auto" w:frame="1"/>
        </w:rPr>
        <w:t xml:space="preserve">en vue de trouver </w:t>
      </w:r>
      <w:r w:rsidR="0099471F" w:rsidRPr="004118AE">
        <w:rPr>
          <w:bdr w:val="none" w:sz="0" w:space="0" w:color="auto" w:frame="1"/>
        </w:rPr>
        <w:t xml:space="preserve">des opportunités </w:t>
      </w:r>
      <w:r w:rsidR="00F96DC5" w:rsidRPr="004118AE">
        <w:rPr>
          <w:bdr w:val="none" w:sz="0" w:space="0" w:color="auto" w:frame="1"/>
        </w:rPr>
        <w:t xml:space="preserve">potentielles </w:t>
      </w:r>
      <w:r w:rsidR="0099471F" w:rsidRPr="004118AE">
        <w:rPr>
          <w:bdr w:val="none" w:sz="0" w:space="0" w:color="auto" w:frame="1"/>
        </w:rPr>
        <w:t>de commercialisati</w:t>
      </w:r>
      <w:r w:rsidR="006A33AF" w:rsidRPr="004118AE">
        <w:rPr>
          <w:bdr w:val="none" w:sz="0" w:space="0" w:color="auto" w:frame="1"/>
        </w:rPr>
        <w:t>on.  Ce</w:t>
      </w:r>
      <w:r w:rsidR="007477B4" w:rsidRPr="004118AE">
        <w:rPr>
          <w:bdr w:val="none" w:sz="0" w:space="0" w:color="auto" w:frame="1"/>
        </w:rPr>
        <w:t xml:space="preserve">t outil </w:t>
      </w:r>
      <w:r w:rsidR="001815F2" w:rsidRPr="004118AE">
        <w:rPr>
          <w:bdr w:val="none" w:sz="0" w:space="0" w:color="auto" w:frame="1"/>
        </w:rPr>
        <w:t xml:space="preserve">a été créé pour </w:t>
      </w:r>
      <w:r w:rsidR="007477B4" w:rsidRPr="004118AE">
        <w:rPr>
          <w:bdr w:val="none" w:sz="0" w:space="0" w:color="auto" w:frame="1"/>
        </w:rPr>
        <w:t xml:space="preserve">permettre </w:t>
      </w:r>
      <w:r w:rsidR="001815F2" w:rsidRPr="004118AE">
        <w:rPr>
          <w:bdr w:val="none" w:sz="0" w:space="0" w:color="auto" w:frame="1"/>
        </w:rPr>
        <w:t xml:space="preserve">aux </w:t>
      </w:r>
      <w:r w:rsidR="007477B4" w:rsidRPr="004118AE">
        <w:rPr>
          <w:bdr w:val="none" w:sz="0" w:space="0" w:color="auto" w:frame="1"/>
        </w:rPr>
        <w:t>titulaires d</w:t>
      </w:r>
      <w:r w:rsidR="00FF47D7" w:rsidRPr="004118AE">
        <w:rPr>
          <w:bdr w:val="none" w:sz="0" w:space="0" w:color="auto" w:frame="1"/>
        </w:rPr>
        <w:t>’</w:t>
      </w:r>
      <w:r w:rsidR="007477B4" w:rsidRPr="004118AE">
        <w:rPr>
          <w:bdr w:val="none" w:sz="0" w:space="0" w:color="auto" w:frame="1"/>
        </w:rPr>
        <w:t>inventions brevetées, de marques déposées, de droit</w:t>
      </w:r>
      <w:r w:rsidR="001815F2" w:rsidRPr="004118AE">
        <w:rPr>
          <w:bdr w:val="none" w:sz="0" w:space="0" w:color="auto" w:frame="1"/>
        </w:rPr>
        <w:t xml:space="preserve"> d</w:t>
      </w:r>
      <w:r w:rsidR="00FF47D7" w:rsidRPr="004118AE">
        <w:rPr>
          <w:bdr w:val="none" w:sz="0" w:space="0" w:color="auto" w:frame="1"/>
        </w:rPr>
        <w:t>’</w:t>
      </w:r>
      <w:r w:rsidR="001815F2" w:rsidRPr="004118AE">
        <w:rPr>
          <w:bdr w:val="none" w:sz="0" w:space="0" w:color="auto" w:frame="1"/>
        </w:rPr>
        <w:t>aute</w:t>
      </w:r>
      <w:r w:rsidR="007477B4" w:rsidRPr="004118AE">
        <w:rPr>
          <w:bdr w:val="none" w:sz="0" w:space="0" w:color="auto" w:frame="1"/>
        </w:rPr>
        <w:t>ur ainsi que de</w:t>
      </w:r>
      <w:r w:rsidR="001815F2" w:rsidRPr="004118AE">
        <w:rPr>
          <w:bdr w:val="none" w:sz="0" w:space="0" w:color="auto" w:frame="1"/>
        </w:rPr>
        <w:t xml:space="preserve"> dessins et modèles industriels </w:t>
      </w:r>
      <w:r w:rsidR="007477B4" w:rsidRPr="004118AE">
        <w:rPr>
          <w:bdr w:val="none" w:sz="0" w:space="0" w:color="auto" w:frame="1"/>
        </w:rPr>
        <w:t xml:space="preserve">de mettre en lumière </w:t>
      </w:r>
      <w:r w:rsidR="001815F2" w:rsidRPr="004118AE">
        <w:rPr>
          <w:bdr w:val="none" w:sz="0" w:space="0" w:color="auto" w:frame="1"/>
        </w:rPr>
        <w:t>(</w:t>
      </w:r>
      <w:r w:rsidR="007477B4" w:rsidRPr="004118AE">
        <w:rPr>
          <w:bdr w:val="none" w:sz="0" w:space="0" w:color="auto" w:frame="1"/>
        </w:rPr>
        <w:t xml:space="preserve">concession sous </w:t>
      </w:r>
      <w:r w:rsidR="001815F2" w:rsidRPr="004118AE">
        <w:rPr>
          <w:bdr w:val="none" w:sz="0" w:space="0" w:color="auto" w:frame="1"/>
        </w:rPr>
        <w:t>licence ou vente) leurs actifs de propriété intellectuelle dans le monde enti</w:t>
      </w:r>
      <w:r w:rsidR="006A33AF" w:rsidRPr="004118AE">
        <w:rPr>
          <w:bdr w:val="none" w:sz="0" w:space="0" w:color="auto" w:frame="1"/>
        </w:rPr>
        <w:t>er.  En</w:t>
      </w:r>
      <w:r w:rsidR="00546AD3" w:rsidRPr="004118AE">
        <w:rPr>
          <w:bdr w:val="none" w:sz="0" w:space="0" w:color="auto" w:frame="1"/>
        </w:rPr>
        <w:t xml:space="preserve"> outre, </w:t>
      </w:r>
      <w:r w:rsidR="00B868E5" w:rsidRPr="004118AE">
        <w:rPr>
          <w:bdr w:val="none" w:sz="0" w:space="0" w:color="auto" w:frame="1"/>
        </w:rPr>
        <w:t>l</w:t>
      </w:r>
      <w:r w:rsidR="00FF47D7" w:rsidRPr="004118AE">
        <w:rPr>
          <w:bdr w:val="none" w:sz="0" w:space="0" w:color="auto" w:frame="1"/>
        </w:rPr>
        <w:t>’</w:t>
      </w:r>
      <w:r w:rsidR="00546AD3" w:rsidRPr="004118AE">
        <w:rPr>
          <w:bdr w:val="none" w:sz="0" w:space="0" w:color="auto" w:frame="1"/>
        </w:rPr>
        <w:t xml:space="preserve">IPOPHL a </w:t>
      </w:r>
      <w:r w:rsidR="00B868E5" w:rsidRPr="004118AE">
        <w:rPr>
          <w:bdr w:val="none" w:sz="0" w:space="0" w:color="auto" w:frame="1"/>
        </w:rPr>
        <w:t xml:space="preserve">établi </w:t>
      </w:r>
      <w:r w:rsidR="00546AD3" w:rsidRPr="004118AE">
        <w:rPr>
          <w:bdr w:val="none" w:sz="0" w:space="0" w:color="auto" w:frame="1"/>
        </w:rPr>
        <w:t xml:space="preserve">un partenariat avec </w:t>
      </w:r>
      <w:r w:rsidR="00B868E5" w:rsidRPr="004118AE">
        <w:rPr>
          <w:bdr w:val="none" w:sz="0" w:space="0" w:color="auto" w:frame="1"/>
        </w:rPr>
        <w:t xml:space="preserve">le Programme </w:t>
      </w:r>
      <w:r w:rsidR="00EB46F7" w:rsidRPr="004118AE">
        <w:rPr>
          <w:bdr w:val="none" w:sz="0" w:space="0" w:color="auto" w:frame="1"/>
        </w:rPr>
        <w:t>USAID STRIDE afin d</w:t>
      </w:r>
      <w:r w:rsidR="00FF47D7" w:rsidRPr="004118AE">
        <w:rPr>
          <w:bdr w:val="none" w:sz="0" w:space="0" w:color="auto" w:frame="1"/>
        </w:rPr>
        <w:t>’</w:t>
      </w:r>
      <w:r w:rsidR="00EB46F7" w:rsidRPr="004118AE">
        <w:rPr>
          <w:bdr w:val="none" w:sz="0" w:space="0" w:color="auto" w:frame="1"/>
        </w:rPr>
        <w:t>a</w:t>
      </w:r>
      <w:r w:rsidR="00546AD3" w:rsidRPr="004118AE">
        <w:rPr>
          <w:bdr w:val="none" w:sz="0" w:space="0" w:color="auto" w:frame="1"/>
        </w:rPr>
        <w:t xml:space="preserve">mener la propriété intellectuelle sur le marché en </w:t>
      </w:r>
      <w:r w:rsidR="00A931EB" w:rsidRPr="004118AE">
        <w:rPr>
          <w:bdr w:val="none" w:sz="0" w:space="0" w:color="auto" w:frame="1"/>
        </w:rPr>
        <w:t xml:space="preserve">mettant </w:t>
      </w:r>
      <w:r w:rsidR="00546AD3" w:rsidRPr="004118AE">
        <w:rPr>
          <w:bdr w:val="none" w:sz="0" w:space="0" w:color="auto" w:frame="1"/>
        </w:rPr>
        <w:t>les universités</w:t>
      </w:r>
      <w:r w:rsidR="00421D86" w:rsidRPr="004118AE">
        <w:rPr>
          <w:bdr w:val="none" w:sz="0" w:space="0" w:color="auto" w:frame="1"/>
        </w:rPr>
        <w:t>, et</w:t>
      </w:r>
      <w:r w:rsidR="00546AD3" w:rsidRPr="004118AE">
        <w:rPr>
          <w:bdr w:val="none" w:sz="0" w:space="0" w:color="auto" w:frame="1"/>
        </w:rPr>
        <w:t xml:space="preserve"> </w:t>
      </w:r>
      <w:r w:rsidR="00A931EB" w:rsidRPr="004118AE">
        <w:rPr>
          <w:bdr w:val="none" w:sz="0" w:space="0" w:color="auto" w:frame="1"/>
        </w:rPr>
        <w:t>le</w:t>
      </w:r>
      <w:r w:rsidR="00421D86" w:rsidRPr="004118AE">
        <w:rPr>
          <w:bdr w:val="none" w:sz="0" w:space="0" w:color="auto" w:frame="1"/>
        </w:rPr>
        <w:t xml:space="preserve">s secteurs de la </w:t>
      </w:r>
      <w:r w:rsidR="00A931EB" w:rsidRPr="004118AE">
        <w:rPr>
          <w:bdr w:val="none" w:sz="0" w:space="0" w:color="auto" w:frame="1"/>
        </w:rPr>
        <w:t>recherche, du développement et de l</w:t>
      </w:r>
      <w:r w:rsidR="00FF47D7" w:rsidRPr="004118AE">
        <w:rPr>
          <w:bdr w:val="none" w:sz="0" w:space="0" w:color="auto" w:frame="1"/>
        </w:rPr>
        <w:t>’</w:t>
      </w:r>
      <w:r w:rsidR="00A931EB" w:rsidRPr="004118AE">
        <w:rPr>
          <w:bdr w:val="none" w:sz="0" w:space="0" w:color="auto" w:frame="1"/>
        </w:rPr>
        <w:t xml:space="preserve">innovation </w:t>
      </w:r>
      <w:r w:rsidR="00421D86" w:rsidRPr="004118AE">
        <w:rPr>
          <w:bdr w:val="none" w:sz="0" w:space="0" w:color="auto" w:frame="1"/>
        </w:rPr>
        <w:t xml:space="preserve">en relation </w:t>
      </w:r>
      <w:r w:rsidR="00A931EB" w:rsidRPr="004118AE">
        <w:rPr>
          <w:bdr w:val="none" w:sz="0" w:space="0" w:color="auto" w:frame="1"/>
        </w:rPr>
        <w:t>avec le secteur de</w:t>
      </w:r>
      <w:r w:rsidR="00546AD3" w:rsidRPr="004118AE">
        <w:rPr>
          <w:bdr w:val="none" w:sz="0" w:space="0" w:color="auto" w:frame="1"/>
        </w:rPr>
        <w:t xml:space="preserve"> l</w:t>
      </w:r>
      <w:r w:rsidR="00FF47D7" w:rsidRPr="004118AE">
        <w:rPr>
          <w:bdr w:val="none" w:sz="0" w:space="0" w:color="auto" w:frame="1"/>
        </w:rPr>
        <w:t>’</w:t>
      </w:r>
      <w:r w:rsidR="00546AD3" w:rsidRPr="004118AE">
        <w:rPr>
          <w:bdr w:val="none" w:sz="0" w:space="0" w:color="auto" w:frame="1"/>
        </w:rPr>
        <w:t>industrie.</w:t>
      </w:r>
    </w:p>
    <w:p w14:paraId="4C43D70F" w14:textId="064419DD" w:rsidR="001647E2" w:rsidRPr="004118AE" w:rsidRDefault="00D5382D" w:rsidP="00DA07A9">
      <w:pPr>
        <w:pStyle w:val="ONUMFS"/>
        <w:rPr>
          <w:bdr w:val="none" w:sz="0" w:space="0" w:color="auto" w:frame="1"/>
        </w:rPr>
      </w:pPr>
      <w:r w:rsidRPr="004118AE">
        <w:rPr>
          <w:bdr w:val="none" w:sz="0" w:space="0" w:color="auto" w:frame="1"/>
        </w:rPr>
        <w:lastRenderedPageBreak/>
        <w:t>L</w:t>
      </w:r>
      <w:r w:rsidR="00DE1070" w:rsidRPr="004118AE">
        <w:rPr>
          <w:bdr w:val="none" w:sz="0" w:space="0" w:color="auto" w:frame="1"/>
        </w:rPr>
        <w:t xml:space="preserve">es Philippines </w:t>
      </w:r>
      <w:r w:rsidR="008F73FC" w:rsidRPr="004118AE">
        <w:rPr>
          <w:bdr w:val="none" w:sz="0" w:space="0" w:color="auto" w:frame="1"/>
        </w:rPr>
        <w:t>offr</w:t>
      </w:r>
      <w:r w:rsidRPr="004118AE">
        <w:rPr>
          <w:bdr w:val="none" w:sz="0" w:space="0" w:color="auto" w:frame="1"/>
        </w:rPr>
        <w:t>irai</w:t>
      </w:r>
      <w:r w:rsidR="008F73FC" w:rsidRPr="004118AE">
        <w:rPr>
          <w:bdr w:val="none" w:sz="0" w:space="0" w:color="auto" w:frame="1"/>
        </w:rPr>
        <w:t xml:space="preserve">ent </w:t>
      </w:r>
      <w:r w:rsidR="00DE1070" w:rsidRPr="004118AE">
        <w:rPr>
          <w:bdr w:val="none" w:sz="0" w:space="0" w:color="auto" w:frame="1"/>
        </w:rPr>
        <w:t xml:space="preserve">des opportunités </w:t>
      </w:r>
      <w:r w:rsidR="008F73FC" w:rsidRPr="004118AE">
        <w:rPr>
          <w:bdr w:val="none" w:sz="0" w:space="0" w:color="auto" w:frame="1"/>
        </w:rPr>
        <w:t xml:space="preserve">considérables </w:t>
      </w:r>
      <w:r w:rsidR="00DE1070" w:rsidRPr="004118AE">
        <w:rPr>
          <w:bdr w:val="none" w:sz="0" w:space="0" w:color="auto" w:frame="1"/>
        </w:rPr>
        <w:t>en Asie du Sud</w:t>
      </w:r>
      <w:r w:rsidR="00BC3CD7">
        <w:rPr>
          <w:bdr w:val="none" w:sz="0" w:space="0" w:color="auto" w:frame="1"/>
        </w:rPr>
        <w:noBreakHyphen/>
      </w:r>
      <w:r w:rsidR="00DE1070" w:rsidRPr="004118AE">
        <w:rPr>
          <w:bdr w:val="none" w:sz="0" w:space="0" w:color="auto" w:frame="1"/>
        </w:rPr>
        <w:t>E</w:t>
      </w:r>
      <w:r w:rsidR="006A33AF" w:rsidRPr="004118AE">
        <w:rPr>
          <w:bdr w:val="none" w:sz="0" w:space="0" w:color="auto" w:frame="1"/>
        </w:rPr>
        <w:t>st.  Le</w:t>
      </w:r>
      <w:r w:rsidR="00DE1070" w:rsidRPr="004118AE">
        <w:rPr>
          <w:bdr w:val="none" w:sz="0" w:space="0" w:color="auto" w:frame="1"/>
        </w:rPr>
        <w:t xml:space="preserve"> pays est régulièrement cité comme un important </w:t>
      </w:r>
      <w:r w:rsidR="008F73FC" w:rsidRPr="004118AE">
        <w:rPr>
          <w:bdr w:val="none" w:sz="0" w:space="0" w:color="auto" w:frame="1"/>
        </w:rPr>
        <w:t xml:space="preserve">pôle </w:t>
      </w:r>
      <w:r w:rsidR="00DE1070" w:rsidRPr="004118AE">
        <w:rPr>
          <w:bdr w:val="none" w:sz="0" w:space="0" w:color="auto" w:frame="1"/>
        </w:rPr>
        <w:t>d</w:t>
      </w:r>
      <w:r w:rsidR="00FF47D7" w:rsidRPr="004118AE">
        <w:rPr>
          <w:bdr w:val="none" w:sz="0" w:space="0" w:color="auto" w:frame="1"/>
        </w:rPr>
        <w:t>’</w:t>
      </w:r>
      <w:r w:rsidR="00DE1070" w:rsidRPr="004118AE">
        <w:rPr>
          <w:bdr w:val="none" w:sz="0" w:space="0" w:color="auto" w:frame="1"/>
        </w:rPr>
        <w:t>innovation</w:t>
      </w:r>
      <w:r w:rsidR="008F73FC" w:rsidRPr="004118AE">
        <w:rPr>
          <w:bdr w:val="none" w:sz="0" w:space="0" w:color="auto" w:frame="1"/>
        </w:rPr>
        <w:t xml:space="preserve"> principalement en raison de sa démographie, de s</w:t>
      </w:r>
      <w:r w:rsidR="00DE1070" w:rsidRPr="004118AE">
        <w:rPr>
          <w:bdr w:val="none" w:sz="0" w:space="0" w:color="auto" w:frame="1"/>
        </w:rPr>
        <w:t>a stabilité économique et d</w:t>
      </w:r>
      <w:r w:rsidR="00FF47D7" w:rsidRPr="004118AE">
        <w:rPr>
          <w:bdr w:val="none" w:sz="0" w:space="0" w:color="auto" w:frame="1"/>
        </w:rPr>
        <w:t>’</w:t>
      </w:r>
      <w:r w:rsidR="00DE1070" w:rsidRPr="004118AE">
        <w:rPr>
          <w:bdr w:val="none" w:sz="0" w:space="0" w:color="auto" w:frame="1"/>
        </w:rPr>
        <w:t>un écosystème d</w:t>
      </w:r>
      <w:r w:rsidR="008F73FC" w:rsidRPr="004118AE">
        <w:rPr>
          <w:bdr w:val="none" w:sz="0" w:space="0" w:color="auto" w:frame="1"/>
        </w:rPr>
        <w:t>e l</w:t>
      </w:r>
      <w:r w:rsidR="00FF47D7" w:rsidRPr="004118AE">
        <w:rPr>
          <w:bdr w:val="none" w:sz="0" w:space="0" w:color="auto" w:frame="1"/>
        </w:rPr>
        <w:t>’</w:t>
      </w:r>
      <w:r w:rsidR="00DE1070" w:rsidRPr="004118AE">
        <w:rPr>
          <w:bdr w:val="none" w:sz="0" w:space="0" w:color="auto" w:frame="1"/>
        </w:rPr>
        <w:t xml:space="preserve">innovation </w:t>
      </w:r>
      <w:r w:rsidR="008F73FC" w:rsidRPr="004118AE">
        <w:rPr>
          <w:bdr w:val="none" w:sz="0" w:space="0" w:color="auto" w:frame="1"/>
        </w:rPr>
        <w:t>dynamique</w:t>
      </w:r>
      <w:r w:rsidR="00DE1070" w:rsidRPr="004118AE">
        <w:rPr>
          <w:bdr w:val="none" w:sz="0" w:space="0" w:color="auto" w:frame="1"/>
        </w:rPr>
        <w:t>.</w:t>
      </w:r>
    </w:p>
    <w:p w14:paraId="619E4046" w14:textId="14F0B36D" w:rsidR="001647E2" w:rsidRDefault="00110FEA" w:rsidP="00DA07A9">
      <w:pPr>
        <w:pStyle w:val="Heading1"/>
      </w:pPr>
      <w:r w:rsidRPr="004118AE">
        <w:t>IV.</w:t>
      </w:r>
      <w:r w:rsidR="00C44A62">
        <w:tab/>
      </w:r>
      <w:r w:rsidR="00C44A62" w:rsidRPr="004118AE">
        <w:t>Exigences relatives à la nomination en qualité d’administration chargée de la recherche internationale et de l’examen préliminaire international</w:t>
      </w:r>
    </w:p>
    <w:p w14:paraId="712012B1" w14:textId="77777777" w:rsidR="00C44A62" w:rsidRPr="00C44A62" w:rsidRDefault="00C44A62" w:rsidP="00DA07A9"/>
    <w:p w14:paraId="63DDBA2D" w14:textId="1D552A42" w:rsidR="005F3FE3" w:rsidRPr="004118AE" w:rsidRDefault="00847E7C" w:rsidP="00DA07A9">
      <w:pPr>
        <w:pStyle w:val="ONUMFS"/>
      </w:pPr>
      <w:r w:rsidRPr="004118AE">
        <w:t xml:space="preserve">La </w:t>
      </w:r>
      <w:r w:rsidR="005F3FE3" w:rsidRPr="004118AE">
        <w:t>règle 3</w:t>
      </w:r>
      <w:r w:rsidRPr="004118AE">
        <w:t>6.1 du règlement d</w:t>
      </w:r>
      <w:r w:rsidR="00FF47D7" w:rsidRPr="004118AE">
        <w:t>’</w:t>
      </w:r>
      <w:r w:rsidRPr="004118AE">
        <w:t>exécution</w:t>
      </w:r>
      <w:r w:rsidR="005F3FE3" w:rsidRPr="004118AE">
        <w:t xml:space="preserve"> du PCT</w:t>
      </w:r>
      <w:r w:rsidRPr="004118AE">
        <w:t xml:space="preserve"> énonce les exigences minimales </w:t>
      </w:r>
      <w:r w:rsidR="00D021D5" w:rsidRPr="004118AE">
        <w:t>à remplir par l</w:t>
      </w:r>
      <w:r w:rsidR="00FF47D7" w:rsidRPr="004118AE">
        <w:t>’</w:t>
      </w:r>
      <w:r w:rsidR="00D021D5" w:rsidRPr="004118AE">
        <w:t xml:space="preserve">office pour </w:t>
      </w:r>
      <w:r w:rsidR="00A15D47" w:rsidRPr="004118AE">
        <w:t xml:space="preserve">être </w:t>
      </w:r>
      <w:r w:rsidR="009861A9" w:rsidRPr="004118AE">
        <w:t>désign</w:t>
      </w:r>
      <w:r w:rsidR="0057050A" w:rsidRPr="004118AE">
        <w:t>é</w:t>
      </w:r>
      <w:r w:rsidR="00A15D47" w:rsidRPr="004118AE">
        <w:t xml:space="preserve"> </w:t>
      </w:r>
      <w:r w:rsidRPr="004118AE">
        <w:t>en qualité d</w:t>
      </w:r>
      <w:r w:rsidR="00FF47D7" w:rsidRPr="004118AE">
        <w:t>’</w:t>
      </w:r>
      <w:r w:rsidRPr="004118AE">
        <w:t>administration chargée de la recherche internationale</w:t>
      </w:r>
      <w:r w:rsidR="00FF47D7" w:rsidRPr="004118AE">
        <w:t> :</w:t>
      </w:r>
    </w:p>
    <w:p w14:paraId="28DE6B7C" w14:textId="68439368" w:rsidR="00110FEA" w:rsidRPr="004118AE" w:rsidRDefault="00A15D47" w:rsidP="00DA07A9">
      <w:pPr>
        <w:pStyle w:val="ONUMFS"/>
        <w:numPr>
          <w:ilvl w:val="1"/>
          <w:numId w:val="33"/>
        </w:numPr>
      </w:pPr>
      <w:r w:rsidRPr="004118AE">
        <w:t>avoir au moins cent employés à plein temps possédant des qualifications techniques suffisantes pour procéder aux recherches</w:t>
      </w:r>
      <w:r w:rsidR="00C164DD" w:rsidRPr="004118AE">
        <w:t xml:space="preserve"> et aux examens</w:t>
      </w:r>
      <w:r w:rsidRPr="004118AE">
        <w:t>;</w:t>
      </w:r>
    </w:p>
    <w:p w14:paraId="77CE317C" w14:textId="4EC87565" w:rsidR="00110FEA" w:rsidRPr="004118AE" w:rsidRDefault="00C164DD" w:rsidP="00DA07A9">
      <w:pPr>
        <w:pStyle w:val="ONUMFS"/>
        <w:numPr>
          <w:ilvl w:val="1"/>
          <w:numId w:val="33"/>
        </w:numPr>
      </w:pPr>
      <w:r w:rsidRPr="004118AE">
        <w:t xml:space="preserve">avoir en sa possession au moins la documentation minimale </w:t>
      </w:r>
      <w:r w:rsidR="00C26D4A" w:rsidRPr="004118AE">
        <w:t xml:space="preserve">citée à </w:t>
      </w:r>
      <w:r w:rsidRPr="004118AE">
        <w:t xml:space="preserve">la </w:t>
      </w:r>
      <w:r w:rsidR="005F3FE3" w:rsidRPr="004118AE">
        <w:t>règle 3</w:t>
      </w:r>
      <w:r w:rsidRPr="004118AE">
        <w:t>4</w:t>
      </w:r>
      <w:r w:rsidR="00F950DB" w:rsidRPr="004118AE">
        <w:t xml:space="preserve"> du règlement d</w:t>
      </w:r>
      <w:r w:rsidR="00FF47D7" w:rsidRPr="004118AE">
        <w:t>’</w:t>
      </w:r>
      <w:r w:rsidR="00F950DB" w:rsidRPr="004118AE">
        <w:t>exécution</w:t>
      </w:r>
      <w:r w:rsidR="005F3FE3" w:rsidRPr="004118AE">
        <w:t xml:space="preserve"> du PCT</w:t>
      </w:r>
      <w:r w:rsidRPr="004118AE">
        <w:t>, ou avoir accès à cette documentation minimale, laquelle doit être disposée d</w:t>
      </w:r>
      <w:r w:rsidR="00FF47D7" w:rsidRPr="004118AE">
        <w:t>’</w:t>
      </w:r>
      <w:r w:rsidRPr="004118AE">
        <w:t>une manière adéquate aux fins de la recherche et de l</w:t>
      </w:r>
      <w:r w:rsidR="00FF47D7" w:rsidRPr="004118AE">
        <w:t>’</w:t>
      </w:r>
      <w:r w:rsidRPr="004118AE">
        <w:t>examen et se présenter sur papier, sur microforme ou sur un support électronique;</w:t>
      </w:r>
    </w:p>
    <w:p w14:paraId="3B172604" w14:textId="1F589D1E" w:rsidR="005F3FE3" w:rsidRPr="004118AE" w:rsidRDefault="002264E4" w:rsidP="00DA07A9">
      <w:pPr>
        <w:pStyle w:val="ONUMFS"/>
        <w:numPr>
          <w:ilvl w:val="1"/>
          <w:numId w:val="33"/>
        </w:numPr>
      </w:pPr>
      <w:r w:rsidRPr="004118AE">
        <w:t>disposer d</w:t>
      </w:r>
      <w:r w:rsidR="00FF47D7" w:rsidRPr="004118AE">
        <w:t>’</w:t>
      </w:r>
      <w:r w:rsidRPr="004118AE">
        <w:t>un personnel capable de procéder à la recherche et à l</w:t>
      </w:r>
      <w:r w:rsidR="00FF47D7" w:rsidRPr="004118AE">
        <w:t>’</w:t>
      </w:r>
      <w:r w:rsidRPr="004118AE">
        <w:t xml:space="preserve">examen dans les domaines techniques sur lesquels la recherche doit porter et possédant les connaissances linguistiques nécessaires à la compréhension au moins des langues dans lesquelles la documentation minimale </w:t>
      </w:r>
      <w:r w:rsidR="00C26D4A" w:rsidRPr="004118AE">
        <w:t xml:space="preserve">citée à </w:t>
      </w:r>
      <w:r w:rsidRPr="004118AE">
        <w:t xml:space="preserve">la </w:t>
      </w:r>
      <w:r w:rsidR="005F3FE3" w:rsidRPr="004118AE">
        <w:t>règle 3</w:t>
      </w:r>
      <w:r w:rsidRPr="004118AE">
        <w:t>4</w:t>
      </w:r>
      <w:r w:rsidR="00F950DB" w:rsidRPr="004118AE">
        <w:t xml:space="preserve"> du règlement d</w:t>
      </w:r>
      <w:r w:rsidR="00FF47D7" w:rsidRPr="004118AE">
        <w:t>’</w:t>
      </w:r>
      <w:r w:rsidR="00F950DB" w:rsidRPr="004118AE">
        <w:t>exécution</w:t>
      </w:r>
      <w:r w:rsidR="005F3FE3" w:rsidRPr="004118AE">
        <w:t xml:space="preserve"> du PCT</w:t>
      </w:r>
      <w:r w:rsidRPr="004118AE">
        <w:t xml:space="preserve"> est rédigée ou traduite</w:t>
      </w:r>
      <w:r w:rsidR="00E65CB6" w:rsidRPr="004118AE">
        <w:t xml:space="preserve">; </w:t>
      </w:r>
      <w:r w:rsidRPr="004118AE">
        <w:t xml:space="preserve"> et</w:t>
      </w:r>
    </w:p>
    <w:p w14:paraId="7F6E869D" w14:textId="48ECEBD4" w:rsidR="00110FEA" w:rsidRPr="004118AE" w:rsidRDefault="003D1997" w:rsidP="00DA07A9">
      <w:pPr>
        <w:pStyle w:val="ONUMFS"/>
        <w:numPr>
          <w:ilvl w:val="1"/>
          <w:numId w:val="33"/>
        </w:numPr>
      </w:pPr>
      <w:r w:rsidRPr="004118AE">
        <w:t>bénéficier</w:t>
      </w:r>
      <w:r w:rsidR="00993B2D" w:rsidRPr="004118AE">
        <w:t xml:space="preserve"> d</w:t>
      </w:r>
      <w:r w:rsidR="00FF47D7" w:rsidRPr="004118AE">
        <w:t>’</w:t>
      </w:r>
      <w:r w:rsidR="00993B2D" w:rsidRPr="004118AE">
        <w:t>un système de gestion de la qualité et de dispositi</w:t>
      </w:r>
      <w:r w:rsidRPr="004118AE">
        <w:t>fs</w:t>
      </w:r>
      <w:r w:rsidR="00993B2D" w:rsidRPr="004118AE">
        <w:t xml:space="preserve"> internes </w:t>
      </w:r>
      <w:r w:rsidRPr="004118AE">
        <w:t>de contrôle</w:t>
      </w:r>
      <w:r w:rsidR="00993B2D" w:rsidRPr="004118AE">
        <w:t xml:space="preserve"> conformément aux règles communes de la recherche internationale</w:t>
      </w:r>
      <w:r w:rsidR="00F80685" w:rsidRPr="004118AE">
        <w:t xml:space="preserve"> et de l</w:t>
      </w:r>
      <w:r w:rsidR="00FF47D7" w:rsidRPr="004118AE">
        <w:t>’</w:t>
      </w:r>
      <w:r w:rsidR="00F80685" w:rsidRPr="004118AE">
        <w:t>examen préliminaire international (</w:t>
      </w:r>
      <w:r w:rsidRPr="004118AE">
        <w:t>telles que définies au</w:t>
      </w:r>
      <w:r w:rsidR="00951648" w:rsidRPr="004118AE">
        <w:t xml:space="preserve"> </w:t>
      </w:r>
      <w:r w:rsidR="005F3FE3" w:rsidRPr="004118AE">
        <w:t>chapitre 2</w:t>
      </w:r>
      <w:r w:rsidR="00F80685" w:rsidRPr="004118AE">
        <w:t>1 des Directives concernant la recherche internationale et l</w:t>
      </w:r>
      <w:r w:rsidR="00FF47D7" w:rsidRPr="004118AE">
        <w:t>’</w:t>
      </w:r>
      <w:r w:rsidR="00F80685" w:rsidRPr="004118AE">
        <w:t>examen préliminaire international selon</w:t>
      </w:r>
      <w:r w:rsidR="005F3FE3" w:rsidRPr="004118AE">
        <w:t xml:space="preserve"> le PCT</w:t>
      </w:r>
      <w:r w:rsidR="00F80685" w:rsidRPr="004118AE">
        <w:t>).</w:t>
      </w:r>
    </w:p>
    <w:p w14:paraId="4E2F3C0E" w14:textId="1D5729D5" w:rsidR="001647E2" w:rsidRDefault="00005B94" w:rsidP="00DA07A9">
      <w:pPr>
        <w:pStyle w:val="Heading3"/>
      </w:pPr>
      <w:r w:rsidRPr="004118AE">
        <w:t>Capacité en matière de recherche et d</w:t>
      </w:r>
      <w:r w:rsidR="00FF47D7" w:rsidRPr="004118AE">
        <w:t>’</w:t>
      </w:r>
      <w:r w:rsidRPr="004118AE">
        <w:t>examen</w:t>
      </w:r>
    </w:p>
    <w:p w14:paraId="767A160B" w14:textId="77777777" w:rsidR="00C44A62" w:rsidRPr="00C44A62" w:rsidRDefault="00C44A62" w:rsidP="00DA07A9"/>
    <w:p w14:paraId="051FCB38" w14:textId="297A6B9C" w:rsidR="001647E2" w:rsidRPr="004118AE" w:rsidRDefault="00005B94" w:rsidP="00DA07A9">
      <w:pPr>
        <w:pStyle w:val="ONUMFS"/>
      </w:pPr>
      <w:r w:rsidRPr="004118AE">
        <w:t>L</w:t>
      </w:r>
      <w:r w:rsidR="00FF47D7" w:rsidRPr="004118AE">
        <w:t>’</w:t>
      </w:r>
      <w:r w:rsidRPr="004118AE">
        <w:t>IPOPHL est en mesure d</w:t>
      </w:r>
      <w:r w:rsidR="00FF47D7" w:rsidRPr="004118AE">
        <w:t>’</w:t>
      </w:r>
      <w:r w:rsidRPr="004118AE">
        <w:t>exercer le rôle d</w:t>
      </w:r>
      <w:r w:rsidR="00FF47D7" w:rsidRPr="004118AE">
        <w:t>’</w:t>
      </w:r>
      <w:r w:rsidRPr="004118AE">
        <w:t>administration internationa</w:t>
      </w:r>
      <w:r w:rsidR="006A33AF" w:rsidRPr="004118AE">
        <w:t>le.  En</w:t>
      </w:r>
      <w:r w:rsidRPr="004118AE">
        <w:t xml:space="preserve"> particulier</w:t>
      </w:r>
      <w:r w:rsidR="00FF47D7" w:rsidRPr="004118AE">
        <w:t> :</w:t>
      </w:r>
    </w:p>
    <w:p w14:paraId="2FC3C690" w14:textId="4282C712" w:rsidR="00110FEA" w:rsidRPr="004118AE" w:rsidRDefault="00E737AF" w:rsidP="00DA07A9">
      <w:pPr>
        <w:pStyle w:val="ONUMFS"/>
        <w:numPr>
          <w:ilvl w:val="1"/>
          <w:numId w:val="33"/>
        </w:numPr>
      </w:pPr>
      <w:r w:rsidRPr="004118AE">
        <w:t>les examinateurs de l</w:t>
      </w:r>
      <w:r w:rsidR="00FF47D7" w:rsidRPr="004118AE">
        <w:t>’</w:t>
      </w:r>
      <w:r w:rsidRPr="004118AE">
        <w:t xml:space="preserve">IPOPHL </w:t>
      </w:r>
      <w:r w:rsidR="005F1689" w:rsidRPr="004118AE">
        <w:t>possède</w:t>
      </w:r>
      <w:r w:rsidRPr="004118AE">
        <w:t>nt</w:t>
      </w:r>
      <w:r w:rsidR="005F1689" w:rsidRPr="004118AE">
        <w:t xml:space="preserve"> les qualifications et aptitudes exigées (pour satisfaire aux exigences visées aux </w:t>
      </w:r>
      <w:r w:rsidR="005F3FE3" w:rsidRPr="004118AE">
        <w:t>paragraphes 2</w:t>
      </w:r>
      <w:r w:rsidR="005F1689" w:rsidRPr="004118AE">
        <w:t>9</w:t>
      </w:r>
      <w:r w:rsidR="004028E6" w:rsidRPr="004118AE">
        <w:t>.</w:t>
      </w:r>
      <w:r w:rsidR="005F1689" w:rsidRPr="004118AE">
        <w:t xml:space="preserve">a) et </w:t>
      </w:r>
      <w:r w:rsidR="004028E6" w:rsidRPr="004118AE">
        <w:t>29.</w:t>
      </w:r>
      <w:r w:rsidR="005F1689" w:rsidRPr="004118AE">
        <w:t>c))</w:t>
      </w:r>
      <w:r w:rsidR="00E65CB6" w:rsidRPr="004118AE">
        <w:t>;</w:t>
      </w:r>
    </w:p>
    <w:p w14:paraId="04A54407" w14:textId="1DF7CA57" w:rsidR="00110FEA" w:rsidRPr="004118AE" w:rsidRDefault="003B3463" w:rsidP="00DA07A9">
      <w:pPr>
        <w:pStyle w:val="ONUMFS"/>
        <w:numPr>
          <w:ilvl w:val="1"/>
          <w:numId w:val="33"/>
        </w:numPr>
      </w:pPr>
      <w:r w:rsidRPr="004118AE">
        <w:t>l</w:t>
      </w:r>
      <w:r w:rsidR="00FF47D7" w:rsidRPr="004118AE">
        <w:t>’</w:t>
      </w:r>
      <w:r w:rsidRPr="004118AE">
        <w:t xml:space="preserve">IPOPHL </w:t>
      </w:r>
      <w:r w:rsidR="00F7566D" w:rsidRPr="004118AE">
        <w:t>a accès à la documentation à des fins de recherche et d</w:t>
      </w:r>
      <w:r w:rsidR="00FF47D7" w:rsidRPr="004118AE">
        <w:t>’</w:t>
      </w:r>
      <w:r w:rsidR="00F7566D" w:rsidRPr="004118AE">
        <w:t xml:space="preserve">examen (pour satisfaire aux exigences visées au </w:t>
      </w:r>
      <w:r w:rsidR="005F3FE3" w:rsidRPr="004118AE">
        <w:t>paragraphe 2</w:t>
      </w:r>
      <w:r w:rsidR="00F7566D" w:rsidRPr="004118AE">
        <w:t>9</w:t>
      </w:r>
      <w:r w:rsidR="004028E6" w:rsidRPr="004118AE">
        <w:t>.</w:t>
      </w:r>
      <w:r w:rsidR="00F7566D" w:rsidRPr="004118AE">
        <w:t>b))</w:t>
      </w:r>
      <w:r w:rsidR="00E65CB6" w:rsidRPr="004118AE">
        <w:t xml:space="preserve">; </w:t>
      </w:r>
      <w:r w:rsidR="00F7566D" w:rsidRPr="004118AE">
        <w:t xml:space="preserve"> et</w:t>
      </w:r>
    </w:p>
    <w:p w14:paraId="532F7F7B" w14:textId="2326EC8B" w:rsidR="00110FEA" w:rsidRPr="004118AE" w:rsidRDefault="003B3463" w:rsidP="00DA07A9">
      <w:pPr>
        <w:pStyle w:val="ONUMFS"/>
        <w:numPr>
          <w:ilvl w:val="1"/>
          <w:numId w:val="33"/>
        </w:numPr>
      </w:pPr>
      <w:r w:rsidRPr="004118AE">
        <w:t>l</w:t>
      </w:r>
      <w:r w:rsidR="00FF47D7" w:rsidRPr="004118AE">
        <w:t>’</w:t>
      </w:r>
      <w:r w:rsidRPr="004118AE">
        <w:t xml:space="preserve">IPOPHL </w:t>
      </w:r>
      <w:r w:rsidR="000C02B4" w:rsidRPr="004118AE">
        <w:t xml:space="preserve">bénéficie </w:t>
      </w:r>
      <w:r w:rsidR="000723E6" w:rsidRPr="004118AE">
        <w:t>d</w:t>
      </w:r>
      <w:r w:rsidR="00FF47D7" w:rsidRPr="004118AE">
        <w:t>’</w:t>
      </w:r>
      <w:r w:rsidR="000723E6" w:rsidRPr="004118AE">
        <w:t>un système de gestion de la qualité et de dispositi</w:t>
      </w:r>
      <w:r w:rsidR="000C02B4" w:rsidRPr="004118AE">
        <w:t>fs</w:t>
      </w:r>
      <w:r w:rsidR="000723E6" w:rsidRPr="004118AE">
        <w:t xml:space="preserve"> internes </w:t>
      </w:r>
      <w:r w:rsidR="000C02B4" w:rsidRPr="004118AE">
        <w:t xml:space="preserve">de contrôle </w:t>
      </w:r>
      <w:r w:rsidR="000723E6" w:rsidRPr="004118AE">
        <w:t>(pour satisfaire aux ex</w:t>
      </w:r>
      <w:r w:rsidR="004028E6" w:rsidRPr="004118AE">
        <w:t xml:space="preserve">igences visées au </w:t>
      </w:r>
      <w:r w:rsidR="005F3FE3" w:rsidRPr="004118AE">
        <w:t>paragraphe 2</w:t>
      </w:r>
      <w:r w:rsidR="004028E6" w:rsidRPr="004118AE">
        <w:t>9.</w:t>
      </w:r>
      <w:r w:rsidR="000723E6" w:rsidRPr="004118AE">
        <w:t>d)).</w:t>
      </w:r>
    </w:p>
    <w:p w14:paraId="603A81B3" w14:textId="05AF0BF3" w:rsidR="001647E2" w:rsidRDefault="005C5CFF" w:rsidP="00DA07A9">
      <w:pPr>
        <w:pStyle w:val="Heading3"/>
      </w:pPr>
      <w:r w:rsidRPr="004118AE">
        <w:t>Examinateurs</w:t>
      </w:r>
    </w:p>
    <w:p w14:paraId="44ACAD0A" w14:textId="77777777" w:rsidR="00C44A62" w:rsidRPr="00C44A62" w:rsidRDefault="00C44A62" w:rsidP="00DA07A9"/>
    <w:p w14:paraId="3F8E9F12" w14:textId="7C0EABCF" w:rsidR="001647E2" w:rsidRPr="004118AE" w:rsidRDefault="000A51EA" w:rsidP="00DA07A9">
      <w:pPr>
        <w:pStyle w:val="ONUMFS"/>
      </w:pPr>
      <w:r w:rsidRPr="004118AE">
        <w:t>L</w:t>
      </w:r>
      <w:r w:rsidR="00FF47D7" w:rsidRPr="004118AE">
        <w:t>’</w:t>
      </w:r>
      <w:r w:rsidRPr="004118AE">
        <w:t>IPOPHL remplit les critères de nomination en termes de nombre d</w:t>
      </w:r>
      <w:r w:rsidR="00FF47D7" w:rsidRPr="004118AE">
        <w:t>’</w:t>
      </w:r>
      <w:r w:rsidRPr="004118AE">
        <w:t xml:space="preserve">examinateurs </w:t>
      </w:r>
      <w:r w:rsidR="005C5CFF" w:rsidRPr="004118AE">
        <w:t xml:space="preserve">à </w:t>
      </w:r>
      <w:r w:rsidRPr="004118AE">
        <w:t xml:space="preserve">plein temps possédant des qualifications techniques suffisantes pour procéder </w:t>
      </w:r>
      <w:r w:rsidR="001C2509" w:rsidRPr="004118AE">
        <w:t>à la recherche et à l</w:t>
      </w:r>
      <w:r w:rsidR="00FF47D7" w:rsidRPr="004118AE">
        <w:t>’</w:t>
      </w:r>
      <w:r w:rsidRPr="004118AE">
        <w:t>exam</w:t>
      </w:r>
      <w:r w:rsidR="006A33AF" w:rsidRPr="004118AE">
        <w:t>en.  Au</w:t>
      </w:r>
      <w:r w:rsidR="000F6058" w:rsidRPr="004118AE">
        <w:t xml:space="preserve"> moment de l</w:t>
      </w:r>
      <w:r w:rsidR="00FF47D7" w:rsidRPr="004118AE">
        <w:t>’</w:t>
      </w:r>
      <w:r w:rsidR="000F6058" w:rsidRPr="004118AE">
        <w:t xml:space="preserve">évaluation par </w:t>
      </w:r>
      <w:r w:rsidR="00EE620E">
        <w:t xml:space="preserve">le </w:t>
      </w:r>
      <w:r w:rsidR="000F6058" w:rsidRPr="004118AE">
        <w:t xml:space="preserve">JPO et </w:t>
      </w:r>
      <w:r w:rsidR="004E74DB" w:rsidRPr="004118AE">
        <w:t>IP</w:t>
      </w:r>
      <w:r w:rsidR="00E65CB6" w:rsidRPr="004118AE">
        <w:t> </w:t>
      </w:r>
      <w:proofErr w:type="spellStart"/>
      <w:r w:rsidR="004E74DB" w:rsidRPr="004118AE">
        <w:t>Australia</w:t>
      </w:r>
      <w:proofErr w:type="spellEnd"/>
      <w:r w:rsidR="000F6058" w:rsidRPr="004118AE">
        <w:t>, respectivement du 21 au 2</w:t>
      </w:r>
      <w:r w:rsidR="005F3FE3" w:rsidRPr="004118AE">
        <w:t>2 février 20</w:t>
      </w:r>
      <w:r w:rsidR="000F6058" w:rsidRPr="004118AE">
        <w:t>17 et du 27 au 2</w:t>
      </w:r>
      <w:r w:rsidR="005F3FE3" w:rsidRPr="004118AE">
        <w:t>8 février 20</w:t>
      </w:r>
      <w:r w:rsidR="000F6058" w:rsidRPr="004118AE">
        <w:t>17, l</w:t>
      </w:r>
      <w:r w:rsidR="00FF47D7" w:rsidRPr="004118AE">
        <w:t>’</w:t>
      </w:r>
      <w:r w:rsidR="000F6058" w:rsidRPr="004118AE">
        <w:t>IPOPHL disposait de 87</w:t>
      </w:r>
      <w:r w:rsidR="006A33AF" w:rsidRPr="004118AE">
        <w:t> </w:t>
      </w:r>
      <w:r w:rsidR="000F6058" w:rsidRPr="004118AE">
        <w:t xml:space="preserve">examinateurs de brevets à </w:t>
      </w:r>
      <w:r w:rsidR="007C2F3B" w:rsidRPr="004118AE">
        <w:t xml:space="preserve">plein temps en mesure de réaliser </w:t>
      </w:r>
      <w:r w:rsidR="0086586B" w:rsidRPr="004118AE">
        <w:t xml:space="preserve">les </w:t>
      </w:r>
      <w:r w:rsidR="000F6058" w:rsidRPr="004118AE">
        <w:t>travaux de recherche et d</w:t>
      </w:r>
      <w:r w:rsidR="00FF47D7" w:rsidRPr="004118AE">
        <w:t>’</w:t>
      </w:r>
      <w:r w:rsidR="000F6058" w:rsidRPr="004118AE">
        <w:t>exam</w:t>
      </w:r>
      <w:r w:rsidR="006A33AF" w:rsidRPr="004118AE">
        <w:t>en.  Lo</w:t>
      </w:r>
      <w:r w:rsidR="00B55F82" w:rsidRPr="004118AE">
        <w:t>rs d</w:t>
      </w:r>
      <w:r w:rsidR="00DB5576" w:rsidRPr="004118AE">
        <w:t>e la soumission</w:t>
      </w:r>
      <w:r w:rsidR="00DD43AE" w:rsidRPr="004118AE">
        <w:t xml:space="preserve"> de sa candidature</w:t>
      </w:r>
      <w:r w:rsidR="00DB5576" w:rsidRPr="004118AE">
        <w:t xml:space="preserve">, </w:t>
      </w:r>
      <w:r w:rsidR="00D35A65" w:rsidRPr="004118AE">
        <w:t>l</w:t>
      </w:r>
      <w:r w:rsidR="00FF47D7" w:rsidRPr="004118AE">
        <w:t>’</w:t>
      </w:r>
      <w:r w:rsidR="00DB5576" w:rsidRPr="004118AE">
        <w:t>IPOPHL compt</w:t>
      </w:r>
      <w:r w:rsidR="009002D1" w:rsidRPr="004118AE">
        <w:t>ait</w:t>
      </w:r>
      <w:r w:rsidR="00DB5576" w:rsidRPr="004118AE">
        <w:t xml:space="preserve"> 102</w:t>
      </w:r>
      <w:r w:rsidR="006A33AF" w:rsidRPr="004118AE">
        <w:t> </w:t>
      </w:r>
      <w:r w:rsidR="00DB5576" w:rsidRPr="004118AE">
        <w:t>examinateurs de brevets, dont 15</w:t>
      </w:r>
      <w:r w:rsidR="006A33AF" w:rsidRPr="004118AE">
        <w:t> </w:t>
      </w:r>
      <w:r w:rsidR="00DB5576" w:rsidRPr="004118AE">
        <w:t>examinateurs engagés la première semaine de ma</w:t>
      </w:r>
      <w:r w:rsidR="006A33AF" w:rsidRPr="004118AE">
        <w:t>rs.  D’i</w:t>
      </w:r>
      <w:r w:rsidR="00C33DFC" w:rsidRPr="004118AE">
        <w:t xml:space="preserve">ci la fin </w:t>
      </w:r>
      <w:r w:rsidR="005F3FE3" w:rsidRPr="004118AE">
        <w:t>mars 20</w:t>
      </w:r>
      <w:r w:rsidR="00C33DFC" w:rsidRPr="004118AE">
        <w:t xml:space="preserve">17, </w:t>
      </w:r>
      <w:r w:rsidR="00E65CB6" w:rsidRPr="004118AE">
        <w:t>10 </w:t>
      </w:r>
      <w:r w:rsidR="00C33DFC" w:rsidRPr="004118AE">
        <w:t xml:space="preserve">examinateurs supplémentaires seront </w:t>
      </w:r>
      <w:r w:rsidR="00AA1CC9" w:rsidRPr="004118AE">
        <w:t>recrut</w:t>
      </w:r>
      <w:r w:rsidR="006A33AF" w:rsidRPr="004118AE">
        <w:t>és.  Le</w:t>
      </w:r>
      <w:r w:rsidR="00A51E72" w:rsidRPr="004118AE">
        <w:t>s 25</w:t>
      </w:r>
      <w:r w:rsidR="006A33AF" w:rsidRPr="004118AE">
        <w:t> </w:t>
      </w:r>
      <w:r w:rsidR="00A51E72" w:rsidRPr="004118AE">
        <w:t xml:space="preserve">examinateurs engagés en </w:t>
      </w:r>
      <w:r w:rsidR="005F3FE3" w:rsidRPr="004118AE">
        <w:lastRenderedPageBreak/>
        <w:t>mars 20</w:t>
      </w:r>
      <w:r w:rsidR="00A51E72" w:rsidRPr="004118AE">
        <w:t xml:space="preserve">17 </w:t>
      </w:r>
      <w:r w:rsidR="002E2252" w:rsidRPr="004118AE">
        <w:t xml:space="preserve">suivront </w:t>
      </w:r>
      <w:r w:rsidR="00CA1491" w:rsidRPr="004118AE">
        <w:t>la</w:t>
      </w:r>
      <w:r w:rsidR="00A51E72" w:rsidRPr="004118AE">
        <w:t xml:space="preserve"> </w:t>
      </w:r>
      <w:r w:rsidR="005057D0" w:rsidRPr="004118AE">
        <w:t>rigoureu</w:t>
      </w:r>
      <w:r w:rsidR="00CA1491" w:rsidRPr="004118AE">
        <w:t>se</w:t>
      </w:r>
      <w:r w:rsidR="005057D0" w:rsidRPr="004118AE">
        <w:t xml:space="preserve"> </w:t>
      </w:r>
      <w:r w:rsidR="00CA1491" w:rsidRPr="004118AE">
        <w:t>Formation des nouveaux examinateurs de brevets (</w:t>
      </w:r>
      <w:r w:rsidR="00A51E72" w:rsidRPr="004118AE">
        <w:t>NPET</w:t>
      </w:r>
      <w:r w:rsidR="00CA1491" w:rsidRPr="004118AE">
        <w:t>)</w:t>
      </w:r>
      <w:r w:rsidR="00A51E72" w:rsidRPr="004118AE">
        <w:t xml:space="preserve"> et devraient</w:t>
      </w:r>
      <w:r w:rsidR="00B921B6" w:rsidRPr="004118AE">
        <w:t xml:space="preserve"> terminer la phase I d</w:t>
      </w:r>
      <w:r w:rsidR="00FF47D7" w:rsidRPr="004118AE">
        <w:t>’</w:t>
      </w:r>
      <w:r w:rsidR="00B921B6" w:rsidRPr="004118AE">
        <w:t>ici juin/</w:t>
      </w:r>
      <w:r w:rsidR="005F3FE3" w:rsidRPr="004118AE">
        <w:t>juillet 20</w:t>
      </w:r>
      <w:r w:rsidR="00A51E72" w:rsidRPr="004118AE">
        <w:t xml:space="preserve">17, </w:t>
      </w:r>
      <w:r w:rsidR="006B353F" w:rsidRPr="004118AE">
        <w:t xml:space="preserve">et seront donc compétents pour </w:t>
      </w:r>
      <w:r w:rsidR="00A51E72" w:rsidRPr="004118AE">
        <w:t xml:space="preserve">mener </w:t>
      </w:r>
      <w:r w:rsidR="00442A9D" w:rsidRPr="004118AE">
        <w:t xml:space="preserve">à bien la </w:t>
      </w:r>
      <w:r w:rsidR="00A51E72" w:rsidRPr="004118AE">
        <w:t xml:space="preserve">recherche et </w:t>
      </w:r>
      <w:r w:rsidR="00442A9D" w:rsidRPr="004118AE">
        <w:t>l</w:t>
      </w:r>
      <w:r w:rsidR="00FF47D7" w:rsidRPr="004118AE">
        <w:t>’</w:t>
      </w:r>
      <w:r w:rsidR="00442A9D" w:rsidRPr="004118AE">
        <w:t>exam</w:t>
      </w:r>
      <w:r w:rsidR="006A33AF" w:rsidRPr="004118AE">
        <w:t>en.  Ai</w:t>
      </w:r>
      <w:r w:rsidR="00EA4160" w:rsidRPr="004118AE">
        <w:t>nsi, au moment de l</w:t>
      </w:r>
      <w:r w:rsidR="00FF47D7" w:rsidRPr="004118AE">
        <w:t>’</w:t>
      </w:r>
      <w:r w:rsidR="00EA4160" w:rsidRPr="004118AE">
        <w:t>Assemblée de l</w:t>
      </w:r>
      <w:r w:rsidR="00FF47D7" w:rsidRPr="004118AE">
        <w:t>’</w:t>
      </w:r>
      <w:r w:rsidR="00EA4160" w:rsidRPr="004118AE">
        <w:t>Union</w:t>
      </w:r>
      <w:r w:rsidR="005F3FE3" w:rsidRPr="004118AE">
        <w:t xml:space="preserve"> du PCT</w:t>
      </w:r>
      <w:r w:rsidR="00EA4160" w:rsidRPr="004118AE">
        <w:t xml:space="preserve">, </w:t>
      </w:r>
      <w:r w:rsidR="001E4EB6" w:rsidRPr="004118AE">
        <w:t>l</w:t>
      </w:r>
      <w:r w:rsidR="00FF47D7" w:rsidRPr="004118AE">
        <w:t>’</w:t>
      </w:r>
      <w:r w:rsidR="00EE620E" w:rsidRPr="004118AE">
        <w:t>office</w:t>
      </w:r>
      <w:r w:rsidR="001E4EB6" w:rsidRPr="004118AE">
        <w:t xml:space="preserve"> </w:t>
      </w:r>
      <w:r w:rsidR="00EA4160" w:rsidRPr="004118AE">
        <w:t>disposera de 112</w:t>
      </w:r>
      <w:r w:rsidR="006A33AF" w:rsidRPr="004118AE">
        <w:t> </w:t>
      </w:r>
      <w:r w:rsidR="001E4EB6" w:rsidRPr="004118AE">
        <w:t xml:space="preserve">examinateurs de brevets à </w:t>
      </w:r>
      <w:r w:rsidR="00EA4160" w:rsidRPr="004118AE">
        <w:t xml:space="preserve">plein </w:t>
      </w:r>
      <w:r w:rsidR="001E4EB6" w:rsidRPr="004118AE">
        <w:t xml:space="preserve">temps possédant </w:t>
      </w:r>
      <w:r w:rsidR="00EA4160" w:rsidRPr="004118AE">
        <w:t>des qualifications techniques suffisantes pour effectuer des recherches et des exame</w:t>
      </w:r>
      <w:r w:rsidR="006A33AF" w:rsidRPr="004118AE">
        <w:t>ns.  Il</w:t>
      </w:r>
      <w:r w:rsidR="000F116F" w:rsidRPr="004118AE">
        <w:t xml:space="preserve"> convie</w:t>
      </w:r>
      <w:r w:rsidR="001A122F" w:rsidRPr="004118AE">
        <w:t>nt de noter que pour garantir le recrutement d</w:t>
      </w:r>
      <w:r w:rsidR="00FF47D7" w:rsidRPr="004118AE">
        <w:t>’</w:t>
      </w:r>
      <w:r w:rsidR="001A122F" w:rsidRPr="004118AE">
        <w:t>un personnel</w:t>
      </w:r>
      <w:r w:rsidR="000F116F" w:rsidRPr="004118AE">
        <w:t xml:space="preserve"> compétent, l</w:t>
      </w:r>
      <w:r w:rsidR="00FF47D7" w:rsidRPr="004118AE">
        <w:t>’</w:t>
      </w:r>
      <w:r w:rsidR="000F116F" w:rsidRPr="004118AE">
        <w:t>IPOPHL adopte un</w:t>
      </w:r>
      <w:r w:rsidR="00C97FB6" w:rsidRPr="004118AE">
        <w:t>e</w:t>
      </w:r>
      <w:r w:rsidR="000F116F" w:rsidRPr="004118AE">
        <w:t xml:space="preserve"> </w:t>
      </w:r>
      <w:r w:rsidR="00C97FB6" w:rsidRPr="004118AE">
        <w:t xml:space="preserve">procédure </w:t>
      </w:r>
      <w:r w:rsidR="000F116F" w:rsidRPr="004118AE">
        <w:t xml:space="preserve">de recrutement et de sélection </w:t>
      </w:r>
      <w:r w:rsidR="00FF0584" w:rsidRPr="004118AE">
        <w:t>à quatre</w:t>
      </w:r>
      <w:r w:rsidR="00E65CB6" w:rsidRPr="004118AE">
        <w:t> </w:t>
      </w:r>
      <w:r w:rsidR="00FF0584" w:rsidRPr="004118AE">
        <w:t>niveaux</w:t>
      </w:r>
      <w:r w:rsidR="000F116F" w:rsidRPr="004118AE">
        <w:t xml:space="preserve"> qu</w:t>
      </w:r>
      <w:r w:rsidR="00FF47D7" w:rsidRPr="004118AE">
        <w:t>’</w:t>
      </w:r>
      <w:r w:rsidR="000F116F" w:rsidRPr="004118AE">
        <w:t>il applique à tous les examinateu</w:t>
      </w:r>
      <w:r w:rsidR="006A33AF" w:rsidRPr="004118AE">
        <w:t>rs.  Il</w:t>
      </w:r>
      <w:r w:rsidR="000F116F" w:rsidRPr="004118AE">
        <w:t xml:space="preserve"> utilise un programme </w:t>
      </w:r>
      <w:r w:rsidR="00E17C3F" w:rsidRPr="004118AE">
        <w:t xml:space="preserve">de formation </w:t>
      </w:r>
      <w:r w:rsidR="000F116F" w:rsidRPr="004118AE">
        <w:t xml:space="preserve">reconnu </w:t>
      </w:r>
      <w:r w:rsidR="00E17C3F" w:rsidRPr="004118AE">
        <w:t xml:space="preserve">et </w:t>
      </w:r>
      <w:r w:rsidR="000F116F" w:rsidRPr="004118AE">
        <w:t>complet fondé sur les compétenc</w:t>
      </w:r>
      <w:r w:rsidR="006A33AF" w:rsidRPr="004118AE">
        <w:t>es.  To</w:t>
      </w:r>
      <w:r w:rsidR="00D7047A" w:rsidRPr="004118AE">
        <w:t xml:space="preserve">us les examinateurs </w:t>
      </w:r>
      <w:r w:rsidR="00BC3CD7">
        <w:t>bénéficient</w:t>
      </w:r>
      <w:r w:rsidR="00D7047A" w:rsidRPr="004118AE">
        <w:t xml:space="preserve"> des formations continues </w:t>
      </w:r>
      <w:r w:rsidR="00FE6F72" w:rsidRPr="004118AE">
        <w:t xml:space="preserve">en interne </w:t>
      </w:r>
      <w:r w:rsidR="00D7047A" w:rsidRPr="004118AE">
        <w:t>et à l</w:t>
      </w:r>
      <w:r w:rsidR="00FF47D7" w:rsidRPr="004118AE">
        <w:t>’</w:t>
      </w:r>
      <w:r w:rsidR="00FE6F72" w:rsidRPr="004118AE">
        <w:t>étranger</w:t>
      </w:r>
      <w:r w:rsidR="00D7047A" w:rsidRPr="004118AE">
        <w:t xml:space="preserve"> axées sur l</w:t>
      </w:r>
      <w:r w:rsidR="00FF47D7" w:rsidRPr="004118AE">
        <w:t>’</w:t>
      </w:r>
      <w:r w:rsidR="00D7047A" w:rsidRPr="004118AE">
        <w:t>amélioration des compétences de recherche et d</w:t>
      </w:r>
      <w:r w:rsidR="00FF47D7" w:rsidRPr="004118AE">
        <w:t>’</w:t>
      </w:r>
      <w:r w:rsidR="00D7047A" w:rsidRPr="004118AE">
        <w:t>examen.</w:t>
      </w:r>
    </w:p>
    <w:p w14:paraId="5D7956B8" w14:textId="4E163A58" w:rsidR="001647E2" w:rsidRDefault="004A1743" w:rsidP="00DA07A9">
      <w:pPr>
        <w:pStyle w:val="Heading3"/>
      </w:pPr>
      <w:r w:rsidRPr="004118AE">
        <w:t>Profil des examinateurs</w:t>
      </w:r>
    </w:p>
    <w:p w14:paraId="2F773B04" w14:textId="77777777" w:rsidR="00C44A62" w:rsidRPr="00C44A62" w:rsidRDefault="00C44A62" w:rsidP="00DA07A9"/>
    <w:p w14:paraId="1300C13D" w14:textId="17D2D32B" w:rsidR="00110FEA" w:rsidRPr="004118AE" w:rsidRDefault="000A4FAA" w:rsidP="00DA07A9">
      <w:pPr>
        <w:pStyle w:val="ONUMFS"/>
      </w:pPr>
      <w:r w:rsidRPr="004118AE">
        <w:t>C</w:t>
      </w:r>
      <w:r w:rsidR="00EF6DDA" w:rsidRPr="004118AE">
        <w:t>omme l</w:t>
      </w:r>
      <w:r w:rsidR="00FF47D7" w:rsidRPr="004118AE">
        <w:t>’</w:t>
      </w:r>
      <w:r w:rsidR="00EF6DDA" w:rsidRPr="004118AE">
        <w:t xml:space="preserve">exige la </w:t>
      </w:r>
      <w:r w:rsidRPr="004118AE">
        <w:t>Commission de la fonction publique (CSC) des Philippines, les examinateurs de l</w:t>
      </w:r>
      <w:r w:rsidR="00FF47D7" w:rsidRPr="004118AE">
        <w:t>’</w:t>
      </w:r>
      <w:r w:rsidRPr="004118AE">
        <w:t xml:space="preserve">IPOPHL sont </w:t>
      </w:r>
      <w:r w:rsidR="00691F11" w:rsidRPr="004118AE">
        <w:t>titulaires de diplômes en ingénierie</w:t>
      </w:r>
      <w:r w:rsidRPr="004118AE">
        <w:t xml:space="preserve">, </w:t>
      </w:r>
      <w:r w:rsidR="00691F11" w:rsidRPr="004118AE">
        <w:t xml:space="preserve">en </w:t>
      </w:r>
      <w:r w:rsidRPr="004118AE">
        <w:t xml:space="preserve">sciences naturelles, </w:t>
      </w:r>
      <w:r w:rsidR="00691F11" w:rsidRPr="004118AE">
        <w:t>en médecine</w:t>
      </w:r>
      <w:r w:rsidRPr="004118AE">
        <w:t xml:space="preserve"> et autres sciences connex</w:t>
      </w:r>
      <w:r w:rsidR="006A33AF" w:rsidRPr="004118AE">
        <w:t>es.  Il</w:t>
      </w:r>
      <w:r w:rsidR="00EF6DDA" w:rsidRPr="004118AE">
        <w:t>s doivent également réussir l</w:t>
      </w:r>
      <w:r w:rsidR="00FF47D7" w:rsidRPr="004118AE">
        <w:t>’</w:t>
      </w:r>
      <w:r w:rsidR="00EF6DDA" w:rsidRPr="004118AE">
        <w:t xml:space="preserve">examen de </w:t>
      </w:r>
      <w:r w:rsidR="006109F4" w:rsidRPr="004118AE">
        <w:t>reconnaissance d</w:t>
      </w:r>
      <w:r w:rsidR="00FF47D7" w:rsidRPr="004118AE">
        <w:t>’</w:t>
      </w:r>
      <w:r w:rsidR="006109F4" w:rsidRPr="004118AE">
        <w:t xml:space="preserve">aptitude professionnelle </w:t>
      </w:r>
      <w:r w:rsidR="00EF6DDA" w:rsidRPr="004118AE">
        <w:t xml:space="preserve">prescrit par la Commission de réglementation professionnelle (PRC) </w:t>
      </w:r>
      <w:r w:rsidR="006109F4" w:rsidRPr="004118AE">
        <w:t xml:space="preserve">ainsi que </w:t>
      </w:r>
      <w:r w:rsidR="00EF6DDA" w:rsidRPr="004118AE">
        <w:t>l</w:t>
      </w:r>
      <w:r w:rsidR="00FF47D7" w:rsidRPr="004118AE">
        <w:t>’</w:t>
      </w:r>
      <w:r w:rsidR="00EF6DDA" w:rsidRPr="004118AE">
        <w:t>examen d</w:t>
      </w:r>
      <w:r w:rsidR="006109F4" w:rsidRPr="004118AE">
        <w:t>u service d</w:t>
      </w:r>
      <w:r w:rsidR="00FF47D7" w:rsidRPr="004118AE">
        <w:t>’</w:t>
      </w:r>
      <w:r w:rsidR="006109F4" w:rsidRPr="004118AE">
        <w:t>orientation professionnelle</w:t>
      </w:r>
      <w:r w:rsidR="00EF6DDA" w:rsidRPr="004118AE">
        <w:t xml:space="preserve"> p</w:t>
      </w:r>
      <w:r w:rsidR="006109F4" w:rsidRPr="004118AE">
        <w:t>rescrit p</w:t>
      </w:r>
      <w:r w:rsidR="00233B73" w:rsidRPr="004118AE">
        <w:t>ar</w:t>
      </w:r>
      <w:r w:rsidR="005F3FE3" w:rsidRPr="004118AE">
        <w:t xml:space="preserve"> la CSC</w:t>
      </w:r>
      <w:r w:rsidR="00EF6DDA" w:rsidRPr="004118AE">
        <w:t>.</w:t>
      </w:r>
    </w:p>
    <w:p w14:paraId="1F020652" w14:textId="236DB9BC" w:rsidR="00110FEA" w:rsidRPr="004118AE" w:rsidRDefault="00EC4602" w:rsidP="00DA07A9">
      <w:pPr>
        <w:pStyle w:val="ONUMFS"/>
      </w:pPr>
      <w:r w:rsidRPr="004118AE">
        <w:t xml:space="preserve">De nombreux examinateurs </w:t>
      </w:r>
      <w:r w:rsidR="00BF0392" w:rsidRPr="004118AE">
        <w:t>sont diplômé</w:t>
      </w:r>
      <w:r w:rsidRPr="004118AE">
        <w:t xml:space="preserve">s </w:t>
      </w:r>
      <w:r w:rsidR="00BF0392" w:rsidRPr="004118AE">
        <w:t>de l</w:t>
      </w:r>
      <w:r w:rsidR="00FF47D7" w:rsidRPr="004118AE">
        <w:t>’</w:t>
      </w:r>
      <w:r w:rsidR="00BF0392" w:rsidRPr="004118AE">
        <w:t xml:space="preserve">enseignement supérieur </w:t>
      </w:r>
      <w:r w:rsidRPr="004118AE">
        <w:t>ou poursuivent actuellement d</w:t>
      </w:r>
      <w:r w:rsidR="00FF47D7" w:rsidRPr="004118AE">
        <w:t>’</w:t>
      </w:r>
      <w:r w:rsidRPr="004118AE">
        <w:t>autres études.</w:t>
      </w:r>
      <w:r w:rsidR="001647E2" w:rsidRPr="004118AE">
        <w:t xml:space="preserve"> </w:t>
      </w:r>
      <w:r w:rsidR="001221F9" w:rsidRPr="004118AE">
        <w:t xml:space="preserve"> </w:t>
      </w:r>
      <w:r w:rsidR="00F667C2" w:rsidRPr="004118AE">
        <w:t>L</w:t>
      </w:r>
      <w:r w:rsidR="00FF47D7" w:rsidRPr="004118AE">
        <w:t>’</w:t>
      </w:r>
      <w:r w:rsidR="00F667C2" w:rsidRPr="004118AE">
        <w:t xml:space="preserve">IPOPHL </w:t>
      </w:r>
      <w:r w:rsidR="003E0D15" w:rsidRPr="004118AE">
        <w:t>apporte son soutien à</w:t>
      </w:r>
      <w:r w:rsidR="00F667C2" w:rsidRPr="004118AE">
        <w:t xml:space="preserve"> </w:t>
      </w:r>
      <w:r w:rsidR="003E0D15" w:rsidRPr="004118AE">
        <w:t>tous ses examinateurs dans la</w:t>
      </w:r>
      <w:r w:rsidR="00F667C2" w:rsidRPr="004118AE">
        <w:t xml:space="preserve"> </w:t>
      </w:r>
      <w:r w:rsidR="003E0D15" w:rsidRPr="004118AE">
        <w:t>poursuite d</w:t>
      </w:r>
      <w:r w:rsidR="00FF47D7" w:rsidRPr="004118AE">
        <w:t>’</w:t>
      </w:r>
      <w:r w:rsidR="003E0D15" w:rsidRPr="004118AE">
        <w:t>études supérieures</w:t>
      </w:r>
      <w:r w:rsidR="00F667C2" w:rsidRPr="004118AE">
        <w:t>.</w:t>
      </w:r>
      <w:r w:rsidR="001647E2" w:rsidRPr="004118AE">
        <w:t xml:space="preserve"> </w:t>
      </w:r>
      <w:r w:rsidR="00BB01DE" w:rsidRPr="004118AE">
        <w:t xml:space="preserve"> </w:t>
      </w:r>
      <w:r w:rsidR="001221F9" w:rsidRPr="004118AE">
        <w:t>L</w:t>
      </w:r>
      <w:r w:rsidR="00FF47D7" w:rsidRPr="004118AE">
        <w:t>’</w:t>
      </w:r>
      <w:r w:rsidR="001221F9" w:rsidRPr="004118AE">
        <w:t>IPOPHL a établi un partenariat avec</w:t>
      </w:r>
      <w:r w:rsidR="00883953" w:rsidRPr="004118AE">
        <w:t xml:space="preserve"> </w:t>
      </w:r>
      <w:r w:rsidR="00480FDE" w:rsidRPr="004118AE">
        <w:t>l</w:t>
      </w:r>
      <w:r w:rsidR="00FF47D7" w:rsidRPr="004118AE">
        <w:t>’</w:t>
      </w:r>
      <w:r w:rsidR="00480FDE" w:rsidRPr="004118AE">
        <w:t xml:space="preserve">Institut de technologie </w:t>
      </w:r>
      <w:proofErr w:type="spellStart"/>
      <w:r w:rsidR="00480FDE" w:rsidRPr="004118AE">
        <w:t>Mapua</w:t>
      </w:r>
      <w:proofErr w:type="spellEnd"/>
      <w:r w:rsidR="00480FDE" w:rsidRPr="004118AE">
        <w:t xml:space="preserve"> </w:t>
      </w:r>
      <w:r w:rsidR="001221F9" w:rsidRPr="004118AE">
        <w:t>(MIT)</w:t>
      </w:r>
      <w:r w:rsidR="00883953" w:rsidRPr="004118AE">
        <w:t>,</w:t>
      </w:r>
      <w:r w:rsidR="001221F9" w:rsidRPr="004118AE">
        <w:t xml:space="preserve"> le meilleur établissement du pays en science et en ingénierie</w:t>
      </w:r>
      <w:r w:rsidR="00883953" w:rsidRPr="004118AE">
        <w:t xml:space="preserve">, </w:t>
      </w:r>
      <w:r w:rsidR="00A70E10" w:rsidRPr="004118AE">
        <w:t>pour les programmes post</w:t>
      </w:r>
      <w:r w:rsidR="00BC3CD7">
        <w:noBreakHyphen/>
      </w:r>
      <w:r w:rsidR="001221F9" w:rsidRPr="004118AE">
        <w:t xml:space="preserve">études </w:t>
      </w:r>
      <w:r w:rsidR="00A70E10" w:rsidRPr="004118AE">
        <w:t>universitaires spécialement conçus pour préparer</w:t>
      </w:r>
      <w:r w:rsidR="006A78DE" w:rsidRPr="004118AE">
        <w:t xml:space="preserve"> </w:t>
      </w:r>
      <w:r w:rsidR="00A70E10" w:rsidRPr="004118AE">
        <w:t>l</w:t>
      </w:r>
      <w:r w:rsidR="00883953" w:rsidRPr="004118AE">
        <w:t xml:space="preserve">es examinateurs </w:t>
      </w:r>
      <w:r w:rsidR="00BC3CD7">
        <w:t>à l’examen des</w:t>
      </w:r>
      <w:r w:rsidR="001221F9" w:rsidRPr="004118AE">
        <w:t xml:space="preserve"> </w:t>
      </w:r>
      <w:r w:rsidR="006A78DE" w:rsidRPr="004118AE">
        <w:t>demande</w:t>
      </w:r>
      <w:r w:rsidR="00883953" w:rsidRPr="004118AE">
        <w:t>s</w:t>
      </w:r>
      <w:r w:rsidR="006A78DE" w:rsidRPr="004118AE">
        <w:t xml:space="preserve"> de brevet </w:t>
      </w:r>
      <w:r w:rsidR="001221F9" w:rsidRPr="004118AE">
        <w:t xml:space="preserve">dans des domaines </w:t>
      </w:r>
      <w:r w:rsidR="00AA1EED" w:rsidRPr="004118AE">
        <w:t>technologiques de poin</w:t>
      </w:r>
      <w:r w:rsidR="006A33AF" w:rsidRPr="004118AE">
        <w:t>te.  Un</w:t>
      </w:r>
      <w:r w:rsidR="009226D2" w:rsidRPr="004118AE">
        <w:t xml:space="preserve"> certain nombre de chercheurs et d</w:t>
      </w:r>
      <w:r w:rsidR="00FF47D7" w:rsidRPr="004118AE">
        <w:t>’</w:t>
      </w:r>
      <w:r w:rsidR="009226D2" w:rsidRPr="004118AE">
        <w:t>examinateurs de l</w:t>
      </w:r>
      <w:r w:rsidR="00FF47D7" w:rsidRPr="004118AE">
        <w:t>’</w:t>
      </w:r>
      <w:r w:rsidR="009226D2" w:rsidRPr="004118AE">
        <w:t>IPOPHL sont actuellement inscrits au programme de maîtrise en génie biologique dans le cadre du partenariat susmentionné.</w:t>
      </w:r>
    </w:p>
    <w:p w14:paraId="2BB9445E" w14:textId="346C0C2D" w:rsidR="00110FEA" w:rsidRPr="004118AE" w:rsidRDefault="00093501" w:rsidP="00DA07A9">
      <w:pPr>
        <w:pStyle w:val="ONUMFS"/>
      </w:pPr>
      <w:r w:rsidRPr="004118AE">
        <w:t>Sur la totalité des examinateurs, s</w:t>
      </w:r>
      <w:r w:rsidR="00E81C31" w:rsidRPr="004118AE">
        <w:t xml:space="preserve">oixante (60) </w:t>
      </w:r>
      <w:r w:rsidRPr="004118AE">
        <w:t>d</w:t>
      </w:r>
      <w:r w:rsidR="00FF47D7" w:rsidRPr="004118AE">
        <w:t>’</w:t>
      </w:r>
      <w:r w:rsidRPr="004118AE">
        <w:t>entre eux</w:t>
      </w:r>
      <w:r w:rsidR="00E81C31" w:rsidRPr="004118AE">
        <w:t>, soit plus de la moitié</w:t>
      </w:r>
      <w:r w:rsidRPr="004118AE">
        <w:t xml:space="preserve">, </w:t>
      </w:r>
      <w:r w:rsidR="00E81C31" w:rsidRPr="004118AE">
        <w:t xml:space="preserve">ont une expérience </w:t>
      </w:r>
      <w:r w:rsidRPr="004118AE">
        <w:t>entre</w:t>
      </w:r>
      <w:r w:rsidR="00E81C31" w:rsidRPr="004118AE">
        <w:t xml:space="preserve"> quatre</w:t>
      </w:r>
      <w:r w:rsidR="00E65CB6" w:rsidRPr="004118AE">
        <w:t> </w:t>
      </w:r>
      <w:r w:rsidR="00E81C31" w:rsidRPr="004118AE">
        <w:t xml:space="preserve">(4) ans </w:t>
      </w:r>
      <w:r w:rsidRPr="004118AE">
        <w:t xml:space="preserve">et </w:t>
      </w:r>
      <w:r w:rsidR="00E81C31" w:rsidRPr="004118AE">
        <w:t>trente</w:t>
      </w:r>
      <w:r w:rsidR="00BC3CD7">
        <w:noBreakHyphen/>
      </w:r>
      <w:r w:rsidR="00E81C31" w:rsidRPr="004118AE">
        <w:t>neuf (39) ans dans le domaine de la recherche et de l</w:t>
      </w:r>
      <w:r w:rsidR="00FF47D7" w:rsidRPr="004118AE">
        <w:t>’</w:t>
      </w:r>
      <w:r w:rsidR="00E81C31" w:rsidRPr="004118AE">
        <w:t>exam</w:t>
      </w:r>
      <w:r w:rsidR="006A33AF" w:rsidRPr="004118AE">
        <w:t>en.  To</w:t>
      </w:r>
      <w:r w:rsidRPr="004118AE">
        <w:t>us les nouveaux examinateurs suivent un programme de formation structuré, complet et axé sur les compétences qui leur permet d</w:t>
      </w:r>
      <w:r w:rsidR="00FF47D7" w:rsidRPr="004118AE">
        <w:t>’</w:t>
      </w:r>
      <w:r w:rsidRPr="004118AE">
        <w:t>acquérir le niveau requis de compétences pour la recherche et l</w:t>
      </w:r>
      <w:r w:rsidR="00FF47D7" w:rsidRPr="004118AE">
        <w:t>’</w:t>
      </w:r>
      <w:r w:rsidRPr="004118AE">
        <w:t>exam</w:t>
      </w:r>
      <w:r w:rsidR="006A33AF" w:rsidRPr="004118AE">
        <w:t>en.  Pa</w:t>
      </w:r>
      <w:r w:rsidR="009861A9" w:rsidRPr="004118AE">
        <w:t xml:space="preserve">r ailleurs, tous les examinateurs </w:t>
      </w:r>
      <w:r w:rsidR="000A3CE1" w:rsidRPr="004118AE">
        <w:t xml:space="preserve">bénéficient </w:t>
      </w:r>
      <w:r w:rsidR="009861A9" w:rsidRPr="004118AE">
        <w:t xml:space="preserve">de formations </w:t>
      </w:r>
      <w:r w:rsidR="00FE6F72" w:rsidRPr="004118AE">
        <w:t>continues en interne</w:t>
      </w:r>
      <w:r w:rsidR="009861A9" w:rsidRPr="004118AE">
        <w:t xml:space="preserve"> et </w:t>
      </w:r>
      <w:r w:rsidR="00FE6F72" w:rsidRPr="004118AE">
        <w:t>à l</w:t>
      </w:r>
      <w:r w:rsidR="00FF47D7" w:rsidRPr="004118AE">
        <w:t>’</w:t>
      </w:r>
      <w:r w:rsidR="00FE6F72" w:rsidRPr="004118AE">
        <w:t>étranger</w:t>
      </w:r>
      <w:r w:rsidR="009861A9" w:rsidRPr="004118AE">
        <w:t xml:space="preserve"> </w:t>
      </w:r>
      <w:r w:rsidR="000A3CE1" w:rsidRPr="004118AE">
        <w:t>particulièrement</w:t>
      </w:r>
      <w:r w:rsidR="006E514A" w:rsidRPr="004118AE">
        <w:t xml:space="preserve"> orientées </w:t>
      </w:r>
      <w:r w:rsidR="009861A9" w:rsidRPr="004118AE">
        <w:t>sur l</w:t>
      </w:r>
      <w:r w:rsidR="00FF47D7" w:rsidRPr="004118AE">
        <w:t>’</w:t>
      </w:r>
      <w:r w:rsidR="009861A9" w:rsidRPr="004118AE">
        <w:t>amélioration de leurs compétences en matière de recherche et d</w:t>
      </w:r>
      <w:r w:rsidR="00FF47D7" w:rsidRPr="004118AE">
        <w:t>’</w:t>
      </w:r>
      <w:r w:rsidR="009861A9" w:rsidRPr="004118AE">
        <w:t>exam</w:t>
      </w:r>
      <w:r w:rsidR="006A33AF" w:rsidRPr="004118AE">
        <w:t>en.  Ce</w:t>
      </w:r>
      <w:r w:rsidR="000A3CE1" w:rsidRPr="004118AE">
        <w:t>lles</w:t>
      </w:r>
      <w:r w:rsidR="00BC3CD7">
        <w:noBreakHyphen/>
      </w:r>
      <w:r w:rsidR="000A3CE1" w:rsidRPr="004118AE">
        <w:t>ci sont détaillées ci</w:t>
      </w:r>
      <w:r w:rsidR="00BC3CD7">
        <w:noBreakHyphen/>
      </w:r>
      <w:r w:rsidR="000A3CE1" w:rsidRPr="004118AE">
        <w:t xml:space="preserve">dessous au paragraphe intitulé </w:t>
      </w:r>
      <w:r w:rsidR="00E65CB6" w:rsidRPr="004118AE">
        <w:t>“</w:t>
      </w:r>
      <w:r w:rsidR="000A3CE1" w:rsidRPr="004118AE">
        <w:t>Programme de formation et de renforcement des capacités</w:t>
      </w:r>
      <w:r w:rsidR="00E65CB6" w:rsidRPr="004118AE">
        <w:t>”</w:t>
      </w:r>
      <w:r w:rsidR="000A3CE1" w:rsidRPr="004118AE">
        <w:t>.</w:t>
      </w:r>
    </w:p>
    <w:p w14:paraId="7D80960C" w14:textId="615B99CA" w:rsidR="001647E2" w:rsidRPr="004118AE" w:rsidRDefault="0047651D" w:rsidP="00DA07A9">
      <w:pPr>
        <w:pStyle w:val="ONUMFS"/>
      </w:pPr>
      <w:r w:rsidRPr="004118AE">
        <w:t>Tous les examinateurs de l</w:t>
      </w:r>
      <w:r w:rsidR="00FF47D7" w:rsidRPr="004118AE">
        <w:t>’</w:t>
      </w:r>
      <w:r w:rsidRPr="004118AE">
        <w:t xml:space="preserve">IPOPHL sont </w:t>
      </w:r>
      <w:r w:rsidR="007121D4" w:rsidRPr="004118AE">
        <w:t>encadrés</w:t>
      </w:r>
      <w:r w:rsidRPr="004118AE">
        <w:t xml:space="preserve"> par des superviseurs </w:t>
      </w:r>
      <w:r w:rsidR="00447CCB" w:rsidRPr="004118AE">
        <w:t>chevronnés</w:t>
      </w:r>
      <w:r w:rsidRPr="004118AE">
        <w:t xml:space="preserve"> qui </w:t>
      </w:r>
      <w:r w:rsidR="00447CCB" w:rsidRPr="004118AE">
        <w:t xml:space="preserve">procèdent à </w:t>
      </w:r>
      <w:r w:rsidRPr="004118AE">
        <w:t>deux</w:t>
      </w:r>
      <w:r w:rsidR="00E65CB6" w:rsidRPr="004118AE">
        <w:t> </w:t>
      </w:r>
      <w:r w:rsidRPr="004118AE">
        <w:t xml:space="preserve">(2) niveaux de </w:t>
      </w:r>
      <w:r w:rsidR="00F60B95" w:rsidRPr="004118AE">
        <w:t xml:space="preserve">contrôle </w:t>
      </w:r>
      <w:r w:rsidRPr="004118AE">
        <w:t xml:space="preserve">de </w:t>
      </w:r>
      <w:r w:rsidR="00061F27" w:rsidRPr="004118AE">
        <w:t xml:space="preserve">la qualité </w:t>
      </w:r>
      <w:r w:rsidR="00F60B95" w:rsidRPr="004118AE">
        <w:t xml:space="preserve">en cours de traitement pour </w:t>
      </w:r>
      <w:r w:rsidRPr="004118AE">
        <w:t>tous les rapports de recherche et d</w:t>
      </w:r>
      <w:r w:rsidR="00FF47D7" w:rsidRPr="004118AE">
        <w:t>’</w:t>
      </w:r>
      <w:r w:rsidRPr="004118AE">
        <w:t>exam</w:t>
      </w:r>
      <w:r w:rsidR="006A33AF" w:rsidRPr="004118AE">
        <w:t>en.  Le</w:t>
      </w:r>
      <w:r w:rsidR="00061F27" w:rsidRPr="004118AE">
        <w:t>s superviseurs de toutes les divisions d</w:t>
      </w:r>
      <w:r w:rsidR="00FF47D7" w:rsidRPr="004118AE">
        <w:t>’</w:t>
      </w:r>
      <w:r w:rsidR="00061F27" w:rsidRPr="004118AE">
        <w:t>examen sont titulaires d</w:t>
      </w:r>
      <w:r w:rsidR="00FF47D7" w:rsidRPr="004118AE">
        <w:t>’</w:t>
      </w:r>
      <w:r w:rsidR="00510361" w:rsidRPr="004118AE">
        <w:t>un diplôme de l</w:t>
      </w:r>
      <w:r w:rsidR="00FF47D7" w:rsidRPr="004118AE">
        <w:t>’</w:t>
      </w:r>
      <w:r w:rsidR="00510361" w:rsidRPr="004118AE">
        <w:t>enseignement supérieur dans le domaine technique et la gestion</w:t>
      </w:r>
      <w:r w:rsidR="00061F27" w:rsidRPr="004118AE">
        <w:t xml:space="preserve"> et possèdent une </w:t>
      </w:r>
      <w:r w:rsidR="00510361" w:rsidRPr="004118AE">
        <w:t xml:space="preserve">grande </w:t>
      </w:r>
      <w:r w:rsidR="00061F27" w:rsidRPr="004118AE">
        <w:t>expérience</w:t>
      </w:r>
      <w:r w:rsidR="00510361" w:rsidRPr="004118AE">
        <w:t xml:space="preserve"> (entre 15</w:t>
      </w:r>
      <w:r w:rsidR="006A33AF" w:rsidRPr="004118AE">
        <w:t> </w:t>
      </w:r>
      <w:r w:rsidR="00510361" w:rsidRPr="004118AE">
        <w:t>ans et 38</w:t>
      </w:r>
      <w:r w:rsidR="006A33AF" w:rsidRPr="004118AE">
        <w:t> </w:t>
      </w:r>
      <w:r w:rsidR="00510361" w:rsidRPr="004118AE">
        <w:t>ans)</w:t>
      </w:r>
      <w:r w:rsidR="00061F27" w:rsidRPr="004118AE">
        <w:t xml:space="preserve"> </w:t>
      </w:r>
      <w:r w:rsidR="00510361" w:rsidRPr="004118AE">
        <w:t xml:space="preserve">en matière </w:t>
      </w:r>
      <w:r w:rsidR="00061F27" w:rsidRPr="004118AE">
        <w:t>de recherche et d</w:t>
      </w:r>
      <w:r w:rsidR="00FF47D7" w:rsidRPr="004118AE">
        <w:t>’</w:t>
      </w:r>
      <w:r w:rsidR="00061F27" w:rsidRPr="004118AE">
        <w:t>exam</w:t>
      </w:r>
      <w:r w:rsidR="006A33AF" w:rsidRPr="004118AE">
        <w:t>en.  To</w:t>
      </w:r>
      <w:r w:rsidR="0036492A" w:rsidRPr="004118AE">
        <w:t>us les superviseurs suivent des formations continues en interne et à l</w:t>
      </w:r>
      <w:r w:rsidR="00FF47D7" w:rsidRPr="004118AE">
        <w:t>’</w:t>
      </w:r>
      <w:r w:rsidR="0036492A" w:rsidRPr="004118AE">
        <w:t xml:space="preserve">étranger pour </w:t>
      </w:r>
      <w:r w:rsidR="00946B22" w:rsidRPr="004118AE">
        <w:t>actualiser</w:t>
      </w:r>
      <w:r w:rsidR="0036492A" w:rsidRPr="004118AE">
        <w:t xml:space="preserve"> et renforcer leurs capacités en matière de contrôle de la qualité des brevets, ainsi qu</w:t>
      </w:r>
      <w:r w:rsidR="00FF47D7" w:rsidRPr="004118AE">
        <w:t>’</w:t>
      </w:r>
      <w:r w:rsidR="009159C5" w:rsidRPr="004118AE">
        <w:t>en matière</w:t>
      </w:r>
      <w:r w:rsidR="0036492A" w:rsidRPr="004118AE">
        <w:t xml:space="preserve"> d</w:t>
      </w:r>
      <w:r w:rsidR="00FF47D7" w:rsidRPr="004118AE">
        <w:t>’</w:t>
      </w:r>
      <w:r w:rsidR="009159C5" w:rsidRPr="004118AE">
        <w:t>encadrement et d</w:t>
      </w:r>
      <w:r w:rsidR="0036492A" w:rsidRPr="004118AE">
        <w:t xml:space="preserve">e </w:t>
      </w:r>
      <w:r w:rsidR="009159C5" w:rsidRPr="004118AE">
        <w:t>tutorat</w:t>
      </w:r>
      <w:r w:rsidR="0036492A" w:rsidRPr="004118AE">
        <w:t xml:space="preserve"> des examinateurs.</w:t>
      </w:r>
    </w:p>
    <w:p w14:paraId="49094AA3" w14:textId="67BAF6B0" w:rsidR="001647E2" w:rsidRDefault="00946B22" w:rsidP="00DA07A9">
      <w:pPr>
        <w:pStyle w:val="Heading3"/>
      </w:pPr>
      <w:r w:rsidRPr="004118AE">
        <w:t>Compétences linguistiques</w:t>
      </w:r>
    </w:p>
    <w:p w14:paraId="0C1FCEE4" w14:textId="77777777" w:rsidR="00C44A62" w:rsidRPr="00C44A62" w:rsidRDefault="00C44A62" w:rsidP="00DA07A9"/>
    <w:p w14:paraId="048127DC" w14:textId="2DA81E5B" w:rsidR="00110FEA" w:rsidRPr="004118AE" w:rsidRDefault="005B0315" w:rsidP="00DA07A9">
      <w:pPr>
        <w:pStyle w:val="ONUMFS"/>
      </w:pPr>
      <w:r w:rsidRPr="004118AE">
        <w:t>Tous les examinateurs maîtrisent le philippin et l</w:t>
      </w:r>
      <w:r w:rsidR="00FF47D7" w:rsidRPr="004118AE">
        <w:t>’</w:t>
      </w:r>
      <w:r w:rsidRPr="004118AE">
        <w:t xml:space="preserve">anglais </w:t>
      </w:r>
      <w:r w:rsidR="00B63379" w:rsidRPr="004118AE">
        <w:t>à l</w:t>
      </w:r>
      <w:r w:rsidR="00FF47D7" w:rsidRPr="004118AE">
        <w:t>’</w:t>
      </w:r>
      <w:r w:rsidR="00B63379" w:rsidRPr="004118AE">
        <w:t>oral et à l</w:t>
      </w:r>
      <w:r w:rsidR="00FF47D7" w:rsidRPr="004118AE">
        <w:t>’</w:t>
      </w:r>
      <w:r w:rsidR="00B63379" w:rsidRPr="004118AE">
        <w:t>écr</w:t>
      </w:r>
      <w:r w:rsidR="006A33AF" w:rsidRPr="004118AE">
        <w:t>it.  Ce</w:t>
      </w:r>
      <w:r w:rsidR="00B63379" w:rsidRPr="004118AE">
        <w:t>rtains examinateurs ont également des compétences dans d</w:t>
      </w:r>
      <w:r w:rsidR="00FF47D7" w:rsidRPr="004118AE">
        <w:t>’</w:t>
      </w:r>
      <w:r w:rsidR="00B63379" w:rsidRPr="004118AE">
        <w:t xml:space="preserve">autres langues étrangères, comme </w:t>
      </w:r>
      <w:r w:rsidR="00F60B95" w:rsidRPr="004118AE">
        <w:t>l</w:t>
      </w:r>
      <w:r w:rsidR="00FF47D7" w:rsidRPr="004118AE">
        <w:t>’</w:t>
      </w:r>
      <w:r w:rsidR="00F60B95" w:rsidRPr="004118AE">
        <w:t>allemand, l</w:t>
      </w:r>
      <w:r w:rsidR="00FF47D7" w:rsidRPr="004118AE">
        <w:t>’</w:t>
      </w:r>
      <w:r w:rsidR="00F60B95" w:rsidRPr="004118AE">
        <w:t>espagnol, le français, le japonais et le mandarin</w:t>
      </w:r>
      <w:r w:rsidR="00B63379" w:rsidRPr="004118AE">
        <w:t>.</w:t>
      </w:r>
    </w:p>
    <w:p w14:paraId="69E2D1D3" w14:textId="3D2E835F" w:rsidR="001647E2" w:rsidRPr="004118AE" w:rsidRDefault="00B3560F" w:rsidP="00DA07A9">
      <w:pPr>
        <w:pStyle w:val="ONUMFS"/>
      </w:pPr>
      <w:r w:rsidRPr="004118AE">
        <w:lastRenderedPageBreak/>
        <w:t>S</w:t>
      </w:r>
      <w:r w:rsidR="00FF47D7" w:rsidRPr="004118AE">
        <w:t>’</w:t>
      </w:r>
      <w:r w:rsidRPr="004118AE">
        <w:t>agissant d</w:t>
      </w:r>
      <w:r w:rsidR="00B63379" w:rsidRPr="004118AE">
        <w:t>es exigences en matière de com</w:t>
      </w:r>
      <w:r w:rsidRPr="004118AE">
        <w:t xml:space="preserve">pétences linguistiques énoncées aux </w:t>
      </w:r>
      <w:r w:rsidR="005F3FE3" w:rsidRPr="004118AE">
        <w:t>règles 3</w:t>
      </w:r>
      <w:r w:rsidRPr="004118AE">
        <w:t>6.1</w:t>
      </w:r>
      <w:r w:rsidR="004028E6" w:rsidRPr="004118AE">
        <w:t>.</w:t>
      </w:r>
      <w:r w:rsidRPr="004118AE">
        <w:t>iii) et 63.1</w:t>
      </w:r>
      <w:r w:rsidR="004028E6" w:rsidRPr="004118AE">
        <w:t>.</w:t>
      </w:r>
      <w:r w:rsidRPr="004118AE">
        <w:t>iii) du règlement d</w:t>
      </w:r>
      <w:r w:rsidR="00FF47D7" w:rsidRPr="004118AE">
        <w:t>’</w:t>
      </w:r>
      <w:r w:rsidRPr="004118AE">
        <w:t>exécution</w:t>
      </w:r>
      <w:r w:rsidR="005F3FE3" w:rsidRPr="004118AE">
        <w:t xml:space="preserve"> du PCT</w:t>
      </w:r>
      <w:r w:rsidR="00B63379" w:rsidRPr="004118AE">
        <w:t xml:space="preserve">, </w:t>
      </w:r>
      <w:r w:rsidR="004E5E6F" w:rsidRPr="004118AE">
        <w:t xml:space="preserve">selon lesquelles </w:t>
      </w:r>
      <w:r w:rsidR="00B63379" w:rsidRPr="004118AE">
        <w:t xml:space="preserve">les examinateurs </w:t>
      </w:r>
      <w:r w:rsidR="004E5E6F" w:rsidRPr="004118AE">
        <w:t xml:space="preserve">doivent </w:t>
      </w:r>
      <w:r w:rsidR="00B63379" w:rsidRPr="004118AE">
        <w:t xml:space="preserve">avoir </w:t>
      </w:r>
      <w:r w:rsidRPr="004118AE">
        <w:t xml:space="preserve">les connaissances linguistiques nécessaires à la compréhension au moins des langues dans lesquelles la documentation minimale </w:t>
      </w:r>
      <w:r w:rsidR="00A31137" w:rsidRPr="004118AE">
        <w:t xml:space="preserve">citée à </w:t>
      </w:r>
      <w:r w:rsidRPr="004118AE">
        <w:t xml:space="preserve">la </w:t>
      </w:r>
      <w:r w:rsidR="005F3FE3" w:rsidRPr="004118AE">
        <w:t>règle 3</w:t>
      </w:r>
      <w:r w:rsidRPr="004118AE">
        <w:t>4 du règlement d</w:t>
      </w:r>
      <w:r w:rsidR="00FF47D7" w:rsidRPr="004118AE">
        <w:t>’</w:t>
      </w:r>
      <w:r w:rsidRPr="004118AE">
        <w:t>exécution</w:t>
      </w:r>
      <w:r w:rsidR="005F3FE3" w:rsidRPr="004118AE">
        <w:t xml:space="preserve"> du PCT</w:t>
      </w:r>
      <w:r w:rsidRPr="004118AE">
        <w:t xml:space="preserve"> est rédigée ou traduite, </w:t>
      </w:r>
      <w:r w:rsidR="00B63379" w:rsidRPr="004118AE">
        <w:t xml:space="preserve">les examinateurs </w:t>
      </w:r>
      <w:r w:rsidRPr="004118AE">
        <w:t>d</w:t>
      </w:r>
      <w:r w:rsidR="00FF47D7" w:rsidRPr="004118AE">
        <w:t>’</w:t>
      </w:r>
      <w:r w:rsidRPr="004118AE">
        <w:t xml:space="preserve">IPOPHL possèdent une maîtrise et </w:t>
      </w:r>
      <w:r w:rsidR="00BC3CD7">
        <w:t xml:space="preserve">une </w:t>
      </w:r>
      <w:r w:rsidRPr="004118AE">
        <w:t xml:space="preserve">compréhension </w:t>
      </w:r>
      <w:r w:rsidR="00BC3CD7" w:rsidRPr="004118AE">
        <w:t>excellente</w:t>
      </w:r>
      <w:r w:rsidR="00BC3CD7">
        <w:t>s</w:t>
      </w:r>
      <w:r w:rsidR="00BC3CD7" w:rsidRPr="004118AE">
        <w:t xml:space="preserve"> </w:t>
      </w:r>
      <w:r w:rsidRPr="004118AE">
        <w:t>de l</w:t>
      </w:r>
      <w:r w:rsidR="00FF47D7" w:rsidRPr="004118AE">
        <w:t>’</w:t>
      </w:r>
      <w:r w:rsidRPr="004118AE">
        <w:t>anglais</w:t>
      </w:r>
      <w:r w:rsidR="00B63379" w:rsidRPr="004118AE">
        <w:t xml:space="preserve"> qui est l</w:t>
      </w:r>
      <w:r w:rsidR="00FF47D7" w:rsidRPr="004118AE">
        <w:t>’</w:t>
      </w:r>
      <w:r w:rsidR="00B63379" w:rsidRPr="004118AE">
        <w:t xml:space="preserve">une des langues largement utilisées dans les </w:t>
      </w:r>
      <w:r w:rsidRPr="004118AE">
        <w:t>demandes selon</w:t>
      </w:r>
      <w:r w:rsidR="005F3FE3" w:rsidRPr="004118AE">
        <w:t xml:space="preserve"> le PCT</w:t>
      </w:r>
      <w:r w:rsidR="00B63379" w:rsidRPr="004118AE">
        <w:t>.</w:t>
      </w:r>
    </w:p>
    <w:p w14:paraId="3D98809E" w14:textId="4BD32E8B" w:rsidR="001647E2" w:rsidRDefault="0056061D" w:rsidP="00DA07A9">
      <w:pPr>
        <w:pStyle w:val="Heading3"/>
      </w:pPr>
      <w:r w:rsidRPr="004118AE">
        <w:t>Recrutement et sélection</w:t>
      </w:r>
    </w:p>
    <w:p w14:paraId="3B50AA6A" w14:textId="77777777" w:rsidR="00C44A62" w:rsidRPr="00C44A62" w:rsidRDefault="00C44A62" w:rsidP="00DA07A9"/>
    <w:p w14:paraId="1E8AF5A2" w14:textId="5A2EE6DD" w:rsidR="00110FEA" w:rsidRPr="004118AE" w:rsidRDefault="00463BA2" w:rsidP="00DA07A9">
      <w:pPr>
        <w:pStyle w:val="ONUMFS"/>
      </w:pPr>
      <w:r w:rsidRPr="004118AE">
        <w:t>Pour engager ses examinateurs de brevets, l</w:t>
      </w:r>
      <w:r w:rsidR="00FF47D7" w:rsidRPr="004118AE">
        <w:t>’</w:t>
      </w:r>
      <w:r w:rsidRPr="004118AE">
        <w:t xml:space="preserve">IPOPHL suit la procédure </w:t>
      </w:r>
      <w:r w:rsidR="000E3B3F" w:rsidRPr="004118AE">
        <w:t xml:space="preserve">suivante </w:t>
      </w:r>
      <w:r w:rsidRPr="004118AE">
        <w:t xml:space="preserve">de recrutement et de sélection </w:t>
      </w:r>
      <w:r w:rsidR="000E3B3F" w:rsidRPr="004118AE">
        <w:t xml:space="preserve">à </w:t>
      </w:r>
      <w:r w:rsidRPr="004118AE">
        <w:t>quatre</w:t>
      </w:r>
      <w:r w:rsidR="00E65CB6" w:rsidRPr="004118AE">
        <w:t> </w:t>
      </w:r>
      <w:r w:rsidR="000E3B3F" w:rsidRPr="004118AE">
        <w:t>niveaux</w:t>
      </w:r>
      <w:r w:rsidR="00FF47D7" w:rsidRPr="004118AE">
        <w:t> :</w:t>
      </w:r>
      <w:r w:rsidR="00110FEA" w:rsidRPr="004118AE">
        <w:t xml:space="preserve"> </w:t>
      </w:r>
      <w:r w:rsidR="00F7764D" w:rsidRPr="004118AE">
        <w:t>a)</w:t>
      </w:r>
      <w:r w:rsidR="00E65CB6" w:rsidRPr="004118AE">
        <w:t> </w:t>
      </w:r>
      <w:r w:rsidR="006F7F12" w:rsidRPr="004118AE">
        <w:t>tous les candidats doivent satisfaire aux exigences minimales pour postuler</w:t>
      </w:r>
      <w:r w:rsidR="00E65CB6" w:rsidRPr="004118AE">
        <w:t xml:space="preserve">; </w:t>
      </w:r>
      <w:r w:rsidR="006F7F12" w:rsidRPr="004118AE">
        <w:t xml:space="preserve"> b)</w:t>
      </w:r>
      <w:r w:rsidR="00E65CB6" w:rsidRPr="004118AE">
        <w:t> </w:t>
      </w:r>
      <w:r w:rsidR="006F7F12" w:rsidRPr="004118AE">
        <w:t xml:space="preserve">tous les candidats doivent </w:t>
      </w:r>
      <w:r w:rsidR="00B07006" w:rsidRPr="004118AE">
        <w:t xml:space="preserve">passer </w:t>
      </w:r>
      <w:r w:rsidR="006F7F12" w:rsidRPr="004118AE">
        <w:t>et réussir l</w:t>
      </w:r>
      <w:r w:rsidR="00B07006" w:rsidRPr="004118AE">
        <w:t xml:space="preserve">a sélection </w:t>
      </w:r>
      <w:r w:rsidR="006F7F12" w:rsidRPr="004118AE">
        <w:t>et l</w:t>
      </w:r>
      <w:r w:rsidR="00FF47D7" w:rsidRPr="004118AE">
        <w:t>’</w:t>
      </w:r>
      <w:r w:rsidR="006F7F12" w:rsidRPr="004118AE">
        <w:t xml:space="preserve">entretien </w:t>
      </w:r>
      <w:r w:rsidR="00DE189E" w:rsidRPr="004118AE">
        <w:t xml:space="preserve">avec le </w:t>
      </w:r>
      <w:r w:rsidR="006F7F12" w:rsidRPr="004118AE">
        <w:t>jury</w:t>
      </w:r>
      <w:r w:rsidR="00E65CB6" w:rsidRPr="004118AE">
        <w:t xml:space="preserve">; </w:t>
      </w:r>
      <w:r w:rsidR="001647E2" w:rsidRPr="004118AE">
        <w:t xml:space="preserve"> </w:t>
      </w:r>
      <w:r w:rsidR="00F7764D" w:rsidRPr="004118AE">
        <w:t>c)</w:t>
      </w:r>
      <w:r w:rsidR="00E65CB6" w:rsidRPr="004118AE">
        <w:t> </w:t>
      </w:r>
      <w:r w:rsidR="006B0AB1" w:rsidRPr="004118AE">
        <w:t xml:space="preserve">tous les candidats doivent </w:t>
      </w:r>
      <w:r w:rsidR="002333E8" w:rsidRPr="004118AE">
        <w:t>réussir l</w:t>
      </w:r>
      <w:r w:rsidR="00F2035D" w:rsidRPr="004118AE">
        <w:t xml:space="preserve">es tests </w:t>
      </w:r>
      <w:r w:rsidR="002333E8" w:rsidRPr="004118AE">
        <w:t>psychotechnique</w:t>
      </w:r>
      <w:r w:rsidR="00F2035D" w:rsidRPr="004118AE">
        <w:t>s</w:t>
      </w:r>
      <w:r w:rsidR="00E65CB6" w:rsidRPr="004118AE">
        <w:t xml:space="preserve">; </w:t>
      </w:r>
      <w:r w:rsidR="001647E2" w:rsidRPr="004118AE">
        <w:t xml:space="preserve"> </w:t>
      </w:r>
      <w:r w:rsidR="00B115D5" w:rsidRPr="004118AE">
        <w:t>et</w:t>
      </w:r>
      <w:r w:rsidR="00110FEA" w:rsidRPr="004118AE">
        <w:t xml:space="preserve">, </w:t>
      </w:r>
      <w:r w:rsidR="00B115D5" w:rsidRPr="004118AE">
        <w:t>d)</w:t>
      </w:r>
      <w:r w:rsidR="00E65CB6" w:rsidRPr="004118AE">
        <w:t> </w:t>
      </w:r>
      <w:r w:rsidR="00B115D5" w:rsidRPr="004118AE">
        <w:t>tous les candidats présélectionnés doivent suivre et réussir le programme</w:t>
      </w:r>
      <w:r w:rsidR="00C9694C" w:rsidRPr="004118AE">
        <w:t xml:space="preserve"> de formation structuré, complet et axé sur les compétences </w:t>
      </w:r>
      <w:r w:rsidR="00D97878" w:rsidRPr="004118AE">
        <w:t>destiné aux</w:t>
      </w:r>
      <w:r w:rsidR="00B115D5" w:rsidRPr="004118AE">
        <w:t xml:space="preserve"> nouveaux examinateurs.</w:t>
      </w:r>
    </w:p>
    <w:p w14:paraId="53FDFF39" w14:textId="3C729F0A" w:rsidR="00110FEA" w:rsidRPr="004118AE" w:rsidRDefault="004053B2" w:rsidP="00DA07A9">
      <w:pPr>
        <w:pStyle w:val="ONUMFS"/>
      </w:pPr>
      <w:r w:rsidRPr="004118AE">
        <w:t xml:space="preserve">Pour postuler, tous les candidats doivent </w:t>
      </w:r>
      <w:r w:rsidR="0066574A" w:rsidRPr="004118AE">
        <w:t xml:space="preserve">remplir les conditions </w:t>
      </w:r>
      <w:r w:rsidRPr="004118AE">
        <w:t>minimales suivantes</w:t>
      </w:r>
      <w:r w:rsidR="00FF47D7" w:rsidRPr="004118AE">
        <w:t> :</w:t>
      </w:r>
      <w:r w:rsidR="001647E2" w:rsidRPr="004118AE">
        <w:t xml:space="preserve"> </w:t>
      </w:r>
      <w:r w:rsidR="0057398B" w:rsidRPr="004118AE">
        <w:t>a)</w:t>
      </w:r>
      <w:r w:rsidR="00E65CB6" w:rsidRPr="004118AE">
        <w:t> </w:t>
      </w:r>
      <w:r w:rsidR="0057398B" w:rsidRPr="004118AE">
        <w:t xml:space="preserve">être </w:t>
      </w:r>
      <w:r w:rsidR="00395E6F" w:rsidRPr="004118AE">
        <w:t xml:space="preserve">titulaire </w:t>
      </w:r>
      <w:r w:rsidR="0057398B" w:rsidRPr="004118AE">
        <w:t xml:space="preserve">au minimum </w:t>
      </w:r>
      <w:r w:rsidR="00395E6F" w:rsidRPr="004118AE">
        <w:t>d</w:t>
      </w:r>
      <w:r w:rsidR="00FF47D7" w:rsidRPr="004118AE">
        <w:t>’</w:t>
      </w:r>
      <w:r w:rsidR="00395E6F" w:rsidRPr="004118AE">
        <w:t>une licence en ingénierie, en sciences naturelles, en médecine et autres sciences connexes</w:t>
      </w:r>
      <w:r w:rsidR="0057398B" w:rsidRPr="004118AE">
        <w:t>, mais de préférence d</w:t>
      </w:r>
      <w:r w:rsidR="00FF47D7" w:rsidRPr="004118AE">
        <w:t>’</w:t>
      </w:r>
      <w:r w:rsidR="0057398B" w:rsidRPr="004118AE">
        <w:t>une maîtrise</w:t>
      </w:r>
      <w:r w:rsidR="00E65CB6" w:rsidRPr="004118AE">
        <w:t xml:space="preserve">; </w:t>
      </w:r>
      <w:r w:rsidR="001647E2" w:rsidRPr="004118AE">
        <w:t xml:space="preserve"> </w:t>
      </w:r>
      <w:r w:rsidR="0057398B" w:rsidRPr="004118AE">
        <w:t>b)</w:t>
      </w:r>
      <w:r w:rsidR="00E65CB6" w:rsidRPr="004118AE">
        <w:t> </w:t>
      </w:r>
      <w:r w:rsidR="0057398B" w:rsidRPr="004118AE">
        <w:t>avoir une licence professionnelle dans l</w:t>
      </w:r>
      <w:r w:rsidR="00FF47D7" w:rsidRPr="004118AE">
        <w:t>’</w:t>
      </w:r>
      <w:r w:rsidR="0057398B" w:rsidRPr="004118AE">
        <w:t>ingénierie, la chimie ou d</w:t>
      </w:r>
      <w:r w:rsidR="00FF47D7" w:rsidRPr="004118AE">
        <w:t>’</w:t>
      </w:r>
      <w:r w:rsidR="0057398B" w:rsidRPr="004118AE">
        <w:t xml:space="preserve">autres domaines prescrits par </w:t>
      </w:r>
      <w:r w:rsidR="00171416" w:rsidRPr="004118AE">
        <w:t>la Commission de réglementation professionnelle (PRC)</w:t>
      </w:r>
      <w:r w:rsidR="00E65CB6" w:rsidRPr="004118AE">
        <w:t xml:space="preserve">; </w:t>
      </w:r>
      <w:r w:rsidR="001647E2" w:rsidRPr="004118AE">
        <w:t xml:space="preserve"> </w:t>
      </w:r>
      <w:r w:rsidR="00FE3886" w:rsidRPr="004118AE">
        <w:t>c)</w:t>
      </w:r>
      <w:r w:rsidR="00E65CB6" w:rsidRPr="004118AE">
        <w:t> </w:t>
      </w:r>
      <w:r w:rsidR="00E822C6" w:rsidRPr="004118AE">
        <w:t>réussir l</w:t>
      </w:r>
      <w:r w:rsidR="00FF47D7" w:rsidRPr="004118AE">
        <w:t>’</w:t>
      </w:r>
      <w:r w:rsidR="00E822C6" w:rsidRPr="004118AE">
        <w:t>examen du service d</w:t>
      </w:r>
      <w:r w:rsidR="00FF47D7" w:rsidRPr="004118AE">
        <w:t>’</w:t>
      </w:r>
      <w:r w:rsidR="00E822C6" w:rsidRPr="004118AE">
        <w:t>orientation professionnelle prescrit par</w:t>
      </w:r>
      <w:r w:rsidR="00FE3886" w:rsidRPr="004118AE">
        <w:t xml:space="preserve"> la Commission de la fonction publique (CSC)</w:t>
      </w:r>
      <w:r w:rsidR="00E65CB6" w:rsidRPr="004118AE">
        <w:t xml:space="preserve">; </w:t>
      </w:r>
      <w:r w:rsidR="00FE3886" w:rsidRPr="004118AE">
        <w:t xml:space="preserve"> </w:t>
      </w:r>
      <w:r w:rsidR="00662F00" w:rsidRPr="004118AE">
        <w:t>et</w:t>
      </w:r>
      <w:r w:rsidR="00110FEA" w:rsidRPr="004118AE">
        <w:t xml:space="preserve">, </w:t>
      </w:r>
      <w:r w:rsidR="00943FD9" w:rsidRPr="004118AE">
        <w:t>d)</w:t>
      </w:r>
      <w:r w:rsidR="00E65CB6" w:rsidRPr="004118AE">
        <w:t> </w:t>
      </w:r>
      <w:r w:rsidR="00943FD9" w:rsidRPr="004118AE">
        <w:t>parler couramment le philippin et l</w:t>
      </w:r>
      <w:r w:rsidR="00FF47D7" w:rsidRPr="004118AE">
        <w:t>’</w:t>
      </w:r>
      <w:r w:rsidR="00943FD9" w:rsidRPr="004118AE">
        <w:t>anglais.</w:t>
      </w:r>
    </w:p>
    <w:p w14:paraId="52351076" w14:textId="73F25BB2" w:rsidR="001647E2" w:rsidRPr="004118AE" w:rsidRDefault="00AF089D" w:rsidP="00DA07A9">
      <w:pPr>
        <w:pStyle w:val="ONUMFS"/>
      </w:pPr>
      <w:r w:rsidRPr="004118AE">
        <w:t xml:space="preserve">Tous les candidats présélectionnés qui répondent aux exigences minimales seront tenus de </w:t>
      </w:r>
      <w:r w:rsidR="002930C1" w:rsidRPr="004118AE">
        <w:t xml:space="preserve">se soumettre </w:t>
      </w:r>
      <w:r w:rsidR="006F7F91" w:rsidRPr="004118AE">
        <w:t xml:space="preserve">au </w:t>
      </w:r>
      <w:r w:rsidR="002930C1" w:rsidRPr="004118AE">
        <w:t xml:space="preserve">deuxième </w:t>
      </w:r>
      <w:r w:rsidR="006F7F91" w:rsidRPr="004118AE">
        <w:t>niveau</w:t>
      </w:r>
      <w:r w:rsidR="002930C1" w:rsidRPr="004118AE">
        <w:t xml:space="preserve"> d</w:t>
      </w:r>
      <w:r w:rsidR="00C97FB6" w:rsidRPr="004118AE">
        <w:t xml:space="preserve">e la procédure </w:t>
      </w:r>
      <w:r w:rsidRPr="004118AE">
        <w:t xml:space="preserve">de recrutement et de sélection, qui </w:t>
      </w:r>
      <w:r w:rsidR="00257B9C" w:rsidRPr="004118AE">
        <w:t xml:space="preserve">consiste en une sélection et un entretien </w:t>
      </w:r>
      <w:r w:rsidR="00A54186" w:rsidRPr="004118AE">
        <w:t>réalisés</w:t>
      </w:r>
      <w:r w:rsidRPr="004118AE">
        <w:t xml:space="preserve"> par le </w:t>
      </w:r>
      <w:r w:rsidR="00257B9C" w:rsidRPr="004118AE">
        <w:t xml:space="preserve">Comité de gestion </w:t>
      </w:r>
      <w:r w:rsidR="00A54186" w:rsidRPr="004118AE">
        <w:t>d</w:t>
      </w:r>
      <w:r w:rsidR="006F7F91" w:rsidRPr="004118AE">
        <w:t xml:space="preserve">u Bureau </w:t>
      </w:r>
      <w:r w:rsidR="00A54186" w:rsidRPr="004118AE">
        <w:t>des</w:t>
      </w:r>
      <w:r w:rsidRPr="004118AE">
        <w:t xml:space="preserve"> breve</w:t>
      </w:r>
      <w:r w:rsidR="006A33AF" w:rsidRPr="004118AE">
        <w:t>ts.  Pa</w:t>
      </w:r>
      <w:r w:rsidR="00F2035D" w:rsidRPr="004118AE">
        <w:t>r la suite, les candidats retenus devront passer les tests psychotechniques</w:t>
      </w:r>
      <w:r w:rsidR="005D2561" w:rsidRPr="004118AE">
        <w:t xml:space="preserve"> </w:t>
      </w:r>
      <w:r w:rsidR="00BC3CD7">
        <w:t>organisés</w:t>
      </w:r>
      <w:r w:rsidR="00F2035D" w:rsidRPr="004118AE">
        <w:t xml:space="preserve"> par la Division des ressources humaines ou par une autre </w:t>
      </w:r>
      <w:r w:rsidR="006F7F91" w:rsidRPr="004118AE">
        <w:t xml:space="preserve">instance </w:t>
      </w:r>
      <w:r w:rsidR="002930C1" w:rsidRPr="004118AE">
        <w:t xml:space="preserve">agréée </w:t>
      </w:r>
      <w:r w:rsidR="00F2035D" w:rsidRPr="004118AE">
        <w:t>par l</w:t>
      </w:r>
      <w:r w:rsidR="00FF47D7" w:rsidRPr="004118AE">
        <w:t>’</w:t>
      </w:r>
      <w:r w:rsidR="00F2035D" w:rsidRPr="004118AE">
        <w:t>IPOPHL.</w:t>
      </w:r>
    </w:p>
    <w:p w14:paraId="58C56824" w14:textId="7D3C6E1C" w:rsidR="001647E2" w:rsidRPr="004118AE" w:rsidRDefault="00D8447B" w:rsidP="00DA07A9">
      <w:pPr>
        <w:pStyle w:val="ONUMFS"/>
      </w:pPr>
      <w:r w:rsidRPr="004118AE">
        <w:t xml:space="preserve">Les candidats qui auront </w:t>
      </w:r>
      <w:r w:rsidR="00AE1FC6" w:rsidRPr="004118AE">
        <w:t>franchi les trois</w:t>
      </w:r>
      <w:r w:rsidR="00E65CB6" w:rsidRPr="004118AE">
        <w:t> </w:t>
      </w:r>
      <w:r w:rsidR="00AE1FC6" w:rsidRPr="004118AE">
        <w:t>premier</w:t>
      </w:r>
      <w:r w:rsidRPr="004118AE">
        <w:t xml:space="preserve">s </w:t>
      </w:r>
      <w:r w:rsidR="00AE1FC6" w:rsidRPr="004118AE">
        <w:t>niveaux</w:t>
      </w:r>
      <w:r w:rsidRPr="004118AE">
        <w:t xml:space="preserve"> avec succès seront engagés comme examinateu</w:t>
      </w:r>
      <w:r w:rsidR="006A33AF" w:rsidRPr="004118AE">
        <w:t>rs.  Il</w:t>
      </w:r>
      <w:r w:rsidR="00FC10F5" w:rsidRPr="004118AE">
        <w:t>s doivent su</w:t>
      </w:r>
      <w:r w:rsidR="00E6030E" w:rsidRPr="004118AE">
        <w:t>ivre et réussir</w:t>
      </w:r>
      <w:r w:rsidR="00FC10F5" w:rsidRPr="004118AE">
        <w:t xml:space="preserve"> la formation requise qui se compose de trois</w:t>
      </w:r>
      <w:r w:rsidR="00E65CB6" w:rsidRPr="004118AE">
        <w:t> </w:t>
      </w:r>
      <w:r w:rsidR="00FC10F5" w:rsidRPr="004118AE">
        <w:t xml:space="preserve">phases et se déroule </w:t>
      </w:r>
      <w:r w:rsidR="00E6030E" w:rsidRPr="004118AE">
        <w:t xml:space="preserve">sur </w:t>
      </w:r>
      <w:r w:rsidR="00FC10F5" w:rsidRPr="004118AE">
        <w:t>une durée moyenne d</w:t>
      </w:r>
      <w:r w:rsidR="00FF47D7" w:rsidRPr="004118AE">
        <w:t>’</w:t>
      </w:r>
      <w:r w:rsidR="00FC10F5" w:rsidRPr="004118AE">
        <w:t>un an.</w:t>
      </w:r>
    </w:p>
    <w:p w14:paraId="28390EC9" w14:textId="448F80A0" w:rsidR="001647E2" w:rsidRDefault="00FF6574" w:rsidP="00DA07A9">
      <w:pPr>
        <w:pStyle w:val="Heading3"/>
      </w:pPr>
      <w:r w:rsidRPr="004118AE">
        <w:t>Programme de formation et de renforcement des capacités</w:t>
      </w:r>
    </w:p>
    <w:p w14:paraId="20A67715" w14:textId="77777777" w:rsidR="00C44A62" w:rsidRPr="00C44A62" w:rsidRDefault="00C44A62" w:rsidP="00DA07A9"/>
    <w:p w14:paraId="2FF90977" w14:textId="3AF24CEE" w:rsidR="001647E2" w:rsidRPr="004118AE" w:rsidRDefault="00A454FC" w:rsidP="00DA07A9">
      <w:pPr>
        <w:pStyle w:val="ONUMFS"/>
        <w:rPr>
          <w:shd w:val="clear" w:color="auto" w:fill="FFFFFF"/>
        </w:rPr>
      </w:pPr>
      <w:r w:rsidRPr="004118AE">
        <w:t>L</w:t>
      </w:r>
      <w:r w:rsidR="00FF47D7" w:rsidRPr="004118AE">
        <w:t>’</w:t>
      </w:r>
      <w:r w:rsidRPr="004118AE">
        <w:t xml:space="preserve">IPOPHL </w:t>
      </w:r>
      <w:r w:rsidR="0077387E" w:rsidRPr="004118AE">
        <w:t xml:space="preserve">propose </w:t>
      </w:r>
      <w:r w:rsidRPr="004118AE">
        <w:t xml:space="preserve">aux examinateurs de brevets un programme de formation et de renforcement des capacités </w:t>
      </w:r>
      <w:r w:rsidR="0077387E" w:rsidRPr="004118AE">
        <w:t>fondé</w:t>
      </w:r>
      <w:r w:rsidRPr="004118AE">
        <w:t xml:space="preserve"> sur les compétences</w:t>
      </w:r>
      <w:r w:rsidR="00CA1491" w:rsidRPr="004118AE">
        <w:t>,</w:t>
      </w:r>
      <w:r w:rsidRPr="004118AE">
        <w:t xml:space="preserve"> en vue de garantir une recherche et un examen de quali</w:t>
      </w:r>
      <w:r w:rsidR="006A33AF" w:rsidRPr="004118AE">
        <w:t>té.  Il</w:t>
      </w:r>
      <w:r w:rsidR="00CA1491" w:rsidRPr="004118AE">
        <w:t xml:space="preserve"> a adopté</w:t>
      </w:r>
      <w:r w:rsidR="00083F83" w:rsidRPr="004118AE">
        <w:t xml:space="preserve"> une méthode</w:t>
      </w:r>
      <w:r w:rsidR="00CA1491" w:rsidRPr="004118AE">
        <w:t xml:space="preserve"> de renforcement des compétences à deux</w:t>
      </w:r>
      <w:r w:rsidR="00E65CB6" w:rsidRPr="004118AE">
        <w:t> </w:t>
      </w:r>
      <w:r w:rsidR="00CA1491" w:rsidRPr="004118AE">
        <w:t>niveaux</w:t>
      </w:r>
      <w:r w:rsidR="00FF47D7" w:rsidRPr="004118AE">
        <w:t> :</w:t>
      </w:r>
      <w:r w:rsidR="00CA1491" w:rsidRPr="004118AE">
        <w:t xml:space="preserve"> </w:t>
      </w:r>
      <w:r w:rsidR="00110FEA" w:rsidRPr="004118AE">
        <w:t>1)</w:t>
      </w:r>
      <w:r w:rsidR="00D60E02" w:rsidRPr="004118AE">
        <w:t> </w:t>
      </w:r>
      <w:r w:rsidR="005C6D81" w:rsidRPr="004118AE">
        <w:t xml:space="preserve">la </w:t>
      </w:r>
      <w:r w:rsidR="00CA1491" w:rsidRPr="004118AE">
        <w:t xml:space="preserve">Formation des nouveaux examinateurs de brevets </w:t>
      </w:r>
      <w:r w:rsidR="00110FEA" w:rsidRPr="004118AE">
        <w:t>(NPET)</w:t>
      </w:r>
      <w:r w:rsidR="00E65CB6" w:rsidRPr="004118AE">
        <w:t xml:space="preserve">; </w:t>
      </w:r>
      <w:r w:rsidR="001647E2" w:rsidRPr="004118AE">
        <w:t xml:space="preserve"> </w:t>
      </w:r>
      <w:r w:rsidR="005C6D81" w:rsidRPr="004118AE">
        <w:t>et</w:t>
      </w:r>
      <w:r w:rsidR="00110FEA" w:rsidRPr="004118AE">
        <w:t>, 2)</w:t>
      </w:r>
      <w:r w:rsidR="00D60E02" w:rsidRPr="004118AE">
        <w:t> </w:t>
      </w:r>
      <w:r w:rsidR="005C6D81" w:rsidRPr="004118AE">
        <w:t>le Programme de formation continue</w:t>
      </w:r>
      <w:r w:rsidR="00110FEA" w:rsidRPr="004118AE">
        <w:t xml:space="preserve"> (CTP)</w:t>
      </w:r>
      <w:r w:rsidR="001647E2" w:rsidRPr="004118AE">
        <w:t xml:space="preserve">.  </w:t>
      </w:r>
      <w:r w:rsidR="0081046C" w:rsidRPr="004118AE">
        <w:t xml:space="preserve">Conçue </w:t>
      </w:r>
      <w:r w:rsidR="00935DFE" w:rsidRPr="004118AE">
        <w:t>par l</w:t>
      </w:r>
      <w:r w:rsidR="00FF47D7" w:rsidRPr="004118AE">
        <w:t>’</w:t>
      </w:r>
      <w:r w:rsidR="00935DFE" w:rsidRPr="004118AE">
        <w:t>IPOPHL,</w:t>
      </w:r>
      <w:r w:rsidR="005F3FE3" w:rsidRPr="004118AE">
        <w:t xml:space="preserve"> la NPE</w:t>
      </w:r>
      <w:r w:rsidR="0081046C" w:rsidRPr="004118AE">
        <w:t>T</w:t>
      </w:r>
      <w:r w:rsidR="00935DFE" w:rsidRPr="004118AE">
        <w:t xml:space="preserve"> est un programme de formation </w:t>
      </w:r>
      <w:r w:rsidR="0081046C" w:rsidRPr="004118AE">
        <w:t xml:space="preserve">très </w:t>
      </w:r>
      <w:r w:rsidR="00935DFE" w:rsidRPr="004118AE">
        <w:t xml:space="preserve">structuré et </w:t>
      </w:r>
      <w:r w:rsidR="0081046C" w:rsidRPr="004118AE">
        <w:t xml:space="preserve">très </w:t>
      </w:r>
      <w:r w:rsidR="00935DFE" w:rsidRPr="004118AE">
        <w:t xml:space="preserve">complet </w:t>
      </w:r>
      <w:r w:rsidR="001C44B8" w:rsidRPr="004118AE">
        <w:t>reprenant</w:t>
      </w:r>
      <w:r w:rsidR="00935DFE" w:rsidRPr="004118AE">
        <w:t xml:space="preserve">, entre autres, les éléments pertinents des programmes de formation de </w:t>
      </w:r>
      <w:r w:rsidR="0081046C" w:rsidRPr="004118AE">
        <w:t>l</w:t>
      </w:r>
      <w:r w:rsidR="00FF47D7" w:rsidRPr="004118AE">
        <w:t>’</w:t>
      </w:r>
      <w:r w:rsidR="0081046C" w:rsidRPr="004118AE">
        <w:t>Office des b</w:t>
      </w:r>
      <w:r w:rsidR="001C44B8" w:rsidRPr="004118AE">
        <w:t>revets et des marques des États</w:t>
      </w:r>
      <w:r w:rsidR="00BC3CD7">
        <w:noBreakHyphen/>
      </w:r>
      <w:r w:rsidR="0081046C" w:rsidRPr="004118AE">
        <w:t>Unis d</w:t>
      </w:r>
      <w:r w:rsidR="00FF47D7" w:rsidRPr="004118AE">
        <w:t>’</w:t>
      </w:r>
      <w:r w:rsidR="0081046C" w:rsidRPr="004118AE">
        <w:t>Amérique (USPTO)</w:t>
      </w:r>
      <w:r w:rsidR="00935DFE" w:rsidRPr="004118AE">
        <w:t>, d</w:t>
      </w:r>
      <w:r w:rsidR="00FF47D7" w:rsidRPr="004118AE">
        <w:t>’</w:t>
      </w:r>
      <w:r w:rsidR="003305A5" w:rsidRPr="004118AE">
        <w:t>IP</w:t>
      </w:r>
      <w:r w:rsidR="00E65CB6" w:rsidRPr="004118AE">
        <w:t> </w:t>
      </w:r>
      <w:proofErr w:type="spellStart"/>
      <w:r w:rsidR="003305A5" w:rsidRPr="004118AE">
        <w:t>Australia</w:t>
      </w:r>
      <w:proofErr w:type="spellEnd"/>
      <w:r w:rsidR="003305A5" w:rsidRPr="004118AE">
        <w:t xml:space="preserve"> </w:t>
      </w:r>
      <w:r w:rsidR="001C44B8" w:rsidRPr="004118AE">
        <w:t xml:space="preserve">ainsi que </w:t>
      </w:r>
      <w:r w:rsidR="00935DFE" w:rsidRPr="004118AE">
        <w:t>de l</w:t>
      </w:r>
      <w:r w:rsidR="00FF47D7" w:rsidRPr="004118AE">
        <w:t>’</w:t>
      </w:r>
      <w:r w:rsidR="00935DFE" w:rsidRPr="004118AE">
        <w:t>Office européen des brevets (OEB).</w:t>
      </w:r>
      <w:r w:rsidR="00110FEA" w:rsidRPr="004118AE">
        <w:t xml:space="preserve"> </w:t>
      </w:r>
      <w:r w:rsidR="00357B47" w:rsidRPr="004118AE">
        <w:t xml:space="preserve"> L</w:t>
      </w:r>
      <w:r w:rsidR="005C6D81" w:rsidRPr="004118AE">
        <w:t xml:space="preserve">a </w:t>
      </w:r>
      <w:r w:rsidR="00CA1491" w:rsidRPr="004118AE">
        <w:t xml:space="preserve">Formation des nouveaux examinateurs de brevets </w:t>
      </w:r>
      <w:r w:rsidR="00110FEA" w:rsidRPr="004118AE">
        <w:t>(NPET)</w:t>
      </w:r>
      <w:r w:rsidR="00357B47" w:rsidRPr="004118AE">
        <w:t xml:space="preserve"> est composé</w:t>
      </w:r>
      <w:r w:rsidR="00E1789C" w:rsidRPr="004118AE">
        <w:t>e</w:t>
      </w:r>
      <w:r w:rsidR="00357B47" w:rsidRPr="004118AE">
        <w:t xml:space="preserve"> de trois</w:t>
      </w:r>
      <w:r w:rsidR="00E65CB6" w:rsidRPr="004118AE">
        <w:t> </w:t>
      </w:r>
      <w:r w:rsidR="00357B47" w:rsidRPr="004118AE">
        <w:t>(3) phas</w:t>
      </w:r>
      <w:r w:rsidR="006A33AF" w:rsidRPr="004118AE">
        <w:t xml:space="preserve">es.  </w:t>
      </w:r>
      <w:r w:rsidR="006A33AF" w:rsidRPr="004118AE">
        <w:rPr>
          <w:shd w:val="clear" w:color="auto" w:fill="FFFFFF"/>
        </w:rPr>
        <w:t>La</w:t>
      </w:r>
      <w:r w:rsidR="005E4EA6" w:rsidRPr="004118AE">
        <w:rPr>
          <w:shd w:val="clear" w:color="auto" w:fill="FFFFFF"/>
        </w:rPr>
        <w:t xml:space="preserve"> phase I </w:t>
      </w:r>
      <w:r w:rsidR="00A548A5" w:rsidRPr="004118AE">
        <w:rPr>
          <w:shd w:val="clear" w:color="auto" w:fill="FFFFFF"/>
        </w:rPr>
        <w:t>porte sur l</w:t>
      </w:r>
      <w:r w:rsidR="005E4EA6" w:rsidRPr="004118AE">
        <w:rPr>
          <w:shd w:val="clear" w:color="auto" w:fill="FFFFFF"/>
        </w:rPr>
        <w:t xml:space="preserve">es concepts fondamentaux </w:t>
      </w:r>
      <w:r w:rsidR="0006549C" w:rsidRPr="004118AE">
        <w:rPr>
          <w:shd w:val="clear" w:color="auto" w:fill="FFFFFF"/>
        </w:rPr>
        <w:t>en matière de</w:t>
      </w:r>
      <w:r w:rsidR="0028371B" w:rsidRPr="004118AE">
        <w:rPr>
          <w:shd w:val="clear" w:color="auto" w:fill="FFFFFF"/>
        </w:rPr>
        <w:t xml:space="preserve"> </w:t>
      </w:r>
      <w:r w:rsidR="005E4EA6" w:rsidRPr="004118AE">
        <w:rPr>
          <w:shd w:val="clear" w:color="auto" w:fill="FFFFFF"/>
        </w:rPr>
        <w:t xml:space="preserve">recherche et </w:t>
      </w:r>
      <w:r w:rsidR="00486ED1" w:rsidRPr="004118AE">
        <w:rPr>
          <w:shd w:val="clear" w:color="auto" w:fill="FFFFFF"/>
        </w:rPr>
        <w:t>d</w:t>
      </w:r>
      <w:r w:rsidR="00FF47D7" w:rsidRPr="004118AE">
        <w:rPr>
          <w:shd w:val="clear" w:color="auto" w:fill="FFFFFF"/>
        </w:rPr>
        <w:t>’</w:t>
      </w:r>
      <w:r w:rsidR="005E4EA6" w:rsidRPr="004118AE">
        <w:rPr>
          <w:shd w:val="clear" w:color="auto" w:fill="FFFFFF"/>
        </w:rPr>
        <w:t xml:space="preserve">examen </w:t>
      </w:r>
      <w:r w:rsidR="0028371B" w:rsidRPr="004118AE">
        <w:rPr>
          <w:shd w:val="clear" w:color="auto" w:fill="FFFFFF"/>
        </w:rPr>
        <w:t xml:space="preserve">de </w:t>
      </w:r>
      <w:r w:rsidR="005E4EA6" w:rsidRPr="004118AE">
        <w:rPr>
          <w:shd w:val="clear" w:color="auto" w:fill="FFFFFF"/>
        </w:rPr>
        <w:t xml:space="preserve">brevets, </w:t>
      </w:r>
      <w:r w:rsidR="00486ED1" w:rsidRPr="004118AE">
        <w:rPr>
          <w:shd w:val="clear" w:color="auto" w:fill="FFFFFF"/>
        </w:rPr>
        <w:t xml:space="preserve">de </w:t>
      </w:r>
      <w:r w:rsidR="0028371B" w:rsidRPr="004118AE">
        <w:rPr>
          <w:shd w:val="clear" w:color="auto" w:fill="FFFFFF"/>
        </w:rPr>
        <w:t xml:space="preserve">pratiques et </w:t>
      </w:r>
      <w:r w:rsidR="00486ED1" w:rsidRPr="004118AE">
        <w:rPr>
          <w:shd w:val="clear" w:color="auto" w:fill="FFFFFF"/>
        </w:rPr>
        <w:t xml:space="preserve">de </w:t>
      </w:r>
      <w:r w:rsidR="005E4EA6" w:rsidRPr="004118AE">
        <w:rPr>
          <w:shd w:val="clear" w:color="auto" w:fill="FFFFFF"/>
        </w:rPr>
        <w:t xml:space="preserve">procédures, </w:t>
      </w:r>
      <w:r w:rsidR="00486ED1" w:rsidRPr="004118AE">
        <w:rPr>
          <w:shd w:val="clear" w:color="auto" w:fill="FFFFFF"/>
        </w:rPr>
        <w:t xml:space="preserve">de </w:t>
      </w:r>
      <w:r w:rsidR="005E4EA6" w:rsidRPr="004118AE">
        <w:rPr>
          <w:shd w:val="clear" w:color="auto" w:fill="FFFFFF"/>
        </w:rPr>
        <w:t xml:space="preserve">dispositions </w:t>
      </w:r>
      <w:r w:rsidR="0028371B" w:rsidRPr="004118AE">
        <w:rPr>
          <w:shd w:val="clear" w:color="auto" w:fill="FFFFFF"/>
        </w:rPr>
        <w:t>juridiques</w:t>
      </w:r>
      <w:r w:rsidR="005E4EA6" w:rsidRPr="004118AE">
        <w:rPr>
          <w:shd w:val="clear" w:color="auto" w:fill="FFFFFF"/>
        </w:rPr>
        <w:t xml:space="preserve">, </w:t>
      </w:r>
      <w:r w:rsidR="00486ED1" w:rsidRPr="004118AE">
        <w:rPr>
          <w:shd w:val="clear" w:color="auto" w:fill="FFFFFF"/>
        </w:rPr>
        <w:t>d</w:t>
      </w:r>
      <w:r w:rsidR="00FF47D7" w:rsidRPr="004118AE">
        <w:rPr>
          <w:shd w:val="clear" w:color="auto" w:fill="FFFFFF"/>
        </w:rPr>
        <w:t>’</w:t>
      </w:r>
      <w:r w:rsidR="00486ED1" w:rsidRPr="004118AE">
        <w:rPr>
          <w:shd w:val="clear" w:color="auto" w:fill="FFFFFF"/>
        </w:rPr>
        <w:t>automatisation ainsi que d</w:t>
      </w:r>
      <w:r w:rsidR="005E4EA6" w:rsidRPr="004118AE">
        <w:rPr>
          <w:shd w:val="clear" w:color="auto" w:fill="FFFFFF"/>
        </w:rPr>
        <w:t>e développement personnel et professionn</w:t>
      </w:r>
      <w:r w:rsidR="006A33AF" w:rsidRPr="004118AE">
        <w:rPr>
          <w:shd w:val="clear" w:color="auto" w:fill="FFFFFF"/>
        </w:rPr>
        <w:t>el.  La</w:t>
      </w:r>
      <w:r w:rsidR="009B3531" w:rsidRPr="004118AE">
        <w:rPr>
          <w:shd w:val="clear" w:color="auto" w:fill="FFFFFF"/>
        </w:rPr>
        <w:t xml:space="preserve"> phase</w:t>
      </w:r>
      <w:r w:rsidR="004118AE" w:rsidRPr="004118AE">
        <w:rPr>
          <w:shd w:val="clear" w:color="auto" w:fill="FFFFFF"/>
        </w:rPr>
        <w:t> </w:t>
      </w:r>
      <w:r w:rsidR="009B3531" w:rsidRPr="004118AE">
        <w:rPr>
          <w:shd w:val="clear" w:color="auto" w:fill="FFFFFF"/>
        </w:rPr>
        <w:t>II porte spécifiquement sur la technolog</w:t>
      </w:r>
      <w:r w:rsidR="006A33AF" w:rsidRPr="004118AE">
        <w:rPr>
          <w:shd w:val="clear" w:color="auto" w:fill="FFFFFF"/>
        </w:rPr>
        <w:t>ie.  Le</w:t>
      </w:r>
      <w:r w:rsidR="00E1789C" w:rsidRPr="004118AE">
        <w:rPr>
          <w:shd w:val="clear" w:color="auto" w:fill="FFFFFF"/>
        </w:rPr>
        <w:t xml:space="preserve">s nouveaux examinateurs sont </w:t>
      </w:r>
      <w:r w:rsidR="00FA338C" w:rsidRPr="004118AE">
        <w:rPr>
          <w:shd w:val="clear" w:color="auto" w:fill="FFFFFF"/>
        </w:rPr>
        <w:t xml:space="preserve">alors </w:t>
      </w:r>
      <w:r w:rsidR="00E1789C" w:rsidRPr="004118AE">
        <w:rPr>
          <w:shd w:val="clear" w:color="auto" w:fill="FFFFFF"/>
        </w:rPr>
        <w:t>affectés aux divisions d</w:t>
      </w:r>
      <w:r w:rsidR="00FF47D7" w:rsidRPr="004118AE">
        <w:rPr>
          <w:shd w:val="clear" w:color="auto" w:fill="FFFFFF"/>
        </w:rPr>
        <w:t>’</w:t>
      </w:r>
      <w:r w:rsidR="00E1789C" w:rsidRPr="004118AE">
        <w:rPr>
          <w:shd w:val="clear" w:color="auto" w:fill="FFFFFF"/>
        </w:rPr>
        <w:t xml:space="preserve">examen des brevets où ils traitent des demandes réelles et mettent </w:t>
      </w:r>
      <w:r w:rsidR="00B75889" w:rsidRPr="004118AE">
        <w:rPr>
          <w:shd w:val="clear" w:color="auto" w:fill="FFFFFF"/>
        </w:rPr>
        <w:t>en pratique le</w:t>
      </w:r>
      <w:r w:rsidR="00E1789C" w:rsidRPr="004118AE">
        <w:rPr>
          <w:shd w:val="clear" w:color="auto" w:fill="FFFFFF"/>
        </w:rPr>
        <w:t xml:space="preserve">s connaissances </w:t>
      </w:r>
      <w:r w:rsidR="00B75889" w:rsidRPr="004118AE">
        <w:rPr>
          <w:shd w:val="clear" w:color="auto" w:fill="FFFFFF"/>
        </w:rPr>
        <w:t>acquis</w:t>
      </w:r>
      <w:r w:rsidR="006A33AF" w:rsidRPr="004118AE">
        <w:rPr>
          <w:shd w:val="clear" w:color="auto" w:fill="FFFFFF"/>
        </w:rPr>
        <w:t xml:space="preserve">es.  À </w:t>
      </w:r>
      <w:r w:rsidR="005F6034" w:rsidRPr="004118AE">
        <w:rPr>
          <w:shd w:val="clear" w:color="auto" w:fill="FFFFFF"/>
        </w:rPr>
        <w:t>ce stade, ils sont encadrés et supervisés par des examinateurs principa</w:t>
      </w:r>
      <w:r w:rsidR="006A33AF" w:rsidRPr="004118AE">
        <w:rPr>
          <w:shd w:val="clear" w:color="auto" w:fill="FFFFFF"/>
        </w:rPr>
        <w:t>ux.  La</w:t>
      </w:r>
      <w:r w:rsidR="00B752CD" w:rsidRPr="004118AE">
        <w:rPr>
          <w:shd w:val="clear" w:color="auto" w:fill="FFFFFF"/>
        </w:rPr>
        <w:t xml:space="preserve"> phase</w:t>
      </w:r>
      <w:r w:rsidR="004118AE" w:rsidRPr="004118AE">
        <w:rPr>
          <w:shd w:val="clear" w:color="auto" w:fill="FFFFFF"/>
        </w:rPr>
        <w:t> </w:t>
      </w:r>
      <w:r w:rsidR="00B752CD" w:rsidRPr="004118AE">
        <w:rPr>
          <w:shd w:val="clear" w:color="auto" w:fill="FFFFFF"/>
        </w:rPr>
        <w:t>III comprend une formation complémentaire en matière d</w:t>
      </w:r>
      <w:r w:rsidR="00FF47D7" w:rsidRPr="004118AE">
        <w:rPr>
          <w:shd w:val="clear" w:color="auto" w:fill="FFFFFF"/>
        </w:rPr>
        <w:t>’</w:t>
      </w:r>
      <w:r w:rsidR="00B752CD" w:rsidRPr="004118AE">
        <w:rPr>
          <w:shd w:val="clear" w:color="auto" w:fill="FFFFFF"/>
        </w:rPr>
        <w:t>examen, de recherche et d</w:t>
      </w:r>
      <w:r w:rsidR="00FF47D7" w:rsidRPr="004118AE">
        <w:rPr>
          <w:shd w:val="clear" w:color="auto" w:fill="FFFFFF"/>
        </w:rPr>
        <w:t>’</w:t>
      </w:r>
      <w:r w:rsidR="00B752CD" w:rsidRPr="004118AE">
        <w:rPr>
          <w:shd w:val="clear" w:color="auto" w:fill="FFFFFF"/>
        </w:rPr>
        <w:t xml:space="preserve">autres questions relatives à la </w:t>
      </w:r>
      <w:r w:rsidR="00B752CD" w:rsidRPr="004118AE">
        <w:rPr>
          <w:shd w:val="clear" w:color="auto" w:fill="FFFFFF"/>
        </w:rPr>
        <w:lastRenderedPageBreak/>
        <w:t>propriété intellectuelle dans les domaines le nécessitant d</w:t>
      </w:r>
      <w:r w:rsidR="00FF47D7" w:rsidRPr="004118AE">
        <w:rPr>
          <w:shd w:val="clear" w:color="auto" w:fill="FFFFFF"/>
        </w:rPr>
        <w:t>’</w:t>
      </w:r>
      <w:r w:rsidR="00B752CD" w:rsidRPr="004118AE">
        <w:rPr>
          <w:shd w:val="clear" w:color="auto" w:fill="FFFFFF"/>
        </w:rPr>
        <w:t>après l</w:t>
      </w:r>
      <w:r w:rsidR="00FF47D7" w:rsidRPr="004118AE">
        <w:rPr>
          <w:shd w:val="clear" w:color="auto" w:fill="FFFFFF"/>
        </w:rPr>
        <w:t>’</w:t>
      </w:r>
      <w:r w:rsidR="00B752CD" w:rsidRPr="004118AE">
        <w:rPr>
          <w:shd w:val="clear" w:color="auto" w:fill="FFFFFF"/>
        </w:rPr>
        <w:t>évaluation aux étapes précédent</w:t>
      </w:r>
      <w:r w:rsidR="006A33AF" w:rsidRPr="004118AE">
        <w:rPr>
          <w:shd w:val="clear" w:color="auto" w:fill="FFFFFF"/>
        </w:rPr>
        <w:t>es.  Di</w:t>
      </w:r>
      <w:r w:rsidR="00B752CD" w:rsidRPr="004118AE">
        <w:rPr>
          <w:shd w:val="clear" w:color="auto" w:fill="FFFFFF"/>
        </w:rPr>
        <w:t>vers</w:t>
      </w:r>
      <w:r w:rsidR="00107C16" w:rsidRPr="004118AE">
        <w:rPr>
          <w:shd w:val="clear" w:color="auto" w:fill="FFFFFF"/>
        </w:rPr>
        <w:t>es méthodologies sont utilisées pour</w:t>
      </w:r>
      <w:r w:rsidR="005F3FE3" w:rsidRPr="004118AE">
        <w:rPr>
          <w:shd w:val="clear" w:color="auto" w:fill="FFFFFF"/>
        </w:rPr>
        <w:t xml:space="preserve"> la NPE</w:t>
      </w:r>
      <w:r w:rsidR="00107C16" w:rsidRPr="004118AE">
        <w:rPr>
          <w:shd w:val="clear" w:color="auto" w:fill="FFFFFF"/>
        </w:rPr>
        <w:t xml:space="preserve">T </w:t>
      </w:r>
      <w:r w:rsidR="00B752CD" w:rsidRPr="004118AE">
        <w:rPr>
          <w:shd w:val="clear" w:color="auto" w:fill="FFFFFF"/>
        </w:rPr>
        <w:t xml:space="preserve">telles que des conférences, des travaux </w:t>
      </w:r>
      <w:r w:rsidR="00801104" w:rsidRPr="004118AE">
        <w:rPr>
          <w:shd w:val="clear" w:color="auto" w:fill="FFFFFF"/>
        </w:rPr>
        <w:t>en</w:t>
      </w:r>
      <w:r w:rsidR="00B752CD" w:rsidRPr="004118AE">
        <w:rPr>
          <w:shd w:val="clear" w:color="auto" w:fill="FFFFFF"/>
        </w:rPr>
        <w:t xml:space="preserve"> groupe et des </w:t>
      </w:r>
      <w:r w:rsidR="000F1C12" w:rsidRPr="004118AE">
        <w:rPr>
          <w:shd w:val="clear" w:color="auto" w:fill="FFFFFF"/>
        </w:rPr>
        <w:t>exposés</w:t>
      </w:r>
      <w:r w:rsidR="00B752CD" w:rsidRPr="004118AE">
        <w:rPr>
          <w:shd w:val="clear" w:color="auto" w:fill="FFFFFF"/>
        </w:rPr>
        <w:t xml:space="preserve">, des </w:t>
      </w:r>
      <w:r w:rsidR="00107C16" w:rsidRPr="004118AE">
        <w:rPr>
          <w:shd w:val="clear" w:color="auto" w:fill="FFFFFF"/>
        </w:rPr>
        <w:t>questionnaires</w:t>
      </w:r>
      <w:r w:rsidR="00B752CD" w:rsidRPr="004118AE">
        <w:rPr>
          <w:shd w:val="clear" w:color="auto" w:fill="FFFFFF"/>
        </w:rPr>
        <w:t xml:space="preserve"> et des exercices, </w:t>
      </w:r>
      <w:r w:rsidR="000F1C12" w:rsidRPr="004118AE">
        <w:rPr>
          <w:shd w:val="clear" w:color="auto" w:fill="FFFFFF"/>
        </w:rPr>
        <w:t xml:space="preserve">ainsi que </w:t>
      </w:r>
      <w:r w:rsidR="00B752CD" w:rsidRPr="004118AE">
        <w:rPr>
          <w:shd w:val="clear" w:color="auto" w:fill="FFFFFF"/>
        </w:rPr>
        <w:t xml:space="preserve">des ateliers pour </w:t>
      </w:r>
      <w:r w:rsidR="000F1C12" w:rsidRPr="004118AE">
        <w:rPr>
          <w:shd w:val="clear" w:color="auto" w:fill="FFFFFF"/>
        </w:rPr>
        <w:t xml:space="preserve">garantir </w:t>
      </w:r>
      <w:r w:rsidR="00B752CD" w:rsidRPr="004118AE">
        <w:rPr>
          <w:shd w:val="clear" w:color="auto" w:fill="FFFFFF"/>
        </w:rPr>
        <w:t>un apprentissage effica</w:t>
      </w:r>
      <w:r w:rsidR="006A33AF" w:rsidRPr="004118AE">
        <w:rPr>
          <w:shd w:val="clear" w:color="auto" w:fill="FFFFFF"/>
        </w:rPr>
        <w:t>ce.  Un</w:t>
      </w:r>
      <w:r w:rsidR="008B03BB" w:rsidRPr="004118AE">
        <w:rPr>
          <w:shd w:val="clear" w:color="auto" w:fill="FFFFFF"/>
        </w:rPr>
        <w:t xml:space="preserve">e évaluation a lieu après chaque étape de la </w:t>
      </w:r>
      <w:r w:rsidR="006A33AF" w:rsidRPr="004118AE">
        <w:rPr>
          <w:shd w:val="clear" w:color="auto" w:fill="FFFFFF"/>
        </w:rPr>
        <w:t>f</w:t>
      </w:r>
      <w:r w:rsidR="008B03BB" w:rsidRPr="004118AE">
        <w:rPr>
          <w:shd w:val="clear" w:color="auto" w:fill="FFFFFF"/>
        </w:rPr>
        <w:t>ormation.</w:t>
      </w:r>
    </w:p>
    <w:p w14:paraId="42C95D1E" w14:textId="77777777" w:rsidR="005F3FE3" w:rsidRPr="004118AE" w:rsidRDefault="00BE4961" w:rsidP="00DA07A9">
      <w:pPr>
        <w:pStyle w:val="ONUMFS"/>
        <w:rPr>
          <w:shd w:val="clear" w:color="auto" w:fill="FFFFFF"/>
        </w:rPr>
      </w:pPr>
      <w:r w:rsidRPr="004118AE">
        <w:rPr>
          <w:shd w:val="clear" w:color="auto" w:fill="FFFFFF"/>
        </w:rPr>
        <w:t xml:space="preserve">Le tableau suivant détaille le contenu de la </w:t>
      </w:r>
      <w:r w:rsidR="0078650C" w:rsidRPr="004118AE">
        <w:rPr>
          <w:shd w:val="clear" w:color="auto" w:fill="FFFFFF"/>
        </w:rPr>
        <w:t>Formation des nouveaux examinateurs de brevets (NPET)</w:t>
      </w:r>
    </w:p>
    <w:p w14:paraId="3EAFDB7B" w14:textId="0F82FC75" w:rsidR="00110FEA" w:rsidRDefault="00110FEA" w:rsidP="00DA07A9">
      <w:pPr>
        <w:pStyle w:val="Heading4"/>
      </w:pPr>
      <w:r w:rsidRPr="004118AE">
        <w:t>Table</w:t>
      </w:r>
      <w:r w:rsidR="0011244F" w:rsidRPr="004118AE">
        <w:t>au</w:t>
      </w:r>
      <w:r w:rsidR="00E65CB6" w:rsidRPr="004118AE">
        <w:t> </w:t>
      </w:r>
      <w:r w:rsidRPr="004118AE">
        <w:t>1</w:t>
      </w:r>
      <w:r w:rsidR="00FF47D7" w:rsidRPr="004118AE">
        <w:t> :</w:t>
      </w:r>
      <w:r w:rsidR="007A25BA" w:rsidRPr="004118AE">
        <w:t xml:space="preserve"> </w:t>
      </w:r>
      <w:r w:rsidRPr="004118AE">
        <w:t>Program</w:t>
      </w:r>
      <w:r w:rsidR="0011244F" w:rsidRPr="004118AE">
        <w:t>me de Formation des nouveaux examinateurs de brevets (NPET)</w:t>
      </w:r>
    </w:p>
    <w:p w14:paraId="2D331A8D" w14:textId="77777777" w:rsidR="00C44A62" w:rsidRPr="004118AE" w:rsidRDefault="00C44A62" w:rsidP="00DA07A9">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000" w:firstRow="0" w:lastRow="0" w:firstColumn="0" w:lastColumn="0" w:noHBand="0" w:noVBand="0"/>
      </w:tblPr>
      <w:tblGrid>
        <w:gridCol w:w="1254"/>
        <w:gridCol w:w="2110"/>
        <w:gridCol w:w="6128"/>
      </w:tblGrid>
      <w:tr w:rsidR="00C44A62" w:rsidRPr="004118AE" w14:paraId="24FA80D0" w14:textId="77777777" w:rsidTr="00C44A62">
        <w:trPr>
          <w:tblHeader/>
        </w:trPr>
        <w:tc>
          <w:tcPr>
            <w:tcW w:w="1260" w:type="dxa"/>
            <w:shd w:val="clear" w:color="auto" w:fill="auto"/>
          </w:tcPr>
          <w:p w14:paraId="7B83D75F" w14:textId="77777777" w:rsidR="00110FEA" w:rsidRPr="004118AE" w:rsidRDefault="00110FEA" w:rsidP="00DA07A9">
            <w:pPr>
              <w:pStyle w:val="TableContents"/>
              <w:snapToGrid w:val="0"/>
            </w:pPr>
          </w:p>
        </w:tc>
        <w:tc>
          <w:tcPr>
            <w:tcW w:w="2120" w:type="dxa"/>
            <w:shd w:val="clear" w:color="auto" w:fill="auto"/>
          </w:tcPr>
          <w:p w14:paraId="0BEA419D" w14:textId="77777777" w:rsidR="00110FEA" w:rsidRPr="004118AE" w:rsidRDefault="00110FEA" w:rsidP="00DA07A9">
            <w:pPr>
              <w:pStyle w:val="TableContents"/>
              <w:snapToGrid w:val="0"/>
            </w:pPr>
          </w:p>
        </w:tc>
        <w:tc>
          <w:tcPr>
            <w:tcW w:w="6340" w:type="dxa"/>
            <w:shd w:val="clear" w:color="auto" w:fill="auto"/>
          </w:tcPr>
          <w:p w14:paraId="34E3DF4E" w14:textId="54791930" w:rsidR="00110FEA" w:rsidRPr="004118AE" w:rsidRDefault="007B58BD" w:rsidP="00DA07A9">
            <w:pPr>
              <w:pStyle w:val="TableContents"/>
              <w:snapToGrid w:val="0"/>
              <w:jc w:val="center"/>
            </w:pPr>
            <w:r w:rsidRPr="004118AE">
              <w:rPr>
                <w:b/>
                <w:bCs/>
              </w:rPr>
              <w:t>Thèmes</w:t>
            </w:r>
          </w:p>
        </w:tc>
      </w:tr>
      <w:tr w:rsidR="00C44A62" w:rsidRPr="004118AE" w14:paraId="2FADC95A" w14:textId="77777777" w:rsidTr="00C44A62">
        <w:tc>
          <w:tcPr>
            <w:tcW w:w="1260" w:type="dxa"/>
            <w:shd w:val="clear" w:color="auto" w:fill="auto"/>
          </w:tcPr>
          <w:p w14:paraId="392C7E5C" w14:textId="77777777" w:rsidR="00110FEA" w:rsidRPr="004118AE" w:rsidRDefault="00110FEA" w:rsidP="00DA07A9">
            <w:pPr>
              <w:pStyle w:val="TableContents"/>
            </w:pPr>
            <w:r w:rsidRPr="004118AE">
              <w:rPr>
                <w:b/>
                <w:bCs/>
              </w:rPr>
              <w:t>PHASE I</w:t>
            </w:r>
          </w:p>
        </w:tc>
        <w:tc>
          <w:tcPr>
            <w:tcW w:w="2120" w:type="dxa"/>
            <w:shd w:val="clear" w:color="auto" w:fill="auto"/>
          </w:tcPr>
          <w:p w14:paraId="7AF85E3E" w14:textId="1EB93248" w:rsidR="00110FEA" w:rsidRPr="004118AE" w:rsidRDefault="007B58BD" w:rsidP="00DA07A9">
            <w:pPr>
              <w:pStyle w:val="TableContents"/>
            </w:pPr>
            <w:r w:rsidRPr="004118AE">
              <w:rPr>
                <w:b/>
                <w:bCs/>
              </w:rPr>
              <w:t>Concepts fondamentaux et enseignements appliqués</w:t>
            </w:r>
          </w:p>
          <w:p w14:paraId="25447406" w14:textId="5CEA893A" w:rsidR="001647E2" w:rsidRPr="004118AE" w:rsidRDefault="00110FEA" w:rsidP="00DA07A9">
            <w:pPr>
              <w:pStyle w:val="TableContents"/>
            </w:pPr>
            <w:r w:rsidRPr="004118AE">
              <w:t>3</w:t>
            </w:r>
            <w:r w:rsidR="00C44A62">
              <w:t xml:space="preserve"> à </w:t>
            </w:r>
            <w:r w:rsidRPr="004118AE">
              <w:t xml:space="preserve">4 </w:t>
            </w:r>
            <w:r w:rsidR="007B58BD" w:rsidRPr="004118AE">
              <w:t>mois</w:t>
            </w:r>
          </w:p>
          <w:p w14:paraId="4E23DBA0" w14:textId="77777777" w:rsidR="00110FEA" w:rsidRPr="004118AE" w:rsidRDefault="00110FEA" w:rsidP="00DA07A9">
            <w:pPr>
              <w:pStyle w:val="TableContents"/>
            </w:pPr>
          </w:p>
          <w:p w14:paraId="50AD73F9" w14:textId="77777777" w:rsidR="00110FEA" w:rsidRPr="004118AE" w:rsidRDefault="00110FEA" w:rsidP="00DA07A9">
            <w:pPr>
              <w:pStyle w:val="TableContents"/>
            </w:pPr>
          </w:p>
          <w:p w14:paraId="2946F20C" w14:textId="594F28C8" w:rsidR="00110FEA" w:rsidRPr="004118AE" w:rsidRDefault="005D5771" w:rsidP="00DA07A9">
            <w:pPr>
              <w:pStyle w:val="TableContents"/>
            </w:pPr>
            <w:r w:rsidRPr="004118AE">
              <w:t>Durée</w:t>
            </w:r>
            <w:r w:rsidR="00FF47D7" w:rsidRPr="004118AE">
              <w:t> :</w:t>
            </w:r>
          </w:p>
          <w:p w14:paraId="21C080FD" w14:textId="5884962B" w:rsidR="00110FEA" w:rsidRPr="004118AE" w:rsidRDefault="00110FEA" w:rsidP="00DA07A9">
            <w:pPr>
              <w:pStyle w:val="TableContents"/>
            </w:pPr>
            <w:r w:rsidRPr="004118AE">
              <w:t xml:space="preserve">2 </w:t>
            </w:r>
            <w:r w:rsidR="005D5771" w:rsidRPr="004118AE">
              <w:t>semaines</w:t>
            </w:r>
          </w:p>
        </w:tc>
        <w:tc>
          <w:tcPr>
            <w:tcW w:w="6340" w:type="dxa"/>
            <w:shd w:val="clear" w:color="auto" w:fill="auto"/>
          </w:tcPr>
          <w:p w14:paraId="71214073" w14:textId="40BE1DCB" w:rsidR="00110FEA" w:rsidRPr="004118AE" w:rsidRDefault="00110FEA" w:rsidP="00DA07A9">
            <w:pPr>
              <w:pStyle w:val="TableContents"/>
            </w:pPr>
            <w:r w:rsidRPr="004118AE">
              <w:rPr>
                <w:b/>
                <w:bCs/>
              </w:rPr>
              <w:t>1</w:t>
            </w:r>
            <w:r w:rsidR="001647E2" w:rsidRPr="004118AE">
              <w:rPr>
                <w:b/>
                <w:bCs/>
              </w:rPr>
              <w:t xml:space="preserve">.  </w:t>
            </w:r>
            <w:r w:rsidR="007B58BD" w:rsidRPr="004118AE">
              <w:rPr>
                <w:b/>
                <w:bCs/>
              </w:rPr>
              <w:t>Les principes essentiels de la propriété intellectuelle</w:t>
            </w:r>
          </w:p>
          <w:p w14:paraId="23B2741D" w14:textId="2E03AB30" w:rsidR="00110FEA" w:rsidRPr="004118AE" w:rsidRDefault="007B58BD" w:rsidP="00DA07A9">
            <w:pPr>
              <w:pStyle w:val="TableContents"/>
              <w:numPr>
                <w:ilvl w:val="0"/>
                <w:numId w:val="8"/>
              </w:numPr>
            </w:pPr>
            <w:r w:rsidRPr="004118AE">
              <w:t>Introduction à la propriété intellectuelle</w:t>
            </w:r>
          </w:p>
          <w:p w14:paraId="101D4B96" w14:textId="36FE106C" w:rsidR="00110FEA" w:rsidRPr="004118AE" w:rsidRDefault="000470C9" w:rsidP="00DA07A9">
            <w:pPr>
              <w:pStyle w:val="TableContents"/>
              <w:numPr>
                <w:ilvl w:val="0"/>
                <w:numId w:val="8"/>
              </w:numPr>
            </w:pPr>
            <w:r w:rsidRPr="004118AE">
              <w:t xml:space="preserve">Le </w:t>
            </w:r>
            <w:r w:rsidR="00822A65" w:rsidRPr="004118AE">
              <w:t xml:space="preserve">système </w:t>
            </w:r>
            <w:r w:rsidRPr="004118AE">
              <w:t xml:space="preserve">de </w:t>
            </w:r>
            <w:r w:rsidR="00822A65" w:rsidRPr="004118AE">
              <w:t xml:space="preserve">la </w:t>
            </w:r>
            <w:r w:rsidRPr="004118AE">
              <w:t>propriété intellectuelle aux Philippines</w:t>
            </w:r>
          </w:p>
          <w:p w14:paraId="4EE9852B" w14:textId="56557E08" w:rsidR="00110FEA" w:rsidRPr="004118AE" w:rsidRDefault="00B17553" w:rsidP="00DA07A9">
            <w:pPr>
              <w:pStyle w:val="TableContents"/>
              <w:numPr>
                <w:ilvl w:val="0"/>
                <w:numId w:val="8"/>
              </w:numPr>
            </w:pPr>
            <w:r w:rsidRPr="004118AE">
              <w:t>Législation applicable</w:t>
            </w:r>
            <w:r w:rsidR="00B50E74" w:rsidRPr="004118AE">
              <w:t xml:space="preserve">, juridictions et </w:t>
            </w:r>
            <w:r w:rsidRPr="004118AE">
              <w:t>instances</w:t>
            </w:r>
            <w:r w:rsidR="00B50E74" w:rsidRPr="004118AE">
              <w:t xml:space="preserve"> régissant la protection des droits de propriété intellectuelle aux Philippines</w:t>
            </w:r>
          </w:p>
          <w:p w14:paraId="6FA6ADFE" w14:textId="602314BA" w:rsidR="00110FEA" w:rsidRPr="004118AE" w:rsidRDefault="00E6434A" w:rsidP="00DA07A9">
            <w:pPr>
              <w:pStyle w:val="TableContents"/>
              <w:numPr>
                <w:ilvl w:val="0"/>
                <w:numId w:val="8"/>
              </w:numPr>
            </w:pPr>
            <w:r w:rsidRPr="004118AE">
              <w:t>Le système du Traité de coopération en matière de brevets (PCT)</w:t>
            </w:r>
          </w:p>
          <w:p w14:paraId="686DCE46" w14:textId="22ADF79B" w:rsidR="00110FEA" w:rsidRPr="004118AE" w:rsidRDefault="00366D73" w:rsidP="00DA07A9">
            <w:pPr>
              <w:pStyle w:val="TableContents"/>
              <w:numPr>
                <w:ilvl w:val="0"/>
                <w:numId w:val="8"/>
              </w:numPr>
            </w:pPr>
            <w:r w:rsidRPr="004118AE">
              <w:t>Le système d</w:t>
            </w:r>
            <w:r w:rsidR="00FF47D7" w:rsidRPr="004118AE">
              <w:t>’</w:t>
            </w:r>
            <w:r w:rsidRPr="004118AE">
              <w:t>automatisation</w:t>
            </w:r>
          </w:p>
          <w:p w14:paraId="557EF96F" w14:textId="77777777" w:rsidR="00C15472" w:rsidRPr="004118AE" w:rsidRDefault="00C15472" w:rsidP="00DA07A9">
            <w:pPr>
              <w:pStyle w:val="TableContents"/>
              <w:ind w:left="720"/>
            </w:pPr>
          </w:p>
          <w:p w14:paraId="578F4DF0" w14:textId="412E9645" w:rsidR="00110FEA" w:rsidRPr="004118AE" w:rsidRDefault="005D5771" w:rsidP="00DA07A9">
            <w:pPr>
              <w:pStyle w:val="TableContents"/>
            </w:pPr>
            <w:r w:rsidRPr="004118AE">
              <w:t>Évaluation</w:t>
            </w:r>
            <w:r w:rsidR="00FF47D7" w:rsidRPr="004118AE">
              <w:t> :</w:t>
            </w:r>
            <w:r w:rsidR="00110FEA" w:rsidRPr="004118AE">
              <w:t xml:space="preserve"> </w:t>
            </w:r>
            <w:r w:rsidR="00C37090" w:rsidRPr="004118AE">
              <w:t>examens écrits et oraux</w:t>
            </w:r>
            <w:r w:rsidR="00110FEA" w:rsidRPr="004118AE">
              <w:t xml:space="preserve">, </w:t>
            </w:r>
            <w:r w:rsidR="00C37090" w:rsidRPr="004118AE">
              <w:t>questionnaires, exercic</w:t>
            </w:r>
            <w:r w:rsidR="00110FEA" w:rsidRPr="004118AE">
              <w:t xml:space="preserve">es </w:t>
            </w:r>
            <w:r w:rsidR="00C37090" w:rsidRPr="004118AE">
              <w:t>et</w:t>
            </w:r>
            <w:r w:rsidR="00110FEA" w:rsidRPr="004118AE">
              <w:t xml:space="preserve"> </w:t>
            </w:r>
            <w:r w:rsidR="00C37090" w:rsidRPr="004118AE">
              <w:t>fiches</w:t>
            </w:r>
          </w:p>
        </w:tc>
      </w:tr>
      <w:tr w:rsidR="00C44A62" w:rsidRPr="004118AE" w14:paraId="6C0AFF81" w14:textId="77777777" w:rsidTr="00C44A62">
        <w:tc>
          <w:tcPr>
            <w:tcW w:w="1260" w:type="dxa"/>
            <w:shd w:val="clear" w:color="auto" w:fill="auto"/>
          </w:tcPr>
          <w:p w14:paraId="39126161" w14:textId="77777777" w:rsidR="00110FEA" w:rsidRPr="004118AE" w:rsidRDefault="00110FEA" w:rsidP="00DA07A9">
            <w:pPr>
              <w:pStyle w:val="TableContents"/>
              <w:snapToGrid w:val="0"/>
            </w:pPr>
          </w:p>
        </w:tc>
        <w:tc>
          <w:tcPr>
            <w:tcW w:w="2120" w:type="dxa"/>
            <w:shd w:val="clear" w:color="auto" w:fill="auto"/>
          </w:tcPr>
          <w:p w14:paraId="112E9E5B" w14:textId="5D44EC06" w:rsidR="00110FEA" w:rsidRPr="004118AE" w:rsidRDefault="00110FEA" w:rsidP="00DA07A9">
            <w:pPr>
              <w:pStyle w:val="TableContents"/>
              <w:snapToGrid w:val="0"/>
            </w:pPr>
            <w:r w:rsidRPr="004118AE">
              <w:t>D</w:t>
            </w:r>
            <w:r w:rsidR="0056317F" w:rsidRPr="004118AE">
              <w:t>urée</w:t>
            </w:r>
            <w:r w:rsidR="00FF47D7" w:rsidRPr="004118AE">
              <w:t> :</w:t>
            </w:r>
          </w:p>
          <w:p w14:paraId="447DD3E9" w14:textId="5CC7333B" w:rsidR="00110FEA" w:rsidRPr="004118AE" w:rsidRDefault="00110FEA" w:rsidP="00DA07A9">
            <w:pPr>
              <w:pStyle w:val="TableContents"/>
              <w:snapToGrid w:val="0"/>
            </w:pPr>
            <w:r w:rsidRPr="004118AE">
              <w:t xml:space="preserve">1 </w:t>
            </w:r>
            <w:r w:rsidR="0056317F" w:rsidRPr="004118AE">
              <w:t>semaine</w:t>
            </w:r>
          </w:p>
        </w:tc>
        <w:tc>
          <w:tcPr>
            <w:tcW w:w="6340" w:type="dxa"/>
            <w:shd w:val="clear" w:color="auto" w:fill="auto"/>
          </w:tcPr>
          <w:p w14:paraId="01DE861B" w14:textId="77777777" w:rsidR="005F3FE3" w:rsidRPr="004118AE" w:rsidRDefault="00110FEA" w:rsidP="00DA07A9">
            <w:pPr>
              <w:pStyle w:val="TableContents"/>
              <w:rPr>
                <w:b/>
                <w:bCs/>
              </w:rPr>
            </w:pPr>
            <w:r w:rsidRPr="004118AE">
              <w:rPr>
                <w:b/>
                <w:bCs/>
              </w:rPr>
              <w:t>2</w:t>
            </w:r>
            <w:r w:rsidR="001647E2" w:rsidRPr="004118AE">
              <w:rPr>
                <w:b/>
                <w:bCs/>
              </w:rPr>
              <w:t xml:space="preserve">.  </w:t>
            </w:r>
            <w:r w:rsidR="0056317F" w:rsidRPr="004118AE">
              <w:rPr>
                <w:b/>
                <w:bCs/>
              </w:rPr>
              <w:t>Les principes essentiels en matière de brevet</w:t>
            </w:r>
            <w:r w:rsidR="00D25ABA" w:rsidRPr="004118AE">
              <w:rPr>
                <w:b/>
                <w:bCs/>
              </w:rPr>
              <w:t>s</w:t>
            </w:r>
          </w:p>
          <w:p w14:paraId="2DC6C754" w14:textId="42062C4E" w:rsidR="00110FEA" w:rsidRPr="004118AE" w:rsidRDefault="0056317F" w:rsidP="00DA07A9">
            <w:pPr>
              <w:pStyle w:val="TableContents"/>
              <w:numPr>
                <w:ilvl w:val="0"/>
                <w:numId w:val="9"/>
              </w:numPr>
            </w:pPr>
            <w:r w:rsidRPr="004118AE">
              <w:t>La demande de brevet aux Philippines</w:t>
            </w:r>
          </w:p>
          <w:p w14:paraId="3DD9B18A" w14:textId="41C7E3CD" w:rsidR="00110FEA" w:rsidRPr="00DA07A9" w:rsidRDefault="00CE47E1" w:rsidP="00DA07A9">
            <w:pPr>
              <w:pStyle w:val="TableContents"/>
              <w:numPr>
                <w:ilvl w:val="0"/>
                <w:numId w:val="9"/>
              </w:numPr>
            </w:pPr>
            <w:r w:rsidRPr="00DA07A9">
              <w:t xml:space="preserve">Les notions </w:t>
            </w:r>
            <w:r w:rsidR="00875996" w:rsidRPr="00DA07A9">
              <w:t>fondamentales</w:t>
            </w:r>
            <w:r w:rsidRPr="00DA07A9">
              <w:t xml:space="preserve"> en matière de revendications</w:t>
            </w:r>
          </w:p>
          <w:p w14:paraId="637CD4AC" w14:textId="44B03B22" w:rsidR="00110FEA" w:rsidRPr="004118AE" w:rsidRDefault="00CE47E1" w:rsidP="00DA07A9">
            <w:pPr>
              <w:pStyle w:val="TableContents"/>
              <w:numPr>
                <w:ilvl w:val="0"/>
                <w:numId w:val="9"/>
              </w:numPr>
            </w:pPr>
            <w:r w:rsidRPr="004118AE">
              <w:t>La procédure d</w:t>
            </w:r>
            <w:r w:rsidR="00FF47D7" w:rsidRPr="004118AE">
              <w:t>’</w:t>
            </w:r>
            <w:r w:rsidRPr="004118AE">
              <w:t>examen des brevets</w:t>
            </w:r>
          </w:p>
          <w:p w14:paraId="24E7B552" w14:textId="289DB00B" w:rsidR="005F3FE3" w:rsidRPr="004118AE" w:rsidRDefault="00875996" w:rsidP="00DA07A9">
            <w:pPr>
              <w:pStyle w:val="TableContents"/>
              <w:numPr>
                <w:ilvl w:val="0"/>
                <w:numId w:val="9"/>
              </w:numPr>
            </w:pPr>
            <w:r w:rsidRPr="004118AE">
              <w:t xml:space="preserve">Les notions fondamentales en matière de rejets </w:t>
            </w:r>
            <w:r w:rsidR="00080586" w:rsidRPr="004118AE">
              <w:t>et d</w:t>
            </w:r>
            <w:r w:rsidR="00FF47D7" w:rsidRPr="004118AE">
              <w:t>’</w:t>
            </w:r>
            <w:r w:rsidR="00080586" w:rsidRPr="004118AE">
              <w:t>objections</w:t>
            </w:r>
          </w:p>
          <w:p w14:paraId="25C0F1D1" w14:textId="50CB5E26" w:rsidR="00110FEA" w:rsidRPr="004118AE" w:rsidRDefault="00110FEA" w:rsidP="00DA07A9">
            <w:pPr>
              <w:pStyle w:val="TableContents"/>
            </w:pPr>
          </w:p>
          <w:p w14:paraId="7609ABA6" w14:textId="2E8333D9" w:rsidR="00110FEA" w:rsidRPr="004118AE" w:rsidRDefault="00C15472" w:rsidP="00DA07A9">
            <w:pPr>
              <w:pStyle w:val="TableContents"/>
            </w:pPr>
            <w:r w:rsidRPr="004118AE">
              <w:t>Évaluation</w:t>
            </w:r>
            <w:r w:rsidR="00FF47D7" w:rsidRPr="004118AE">
              <w:t> :</w:t>
            </w:r>
            <w:r w:rsidR="00EC4786" w:rsidRPr="004118AE">
              <w:t xml:space="preserve"> </w:t>
            </w:r>
            <w:r w:rsidR="00C8490D" w:rsidRPr="004118AE">
              <w:t>examens écrits et oraux, questionnaires, exercices et fiches</w:t>
            </w:r>
          </w:p>
        </w:tc>
      </w:tr>
      <w:tr w:rsidR="00C44A62" w:rsidRPr="004118AE" w14:paraId="47EB34B7" w14:textId="77777777" w:rsidTr="00C44A62">
        <w:tc>
          <w:tcPr>
            <w:tcW w:w="1260" w:type="dxa"/>
            <w:shd w:val="clear" w:color="auto" w:fill="auto"/>
          </w:tcPr>
          <w:p w14:paraId="7CF8EFF8" w14:textId="77777777" w:rsidR="00110FEA" w:rsidRPr="004118AE" w:rsidRDefault="00110FEA" w:rsidP="00DA07A9">
            <w:pPr>
              <w:pStyle w:val="TableContents"/>
              <w:snapToGrid w:val="0"/>
            </w:pPr>
          </w:p>
        </w:tc>
        <w:tc>
          <w:tcPr>
            <w:tcW w:w="2120" w:type="dxa"/>
            <w:shd w:val="clear" w:color="auto" w:fill="auto"/>
          </w:tcPr>
          <w:p w14:paraId="751B03E3" w14:textId="21CA70FE" w:rsidR="001647E2" w:rsidRPr="004118AE" w:rsidRDefault="00C53ACC" w:rsidP="00DA07A9">
            <w:pPr>
              <w:pStyle w:val="TableContents"/>
              <w:snapToGrid w:val="0"/>
            </w:pPr>
            <w:r w:rsidRPr="004118AE">
              <w:t>Durée</w:t>
            </w:r>
            <w:r w:rsidR="00FF47D7" w:rsidRPr="004118AE">
              <w:t> :</w:t>
            </w:r>
          </w:p>
          <w:p w14:paraId="287112FA" w14:textId="5FABBF7F" w:rsidR="00110FEA" w:rsidRPr="004118AE" w:rsidRDefault="00110FEA" w:rsidP="00DA07A9">
            <w:pPr>
              <w:pStyle w:val="TableContents"/>
              <w:snapToGrid w:val="0"/>
            </w:pPr>
            <w:r w:rsidRPr="004118AE">
              <w:t xml:space="preserve">11 </w:t>
            </w:r>
            <w:r w:rsidR="00C53ACC" w:rsidRPr="004118AE">
              <w:t>semaines</w:t>
            </w:r>
          </w:p>
        </w:tc>
        <w:tc>
          <w:tcPr>
            <w:tcW w:w="6340" w:type="dxa"/>
            <w:shd w:val="clear" w:color="auto" w:fill="auto"/>
          </w:tcPr>
          <w:p w14:paraId="14F1CFDF" w14:textId="34AE3A8E" w:rsidR="00110FEA" w:rsidRPr="004118AE" w:rsidRDefault="00110FEA" w:rsidP="00DA07A9">
            <w:pPr>
              <w:pStyle w:val="TableContents"/>
            </w:pPr>
            <w:r w:rsidRPr="004118AE">
              <w:rPr>
                <w:b/>
                <w:bCs/>
              </w:rPr>
              <w:t>3</w:t>
            </w:r>
            <w:r w:rsidR="001647E2" w:rsidRPr="004118AE">
              <w:rPr>
                <w:b/>
                <w:bCs/>
              </w:rPr>
              <w:t xml:space="preserve">.  </w:t>
            </w:r>
            <w:r w:rsidR="00C53ACC" w:rsidRPr="004118AE">
              <w:rPr>
                <w:b/>
                <w:bCs/>
              </w:rPr>
              <w:t>L</w:t>
            </w:r>
            <w:r w:rsidR="00FF47D7" w:rsidRPr="004118AE">
              <w:rPr>
                <w:b/>
                <w:bCs/>
              </w:rPr>
              <w:t>’</w:t>
            </w:r>
            <w:r w:rsidR="00C53ACC" w:rsidRPr="004118AE">
              <w:rPr>
                <w:b/>
                <w:bCs/>
              </w:rPr>
              <w:t>examen des demandes de brevet</w:t>
            </w:r>
          </w:p>
          <w:p w14:paraId="1BC069B1" w14:textId="3229FF5F" w:rsidR="00110FEA" w:rsidRPr="004118AE" w:rsidRDefault="00093319" w:rsidP="00DA07A9">
            <w:pPr>
              <w:pStyle w:val="TableContents"/>
              <w:numPr>
                <w:ilvl w:val="0"/>
                <w:numId w:val="10"/>
              </w:numPr>
            </w:pPr>
            <w:r w:rsidRPr="004118AE">
              <w:t>Les conditions de forme</w:t>
            </w:r>
          </w:p>
          <w:p w14:paraId="3FA3704F" w14:textId="4091BFE0" w:rsidR="00110FEA" w:rsidRPr="004118AE" w:rsidRDefault="00681E28" w:rsidP="00DA07A9">
            <w:pPr>
              <w:pStyle w:val="TableContents"/>
              <w:numPr>
                <w:ilvl w:val="0"/>
                <w:numId w:val="10"/>
              </w:numPr>
            </w:pPr>
            <w:r w:rsidRPr="004118AE">
              <w:t>Le droit de priorité</w:t>
            </w:r>
          </w:p>
          <w:p w14:paraId="7C186BB3" w14:textId="42BB491E" w:rsidR="00110FEA" w:rsidRPr="004118AE" w:rsidRDefault="008C097B" w:rsidP="00DA07A9">
            <w:pPr>
              <w:pStyle w:val="TableContents"/>
              <w:numPr>
                <w:ilvl w:val="0"/>
                <w:numId w:val="10"/>
              </w:numPr>
            </w:pPr>
            <w:r w:rsidRPr="004118AE">
              <w:t>L</w:t>
            </w:r>
            <w:r w:rsidR="00FF47D7" w:rsidRPr="004118AE">
              <w:t>’</w:t>
            </w:r>
            <w:r w:rsidRPr="004118AE">
              <w:t>exigence de divulgation suffisante, d</w:t>
            </w:r>
            <w:r w:rsidR="00FF47D7" w:rsidRPr="004118AE">
              <w:t>’</w:t>
            </w:r>
            <w:r w:rsidRPr="004118AE">
              <w:t>habilitation</w:t>
            </w:r>
            <w:r w:rsidR="003642DC" w:rsidRPr="004118AE">
              <w:t xml:space="preserve"> et de fondement</w:t>
            </w:r>
          </w:p>
          <w:p w14:paraId="4FE8AC89" w14:textId="2249C66C" w:rsidR="00110FEA" w:rsidRPr="004118AE" w:rsidRDefault="009E7CC2" w:rsidP="00DA07A9">
            <w:pPr>
              <w:pStyle w:val="TableContents"/>
              <w:numPr>
                <w:ilvl w:val="0"/>
                <w:numId w:val="10"/>
              </w:numPr>
            </w:pPr>
            <w:r w:rsidRPr="004118AE">
              <w:t>La clarté des revendications et de l</w:t>
            </w:r>
            <w:r w:rsidR="00FF47D7" w:rsidRPr="004118AE">
              <w:t>’</w:t>
            </w:r>
            <w:r w:rsidRPr="004118AE">
              <w:t>interprétation</w:t>
            </w:r>
          </w:p>
          <w:p w14:paraId="3FED955D" w14:textId="36276C22" w:rsidR="005F3FE3" w:rsidRPr="004118AE" w:rsidRDefault="00BA39F6" w:rsidP="00DA07A9">
            <w:pPr>
              <w:pStyle w:val="TableContents"/>
              <w:numPr>
                <w:ilvl w:val="0"/>
                <w:numId w:val="10"/>
              </w:numPr>
              <w:rPr>
                <w:i/>
              </w:rPr>
            </w:pPr>
            <w:r w:rsidRPr="004118AE">
              <w:t>L</w:t>
            </w:r>
            <w:r w:rsidR="00FF47D7" w:rsidRPr="004118AE">
              <w:t>’</w:t>
            </w:r>
            <w:r w:rsidRPr="004118AE">
              <w:t>unité de l</w:t>
            </w:r>
            <w:r w:rsidR="00FF47D7" w:rsidRPr="004118AE">
              <w:t>’</w:t>
            </w:r>
            <w:r w:rsidRPr="004118AE">
              <w:t>invention</w:t>
            </w:r>
            <w:r w:rsidR="00FF47D7" w:rsidRPr="004118AE">
              <w:t> :</w:t>
            </w:r>
            <w:r w:rsidR="001647E2" w:rsidRPr="004118AE">
              <w:t xml:space="preserve"> </w:t>
            </w:r>
            <w:r w:rsidR="00110FEA" w:rsidRPr="004118AE">
              <w:rPr>
                <w:i/>
              </w:rPr>
              <w:t xml:space="preserve">A Priori </w:t>
            </w:r>
            <w:r w:rsidRPr="004118AE">
              <w:t>et</w:t>
            </w:r>
            <w:r w:rsidR="00110FEA" w:rsidRPr="004118AE">
              <w:rPr>
                <w:i/>
              </w:rPr>
              <w:t xml:space="preserve"> A </w:t>
            </w:r>
            <w:proofErr w:type="spellStart"/>
            <w:r w:rsidR="00110FEA" w:rsidRPr="004118AE">
              <w:rPr>
                <w:i/>
              </w:rPr>
              <w:t>Posteoriori</w:t>
            </w:r>
            <w:proofErr w:type="spellEnd"/>
          </w:p>
          <w:p w14:paraId="433E7C61" w14:textId="0CFA41F3" w:rsidR="00110FEA" w:rsidRPr="004118AE" w:rsidRDefault="00693052" w:rsidP="00DA07A9">
            <w:pPr>
              <w:pStyle w:val="TableContents"/>
              <w:numPr>
                <w:ilvl w:val="0"/>
                <w:numId w:val="10"/>
              </w:numPr>
            </w:pPr>
            <w:r w:rsidRPr="004118AE">
              <w:t>L</w:t>
            </w:r>
            <w:r w:rsidR="00FF47D7" w:rsidRPr="004118AE">
              <w:t>’</w:t>
            </w:r>
            <w:r w:rsidR="00661D9E" w:rsidRPr="004118AE">
              <w:t xml:space="preserve">utilisation des </w:t>
            </w:r>
            <w:r w:rsidRPr="004118AE">
              <w:t xml:space="preserve">bases de données et </w:t>
            </w:r>
            <w:r w:rsidR="00BC3CD7">
              <w:t xml:space="preserve">l’élaboration </w:t>
            </w:r>
            <w:r w:rsidR="00661D9E" w:rsidRPr="004118AE">
              <w:t>d</w:t>
            </w:r>
            <w:r w:rsidR="00FF47D7" w:rsidRPr="004118AE">
              <w:t>’</w:t>
            </w:r>
            <w:r w:rsidR="00661D9E" w:rsidRPr="004118AE">
              <w:t>une stratégie de recherche efficace</w:t>
            </w:r>
          </w:p>
          <w:p w14:paraId="326320BC" w14:textId="77777777" w:rsidR="005F3FE3" w:rsidRPr="004118AE" w:rsidRDefault="00661D9E" w:rsidP="00DA07A9">
            <w:pPr>
              <w:pStyle w:val="TableContents"/>
              <w:numPr>
                <w:ilvl w:val="0"/>
                <w:numId w:val="10"/>
              </w:numPr>
            </w:pPr>
            <w:r w:rsidRPr="004118AE">
              <w:t>La pertinence des types de documents</w:t>
            </w:r>
          </w:p>
          <w:p w14:paraId="620B441A" w14:textId="0F64B252" w:rsidR="00110FEA" w:rsidRPr="004118AE" w:rsidRDefault="00935E44" w:rsidP="00DA07A9">
            <w:pPr>
              <w:pStyle w:val="TableContents"/>
              <w:numPr>
                <w:ilvl w:val="0"/>
                <w:numId w:val="10"/>
              </w:numPr>
            </w:pPr>
            <w:r w:rsidRPr="004118AE">
              <w:t>La n</w:t>
            </w:r>
            <w:r w:rsidR="00661D9E" w:rsidRPr="004118AE">
              <w:t xml:space="preserve">ouveauté, </w:t>
            </w:r>
            <w:r w:rsidRPr="004118AE">
              <w:t>l</w:t>
            </w:r>
            <w:r w:rsidR="00FF47D7" w:rsidRPr="004118AE">
              <w:t>’</w:t>
            </w:r>
            <w:r w:rsidR="00661D9E" w:rsidRPr="004118AE">
              <w:t>activité inventive</w:t>
            </w:r>
            <w:r w:rsidRPr="004118AE">
              <w:t>, l</w:t>
            </w:r>
            <w:r w:rsidR="00FF47D7" w:rsidRPr="004118AE">
              <w:t>’</w:t>
            </w:r>
            <w:r w:rsidRPr="004118AE">
              <w:t>application industrielle</w:t>
            </w:r>
          </w:p>
          <w:p w14:paraId="6540973F" w14:textId="6318FA0C" w:rsidR="00110FEA" w:rsidRPr="004118AE" w:rsidRDefault="004C64C5" w:rsidP="00DA07A9">
            <w:pPr>
              <w:pStyle w:val="TableContents"/>
              <w:numPr>
                <w:ilvl w:val="0"/>
                <w:numId w:val="10"/>
              </w:numPr>
            </w:pPr>
            <w:r w:rsidRPr="004118AE">
              <w:t>Le rapport de recherche et l</w:t>
            </w:r>
            <w:r w:rsidR="00FF47D7" w:rsidRPr="004118AE">
              <w:t>’</w:t>
            </w:r>
            <w:r w:rsidRPr="004118AE">
              <w:t>opinion écrite</w:t>
            </w:r>
          </w:p>
          <w:p w14:paraId="79F74B1D" w14:textId="74E199B3" w:rsidR="00110FEA" w:rsidRPr="004118AE" w:rsidRDefault="008F7E52" w:rsidP="00DA07A9">
            <w:pPr>
              <w:pStyle w:val="TableContents"/>
              <w:numPr>
                <w:ilvl w:val="0"/>
                <w:numId w:val="10"/>
              </w:numPr>
            </w:pPr>
            <w:r w:rsidRPr="004118AE">
              <w:t>La publication des demandes de brevet</w:t>
            </w:r>
          </w:p>
          <w:p w14:paraId="1F0981B6" w14:textId="4A042220" w:rsidR="00110FEA" w:rsidRPr="00DA07A9" w:rsidRDefault="008F7E52" w:rsidP="00DA07A9">
            <w:pPr>
              <w:pStyle w:val="TableContents"/>
              <w:numPr>
                <w:ilvl w:val="0"/>
                <w:numId w:val="10"/>
              </w:numPr>
              <w:rPr>
                <w:spacing w:val="-2"/>
              </w:rPr>
            </w:pPr>
            <w:r w:rsidRPr="00DA07A9">
              <w:rPr>
                <w:spacing w:val="-2"/>
              </w:rPr>
              <w:t>L</w:t>
            </w:r>
            <w:r w:rsidR="00FF47D7" w:rsidRPr="00DA07A9">
              <w:rPr>
                <w:spacing w:val="-2"/>
              </w:rPr>
              <w:t>’</w:t>
            </w:r>
            <w:r w:rsidRPr="00DA07A9">
              <w:rPr>
                <w:spacing w:val="-2"/>
              </w:rPr>
              <w:t>examen quant au fond</w:t>
            </w:r>
            <w:r w:rsidR="00FF47D7" w:rsidRPr="00DA07A9">
              <w:rPr>
                <w:spacing w:val="-2"/>
              </w:rPr>
              <w:t> :</w:t>
            </w:r>
            <w:r w:rsidR="00270C92" w:rsidRPr="00DA07A9">
              <w:rPr>
                <w:spacing w:val="-2"/>
              </w:rPr>
              <w:t xml:space="preserve"> rédiger un rapport d</w:t>
            </w:r>
            <w:r w:rsidR="00FF47D7" w:rsidRPr="00DA07A9">
              <w:rPr>
                <w:spacing w:val="-2"/>
              </w:rPr>
              <w:t>’</w:t>
            </w:r>
            <w:r w:rsidR="00270C92" w:rsidRPr="00DA07A9">
              <w:rPr>
                <w:spacing w:val="-2"/>
              </w:rPr>
              <w:t>examen</w:t>
            </w:r>
          </w:p>
          <w:p w14:paraId="4AC1E56E" w14:textId="77777777" w:rsidR="00110FEA" w:rsidRPr="004118AE" w:rsidRDefault="00110FEA" w:rsidP="00DA07A9">
            <w:pPr>
              <w:pStyle w:val="TableContents"/>
            </w:pPr>
          </w:p>
          <w:p w14:paraId="01522893" w14:textId="58BE5D48" w:rsidR="00110FEA" w:rsidRPr="004118AE" w:rsidRDefault="00C15472" w:rsidP="00DA07A9">
            <w:pPr>
              <w:pStyle w:val="TableContents"/>
            </w:pPr>
            <w:r w:rsidRPr="004118AE">
              <w:t>Évaluation</w:t>
            </w:r>
            <w:r w:rsidR="00FF47D7" w:rsidRPr="004118AE">
              <w:t> :</w:t>
            </w:r>
            <w:r w:rsidR="001647E2" w:rsidRPr="004118AE">
              <w:t xml:space="preserve"> </w:t>
            </w:r>
            <w:r w:rsidRPr="004118AE">
              <w:t>examens écrits et oraux</w:t>
            </w:r>
            <w:r w:rsidR="00110FEA" w:rsidRPr="004118AE">
              <w:t xml:space="preserve">, </w:t>
            </w:r>
            <w:r w:rsidRPr="004118AE">
              <w:t>études de cas</w:t>
            </w:r>
            <w:r w:rsidR="00110FEA" w:rsidRPr="004118AE">
              <w:t xml:space="preserve">, </w:t>
            </w:r>
            <w:r w:rsidRPr="004118AE">
              <w:t>questionnaires</w:t>
            </w:r>
            <w:r w:rsidR="00110FEA" w:rsidRPr="004118AE">
              <w:t xml:space="preserve"> </w:t>
            </w:r>
            <w:r w:rsidRPr="004118AE">
              <w:t>et exercic</w:t>
            </w:r>
            <w:r w:rsidR="00110FEA" w:rsidRPr="004118AE">
              <w:t>es</w:t>
            </w:r>
          </w:p>
        </w:tc>
      </w:tr>
      <w:tr w:rsidR="00C44A62" w:rsidRPr="004118AE" w14:paraId="740B88A2" w14:textId="77777777" w:rsidTr="00C44A62">
        <w:tc>
          <w:tcPr>
            <w:tcW w:w="1260" w:type="dxa"/>
            <w:shd w:val="clear" w:color="auto" w:fill="auto"/>
          </w:tcPr>
          <w:p w14:paraId="25523BDB" w14:textId="77777777" w:rsidR="00110FEA" w:rsidRPr="004118AE" w:rsidRDefault="00110FEA" w:rsidP="00DA07A9">
            <w:pPr>
              <w:pStyle w:val="TableContents"/>
              <w:snapToGrid w:val="0"/>
            </w:pPr>
          </w:p>
        </w:tc>
        <w:tc>
          <w:tcPr>
            <w:tcW w:w="2120" w:type="dxa"/>
            <w:shd w:val="clear" w:color="auto" w:fill="auto"/>
          </w:tcPr>
          <w:p w14:paraId="5ECF0AA9" w14:textId="02A6973D" w:rsidR="00110FEA" w:rsidRPr="004118AE" w:rsidRDefault="00110FEA" w:rsidP="00DA07A9">
            <w:pPr>
              <w:pStyle w:val="TableContents"/>
              <w:snapToGrid w:val="0"/>
            </w:pPr>
            <w:r w:rsidRPr="004118AE">
              <w:t>Dur</w:t>
            </w:r>
            <w:r w:rsidR="00867349" w:rsidRPr="004118AE">
              <w:t>ée</w:t>
            </w:r>
            <w:r w:rsidR="00FF47D7" w:rsidRPr="004118AE">
              <w:t> :</w:t>
            </w:r>
            <w:r w:rsidR="001647E2" w:rsidRPr="004118AE">
              <w:t xml:space="preserve"> </w:t>
            </w:r>
            <w:r w:rsidRPr="004118AE">
              <w:t xml:space="preserve">2 </w:t>
            </w:r>
            <w:r w:rsidR="00867349" w:rsidRPr="004118AE">
              <w:t xml:space="preserve">semaines </w:t>
            </w:r>
          </w:p>
        </w:tc>
        <w:tc>
          <w:tcPr>
            <w:tcW w:w="6340" w:type="dxa"/>
            <w:shd w:val="clear" w:color="auto" w:fill="auto"/>
          </w:tcPr>
          <w:p w14:paraId="2F1D7535" w14:textId="77777777" w:rsidR="005F3FE3" w:rsidRPr="004118AE" w:rsidRDefault="00110FEA" w:rsidP="00DA07A9">
            <w:pPr>
              <w:pStyle w:val="TableContents"/>
              <w:rPr>
                <w:b/>
                <w:bCs/>
              </w:rPr>
            </w:pPr>
            <w:r w:rsidRPr="004118AE">
              <w:rPr>
                <w:b/>
                <w:bCs/>
              </w:rPr>
              <w:t>4</w:t>
            </w:r>
            <w:r w:rsidR="001647E2" w:rsidRPr="004118AE">
              <w:rPr>
                <w:b/>
                <w:bCs/>
              </w:rPr>
              <w:t xml:space="preserve">.  </w:t>
            </w:r>
            <w:r w:rsidR="00867349" w:rsidRPr="004118AE">
              <w:rPr>
                <w:b/>
                <w:bCs/>
              </w:rPr>
              <w:t>Autres thèmes pertinents</w:t>
            </w:r>
          </w:p>
          <w:p w14:paraId="6744B7EB" w14:textId="1FEBAB75" w:rsidR="001647E2" w:rsidRPr="004118AE" w:rsidRDefault="00867349" w:rsidP="00DA07A9">
            <w:pPr>
              <w:pStyle w:val="TableContents"/>
              <w:numPr>
                <w:ilvl w:val="0"/>
                <w:numId w:val="11"/>
              </w:numPr>
            </w:pPr>
            <w:r w:rsidRPr="004118AE">
              <w:t>La jurisprudence</w:t>
            </w:r>
          </w:p>
          <w:p w14:paraId="5250A503" w14:textId="19A8AF86" w:rsidR="001647E2" w:rsidRPr="004118AE" w:rsidRDefault="00867349" w:rsidP="00DA07A9">
            <w:pPr>
              <w:pStyle w:val="TableContents"/>
              <w:numPr>
                <w:ilvl w:val="0"/>
                <w:numId w:val="11"/>
              </w:numPr>
            </w:pPr>
            <w:r w:rsidRPr="004118AE">
              <w:t>Les modèles d</w:t>
            </w:r>
            <w:r w:rsidR="00FF47D7" w:rsidRPr="004118AE">
              <w:t>’</w:t>
            </w:r>
            <w:r w:rsidRPr="004118AE">
              <w:t>utilité et les dessins et modèles industriels</w:t>
            </w:r>
          </w:p>
          <w:p w14:paraId="7AD73A7B" w14:textId="5E868504" w:rsidR="00110FEA" w:rsidRPr="004118AE" w:rsidRDefault="001A3EB4" w:rsidP="00DA07A9">
            <w:pPr>
              <w:pStyle w:val="TableContents"/>
              <w:numPr>
                <w:ilvl w:val="0"/>
                <w:numId w:val="11"/>
              </w:numPr>
            </w:pPr>
            <w:r w:rsidRPr="004118AE">
              <w:t>Les marques</w:t>
            </w:r>
          </w:p>
          <w:p w14:paraId="2DEB6B15" w14:textId="13BD1A4B" w:rsidR="00110FEA" w:rsidRPr="004118AE" w:rsidRDefault="00361B8E" w:rsidP="00DA07A9">
            <w:pPr>
              <w:pStyle w:val="TableContents"/>
              <w:numPr>
                <w:ilvl w:val="0"/>
                <w:numId w:val="11"/>
              </w:numPr>
            </w:pPr>
            <w:r w:rsidRPr="004118AE">
              <w:t>Les secrets d</w:t>
            </w:r>
            <w:r w:rsidR="00FF47D7" w:rsidRPr="004118AE">
              <w:t>’</w:t>
            </w:r>
            <w:r w:rsidRPr="004118AE">
              <w:t>affaires</w:t>
            </w:r>
          </w:p>
          <w:p w14:paraId="3B77DBC5" w14:textId="019C2B17" w:rsidR="00110FEA" w:rsidRPr="004118AE" w:rsidRDefault="00776BB7" w:rsidP="00DA07A9">
            <w:pPr>
              <w:pStyle w:val="TableContents"/>
              <w:numPr>
                <w:ilvl w:val="0"/>
                <w:numId w:val="11"/>
              </w:numPr>
            </w:pPr>
            <w:r w:rsidRPr="004118AE">
              <w:t>Le droit d</w:t>
            </w:r>
            <w:r w:rsidR="00FF47D7" w:rsidRPr="004118AE">
              <w:t>’</w:t>
            </w:r>
            <w:r w:rsidRPr="004118AE">
              <w:t>auteur</w:t>
            </w:r>
          </w:p>
          <w:p w14:paraId="0036F7ED" w14:textId="090F8DAE" w:rsidR="00110FEA" w:rsidRPr="004118AE" w:rsidRDefault="00DF07E7" w:rsidP="00DA07A9">
            <w:pPr>
              <w:pStyle w:val="TableContents"/>
              <w:numPr>
                <w:ilvl w:val="0"/>
                <w:numId w:val="11"/>
              </w:numPr>
            </w:pPr>
            <w:r w:rsidRPr="004118AE">
              <w:t>La loi sur les obtentions végétales</w:t>
            </w:r>
          </w:p>
          <w:p w14:paraId="57D1ED07" w14:textId="7AB9A77B" w:rsidR="00110FEA" w:rsidRPr="004118AE" w:rsidRDefault="002C0C50" w:rsidP="00DA07A9">
            <w:pPr>
              <w:pStyle w:val="TableContents"/>
              <w:numPr>
                <w:ilvl w:val="0"/>
                <w:numId w:val="11"/>
              </w:numPr>
            </w:pPr>
            <w:r w:rsidRPr="004118AE">
              <w:t>L</w:t>
            </w:r>
            <w:r w:rsidR="00FF47D7" w:rsidRPr="004118AE">
              <w:t>’</w:t>
            </w:r>
            <w:r w:rsidRPr="004118AE">
              <w:t>atteinte à la propriété intellectuelle</w:t>
            </w:r>
          </w:p>
          <w:p w14:paraId="2B7F0CA6" w14:textId="77777777" w:rsidR="00110FEA" w:rsidRPr="004118AE" w:rsidRDefault="00110FEA" w:rsidP="00DA07A9">
            <w:pPr>
              <w:pStyle w:val="TableContents"/>
            </w:pPr>
          </w:p>
          <w:p w14:paraId="4414FBC5" w14:textId="6A5A337E" w:rsidR="00110FEA" w:rsidRPr="004118AE" w:rsidRDefault="00076C36" w:rsidP="00DA07A9">
            <w:pPr>
              <w:pStyle w:val="TableContents"/>
            </w:pPr>
            <w:r w:rsidRPr="004118AE">
              <w:t>Évaluation</w:t>
            </w:r>
            <w:r w:rsidR="00FF47D7" w:rsidRPr="004118AE">
              <w:t> :</w:t>
            </w:r>
            <w:r w:rsidR="00110FEA" w:rsidRPr="004118AE">
              <w:t xml:space="preserve"> </w:t>
            </w:r>
            <w:r w:rsidRPr="004118AE">
              <w:t>examens écrits</w:t>
            </w:r>
            <w:r w:rsidR="00110FEA" w:rsidRPr="004118AE">
              <w:t xml:space="preserve">, </w:t>
            </w:r>
            <w:r w:rsidRPr="004118AE">
              <w:t>questionnaires</w:t>
            </w:r>
            <w:r w:rsidR="00110FEA" w:rsidRPr="004118AE">
              <w:t xml:space="preserve">, </w:t>
            </w:r>
            <w:r w:rsidRPr="004118AE">
              <w:t>fiches</w:t>
            </w:r>
            <w:r w:rsidR="00110FEA" w:rsidRPr="004118AE">
              <w:t xml:space="preserve"> </w:t>
            </w:r>
            <w:r w:rsidRPr="004118AE">
              <w:t>et exercic</w:t>
            </w:r>
            <w:r w:rsidR="00110FEA" w:rsidRPr="004118AE">
              <w:t>es</w:t>
            </w:r>
          </w:p>
        </w:tc>
      </w:tr>
      <w:tr w:rsidR="00C44A62" w:rsidRPr="004118AE" w14:paraId="205B2423" w14:textId="77777777" w:rsidTr="00C44A62">
        <w:tc>
          <w:tcPr>
            <w:tcW w:w="1260" w:type="dxa"/>
            <w:shd w:val="clear" w:color="auto" w:fill="auto"/>
          </w:tcPr>
          <w:p w14:paraId="7985A768" w14:textId="54E8954B" w:rsidR="00110FEA" w:rsidRPr="004118AE" w:rsidRDefault="00110FEA" w:rsidP="00DA07A9">
            <w:pPr>
              <w:pStyle w:val="TableContents"/>
            </w:pPr>
            <w:r w:rsidRPr="004118AE">
              <w:rPr>
                <w:b/>
                <w:bCs/>
              </w:rPr>
              <w:t>PHASE</w:t>
            </w:r>
            <w:r w:rsidR="004118AE" w:rsidRPr="004118AE">
              <w:rPr>
                <w:b/>
                <w:bCs/>
              </w:rPr>
              <w:t> </w:t>
            </w:r>
            <w:r w:rsidRPr="004118AE">
              <w:rPr>
                <w:b/>
                <w:bCs/>
              </w:rPr>
              <w:t>II</w:t>
            </w:r>
          </w:p>
        </w:tc>
        <w:tc>
          <w:tcPr>
            <w:tcW w:w="2120" w:type="dxa"/>
            <w:shd w:val="clear" w:color="auto" w:fill="auto"/>
          </w:tcPr>
          <w:p w14:paraId="636F03F6" w14:textId="7BBE1C8F" w:rsidR="00110FEA" w:rsidRPr="004118AE" w:rsidRDefault="00A22EB7" w:rsidP="00DA07A9">
            <w:pPr>
              <w:pStyle w:val="TableContents"/>
              <w:rPr>
                <w:b/>
                <w:bCs/>
              </w:rPr>
            </w:pPr>
            <w:r w:rsidRPr="004118AE">
              <w:rPr>
                <w:b/>
                <w:bCs/>
              </w:rPr>
              <w:t>Formation spécifique à la technologie</w:t>
            </w:r>
          </w:p>
          <w:p w14:paraId="42F40F71" w14:textId="77777777" w:rsidR="00A22EB7" w:rsidRPr="004118AE" w:rsidRDefault="00A22EB7" w:rsidP="00DA07A9">
            <w:pPr>
              <w:pStyle w:val="TableContents"/>
              <w:rPr>
                <w:b/>
                <w:bCs/>
              </w:rPr>
            </w:pPr>
          </w:p>
          <w:p w14:paraId="34F7EBF4" w14:textId="532DD874" w:rsidR="001647E2" w:rsidRPr="004118AE" w:rsidRDefault="00110FEA" w:rsidP="00DA07A9">
            <w:pPr>
              <w:pStyle w:val="TableContents"/>
            </w:pPr>
            <w:r w:rsidRPr="004118AE">
              <w:t>Dur</w:t>
            </w:r>
            <w:r w:rsidR="00A22EB7" w:rsidRPr="004118AE">
              <w:t>ée</w:t>
            </w:r>
            <w:r w:rsidR="00FF47D7" w:rsidRPr="004118AE">
              <w:t> :</w:t>
            </w:r>
          </w:p>
          <w:p w14:paraId="2623C596" w14:textId="08BD9468" w:rsidR="00110FEA" w:rsidRPr="004118AE" w:rsidRDefault="00110FEA" w:rsidP="00DA07A9">
            <w:pPr>
              <w:pStyle w:val="TableContents"/>
            </w:pPr>
            <w:r w:rsidRPr="004118AE">
              <w:t>4</w:t>
            </w:r>
            <w:r w:rsidR="00C44A62">
              <w:t xml:space="preserve"> à </w:t>
            </w:r>
            <w:r w:rsidRPr="004118AE">
              <w:t xml:space="preserve">6 </w:t>
            </w:r>
            <w:r w:rsidR="00A22EB7" w:rsidRPr="004118AE">
              <w:t>mois</w:t>
            </w:r>
          </w:p>
        </w:tc>
        <w:tc>
          <w:tcPr>
            <w:tcW w:w="6340" w:type="dxa"/>
            <w:shd w:val="clear" w:color="auto" w:fill="auto"/>
          </w:tcPr>
          <w:p w14:paraId="0C9610AF" w14:textId="77777777" w:rsidR="005F3FE3" w:rsidRPr="004118AE" w:rsidRDefault="003212C2" w:rsidP="00DA07A9">
            <w:pPr>
              <w:pStyle w:val="TableContents"/>
              <w:rPr>
                <w:b/>
                <w:bCs/>
              </w:rPr>
            </w:pPr>
            <w:r w:rsidRPr="004118AE">
              <w:rPr>
                <w:b/>
                <w:bCs/>
              </w:rPr>
              <w:t>Affectation à des d</w:t>
            </w:r>
            <w:r w:rsidR="00EC2428" w:rsidRPr="004118AE">
              <w:rPr>
                <w:b/>
                <w:bCs/>
              </w:rPr>
              <w:t xml:space="preserve">ivisions </w:t>
            </w:r>
            <w:r w:rsidRPr="004118AE">
              <w:rPr>
                <w:b/>
                <w:bCs/>
              </w:rPr>
              <w:t xml:space="preserve">relevant </w:t>
            </w:r>
            <w:r w:rsidR="00EC2428" w:rsidRPr="004118AE">
              <w:rPr>
                <w:b/>
                <w:bCs/>
              </w:rPr>
              <w:t>de domaines techniques spéci</w:t>
            </w:r>
            <w:r w:rsidRPr="004118AE">
              <w:rPr>
                <w:b/>
                <w:bCs/>
              </w:rPr>
              <w:t>fiques</w:t>
            </w:r>
          </w:p>
          <w:p w14:paraId="07250B23" w14:textId="18263398" w:rsidR="00110FEA" w:rsidRPr="004118AE" w:rsidRDefault="00EC2428" w:rsidP="00DA07A9">
            <w:pPr>
              <w:pStyle w:val="TableContents"/>
              <w:numPr>
                <w:ilvl w:val="0"/>
                <w:numId w:val="12"/>
              </w:numPr>
            </w:pPr>
            <w:r w:rsidRPr="004118AE">
              <w:t>La reconnaissance des acquis</w:t>
            </w:r>
          </w:p>
          <w:p w14:paraId="3328F876" w14:textId="55A4A443" w:rsidR="00110FEA" w:rsidRPr="004118AE" w:rsidRDefault="00EC2428" w:rsidP="00DA07A9">
            <w:pPr>
              <w:pStyle w:val="TableContents"/>
              <w:numPr>
                <w:ilvl w:val="0"/>
                <w:numId w:val="12"/>
              </w:numPr>
            </w:pPr>
            <w:r w:rsidRPr="004118AE">
              <w:t>La clarté</w:t>
            </w:r>
          </w:p>
          <w:p w14:paraId="45D089EE" w14:textId="5B38E04B" w:rsidR="00110FEA" w:rsidRPr="004118AE" w:rsidRDefault="00EC2428" w:rsidP="00DA07A9">
            <w:pPr>
              <w:pStyle w:val="TableContents"/>
              <w:numPr>
                <w:ilvl w:val="0"/>
                <w:numId w:val="12"/>
              </w:numPr>
            </w:pPr>
            <w:r w:rsidRPr="004118AE">
              <w:t>L</w:t>
            </w:r>
            <w:r w:rsidR="00FF47D7" w:rsidRPr="004118AE">
              <w:t>’</w:t>
            </w:r>
            <w:r w:rsidRPr="004118AE">
              <w:t>unité de l</w:t>
            </w:r>
            <w:r w:rsidR="00FF47D7" w:rsidRPr="004118AE">
              <w:t>’</w:t>
            </w:r>
            <w:r w:rsidRPr="004118AE">
              <w:t>invention</w:t>
            </w:r>
          </w:p>
          <w:p w14:paraId="6C4838BD" w14:textId="7333AEA6" w:rsidR="00110FEA" w:rsidRPr="004118AE" w:rsidRDefault="00F428AC" w:rsidP="00DA07A9">
            <w:pPr>
              <w:pStyle w:val="TableContents"/>
              <w:numPr>
                <w:ilvl w:val="0"/>
                <w:numId w:val="12"/>
              </w:numPr>
            </w:pPr>
            <w:r w:rsidRPr="004118AE">
              <w:t>Les caractéristiques techniques particulières</w:t>
            </w:r>
          </w:p>
          <w:p w14:paraId="29B59D3A" w14:textId="78B53101" w:rsidR="00110FEA" w:rsidRPr="004118AE" w:rsidRDefault="00110FEA" w:rsidP="00DA07A9">
            <w:pPr>
              <w:pStyle w:val="TableContents"/>
              <w:numPr>
                <w:ilvl w:val="0"/>
                <w:numId w:val="12"/>
              </w:numPr>
            </w:pPr>
            <w:r w:rsidRPr="004118AE">
              <w:rPr>
                <w:i/>
              </w:rPr>
              <w:t>A Priori</w:t>
            </w:r>
            <w:r w:rsidRPr="004118AE">
              <w:t xml:space="preserve"> </w:t>
            </w:r>
            <w:r w:rsidR="00EC2428" w:rsidRPr="004118AE">
              <w:t xml:space="preserve">et </w:t>
            </w:r>
            <w:r w:rsidRPr="004118AE">
              <w:rPr>
                <w:i/>
              </w:rPr>
              <w:t>A Posteriori</w:t>
            </w:r>
          </w:p>
          <w:p w14:paraId="375D8992" w14:textId="479506E0" w:rsidR="00110FEA" w:rsidRPr="004118AE" w:rsidRDefault="00F428AC" w:rsidP="00DA07A9">
            <w:pPr>
              <w:pStyle w:val="TableContents"/>
              <w:numPr>
                <w:ilvl w:val="0"/>
                <w:numId w:val="12"/>
              </w:numPr>
            </w:pPr>
            <w:r w:rsidRPr="004118AE">
              <w:t>La nouveauté</w:t>
            </w:r>
            <w:r w:rsidR="00110FEA" w:rsidRPr="004118AE">
              <w:t xml:space="preserve">, </w:t>
            </w:r>
            <w:r w:rsidRPr="004118AE">
              <w:t>l</w:t>
            </w:r>
            <w:r w:rsidR="00FF47D7" w:rsidRPr="004118AE">
              <w:t>’</w:t>
            </w:r>
            <w:r w:rsidRPr="004118AE">
              <w:t xml:space="preserve">état de la technique </w:t>
            </w:r>
            <w:r w:rsidR="008359DF" w:rsidRPr="004118AE">
              <w:t>et</w:t>
            </w:r>
            <w:r w:rsidR="00110FEA" w:rsidRPr="004118AE">
              <w:t xml:space="preserve"> </w:t>
            </w:r>
            <w:r w:rsidR="0013689D" w:rsidRPr="004118AE">
              <w:t>le</w:t>
            </w:r>
            <w:r w:rsidRPr="004118AE">
              <w:t xml:space="preserve"> tableau de</w:t>
            </w:r>
            <w:r w:rsidR="0013689D" w:rsidRPr="004118AE">
              <w:t xml:space="preserve">s </w:t>
            </w:r>
            <w:r w:rsidRPr="004118AE">
              <w:t>nouveauté</w:t>
            </w:r>
            <w:r w:rsidR="0013689D" w:rsidRPr="004118AE">
              <w:t>s</w:t>
            </w:r>
          </w:p>
          <w:p w14:paraId="5BAD05C3" w14:textId="0CA4676B" w:rsidR="005F3FE3" w:rsidRPr="004118AE" w:rsidRDefault="0013051F" w:rsidP="00DA07A9">
            <w:pPr>
              <w:pStyle w:val="TableContents"/>
              <w:numPr>
                <w:ilvl w:val="0"/>
                <w:numId w:val="12"/>
              </w:numPr>
            </w:pPr>
            <w:r w:rsidRPr="004118AE">
              <w:t>L</w:t>
            </w:r>
            <w:r w:rsidR="00FF47D7" w:rsidRPr="004118AE">
              <w:t>’</w:t>
            </w:r>
            <w:r w:rsidRPr="004118AE">
              <w:t>activité inventive (le caractère évident</w:t>
            </w:r>
            <w:r w:rsidR="00110FEA" w:rsidRPr="004118AE">
              <w:t xml:space="preserve"> </w:t>
            </w:r>
            <w:r w:rsidRPr="004118AE">
              <w:t>et l</w:t>
            </w:r>
            <w:r w:rsidR="00FF47D7" w:rsidRPr="004118AE">
              <w:t>’</w:t>
            </w:r>
            <w:r w:rsidRPr="004118AE">
              <w:t>approche dite “problème</w:t>
            </w:r>
            <w:r w:rsidR="00BC3CD7">
              <w:noBreakHyphen/>
            </w:r>
            <w:r w:rsidRPr="004118AE">
              <w:t>solution”</w:t>
            </w:r>
            <w:r w:rsidR="00110FEA" w:rsidRPr="004118AE">
              <w:t>)</w:t>
            </w:r>
          </w:p>
          <w:p w14:paraId="5A629EE7" w14:textId="740AC178" w:rsidR="00110FEA" w:rsidRPr="004118AE" w:rsidRDefault="00AF3654" w:rsidP="00DA07A9">
            <w:pPr>
              <w:pStyle w:val="TableContents"/>
              <w:numPr>
                <w:ilvl w:val="0"/>
                <w:numId w:val="12"/>
              </w:numPr>
            </w:pPr>
            <w:r w:rsidRPr="004118AE">
              <w:t>Mettre au point et consigner une stratégie de recherche</w:t>
            </w:r>
          </w:p>
          <w:p w14:paraId="1476EB2C" w14:textId="3161CB9B" w:rsidR="00110FEA" w:rsidRPr="004118AE" w:rsidRDefault="00D20E8B" w:rsidP="00DA07A9">
            <w:pPr>
              <w:pStyle w:val="TableContents"/>
              <w:numPr>
                <w:ilvl w:val="0"/>
                <w:numId w:val="12"/>
              </w:numPr>
            </w:pPr>
            <w:r w:rsidRPr="004118AE">
              <w:t>Rédiger un rapport (rapports d</w:t>
            </w:r>
            <w:r w:rsidR="00FF47D7" w:rsidRPr="004118AE">
              <w:t>’</w:t>
            </w:r>
            <w:r w:rsidRPr="004118AE">
              <w:t>examens étrangers)</w:t>
            </w:r>
          </w:p>
          <w:p w14:paraId="3128B600" w14:textId="3F8B0D74" w:rsidR="00110FEA" w:rsidRPr="004118AE" w:rsidRDefault="00F339A9" w:rsidP="00DA07A9">
            <w:pPr>
              <w:pStyle w:val="TableContents"/>
              <w:numPr>
                <w:ilvl w:val="0"/>
                <w:numId w:val="12"/>
              </w:numPr>
            </w:pPr>
            <w:r w:rsidRPr="004118AE">
              <w:t>Les modifications et l</w:t>
            </w:r>
            <w:r w:rsidR="00FF47D7" w:rsidRPr="004118AE">
              <w:t>’</w:t>
            </w:r>
            <w:r w:rsidRPr="004118AE">
              <w:t>admissibilité des modifications</w:t>
            </w:r>
          </w:p>
          <w:p w14:paraId="01DAEEA1" w14:textId="0A431FEE" w:rsidR="00110FEA" w:rsidRPr="004118AE" w:rsidRDefault="00E148BE" w:rsidP="00DA07A9">
            <w:pPr>
              <w:pStyle w:val="TableContents"/>
              <w:numPr>
                <w:ilvl w:val="0"/>
                <w:numId w:val="12"/>
              </w:numPr>
            </w:pPr>
            <w:r w:rsidRPr="004118AE">
              <w:t>Le système de gestion de la qualité</w:t>
            </w:r>
          </w:p>
          <w:p w14:paraId="144EFF23" w14:textId="2E99D6AE" w:rsidR="00110FEA" w:rsidRPr="004118AE" w:rsidRDefault="00314710" w:rsidP="00DA07A9">
            <w:pPr>
              <w:pStyle w:val="TableContents"/>
              <w:numPr>
                <w:ilvl w:val="0"/>
                <w:numId w:val="12"/>
              </w:numPr>
            </w:pPr>
            <w:r w:rsidRPr="004118AE">
              <w:t>Le tutorat individuel</w:t>
            </w:r>
            <w:r w:rsidR="00110FEA" w:rsidRPr="004118AE">
              <w:t xml:space="preserve">, </w:t>
            </w:r>
            <w:r w:rsidRPr="004118AE">
              <w:t>les études de cas et la recherche, l</w:t>
            </w:r>
            <w:r w:rsidR="00FF47D7" w:rsidRPr="004118AE">
              <w:t>’</w:t>
            </w:r>
            <w:r w:rsidRPr="004118AE">
              <w:t xml:space="preserve">examen et </w:t>
            </w:r>
            <w:r w:rsidR="00075D80" w:rsidRPr="004118AE">
              <w:t>la rédaction</w:t>
            </w:r>
          </w:p>
          <w:p w14:paraId="715F192F" w14:textId="77777777" w:rsidR="00075D80" w:rsidRPr="004118AE" w:rsidRDefault="00075D80" w:rsidP="00DA07A9">
            <w:pPr>
              <w:pStyle w:val="TableContents"/>
              <w:ind w:left="720"/>
            </w:pPr>
          </w:p>
          <w:p w14:paraId="359E98DD" w14:textId="11AF5457" w:rsidR="00110FEA" w:rsidRPr="004118AE" w:rsidRDefault="00DB17BC" w:rsidP="00DA07A9">
            <w:pPr>
              <w:pStyle w:val="TableContents"/>
            </w:pPr>
            <w:r w:rsidRPr="004118AE">
              <w:t>Évaluation</w:t>
            </w:r>
            <w:r w:rsidR="00FF47D7" w:rsidRPr="004118AE">
              <w:t> :</w:t>
            </w:r>
            <w:r w:rsidR="001647E2" w:rsidRPr="004118AE">
              <w:t xml:space="preserve"> </w:t>
            </w:r>
            <w:r w:rsidRPr="004118AE">
              <w:t>achèvement avec succès de six</w:t>
            </w:r>
            <w:r w:rsidR="00E65CB6" w:rsidRPr="004118AE">
              <w:t> </w:t>
            </w:r>
            <w:r w:rsidRPr="004118AE">
              <w:t>(6) rapports de recherche et d</w:t>
            </w:r>
            <w:r w:rsidR="00FF47D7" w:rsidRPr="004118AE">
              <w:t>’</w:t>
            </w:r>
            <w:r w:rsidRPr="004118AE">
              <w:t>examen quant au fond respectivement sur six</w:t>
            </w:r>
            <w:r w:rsidR="00E65CB6" w:rsidRPr="004118AE">
              <w:t> </w:t>
            </w:r>
            <w:r w:rsidRPr="004118AE">
              <w:t>(6) demandes de brevet, c</w:t>
            </w:r>
            <w:r w:rsidR="003A76E1" w:rsidRPr="004118AE">
              <w:t xml:space="preserve">onformément aux normes </w:t>
            </w:r>
            <w:r w:rsidR="00A625B4" w:rsidRPr="004118AE">
              <w:t>du s</w:t>
            </w:r>
            <w:r w:rsidRPr="004118AE">
              <w:t xml:space="preserve">ystème de </w:t>
            </w:r>
            <w:r w:rsidR="003A76E1" w:rsidRPr="004118AE">
              <w:t xml:space="preserve">contrôle </w:t>
            </w:r>
            <w:r w:rsidRPr="004118AE">
              <w:t>de la qualité des brevets (PQRS)</w:t>
            </w:r>
          </w:p>
        </w:tc>
      </w:tr>
      <w:tr w:rsidR="00C44A62" w:rsidRPr="004118AE" w14:paraId="23A3A6DA" w14:textId="77777777" w:rsidTr="00C44A62">
        <w:trPr>
          <w:cantSplit/>
        </w:trPr>
        <w:tc>
          <w:tcPr>
            <w:tcW w:w="1260" w:type="dxa"/>
            <w:shd w:val="clear" w:color="auto" w:fill="auto"/>
          </w:tcPr>
          <w:p w14:paraId="638621FD" w14:textId="15C68867" w:rsidR="00110FEA" w:rsidRPr="004118AE" w:rsidRDefault="00110FEA" w:rsidP="00DA07A9">
            <w:pPr>
              <w:pStyle w:val="TableContents"/>
            </w:pPr>
            <w:r w:rsidRPr="004118AE">
              <w:rPr>
                <w:b/>
                <w:bCs/>
              </w:rPr>
              <w:t>PHASE</w:t>
            </w:r>
            <w:r w:rsidR="004118AE" w:rsidRPr="004118AE">
              <w:rPr>
                <w:b/>
                <w:bCs/>
              </w:rPr>
              <w:t> </w:t>
            </w:r>
            <w:r w:rsidRPr="004118AE">
              <w:rPr>
                <w:b/>
                <w:bCs/>
              </w:rPr>
              <w:t>III</w:t>
            </w:r>
          </w:p>
        </w:tc>
        <w:tc>
          <w:tcPr>
            <w:tcW w:w="2120" w:type="dxa"/>
            <w:shd w:val="clear" w:color="auto" w:fill="auto"/>
          </w:tcPr>
          <w:p w14:paraId="2BD2C77F" w14:textId="1C33D7DD" w:rsidR="001647E2" w:rsidRPr="004118AE" w:rsidRDefault="00E11D8E" w:rsidP="00DA07A9">
            <w:pPr>
              <w:pStyle w:val="TableContents"/>
              <w:rPr>
                <w:b/>
                <w:bCs/>
              </w:rPr>
            </w:pPr>
            <w:r w:rsidRPr="004118AE">
              <w:rPr>
                <w:b/>
                <w:bCs/>
              </w:rPr>
              <w:t>Formations complémentaires (selon les besoins)</w:t>
            </w:r>
          </w:p>
          <w:p w14:paraId="503C0BC8" w14:textId="77777777" w:rsidR="00110FEA" w:rsidRPr="004118AE" w:rsidRDefault="00110FEA" w:rsidP="00DA07A9">
            <w:pPr>
              <w:pStyle w:val="TableContents"/>
              <w:rPr>
                <w:b/>
                <w:bCs/>
              </w:rPr>
            </w:pPr>
          </w:p>
          <w:p w14:paraId="2A9CDDC9" w14:textId="3D8FFA5C" w:rsidR="001647E2" w:rsidRPr="004118AE" w:rsidRDefault="00110FEA" w:rsidP="00DA07A9">
            <w:pPr>
              <w:pStyle w:val="TableContents"/>
            </w:pPr>
            <w:r w:rsidRPr="004118AE">
              <w:t>Dur</w:t>
            </w:r>
            <w:r w:rsidR="00E11D8E" w:rsidRPr="004118AE">
              <w:t>ée</w:t>
            </w:r>
            <w:r w:rsidR="00FF47D7" w:rsidRPr="004118AE">
              <w:t> :</w:t>
            </w:r>
          </w:p>
          <w:p w14:paraId="5EF53199" w14:textId="7757B10B" w:rsidR="00110FEA" w:rsidRPr="004118AE" w:rsidRDefault="00110FEA" w:rsidP="00DA07A9">
            <w:pPr>
              <w:pStyle w:val="TableContents"/>
            </w:pPr>
            <w:r w:rsidRPr="004118AE">
              <w:t xml:space="preserve">1 </w:t>
            </w:r>
            <w:r w:rsidR="00E11D8E" w:rsidRPr="004118AE">
              <w:t>mois</w:t>
            </w:r>
          </w:p>
        </w:tc>
        <w:tc>
          <w:tcPr>
            <w:tcW w:w="6340" w:type="dxa"/>
            <w:shd w:val="clear" w:color="auto" w:fill="auto"/>
          </w:tcPr>
          <w:p w14:paraId="7F7CA2A7" w14:textId="5C29CE22" w:rsidR="00110FEA" w:rsidRPr="004118AE" w:rsidRDefault="0083574C" w:rsidP="00DA07A9">
            <w:pPr>
              <w:pStyle w:val="TableContents"/>
              <w:numPr>
                <w:ilvl w:val="0"/>
                <w:numId w:val="13"/>
              </w:numPr>
            </w:pPr>
            <w:r w:rsidRPr="004118AE">
              <w:t>Actualisation des connaissances sur les législations, les pratiques et les procédures relatives aux brevets</w:t>
            </w:r>
          </w:p>
          <w:p w14:paraId="6B78EC55" w14:textId="457DB04B" w:rsidR="00110FEA" w:rsidRPr="004118AE" w:rsidRDefault="00215F05" w:rsidP="00DA07A9">
            <w:pPr>
              <w:pStyle w:val="TableContents"/>
              <w:numPr>
                <w:ilvl w:val="0"/>
                <w:numId w:val="13"/>
              </w:numPr>
              <w:rPr>
                <w:b/>
                <w:bCs/>
              </w:rPr>
            </w:pPr>
            <w:r w:rsidRPr="004118AE">
              <w:t>Formation complémentaire en matière d</w:t>
            </w:r>
            <w:r w:rsidR="00FF47D7" w:rsidRPr="004118AE">
              <w:t>’</w:t>
            </w:r>
            <w:r w:rsidRPr="004118AE">
              <w:t>examen et de recherche</w:t>
            </w:r>
          </w:p>
          <w:p w14:paraId="190F68E6" w14:textId="77777777" w:rsidR="00110FEA" w:rsidRPr="004118AE" w:rsidRDefault="00110FEA" w:rsidP="00DA07A9">
            <w:pPr>
              <w:pStyle w:val="TableContents"/>
              <w:rPr>
                <w:b/>
                <w:bCs/>
              </w:rPr>
            </w:pPr>
          </w:p>
          <w:p w14:paraId="7F38084E" w14:textId="2EE29F4C" w:rsidR="00110FEA" w:rsidRPr="004118AE" w:rsidRDefault="00472429" w:rsidP="00DA07A9">
            <w:pPr>
              <w:pStyle w:val="TableContents"/>
            </w:pPr>
            <w:r w:rsidRPr="004118AE">
              <w:t>Évaluation</w:t>
            </w:r>
            <w:r w:rsidR="00FF47D7" w:rsidRPr="004118AE">
              <w:t> :</w:t>
            </w:r>
            <w:r w:rsidR="001647E2" w:rsidRPr="004118AE">
              <w:t xml:space="preserve"> </w:t>
            </w:r>
            <w:r w:rsidRPr="004118AE">
              <w:t>respect de l</w:t>
            </w:r>
            <w:r w:rsidR="00FF47D7" w:rsidRPr="004118AE">
              <w:t>’</w:t>
            </w:r>
            <w:r w:rsidRPr="004118AE">
              <w:t>objectif mensuel,</w:t>
            </w:r>
            <w:r w:rsidR="009C57A0" w:rsidRPr="004118AE">
              <w:t xml:space="preserve"> respect des</w:t>
            </w:r>
            <w:r w:rsidRPr="004118AE">
              <w:t xml:space="preserve"> délais </w:t>
            </w:r>
            <w:r w:rsidR="009C57A0" w:rsidRPr="004118AE">
              <w:t xml:space="preserve">pour la soumission des </w:t>
            </w:r>
            <w:r w:rsidRPr="004118AE">
              <w:t xml:space="preserve">rapports, </w:t>
            </w:r>
            <w:r w:rsidR="009C57A0" w:rsidRPr="004118AE">
              <w:t xml:space="preserve">conformité des </w:t>
            </w:r>
            <w:r w:rsidRPr="004118AE">
              <w:t>rapports aux nor</w:t>
            </w:r>
            <w:r w:rsidR="00A625B4" w:rsidRPr="004118AE">
              <w:t>mes de qualité définies par le s</w:t>
            </w:r>
            <w:r w:rsidRPr="004118AE">
              <w:t xml:space="preserve">ystème de </w:t>
            </w:r>
            <w:r w:rsidR="006E7502" w:rsidRPr="004118AE">
              <w:t xml:space="preserve">contrôle de la </w:t>
            </w:r>
            <w:r w:rsidRPr="004118AE">
              <w:t>qualité des brevets</w:t>
            </w:r>
            <w:r w:rsidR="006E7502" w:rsidRPr="004118AE">
              <w:t xml:space="preserve"> (PQRS)</w:t>
            </w:r>
          </w:p>
        </w:tc>
      </w:tr>
    </w:tbl>
    <w:p w14:paraId="5844BF41" w14:textId="77777777" w:rsidR="00110FEA" w:rsidRPr="004118AE" w:rsidRDefault="00110FEA" w:rsidP="00DA07A9"/>
    <w:p w14:paraId="6069F415" w14:textId="3EC2701A" w:rsidR="001647E2" w:rsidRPr="004118AE" w:rsidRDefault="000E11A2" w:rsidP="00DA07A9">
      <w:pPr>
        <w:pStyle w:val="ONUMFS"/>
      </w:pPr>
      <w:r w:rsidRPr="004118AE">
        <w:lastRenderedPageBreak/>
        <w:t xml:space="preserve">Pour </w:t>
      </w:r>
      <w:r w:rsidR="000A5697" w:rsidRPr="004118AE">
        <w:t xml:space="preserve">renforcer </w:t>
      </w:r>
      <w:r w:rsidRPr="004118AE">
        <w:t xml:space="preserve">les capacités et les compétences des examinateurs </w:t>
      </w:r>
      <w:r w:rsidR="000A5697" w:rsidRPr="004118AE">
        <w:t>déjà en poste</w:t>
      </w:r>
      <w:r w:rsidRPr="004118AE">
        <w:t xml:space="preserve">, </w:t>
      </w:r>
      <w:r w:rsidR="00D4458E" w:rsidRPr="004118AE">
        <w:t>l</w:t>
      </w:r>
      <w:r w:rsidR="00FF47D7" w:rsidRPr="004118AE">
        <w:t>’</w:t>
      </w:r>
      <w:r w:rsidR="00C50A07" w:rsidRPr="004118AE">
        <w:t xml:space="preserve">IPOPHL </w:t>
      </w:r>
      <w:r w:rsidR="00950BFB" w:rsidRPr="004118AE">
        <w:t xml:space="preserve">dispense </w:t>
      </w:r>
      <w:r w:rsidRPr="004118AE">
        <w:t>un programme de formation contin</w:t>
      </w:r>
      <w:r w:rsidR="006A33AF" w:rsidRPr="004118AE">
        <w:t>ue.  Ce</w:t>
      </w:r>
      <w:r w:rsidR="0041671B" w:rsidRPr="004118AE">
        <w:t xml:space="preserve"> programme comprend notamment de</w:t>
      </w:r>
      <w:r w:rsidR="00D25ABA" w:rsidRPr="004118AE">
        <w:t>s</w:t>
      </w:r>
      <w:r w:rsidR="0041671B" w:rsidRPr="004118AE">
        <w:t xml:space="preserve"> formations </w:t>
      </w:r>
      <w:r w:rsidR="00D25ABA" w:rsidRPr="004118AE">
        <w:t>de niveau avancé</w:t>
      </w:r>
      <w:r w:rsidR="0041671B" w:rsidRPr="004118AE">
        <w:t xml:space="preserve">, </w:t>
      </w:r>
      <w:r w:rsidR="00D25ABA" w:rsidRPr="004118AE">
        <w:t xml:space="preserve">des </w:t>
      </w:r>
      <w:r w:rsidR="0041671B" w:rsidRPr="004118AE">
        <w:t>ateliers et de</w:t>
      </w:r>
      <w:r w:rsidR="00D25ABA" w:rsidRPr="004118AE">
        <w:t>s</w:t>
      </w:r>
      <w:r w:rsidR="0041671B" w:rsidRPr="004118AE">
        <w:t xml:space="preserve"> séminaires sur la recherche et l</w:t>
      </w:r>
      <w:r w:rsidR="00FF47D7" w:rsidRPr="004118AE">
        <w:t>’</w:t>
      </w:r>
      <w:r w:rsidR="0041671B" w:rsidRPr="004118AE">
        <w:t xml:space="preserve">examen </w:t>
      </w:r>
      <w:r w:rsidR="00D25ABA" w:rsidRPr="004118AE">
        <w:t xml:space="preserve">en matière </w:t>
      </w:r>
      <w:r w:rsidR="0041671B" w:rsidRPr="004118AE">
        <w:t>de brevets</w:t>
      </w:r>
      <w:r w:rsidR="0076487A" w:rsidRPr="004118AE">
        <w:t>,</w:t>
      </w:r>
      <w:r w:rsidR="0041671B" w:rsidRPr="004118AE">
        <w:t xml:space="preserve"> sur divers domaines technologiques </w:t>
      </w:r>
      <w:r w:rsidR="007A4FEC" w:rsidRPr="004118AE">
        <w:t xml:space="preserve">et </w:t>
      </w:r>
      <w:r w:rsidR="0041671B" w:rsidRPr="004118AE">
        <w:t>sur les technol</w:t>
      </w:r>
      <w:r w:rsidR="00E563C7" w:rsidRPr="004118AE">
        <w:t xml:space="preserve">ogies nouvelles et émergentes, une actualisation des connaissances </w:t>
      </w:r>
      <w:r w:rsidR="0041671B" w:rsidRPr="004118AE">
        <w:t xml:space="preserve">sur la législation, </w:t>
      </w:r>
      <w:r w:rsidR="007A4FEC" w:rsidRPr="004118AE">
        <w:t xml:space="preserve">sur </w:t>
      </w:r>
      <w:r w:rsidR="0041671B" w:rsidRPr="004118AE">
        <w:t xml:space="preserve">les pratiques et les procédures relatives aux brevets </w:t>
      </w:r>
      <w:r w:rsidR="00E563C7" w:rsidRPr="004118AE">
        <w:t>ainsi que la visite</w:t>
      </w:r>
      <w:r w:rsidR="0041671B" w:rsidRPr="004118AE">
        <w:t xml:space="preserve"> d</w:t>
      </w:r>
      <w:r w:rsidR="00FF47D7" w:rsidRPr="004118AE">
        <w:t>’</w:t>
      </w:r>
      <w:r w:rsidR="00E563C7" w:rsidRPr="004118AE">
        <w:t xml:space="preserve">usines </w:t>
      </w:r>
      <w:r w:rsidR="0041671B" w:rsidRPr="004118AE">
        <w:t>dans des industries utilisant des technologies de poin</w:t>
      </w:r>
      <w:r w:rsidR="006A33AF" w:rsidRPr="004118AE">
        <w:t>te.  De</w:t>
      </w:r>
      <w:r w:rsidR="005F3FE3" w:rsidRPr="004118AE">
        <w:t>puis 2011</w:t>
      </w:r>
      <w:r w:rsidR="00D4458E" w:rsidRPr="004118AE">
        <w:t>, l</w:t>
      </w:r>
      <w:r w:rsidR="00FF47D7" w:rsidRPr="004118AE">
        <w:t>’</w:t>
      </w:r>
      <w:r w:rsidR="00D4458E" w:rsidRPr="004118AE">
        <w:t xml:space="preserve">IPOPHL est partenaire du Département de la science et de la technologie (DOST) dans </w:t>
      </w:r>
      <w:r w:rsidR="009957CB" w:rsidRPr="004118AE">
        <w:t xml:space="preserve">le cadre de </w:t>
      </w:r>
      <w:r w:rsidR="00D4458E" w:rsidRPr="004118AE">
        <w:t xml:space="preserve">son programme </w:t>
      </w:r>
      <w:proofErr w:type="spellStart"/>
      <w:r w:rsidR="00D4458E" w:rsidRPr="004118AE">
        <w:rPr>
          <w:i/>
        </w:rPr>
        <w:t>Balik</w:t>
      </w:r>
      <w:proofErr w:type="spellEnd"/>
      <w:r w:rsidR="00D4458E" w:rsidRPr="004118AE">
        <w:rPr>
          <w:i/>
        </w:rPr>
        <w:t xml:space="preserve"> </w:t>
      </w:r>
      <w:proofErr w:type="spellStart"/>
      <w:r w:rsidR="00D4458E" w:rsidRPr="004118AE">
        <w:rPr>
          <w:i/>
        </w:rPr>
        <w:t>Scientist</w:t>
      </w:r>
      <w:proofErr w:type="spellEnd"/>
      <w:r w:rsidR="00D4458E" w:rsidRPr="004118AE">
        <w:t xml:space="preserve"> (</w:t>
      </w:r>
      <w:r w:rsidR="009957CB" w:rsidRPr="004118AE">
        <w:t>le retour des scientifiques)</w:t>
      </w:r>
      <w:r w:rsidR="00D4458E" w:rsidRPr="004118AE">
        <w:t xml:space="preserve"> </w:t>
      </w:r>
      <w:r w:rsidR="009957CB" w:rsidRPr="004118AE">
        <w:t xml:space="preserve">conçu </w:t>
      </w:r>
      <w:r w:rsidR="00D4458E" w:rsidRPr="004118AE">
        <w:t xml:space="preserve">pour renforcer les ressources humaines </w:t>
      </w:r>
      <w:r w:rsidR="009957CB" w:rsidRPr="004118AE">
        <w:t>du pays dans les domaines scientifique et technologique</w:t>
      </w:r>
      <w:r w:rsidR="00D4458E" w:rsidRPr="004118AE">
        <w:t xml:space="preserve"> </w:t>
      </w:r>
      <w:r w:rsidR="009957CB" w:rsidRPr="004118AE">
        <w:t>g</w:t>
      </w:r>
      <w:r w:rsidR="00D4458E" w:rsidRPr="004118AE">
        <w:t>râce au transfert de nouvelles connaissances et expertis</w:t>
      </w:r>
      <w:r w:rsidR="006A33AF" w:rsidRPr="004118AE">
        <w:t>es.  Da</w:t>
      </w:r>
      <w:r w:rsidR="009957CB" w:rsidRPr="004118AE">
        <w:t>ns le cadre de ce programme, les doctorants du DOST qui ont poursuivi leurs études à l</w:t>
      </w:r>
      <w:r w:rsidR="00FF47D7" w:rsidRPr="004118AE">
        <w:t>’</w:t>
      </w:r>
      <w:r w:rsidR="009957CB" w:rsidRPr="004118AE">
        <w:t xml:space="preserve">étranger donnent des conférences et </w:t>
      </w:r>
      <w:r w:rsidR="00E22570" w:rsidRPr="004118AE">
        <w:t>organisent</w:t>
      </w:r>
      <w:r w:rsidR="009B6023" w:rsidRPr="004118AE">
        <w:t xml:space="preserve"> </w:t>
      </w:r>
      <w:r w:rsidR="009957CB" w:rsidRPr="004118AE">
        <w:t>des formations pour les examinateurs de brevets dans des domaines technologiques spécifiques.</w:t>
      </w:r>
    </w:p>
    <w:p w14:paraId="25B14D77" w14:textId="3EB66D96" w:rsidR="00151F0B" w:rsidRPr="004118AE" w:rsidRDefault="00151F0B" w:rsidP="00DA07A9">
      <w:pPr>
        <w:pStyle w:val="ONUMFS"/>
      </w:pPr>
      <w:r w:rsidRPr="004118AE">
        <w:t>L</w:t>
      </w:r>
      <w:r w:rsidR="00FF47D7" w:rsidRPr="004118AE">
        <w:t>’</w:t>
      </w:r>
      <w:r w:rsidRPr="004118AE">
        <w:t>IPOPHL a intensifié ses activités de renforcement des capacités en matière de recherche et d</w:t>
      </w:r>
      <w:r w:rsidR="00FF47D7" w:rsidRPr="004118AE">
        <w:t>’</w:t>
      </w:r>
      <w:r w:rsidRPr="004118AE">
        <w:t>examen en établissant des partenar</w:t>
      </w:r>
      <w:r w:rsidR="00904D53" w:rsidRPr="004118AE">
        <w:t>iats avec d</w:t>
      </w:r>
      <w:r w:rsidR="00FF47D7" w:rsidRPr="004118AE">
        <w:t>’</w:t>
      </w:r>
      <w:r w:rsidR="00904D53" w:rsidRPr="004118AE">
        <w:t>autres offices de</w:t>
      </w:r>
      <w:r w:rsidRPr="004118AE">
        <w:t xml:space="preserve"> propriété intellectuelle ou administrations internationales tels que l</w:t>
      </w:r>
      <w:r w:rsidR="00FF47D7" w:rsidRPr="004118AE">
        <w:t>’</w:t>
      </w:r>
      <w:r w:rsidRPr="004118AE">
        <w:t>USPTO, l</w:t>
      </w:r>
      <w:r w:rsidR="00FF47D7" w:rsidRPr="004118AE">
        <w:t>’</w:t>
      </w:r>
      <w:r w:rsidRPr="004118AE">
        <w:t xml:space="preserve">OEB, </w:t>
      </w:r>
      <w:r w:rsidR="00EE620E">
        <w:t>le </w:t>
      </w:r>
      <w:r w:rsidRPr="004118AE">
        <w:t>JPO ainsi que l</w:t>
      </w:r>
      <w:r w:rsidR="00FF47D7" w:rsidRPr="004118AE">
        <w:t>’</w:t>
      </w:r>
      <w:r w:rsidRPr="004118AE">
        <w:t>O</w:t>
      </w:r>
      <w:r w:rsidR="006A33AF" w:rsidRPr="004118AE">
        <w:t>MPI.  En</w:t>
      </w:r>
      <w:r w:rsidRPr="004118AE">
        <w:t xml:space="preserve"> outre, les examinateurs de brevets ont suivi des cours à distance </w:t>
      </w:r>
      <w:r w:rsidR="002307BB" w:rsidRPr="004118AE">
        <w:t xml:space="preserve">proposés </w:t>
      </w:r>
      <w:r w:rsidRPr="004118AE">
        <w:t>par l</w:t>
      </w:r>
      <w:r w:rsidR="00FF47D7" w:rsidRPr="004118AE">
        <w:t>’</w:t>
      </w:r>
      <w:r w:rsidRPr="004118AE">
        <w:t>OMPI, l</w:t>
      </w:r>
      <w:r w:rsidR="00FF47D7" w:rsidRPr="004118AE">
        <w:t>’</w:t>
      </w:r>
      <w:r w:rsidRPr="004118AE">
        <w:t>Académie européenne des brevets et d</w:t>
      </w:r>
      <w:r w:rsidR="00FF47D7" w:rsidRPr="004118AE">
        <w:t>’</w:t>
      </w:r>
      <w:r w:rsidRPr="004118AE">
        <w:t>autres offices de propriété intellectuelle étrange</w:t>
      </w:r>
      <w:r w:rsidR="006A33AF" w:rsidRPr="004118AE">
        <w:t>rs.  En</w:t>
      </w:r>
      <w:r w:rsidRPr="004118AE">
        <w:t xml:space="preserve"> collaboration avec la Division</w:t>
      </w:r>
      <w:r w:rsidR="005F3FE3" w:rsidRPr="004118AE">
        <w:t xml:space="preserve"> du PCT</w:t>
      </w:r>
      <w:r w:rsidRPr="004118AE">
        <w:t xml:space="preserve"> de l</w:t>
      </w:r>
      <w:r w:rsidR="00FF47D7" w:rsidRPr="004118AE">
        <w:t>’</w:t>
      </w:r>
      <w:r w:rsidRPr="004118AE">
        <w:t>OMPI, l</w:t>
      </w:r>
      <w:r w:rsidR="00FF47D7" w:rsidRPr="004118AE">
        <w:t>’</w:t>
      </w:r>
      <w:r w:rsidRPr="004118AE">
        <w:t xml:space="preserve">IPOPHL continue également de proposer aux examinateurs et au personnel administratif des formations et des actualisations </w:t>
      </w:r>
      <w:r w:rsidR="002307BB" w:rsidRPr="004118AE">
        <w:t xml:space="preserve">de leurs connaissances </w:t>
      </w:r>
      <w:r w:rsidRPr="004118AE">
        <w:t>relatives au</w:t>
      </w:r>
      <w:r w:rsidR="002307BB" w:rsidRPr="004118AE">
        <w:t xml:space="preserve"> système</w:t>
      </w:r>
      <w:r w:rsidR="005F3FE3" w:rsidRPr="004118AE">
        <w:t xml:space="preserve"> du PCT</w:t>
      </w:r>
      <w:r w:rsidRPr="004118AE">
        <w:t>.</w:t>
      </w:r>
    </w:p>
    <w:p w14:paraId="2E6570B0" w14:textId="1B005D87" w:rsidR="005F3FE3" w:rsidRPr="004118AE" w:rsidRDefault="00135605" w:rsidP="00DA07A9">
      <w:pPr>
        <w:pStyle w:val="ONUMFS"/>
      </w:pPr>
      <w:r w:rsidRPr="004118AE">
        <w:t xml:space="preserve">Dans </w:t>
      </w:r>
      <w:r w:rsidR="00924E30" w:rsidRPr="004118AE">
        <w:t xml:space="preserve">le cadre de </w:t>
      </w:r>
      <w:r w:rsidRPr="004118AE">
        <w:t xml:space="preserve">sa recherche permanente de </w:t>
      </w:r>
      <w:r w:rsidR="00924E30" w:rsidRPr="004118AE">
        <w:t xml:space="preserve">formation </w:t>
      </w:r>
      <w:r w:rsidRPr="004118AE">
        <w:t>et de maintien d</w:t>
      </w:r>
      <w:r w:rsidR="00FF47D7" w:rsidRPr="004118AE">
        <w:t>’</w:t>
      </w:r>
      <w:r w:rsidRPr="004118AE">
        <w:t>un</w:t>
      </w:r>
      <w:r w:rsidR="009C0D88" w:rsidRPr="004118AE">
        <w:t xml:space="preserve"> personnel compétent et très motivé</w:t>
      </w:r>
      <w:r w:rsidRPr="004118AE">
        <w:t xml:space="preserve">, </w:t>
      </w:r>
      <w:r w:rsidR="00924E30" w:rsidRPr="004118AE">
        <w:t>l</w:t>
      </w:r>
      <w:r w:rsidR="00FF47D7" w:rsidRPr="004118AE">
        <w:t>’</w:t>
      </w:r>
      <w:r w:rsidRPr="004118AE">
        <w:t xml:space="preserve">IPOPHL </w:t>
      </w:r>
      <w:r w:rsidR="00924E30" w:rsidRPr="004118AE">
        <w:t>propose</w:t>
      </w:r>
      <w:r w:rsidR="006828AC" w:rsidRPr="004118AE">
        <w:t xml:space="preserve"> </w:t>
      </w:r>
      <w:r w:rsidR="009C0D88" w:rsidRPr="004118AE">
        <w:t xml:space="preserve">pour les </w:t>
      </w:r>
      <w:r w:rsidR="006828AC" w:rsidRPr="004118AE">
        <w:t>maîtrise</w:t>
      </w:r>
      <w:r w:rsidR="009C0D88" w:rsidRPr="004118AE">
        <w:t>s en génie biologique</w:t>
      </w:r>
      <w:r w:rsidR="00924E30" w:rsidRPr="004118AE">
        <w:t xml:space="preserve"> </w:t>
      </w:r>
      <w:r w:rsidRPr="004118AE">
        <w:t>un programme de bourses d</w:t>
      </w:r>
      <w:r w:rsidR="00FF47D7" w:rsidRPr="004118AE">
        <w:t>’</w:t>
      </w:r>
      <w:r w:rsidRPr="004118AE">
        <w:t>études adapté aux besoins techniques de</w:t>
      </w:r>
      <w:r w:rsidR="00924E30" w:rsidRPr="004118AE">
        <w:t xml:space="preserve"> se</w:t>
      </w:r>
      <w:r w:rsidRPr="004118AE">
        <w:t>s examinateu</w:t>
      </w:r>
      <w:r w:rsidR="006A33AF" w:rsidRPr="004118AE">
        <w:t>rs.  Po</w:t>
      </w:r>
      <w:r w:rsidR="00A0551C" w:rsidRPr="004118AE">
        <w:t>ur ce faire, l</w:t>
      </w:r>
      <w:r w:rsidR="00FF47D7" w:rsidRPr="004118AE">
        <w:t>’</w:t>
      </w:r>
      <w:r w:rsidR="00EE620E" w:rsidRPr="004118AE">
        <w:t>office</w:t>
      </w:r>
      <w:r w:rsidR="00A0551C" w:rsidRPr="004118AE">
        <w:t xml:space="preserve"> a établi un </w:t>
      </w:r>
      <w:r w:rsidR="00C95C9F" w:rsidRPr="004118AE">
        <w:t>partenariat avec l</w:t>
      </w:r>
      <w:r w:rsidR="00FF47D7" w:rsidRPr="004118AE">
        <w:t>’</w:t>
      </w:r>
      <w:r w:rsidR="00C95C9F" w:rsidRPr="004118AE">
        <w:t xml:space="preserve">Institut de technologie </w:t>
      </w:r>
      <w:proofErr w:type="spellStart"/>
      <w:r w:rsidR="00C95C9F" w:rsidRPr="004118AE">
        <w:t>Mapua</w:t>
      </w:r>
      <w:proofErr w:type="spellEnd"/>
      <w:r w:rsidR="00C95C9F" w:rsidRPr="004118AE">
        <w:t xml:space="preserve"> (MIT), l</w:t>
      </w:r>
      <w:r w:rsidR="00FF47D7" w:rsidRPr="004118AE">
        <w:t>’</w:t>
      </w:r>
      <w:r w:rsidR="00C95C9F" w:rsidRPr="004118AE">
        <w:t>une des meilleures écoles d</w:t>
      </w:r>
      <w:r w:rsidR="00FF47D7" w:rsidRPr="004118AE">
        <w:t>’</w:t>
      </w:r>
      <w:r w:rsidR="00C95C9F" w:rsidRPr="004118AE">
        <w:t>ingénieurs du pays, un centre d</w:t>
      </w:r>
      <w:r w:rsidR="00FF47D7" w:rsidRPr="004118AE">
        <w:t>’</w:t>
      </w:r>
      <w:r w:rsidR="00C95C9F" w:rsidRPr="004118AE">
        <w:t xml:space="preserve">excellence </w:t>
      </w:r>
      <w:r w:rsidR="00DA0278" w:rsidRPr="004118AE">
        <w:t>dans l</w:t>
      </w:r>
      <w:r w:rsidR="00FF47D7" w:rsidRPr="004118AE">
        <w:t>’</w:t>
      </w:r>
      <w:r w:rsidR="00DA0278" w:rsidRPr="004118AE">
        <w:t xml:space="preserve">enseignement </w:t>
      </w:r>
      <w:r w:rsidR="00506B32" w:rsidRPr="004118AE">
        <w:t>de l</w:t>
      </w:r>
      <w:r w:rsidR="00FF47D7" w:rsidRPr="004118AE">
        <w:t>’</w:t>
      </w:r>
      <w:r w:rsidR="00506B32" w:rsidRPr="004118AE">
        <w:t xml:space="preserve">ingénierie </w:t>
      </w:r>
      <w:r w:rsidR="00DA0278" w:rsidRPr="004118AE">
        <w:t>reconnu</w:t>
      </w:r>
      <w:r w:rsidR="00C95C9F" w:rsidRPr="004118AE">
        <w:t xml:space="preserve"> par la Commission de l</w:t>
      </w:r>
      <w:r w:rsidR="00FF47D7" w:rsidRPr="004118AE">
        <w:t>’</w:t>
      </w:r>
      <w:r w:rsidR="00C95C9F" w:rsidRPr="004118AE">
        <w:t xml:space="preserve">enseignement supérieur et un établissement </w:t>
      </w:r>
      <w:r w:rsidR="00DA0278" w:rsidRPr="004118AE">
        <w:t>agréé par l</w:t>
      </w:r>
      <w:r w:rsidR="00FF47D7" w:rsidRPr="004118AE">
        <w:t>’</w:t>
      </w:r>
      <w:r w:rsidR="00506B32" w:rsidRPr="004118AE">
        <w:t xml:space="preserve">Organisme américain </w:t>
      </w:r>
      <w:r w:rsidR="00C95C9F" w:rsidRPr="004118AE">
        <w:t>d</w:t>
      </w:r>
      <w:r w:rsidR="00FF47D7" w:rsidRPr="004118AE">
        <w:t>’</w:t>
      </w:r>
      <w:r w:rsidR="00C95C9F" w:rsidRPr="004118AE">
        <w:t>accréditation pour l</w:t>
      </w:r>
      <w:r w:rsidR="00FF47D7" w:rsidRPr="004118AE">
        <w:t>’</w:t>
      </w:r>
      <w:r w:rsidR="00C95C9F" w:rsidRPr="004118AE">
        <w:t>in</w:t>
      </w:r>
      <w:r w:rsidR="00506B32" w:rsidRPr="004118AE">
        <w:t>génierie et la technologie</w:t>
      </w:r>
      <w:r w:rsidR="00C95C9F" w:rsidRPr="004118AE">
        <w:t xml:space="preserve"> (ABET).</w:t>
      </w:r>
      <w:r w:rsidR="00110FEA" w:rsidRPr="004118AE">
        <w:t xml:space="preserve"> </w:t>
      </w:r>
      <w:r w:rsidR="00E65CB6" w:rsidRPr="004118AE">
        <w:t xml:space="preserve"> </w:t>
      </w:r>
      <w:r w:rsidR="00786B79" w:rsidRPr="004118AE">
        <w:t>Un programme similaire dans les domaines de la mécanique est en cours d</w:t>
      </w:r>
      <w:r w:rsidR="00FF47D7" w:rsidRPr="004118AE">
        <w:t>’</w:t>
      </w:r>
      <w:r w:rsidR="00786B79" w:rsidRPr="004118AE">
        <w:t>élaboration pour les examinateurs.</w:t>
      </w:r>
    </w:p>
    <w:p w14:paraId="492F1EA1" w14:textId="45B92DF7" w:rsidR="001647E2" w:rsidRDefault="00EA18F7" w:rsidP="00DA07A9">
      <w:pPr>
        <w:pStyle w:val="Heading3"/>
      </w:pPr>
      <w:r w:rsidRPr="004118AE">
        <w:t>Ressources et outils en matière de recherche et d</w:t>
      </w:r>
      <w:r w:rsidR="00FF47D7" w:rsidRPr="004118AE">
        <w:t>’</w:t>
      </w:r>
      <w:r w:rsidRPr="004118AE">
        <w:t>examen</w:t>
      </w:r>
    </w:p>
    <w:p w14:paraId="6BF319D8" w14:textId="77777777" w:rsidR="00C44A62" w:rsidRPr="00C44A62" w:rsidRDefault="00C44A62" w:rsidP="00DA07A9"/>
    <w:p w14:paraId="2FB6F10A" w14:textId="3420DDB5" w:rsidR="001647E2" w:rsidRPr="004118AE" w:rsidRDefault="00CD0DA8" w:rsidP="00DA07A9">
      <w:pPr>
        <w:pStyle w:val="ONUMFS"/>
      </w:pPr>
      <w:r w:rsidRPr="004118AE">
        <w:t>Tel qu</w:t>
      </w:r>
      <w:r w:rsidR="00FF47D7" w:rsidRPr="004118AE">
        <w:t>’</w:t>
      </w:r>
      <w:r w:rsidRPr="004118AE">
        <w:t xml:space="preserve">énoncé à la </w:t>
      </w:r>
      <w:r w:rsidR="005F3FE3" w:rsidRPr="004118AE">
        <w:t>règle 3</w:t>
      </w:r>
      <w:r w:rsidRPr="004118AE">
        <w:t>4 du règlement d</w:t>
      </w:r>
      <w:r w:rsidR="00FF47D7" w:rsidRPr="004118AE">
        <w:t>’</w:t>
      </w:r>
      <w:r w:rsidRPr="004118AE">
        <w:t>exécution</w:t>
      </w:r>
      <w:r w:rsidR="005F3FE3" w:rsidRPr="004118AE">
        <w:t xml:space="preserve"> du PCT</w:t>
      </w:r>
      <w:r w:rsidRPr="004118AE">
        <w:t>, l</w:t>
      </w:r>
      <w:r w:rsidR="00FF47D7" w:rsidRPr="004118AE">
        <w:t>’</w:t>
      </w:r>
      <w:r w:rsidRPr="004118AE">
        <w:t>IPOPHL a pleinement accès à la documentation minima</w:t>
      </w:r>
      <w:r w:rsidR="006A33AF" w:rsidRPr="004118AE">
        <w:t>le.  Il</w:t>
      </w:r>
      <w:r w:rsidR="00C21C0E" w:rsidRPr="004118AE">
        <w:t xml:space="preserve"> est essentiel de disposer de bases de données commerciales complètes et d</w:t>
      </w:r>
      <w:r w:rsidR="00FF47D7" w:rsidRPr="004118AE">
        <w:t>’</w:t>
      </w:r>
      <w:r w:rsidR="00C21C0E" w:rsidRPr="004118AE">
        <w:t>examinateurs compétents en matière de recherche et d</w:t>
      </w:r>
      <w:r w:rsidR="00FF47D7" w:rsidRPr="004118AE">
        <w:t>’</w:t>
      </w:r>
      <w:r w:rsidR="00C21C0E" w:rsidRPr="004118AE">
        <w:t>examen pour pouvoir fournir un travail de qualité.</w:t>
      </w:r>
    </w:p>
    <w:p w14:paraId="1849CB5A" w14:textId="5D396286" w:rsidR="001647E2" w:rsidRPr="004118AE" w:rsidRDefault="00EE1151" w:rsidP="00DA07A9">
      <w:pPr>
        <w:pStyle w:val="ONUMFS"/>
      </w:pPr>
      <w:r w:rsidRPr="004118AE">
        <w:t>Les examinateurs de l</w:t>
      </w:r>
      <w:r w:rsidR="00FF47D7" w:rsidRPr="004118AE">
        <w:t>’</w:t>
      </w:r>
      <w:r w:rsidRPr="004118AE">
        <w:t xml:space="preserve">IPOPHL ont </w:t>
      </w:r>
      <w:r w:rsidR="004562EA" w:rsidRPr="004118AE">
        <w:t xml:space="preserve">accès aux bases de données </w:t>
      </w:r>
      <w:r w:rsidR="005F5096" w:rsidRPr="004118AE">
        <w:t xml:space="preserve">suivantes </w:t>
      </w:r>
      <w:r w:rsidRPr="004118AE">
        <w:t xml:space="preserve">sur les brevets et sur la </w:t>
      </w:r>
      <w:r w:rsidR="00AC6FC2" w:rsidRPr="004118AE">
        <w:t>littérature</w:t>
      </w:r>
      <w:r w:rsidRPr="004118AE">
        <w:t xml:space="preserve"> non</w:t>
      </w:r>
      <w:r w:rsidR="00BC3CD7">
        <w:noBreakHyphen/>
      </w:r>
      <w:r w:rsidR="004562EA" w:rsidRPr="004118AE">
        <w:t>brevet</w:t>
      </w:r>
      <w:r w:rsidR="00FF47D7" w:rsidRPr="004118AE">
        <w:t> :</w:t>
      </w:r>
    </w:p>
    <w:p w14:paraId="620AF071" w14:textId="5FA16D2A" w:rsidR="001647E2" w:rsidRPr="004118AE" w:rsidRDefault="00AC6FC2" w:rsidP="00DA07A9">
      <w:pPr>
        <w:pStyle w:val="ONUMFS"/>
        <w:numPr>
          <w:ilvl w:val="1"/>
          <w:numId w:val="33"/>
        </w:numPr>
      </w:pPr>
      <w:r w:rsidRPr="004118AE">
        <w:t xml:space="preserve">la </w:t>
      </w:r>
      <w:r w:rsidR="00E65CB6" w:rsidRPr="004118AE">
        <w:t>plateforme</w:t>
      </w:r>
      <w:r w:rsidRPr="004118AE">
        <w:t xml:space="preserve"> de recherche commerciale Thomson Innovation qui permet d</w:t>
      </w:r>
      <w:r w:rsidR="00FF47D7" w:rsidRPr="004118AE">
        <w:t>’</w:t>
      </w:r>
      <w:r w:rsidRPr="004118AE">
        <w:t>accéder à l</w:t>
      </w:r>
      <w:r w:rsidR="00FF47D7" w:rsidRPr="004118AE">
        <w:t>’</w:t>
      </w:r>
      <w:r w:rsidRPr="004118AE">
        <w:t>Index mondial des brevets Derwent (DWPI)</w:t>
      </w:r>
      <w:r w:rsidR="00E65CB6" w:rsidRPr="004118AE">
        <w:t>;</w:t>
      </w:r>
    </w:p>
    <w:p w14:paraId="58B71A75" w14:textId="0620F003" w:rsidR="00110FEA" w:rsidRPr="004118AE" w:rsidRDefault="008359DF" w:rsidP="00DA07A9">
      <w:pPr>
        <w:pStyle w:val="ONUMFS"/>
        <w:numPr>
          <w:ilvl w:val="1"/>
          <w:numId w:val="33"/>
        </w:numPr>
      </w:pPr>
      <w:r w:rsidRPr="004118AE">
        <w:t xml:space="preserve">la base de données mondiale WIPS qui contient tous les documents relatifs à la délivrance de brevets et </w:t>
      </w:r>
      <w:r w:rsidR="00D55ADE" w:rsidRPr="004118AE">
        <w:t xml:space="preserve">aux </w:t>
      </w:r>
      <w:r w:rsidRPr="004118AE">
        <w:t xml:space="preserve">demandes de brevet en provenance </w:t>
      </w:r>
      <w:r w:rsidR="009E218C" w:rsidRPr="004118AE">
        <w:t xml:space="preserve">de Chine, </w:t>
      </w:r>
      <w:r w:rsidRPr="004118AE">
        <w:t>des États</w:t>
      </w:r>
      <w:r w:rsidR="00BC3CD7">
        <w:noBreakHyphen/>
      </w:r>
      <w:r w:rsidRPr="004118AE">
        <w:t>Unis</w:t>
      </w:r>
      <w:r w:rsidR="00E65CB6" w:rsidRPr="004118AE">
        <w:t xml:space="preserve"> d</w:t>
      </w:r>
      <w:r w:rsidR="00FF47D7" w:rsidRPr="004118AE">
        <w:t>’</w:t>
      </w:r>
      <w:r w:rsidR="00E65CB6" w:rsidRPr="004118AE">
        <w:t>Amérique</w:t>
      </w:r>
      <w:r w:rsidRPr="004118AE">
        <w:t>, d</w:t>
      </w:r>
      <w:r w:rsidR="00FF47D7" w:rsidRPr="004118AE">
        <w:t>’</w:t>
      </w:r>
      <w:r w:rsidRPr="004118AE">
        <w:t xml:space="preserve">Europe, du Japon, </w:t>
      </w:r>
      <w:r w:rsidR="00D55ADE" w:rsidRPr="004118AE">
        <w:t>de la République de Cor</w:t>
      </w:r>
      <w:r w:rsidR="006A33AF" w:rsidRPr="004118AE">
        <w:t>ée.  Ce</w:t>
      </w:r>
      <w:r w:rsidR="00D55ADE" w:rsidRPr="004118AE">
        <w:t>tte base de données contient également d</w:t>
      </w:r>
      <w:r w:rsidR="00FF47D7" w:rsidRPr="004118AE">
        <w:t>’</w:t>
      </w:r>
      <w:r w:rsidRPr="004118AE">
        <w:t xml:space="preserve">autres sources, </w:t>
      </w:r>
      <w:r w:rsidR="00D55ADE" w:rsidRPr="004118AE">
        <w:t xml:space="preserve">notamment </w:t>
      </w:r>
      <w:r w:rsidRPr="004118AE">
        <w:t xml:space="preserve">les demandes </w:t>
      </w:r>
      <w:r w:rsidR="00D55ADE" w:rsidRPr="004118AE">
        <w:t>selon</w:t>
      </w:r>
      <w:r w:rsidR="005F3FE3" w:rsidRPr="004118AE">
        <w:t xml:space="preserve"> le PCT</w:t>
      </w:r>
      <w:r w:rsidRPr="004118AE">
        <w:t xml:space="preserve"> publiées</w:t>
      </w:r>
      <w:r w:rsidR="00D55ADE" w:rsidRPr="004118AE">
        <w:t>;</w:t>
      </w:r>
    </w:p>
    <w:p w14:paraId="037EDA91" w14:textId="28DECFF0" w:rsidR="00110FEA" w:rsidRPr="004118AE" w:rsidRDefault="00872D64" w:rsidP="00DA07A9">
      <w:pPr>
        <w:pStyle w:val="ONUMFS"/>
        <w:numPr>
          <w:ilvl w:val="1"/>
          <w:numId w:val="33"/>
        </w:numPr>
      </w:pPr>
      <w:r w:rsidRPr="004118AE">
        <w:t>des bases de données publiques telles que</w:t>
      </w:r>
      <w:r w:rsidR="00FF47D7" w:rsidRPr="004118AE">
        <w:t> :</w:t>
      </w:r>
      <w:r w:rsidRPr="004118AE">
        <w:t xml:space="preserve"> i)</w:t>
      </w:r>
      <w:r w:rsidR="00E65CB6" w:rsidRPr="004118AE">
        <w:t> </w:t>
      </w:r>
      <w:r w:rsidRPr="004118AE">
        <w:t>OPSIN (</w:t>
      </w:r>
      <w:r w:rsidR="009C5FE5" w:rsidRPr="004118AE">
        <w:t>analyseur syntaxique libre</w:t>
      </w:r>
      <w:r w:rsidRPr="004118AE">
        <w:t xml:space="preserve"> pour la nomenclature systématique de l</w:t>
      </w:r>
      <w:r w:rsidR="00FF47D7" w:rsidRPr="004118AE">
        <w:t>’</w:t>
      </w:r>
      <w:r w:rsidRPr="004118AE">
        <w:t>IUPAC)</w:t>
      </w:r>
      <w:r w:rsidR="00E65CB6" w:rsidRPr="004118AE">
        <w:t xml:space="preserve">; </w:t>
      </w:r>
      <w:r w:rsidRPr="004118AE">
        <w:t xml:space="preserve"> ii)</w:t>
      </w:r>
      <w:r w:rsidR="00E65CB6" w:rsidRPr="004118AE">
        <w:t> </w:t>
      </w:r>
      <w:r w:rsidRPr="004118AE">
        <w:t>NCBI (</w:t>
      </w:r>
      <w:r w:rsidR="001627C9" w:rsidRPr="004118AE">
        <w:t>Centre national d</w:t>
      </w:r>
      <w:r w:rsidR="00FF47D7" w:rsidRPr="004118AE">
        <w:t>’</w:t>
      </w:r>
      <w:r w:rsidR="001627C9" w:rsidRPr="004118AE">
        <w:t>information sur la biotechnologie</w:t>
      </w:r>
      <w:r w:rsidRPr="004118AE">
        <w:t>)</w:t>
      </w:r>
      <w:r w:rsidR="00E65CB6" w:rsidRPr="004118AE">
        <w:t xml:space="preserve">; </w:t>
      </w:r>
      <w:r w:rsidR="001627C9" w:rsidRPr="004118AE">
        <w:t xml:space="preserve"> iii)</w:t>
      </w:r>
      <w:r w:rsidR="00E65CB6" w:rsidRPr="004118AE">
        <w:t> </w:t>
      </w:r>
      <w:r w:rsidR="001627C9" w:rsidRPr="004118AE">
        <w:t>EMBL</w:t>
      </w:r>
      <w:r w:rsidR="00BC3CD7">
        <w:noBreakHyphen/>
      </w:r>
      <w:r w:rsidR="001627C9" w:rsidRPr="004118AE">
        <w:t xml:space="preserve">EBI (Laboratoire européen de biologie moléculaire – </w:t>
      </w:r>
      <w:r w:rsidR="001627C9" w:rsidRPr="004118AE">
        <w:lastRenderedPageBreak/>
        <w:t>Institut européen de bio</w:t>
      </w:r>
      <w:r w:rsidR="00BC3CD7">
        <w:noBreakHyphen/>
      </w:r>
      <w:r w:rsidR="001627C9" w:rsidRPr="004118AE">
        <w:t>informatique) pour une recherche dans le domaine du listage des séquences</w:t>
      </w:r>
      <w:r w:rsidR="00E65CB6" w:rsidRPr="004118AE">
        <w:t xml:space="preserve">; </w:t>
      </w:r>
      <w:r w:rsidR="001627C9" w:rsidRPr="004118AE">
        <w:t xml:space="preserve"> iv)</w:t>
      </w:r>
      <w:r w:rsidR="00E65CB6" w:rsidRPr="004118AE">
        <w:t> </w:t>
      </w:r>
      <w:r w:rsidR="001030D3" w:rsidRPr="004118AE">
        <w:t>3GPP (techniques de télécommunication)</w:t>
      </w:r>
      <w:r w:rsidR="00E65CB6" w:rsidRPr="004118AE">
        <w:t xml:space="preserve">; </w:t>
      </w:r>
      <w:r w:rsidR="001030D3" w:rsidRPr="004118AE">
        <w:t xml:space="preserve"> v)</w:t>
      </w:r>
      <w:r w:rsidR="00E65CB6" w:rsidRPr="004118AE">
        <w:t> </w:t>
      </w:r>
      <w:r w:rsidR="00FF47D7" w:rsidRPr="004118AE">
        <w:t>WIPO CASE</w:t>
      </w:r>
      <w:r w:rsidR="001030D3" w:rsidRPr="004118AE">
        <w:t xml:space="preserve"> (système d</w:t>
      </w:r>
      <w:r w:rsidR="00FF47D7" w:rsidRPr="004118AE">
        <w:t>’</w:t>
      </w:r>
      <w:r w:rsidR="001030D3" w:rsidRPr="004118AE">
        <w:t>accès centralisé aux informations relatives à la recherche et à l</w:t>
      </w:r>
      <w:r w:rsidR="00FF47D7" w:rsidRPr="004118AE">
        <w:t>’</w:t>
      </w:r>
      <w:r w:rsidR="001030D3" w:rsidRPr="004118AE">
        <w:t>examen)</w:t>
      </w:r>
      <w:r w:rsidR="00E65CB6" w:rsidRPr="004118AE">
        <w:t xml:space="preserve">; </w:t>
      </w:r>
      <w:r w:rsidR="00800D3C" w:rsidRPr="004118AE">
        <w:t xml:space="preserve"> </w:t>
      </w:r>
      <w:r w:rsidR="00A92372" w:rsidRPr="004118AE">
        <w:t xml:space="preserve">et, </w:t>
      </w:r>
      <w:r w:rsidR="00800D3C" w:rsidRPr="004118AE">
        <w:t>vi)</w:t>
      </w:r>
      <w:r w:rsidR="00E65CB6" w:rsidRPr="004118AE">
        <w:t> </w:t>
      </w:r>
      <w:r w:rsidR="00A92372" w:rsidRPr="004118AE">
        <w:t>P</w:t>
      </w:r>
      <w:r w:rsidR="006A33AF" w:rsidRPr="004118AE">
        <w:t>ATENTSCOPE</w:t>
      </w:r>
      <w:r w:rsidR="00A92372" w:rsidRPr="004118AE">
        <w:t>;</w:t>
      </w:r>
    </w:p>
    <w:p w14:paraId="34939AE8" w14:textId="3CB98A16" w:rsidR="00110FEA" w:rsidRPr="004118AE" w:rsidRDefault="00A57DC9" w:rsidP="00DA07A9">
      <w:pPr>
        <w:pStyle w:val="ONUMFS"/>
        <w:numPr>
          <w:ilvl w:val="1"/>
          <w:numId w:val="33"/>
        </w:numPr>
      </w:pPr>
      <w:proofErr w:type="spellStart"/>
      <w:r w:rsidRPr="004118AE">
        <w:t>PubMed</w:t>
      </w:r>
      <w:proofErr w:type="spellEnd"/>
      <w:r w:rsidRPr="004118AE">
        <w:t xml:space="preserve"> qui fournit des articles </w:t>
      </w:r>
      <w:r w:rsidR="005739C3" w:rsidRPr="004118AE">
        <w:t>de littérature non</w:t>
      </w:r>
      <w:r w:rsidR="00BC3CD7">
        <w:noBreakHyphen/>
      </w:r>
      <w:r w:rsidR="005739C3" w:rsidRPr="004118AE">
        <w:t>brevet</w:t>
      </w:r>
      <w:r w:rsidRPr="004118AE">
        <w:t xml:space="preserve"> en chimie, en biologie moléculaire et dans d</w:t>
      </w:r>
      <w:r w:rsidR="00FF47D7" w:rsidRPr="004118AE">
        <w:t>’</w:t>
      </w:r>
      <w:r w:rsidRPr="004118AE">
        <w:t xml:space="preserve">autres sciences précliniques, et The Lens pour une recherche </w:t>
      </w:r>
      <w:r w:rsidR="00B46BC5" w:rsidRPr="004118AE">
        <w:t>exhaustive</w:t>
      </w:r>
      <w:r w:rsidRPr="004118AE">
        <w:t xml:space="preserve"> de séquences d</w:t>
      </w:r>
      <w:r w:rsidR="00FF47D7" w:rsidRPr="004118AE">
        <w:t>’</w:t>
      </w:r>
      <w:r w:rsidRPr="004118AE">
        <w:t>ADN et de protéines;</w:t>
      </w:r>
    </w:p>
    <w:p w14:paraId="1DAA92E5" w14:textId="5FEA5A60" w:rsidR="001647E2" w:rsidRPr="004118AE" w:rsidRDefault="00DF411E" w:rsidP="00DA07A9">
      <w:pPr>
        <w:pStyle w:val="ONUMFS"/>
        <w:numPr>
          <w:ilvl w:val="1"/>
          <w:numId w:val="33"/>
        </w:numPr>
      </w:pPr>
      <w:r w:rsidRPr="004118AE">
        <w:t xml:space="preserve">la </w:t>
      </w:r>
      <w:r w:rsidR="006833C6" w:rsidRPr="004118AE">
        <w:t xml:space="preserve">Bibliothèque numérique de propriété industrielle </w:t>
      </w:r>
      <w:r w:rsidR="004A5A8E" w:rsidRPr="004118AE">
        <w:t xml:space="preserve">(BNPI) </w:t>
      </w:r>
      <w:r w:rsidR="006833C6" w:rsidRPr="004118AE">
        <w:t>de l</w:t>
      </w:r>
      <w:r w:rsidR="00FF47D7" w:rsidRPr="004118AE">
        <w:t>’</w:t>
      </w:r>
      <w:r w:rsidR="006833C6" w:rsidRPr="004118AE">
        <w:t>IPOPHL</w:t>
      </w:r>
      <w:r w:rsidR="00BA6449" w:rsidRPr="004118AE">
        <w:t xml:space="preserve"> et </w:t>
      </w:r>
      <w:r w:rsidR="00381D9C" w:rsidRPr="004118AE">
        <w:t xml:space="preserve">le système </w:t>
      </w:r>
      <w:r w:rsidR="00BA6449" w:rsidRPr="004118AE">
        <w:t>IPAS (système d</w:t>
      </w:r>
      <w:r w:rsidR="00FF47D7" w:rsidRPr="004118AE">
        <w:t>’</w:t>
      </w:r>
      <w:r w:rsidR="00BA6449" w:rsidRPr="004118AE">
        <w:t>automatisation des offices de propriété in</w:t>
      </w:r>
      <w:r w:rsidR="00CB41DB" w:rsidRPr="004118AE">
        <w:t>dustrielle</w:t>
      </w:r>
      <w:r w:rsidR="00BA6449" w:rsidRPr="004118AE">
        <w:t>)</w:t>
      </w:r>
      <w:r w:rsidRPr="004118AE">
        <w:t>,</w:t>
      </w:r>
      <w:r w:rsidR="00BA6449" w:rsidRPr="004118AE">
        <w:t xml:space="preserve"> la base de données interne de l</w:t>
      </w:r>
      <w:r w:rsidR="00FF47D7" w:rsidRPr="004118AE">
        <w:t>’</w:t>
      </w:r>
      <w:r w:rsidR="00EE620E" w:rsidRPr="004118AE">
        <w:t>office</w:t>
      </w:r>
      <w:r w:rsidR="00E65CB6" w:rsidRPr="004118AE">
        <w:t xml:space="preserve">; </w:t>
      </w:r>
      <w:r w:rsidRPr="004118AE">
        <w:t xml:space="preserve"> et</w:t>
      </w:r>
    </w:p>
    <w:p w14:paraId="33D22226" w14:textId="709C7024" w:rsidR="001647E2" w:rsidRPr="004118AE" w:rsidRDefault="00CE44B3" w:rsidP="00DA07A9">
      <w:pPr>
        <w:pStyle w:val="ONUMFS"/>
        <w:numPr>
          <w:ilvl w:val="1"/>
          <w:numId w:val="33"/>
        </w:numPr>
      </w:pPr>
      <w:r w:rsidRPr="004118AE">
        <w:t xml:space="preserve">des </w:t>
      </w:r>
      <w:r w:rsidR="00722A70" w:rsidRPr="004118AE">
        <w:t>bases de données nationales sur les brevets</w:t>
      </w:r>
      <w:r w:rsidR="00211250" w:rsidRPr="004118AE">
        <w:t xml:space="preserve"> d</w:t>
      </w:r>
      <w:r w:rsidR="00FF47D7" w:rsidRPr="004118AE">
        <w:t>’</w:t>
      </w:r>
      <w:r w:rsidR="00211250" w:rsidRPr="004118AE">
        <w:t>autres offices de la propriété intellectuelle telles que l</w:t>
      </w:r>
      <w:r w:rsidR="00FF47D7" w:rsidRPr="004118AE">
        <w:t>’</w:t>
      </w:r>
      <w:r w:rsidR="00211250" w:rsidRPr="004118AE">
        <w:t>USPTO</w:t>
      </w:r>
      <w:r w:rsidR="00CB41DB" w:rsidRPr="004118AE">
        <w:t>, J</w:t>
      </w:r>
      <w:r w:rsidR="00BC3CD7">
        <w:noBreakHyphen/>
      </w:r>
      <w:r w:rsidR="00CB41DB" w:rsidRPr="004118AE">
        <w:t xml:space="preserve">PATPLAT, AUSPAT, </w:t>
      </w:r>
      <w:proofErr w:type="spellStart"/>
      <w:r w:rsidR="00CB41DB" w:rsidRPr="004118AE">
        <w:t>Espacenet</w:t>
      </w:r>
      <w:proofErr w:type="spellEnd"/>
      <w:r w:rsidR="00211250" w:rsidRPr="004118AE">
        <w:t xml:space="preserve"> </w:t>
      </w:r>
      <w:r w:rsidRPr="004118AE">
        <w:t>et AIPN (Réseau de propriété intellectuelle avancé)</w:t>
      </w:r>
      <w:r w:rsidR="00211250" w:rsidRPr="004118AE">
        <w:t>.</w:t>
      </w:r>
    </w:p>
    <w:p w14:paraId="1F74E62C" w14:textId="5BF63656" w:rsidR="001647E2" w:rsidRPr="004118AE" w:rsidRDefault="00CE44B3" w:rsidP="00DA07A9">
      <w:pPr>
        <w:pStyle w:val="ONUMFS"/>
      </w:pPr>
      <w:r w:rsidRPr="004118AE">
        <w:t xml:space="preserve">Tout en respectant </w:t>
      </w:r>
      <w:r w:rsidR="00207BD8" w:rsidRPr="004118AE">
        <w:t xml:space="preserve">déjà </w:t>
      </w:r>
      <w:r w:rsidRPr="004118AE">
        <w:t xml:space="preserve">les exigences en matière de documentation minimale, les </w:t>
      </w:r>
      <w:r w:rsidR="00B33ED9" w:rsidRPr="004118AE">
        <w:t>possibilités</w:t>
      </w:r>
      <w:r w:rsidRPr="004118AE">
        <w:t xml:space="preserve"> et la portée de la recherche de l</w:t>
      </w:r>
      <w:r w:rsidR="00FF47D7" w:rsidRPr="004118AE">
        <w:t>’</w:t>
      </w:r>
      <w:r w:rsidRPr="004118AE">
        <w:t xml:space="preserve">IPOPHL </w:t>
      </w:r>
      <w:r w:rsidR="00B33ED9" w:rsidRPr="004118AE">
        <w:t xml:space="preserve">vont bientôt être </w:t>
      </w:r>
      <w:r w:rsidRPr="004118AE">
        <w:t>améliorées grâce à l</w:t>
      </w:r>
      <w:r w:rsidR="00FF47D7" w:rsidRPr="004118AE">
        <w:t>’</w:t>
      </w:r>
      <w:r w:rsidRPr="004118AE">
        <w:t xml:space="preserve">accès </w:t>
      </w:r>
      <w:r w:rsidR="00B33ED9" w:rsidRPr="004118AE">
        <w:t>à S</w:t>
      </w:r>
      <w:r w:rsidRPr="004118AE">
        <w:t xml:space="preserve">TN et à </w:t>
      </w:r>
      <w:r w:rsidR="00B33ED9" w:rsidRPr="004118AE">
        <w:t>I</w:t>
      </w:r>
      <w:r w:rsidRPr="004118AE">
        <w:t>EEE</w:t>
      </w:r>
      <w:r w:rsidR="00B33ED9" w:rsidRPr="004118AE">
        <w:t>.</w:t>
      </w:r>
      <w:r w:rsidRPr="004118AE">
        <w:t xml:space="preserve"> </w:t>
      </w:r>
      <w:r w:rsidR="00E65CB6" w:rsidRPr="004118AE">
        <w:t xml:space="preserve"> </w:t>
      </w:r>
      <w:r w:rsidR="00B33ED9" w:rsidRPr="004118AE">
        <w:t>L</w:t>
      </w:r>
      <w:r w:rsidR="00FF47D7" w:rsidRPr="004118AE">
        <w:t>’</w:t>
      </w:r>
      <w:r w:rsidR="00EE620E" w:rsidRPr="004118AE">
        <w:t>office</w:t>
      </w:r>
      <w:r w:rsidR="00B33ED9" w:rsidRPr="004118AE">
        <w:t xml:space="preserve"> est actuellement en discussion pour obtenir </w:t>
      </w:r>
      <w:r w:rsidRPr="004118AE">
        <w:t>l</w:t>
      </w:r>
      <w:r w:rsidR="00FF47D7" w:rsidRPr="004118AE">
        <w:t>’</w:t>
      </w:r>
      <w:r w:rsidRPr="004118AE">
        <w:t xml:space="preserve">accès à </w:t>
      </w:r>
      <w:proofErr w:type="spellStart"/>
      <w:r w:rsidRPr="004118AE">
        <w:t>EPOQUENet</w:t>
      </w:r>
      <w:proofErr w:type="spellEnd"/>
      <w:r w:rsidRPr="004118AE">
        <w:t>.</w:t>
      </w:r>
    </w:p>
    <w:p w14:paraId="62AEDBB5" w14:textId="024E27E5" w:rsidR="001647E2" w:rsidRDefault="00F7655C" w:rsidP="00DA07A9">
      <w:pPr>
        <w:pStyle w:val="Heading3"/>
      </w:pPr>
      <w:r w:rsidRPr="004118AE">
        <w:t>Système informatique</w:t>
      </w:r>
    </w:p>
    <w:p w14:paraId="15EDC76F" w14:textId="77777777" w:rsidR="005F698D" w:rsidRPr="005F698D" w:rsidRDefault="005F698D" w:rsidP="00DA07A9"/>
    <w:p w14:paraId="692F91A8" w14:textId="1E1C890A" w:rsidR="00110FEA" w:rsidRPr="004118AE" w:rsidRDefault="00A347B6" w:rsidP="00DA07A9">
      <w:pPr>
        <w:pStyle w:val="ONUMFS"/>
      </w:pPr>
      <w:r w:rsidRPr="004118AE">
        <w:t>L</w:t>
      </w:r>
      <w:r w:rsidR="00FF47D7" w:rsidRPr="004118AE">
        <w:t>’</w:t>
      </w:r>
      <w:r w:rsidRPr="004118AE">
        <w:t>IPOPHL utilise le système IPAS de l</w:t>
      </w:r>
      <w:r w:rsidR="00FF47D7" w:rsidRPr="004118AE">
        <w:t>’</w:t>
      </w:r>
      <w:r w:rsidRPr="004118AE">
        <w:t xml:space="preserve">OMPI spécialement configuré pour les flux de travail de cet </w:t>
      </w:r>
      <w:r w:rsidR="00EE620E" w:rsidRPr="004118AE">
        <w:t>office</w:t>
      </w:r>
      <w:r w:rsidRPr="004118AE">
        <w:t>.</w:t>
      </w:r>
      <w:r w:rsidR="00381D9C" w:rsidRPr="004118AE">
        <w:t xml:space="preserve">  </w:t>
      </w:r>
      <w:r w:rsidR="00B04EB3" w:rsidRPr="004118AE">
        <w:t>IPAS s</w:t>
      </w:r>
      <w:r w:rsidR="00FF47D7" w:rsidRPr="004118AE">
        <w:t>’</w:t>
      </w:r>
      <w:r w:rsidR="00B04EB3" w:rsidRPr="004118AE">
        <w:t>intègre à d</w:t>
      </w:r>
      <w:r w:rsidR="00FF47D7" w:rsidRPr="004118AE">
        <w:t>’</w:t>
      </w:r>
      <w:r w:rsidR="00B04EB3" w:rsidRPr="004118AE">
        <w:t xml:space="preserve">autres systèmes développés en interne, </w:t>
      </w:r>
      <w:r w:rsidR="00207BD8" w:rsidRPr="004118AE">
        <w:t>notamment</w:t>
      </w:r>
      <w:r w:rsidR="00B04EB3" w:rsidRPr="004118AE">
        <w:t xml:space="preserve"> les systèmes de dépôt et de paiement en ligne, et permet un traitement de bout en bout </w:t>
      </w:r>
      <w:r w:rsidR="00582A3D" w:rsidRPr="004118AE">
        <w:t xml:space="preserve">des demandes relatives aux </w:t>
      </w:r>
      <w:r w:rsidR="00B04EB3" w:rsidRPr="004118AE">
        <w:t>invention</w:t>
      </w:r>
      <w:r w:rsidR="00582A3D" w:rsidRPr="004118AE">
        <w:t>s</w:t>
      </w:r>
      <w:r w:rsidR="00B04EB3" w:rsidRPr="004118AE">
        <w:t xml:space="preserve">, </w:t>
      </w:r>
      <w:r w:rsidR="00582A3D" w:rsidRPr="004118AE">
        <w:t>aux</w:t>
      </w:r>
      <w:r w:rsidR="00B04EB3" w:rsidRPr="004118AE">
        <w:t xml:space="preserve"> dessins et modèles industriels, </w:t>
      </w:r>
      <w:r w:rsidR="00582A3D" w:rsidRPr="004118AE">
        <w:t xml:space="preserve">aux </w:t>
      </w:r>
      <w:r w:rsidR="00B04EB3" w:rsidRPr="004118AE">
        <w:t>modèle</w:t>
      </w:r>
      <w:r w:rsidR="00582A3D" w:rsidRPr="004118AE">
        <w:t>s d</w:t>
      </w:r>
      <w:r w:rsidR="00FF47D7" w:rsidRPr="004118AE">
        <w:t>’</w:t>
      </w:r>
      <w:r w:rsidR="00582A3D" w:rsidRPr="004118AE">
        <w:t xml:space="preserve">utilité et aux </w:t>
      </w:r>
      <w:r w:rsidR="00B04EB3" w:rsidRPr="004118AE">
        <w:t>d</w:t>
      </w:r>
      <w:r w:rsidR="00FF47D7" w:rsidRPr="004118AE">
        <w:t>’</w:t>
      </w:r>
      <w:r w:rsidR="00B04EB3" w:rsidRPr="004118AE">
        <w:t>enregistrement de marques.</w:t>
      </w:r>
    </w:p>
    <w:p w14:paraId="077865BD" w14:textId="2DBCC86A" w:rsidR="005F3FE3" w:rsidRPr="004118AE" w:rsidRDefault="00381D9C" w:rsidP="00DA07A9">
      <w:pPr>
        <w:pStyle w:val="ONUMFS"/>
      </w:pPr>
      <w:r w:rsidRPr="004118AE">
        <w:t xml:space="preserve">Le système IPAS </w:t>
      </w:r>
      <w:r w:rsidR="00625FEF" w:rsidRPr="004118AE">
        <w:t>comprend</w:t>
      </w:r>
      <w:r w:rsidRPr="004118AE">
        <w:t xml:space="preserve"> un certain nombre de modules qui jouent un rôle central dans </w:t>
      </w:r>
      <w:r w:rsidR="00625FEF" w:rsidRPr="004118AE">
        <w:t xml:space="preserve">les </w:t>
      </w:r>
      <w:r w:rsidRPr="004118AE">
        <w:t>différentes facettes de la procédure de recherche et d</w:t>
      </w:r>
      <w:r w:rsidR="00FF47D7" w:rsidRPr="004118AE">
        <w:t>’</w:t>
      </w:r>
      <w:r w:rsidRPr="004118AE">
        <w:t>examen</w:t>
      </w:r>
      <w:r w:rsidR="00FF47D7" w:rsidRPr="004118AE">
        <w:t> :</w:t>
      </w:r>
      <w:r w:rsidRPr="004118AE">
        <w:t xml:space="preserve"> 1) l</w:t>
      </w:r>
      <w:r w:rsidR="006B78EA" w:rsidRPr="004118AE">
        <w:t xml:space="preserve">e module </w:t>
      </w:r>
      <w:r w:rsidR="00E65CB6" w:rsidRPr="004118AE">
        <w:t>“</w:t>
      </w:r>
      <w:r w:rsidRPr="004118AE">
        <w:t>liste de tâches</w:t>
      </w:r>
      <w:r w:rsidR="00E65CB6" w:rsidRPr="004118AE">
        <w:t>”</w:t>
      </w:r>
      <w:r w:rsidR="00FF47D7" w:rsidRPr="004118AE">
        <w:t> :</w:t>
      </w:r>
      <w:r w:rsidRPr="004118AE">
        <w:t xml:space="preserve"> </w:t>
      </w:r>
      <w:r w:rsidR="006B78EA" w:rsidRPr="004118AE">
        <w:t xml:space="preserve">il </w:t>
      </w:r>
      <w:r w:rsidRPr="004118AE">
        <w:t>suit chaque étape d</w:t>
      </w:r>
      <w:r w:rsidR="006B78EA" w:rsidRPr="004118AE">
        <w:t>e la procédure</w:t>
      </w:r>
      <w:r w:rsidRPr="004118AE">
        <w:t xml:space="preserve"> d</w:t>
      </w:r>
      <w:r w:rsidR="00FF47D7" w:rsidRPr="004118AE">
        <w:t>’</w:t>
      </w:r>
      <w:r w:rsidRPr="004118AE">
        <w:t xml:space="preserve">examen et </w:t>
      </w:r>
      <w:r w:rsidR="006B78EA" w:rsidRPr="004118AE">
        <w:t xml:space="preserve">renseigne </w:t>
      </w:r>
      <w:r w:rsidRPr="004118AE">
        <w:t>en temp</w:t>
      </w:r>
      <w:r w:rsidR="006B78EA" w:rsidRPr="004118AE">
        <w:t xml:space="preserve">s réel sur la situation juridique </w:t>
      </w:r>
      <w:r w:rsidRPr="004118AE">
        <w:t>de</w:t>
      </w:r>
      <w:r w:rsidR="006B78EA" w:rsidRPr="004118AE">
        <w:t>s</w:t>
      </w:r>
      <w:r w:rsidRPr="004118AE">
        <w:t xml:space="preserve"> </w:t>
      </w:r>
      <w:r w:rsidR="006B78EA" w:rsidRPr="004118AE">
        <w:t>demandes</w:t>
      </w:r>
      <w:r w:rsidR="00E65CB6" w:rsidRPr="004118AE">
        <w:t xml:space="preserve">; </w:t>
      </w:r>
      <w:r w:rsidR="009C62BD" w:rsidRPr="004118AE">
        <w:t xml:space="preserve"> 2) </w:t>
      </w:r>
      <w:r w:rsidR="00A7760F" w:rsidRPr="004118AE">
        <w:t>le m</w:t>
      </w:r>
      <w:r w:rsidR="009C62BD" w:rsidRPr="004118AE">
        <w:t xml:space="preserve">odule </w:t>
      </w:r>
      <w:r w:rsidR="00E65CB6" w:rsidRPr="004118AE">
        <w:t>“</w:t>
      </w:r>
      <w:r w:rsidR="009C62BD" w:rsidRPr="004118AE">
        <w:t>flux de travail</w:t>
      </w:r>
      <w:r w:rsidR="00E65CB6" w:rsidRPr="004118AE">
        <w:t>”</w:t>
      </w:r>
      <w:r w:rsidR="00FF47D7" w:rsidRPr="004118AE">
        <w:t> :</w:t>
      </w:r>
      <w:r w:rsidR="009C62BD" w:rsidRPr="004118AE">
        <w:t xml:space="preserve"> il </w:t>
      </w:r>
      <w:r w:rsidR="00A7760F" w:rsidRPr="004118AE">
        <w:t xml:space="preserve">fait office </w:t>
      </w:r>
      <w:r w:rsidR="009C62BD" w:rsidRPr="004118AE">
        <w:t>d</w:t>
      </w:r>
      <w:r w:rsidR="00A7760F" w:rsidRPr="004118AE">
        <w:t xml:space="preserve">e dossier de stockage pour les </w:t>
      </w:r>
      <w:r w:rsidR="009C62BD" w:rsidRPr="004118AE">
        <w:t xml:space="preserve">fichiers électroniques </w:t>
      </w:r>
      <w:r w:rsidR="001B52D5" w:rsidRPr="004118AE">
        <w:t xml:space="preserve">et affiche </w:t>
      </w:r>
      <w:r w:rsidR="00A7760F" w:rsidRPr="004118AE">
        <w:t xml:space="preserve">les </w:t>
      </w:r>
      <w:r w:rsidR="009C62BD" w:rsidRPr="004118AE">
        <w:t>informations instantanées sur les transactions liées à une demande</w:t>
      </w:r>
      <w:r w:rsidR="00E65CB6" w:rsidRPr="004118AE">
        <w:t xml:space="preserve">; </w:t>
      </w:r>
      <w:r w:rsidR="00AE09E2" w:rsidRPr="004118AE">
        <w:t xml:space="preserve"> 3) le m</w:t>
      </w:r>
      <w:r w:rsidR="00F35888" w:rsidRPr="004118AE">
        <w:t xml:space="preserve">odule </w:t>
      </w:r>
      <w:r w:rsidR="00E65CB6" w:rsidRPr="004118AE">
        <w:t>“</w:t>
      </w:r>
      <w:r w:rsidR="00D6718D" w:rsidRPr="004118AE">
        <w:t>notifications d</w:t>
      </w:r>
      <w:r w:rsidR="00FF47D7" w:rsidRPr="004118AE">
        <w:t>’</w:t>
      </w:r>
      <w:r w:rsidR="00D6718D" w:rsidRPr="004118AE">
        <w:t>intervention</w:t>
      </w:r>
      <w:r w:rsidR="00E65CB6" w:rsidRPr="004118AE">
        <w:t>”</w:t>
      </w:r>
      <w:r w:rsidR="00FF47D7" w:rsidRPr="004118AE">
        <w:t> :</w:t>
      </w:r>
      <w:r w:rsidR="00AE09E2" w:rsidRPr="004118AE">
        <w:t xml:space="preserve"> </w:t>
      </w:r>
      <w:r w:rsidR="00D6718D" w:rsidRPr="004118AE">
        <w:t xml:space="preserve">il accompagne les </w:t>
      </w:r>
      <w:r w:rsidR="00AE09E2" w:rsidRPr="004118AE">
        <w:t xml:space="preserve">examinateurs </w:t>
      </w:r>
      <w:r w:rsidR="00D6718D" w:rsidRPr="004118AE">
        <w:t xml:space="preserve">dans la rédaction </w:t>
      </w:r>
      <w:r w:rsidR="00AE09E2" w:rsidRPr="004118AE">
        <w:t>des rapports d</w:t>
      </w:r>
      <w:r w:rsidR="00FF47D7" w:rsidRPr="004118AE">
        <w:t>’</w:t>
      </w:r>
      <w:r w:rsidR="00AE09E2" w:rsidRPr="004118AE">
        <w:t>examen en fournissant des modèles d</w:t>
      </w:r>
      <w:r w:rsidR="00FF47D7" w:rsidRPr="004118AE">
        <w:t>’</w:t>
      </w:r>
      <w:r w:rsidR="004A360A" w:rsidRPr="004118AE">
        <w:t xml:space="preserve">intervention </w:t>
      </w:r>
      <w:r w:rsidR="00AE09E2" w:rsidRPr="004118AE">
        <w:t>normalisés ainsi qu</w:t>
      </w:r>
      <w:r w:rsidR="00D6718D" w:rsidRPr="004118AE">
        <w:t xml:space="preserve">e des </w:t>
      </w:r>
      <w:r w:rsidR="00AE09E2" w:rsidRPr="004118AE">
        <w:t>indication</w:t>
      </w:r>
      <w:r w:rsidR="00D6718D" w:rsidRPr="004118AE">
        <w:t>s</w:t>
      </w:r>
      <w:r w:rsidR="00AE09E2" w:rsidRPr="004118AE">
        <w:t xml:space="preserve"> sur la prochaine </w:t>
      </w:r>
      <w:r w:rsidR="004A360A" w:rsidRPr="004118AE">
        <w:t>intervention à réaliser</w:t>
      </w:r>
      <w:r w:rsidR="00E65CB6" w:rsidRPr="004118AE">
        <w:t xml:space="preserve">; </w:t>
      </w:r>
      <w:r w:rsidR="00DF7EA8" w:rsidRPr="004118AE">
        <w:t xml:space="preserve"> 4) le module </w:t>
      </w:r>
      <w:r w:rsidR="00E65CB6" w:rsidRPr="004118AE">
        <w:t>“</w:t>
      </w:r>
      <w:r w:rsidR="009D24EE" w:rsidRPr="004118AE">
        <w:t>recherche</w:t>
      </w:r>
      <w:r w:rsidR="00E65CB6" w:rsidRPr="004118AE">
        <w:t>”</w:t>
      </w:r>
      <w:r w:rsidR="00FF47D7" w:rsidRPr="004118AE">
        <w:t> :</w:t>
      </w:r>
      <w:r w:rsidR="009D24EE" w:rsidRPr="004118AE">
        <w:t xml:space="preserve"> il donne </w:t>
      </w:r>
      <w:r w:rsidR="00DF7EA8" w:rsidRPr="004118AE">
        <w:t xml:space="preserve">aux examinateurs </w:t>
      </w:r>
      <w:r w:rsidR="009D24EE" w:rsidRPr="004118AE">
        <w:t xml:space="preserve">accès </w:t>
      </w:r>
      <w:r w:rsidR="00DF7EA8" w:rsidRPr="004118AE">
        <w:t>aux demandes d</w:t>
      </w:r>
      <w:r w:rsidR="00FF47D7" w:rsidRPr="004118AE">
        <w:t>’</w:t>
      </w:r>
      <w:r w:rsidR="00DF7EA8" w:rsidRPr="004118AE">
        <w:t>identification, de messagerie unifiée et de brevets publiées et non publiées qui sont déposées localement</w:t>
      </w:r>
      <w:r w:rsidR="00E65CB6" w:rsidRPr="004118AE">
        <w:t xml:space="preserve">; </w:t>
      </w:r>
      <w:r w:rsidR="00625FEF" w:rsidRPr="004118AE">
        <w:t xml:space="preserve"> et, </w:t>
      </w:r>
      <w:r w:rsidR="00656F69" w:rsidRPr="004118AE">
        <w:t xml:space="preserve">5) </w:t>
      </w:r>
      <w:r w:rsidR="00625FEF" w:rsidRPr="004118AE">
        <w:t xml:space="preserve">le </w:t>
      </w:r>
      <w:r w:rsidR="00AB75C2" w:rsidRPr="004118AE">
        <w:t>s</w:t>
      </w:r>
      <w:r w:rsidR="00625FEF" w:rsidRPr="004118AE">
        <w:t>ystème de gestion électronique des documents</w:t>
      </w:r>
      <w:r w:rsidR="00FF47D7" w:rsidRPr="004118AE">
        <w:t> :</w:t>
      </w:r>
      <w:r w:rsidR="00625FEF" w:rsidRPr="004118AE">
        <w:t xml:space="preserve"> il donne accès à des copies électroniques de </w:t>
      </w:r>
      <w:r w:rsidR="00656F69" w:rsidRPr="004118AE">
        <w:t xml:space="preserve">documents </w:t>
      </w:r>
      <w:r w:rsidR="00A44935" w:rsidRPr="004118AE">
        <w:t xml:space="preserve">soumis </w:t>
      </w:r>
      <w:r w:rsidR="00625FEF" w:rsidRPr="004118AE">
        <w:t xml:space="preserve">par le </w:t>
      </w:r>
      <w:r w:rsidR="00A44935" w:rsidRPr="004118AE">
        <w:t>déposant</w:t>
      </w:r>
      <w:r w:rsidR="00625FEF" w:rsidRPr="004118AE">
        <w:t>.</w:t>
      </w:r>
    </w:p>
    <w:p w14:paraId="04AF10FE" w14:textId="28EF72B2" w:rsidR="00110FEA" w:rsidRPr="004118AE" w:rsidRDefault="00FE3A28" w:rsidP="00DA07A9">
      <w:pPr>
        <w:pStyle w:val="ONUMFS"/>
      </w:pPr>
      <w:r w:rsidRPr="004118AE">
        <w:t>L</w:t>
      </w:r>
      <w:r w:rsidR="00FF47D7" w:rsidRPr="004118AE">
        <w:t>’</w:t>
      </w:r>
      <w:r w:rsidR="00692777" w:rsidRPr="004118AE">
        <w:t>IPOPHL travail</w:t>
      </w:r>
      <w:r w:rsidR="00C16B9D" w:rsidRPr="004118AE">
        <w:t xml:space="preserve">le actuellement à optimiser les processus opérationnels </w:t>
      </w:r>
      <w:r w:rsidR="00692777" w:rsidRPr="004118AE">
        <w:t>et à améliorer l</w:t>
      </w:r>
      <w:r w:rsidR="00FF47D7" w:rsidRPr="004118AE">
        <w:t>’</w:t>
      </w:r>
      <w:r w:rsidR="00692777" w:rsidRPr="004118AE">
        <w:t xml:space="preserve">efficacité </w:t>
      </w:r>
      <w:r w:rsidR="00C16B9D" w:rsidRPr="004118AE">
        <w:t>particulièrement dans le domaine</w:t>
      </w:r>
      <w:r w:rsidR="00692777" w:rsidRPr="004118AE">
        <w:t xml:space="preserve"> </w:t>
      </w:r>
      <w:r w:rsidR="00C16B9D" w:rsidRPr="004118AE">
        <w:t>primor</w:t>
      </w:r>
      <w:r w:rsidR="003C2260" w:rsidRPr="004118AE">
        <w:t>dial</w:t>
      </w:r>
      <w:r w:rsidR="00C16B9D" w:rsidRPr="004118AE">
        <w:t xml:space="preserve"> de la procédure</w:t>
      </w:r>
      <w:r w:rsidR="00692777" w:rsidRPr="004118AE">
        <w:t xml:space="preserve"> de recherche et d</w:t>
      </w:r>
      <w:r w:rsidR="00FF47D7" w:rsidRPr="004118AE">
        <w:t>’</w:t>
      </w:r>
      <w:r w:rsidR="00692777" w:rsidRPr="004118AE">
        <w:t xml:space="preserve">examen, </w:t>
      </w:r>
      <w:r w:rsidR="00C16B9D" w:rsidRPr="004118AE">
        <w:t xml:space="preserve">notamment </w:t>
      </w:r>
      <w:r w:rsidR="00692777" w:rsidRPr="004118AE">
        <w:t xml:space="preserve">les </w:t>
      </w:r>
      <w:r w:rsidR="00E65CB6" w:rsidRPr="004118AE">
        <w:t>plateformes</w:t>
      </w:r>
      <w:r w:rsidR="00692777" w:rsidRPr="004118AE">
        <w:t xml:space="preserve"> pour la correspondance en ligne, l</w:t>
      </w:r>
      <w:r w:rsidR="00C16B9D" w:rsidRPr="004118AE">
        <w:t>e contrôle d</w:t>
      </w:r>
      <w:r w:rsidR="00692777" w:rsidRPr="004118AE">
        <w:t>e la qualité, la notification en temps réel et la recherche de brevets.</w:t>
      </w:r>
    </w:p>
    <w:p w14:paraId="4B2B8F1A" w14:textId="2131EBFB" w:rsidR="00110FEA" w:rsidRPr="004118AE" w:rsidRDefault="003C2260" w:rsidP="00DA07A9">
      <w:pPr>
        <w:pStyle w:val="ONUMFS"/>
      </w:pPr>
      <w:r w:rsidRPr="004118AE">
        <w:t>En ce qui concerne l</w:t>
      </w:r>
      <w:r w:rsidR="00FF47D7" w:rsidRPr="004118AE">
        <w:t>’</w:t>
      </w:r>
      <w:r w:rsidRPr="004118AE">
        <w:t>infrastructure réseau, l</w:t>
      </w:r>
      <w:r w:rsidR="00FF47D7" w:rsidRPr="004118AE">
        <w:t>’</w:t>
      </w:r>
      <w:r w:rsidRPr="004118AE">
        <w:t>IPOPHL a mis en place une solution de sécurité complète et intégrée</w:t>
      </w:r>
      <w:r w:rsidR="001359B5" w:rsidRPr="004118AE">
        <w:t xml:space="preserve">, </w:t>
      </w:r>
      <w:r w:rsidR="00E93146" w:rsidRPr="004118AE">
        <w:t>avec en premier lieu le recours à</w:t>
      </w:r>
      <w:r w:rsidRPr="004118AE">
        <w:t xml:space="preserve"> un </w:t>
      </w:r>
      <w:r w:rsidR="001359B5" w:rsidRPr="004118AE">
        <w:t xml:space="preserve">dispositif </w:t>
      </w:r>
      <w:r w:rsidR="00E93146" w:rsidRPr="004118AE">
        <w:t>de pare</w:t>
      </w:r>
      <w:r w:rsidR="00BC3CD7">
        <w:noBreakHyphen/>
      </w:r>
      <w:r w:rsidR="00E93146" w:rsidRPr="004118AE">
        <w:t>feu</w:t>
      </w:r>
      <w:r w:rsidRPr="004118AE">
        <w:t xml:space="preserve"> </w:t>
      </w:r>
      <w:r w:rsidR="001359B5" w:rsidRPr="004118AE">
        <w:t xml:space="preserve">couplé à </w:t>
      </w:r>
      <w:r w:rsidRPr="004118AE">
        <w:t xml:space="preserve">un système </w:t>
      </w:r>
      <w:r w:rsidR="001359B5" w:rsidRPr="004118AE">
        <w:t>de prévention des intrusions pour se protéger contre les virus, les robots, et les spams</w:t>
      </w:r>
      <w:r w:rsidR="00E93146" w:rsidRPr="004118AE">
        <w:t xml:space="preserve">. </w:t>
      </w:r>
      <w:r w:rsidR="00E65CB6" w:rsidRPr="004118AE">
        <w:t xml:space="preserve"> </w:t>
      </w:r>
      <w:r w:rsidR="00E93146" w:rsidRPr="004118AE">
        <w:t>L</w:t>
      </w:r>
      <w:r w:rsidR="00FF47D7" w:rsidRPr="004118AE">
        <w:t>’</w:t>
      </w:r>
      <w:r w:rsidR="00E93146" w:rsidRPr="004118AE">
        <w:t xml:space="preserve">IPOPHL a </w:t>
      </w:r>
      <w:r w:rsidR="003C6BB6" w:rsidRPr="004118AE">
        <w:t xml:space="preserve">aussi installé </w:t>
      </w:r>
      <w:r w:rsidR="001359B5" w:rsidRPr="004118AE">
        <w:t xml:space="preserve">un </w:t>
      </w:r>
      <w:r w:rsidRPr="004118AE">
        <w:t xml:space="preserve">réseau privé virtuel </w:t>
      </w:r>
      <w:r w:rsidR="00E93146" w:rsidRPr="004118AE">
        <w:t xml:space="preserve">sous protocole de sécurité </w:t>
      </w:r>
      <w:proofErr w:type="spellStart"/>
      <w:r w:rsidR="003C6BB6" w:rsidRPr="004118AE">
        <w:t>IPSec</w:t>
      </w:r>
      <w:proofErr w:type="spellEnd"/>
      <w:r w:rsidR="003C6BB6" w:rsidRPr="004118AE">
        <w:t xml:space="preserve"> afin de garantir une connexion de site à site sécuris</w:t>
      </w:r>
      <w:r w:rsidR="006A33AF" w:rsidRPr="004118AE">
        <w:t>ée.  Le</w:t>
      </w:r>
      <w:r w:rsidR="002865A5" w:rsidRPr="004118AE">
        <w:t xml:space="preserve"> commutateur principal du réseau est alimenté par deux</w:t>
      </w:r>
      <w:r w:rsidR="00E65CB6" w:rsidRPr="004118AE">
        <w:t> </w:t>
      </w:r>
      <w:r w:rsidR="002865A5" w:rsidRPr="004118AE">
        <w:t>nœuds Internet actifs avec une bande passante suffisante pour desservir l</w:t>
      </w:r>
      <w:r w:rsidR="00FF47D7" w:rsidRPr="004118AE">
        <w:t>’</w:t>
      </w:r>
      <w:r w:rsidR="002865A5" w:rsidRPr="004118AE">
        <w:t>ensemble du réseau et une</w:t>
      </w:r>
      <w:r w:rsidR="00DC2896" w:rsidRPr="004118AE">
        <w:t xml:space="preserve"> fonction de basculement </w:t>
      </w:r>
      <w:r w:rsidR="002865A5" w:rsidRPr="004118AE">
        <w:t>en cas</w:t>
      </w:r>
      <w:r w:rsidR="00DC2896" w:rsidRPr="004118AE">
        <w:t xml:space="preserve"> de défaillance </w:t>
      </w:r>
      <w:r w:rsidR="002865A5" w:rsidRPr="004118AE">
        <w:t>de l</w:t>
      </w:r>
      <w:r w:rsidR="00FF47D7" w:rsidRPr="004118AE">
        <w:t>’</w:t>
      </w:r>
      <w:r w:rsidR="002865A5" w:rsidRPr="004118AE">
        <w:t xml:space="preserve">un des </w:t>
      </w:r>
      <w:r w:rsidR="00DC2896" w:rsidRPr="004118AE">
        <w:t>nœu</w:t>
      </w:r>
      <w:r w:rsidR="006A33AF" w:rsidRPr="004118AE">
        <w:t xml:space="preserve">ds.  </w:t>
      </w:r>
      <w:r w:rsidR="006A33AF" w:rsidRPr="004118AE">
        <w:lastRenderedPageBreak/>
        <w:t>La</w:t>
      </w:r>
      <w:r w:rsidR="00073B31" w:rsidRPr="004118AE">
        <w:t xml:space="preserve"> </w:t>
      </w:r>
      <w:r w:rsidR="001C7A5E" w:rsidRPr="004118AE">
        <w:t xml:space="preserve">mise en place de serveurs virtuels permet </w:t>
      </w:r>
      <w:r w:rsidR="00073B31" w:rsidRPr="004118AE">
        <w:t>un</w:t>
      </w:r>
      <w:r w:rsidR="00211088" w:rsidRPr="004118AE">
        <w:t>e mise en œuvre</w:t>
      </w:r>
      <w:r w:rsidR="00073B31" w:rsidRPr="004118AE">
        <w:t xml:space="preserve"> et un déploiement plus rapide</w:t>
      </w:r>
      <w:r w:rsidR="004F37D1" w:rsidRPr="004118AE">
        <w:t>s</w:t>
      </w:r>
      <w:r w:rsidR="00073B31" w:rsidRPr="004118AE">
        <w:t xml:space="preserve"> des systèmes </w:t>
      </w:r>
      <w:r w:rsidR="001C7A5E" w:rsidRPr="004118AE">
        <w:t>de dépôt de demandes</w:t>
      </w:r>
      <w:r w:rsidR="00073B31" w:rsidRPr="004118AE">
        <w:t xml:space="preserve"> tout en assurant une disponibilité et un temps de </w:t>
      </w:r>
      <w:r w:rsidR="004F37D1" w:rsidRPr="004118AE">
        <w:t xml:space="preserve">bon fonctionnement </w:t>
      </w:r>
      <w:r w:rsidR="00073B31" w:rsidRPr="004118AE">
        <w:t>plus élevés.</w:t>
      </w:r>
      <w:r w:rsidR="001647E2" w:rsidRPr="004118AE">
        <w:t xml:space="preserve">  </w:t>
      </w:r>
      <w:r w:rsidR="00033251" w:rsidRPr="004118AE">
        <w:t>L</w:t>
      </w:r>
      <w:r w:rsidR="00FF47D7" w:rsidRPr="004118AE">
        <w:t>’</w:t>
      </w:r>
      <w:r w:rsidR="00EE620E" w:rsidRPr="004118AE">
        <w:t>office</w:t>
      </w:r>
      <w:r w:rsidR="00033251" w:rsidRPr="004118AE">
        <w:t xml:space="preserve"> a recours à des services de sauvegarde de données dans un espace dématérialisé (Cloud), et des procédures de sauvegarde et de test de données sont effectuées régulièrement.</w:t>
      </w:r>
    </w:p>
    <w:p w14:paraId="611DC670" w14:textId="4D78C949" w:rsidR="001647E2" w:rsidRDefault="00A36BF7" w:rsidP="00DA07A9">
      <w:pPr>
        <w:pStyle w:val="Heading3"/>
      </w:pPr>
      <w:r w:rsidRPr="004118AE">
        <w:t>Système de gestion de la qualité</w:t>
      </w:r>
    </w:p>
    <w:p w14:paraId="5E08B3D5" w14:textId="77777777" w:rsidR="005F698D" w:rsidRPr="005F698D" w:rsidRDefault="005F698D" w:rsidP="00DA07A9"/>
    <w:p w14:paraId="4E52A967" w14:textId="066585F9" w:rsidR="001647E2" w:rsidRPr="004118AE" w:rsidRDefault="0004460F" w:rsidP="00DA07A9">
      <w:pPr>
        <w:pStyle w:val="ONUMFS"/>
      </w:pPr>
      <w:r w:rsidRPr="004118AE">
        <w:t>L</w:t>
      </w:r>
      <w:r w:rsidR="00FF47D7" w:rsidRPr="004118AE">
        <w:t>’</w:t>
      </w:r>
      <w:r w:rsidRPr="004118AE">
        <w:t xml:space="preserve">IPOPHL </w:t>
      </w:r>
      <w:r w:rsidR="00E57978" w:rsidRPr="004118AE">
        <w:t>s</w:t>
      </w:r>
      <w:r w:rsidR="00FF47D7" w:rsidRPr="004118AE">
        <w:t>’</w:t>
      </w:r>
      <w:r w:rsidR="00E57978" w:rsidRPr="004118AE">
        <w:t xml:space="preserve">est engagé </w:t>
      </w:r>
      <w:r w:rsidRPr="004118AE">
        <w:t>à améliorer continuellement la qualité de son travail et l</w:t>
      </w:r>
      <w:r w:rsidR="00FF47D7" w:rsidRPr="004118AE">
        <w:t>’</w:t>
      </w:r>
      <w:r w:rsidRPr="004118AE">
        <w:t>efficacité de ses processus opérationnels afin d</w:t>
      </w:r>
      <w:r w:rsidR="00FF47D7" w:rsidRPr="004118AE">
        <w:t>’</w:t>
      </w:r>
      <w:r w:rsidRPr="004118AE">
        <w:t xml:space="preserve">assurer que les </w:t>
      </w:r>
      <w:r w:rsidR="00411721" w:rsidRPr="004118AE">
        <w:t xml:space="preserve">résultats </w:t>
      </w:r>
      <w:r w:rsidRPr="004118AE">
        <w:t xml:space="preserve">et les </w:t>
      </w:r>
      <w:r w:rsidR="00411721" w:rsidRPr="004118AE">
        <w:t>activités</w:t>
      </w:r>
      <w:r w:rsidRPr="004118AE">
        <w:t xml:space="preserve"> sont </w:t>
      </w:r>
      <w:r w:rsidR="00411721" w:rsidRPr="004118AE">
        <w:t xml:space="preserve">à la hauteur de </w:t>
      </w:r>
      <w:r w:rsidRPr="004118AE">
        <w:t>ceu</w:t>
      </w:r>
      <w:r w:rsidR="00E57978" w:rsidRPr="004118AE">
        <w:t xml:space="preserve">x des autres offices de </w:t>
      </w:r>
      <w:r w:rsidRPr="004118AE">
        <w:t>propriété intellectuelle.</w:t>
      </w:r>
    </w:p>
    <w:p w14:paraId="5439B1C7" w14:textId="391B2278" w:rsidR="001647E2" w:rsidRPr="004118AE" w:rsidRDefault="00411721" w:rsidP="00DA07A9">
      <w:pPr>
        <w:pStyle w:val="ONUMFS"/>
      </w:pPr>
      <w:r w:rsidRPr="004118AE">
        <w:t>Il existe trois</w:t>
      </w:r>
      <w:r w:rsidR="00E65CB6" w:rsidRPr="004118AE">
        <w:t> </w:t>
      </w:r>
      <w:r w:rsidRPr="004118AE">
        <w:t>types de mécanismes de contrôle de la qualité</w:t>
      </w:r>
      <w:r w:rsidR="00FF47D7" w:rsidRPr="004118AE">
        <w:t> :</w:t>
      </w:r>
      <w:r w:rsidRPr="004118AE">
        <w:t xml:space="preserve"> a)</w:t>
      </w:r>
      <w:r w:rsidR="00E65CB6" w:rsidRPr="004118AE">
        <w:t> </w:t>
      </w:r>
      <w:r w:rsidRPr="004118AE">
        <w:t>en cours de traitement</w:t>
      </w:r>
      <w:r w:rsidR="00E65CB6" w:rsidRPr="004118AE">
        <w:t xml:space="preserve">; </w:t>
      </w:r>
      <w:r w:rsidRPr="004118AE">
        <w:t xml:space="preserve"> b)</w:t>
      </w:r>
      <w:r w:rsidR="00E65CB6" w:rsidRPr="004118AE">
        <w:t> </w:t>
      </w:r>
      <w:r w:rsidR="00097C6D" w:rsidRPr="004118AE">
        <w:t xml:space="preserve">le </w:t>
      </w:r>
      <w:r w:rsidR="00B63EEB" w:rsidRPr="004118AE">
        <w:t>s</w:t>
      </w:r>
      <w:r w:rsidR="00097C6D" w:rsidRPr="004118AE">
        <w:t>ystème de gestion de la qualité ISO (</w:t>
      </w:r>
      <w:r w:rsidRPr="004118AE">
        <w:t>QMS ISO</w:t>
      </w:r>
      <w:r w:rsidR="00097C6D" w:rsidRPr="004118AE">
        <w:t>)</w:t>
      </w:r>
      <w:r w:rsidR="00E65CB6" w:rsidRPr="004118AE">
        <w:t xml:space="preserve">; </w:t>
      </w:r>
      <w:r w:rsidRPr="004118AE">
        <w:t xml:space="preserve"> et </w:t>
      </w:r>
      <w:r w:rsidR="00097C6D" w:rsidRPr="004118AE">
        <w:t>c)</w:t>
      </w:r>
      <w:r w:rsidR="00E65CB6" w:rsidRPr="004118AE">
        <w:t> </w:t>
      </w:r>
      <w:r w:rsidR="00097C6D" w:rsidRPr="004118AE">
        <w:t xml:space="preserve">le </w:t>
      </w:r>
      <w:r w:rsidR="00B63EEB" w:rsidRPr="004118AE">
        <w:t>s</w:t>
      </w:r>
      <w:r w:rsidR="00241594" w:rsidRPr="004118AE">
        <w:t>ystème de contrôle de la qualité des brevets (PQRS)</w:t>
      </w:r>
      <w:r w:rsidRPr="004118AE">
        <w:t>.</w:t>
      </w:r>
    </w:p>
    <w:p w14:paraId="44660592" w14:textId="358D4617" w:rsidR="001647E2" w:rsidRPr="004118AE" w:rsidRDefault="00620F7F" w:rsidP="00DA07A9">
      <w:pPr>
        <w:pStyle w:val="ONUMFS"/>
      </w:pPr>
      <w:r w:rsidRPr="004118AE">
        <w:t>S</w:t>
      </w:r>
      <w:r w:rsidR="00FF47D7" w:rsidRPr="004118AE">
        <w:t>’</w:t>
      </w:r>
      <w:r w:rsidRPr="004118AE">
        <w:t>agissant d</w:t>
      </w:r>
      <w:r w:rsidR="003920D9" w:rsidRPr="004118AE">
        <w:t>u contrôle e</w:t>
      </w:r>
      <w:r w:rsidRPr="004118AE">
        <w:t>n cours de traitement, tous les travaux réalisés par les examinateurs, tels que les rapports de recherche et d</w:t>
      </w:r>
      <w:r w:rsidR="00FF47D7" w:rsidRPr="004118AE">
        <w:t>’</w:t>
      </w:r>
      <w:r w:rsidRPr="004118AE">
        <w:t xml:space="preserve">examen </w:t>
      </w:r>
      <w:r w:rsidR="00906442" w:rsidRPr="004118AE">
        <w:t xml:space="preserve">quant au </w:t>
      </w:r>
      <w:r w:rsidRPr="004118AE">
        <w:t xml:space="preserve">fond </w:t>
      </w:r>
      <w:r w:rsidR="00906442" w:rsidRPr="004118AE">
        <w:t xml:space="preserve">ainsi que </w:t>
      </w:r>
      <w:r w:rsidR="006E62E5" w:rsidRPr="004118AE">
        <w:t>d</w:t>
      </w:r>
      <w:r w:rsidR="00FF47D7" w:rsidRPr="004118AE">
        <w:t>’</w:t>
      </w:r>
      <w:r w:rsidR="00906442" w:rsidRPr="004118AE">
        <w:t>autres activités de l</w:t>
      </w:r>
      <w:r w:rsidR="00FF47D7" w:rsidRPr="004118AE">
        <w:t>’</w:t>
      </w:r>
      <w:r w:rsidR="00EE620E" w:rsidRPr="004118AE">
        <w:t>office</w:t>
      </w:r>
      <w:r w:rsidRPr="004118AE">
        <w:t xml:space="preserve">, </w:t>
      </w:r>
      <w:r w:rsidR="002673A0" w:rsidRPr="004118AE">
        <w:t>font l</w:t>
      </w:r>
      <w:r w:rsidR="00FF47D7" w:rsidRPr="004118AE">
        <w:t>’</w:t>
      </w:r>
      <w:r w:rsidR="002673A0" w:rsidRPr="004118AE">
        <w:t>objet d</w:t>
      </w:r>
      <w:r w:rsidR="00FF47D7" w:rsidRPr="004118AE">
        <w:t>’</w:t>
      </w:r>
      <w:r w:rsidR="002673A0" w:rsidRPr="004118AE">
        <w:t xml:space="preserve">un contrôle de qualité </w:t>
      </w:r>
      <w:r w:rsidR="003920D9" w:rsidRPr="004118AE">
        <w:t xml:space="preserve">à </w:t>
      </w:r>
      <w:r w:rsidR="002673A0" w:rsidRPr="004118AE">
        <w:t>deux</w:t>
      </w:r>
      <w:r w:rsidR="00E65CB6" w:rsidRPr="004118AE">
        <w:t> </w:t>
      </w:r>
      <w:r w:rsidR="002673A0" w:rsidRPr="004118AE">
        <w:t xml:space="preserve">(2) </w:t>
      </w:r>
      <w:r w:rsidR="003920D9" w:rsidRPr="004118AE">
        <w:t>niveaux</w:t>
      </w:r>
      <w:r w:rsidR="002673A0" w:rsidRPr="004118AE">
        <w:t xml:space="preserve"> par le superviseur adjoint et le superviseur lui</w:t>
      </w:r>
      <w:r w:rsidR="00BC3CD7">
        <w:noBreakHyphen/>
      </w:r>
      <w:r w:rsidR="002673A0" w:rsidRPr="004118AE">
        <w:t xml:space="preserve">même </w:t>
      </w:r>
      <w:r w:rsidRPr="004118AE">
        <w:t xml:space="preserve">pour assurer la qualité et la conformité </w:t>
      </w:r>
      <w:r w:rsidR="00906442" w:rsidRPr="004118AE">
        <w:t xml:space="preserve">aux directives </w:t>
      </w:r>
      <w:r w:rsidRPr="004118AE">
        <w:t xml:space="preserve">et </w:t>
      </w:r>
      <w:r w:rsidR="00906442" w:rsidRPr="004118AE">
        <w:t xml:space="preserve">aux </w:t>
      </w:r>
      <w:r w:rsidRPr="004118AE">
        <w:t>procédures d</w:t>
      </w:r>
      <w:r w:rsidR="00FF47D7" w:rsidRPr="004118AE">
        <w:t>’</w:t>
      </w:r>
      <w:r w:rsidRPr="004118AE">
        <w:t>examen.</w:t>
      </w:r>
    </w:p>
    <w:p w14:paraId="18F0898F" w14:textId="2375FC4C" w:rsidR="001647E2" w:rsidRPr="004118AE" w:rsidRDefault="00DB682F" w:rsidP="00DA07A9">
      <w:pPr>
        <w:pStyle w:val="ONUMFS"/>
      </w:pPr>
      <w:r w:rsidRPr="004118AE">
        <w:t xml:space="preserve">Concernant </w:t>
      </w:r>
      <w:r w:rsidR="006214C6" w:rsidRPr="004118AE">
        <w:t>le s</w:t>
      </w:r>
      <w:r w:rsidRPr="004118AE">
        <w:t>ystème de gestion de la qualité ISO (QMS ISO), l</w:t>
      </w:r>
      <w:r w:rsidR="00FF47D7" w:rsidRPr="004118AE">
        <w:t>’</w:t>
      </w:r>
      <w:r w:rsidRPr="004118AE">
        <w:t>IPOPHL a obtenu sa certification ISO</w:t>
      </w:r>
      <w:r w:rsidR="004118AE" w:rsidRPr="004118AE">
        <w:t> </w:t>
      </w:r>
      <w:r w:rsidRPr="004118AE">
        <w:t>9001</w:t>
      </w:r>
      <w:r w:rsidR="005F3FE3" w:rsidRPr="004118AE">
        <w:t>:</w:t>
      </w:r>
      <w:r w:rsidRPr="004118AE">
        <w:t xml:space="preserve">2008 en </w:t>
      </w:r>
      <w:r w:rsidR="005F3FE3" w:rsidRPr="004118AE">
        <w:t>janvier 20</w:t>
      </w:r>
      <w:r w:rsidRPr="004118AE">
        <w:t xml:space="preserve">13 et sa certification de deuxième cycle en </w:t>
      </w:r>
      <w:r w:rsidR="005F3FE3" w:rsidRPr="004118AE">
        <w:t>janvier 20</w:t>
      </w:r>
      <w:r w:rsidRPr="004118AE">
        <w:t xml:space="preserve">16.  La certification porte sur les </w:t>
      </w:r>
      <w:r w:rsidR="007C7706" w:rsidRPr="004118AE">
        <w:t xml:space="preserve">procédures en matière de </w:t>
      </w:r>
      <w:r w:rsidRPr="004118AE">
        <w:t xml:space="preserve">brevets, </w:t>
      </w:r>
      <w:r w:rsidR="00654865" w:rsidRPr="004118AE">
        <w:t xml:space="preserve">de </w:t>
      </w:r>
      <w:r w:rsidRPr="004118AE">
        <w:t>modèles d</w:t>
      </w:r>
      <w:r w:rsidR="00FF47D7" w:rsidRPr="004118AE">
        <w:t>’</w:t>
      </w:r>
      <w:r w:rsidRPr="004118AE">
        <w:t xml:space="preserve">utilité, </w:t>
      </w:r>
      <w:r w:rsidR="00654865" w:rsidRPr="004118AE">
        <w:t>de</w:t>
      </w:r>
      <w:r w:rsidRPr="004118AE">
        <w:t xml:space="preserve"> dess</w:t>
      </w:r>
      <w:r w:rsidR="003B0564" w:rsidRPr="004118AE">
        <w:t>ins et modèles industriels</w:t>
      </w:r>
      <w:r w:rsidR="00654865" w:rsidRPr="004118AE">
        <w:t xml:space="preserve"> et de </w:t>
      </w:r>
      <w:r w:rsidRPr="004118AE">
        <w:t>demandes d</w:t>
      </w:r>
      <w:r w:rsidR="00FF47D7" w:rsidRPr="004118AE">
        <w:t>’</w:t>
      </w:r>
      <w:r w:rsidRPr="004118AE">
        <w:t>enregistrement de marqu</w:t>
      </w:r>
      <w:r w:rsidR="006A33AF" w:rsidRPr="004118AE">
        <w:t>es.  Le</w:t>
      </w:r>
      <w:r w:rsidR="006214C6" w:rsidRPr="004118AE">
        <w:t xml:space="preserve"> s</w:t>
      </w:r>
      <w:r w:rsidR="007C7706" w:rsidRPr="004118AE">
        <w:t>ystème de gestion de la qualité ISO instaure une structure, des mécanismes et des normes visant à une approche systématique dans la gestion des processus opérationne</w:t>
      </w:r>
      <w:r w:rsidR="006A33AF" w:rsidRPr="004118AE">
        <w:t>ls.  De</w:t>
      </w:r>
      <w:r w:rsidR="00E05B45" w:rsidRPr="004118AE">
        <w:t xml:space="preserve"> même, il prévoit un audit interne de la quali</w:t>
      </w:r>
      <w:r w:rsidR="006A33AF" w:rsidRPr="004118AE">
        <w:t>té.  Ac</w:t>
      </w:r>
      <w:r w:rsidR="00B95B03" w:rsidRPr="004118AE">
        <w:t>tuellement, l</w:t>
      </w:r>
      <w:r w:rsidR="00FF47D7" w:rsidRPr="004118AE">
        <w:t>’</w:t>
      </w:r>
      <w:r w:rsidR="00B95B03" w:rsidRPr="004118AE">
        <w:t>IPOPHL prépare la transition de la norme</w:t>
      </w:r>
      <w:r w:rsidR="00E65CB6" w:rsidRPr="004118AE">
        <w:t> </w:t>
      </w:r>
      <w:r w:rsidR="00B95B03" w:rsidRPr="004118AE">
        <w:t>ISO</w:t>
      </w:r>
      <w:r w:rsidR="004118AE" w:rsidRPr="004118AE">
        <w:t> </w:t>
      </w:r>
      <w:r w:rsidR="00B95B03" w:rsidRPr="004118AE">
        <w:t>9001</w:t>
      </w:r>
      <w:r w:rsidR="005F3FE3" w:rsidRPr="004118AE">
        <w:t>:</w:t>
      </w:r>
      <w:r w:rsidR="00B95B03" w:rsidRPr="004118AE">
        <w:t>2008 à la norme</w:t>
      </w:r>
      <w:r w:rsidR="00E65CB6" w:rsidRPr="004118AE">
        <w:t> </w:t>
      </w:r>
      <w:r w:rsidR="00B95B03" w:rsidRPr="004118AE">
        <w:t>ISO</w:t>
      </w:r>
      <w:r w:rsidR="004118AE" w:rsidRPr="004118AE">
        <w:t> </w:t>
      </w:r>
      <w:r w:rsidR="00B95B03" w:rsidRPr="004118AE">
        <w:t>9001</w:t>
      </w:r>
      <w:r w:rsidR="005F3FE3" w:rsidRPr="004118AE">
        <w:t>:</w:t>
      </w:r>
      <w:r w:rsidR="00B95B03" w:rsidRPr="004118AE">
        <w:t xml:space="preserve">2015 qui vise à </w:t>
      </w:r>
      <w:r w:rsidR="00710A2F" w:rsidRPr="004118AE">
        <w:t xml:space="preserve">maintenir la bonne marche </w:t>
      </w:r>
      <w:r w:rsidR="00B95B03" w:rsidRPr="004118AE">
        <w:t>des entreprises, à élaborer des stratégies efficaces de gestion des risques ainsi qu</w:t>
      </w:r>
      <w:r w:rsidR="00FF47D7" w:rsidRPr="004118AE">
        <w:t>’</w:t>
      </w:r>
      <w:r w:rsidR="00B95B03" w:rsidRPr="004118AE">
        <w:t xml:space="preserve">à </w:t>
      </w:r>
      <w:r w:rsidR="00967A4E" w:rsidRPr="004118AE">
        <w:t xml:space="preserve">satisfaire davantage </w:t>
      </w:r>
      <w:r w:rsidR="00B95B03" w:rsidRPr="004118AE">
        <w:t>la clientèle.</w:t>
      </w:r>
    </w:p>
    <w:p w14:paraId="5ED9EC6B" w14:textId="457F1EBD" w:rsidR="001647E2" w:rsidRPr="004118AE" w:rsidRDefault="00272B88" w:rsidP="00DA07A9">
      <w:pPr>
        <w:pStyle w:val="ONUMFS"/>
      </w:pPr>
      <w:r w:rsidRPr="004118AE">
        <w:t xml:space="preserve">Le </w:t>
      </w:r>
      <w:r w:rsidR="006214C6" w:rsidRPr="004118AE">
        <w:t>s</w:t>
      </w:r>
      <w:r w:rsidRPr="004118AE">
        <w:t>ystème de contrôle de la qualité des brevets (PQRS) est un processus institutionnalisé qui garantit la qualité et la cohérence des travaux tels que l</w:t>
      </w:r>
      <w:r w:rsidR="005543FD" w:rsidRPr="004118AE">
        <w:t xml:space="preserve">es </w:t>
      </w:r>
      <w:r w:rsidRPr="004118AE">
        <w:t>formalité</w:t>
      </w:r>
      <w:r w:rsidR="005543FD" w:rsidRPr="004118AE">
        <w:t>s</w:t>
      </w:r>
      <w:r w:rsidR="00B4216E" w:rsidRPr="004118AE">
        <w:t xml:space="preserve"> administratives</w:t>
      </w:r>
      <w:r w:rsidRPr="004118AE">
        <w:t xml:space="preserve">, </w:t>
      </w:r>
      <w:r w:rsidR="005543FD" w:rsidRPr="004118AE">
        <w:t xml:space="preserve">et </w:t>
      </w:r>
      <w:r w:rsidRPr="004118AE">
        <w:t>les rapports de recherche et d</w:t>
      </w:r>
      <w:r w:rsidR="00FF47D7" w:rsidRPr="004118AE">
        <w:t>’</w:t>
      </w:r>
      <w:r w:rsidRPr="004118AE">
        <w:t>examen quant au fo</w:t>
      </w:r>
      <w:r w:rsidR="006A33AF" w:rsidRPr="004118AE">
        <w:t>nd.  Ce</w:t>
      </w:r>
      <w:r w:rsidR="006214C6" w:rsidRPr="004118AE">
        <w:t xml:space="preserve"> s</w:t>
      </w:r>
      <w:r w:rsidR="00A8046D" w:rsidRPr="004118AE">
        <w:t xml:space="preserve">ystème est </w:t>
      </w:r>
      <w:r w:rsidR="00C75CA5" w:rsidRPr="004118AE">
        <w:t>géré</w:t>
      </w:r>
      <w:r w:rsidR="00A8046D" w:rsidRPr="004118AE">
        <w:t xml:space="preserve"> par la Division de la gestion de la qualité (QMD) qui contrôle et vérifie les travaux des examinateurs.</w:t>
      </w:r>
    </w:p>
    <w:p w14:paraId="2CD641B9" w14:textId="5703B7EB" w:rsidR="005F3FE3" w:rsidRPr="004118AE" w:rsidRDefault="00D51E66" w:rsidP="00DA07A9">
      <w:pPr>
        <w:pStyle w:val="ONUMFS"/>
      </w:pPr>
      <w:r w:rsidRPr="004118AE">
        <w:t xml:space="preserve">Le </w:t>
      </w:r>
      <w:r w:rsidR="007C1C0F" w:rsidRPr="004118AE">
        <w:t>r</w:t>
      </w:r>
      <w:r w:rsidRPr="004118AE">
        <w:t>apport initial sur le système de gestion de la qualité</w:t>
      </w:r>
      <w:r w:rsidR="00872565" w:rsidRPr="004118AE">
        <w:t>,</w:t>
      </w:r>
      <w:r w:rsidR="00F277D4" w:rsidRPr="004118AE">
        <w:t xml:space="preserve"> conformément au </w:t>
      </w:r>
      <w:r w:rsidR="005F3FE3" w:rsidRPr="004118AE">
        <w:t>chapitre 2</w:t>
      </w:r>
      <w:r w:rsidR="00F277D4" w:rsidRPr="004118AE">
        <w:t>1 des Directives concernant la recherche internationale et l</w:t>
      </w:r>
      <w:r w:rsidR="00FF47D7" w:rsidRPr="004118AE">
        <w:t>’</w:t>
      </w:r>
      <w:r w:rsidR="00F277D4" w:rsidRPr="004118AE">
        <w:t>examen préliminaire international selon</w:t>
      </w:r>
      <w:r w:rsidR="005F3FE3" w:rsidRPr="004118AE">
        <w:t xml:space="preserve"> le PCT</w:t>
      </w:r>
      <w:r w:rsidR="00872565" w:rsidRPr="004118AE">
        <w:t>,</w:t>
      </w:r>
      <w:r w:rsidRPr="004118AE">
        <w:t xml:space="preserve"> est détaillé à l</w:t>
      </w:r>
      <w:r w:rsidR="00FF47D7" w:rsidRPr="004118AE">
        <w:t>’</w:t>
      </w:r>
      <w:r w:rsidRPr="004118AE">
        <w:t xml:space="preserve">aide du modèle intitulé </w:t>
      </w:r>
      <w:r w:rsidR="00E65CB6" w:rsidRPr="004118AE">
        <w:t>“</w:t>
      </w:r>
      <w:r w:rsidRPr="004118AE">
        <w:t>Rapport sur les systèmes de gestion de la qualité</w:t>
      </w:r>
      <w:r w:rsidR="00D60E02" w:rsidRPr="004118AE">
        <w:t xml:space="preserve">” </w:t>
      </w:r>
      <w:r w:rsidRPr="004118AE">
        <w:t>et figure à</w:t>
      </w:r>
      <w:r w:rsidR="00EC1BEF" w:rsidRPr="004118AE">
        <w:t xml:space="preserve"> l</w:t>
      </w:r>
      <w:r w:rsidR="00FF47D7" w:rsidRPr="004118AE">
        <w:t>’</w:t>
      </w:r>
      <w:r w:rsidR="00BC3CD7">
        <w:t>appendice</w:t>
      </w:r>
      <w:r w:rsidR="005F3FE3" w:rsidRPr="004118AE">
        <w:t> 1</w:t>
      </w:r>
      <w:r w:rsidRPr="004118AE">
        <w:t xml:space="preserve"> du présent document.</w:t>
      </w:r>
    </w:p>
    <w:p w14:paraId="305D08B6" w14:textId="00B4AA52" w:rsidR="001647E2" w:rsidRDefault="00110FEA" w:rsidP="00DA07A9">
      <w:pPr>
        <w:pStyle w:val="Heading1"/>
      </w:pPr>
      <w:r w:rsidRPr="004118AE">
        <w:t>V.</w:t>
      </w:r>
      <w:r w:rsidR="005F698D">
        <w:tab/>
      </w:r>
      <w:r w:rsidR="005F698D" w:rsidRPr="004118AE">
        <w:t>Évaluation par d’autres administrations</w:t>
      </w:r>
    </w:p>
    <w:p w14:paraId="2DF6C2B7" w14:textId="77777777" w:rsidR="005F698D" w:rsidRPr="005F698D" w:rsidRDefault="005F698D" w:rsidP="00DA07A9"/>
    <w:p w14:paraId="7C23F3F2" w14:textId="6E353E15" w:rsidR="001647E2" w:rsidRPr="004118AE" w:rsidRDefault="00C17BED" w:rsidP="00DA07A9">
      <w:pPr>
        <w:pStyle w:val="ONUMFS"/>
      </w:pPr>
      <w:r w:rsidRPr="004118AE">
        <w:t xml:space="preserve">Conformément à la procédure de nomination </w:t>
      </w:r>
      <w:r w:rsidR="008E7550" w:rsidRPr="004118AE">
        <w:t xml:space="preserve">des administrations </w:t>
      </w:r>
      <w:r w:rsidR="00574A0F" w:rsidRPr="004118AE">
        <w:t xml:space="preserve">internationales </w:t>
      </w:r>
      <w:r w:rsidRPr="004118AE">
        <w:t>convenu</w:t>
      </w:r>
      <w:r w:rsidR="00574A0F" w:rsidRPr="004118AE">
        <w:t>e</w:t>
      </w:r>
      <w:r w:rsidRPr="004118AE">
        <w:t xml:space="preserve"> lors de la quarante</w:t>
      </w:r>
      <w:r w:rsidR="00BC3CD7">
        <w:noBreakHyphen/>
      </w:r>
      <w:r w:rsidRPr="004118AE">
        <w:t>six</w:t>
      </w:r>
      <w:r w:rsidR="00FF47D7" w:rsidRPr="004118AE">
        <w:t>ième session</w:t>
      </w:r>
      <w:r w:rsidRPr="004118AE">
        <w:t xml:space="preserve"> de l</w:t>
      </w:r>
      <w:r w:rsidR="00FF47D7" w:rsidRPr="004118AE">
        <w:t>’</w:t>
      </w:r>
      <w:r w:rsidRPr="004118AE">
        <w:t xml:space="preserve">Assemblée </w:t>
      </w:r>
      <w:r w:rsidR="00574A0F" w:rsidRPr="004118AE">
        <w:t>de l</w:t>
      </w:r>
      <w:r w:rsidR="00FF47D7" w:rsidRPr="004118AE">
        <w:t>’</w:t>
      </w:r>
      <w:r w:rsidR="00574A0F" w:rsidRPr="004118AE">
        <w:t>Union</w:t>
      </w:r>
      <w:r w:rsidR="005F3FE3" w:rsidRPr="004118AE">
        <w:t xml:space="preserve"> du PCT</w:t>
      </w:r>
      <w:r w:rsidRPr="004118AE">
        <w:t xml:space="preserve">, </w:t>
      </w:r>
      <w:r w:rsidR="00574A0F" w:rsidRPr="004118AE">
        <w:t>l</w:t>
      </w:r>
      <w:r w:rsidR="00FF47D7" w:rsidRPr="004118AE">
        <w:t>’</w:t>
      </w:r>
      <w:r w:rsidR="00574A0F" w:rsidRPr="004118AE">
        <w:t>IPOPHL</w:t>
      </w:r>
      <w:r w:rsidRPr="004118AE">
        <w:t xml:space="preserve"> a demandé </w:t>
      </w:r>
      <w:r w:rsidR="00574A0F" w:rsidRPr="004118AE">
        <w:t>l</w:t>
      </w:r>
      <w:r w:rsidR="00FF47D7" w:rsidRPr="004118AE">
        <w:t>’</w:t>
      </w:r>
      <w:r w:rsidR="00574A0F" w:rsidRPr="004118AE">
        <w:t>aide d</w:t>
      </w:r>
      <w:r w:rsidR="00EE620E">
        <w:t>u </w:t>
      </w:r>
      <w:r w:rsidR="00574A0F" w:rsidRPr="004118AE">
        <w:t>JPO</w:t>
      </w:r>
      <w:r w:rsidR="00EE620E">
        <w:t xml:space="preserve"> et d</w:t>
      </w:r>
      <w:r w:rsidR="00FF47D7" w:rsidRPr="004118AE">
        <w:t>’</w:t>
      </w:r>
      <w:r w:rsidR="00574A0F" w:rsidRPr="004118AE">
        <w:t>IP</w:t>
      </w:r>
      <w:r w:rsidR="00E65CB6" w:rsidRPr="004118AE">
        <w:t> </w:t>
      </w:r>
      <w:proofErr w:type="spellStart"/>
      <w:r w:rsidR="00574A0F" w:rsidRPr="004118AE">
        <w:t>Australia</w:t>
      </w:r>
      <w:proofErr w:type="spellEnd"/>
      <w:r w:rsidR="00574A0F" w:rsidRPr="004118AE">
        <w:t xml:space="preserve"> </w:t>
      </w:r>
      <w:r w:rsidRPr="004118AE">
        <w:t xml:space="preserve">pour évaluer dans quelle mesure </w:t>
      </w:r>
      <w:r w:rsidR="00574A0F" w:rsidRPr="004118AE">
        <w:t xml:space="preserve">il </w:t>
      </w:r>
      <w:r w:rsidRPr="004118AE">
        <w:t>satisfai</w:t>
      </w:r>
      <w:r w:rsidR="00574A0F" w:rsidRPr="004118AE">
        <w:t>sai</w:t>
      </w:r>
      <w:r w:rsidRPr="004118AE">
        <w:t xml:space="preserve">t </w:t>
      </w:r>
      <w:r w:rsidR="00574A0F" w:rsidRPr="004118AE">
        <w:t>aux exigences minimales à remplir pour la nomination en qualité d</w:t>
      </w:r>
      <w:r w:rsidR="00FF47D7" w:rsidRPr="004118AE">
        <w:t>’</w:t>
      </w:r>
      <w:r w:rsidR="00574A0F" w:rsidRPr="004118AE">
        <w:t>administration internationa</w:t>
      </w:r>
      <w:r w:rsidR="006A33AF" w:rsidRPr="004118AE">
        <w:t>le.  To</w:t>
      </w:r>
      <w:r w:rsidR="00EC1BEF" w:rsidRPr="004118AE">
        <w:t>us deux</w:t>
      </w:r>
      <w:r w:rsidR="00E65CB6" w:rsidRPr="004118AE">
        <w:t> </w:t>
      </w:r>
      <w:r w:rsidR="00EC1BEF" w:rsidRPr="004118AE">
        <w:t>ont conclu que l</w:t>
      </w:r>
      <w:r w:rsidR="00FF47D7" w:rsidRPr="004118AE">
        <w:t>’</w:t>
      </w:r>
      <w:r w:rsidR="00EE620E" w:rsidRPr="004118AE">
        <w:t>office</w:t>
      </w:r>
      <w:r w:rsidR="00EC1BEF" w:rsidRPr="004118AE">
        <w:t xml:space="preserve"> </w:t>
      </w:r>
      <w:r w:rsidR="00070166" w:rsidRPr="004118AE">
        <w:t xml:space="preserve">aura </w:t>
      </w:r>
      <w:r w:rsidR="00EC1BEF" w:rsidRPr="004118AE">
        <w:t>satisfait aux exigences au moment où l</w:t>
      </w:r>
      <w:r w:rsidR="00FF47D7" w:rsidRPr="004118AE">
        <w:t>’</w:t>
      </w:r>
      <w:r w:rsidR="00EC1BEF" w:rsidRPr="004118AE">
        <w:t>Assemblée se réuni</w:t>
      </w:r>
      <w:r w:rsidR="006A33AF" w:rsidRPr="004118AE">
        <w:t>ra.  Le</w:t>
      </w:r>
      <w:r w:rsidR="00EC1BEF" w:rsidRPr="004118AE">
        <w:t>s rapports d</w:t>
      </w:r>
      <w:r w:rsidR="00FF47D7" w:rsidRPr="004118AE">
        <w:t>’</w:t>
      </w:r>
      <w:r w:rsidR="00EC1BEF" w:rsidRPr="004118AE">
        <w:t xml:space="preserve">évaluation </w:t>
      </w:r>
      <w:r w:rsidR="000F318D" w:rsidRPr="004118AE">
        <w:t xml:space="preserve">émanant </w:t>
      </w:r>
      <w:r w:rsidR="00EE620E">
        <w:t>d</w:t>
      </w:r>
      <w:r w:rsidR="00FF47D7" w:rsidRPr="004118AE">
        <w:t>’</w:t>
      </w:r>
      <w:r w:rsidR="00B71CEE" w:rsidRPr="004118AE">
        <w:t>IP</w:t>
      </w:r>
      <w:r w:rsidR="00E65CB6" w:rsidRPr="004118AE">
        <w:t> </w:t>
      </w:r>
      <w:proofErr w:type="spellStart"/>
      <w:r w:rsidR="00B71CEE" w:rsidRPr="004118AE">
        <w:t>Australia</w:t>
      </w:r>
      <w:proofErr w:type="spellEnd"/>
      <w:r w:rsidR="00B71CEE" w:rsidRPr="004118AE">
        <w:t xml:space="preserve"> </w:t>
      </w:r>
      <w:r w:rsidR="00EC1BEF" w:rsidRPr="004118AE">
        <w:t xml:space="preserve">et </w:t>
      </w:r>
      <w:r w:rsidR="00EE620E">
        <w:t>du </w:t>
      </w:r>
      <w:r w:rsidR="00B71CEE" w:rsidRPr="004118AE">
        <w:t xml:space="preserve">JPO </w:t>
      </w:r>
      <w:r w:rsidR="00EC1BEF" w:rsidRPr="004118AE">
        <w:t xml:space="preserve">figurent respectivement </w:t>
      </w:r>
      <w:r w:rsidR="00BC3CD7">
        <w:t>aux</w:t>
      </w:r>
      <w:r w:rsidR="00EC1BEF" w:rsidRPr="004118AE">
        <w:t xml:space="preserve"> </w:t>
      </w:r>
      <w:r w:rsidR="00BC3CD7">
        <w:t>appendices</w:t>
      </w:r>
      <w:r w:rsidR="005F3FE3" w:rsidRPr="004118AE">
        <w:t> 2</w:t>
      </w:r>
      <w:r w:rsidR="00EC1BEF" w:rsidRPr="004118AE">
        <w:t xml:space="preserve"> et</w:t>
      </w:r>
      <w:r w:rsidR="00BC3CD7">
        <w:t> </w:t>
      </w:r>
      <w:r w:rsidR="005F3FE3" w:rsidRPr="004118AE">
        <w:t>3</w:t>
      </w:r>
      <w:r w:rsidR="00EC1BEF" w:rsidRPr="004118AE">
        <w:t xml:space="preserve"> du présent document.</w:t>
      </w:r>
    </w:p>
    <w:p w14:paraId="0A529636" w14:textId="7BC191B9" w:rsidR="00110FEA" w:rsidRPr="004118AE" w:rsidRDefault="00110FEA" w:rsidP="00DA07A9">
      <w:pPr>
        <w:pStyle w:val="Heading1"/>
      </w:pPr>
      <w:r w:rsidRPr="004118AE">
        <w:lastRenderedPageBreak/>
        <w:t>VI.</w:t>
      </w:r>
      <w:r w:rsidR="005F698D">
        <w:tab/>
      </w:r>
      <w:r w:rsidR="005F698D" w:rsidRPr="004118AE">
        <w:t>Administration de la propriété intellectuelle</w:t>
      </w:r>
    </w:p>
    <w:p w14:paraId="1D593C82" w14:textId="471B4D18" w:rsidR="00110FEA" w:rsidRDefault="00C07AA5" w:rsidP="00DA07A9">
      <w:pPr>
        <w:pStyle w:val="Heading3"/>
      </w:pPr>
      <w:r w:rsidRPr="004118AE">
        <w:t>Administration des brevets</w:t>
      </w:r>
    </w:p>
    <w:p w14:paraId="4C005E2B" w14:textId="77777777" w:rsidR="005F698D" w:rsidRPr="005F698D" w:rsidRDefault="005F698D" w:rsidP="00DA07A9"/>
    <w:p w14:paraId="0373051F" w14:textId="51317583" w:rsidR="001647E2" w:rsidRPr="004118AE" w:rsidRDefault="00E17D95" w:rsidP="00DA07A9">
      <w:pPr>
        <w:pStyle w:val="ONUMFS"/>
      </w:pPr>
      <w:r w:rsidRPr="004118AE">
        <w:t>E</w:t>
      </w:r>
      <w:r w:rsidR="00FE5F45" w:rsidRPr="004118AE">
        <w:t xml:space="preserve">ntre </w:t>
      </w:r>
      <w:r w:rsidR="006A7C6B" w:rsidRPr="004118AE">
        <w:t>2010</w:t>
      </w:r>
      <w:r w:rsidR="00FE5F45" w:rsidRPr="004118AE">
        <w:t xml:space="preserve"> et </w:t>
      </w:r>
      <w:r w:rsidR="006A7C6B" w:rsidRPr="004118AE">
        <w:t>2016</w:t>
      </w:r>
      <w:r w:rsidRPr="004118AE">
        <w:t>, l</w:t>
      </w:r>
      <w:r w:rsidR="00FF47D7" w:rsidRPr="004118AE">
        <w:t>’</w:t>
      </w:r>
      <w:r w:rsidR="00FE5F45" w:rsidRPr="004118AE">
        <w:t xml:space="preserve">IPOPHL a reçu en moyenne </w:t>
      </w:r>
      <w:r w:rsidR="00E65CB6" w:rsidRPr="004118AE">
        <w:t>3193</w:t>
      </w:r>
      <w:r w:rsidR="006A33AF" w:rsidRPr="004118AE">
        <w:t> </w:t>
      </w:r>
      <w:r w:rsidR="00FE5F45" w:rsidRPr="004118AE">
        <w:t xml:space="preserve">dépôts de </w:t>
      </w:r>
      <w:r w:rsidR="006A7C6B" w:rsidRPr="004118AE">
        <w:t>demandes de résidents et de non</w:t>
      </w:r>
      <w:r w:rsidR="00BC3CD7">
        <w:noBreakHyphen/>
      </w:r>
      <w:r w:rsidR="006A7C6B" w:rsidRPr="004118AE">
        <w:t>résiden</w:t>
      </w:r>
      <w:r w:rsidR="006A33AF" w:rsidRPr="004118AE">
        <w:t>ts.  Le</w:t>
      </w:r>
      <w:r w:rsidR="00FE5F45" w:rsidRPr="004118AE">
        <w:t xml:space="preserve"> nombre de dépôts de</w:t>
      </w:r>
      <w:r w:rsidRPr="004118AE">
        <w:t>s</w:t>
      </w:r>
      <w:r w:rsidR="00FE5F45" w:rsidRPr="004118AE">
        <w:t xml:space="preserve"> non</w:t>
      </w:r>
      <w:r w:rsidR="00BC3CD7">
        <w:noBreakHyphen/>
      </w:r>
      <w:r w:rsidR="00FE5F45" w:rsidRPr="004118AE">
        <w:t>rési</w:t>
      </w:r>
      <w:r w:rsidR="00247E77" w:rsidRPr="004118AE">
        <w:t>dents reste beaucoup plus élevé</w:t>
      </w:r>
      <w:r w:rsidR="00FE5F45" w:rsidRPr="004118AE">
        <w:t xml:space="preserve"> que </w:t>
      </w:r>
      <w:r w:rsidRPr="004118AE">
        <w:t xml:space="preserve">celui </w:t>
      </w:r>
      <w:r w:rsidR="00FE5F45" w:rsidRPr="004118AE">
        <w:t>de</w:t>
      </w:r>
      <w:r w:rsidRPr="004118AE">
        <w:t>s</w:t>
      </w:r>
      <w:r w:rsidR="00FE5F45" w:rsidRPr="004118AE">
        <w:t xml:space="preserve"> résiden</w:t>
      </w:r>
      <w:r w:rsidR="006A33AF" w:rsidRPr="004118AE">
        <w:t xml:space="preserve">ts.  </w:t>
      </w:r>
      <w:r w:rsidR="00BC3CD7">
        <w:t xml:space="preserve">Entre </w:t>
      </w:r>
      <w:r w:rsidR="005F3FE3" w:rsidRPr="004118AE">
        <w:t>2013</w:t>
      </w:r>
      <w:r w:rsidR="00BC3CD7">
        <w:t xml:space="preserve"> et </w:t>
      </w:r>
      <w:r w:rsidR="00292B7F" w:rsidRPr="004118AE">
        <w:t xml:space="preserve">2016, les demandes déposées par des résidents ont augmenté de 48% en moyenne par </w:t>
      </w:r>
      <w:r w:rsidR="00726FB6" w:rsidRPr="004118AE">
        <w:t xml:space="preserve">rapport </w:t>
      </w:r>
      <w:r w:rsidR="00292B7F" w:rsidRPr="004118AE">
        <w:t xml:space="preserve">à celles </w:t>
      </w:r>
      <w:r w:rsidR="00726FB6" w:rsidRPr="004118AE">
        <w:t>déposées</w:t>
      </w:r>
      <w:r w:rsidR="00292B7F" w:rsidRPr="004118AE">
        <w:t xml:space="preserve"> par des résidents entre 2010 et 2012.</w:t>
      </w:r>
    </w:p>
    <w:p w14:paraId="6E982B15" w14:textId="7CA972B4" w:rsidR="001647E2" w:rsidRPr="004118AE" w:rsidRDefault="002019D3" w:rsidP="00DA07A9">
      <w:pPr>
        <w:pStyle w:val="ONUMFS"/>
      </w:pPr>
      <w:r w:rsidRPr="004118AE">
        <w:t xml:space="preserve">Par conséquent, les statistiques en matière de </w:t>
      </w:r>
      <w:r w:rsidR="00187062" w:rsidRPr="004118AE">
        <w:t>délivrances</w:t>
      </w:r>
      <w:r w:rsidRPr="004118AE">
        <w:t xml:space="preserve"> de brevet par l</w:t>
      </w:r>
      <w:r w:rsidR="00FF47D7" w:rsidRPr="004118AE">
        <w:t>’</w:t>
      </w:r>
      <w:r w:rsidRPr="004118AE">
        <w:t xml:space="preserve">IPOPHL </w:t>
      </w:r>
      <w:r w:rsidR="00B15E35" w:rsidRPr="004118AE">
        <w:t xml:space="preserve">reflètent celles </w:t>
      </w:r>
      <w:r w:rsidRPr="004118AE">
        <w:t xml:space="preserve">des dépôts de brevets, </w:t>
      </w:r>
      <w:r w:rsidR="00FF47D7" w:rsidRPr="004118AE">
        <w:t>à savoir</w:t>
      </w:r>
      <w:r w:rsidR="00B15E35" w:rsidRPr="004118AE">
        <w:t xml:space="preserve"> qu</w:t>
      </w:r>
      <w:r w:rsidR="00FF47D7" w:rsidRPr="004118AE">
        <w:t>’</w:t>
      </w:r>
      <w:r w:rsidRPr="004118AE">
        <w:t>une grande partie des brevet</w:t>
      </w:r>
      <w:r w:rsidR="00B15E35" w:rsidRPr="004118AE">
        <w:t>s délivré</w:t>
      </w:r>
      <w:r w:rsidRPr="004118AE">
        <w:t xml:space="preserve">s </w:t>
      </w:r>
      <w:r w:rsidR="00B15E35" w:rsidRPr="004118AE">
        <w:t>l</w:t>
      </w:r>
      <w:r w:rsidR="00FF47D7" w:rsidRPr="004118AE">
        <w:t>’</w:t>
      </w:r>
      <w:r w:rsidR="00B15E35" w:rsidRPr="004118AE">
        <w:t xml:space="preserve">est </w:t>
      </w:r>
      <w:r w:rsidRPr="004118AE">
        <w:t>à destination de non</w:t>
      </w:r>
      <w:r w:rsidR="00BC3CD7">
        <w:noBreakHyphen/>
      </w:r>
      <w:r w:rsidRPr="004118AE">
        <w:t>résiden</w:t>
      </w:r>
      <w:r w:rsidR="006A33AF" w:rsidRPr="004118AE">
        <w:t>ts.  En</w:t>
      </w:r>
      <w:r w:rsidR="00187062" w:rsidRPr="004118AE">
        <w:t xml:space="preserve">tre 2013 et 2016, il y </w:t>
      </w:r>
      <w:r w:rsidR="003702DE" w:rsidRPr="004118AE">
        <w:t xml:space="preserve">a </w:t>
      </w:r>
      <w:r w:rsidR="00187062" w:rsidRPr="004118AE">
        <w:t xml:space="preserve">eu en moyenne </w:t>
      </w:r>
      <w:r w:rsidR="00E65CB6" w:rsidRPr="004118AE">
        <w:t>2028</w:t>
      </w:r>
      <w:r w:rsidR="006A33AF" w:rsidRPr="004118AE">
        <w:t> </w:t>
      </w:r>
      <w:r w:rsidR="00187062" w:rsidRPr="004118AE">
        <w:t>délivrances de brevets</w:t>
      </w:r>
      <w:r w:rsidR="001B298F" w:rsidRPr="004118AE">
        <w:t xml:space="preserve"> alors qu</w:t>
      </w:r>
      <w:r w:rsidR="00FF47D7" w:rsidRPr="004118AE">
        <w:t>’</w:t>
      </w:r>
      <w:r w:rsidR="001B298F" w:rsidRPr="004118AE">
        <w:t>entre 2010 et 2012</w:t>
      </w:r>
      <w:r w:rsidR="00F42394" w:rsidRPr="004118AE">
        <w:t xml:space="preserve"> la moyenne était </w:t>
      </w:r>
      <w:r w:rsidR="00FF47D7" w:rsidRPr="004118AE">
        <w:t>de 1213</w:t>
      </w:r>
      <w:r w:rsidR="006A33AF" w:rsidRPr="004118AE">
        <w:t> </w:t>
      </w:r>
      <w:r w:rsidR="00F42394" w:rsidRPr="004118AE">
        <w:t>délivrances</w:t>
      </w:r>
      <w:r w:rsidR="00187062" w:rsidRPr="004118AE">
        <w:t>, soit une augmentation de 40</w:t>
      </w:r>
      <w:r w:rsidR="00F42394" w:rsidRPr="004118AE">
        <w:t>%</w:t>
      </w:r>
      <w:r w:rsidR="00187062" w:rsidRPr="004118AE">
        <w:t>.</w:t>
      </w:r>
    </w:p>
    <w:p w14:paraId="5EB9C701" w14:textId="76D2EE7D" w:rsidR="001647E2" w:rsidRPr="004118AE" w:rsidRDefault="00F300E6" w:rsidP="00DA07A9">
      <w:pPr>
        <w:pStyle w:val="ONUMFS"/>
      </w:pPr>
      <w:r w:rsidRPr="004118AE">
        <w:t>L</w:t>
      </w:r>
      <w:r w:rsidR="00FF47D7" w:rsidRPr="004118AE">
        <w:t>’</w:t>
      </w:r>
      <w:r w:rsidRPr="004118AE">
        <w:t xml:space="preserve">IPOPHL cherche constamment à améliorer </w:t>
      </w:r>
      <w:r w:rsidR="00277E72" w:rsidRPr="004118AE">
        <w:t>l</w:t>
      </w:r>
      <w:r w:rsidRPr="004118AE">
        <w:t xml:space="preserve">es procédures en les rationalisant et en augmentant </w:t>
      </w:r>
      <w:r w:rsidR="004F438C" w:rsidRPr="004118AE">
        <w:t>l</w:t>
      </w:r>
      <w:r w:rsidR="00FF47D7" w:rsidRPr="004118AE">
        <w:t>’</w:t>
      </w:r>
      <w:r w:rsidR="004F438C" w:rsidRPr="004118AE">
        <w:t>efficacité des opérations,</w:t>
      </w:r>
      <w:r w:rsidR="001647E2" w:rsidRPr="004118AE">
        <w:t xml:space="preserve"> </w:t>
      </w:r>
      <w:r w:rsidR="004F438C" w:rsidRPr="004118AE">
        <w:t>ce qui</w:t>
      </w:r>
      <w:r w:rsidR="00E53251" w:rsidRPr="004118AE">
        <w:t xml:space="preserve"> a entraîné une diminution </w:t>
      </w:r>
      <w:r w:rsidR="004F438C" w:rsidRPr="004118AE">
        <w:t xml:space="preserve">considérable </w:t>
      </w:r>
      <w:r w:rsidR="00E53251" w:rsidRPr="004118AE">
        <w:t>du temps de traitement des demandes de brev</w:t>
      </w:r>
      <w:r w:rsidR="006A33AF" w:rsidRPr="004118AE">
        <w:t>et.  De</w:t>
      </w:r>
      <w:r w:rsidR="00827C1D" w:rsidRPr="004118AE">
        <w:t xml:space="preserve"> 2013 à 2016, l</w:t>
      </w:r>
      <w:r w:rsidR="00FF47D7" w:rsidRPr="004118AE">
        <w:t>’</w:t>
      </w:r>
      <w:r w:rsidR="00827C1D" w:rsidRPr="004118AE">
        <w:t>IPOPHL a maintenu un délai de traitement de moins de 50</w:t>
      </w:r>
      <w:r w:rsidR="006A33AF" w:rsidRPr="004118AE">
        <w:t> </w:t>
      </w:r>
      <w:r w:rsidR="00827C1D" w:rsidRPr="004118AE">
        <w:t>mois, période de confidentialité de 18</w:t>
      </w:r>
      <w:r w:rsidR="006A33AF" w:rsidRPr="004118AE">
        <w:t> </w:t>
      </w:r>
      <w:r w:rsidR="00827C1D" w:rsidRPr="004118AE">
        <w:t>mois comprise, à compter de la date de dépôt.</w:t>
      </w:r>
    </w:p>
    <w:p w14:paraId="18144D4E" w14:textId="4286E480" w:rsidR="001647E2" w:rsidRDefault="003E1B21" w:rsidP="00DA07A9">
      <w:pPr>
        <w:pStyle w:val="Heading3"/>
      </w:pPr>
      <w:r w:rsidRPr="004118AE">
        <w:t>Coopération internationale</w:t>
      </w:r>
    </w:p>
    <w:p w14:paraId="45296A1E" w14:textId="77777777" w:rsidR="005F698D" w:rsidRPr="005F698D" w:rsidRDefault="005F698D" w:rsidP="00DA07A9"/>
    <w:p w14:paraId="5DE657F1" w14:textId="6E2A231A" w:rsidR="001647E2" w:rsidRPr="004118AE" w:rsidRDefault="003E1B21" w:rsidP="00DA07A9">
      <w:pPr>
        <w:pStyle w:val="ONUMFS"/>
      </w:pPr>
      <w:r w:rsidRPr="004118AE">
        <w:t>L</w:t>
      </w:r>
      <w:r w:rsidR="00FF47D7" w:rsidRPr="004118AE">
        <w:t>’</w:t>
      </w:r>
      <w:r w:rsidRPr="004118AE">
        <w:t>IPOPHL entretient une coopération bila</w:t>
      </w:r>
      <w:r w:rsidR="000A4D2B" w:rsidRPr="004118AE">
        <w:t>térale avec d</w:t>
      </w:r>
      <w:r w:rsidR="00FF47D7" w:rsidRPr="004118AE">
        <w:t>’</w:t>
      </w:r>
      <w:r w:rsidR="000A4D2B" w:rsidRPr="004118AE">
        <w:t>autres offices de</w:t>
      </w:r>
      <w:r w:rsidRPr="004118AE">
        <w:t xml:space="preserve"> propriété intellectuelle tels que l</w:t>
      </w:r>
      <w:r w:rsidR="00EE620E">
        <w:t>e </w:t>
      </w:r>
      <w:r w:rsidRPr="004118AE">
        <w:t>JPO, l</w:t>
      </w:r>
      <w:r w:rsidR="00FF47D7" w:rsidRPr="004118AE">
        <w:t>’</w:t>
      </w:r>
      <w:r w:rsidRPr="004118AE">
        <w:t>USPTO</w:t>
      </w:r>
      <w:r w:rsidR="008D5FDF" w:rsidRPr="004118AE">
        <w:t xml:space="preserve">, </w:t>
      </w:r>
      <w:r w:rsidRPr="004118AE">
        <w:t>l</w:t>
      </w:r>
      <w:r w:rsidR="00FF47D7" w:rsidRPr="004118AE">
        <w:t>’</w:t>
      </w:r>
      <w:r w:rsidRPr="004118AE">
        <w:t xml:space="preserve">OEB, </w:t>
      </w:r>
      <w:r w:rsidR="008D5FDF" w:rsidRPr="004118AE">
        <w:t>l</w:t>
      </w:r>
      <w:r w:rsidR="00FF47D7" w:rsidRPr="004118AE">
        <w:t>’</w:t>
      </w:r>
      <w:r w:rsidR="008D5FDF" w:rsidRPr="004118AE">
        <w:t>Office coréen de la propriété intellectuelle (KIPO), l</w:t>
      </w:r>
      <w:r w:rsidR="00FF47D7" w:rsidRPr="004118AE">
        <w:t>’</w:t>
      </w:r>
      <w:r w:rsidR="008D5FDF" w:rsidRPr="004118AE">
        <w:t>Office de l</w:t>
      </w:r>
      <w:r w:rsidR="00FF47D7" w:rsidRPr="004118AE">
        <w:t>’</w:t>
      </w:r>
      <w:r w:rsidR="008D5FDF" w:rsidRPr="004118AE">
        <w:t xml:space="preserve">Union européenne pour la propriété intellectuelle (EUIPO), </w:t>
      </w:r>
      <w:r w:rsidRPr="004118AE">
        <w:t xml:space="preserve">le </w:t>
      </w:r>
      <w:r w:rsidR="004A7ACE" w:rsidRPr="004118AE">
        <w:t>Centre national des brevets et de l</w:t>
      </w:r>
      <w:r w:rsidR="00FF47D7" w:rsidRPr="004118AE">
        <w:t>’</w:t>
      </w:r>
      <w:r w:rsidR="004A7ACE" w:rsidRPr="004118AE">
        <w:t>information (Tadjikistan)</w:t>
      </w:r>
      <w:r w:rsidRPr="004118AE">
        <w:t xml:space="preserve">, </w:t>
      </w:r>
      <w:r w:rsidR="004A7ACE" w:rsidRPr="004118AE">
        <w:t>l</w:t>
      </w:r>
      <w:r w:rsidR="00FF47D7" w:rsidRPr="004118AE">
        <w:t>’</w:t>
      </w:r>
      <w:r w:rsidR="004A7ACE" w:rsidRPr="004118AE">
        <w:t>Office de la propriété intellectuelle du Royaume</w:t>
      </w:r>
      <w:r w:rsidR="00BC3CD7">
        <w:noBreakHyphen/>
      </w:r>
      <w:r w:rsidR="004A7ACE" w:rsidRPr="004118AE">
        <w:t xml:space="preserve">Uni </w:t>
      </w:r>
      <w:r w:rsidRPr="004118AE">
        <w:t>(UKIPO)</w:t>
      </w:r>
      <w:r w:rsidR="004A7ACE" w:rsidRPr="004118AE">
        <w:t>, l</w:t>
      </w:r>
      <w:r w:rsidR="00FF47D7" w:rsidRPr="004118AE">
        <w:t>’</w:t>
      </w:r>
      <w:r w:rsidR="004A7ACE" w:rsidRPr="004118AE">
        <w:t>Institut mexicain de la propriété industrielle (IMPI), ainsi que l</w:t>
      </w:r>
      <w:r w:rsidR="00FF47D7" w:rsidRPr="004118AE">
        <w:t>’</w:t>
      </w:r>
      <w:r w:rsidR="004A7ACE" w:rsidRPr="004118AE">
        <w:t xml:space="preserve">Institut national de la propriété industrielle </w:t>
      </w:r>
      <w:r w:rsidR="00416187" w:rsidRPr="004118AE">
        <w:t xml:space="preserve">de France </w:t>
      </w:r>
      <w:r w:rsidR="004A7ACE" w:rsidRPr="004118AE">
        <w:t>(INPI)</w:t>
      </w:r>
      <w:r w:rsidR="00416187" w:rsidRPr="004118AE">
        <w:t>, entre autres.</w:t>
      </w:r>
    </w:p>
    <w:p w14:paraId="68C891A3" w14:textId="7C3319B5" w:rsidR="001647E2" w:rsidRPr="004118AE" w:rsidRDefault="00682614" w:rsidP="00DA07A9">
      <w:pPr>
        <w:pStyle w:val="ONUMFS"/>
      </w:pPr>
      <w:r w:rsidRPr="004118AE">
        <w:t>L</w:t>
      </w:r>
      <w:r w:rsidR="00FF47D7" w:rsidRPr="004118AE">
        <w:t>’</w:t>
      </w:r>
      <w:r w:rsidRPr="004118AE">
        <w:t>IPOPHL est un membre actif du Groupe de travail de l</w:t>
      </w:r>
      <w:r w:rsidR="00FF47D7" w:rsidRPr="004118AE">
        <w:t>’</w:t>
      </w:r>
      <w:r w:rsidRPr="004118AE">
        <w:t>ASEAN sur la coopération en matière de propriété intellectuelle (AWGIPC).</w:t>
      </w:r>
      <w:r w:rsidR="00110FEA" w:rsidRPr="004118AE">
        <w:t xml:space="preserve"> </w:t>
      </w:r>
      <w:r w:rsidR="00794632" w:rsidRPr="004118AE">
        <w:t xml:space="preserve"> </w:t>
      </w:r>
      <w:r w:rsidRPr="004118AE">
        <w:t>C</w:t>
      </w:r>
      <w:r w:rsidR="00794632" w:rsidRPr="004118AE">
        <w:t xml:space="preserve">e </w:t>
      </w:r>
      <w:r w:rsidRPr="004118AE">
        <w:t>pays</w:t>
      </w:r>
      <w:r w:rsidR="00794632" w:rsidRPr="004118AE">
        <w:t xml:space="preserve"> a défendu </w:t>
      </w:r>
      <w:r w:rsidRPr="004118AE">
        <w:t>12</w:t>
      </w:r>
      <w:r w:rsidR="006A33AF" w:rsidRPr="004118AE">
        <w:t> </w:t>
      </w:r>
      <w:r w:rsidRPr="004118AE">
        <w:t xml:space="preserve">initiatives pour le </w:t>
      </w:r>
      <w:r w:rsidR="00435040" w:rsidRPr="004118AE">
        <w:t>plan d</w:t>
      </w:r>
      <w:r w:rsidR="00FF47D7" w:rsidRPr="004118AE">
        <w:t>’</w:t>
      </w:r>
      <w:r w:rsidR="00435040" w:rsidRPr="004118AE">
        <w:t>action en matière de droits de propriété intellectuelle (</w:t>
      </w:r>
      <w:r w:rsidR="00110FEA" w:rsidRPr="004118AE">
        <w:t>IPR Action Plan</w:t>
      </w:r>
      <w:r w:rsidR="00435040" w:rsidRPr="004118AE">
        <w:t>)</w:t>
      </w:r>
      <w:r w:rsidR="000A4D2B" w:rsidRPr="004118AE">
        <w:t xml:space="preserve"> </w:t>
      </w:r>
      <w:r w:rsidR="005F3FE3" w:rsidRPr="004118AE">
        <w:t>pour 2016</w:t>
      </w:r>
      <w:r w:rsidR="00BC3CD7">
        <w:noBreakHyphen/>
      </w:r>
      <w:r w:rsidR="00435040" w:rsidRPr="004118AE">
        <w:t>202</w:t>
      </w:r>
      <w:r w:rsidR="00CC2CE6">
        <w:t>5</w:t>
      </w:r>
      <w:r w:rsidRPr="004118AE">
        <w:t>.</w:t>
      </w:r>
    </w:p>
    <w:p w14:paraId="5FABCFD7" w14:textId="2DFD1A47" w:rsidR="005F3FE3" w:rsidRPr="004118AE" w:rsidRDefault="00682614" w:rsidP="00DA07A9">
      <w:pPr>
        <w:pStyle w:val="ONUMFS"/>
      </w:pPr>
      <w:r w:rsidRPr="004118AE">
        <w:t>L</w:t>
      </w:r>
      <w:r w:rsidR="00FF47D7" w:rsidRPr="004118AE">
        <w:t>’</w:t>
      </w:r>
      <w:r w:rsidRPr="004118AE">
        <w:t>IPOPHL</w:t>
      </w:r>
      <w:r w:rsidR="00FB1485" w:rsidRPr="004118AE">
        <w:t xml:space="preserve"> fait partie du réseau de procédure accélérée d</w:t>
      </w:r>
      <w:r w:rsidR="00FF47D7" w:rsidRPr="004118AE">
        <w:t>’</w:t>
      </w:r>
      <w:r w:rsidR="00FB1485" w:rsidRPr="004118AE">
        <w:t>examen de demandes de brevet (PPH), constitué de l</w:t>
      </w:r>
      <w:r w:rsidR="00FF47D7" w:rsidRPr="004118AE">
        <w:t>’</w:t>
      </w:r>
      <w:r w:rsidR="00FB1485" w:rsidRPr="004118AE">
        <w:t xml:space="preserve">IP5 (EPO, USPTO, SIPO, JPO </w:t>
      </w:r>
      <w:r w:rsidR="006A33AF" w:rsidRPr="004118AE">
        <w:t>et</w:t>
      </w:r>
      <w:r w:rsidR="00FB1485" w:rsidRPr="004118AE">
        <w:t xml:space="preserve"> KIPO), de l</w:t>
      </w:r>
      <w:r w:rsidR="00FF47D7" w:rsidRPr="004118AE">
        <w:t>’</w:t>
      </w:r>
      <w:r w:rsidR="00FB1485" w:rsidRPr="004118AE">
        <w:t>Australie, du Canada, d</w:t>
      </w:r>
      <w:r w:rsidR="00FF47D7" w:rsidRPr="004118AE">
        <w:t>’</w:t>
      </w:r>
      <w:r w:rsidR="00FB1485" w:rsidRPr="004118AE">
        <w:t>Israël, du Mexique et de Singapour, entre autr</w:t>
      </w:r>
      <w:r w:rsidR="006A33AF" w:rsidRPr="004118AE">
        <w:t>es.  Le</w:t>
      </w:r>
      <w:r w:rsidR="005F3FE3" w:rsidRPr="004118AE">
        <w:t> PPH</w:t>
      </w:r>
      <w:r w:rsidR="00D95228" w:rsidRPr="004118AE">
        <w:t xml:space="preserve"> est un cadre </w:t>
      </w:r>
      <w:r w:rsidR="00BD1E48" w:rsidRPr="004118AE">
        <w:t xml:space="preserve">permettant </w:t>
      </w:r>
      <w:r w:rsidR="00D95228" w:rsidRPr="004118AE">
        <w:t>le partage du travail entre les offices de brevets</w:t>
      </w:r>
      <w:r w:rsidR="00BD1E48" w:rsidRPr="004118AE">
        <w:t>,</w:t>
      </w:r>
      <w:r w:rsidR="00D95228" w:rsidRPr="004118AE">
        <w:t xml:space="preserve"> qui vise à accélérer la procédure d</w:t>
      </w:r>
      <w:r w:rsidR="00FF47D7" w:rsidRPr="004118AE">
        <w:t>’</w:t>
      </w:r>
      <w:r w:rsidR="00D95228" w:rsidRPr="004118AE">
        <w:t>examen, à optimiser l</w:t>
      </w:r>
      <w:r w:rsidR="00FF47D7" w:rsidRPr="004118AE">
        <w:t>’</w:t>
      </w:r>
      <w:r w:rsidR="00D95228" w:rsidRPr="004118AE">
        <w:t>utilisation des ressources et à améliorer la qualité de l</w:t>
      </w:r>
      <w:r w:rsidR="00FF47D7" w:rsidRPr="004118AE">
        <w:t>’</w:t>
      </w:r>
      <w:r w:rsidR="00D95228" w:rsidRPr="004118AE">
        <w:t>examen.</w:t>
      </w:r>
    </w:p>
    <w:p w14:paraId="0D3F2E7C" w14:textId="51F8416A" w:rsidR="001647E2" w:rsidRDefault="00110FEA" w:rsidP="00DA07A9">
      <w:pPr>
        <w:pStyle w:val="Heading1"/>
      </w:pPr>
      <w:r w:rsidRPr="004118AE">
        <w:t>VII.</w:t>
      </w:r>
      <w:r w:rsidR="005F698D">
        <w:tab/>
      </w:r>
      <w:r w:rsidR="005F698D" w:rsidRPr="004118AE">
        <w:t>Conclusion</w:t>
      </w:r>
    </w:p>
    <w:p w14:paraId="3BF25407" w14:textId="77777777" w:rsidR="005F698D" w:rsidRPr="005F698D" w:rsidRDefault="005F698D" w:rsidP="00DA07A9"/>
    <w:p w14:paraId="4BE7159A" w14:textId="44A48200" w:rsidR="001647E2" w:rsidRPr="004118AE" w:rsidRDefault="003E1B21" w:rsidP="00DA07A9">
      <w:pPr>
        <w:pStyle w:val="ONUMFS"/>
      </w:pPr>
      <w:r w:rsidRPr="004118AE">
        <w:t>L</w:t>
      </w:r>
      <w:r w:rsidR="00FF47D7" w:rsidRPr="004118AE">
        <w:t>’</w:t>
      </w:r>
      <w:r w:rsidRPr="004118AE">
        <w:t>IPOPHL</w:t>
      </w:r>
      <w:r w:rsidR="00BD1E48" w:rsidRPr="004118AE">
        <w:t xml:space="preserve"> répond aux exigences minimales pour être désigné en qualité d</w:t>
      </w:r>
      <w:r w:rsidR="00FF47D7" w:rsidRPr="004118AE">
        <w:t>’</w:t>
      </w:r>
      <w:r w:rsidR="00BD1E48" w:rsidRPr="004118AE">
        <w:t>administration internationale</w:t>
      </w:r>
      <w:r w:rsidR="00FF47D7" w:rsidRPr="004118AE">
        <w:t> :</w:t>
      </w:r>
    </w:p>
    <w:p w14:paraId="7B348484" w14:textId="63E601C9" w:rsidR="00110FEA" w:rsidRDefault="00CB294E" w:rsidP="00DA07A9">
      <w:pPr>
        <w:pStyle w:val="Heading3"/>
        <w:ind w:left="567"/>
      </w:pPr>
      <w:r w:rsidRPr="004118AE">
        <w:t>Examinateurs</w:t>
      </w:r>
    </w:p>
    <w:p w14:paraId="5A8E662F" w14:textId="77777777" w:rsidR="005F698D" w:rsidRPr="005F698D" w:rsidRDefault="005F698D" w:rsidP="00DA07A9"/>
    <w:p w14:paraId="5B1586A2" w14:textId="0ECE4D69" w:rsidR="00D271D1" w:rsidRPr="004118AE" w:rsidRDefault="002728C2" w:rsidP="00DA07A9">
      <w:pPr>
        <w:pStyle w:val="ONUMFS"/>
        <w:numPr>
          <w:ilvl w:val="1"/>
          <w:numId w:val="33"/>
        </w:numPr>
      </w:pPr>
      <w:r w:rsidRPr="004118AE">
        <w:t>a</w:t>
      </w:r>
      <w:r w:rsidR="00CB294E" w:rsidRPr="004118AE">
        <w:t>u moment de la soumission</w:t>
      </w:r>
      <w:r w:rsidR="00DD43AE" w:rsidRPr="004118AE">
        <w:t xml:space="preserve"> de sa candidature</w:t>
      </w:r>
      <w:r w:rsidR="00CB294E" w:rsidRPr="004118AE">
        <w:t xml:space="preserve">, </w:t>
      </w:r>
      <w:r w:rsidR="00DD43AE" w:rsidRPr="004118AE">
        <w:t>l</w:t>
      </w:r>
      <w:r w:rsidR="00FF47D7" w:rsidRPr="004118AE">
        <w:t>’</w:t>
      </w:r>
      <w:r w:rsidR="00DD43AE" w:rsidRPr="004118AE">
        <w:t>IPOPHL comptait</w:t>
      </w:r>
      <w:r w:rsidR="00CB294E" w:rsidRPr="004118AE">
        <w:t xml:space="preserve"> 102</w:t>
      </w:r>
      <w:r w:rsidR="006A33AF" w:rsidRPr="004118AE">
        <w:t> </w:t>
      </w:r>
      <w:r w:rsidR="00CB294E" w:rsidRPr="004118AE">
        <w:t>examina</w:t>
      </w:r>
      <w:r w:rsidR="00DD43AE" w:rsidRPr="004118AE">
        <w:t>teurs à plein temps, et lors</w:t>
      </w:r>
      <w:r w:rsidR="00B20712" w:rsidRPr="004118AE">
        <w:t xml:space="preserve"> du Comité de coopération technique</w:t>
      </w:r>
      <w:r w:rsidR="005F3FE3" w:rsidRPr="004118AE">
        <w:t xml:space="preserve"> du PCT</w:t>
      </w:r>
      <w:r w:rsidR="00B20712" w:rsidRPr="004118AE">
        <w:t xml:space="preserve"> </w:t>
      </w:r>
      <w:r w:rsidR="00CB294E" w:rsidRPr="004118AE">
        <w:t>et de l</w:t>
      </w:r>
      <w:r w:rsidR="00FF47D7" w:rsidRPr="004118AE">
        <w:t>’</w:t>
      </w:r>
      <w:r w:rsidR="00CB294E" w:rsidRPr="004118AE">
        <w:t>Assemblée</w:t>
      </w:r>
      <w:r w:rsidRPr="004118AE">
        <w:t xml:space="preserve"> de l</w:t>
      </w:r>
      <w:r w:rsidR="00FF47D7" w:rsidRPr="004118AE">
        <w:t>’</w:t>
      </w:r>
      <w:r w:rsidRPr="004118AE">
        <w:t>Union</w:t>
      </w:r>
      <w:r w:rsidR="005F3FE3" w:rsidRPr="004118AE">
        <w:t xml:space="preserve"> du PCT</w:t>
      </w:r>
      <w:r w:rsidR="00CB294E" w:rsidRPr="004118AE">
        <w:t>, il disposera de 112</w:t>
      </w:r>
      <w:r w:rsidR="006A33AF" w:rsidRPr="004118AE">
        <w:t> </w:t>
      </w:r>
      <w:r w:rsidRPr="004118AE">
        <w:t xml:space="preserve">examinateurs de brevets à </w:t>
      </w:r>
      <w:r w:rsidR="00CB294E" w:rsidRPr="004118AE">
        <w:t>plein</w:t>
      </w:r>
      <w:r w:rsidRPr="004118AE">
        <w:t xml:space="preserve"> </w:t>
      </w:r>
      <w:r w:rsidRPr="004118AE">
        <w:lastRenderedPageBreak/>
        <w:t>temps</w:t>
      </w:r>
      <w:r w:rsidR="00CB294E" w:rsidRPr="004118AE">
        <w:t xml:space="preserve"> </w:t>
      </w:r>
      <w:r w:rsidRPr="004118AE">
        <w:t>possédant les qualifications techniques suffisantes pour effectuer des recherches et</w:t>
      </w:r>
      <w:r w:rsidR="00AA4AF2" w:rsidRPr="004118AE">
        <w:t xml:space="preserve"> des examens;</w:t>
      </w:r>
    </w:p>
    <w:p w14:paraId="29603DA0" w14:textId="4D7E5AE4" w:rsidR="005F3FE3" w:rsidRPr="004118AE" w:rsidRDefault="00D271D1" w:rsidP="00DA07A9">
      <w:pPr>
        <w:pStyle w:val="ONUMFS"/>
        <w:numPr>
          <w:ilvl w:val="1"/>
          <w:numId w:val="33"/>
        </w:numPr>
      </w:pPr>
      <w:r w:rsidRPr="004118AE">
        <w:t>l</w:t>
      </w:r>
      <w:r w:rsidR="00FF47D7" w:rsidRPr="004118AE">
        <w:t>’</w:t>
      </w:r>
      <w:r w:rsidR="00BB28AA" w:rsidRPr="004118AE">
        <w:t>office</w:t>
      </w:r>
      <w:r w:rsidRPr="004118AE">
        <w:t xml:space="preserve"> dispose d</w:t>
      </w:r>
      <w:r w:rsidR="00FF47D7" w:rsidRPr="004118AE">
        <w:t>’</w:t>
      </w:r>
      <w:r w:rsidRPr="004118AE">
        <w:t>examinateurs capables de procéder à la recherche et à l</w:t>
      </w:r>
      <w:r w:rsidR="00FF47D7" w:rsidRPr="004118AE">
        <w:t>’</w:t>
      </w:r>
      <w:r w:rsidRPr="004118AE">
        <w:t xml:space="preserve">examen dans les domaines techniques requis, et possédant les connaissances linguistiques nécessaires à la compréhension au moins des langues dans lesquelles la documentation minimale citée à la </w:t>
      </w:r>
      <w:r w:rsidR="005F3FE3" w:rsidRPr="004118AE">
        <w:t>règle 3</w:t>
      </w:r>
      <w:r w:rsidRPr="004118AE">
        <w:t>4 du règlement d</w:t>
      </w:r>
      <w:r w:rsidR="00FF47D7" w:rsidRPr="004118AE">
        <w:t>’</w:t>
      </w:r>
      <w:r w:rsidRPr="004118AE">
        <w:t>exécution</w:t>
      </w:r>
      <w:r w:rsidR="005F3FE3" w:rsidRPr="004118AE">
        <w:t xml:space="preserve"> du PCT</w:t>
      </w:r>
      <w:r w:rsidRPr="004118AE">
        <w:t xml:space="preserve"> est rédigée ou traduite;</w:t>
      </w:r>
    </w:p>
    <w:p w14:paraId="2598019F" w14:textId="517618B9" w:rsidR="001647E2" w:rsidRDefault="00110FEA" w:rsidP="00DA07A9">
      <w:pPr>
        <w:pStyle w:val="Heading3"/>
        <w:ind w:left="567"/>
      </w:pPr>
      <w:r w:rsidRPr="004118AE">
        <w:t>Acc</w:t>
      </w:r>
      <w:r w:rsidR="003B1640" w:rsidRPr="004118AE">
        <w:t>ès à la documentation minimale</w:t>
      </w:r>
    </w:p>
    <w:p w14:paraId="23F30A85" w14:textId="77777777" w:rsidR="005F698D" w:rsidRPr="005F698D" w:rsidRDefault="005F698D" w:rsidP="00DA07A9"/>
    <w:p w14:paraId="14A32900" w14:textId="3244B726" w:rsidR="005F3FE3" w:rsidRPr="004118AE" w:rsidRDefault="00102649" w:rsidP="00DA07A9">
      <w:pPr>
        <w:pStyle w:val="ONUMFS"/>
        <w:numPr>
          <w:ilvl w:val="1"/>
          <w:numId w:val="33"/>
        </w:numPr>
      </w:pPr>
      <w:r w:rsidRPr="004118AE">
        <w:t>l</w:t>
      </w:r>
      <w:r w:rsidR="00FF47D7" w:rsidRPr="004118AE">
        <w:t>’</w:t>
      </w:r>
      <w:r w:rsidRPr="004118AE">
        <w:t xml:space="preserve">IPOPHL a accès à la </w:t>
      </w:r>
      <w:r w:rsidR="00E65CB6" w:rsidRPr="004118AE">
        <w:t>plateforme</w:t>
      </w:r>
      <w:r w:rsidRPr="004118AE">
        <w:t xml:space="preserve"> de recherche commerciale Thomson Innovation qui contient l</w:t>
      </w:r>
      <w:r w:rsidR="00FF47D7" w:rsidRPr="004118AE">
        <w:t>’</w:t>
      </w:r>
      <w:r w:rsidRPr="004118AE">
        <w:t>Index mondial des brevets Derwent (DWPI), ainsi qu</w:t>
      </w:r>
      <w:r w:rsidR="00FF47D7" w:rsidRPr="004118AE">
        <w:t>’</w:t>
      </w:r>
      <w:r w:rsidRPr="004118AE">
        <w:t>à un certain nombre de bases de données scientifiques et d</w:t>
      </w:r>
      <w:r w:rsidR="00FF47D7" w:rsidRPr="004118AE">
        <w:t>’</w:t>
      </w:r>
      <w:r w:rsidRPr="004118AE">
        <w:t>ingénierie non</w:t>
      </w:r>
      <w:r w:rsidR="00BC3CD7">
        <w:noBreakHyphen/>
      </w:r>
      <w:r w:rsidRPr="004118AE">
        <w:t xml:space="preserve">brevet, à la base de données mondiale WIPS, </w:t>
      </w:r>
      <w:r w:rsidR="00405523" w:rsidRPr="004118AE">
        <w:t>ainsi qu</w:t>
      </w:r>
      <w:r w:rsidR="00FF47D7" w:rsidRPr="004118AE">
        <w:t>’</w:t>
      </w:r>
      <w:r w:rsidR="00405523" w:rsidRPr="004118AE">
        <w:t>à de nombreuses bases de données publiques non</w:t>
      </w:r>
      <w:r w:rsidR="00BC3CD7">
        <w:noBreakHyphen/>
      </w:r>
      <w:r w:rsidR="00405523" w:rsidRPr="004118AE">
        <w:t>brevet, permettant de mener des recherches sur l</w:t>
      </w:r>
      <w:r w:rsidR="00FF47D7" w:rsidRPr="004118AE">
        <w:t>’</w:t>
      </w:r>
      <w:r w:rsidR="00405523" w:rsidRPr="004118AE">
        <w:t>état de la techniq</w:t>
      </w:r>
      <w:r w:rsidR="006A33AF" w:rsidRPr="004118AE">
        <w:t>ue.  L’e</w:t>
      </w:r>
      <w:r w:rsidR="00405523" w:rsidRPr="004118AE">
        <w:t xml:space="preserve">nsemble de ces outils </w:t>
      </w:r>
      <w:r w:rsidR="00F0611B" w:rsidRPr="004118AE">
        <w:t>compose la documentation minimale</w:t>
      </w:r>
      <w:r w:rsidR="005F3FE3" w:rsidRPr="004118AE">
        <w:t xml:space="preserve"> du PCT</w:t>
      </w:r>
      <w:r w:rsidR="00F0611B" w:rsidRPr="004118AE">
        <w:t>, et davantage</w:t>
      </w:r>
      <w:r w:rsidR="00E65CB6" w:rsidRPr="004118AE">
        <w:t xml:space="preserve">; </w:t>
      </w:r>
      <w:r w:rsidR="00F0611B" w:rsidRPr="004118AE">
        <w:t xml:space="preserve"> et</w:t>
      </w:r>
    </w:p>
    <w:p w14:paraId="6010431B" w14:textId="5D5157D3" w:rsidR="001647E2" w:rsidRDefault="003D6081" w:rsidP="00DA07A9">
      <w:pPr>
        <w:pStyle w:val="Heading3"/>
        <w:ind w:left="567"/>
      </w:pPr>
      <w:r w:rsidRPr="004118AE">
        <w:t>Système de gestion de la qualité</w:t>
      </w:r>
    </w:p>
    <w:p w14:paraId="3DE743F1" w14:textId="77777777" w:rsidR="005F698D" w:rsidRPr="005F698D" w:rsidRDefault="005F698D" w:rsidP="00DA07A9"/>
    <w:p w14:paraId="6AEB4C15" w14:textId="6C8765A3" w:rsidR="00110FEA" w:rsidRPr="004118AE" w:rsidRDefault="009C0BAA" w:rsidP="00DA07A9">
      <w:pPr>
        <w:pStyle w:val="ONUMFS"/>
        <w:numPr>
          <w:ilvl w:val="1"/>
          <w:numId w:val="33"/>
        </w:numPr>
      </w:pPr>
      <w:r w:rsidRPr="004118AE">
        <w:t>un système de gestion de la qualité complet et multiniveaux (contrôle de la qualité en cours de traitement, ISO QMS</w:t>
      </w:r>
      <w:r w:rsidR="004118AE" w:rsidRPr="004118AE">
        <w:t> </w:t>
      </w:r>
      <w:r w:rsidRPr="004118AE">
        <w:t>9001:2008 et PQRS) et des dispositifs internes de contrôle allant au</w:t>
      </w:r>
      <w:r w:rsidR="00BC3CD7">
        <w:noBreakHyphen/>
      </w:r>
      <w:r w:rsidRPr="004118AE">
        <w:t>delà des règles communes de la recherche internationale et de l</w:t>
      </w:r>
      <w:r w:rsidR="00FF47D7" w:rsidRPr="004118AE">
        <w:t>’</w:t>
      </w:r>
      <w:r w:rsidRPr="004118AE">
        <w:t>examen préliminaire international (</w:t>
      </w:r>
      <w:r w:rsidR="00B24847" w:rsidRPr="004118AE">
        <w:t xml:space="preserve">telles que </w:t>
      </w:r>
      <w:r w:rsidRPr="004118AE">
        <w:t>défini</w:t>
      </w:r>
      <w:r w:rsidR="003D1997" w:rsidRPr="004118AE">
        <w:t>e</w:t>
      </w:r>
      <w:r w:rsidRPr="004118AE">
        <w:t xml:space="preserve">s </w:t>
      </w:r>
      <w:r w:rsidR="003640E6" w:rsidRPr="004118AE">
        <w:t xml:space="preserve">au </w:t>
      </w:r>
      <w:r w:rsidR="005F3FE3" w:rsidRPr="004118AE">
        <w:t>chapitre 2</w:t>
      </w:r>
      <w:r w:rsidR="003640E6" w:rsidRPr="004118AE">
        <w:t>1 des Directives concernant la recherche internationale et l</w:t>
      </w:r>
      <w:r w:rsidR="00FF47D7" w:rsidRPr="004118AE">
        <w:t>’</w:t>
      </w:r>
      <w:r w:rsidR="003640E6" w:rsidRPr="004118AE">
        <w:t>examen préliminaire international selon</w:t>
      </w:r>
      <w:r w:rsidR="005F3FE3" w:rsidRPr="004118AE">
        <w:t xml:space="preserve"> le PCT</w:t>
      </w:r>
      <w:r w:rsidRPr="004118AE">
        <w:t>).</w:t>
      </w:r>
    </w:p>
    <w:p w14:paraId="1135976D" w14:textId="18347670" w:rsidR="005F3FE3" w:rsidRPr="004118AE" w:rsidRDefault="00C73EB9" w:rsidP="00DA07A9">
      <w:pPr>
        <w:pStyle w:val="ONUMFS"/>
      </w:pPr>
      <w:r w:rsidRPr="004118AE">
        <w:t>L</w:t>
      </w:r>
      <w:r w:rsidR="00FF47D7" w:rsidRPr="004118AE">
        <w:t>’</w:t>
      </w:r>
      <w:r w:rsidRPr="004118AE">
        <w:t>IPOPHL satisfait aux exigences minimales pour être désigné en qualité d</w:t>
      </w:r>
      <w:r w:rsidR="00FF47D7" w:rsidRPr="004118AE">
        <w:t>’</w:t>
      </w:r>
      <w:r w:rsidRPr="004118AE">
        <w:t>administration internationale.</w:t>
      </w:r>
      <w:r w:rsidR="001647E2" w:rsidRPr="004118AE">
        <w:t xml:space="preserve">  </w:t>
      </w:r>
      <w:r w:rsidRPr="004118AE">
        <w:t>L</w:t>
      </w:r>
      <w:r w:rsidR="00BB28AA">
        <w:t>e </w:t>
      </w:r>
      <w:r w:rsidR="00070166" w:rsidRPr="004118AE">
        <w:t xml:space="preserve">JPO et </w:t>
      </w:r>
      <w:r w:rsidRPr="004118AE">
        <w:t>IP</w:t>
      </w:r>
      <w:r w:rsidR="00E65CB6" w:rsidRPr="004118AE">
        <w:t> </w:t>
      </w:r>
      <w:proofErr w:type="spellStart"/>
      <w:r w:rsidRPr="004118AE">
        <w:t>Australia</w:t>
      </w:r>
      <w:proofErr w:type="spellEnd"/>
      <w:r w:rsidRPr="004118AE">
        <w:t>, administrat</w:t>
      </w:r>
      <w:r w:rsidR="00070166" w:rsidRPr="004118AE">
        <w:t>ions internationales reconnues, ont conclu à la suite de leur évaluation que l</w:t>
      </w:r>
      <w:r w:rsidR="00FF47D7" w:rsidRPr="004118AE">
        <w:t>’</w:t>
      </w:r>
      <w:r w:rsidR="00BB28AA" w:rsidRPr="004118AE">
        <w:t>office</w:t>
      </w:r>
      <w:r w:rsidR="00070166" w:rsidRPr="004118AE">
        <w:t xml:space="preserve"> aura satisfait aux exigences au moment où l</w:t>
      </w:r>
      <w:r w:rsidR="00FF47D7" w:rsidRPr="004118AE">
        <w:t>’</w:t>
      </w:r>
      <w:r w:rsidR="00070166" w:rsidRPr="004118AE">
        <w:t>Assemblée se réunira.</w:t>
      </w:r>
    </w:p>
    <w:p w14:paraId="2ED0EEB0" w14:textId="0F6DD4F2" w:rsidR="001647E2" w:rsidRPr="004118AE" w:rsidRDefault="003627CA" w:rsidP="00DA07A9">
      <w:pPr>
        <w:pStyle w:val="ONUMFS"/>
      </w:pPr>
      <w:r w:rsidRPr="004118AE">
        <w:t>Nous disposons d</w:t>
      </w:r>
      <w:r w:rsidR="00FF47D7" w:rsidRPr="004118AE">
        <w:t>’</w:t>
      </w:r>
      <w:r w:rsidRPr="004118AE">
        <w:t>une infrastructure informatique fiable et sûre pouvant prendre en charge de manière adéquate les activités nationales et internationales.</w:t>
      </w:r>
    </w:p>
    <w:p w14:paraId="2061A49D" w14:textId="796CD4CE" w:rsidR="00110FEA" w:rsidRPr="004118AE" w:rsidRDefault="003627CA" w:rsidP="00DA07A9">
      <w:pPr>
        <w:pStyle w:val="ONUMFS"/>
      </w:pPr>
      <w:r w:rsidRPr="004118AE">
        <w:t>Le système</w:t>
      </w:r>
      <w:r w:rsidR="005F3FE3" w:rsidRPr="004118AE">
        <w:t xml:space="preserve"> du PCT</w:t>
      </w:r>
      <w:r w:rsidRPr="004118AE">
        <w:t xml:space="preserve"> est confronté à une demande croissante en faveur d</w:t>
      </w:r>
      <w:r w:rsidR="00FF47D7" w:rsidRPr="004118AE">
        <w:t>’</w:t>
      </w:r>
      <w:r w:rsidRPr="004118AE">
        <w:t>une collaboration internationa</w:t>
      </w:r>
      <w:r w:rsidR="006A33AF" w:rsidRPr="004118AE">
        <w:t>le.  Co</w:t>
      </w:r>
      <w:r w:rsidRPr="004118AE">
        <w:t>mpte tenu de la grande expérience de l</w:t>
      </w:r>
      <w:r w:rsidR="00FF47D7" w:rsidRPr="004118AE">
        <w:t>’</w:t>
      </w:r>
      <w:r w:rsidRPr="004118AE">
        <w:t>IPOPHL en matière de recherche et d</w:t>
      </w:r>
      <w:r w:rsidR="00FF47D7" w:rsidRPr="004118AE">
        <w:t>’</w:t>
      </w:r>
      <w:r w:rsidRPr="004118AE">
        <w:t>examen, des compétences linguistiques de son personnel, d</w:t>
      </w:r>
      <w:r w:rsidR="00514DF5" w:rsidRPr="004118AE">
        <w:t xml:space="preserve">e son </w:t>
      </w:r>
      <w:r w:rsidRPr="004118AE">
        <w:t>système complet de gestion de la qualité</w:t>
      </w:r>
      <w:r w:rsidR="00514DF5" w:rsidRPr="004118AE">
        <w:t>,</w:t>
      </w:r>
      <w:r w:rsidRPr="004118AE">
        <w:t xml:space="preserve"> et de</w:t>
      </w:r>
      <w:r w:rsidR="00514DF5" w:rsidRPr="004118AE">
        <w:t xml:space="preserve"> son </w:t>
      </w:r>
      <w:r w:rsidRPr="004118AE">
        <w:t xml:space="preserve">accès à des bases de données réputées, </w:t>
      </w:r>
      <w:r w:rsidR="00514DF5" w:rsidRPr="004118AE">
        <w:t xml:space="preserve">il </w:t>
      </w:r>
      <w:r w:rsidRPr="004118AE">
        <w:t xml:space="preserve">est en mesure </w:t>
      </w:r>
      <w:r w:rsidR="00514DF5" w:rsidRPr="004118AE">
        <w:t xml:space="preserve">de contribuer au </w:t>
      </w:r>
      <w:r w:rsidRPr="004118AE">
        <w:t xml:space="preserve">système </w:t>
      </w:r>
      <w:r w:rsidR="00514DF5" w:rsidRPr="004118AE">
        <w:t>en réalisant la recherche internationale et l</w:t>
      </w:r>
      <w:r w:rsidR="00FF47D7" w:rsidRPr="004118AE">
        <w:t>’</w:t>
      </w:r>
      <w:r w:rsidR="00514DF5" w:rsidRPr="004118AE">
        <w:t>examen international dans le respect de la qualité et des délais.</w:t>
      </w:r>
    </w:p>
    <w:p w14:paraId="5CF4EA3C" w14:textId="77777777" w:rsidR="00F241A3" w:rsidRDefault="00F241A3" w:rsidP="00DA07A9"/>
    <w:p w14:paraId="204BBBA5" w14:textId="77777777" w:rsidR="005F698D" w:rsidRPr="004118AE" w:rsidRDefault="005F698D" w:rsidP="00DA07A9"/>
    <w:p w14:paraId="3ACAD969" w14:textId="1D62BD99" w:rsidR="00AA5F79" w:rsidRPr="00F94A20" w:rsidRDefault="00B25682" w:rsidP="00DA07A9">
      <w:pPr>
        <w:pStyle w:val="Endofdocument-Annex"/>
        <w:rPr>
          <w:lang w:val="fr-FR"/>
        </w:rPr>
      </w:pPr>
      <w:r w:rsidRPr="00F94A20">
        <w:rPr>
          <w:lang w:val="fr-FR"/>
        </w:rPr>
        <w:t>[</w:t>
      </w:r>
      <w:r w:rsidR="00514DF5" w:rsidRPr="00F94A20">
        <w:rPr>
          <w:lang w:val="fr-FR"/>
        </w:rPr>
        <w:t xml:space="preserve">Les </w:t>
      </w:r>
      <w:r w:rsidR="005F698D" w:rsidRPr="00F94A20">
        <w:rPr>
          <w:lang w:val="fr-FR"/>
        </w:rPr>
        <w:t>appendices</w:t>
      </w:r>
      <w:r w:rsidR="00514DF5" w:rsidRPr="00F94A20">
        <w:rPr>
          <w:lang w:val="fr-FR"/>
        </w:rPr>
        <w:t xml:space="preserve"> suivent</w:t>
      </w:r>
      <w:r w:rsidRPr="00F94A20">
        <w:rPr>
          <w:lang w:val="fr-FR"/>
        </w:rPr>
        <w:t>]</w:t>
      </w:r>
    </w:p>
    <w:p w14:paraId="4D68286F" w14:textId="77777777" w:rsidR="008C1458" w:rsidRDefault="008C1458" w:rsidP="00DA07A9"/>
    <w:p w14:paraId="2DB98DD3" w14:textId="77777777" w:rsidR="008C1458" w:rsidRDefault="008C1458" w:rsidP="00DA07A9">
      <w:pPr>
        <w:sectPr w:rsidR="008C1458" w:rsidSect="005F3FE3">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pPr>
    </w:p>
    <w:p w14:paraId="1CFAA304" w14:textId="77777777" w:rsidR="008C1458" w:rsidRPr="00CE3172" w:rsidRDefault="008C1458" w:rsidP="00DA07A9">
      <w:pPr>
        <w:jc w:val="center"/>
        <w:rPr>
          <w:lang w:val="fr-FR"/>
        </w:rPr>
      </w:pPr>
      <w:r w:rsidRPr="00CE3172">
        <w:rPr>
          <w:lang w:val="fr-FR"/>
        </w:rPr>
        <w:lastRenderedPageBreak/>
        <w:t>APPENDICE 1</w:t>
      </w:r>
    </w:p>
    <w:p w14:paraId="564C9563" w14:textId="77777777" w:rsidR="008C1458" w:rsidRPr="00CE3172" w:rsidRDefault="008C1458" w:rsidP="00DA07A9">
      <w:pPr>
        <w:jc w:val="center"/>
        <w:rPr>
          <w:lang w:val="fr-FR"/>
        </w:rPr>
      </w:pPr>
    </w:p>
    <w:p w14:paraId="530BD500" w14:textId="77777777" w:rsidR="008C1458" w:rsidRPr="00CE3172" w:rsidRDefault="008C1458" w:rsidP="00DA07A9">
      <w:pPr>
        <w:tabs>
          <w:tab w:val="right" w:pos="9355"/>
        </w:tabs>
        <w:rPr>
          <w:caps/>
          <w:lang w:val="fr-FR"/>
        </w:rPr>
      </w:pPr>
      <w:r w:rsidRPr="00CE3172">
        <w:rPr>
          <w:caps/>
          <w:lang w:val="fr-FR"/>
        </w:rPr>
        <w:t>RAPPORT INITIAL sur LE système DE GESTION DE LA QUALITÉ</w:t>
      </w:r>
    </w:p>
    <w:p w14:paraId="07F73945" w14:textId="77777777" w:rsidR="008C1458" w:rsidRPr="00CE3172" w:rsidRDefault="008C1458" w:rsidP="00DA07A9">
      <w:pPr>
        <w:rPr>
          <w:lang w:val="fr-FR"/>
        </w:rPr>
      </w:pPr>
    </w:p>
    <w:p w14:paraId="325CBE7F" w14:textId="77777777" w:rsidR="008C1458" w:rsidRPr="00CE3172" w:rsidRDefault="008C1458" w:rsidP="00DA07A9">
      <w:pPr>
        <w:rPr>
          <w:i/>
          <w:lang w:val="fr-FR"/>
        </w:rPr>
      </w:pPr>
      <w:r w:rsidRPr="00CE3172">
        <w:rPr>
          <w:i/>
          <w:lang w:val="fr-FR"/>
        </w:rPr>
        <w:t>Établi par l’Office de la propriété intellectuelle des Philippines (IPOPHL)</w:t>
      </w:r>
    </w:p>
    <w:p w14:paraId="2B04CAFB" w14:textId="77777777" w:rsidR="008C1458" w:rsidRPr="00CE3172" w:rsidRDefault="008C1458" w:rsidP="00DA07A9">
      <w:pPr>
        <w:rPr>
          <w:lang w:val="fr-FR"/>
        </w:rPr>
      </w:pPr>
    </w:p>
    <w:p w14:paraId="71EBC58A" w14:textId="77777777" w:rsidR="008C1458" w:rsidRPr="00CE3172" w:rsidRDefault="008C1458" w:rsidP="00DA07A9">
      <w:pPr>
        <w:pStyle w:val="Guidance"/>
        <w:spacing w:line="240" w:lineRule="auto"/>
      </w:pPr>
      <w:r w:rsidRPr="00CE3172">
        <w:t>L’administration doit fournir des informations générales concernant le système de gestion de la qualité telles qu’elles figurent dans ce modèle.</w:t>
      </w:r>
    </w:p>
    <w:p w14:paraId="7D062E79" w14:textId="77777777" w:rsidR="008C1458" w:rsidRPr="00CE3172" w:rsidRDefault="008C1458" w:rsidP="00DA07A9">
      <w:pPr>
        <w:pStyle w:val="Guidance"/>
        <w:spacing w:line="240" w:lineRule="auto"/>
      </w:pPr>
      <w:r w:rsidRPr="00CE3172">
        <w:t>Les descriptions qui figurent en dessous de chacune des principales rubriques de ce modèle doivent être considérées comme des exemples du type et de la disposition des informations qui doivent être incorporées sous chaque rubrique.  Chaque administration peut, si elle le souhaite, fournir des informations supplémentaires autres que celles indiquées dans ce modèle.</w:t>
      </w:r>
    </w:p>
    <w:p w14:paraId="7131D502" w14:textId="77777777" w:rsidR="008C1458" w:rsidRPr="00CE3172" w:rsidRDefault="008C1458" w:rsidP="00DA07A9">
      <w:pPr>
        <w:pStyle w:val="Heading1"/>
        <w:rPr>
          <w:lang w:val="fr-FR"/>
        </w:rPr>
      </w:pPr>
      <w:r w:rsidRPr="00CE3172">
        <w:rPr>
          <w:lang w:val="fr-FR"/>
        </w:rPr>
        <w:t>Introduction (paragraphes 21.01 à 21.03)</w:t>
      </w:r>
    </w:p>
    <w:p w14:paraId="1FC5B413" w14:textId="77777777" w:rsidR="008C1458" w:rsidRPr="00CE3172" w:rsidRDefault="008C1458" w:rsidP="00DA07A9">
      <w:pPr>
        <w:rPr>
          <w:lang w:val="fr-FR"/>
        </w:rPr>
      </w:pPr>
    </w:p>
    <w:p w14:paraId="7E9A0A99" w14:textId="77777777" w:rsidR="008C1458" w:rsidRPr="00CE3172" w:rsidRDefault="008C1458" w:rsidP="00DA07A9">
      <w:pPr>
        <w:pStyle w:val="Guidance"/>
        <w:spacing w:line="240" w:lineRule="auto"/>
      </w:pPr>
      <w:r w:rsidRPr="00CE3172">
        <w:t>Le cas échéant, l’administration peut à ce stade indiquer la référence à des normes reconnues ou fondement du système de gestion de la qualité autre que le chapitre 21 comme la norme ISO 9001, sous la rubrique “Référence normative applicable au SGQ”</w:t>
      </w:r>
    </w:p>
    <w:p w14:paraId="76959DA5" w14:textId="77777777" w:rsidR="008C1458" w:rsidRPr="00CE3172" w:rsidRDefault="008C1458" w:rsidP="00DA07A9">
      <w:pPr>
        <w:pStyle w:val="Guidance"/>
        <w:spacing w:line="240" w:lineRule="auto"/>
      </w:pPr>
      <w:r w:rsidRPr="00CE3172">
        <w:t>Par exemple : “Références normatives applicables au SGQ : ISO 9001, EQS (Système européen de gestion de la qualité)”</w:t>
      </w:r>
    </w:p>
    <w:p w14:paraId="64CDABC4" w14:textId="77777777" w:rsidR="008C1458" w:rsidRPr="00CE3172" w:rsidRDefault="008C1458" w:rsidP="00DA07A9">
      <w:pPr>
        <w:pStyle w:val="Guidance"/>
        <w:spacing w:line="240" w:lineRule="auto"/>
      </w:pPr>
      <w:r w:rsidRPr="00CE3172">
        <w:t>Chaque administration doit ensuite fournir au moins l’information indiquée dans les encadrés descriptifs, sous les rubriques suivantes.</w:t>
      </w:r>
    </w:p>
    <w:p w14:paraId="41435C8A" w14:textId="1C82834B" w:rsidR="008C1458" w:rsidRPr="00CE3172" w:rsidRDefault="008C1458" w:rsidP="00DA07A9">
      <w:pPr>
        <w:pStyle w:val="ONUMFS"/>
        <w:numPr>
          <w:ilvl w:val="0"/>
          <w:numId w:val="0"/>
        </w:numPr>
        <w:rPr>
          <w:lang w:val="fr-FR"/>
        </w:rPr>
      </w:pPr>
      <w:r w:rsidRPr="00CE3172">
        <w:rPr>
          <w:lang w:val="fr-FR"/>
        </w:rPr>
        <w:t>L’IPOPHL a été créé dans le but de gérer et de mettre en œuvre les politiques de l’État en matière de propriété intellectuelle.</w:t>
      </w:r>
    </w:p>
    <w:p w14:paraId="5041E7E8" w14:textId="5E79F975" w:rsidR="008C1458" w:rsidRPr="00CE3172" w:rsidRDefault="008C1458" w:rsidP="00DA07A9">
      <w:pPr>
        <w:pStyle w:val="ONUMFS"/>
        <w:numPr>
          <w:ilvl w:val="0"/>
          <w:numId w:val="0"/>
        </w:numPr>
        <w:rPr>
          <w:lang w:val="fr-FR"/>
        </w:rPr>
      </w:pPr>
      <w:r w:rsidRPr="00CE3172">
        <w:rPr>
          <w:lang w:val="fr-FR"/>
        </w:rPr>
        <w:t>Le Gouvernement philippin exige de tous les organismes publics qu’ils améliorent constamment les services fournis, qu’ils augmentent la productivité et l’efficacité institutionnelles, et qu’ils renforcent le professionnalisme et l’engagement des employés vis</w:t>
      </w:r>
      <w:r w:rsidR="00BC3CD7">
        <w:rPr>
          <w:lang w:val="fr-FR"/>
        </w:rPr>
        <w:noBreakHyphen/>
      </w:r>
      <w:r w:rsidRPr="00CE3172">
        <w:rPr>
          <w:lang w:val="fr-FR"/>
        </w:rPr>
        <w:t>à</w:t>
      </w:r>
      <w:r w:rsidR="00BC3CD7">
        <w:rPr>
          <w:lang w:val="fr-FR"/>
        </w:rPr>
        <w:noBreakHyphen/>
      </w:r>
      <w:r w:rsidRPr="00CE3172">
        <w:rPr>
          <w:lang w:val="fr-FR"/>
        </w:rPr>
        <w:t>vis de leur travail.  En outre, il ordonne aux organismes publics de mettre en place la structure, les mécanismes et les normes utiles à l’application du programme public de gestion de la qualité.  L’IPOPHL appuie le programme national de mise en œuvre d’un système de gestion de la qualité (SGQ), dont l’objectif est d’institutionnaliser la structure, les mécanismes et les normes destinés à systématiser la gestion des processus opérationnels du gouvernement.</w:t>
      </w:r>
    </w:p>
    <w:p w14:paraId="0B6A9DF4" w14:textId="6C55CB8A" w:rsidR="008C1458" w:rsidRPr="00CE3172" w:rsidRDefault="008C1458" w:rsidP="00DA07A9">
      <w:pPr>
        <w:pStyle w:val="ONUMFS"/>
        <w:numPr>
          <w:ilvl w:val="0"/>
          <w:numId w:val="0"/>
        </w:numPr>
        <w:rPr>
          <w:lang w:val="fr-FR"/>
        </w:rPr>
      </w:pPr>
      <w:r w:rsidRPr="00CE3172">
        <w:rPr>
          <w:lang w:val="fr-FR"/>
        </w:rPr>
        <w:t>Conformément à sa politique en matière de qualité, l’IPOPHL s’efforce de promouvoir la création et la protection de la propriété intellectuelle tout en soutenant des effectifs compétents qui ont pour mission de fournir des services de haute qualité aux parties prenantes.  En amont de ce soutien, l’</w:t>
      </w:r>
      <w:r w:rsidR="00BB28AA" w:rsidRPr="00CE3172">
        <w:rPr>
          <w:lang w:val="fr-FR"/>
        </w:rPr>
        <w:t>office</w:t>
      </w:r>
      <w:r w:rsidRPr="00CE3172">
        <w:rPr>
          <w:lang w:val="fr-FR"/>
        </w:rPr>
        <w:t xml:space="preserve"> s’emploie à améliorer en permanence ses processus en examinant et en évaluant régulièrement sa performance et ses procédures afin de corriger efficacement les insuffisances et d’adopter une nouvelle approche ou de renforcer les normes en place.</w:t>
      </w:r>
    </w:p>
    <w:p w14:paraId="143A57FC" w14:textId="03343022" w:rsidR="008C1458" w:rsidRPr="00CE3172" w:rsidRDefault="008C1458" w:rsidP="00DA07A9">
      <w:pPr>
        <w:pStyle w:val="ONUMFS"/>
        <w:numPr>
          <w:ilvl w:val="0"/>
          <w:numId w:val="0"/>
        </w:numPr>
        <w:rPr>
          <w:lang w:val="fr-FR"/>
        </w:rPr>
      </w:pPr>
      <w:r w:rsidRPr="00CE3172">
        <w:rPr>
          <w:lang w:val="fr-FR"/>
        </w:rPr>
        <w:t>Un Manuel sur la qualité a été élaboré en 2012 afin d’assurer l’intégrité des procédures de l’</w:t>
      </w:r>
      <w:r w:rsidR="00BB28AA" w:rsidRPr="00CE3172">
        <w:rPr>
          <w:lang w:val="fr-FR"/>
        </w:rPr>
        <w:t>office</w:t>
      </w:r>
      <w:r w:rsidRPr="00CE3172">
        <w:rPr>
          <w:lang w:val="fr-FR"/>
        </w:rPr>
        <w:t xml:space="preserve"> et de les améliorer.  En 2013, le Bureau des brevets a entrepris le développement d’un système de contrôle de la qualité des brevets (PQRS) destiné à garantir la qualité et la cohérence des travaux comme les rapports sur les conditions de forme, les rapports de recherche et les rapports sur l’examen de fond.</w:t>
      </w:r>
    </w:p>
    <w:p w14:paraId="1D4E16D2" w14:textId="77777777" w:rsidR="008C1458" w:rsidRPr="00CE3172" w:rsidRDefault="008C1458" w:rsidP="00DA07A9">
      <w:pPr>
        <w:pStyle w:val="Heading1"/>
        <w:ind w:left="0" w:firstLine="0"/>
        <w:rPr>
          <w:lang w:val="fr-FR"/>
        </w:rPr>
      </w:pPr>
      <w:r w:rsidRPr="00CE3172">
        <w:rPr>
          <w:lang w:val="fr-FR"/>
        </w:rPr>
        <w:t>Référence normative : certification ISO 9001:2008 obtenue par l’IPOPHL (système de gestion de la qualité)</w:t>
      </w:r>
    </w:p>
    <w:p w14:paraId="57CE3993" w14:textId="77777777" w:rsidR="008C1458" w:rsidRPr="00CE3172" w:rsidRDefault="008C1458" w:rsidP="00DA07A9">
      <w:pPr>
        <w:keepNext/>
        <w:rPr>
          <w:lang w:val="fr-FR"/>
        </w:rPr>
      </w:pPr>
    </w:p>
    <w:p w14:paraId="1D839A97" w14:textId="77777777" w:rsidR="008C1458" w:rsidRPr="00CE3172" w:rsidRDefault="008C1458" w:rsidP="00DA07A9">
      <w:pPr>
        <w:pStyle w:val="ONUMFS"/>
        <w:numPr>
          <w:ilvl w:val="0"/>
          <w:numId w:val="0"/>
        </w:numPr>
        <w:rPr>
          <w:lang w:val="fr-FR"/>
        </w:rPr>
      </w:pPr>
      <w:r w:rsidRPr="00CE3172">
        <w:rPr>
          <w:lang w:val="fr-FR"/>
        </w:rPr>
        <w:t xml:space="preserve">En tant qu’organisme certifié ISO 9001:2008, l’IPOPHL a mis en place un système de gestion de la qualité applicable à ses processus essentiels d’enregistrement de brevets, de modèles d’utilité, de dessins ou modèles industriels et de marques.  Ce système institutionnalise la structure, les mécanismes et les normes destinés à systématiser la gestion des processus </w:t>
      </w:r>
      <w:r w:rsidRPr="00CE3172">
        <w:rPr>
          <w:lang w:val="fr-FR"/>
        </w:rPr>
        <w:lastRenderedPageBreak/>
        <w:t>opérationnels.  En outre, il prévoit un audit qualité interne.  À l’heure actuelle, l’IPOPHL se prépare à passer à la norme ISO 9001:2015 afin que l’organisation puisse continuer à fonctionner efficacement, qu’elle formule des stratégies efficaces de gestion des risques et qu’elle améliore la satisfaction de la clientèle.</w:t>
      </w:r>
    </w:p>
    <w:p w14:paraId="5CCE52B1" w14:textId="77777777" w:rsidR="008C1458" w:rsidRPr="00CE3172" w:rsidRDefault="008C1458" w:rsidP="00DA07A9">
      <w:pPr>
        <w:pStyle w:val="Heading1"/>
        <w:rPr>
          <w:lang w:val="fr-FR"/>
        </w:rPr>
      </w:pPr>
      <w:r w:rsidRPr="00CE3172">
        <w:rPr>
          <w:lang w:val="fr-FR"/>
        </w:rPr>
        <w:t>1.</w:t>
      </w:r>
      <w:r w:rsidRPr="00CE3172">
        <w:rPr>
          <w:lang w:val="fr-FR"/>
        </w:rPr>
        <w:tab/>
        <w:t>Encadrement et politique</w:t>
      </w:r>
    </w:p>
    <w:p w14:paraId="72474736" w14:textId="77777777" w:rsidR="008C1458" w:rsidRPr="00CE3172" w:rsidRDefault="008C1458" w:rsidP="00DA07A9">
      <w:pPr>
        <w:rPr>
          <w:lang w:val="fr-FR"/>
        </w:rPr>
      </w:pPr>
    </w:p>
    <w:p w14:paraId="3383C693" w14:textId="7CFAD217" w:rsidR="008C1458" w:rsidRPr="00CE3172" w:rsidRDefault="008C1458" w:rsidP="00DA07A9">
      <w:pPr>
        <w:pStyle w:val="Guidance"/>
        <w:spacing w:line="240" w:lineRule="auto"/>
      </w:pPr>
      <w:r w:rsidRPr="00CE3172">
        <w:t>21.04</w:t>
      </w:r>
      <w:r w:rsidRPr="00CE3172">
        <w:tab/>
        <w:t>Confirmer que les éléments ci</w:t>
      </w:r>
      <w:r w:rsidR="00BC3CD7">
        <w:noBreakHyphen/>
      </w:r>
      <w:r w:rsidRPr="00CE3172">
        <w:t>après sont bien documentés et que ces documents sont disponibles en interne :</w:t>
      </w:r>
    </w:p>
    <w:p w14:paraId="6165B4B7" w14:textId="77777777" w:rsidR="008C1458" w:rsidRPr="00CE3172" w:rsidRDefault="008C1458" w:rsidP="00DA07A9">
      <w:pPr>
        <w:pStyle w:val="GuidanceNumbereda"/>
        <w:spacing w:line="240" w:lineRule="auto"/>
      </w:pPr>
      <w:r w:rsidRPr="00CE3172">
        <w:tab/>
        <w:t>a)</w:t>
      </w:r>
      <w:r w:rsidRPr="00CE3172">
        <w:tab/>
        <w:t>la politique en matière de qualité élaborée par la haute direction;</w:t>
      </w:r>
    </w:p>
    <w:p w14:paraId="15D2BCFB" w14:textId="77777777" w:rsidR="008C1458" w:rsidRPr="00CE3172" w:rsidRDefault="008C1458" w:rsidP="00DA07A9">
      <w:pPr>
        <w:pStyle w:val="GuidanceNumbereda"/>
        <w:spacing w:line="240" w:lineRule="auto"/>
        <w:ind w:left="567" w:hanging="567"/>
      </w:pPr>
      <w:r w:rsidRPr="00CE3172">
        <w:tab/>
        <w:t>b)</w:t>
      </w:r>
      <w:r w:rsidRPr="00CE3172">
        <w:tab/>
        <w:t>les rôles et noms des organes et personnes auxquels la haute direction a délégué les responsabilités relatives au système de gestion de la qualité;</w:t>
      </w:r>
    </w:p>
    <w:p w14:paraId="50A89D42" w14:textId="77777777" w:rsidR="008C1458" w:rsidRPr="00CE3172" w:rsidRDefault="008C1458" w:rsidP="00DA07A9">
      <w:pPr>
        <w:pStyle w:val="GuidanceNumbereda"/>
        <w:spacing w:line="240" w:lineRule="auto"/>
        <w:ind w:left="567" w:hanging="567"/>
      </w:pPr>
      <w:r w:rsidRPr="00CE3172">
        <w:tab/>
        <w:t>c)</w:t>
      </w:r>
      <w:r w:rsidRPr="00CE3172">
        <w:tab/>
        <w:t>un organigramme montrant tous les organes et personnes chargés du système de gestion de la qualité.</w:t>
      </w:r>
    </w:p>
    <w:p w14:paraId="6FA5D007" w14:textId="5647FACC" w:rsidR="008C1458" w:rsidRPr="00CE3172" w:rsidRDefault="008C1458" w:rsidP="00DA07A9">
      <w:pPr>
        <w:pStyle w:val="ONUMFS"/>
        <w:numPr>
          <w:ilvl w:val="0"/>
          <w:numId w:val="0"/>
        </w:numPr>
        <w:rPr>
          <w:lang w:val="fr-FR"/>
        </w:rPr>
      </w:pPr>
      <w:r w:rsidRPr="00CE3172">
        <w:rPr>
          <w:lang w:val="fr-FR"/>
        </w:rPr>
        <w:t>a)</w:t>
      </w:r>
      <w:r w:rsidRPr="00CE3172">
        <w:rPr>
          <w:lang w:val="fr-FR"/>
        </w:rPr>
        <w:tab/>
        <w:t xml:space="preserve">L’IPOPHL reconnaît qu’il est important de comprendre, </w:t>
      </w:r>
      <w:r w:rsidR="00BC3CD7">
        <w:rPr>
          <w:lang w:val="fr-FR"/>
        </w:rPr>
        <w:t xml:space="preserve">de </w:t>
      </w:r>
      <w:r w:rsidRPr="00CE3172">
        <w:rPr>
          <w:lang w:val="fr-FR"/>
        </w:rPr>
        <w:t xml:space="preserve">satisfaire et </w:t>
      </w:r>
      <w:r w:rsidR="00BC3CD7">
        <w:rPr>
          <w:lang w:val="fr-FR"/>
        </w:rPr>
        <w:t xml:space="preserve">de </w:t>
      </w:r>
      <w:r w:rsidRPr="00CE3172">
        <w:rPr>
          <w:lang w:val="fr-FR"/>
        </w:rPr>
        <w:t>mettre en valeur les besoins et les exigences des clients.  Dans cette optique, la haute direction a énoncé les principes ci</w:t>
      </w:r>
      <w:r w:rsidR="00BC3CD7">
        <w:rPr>
          <w:lang w:val="fr-FR"/>
        </w:rPr>
        <w:noBreakHyphen/>
      </w:r>
      <w:r w:rsidRPr="00CE3172">
        <w:rPr>
          <w:lang w:val="fr-FR"/>
        </w:rPr>
        <w:t>après en matière de qualité :</w:t>
      </w:r>
    </w:p>
    <w:p w14:paraId="472AA1B1" w14:textId="77777777" w:rsidR="008C1458" w:rsidRPr="00CE3172" w:rsidRDefault="008C1458" w:rsidP="00DA07A9">
      <w:pPr>
        <w:pStyle w:val="ONUMFS"/>
        <w:numPr>
          <w:ilvl w:val="0"/>
          <w:numId w:val="0"/>
        </w:numPr>
        <w:ind w:left="1134" w:hanging="567"/>
        <w:rPr>
          <w:lang w:val="fr-FR"/>
        </w:rPr>
      </w:pPr>
      <w:r w:rsidRPr="00CE3172">
        <w:rPr>
          <w:lang w:val="fr-FR"/>
        </w:rPr>
        <w:t>–</w:t>
      </w:r>
      <w:r w:rsidRPr="00CE3172">
        <w:rPr>
          <w:lang w:val="fr-FR"/>
        </w:rPr>
        <w:tab/>
        <w:t>S’efforcer de promouvoir un cadre propice à la création de propriété intellectuelle, à sa protection, à son utilisation et à son application.</w:t>
      </w:r>
    </w:p>
    <w:p w14:paraId="4989D499" w14:textId="6C7EF0A7" w:rsidR="008C1458" w:rsidRPr="00CE3172" w:rsidRDefault="008C1458" w:rsidP="00DA07A9">
      <w:pPr>
        <w:pStyle w:val="ONUMFS"/>
        <w:numPr>
          <w:ilvl w:val="0"/>
          <w:numId w:val="0"/>
        </w:numPr>
        <w:ind w:left="1134" w:hanging="567"/>
        <w:rPr>
          <w:lang w:val="fr-FR"/>
        </w:rPr>
      </w:pPr>
      <w:r w:rsidRPr="00CE3172">
        <w:rPr>
          <w:lang w:val="fr-FR"/>
        </w:rPr>
        <w:t>–</w:t>
      </w:r>
      <w:r w:rsidRPr="00CE3172">
        <w:rPr>
          <w:lang w:val="fr-FR"/>
        </w:rPr>
        <w:tab/>
        <w:t xml:space="preserve">Appuyer la constitution d’effectifs hautement motivés, compétents et unis, </w:t>
      </w:r>
      <w:r w:rsidR="00BC3CD7">
        <w:rPr>
          <w:lang w:val="fr-FR"/>
        </w:rPr>
        <w:t>soucieux d’</w:t>
      </w:r>
      <w:r w:rsidRPr="00CE3172">
        <w:rPr>
          <w:lang w:val="fr-FR"/>
        </w:rPr>
        <w:t>exercer leurs fonctions avec professionnalisme et dans le respect des principes de transparence, de responsabilité et d’intégrité.</w:t>
      </w:r>
    </w:p>
    <w:p w14:paraId="47ADCE7E" w14:textId="77777777" w:rsidR="008C1458" w:rsidRPr="00CE3172" w:rsidRDefault="008C1458" w:rsidP="00DA07A9">
      <w:pPr>
        <w:pStyle w:val="ONUMFS"/>
        <w:numPr>
          <w:ilvl w:val="0"/>
          <w:numId w:val="0"/>
        </w:numPr>
        <w:ind w:left="1134" w:hanging="567"/>
        <w:rPr>
          <w:lang w:val="fr-FR"/>
        </w:rPr>
      </w:pPr>
      <w:r w:rsidRPr="00CE3172">
        <w:rPr>
          <w:lang w:val="fr-FR"/>
        </w:rPr>
        <w:t>–</w:t>
      </w:r>
      <w:r w:rsidRPr="00CE3172">
        <w:rPr>
          <w:lang w:val="fr-FR"/>
        </w:rPr>
        <w:tab/>
        <w:t>S’employer à améliorer en permanence notre système de gestion de la qualité afin de satisfaire au plus haut niveau nos partenaires</w:t>
      </w:r>
      <w:proofErr w:type="gramStart"/>
      <w:r w:rsidRPr="00CE3172">
        <w:rPr>
          <w:lang w:val="fr-FR"/>
        </w:rPr>
        <w:t>.</w:t>
      </w:r>
      <w:proofErr w:type="gramEnd"/>
    </w:p>
    <w:p w14:paraId="71D79A9A" w14:textId="11B7C17A" w:rsidR="008C1458" w:rsidRPr="00CE3172" w:rsidRDefault="008C1458" w:rsidP="00DA07A9">
      <w:pPr>
        <w:pStyle w:val="ONUMFS"/>
        <w:numPr>
          <w:ilvl w:val="0"/>
          <w:numId w:val="0"/>
        </w:numPr>
        <w:rPr>
          <w:lang w:val="fr-FR"/>
        </w:rPr>
      </w:pPr>
      <w:r w:rsidRPr="00CE3172">
        <w:rPr>
          <w:lang w:val="fr-FR"/>
        </w:rPr>
        <w:t>À l’appui de la mission de l’IPOPHL, le Bureau des brevets a énoncé les engagements ci</w:t>
      </w:r>
      <w:r w:rsidR="00BC3CD7">
        <w:rPr>
          <w:lang w:val="fr-FR"/>
        </w:rPr>
        <w:noBreakHyphen/>
      </w:r>
      <w:r w:rsidRPr="00CE3172">
        <w:rPr>
          <w:lang w:val="fr-FR"/>
        </w:rPr>
        <w:t>après en matière de qualité :</w:t>
      </w:r>
    </w:p>
    <w:p w14:paraId="7752F62F" w14:textId="77777777" w:rsidR="008C1458" w:rsidRPr="00CE3172" w:rsidRDefault="008C1458" w:rsidP="00DA07A9">
      <w:pPr>
        <w:pStyle w:val="ONUMFS"/>
        <w:numPr>
          <w:ilvl w:val="0"/>
          <w:numId w:val="0"/>
        </w:numPr>
        <w:ind w:left="1134" w:hanging="567"/>
        <w:rPr>
          <w:lang w:val="fr-FR"/>
        </w:rPr>
      </w:pPr>
      <w:r w:rsidRPr="00CE3172">
        <w:rPr>
          <w:lang w:val="fr-FR"/>
        </w:rPr>
        <w:t>1.</w:t>
      </w:r>
      <w:r w:rsidRPr="00CE3172">
        <w:rPr>
          <w:lang w:val="fr-FR"/>
        </w:rPr>
        <w:tab/>
        <w:t>Soutenir un cadre qui assure la protection des brevets en toute équité, en toute transparence et en toute cohérence.</w:t>
      </w:r>
    </w:p>
    <w:p w14:paraId="44BB6D06" w14:textId="77777777" w:rsidR="008C1458" w:rsidRPr="00CE3172" w:rsidRDefault="008C1458" w:rsidP="00DA07A9">
      <w:pPr>
        <w:pStyle w:val="ONUMFS"/>
        <w:numPr>
          <w:ilvl w:val="0"/>
          <w:numId w:val="0"/>
        </w:numPr>
        <w:ind w:left="1134" w:hanging="567"/>
        <w:rPr>
          <w:lang w:val="fr-FR"/>
        </w:rPr>
      </w:pPr>
      <w:r w:rsidRPr="00CE3172">
        <w:rPr>
          <w:lang w:val="fr-FR"/>
        </w:rPr>
        <w:t>2.</w:t>
      </w:r>
      <w:r w:rsidRPr="00CE3172">
        <w:rPr>
          <w:lang w:val="fr-FR"/>
        </w:rPr>
        <w:tab/>
        <w:t>Doter le personnel des connaissances et des capacités nécessaires pour renforcer les compétences.</w:t>
      </w:r>
    </w:p>
    <w:p w14:paraId="65525412" w14:textId="4DAC384B" w:rsidR="008C1458" w:rsidRPr="00CE3172" w:rsidRDefault="008C1458" w:rsidP="00DA07A9">
      <w:pPr>
        <w:pStyle w:val="ONUMFS"/>
        <w:numPr>
          <w:ilvl w:val="0"/>
          <w:numId w:val="0"/>
        </w:numPr>
        <w:ind w:left="1134" w:hanging="567"/>
        <w:rPr>
          <w:lang w:val="fr-FR"/>
        </w:rPr>
      </w:pPr>
      <w:r w:rsidRPr="00CE3172">
        <w:rPr>
          <w:lang w:val="fr-FR"/>
        </w:rPr>
        <w:t>3.</w:t>
      </w:r>
      <w:r w:rsidRPr="00CE3172">
        <w:rPr>
          <w:lang w:val="fr-FR"/>
        </w:rPr>
        <w:tab/>
        <w:t>S’employer à améliorer en permanence la norme de l’</w:t>
      </w:r>
      <w:r w:rsidR="00BB28AA" w:rsidRPr="00CE3172">
        <w:rPr>
          <w:lang w:val="fr-FR"/>
        </w:rPr>
        <w:t>office</w:t>
      </w:r>
      <w:r w:rsidRPr="00CE3172">
        <w:rPr>
          <w:lang w:val="fr-FR"/>
        </w:rPr>
        <w:t xml:space="preserve"> </w:t>
      </w:r>
      <w:proofErr w:type="gramStart"/>
      <w:r w:rsidRPr="00CE3172">
        <w:rPr>
          <w:lang w:val="fr-FR"/>
        </w:rPr>
        <w:t>concernant</w:t>
      </w:r>
      <w:proofErr w:type="gramEnd"/>
      <w:r w:rsidRPr="00CE3172">
        <w:rPr>
          <w:lang w:val="fr-FR"/>
        </w:rPr>
        <w:t xml:space="preserve"> le contrôle de la qualité des brevets afin de fournir le plus haut niveau de satisfaction aux partenaires de l’</w:t>
      </w:r>
      <w:r w:rsidR="00BB28AA" w:rsidRPr="00CE3172">
        <w:rPr>
          <w:lang w:val="fr-FR"/>
        </w:rPr>
        <w:t>office</w:t>
      </w:r>
      <w:r w:rsidRPr="00CE3172">
        <w:rPr>
          <w:lang w:val="fr-FR"/>
        </w:rPr>
        <w:t>.</w:t>
      </w:r>
    </w:p>
    <w:p w14:paraId="22702F07" w14:textId="68E26DC2" w:rsidR="008C1458" w:rsidRPr="00CE3172" w:rsidRDefault="008C1458" w:rsidP="00DA07A9">
      <w:pPr>
        <w:pStyle w:val="ONUMFS"/>
        <w:numPr>
          <w:ilvl w:val="0"/>
          <w:numId w:val="0"/>
        </w:numPr>
        <w:rPr>
          <w:lang w:val="fr-FR"/>
        </w:rPr>
      </w:pPr>
      <w:r w:rsidRPr="00CE3172">
        <w:rPr>
          <w:lang w:val="fr-FR"/>
        </w:rPr>
        <w:t>La haute direction de l’IPOPHL reconnaît qu’il faut constamment améliorer la qualité et l’efficacité des services ainsi que la satisfaction de la clientèle.  C’est pourquoi l’</w:t>
      </w:r>
      <w:r w:rsidR="00BB28AA" w:rsidRPr="00CE3172">
        <w:rPr>
          <w:lang w:val="fr-FR"/>
        </w:rPr>
        <w:t>office</w:t>
      </w:r>
      <w:r w:rsidRPr="00CE3172">
        <w:rPr>
          <w:lang w:val="fr-FR"/>
        </w:rPr>
        <w:t xml:space="preserve"> s’est lancé dans le processus de certification ISO 9001:2008.</w:t>
      </w:r>
    </w:p>
    <w:p w14:paraId="44C8D604" w14:textId="21FBF591" w:rsidR="008C1458" w:rsidRPr="00CE3172" w:rsidRDefault="008C1458" w:rsidP="00DA07A9">
      <w:pPr>
        <w:pStyle w:val="ONUMFS"/>
        <w:numPr>
          <w:ilvl w:val="0"/>
          <w:numId w:val="0"/>
        </w:numPr>
        <w:rPr>
          <w:lang w:val="fr-FR"/>
        </w:rPr>
      </w:pPr>
      <w:r w:rsidRPr="00CE3172">
        <w:rPr>
          <w:rFonts w:eastAsia="MS Mincho"/>
          <w:lang w:val="fr-FR" w:eastAsia="ja-JP"/>
        </w:rPr>
        <w:t>b)</w:t>
      </w:r>
      <w:r w:rsidRPr="00CE3172">
        <w:rPr>
          <w:rFonts w:eastAsia="MS Mincho"/>
          <w:lang w:val="fr-FR" w:eastAsia="ja-JP"/>
        </w:rPr>
        <w:tab/>
        <w:t>Les attributions et les noms des organes et des personnes chargés de la mise en œuvre du système de gestion de la qualité sont présentés ci</w:t>
      </w:r>
      <w:r w:rsidR="00BC3CD7">
        <w:rPr>
          <w:rFonts w:eastAsia="MS Mincho"/>
          <w:lang w:val="fr-FR" w:eastAsia="ja-JP"/>
        </w:rPr>
        <w:noBreakHyphen/>
      </w:r>
      <w:r w:rsidRPr="00CE3172">
        <w:rPr>
          <w:rFonts w:eastAsia="MS Mincho"/>
          <w:lang w:val="fr-FR" w:eastAsia="ja-JP"/>
        </w:rPr>
        <w:t>après :</w:t>
      </w:r>
    </w:p>
    <w:p w14:paraId="67C73350" w14:textId="77777777" w:rsidR="008C1458" w:rsidRPr="00CE3172" w:rsidRDefault="008C1458" w:rsidP="00DA07A9">
      <w:pPr>
        <w:pStyle w:val="ONUMFS"/>
        <w:numPr>
          <w:ilvl w:val="0"/>
          <w:numId w:val="0"/>
        </w:numPr>
        <w:rPr>
          <w:lang w:val="fr-FR"/>
        </w:rPr>
      </w:pPr>
      <w:r w:rsidRPr="00CE3172">
        <w:rPr>
          <w:lang w:val="fr-FR"/>
        </w:rPr>
        <w:t>Le représentant pour la gestion de la qualité (QMR) veille à la bonne application et à la mise à jour du système de gestion de la qualité existant.</w:t>
      </w:r>
    </w:p>
    <w:p w14:paraId="6008786D" w14:textId="77777777" w:rsidR="008C1458" w:rsidRPr="00CE3172" w:rsidRDefault="008C1458" w:rsidP="00DA07A9">
      <w:pPr>
        <w:pStyle w:val="ONUMFS"/>
        <w:numPr>
          <w:ilvl w:val="0"/>
          <w:numId w:val="0"/>
        </w:numPr>
        <w:rPr>
          <w:lang w:val="fr-FR"/>
        </w:rPr>
      </w:pPr>
      <w:r w:rsidRPr="00CE3172">
        <w:rPr>
          <w:lang w:val="fr-FR"/>
        </w:rPr>
        <w:t>L’équipe chargée de l’audit qualité interne (IQA Team) gère les exigences liées à la mise à jour du système de gestion de la qualité existant et au contrôle de la conformité avec le système.  Elle réalise les audits internes, contrôle la mise en œuvre des mesures correctrices et préventives en cas d’irrégularités constatées lors des audits, et en assure le suivi.</w:t>
      </w:r>
    </w:p>
    <w:p w14:paraId="4000CACF" w14:textId="77777777" w:rsidR="008C1458" w:rsidRPr="00CE3172" w:rsidRDefault="008C1458" w:rsidP="00DA07A9">
      <w:pPr>
        <w:pStyle w:val="ONUMFS"/>
        <w:numPr>
          <w:ilvl w:val="0"/>
          <w:numId w:val="0"/>
        </w:numPr>
        <w:rPr>
          <w:lang w:val="fr-FR"/>
        </w:rPr>
      </w:pPr>
      <w:r w:rsidRPr="00CE3172">
        <w:rPr>
          <w:lang w:val="fr-FR"/>
        </w:rPr>
        <w:lastRenderedPageBreak/>
        <w:t>La division de gestion de la qualité (QMD) évalue la qualité de la recherche et de l’examen concernant aussi bien les demandes nationales que les demandes présentées par une administration chargée de la recherche internationale et de l’examen préliminaire international.  Cette division s’assure que les rapports sur les conditions de forme, les rapports de recherche et les rapports d’examen sont conformes aux normes de qualité en vigueur;  elle résout les questions ou les problèmes qui peuvent survenir lors de l’examen ou du processus d’évaluation de la qualité, identifie les besoins en formation des examinateurs de brevets et fait des propositions à ce sujet, recense les insuffisances dans le système d’évaluation de la qualité et propose des solutions, et évalue l’efficacité du processus d’évaluation de la qualité.</w:t>
      </w:r>
    </w:p>
    <w:p w14:paraId="79713F89" w14:textId="4FAE97C0" w:rsidR="008C1458" w:rsidRPr="00CE3172" w:rsidRDefault="008C1458" w:rsidP="00DA07A9">
      <w:pPr>
        <w:pStyle w:val="ONUMFS"/>
        <w:numPr>
          <w:ilvl w:val="0"/>
          <w:numId w:val="0"/>
        </w:numPr>
        <w:rPr>
          <w:lang w:val="fr-FR"/>
        </w:rPr>
      </w:pPr>
      <w:r w:rsidRPr="00CE3172">
        <w:rPr>
          <w:lang w:val="fr-FR"/>
        </w:rPr>
        <w:t>L’évaluateur chargé de la qualité (QR) examine, de manière confidentielle et avec discernement, la qualité de tous les travaux notamment les rapports de recherche et d’examen établis par les examinateurs chaque mois.  L’évaluateur chargé de la qualité a pour mission d’examiner la demande d’enregistrement au regard du rapport de recherche</w:t>
      </w:r>
      <w:r w:rsidR="00BC3CD7">
        <w:rPr>
          <w:lang w:val="fr-FR"/>
        </w:rPr>
        <w:t xml:space="preserve"> ou </w:t>
      </w:r>
      <w:r w:rsidRPr="00CE3172">
        <w:rPr>
          <w:lang w:val="fr-FR"/>
        </w:rPr>
        <w:t>d’examen, de compléter la liste de pointage du système de contrôle de la qualité des brevets (PQRS), et de compléter le formulaire du rapport PQRS.</w:t>
      </w:r>
    </w:p>
    <w:p w14:paraId="089F70E5" w14:textId="77777777" w:rsidR="008C1458" w:rsidRPr="00CE3172" w:rsidRDefault="008C1458" w:rsidP="00DA07A9">
      <w:pPr>
        <w:pStyle w:val="ONUMFS"/>
        <w:numPr>
          <w:ilvl w:val="0"/>
          <w:numId w:val="0"/>
        </w:numPr>
        <w:rPr>
          <w:lang w:val="fr-FR"/>
        </w:rPr>
      </w:pPr>
      <w:r w:rsidRPr="00CE3172">
        <w:rPr>
          <w:lang w:val="fr-FR"/>
        </w:rPr>
        <w:t>L’évaluateur en chef chargé de la qualité (QRS) analyse le rapport PQRS soumis par les évaluateurs chargés de la qualité avant la diffusion dudit rapport auprès de la division concernée.</w:t>
      </w:r>
    </w:p>
    <w:p w14:paraId="67BAB9E9" w14:textId="712FD349" w:rsidR="008C1458" w:rsidRPr="00CE3172" w:rsidRDefault="008C1458" w:rsidP="00DA07A9">
      <w:pPr>
        <w:pStyle w:val="ONUMFS"/>
        <w:numPr>
          <w:ilvl w:val="0"/>
          <w:numId w:val="0"/>
        </w:numPr>
        <w:rPr>
          <w:lang w:val="fr-FR"/>
        </w:rPr>
      </w:pPr>
      <w:r w:rsidRPr="00CE3172">
        <w:rPr>
          <w:lang w:val="fr-FR"/>
        </w:rPr>
        <w:t>Le chef de la division de gestion de la qualité (chef de la QMD) supervise les activités de la division et fournit un rapport mensuel sur la performance du système de contrôle de la qualité des brevets au directeur du Bureau.  Le rapport met en évidence les cas de conformité et les cas de non</w:t>
      </w:r>
      <w:r w:rsidR="00BC3CD7">
        <w:rPr>
          <w:lang w:val="fr-FR"/>
        </w:rPr>
        <w:noBreakHyphen/>
      </w:r>
      <w:r w:rsidRPr="00CE3172">
        <w:rPr>
          <w:lang w:val="fr-FR"/>
        </w:rPr>
        <w:t>conformité, identifie toute question spécifique concernant les cas de non</w:t>
      </w:r>
      <w:r w:rsidR="00BC3CD7">
        <w:rPr>
          <w:lang w:val="fr-FR"/>
        </w:rPr>
        <w:noBreakHyphen/>
      </w:r>
      <w:r w:rsidRPr="00CE3172">
        <w:rPr>
          <w:lang w:val="fr-FR"/>
        </w:rPr>
        <w:t>conformité qui nécessitent une attention immédiate et recommande des mesures appropriées.</w:t>
      </w:r>
    </w:p>
    <w:p w14:paraId="017B0CBF" w14:textId="77777777" w:rsidR="008C1458" w:rsidRPr="00CE3172" w:rsidRDefault="008C1458" w:rsidP="00DA07A9">
      <w:pPr>
        <w:pStyle w:val="ONUMFS"/>
        <w:numPr>
          <w:ilvl w:val="0"/>
          <w:numId w:val="0"/>
        </w:numPr>
        <w:rPr>
          <w:lang w:val="fr-FR"/>
        </w:rPr>
      </w:pPr>
      <w:r w:rsidRPr="00CE3172">
        <w:rPr>
          <w:lang w:val="fr-FR"/>
        </w:rPr>
        <w:t>Le comité de gestion de la qualité (QMC) est composé des superviseurs (chefs de division), du chef de la division de gestion de la qualité, de l’évaluateur en chef chargé de la qualité, du directeur du Bureau et du directeur adjoint du Bureau.  Le comité est chargé de l’élaboration des politiques et des modifications concernant le système de contrôle de la qualité des brevets et évalue les recommandations de la division de gestion de la qualité sur des questions se rapportant au système de contrôle de la qualité des brevets.</w:t>
      </w:r>
    </w:p>
    <w:p w14:paraId="68A49A7B" w14:textId="77777777" w:rsidR="008C1458" w:rsidRPr="00CE3172" w:rsidRDefault="008C1458" w:rsidP="00DA07A9">
      <w:pPr>
        <w:pStyle w:val="ONUMFS"/>
        <w:numPr>
          <w:ilvl w:val="0"/>
          <w:numId w:val="0"/>
        </w:numPr>
        <w:rPr>
          <w:lang w:val="fr-FR"/>
        </w:rPr>
      </w:pPr>
      <w:r w:rsidRPr="00CE3172">
        <w:rPr>
          <w:lang w:val="fr-FR"/>
        </w:rPr>
        <w:t>Les auditeurs externes (EA) sont des tiers chargés de vérifier la conformité de l’IPOPHL avec le système de gestion de la qualité ISO 9001:2008.</w:t>
      </w:r>
    </w:p>
    <w:p w14:paraId="0DC74923" w14:textId="77777777" w:rsidR="008C1458" w:rsidRPr="00CE3172" w:rsidRDefault="008C1458" w:rsidP="00DA07A9">
      <w:pPr>
        <w:pStyle w:val="ONUMFS"/>
        <w:keepNext/>
        <w:numPr>
          <w:ilvl w:val="0"/>
          <w:numId w:val="0"/>
        </w:numPr>
        <w:rPr>
          <w:lang w:val="fr-FR"/>
        </w:rPr>
      </w:pPr>
      <w:r w:rsidRPr="00CE3172">
        <w:rPr>
          <w:lang w:val="fr-FR"/>
        </w:rPr>
        <w:lastRenderedPageBreak/>
        <w:t>c)</w:t>
      </w:r>
      <w:r w:rsidRPr="00CE3172">
        <w:rPr>
          <w:lang w:val="fr-FR"/>
        </w:rPr>
        <w:tab/>
        <w:t>Organigramme du système de gestion de la qualité</w:t>
      </w:r>
    </w:p>
    <w:p w14:paraId="314D8A99" w14:textId="77777777" w:rsidR="008C1458" w:rsidRPr="00CE3172" w:rsidRDefault="008C1458" w:rsidP="00DA07A9">
      <w:pPr>
        <w:keepNext/>
        <w:jc w:val="center"/>
        <w:rPr>
          <w:i/>
          <w:szCs w:val="22"/>
          <w:lang w:val="fr-FR"/>
        </w:rPr>
      </w:pPr>
      <w:r w:rsidRPr="00CE3172">
        <w:rPr>
          <w:i/>
          <w:szCs w:val="22"/>
          <w:lang w:val="fr-FR"/>
        </w:rPr>
        <w:t>Schéma 1</w:t>
      </w:r>
    </w:p>
    <w:p w14:paraId="06CAE2FB" w14:textId="77777777" w:rsidR="008C1458" w:rsidRPr="00CE3172" w:rsidRDefault="008C1458" w:rsidP="00DA07A9">
      <w:pPr>
        <w:keepNext/>
        <w:shd w:val="clear" w:color="auto" w:fill="D9D9D9" w:themeFill="background1" w:themeFillShade="D9"/>
        <w:jc w:val="center"/>
        <w:rPr>
          <w:i/>
          <w:szCs w:val="22"/>
          <w:lang w:val="fr-FR"/>
        </w:rPr>
      </w:pPr>
      <w:r w:rsidRPr="00CE3172">
        <w:rPr>
          <w:i/>
          <w:szCs w:val="22"/>
          <w:lang w:val="fr-FR"/>
        </w:rPr>
        <w:t>Organigramme du système de gestion de la qualité</w:t>
      </w:r>
    </w:p>
    <w:p w14:paraId="30727108" w14:textId="77777777" w:rsidR="008C1458" w:rsidRPr="00CE3172" w:rsidRDefault="008C1458" w:rsidP="00DA07A9">
      <w:pPr>
        <w:jc w:val="center"/>
        <w:rPr>
          <w:rFonts w:ascii="Calibri" w:eastAsia="Calibri" w:hAnsi="Calibri" w:cs="Times New Roman"/>
          <w:szCs w:val="22"/>
          <w:lang w:val="fr-FR" w:eastAsia="en-US"/>
        </w:rPr>
      </w:pPr>
      <w:r w:rsidRPr="00CE3172">
        <w:rPr>
          <w:rFonts w:ascii="Calibri" w:eastAsia="Calibri" w:hAnsi="Calibri" w:cs="Times New Roman"/>
          <w:noProof/>
          <w:szCs w:val="22"/>
          <w:lang w:val="en-US" w:eastAsia="en-US"/>
        </w:rPr>
        <w:drawing>
          <wp:inline distT="0" distB="0" distL="0" distR="0" wp14:anchorId="11BBF8CB" wp14:editId="73444BE6">
            <wp:extent cx="5720945" cy="36004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srcRect t="11059"/>
                    <a:stretch/>
                  </pic:blipFill>
                  <pic:spPr bwMode="auto">
                    <a:xfrm>
                      <a:off x="0" y="0"/>
                      <a:ext cx="5726476" cy="3603931"/>
                    </a:xfrm>
                    <a:prstGeom prst="rect">
                      <a:avLst/>
                    </a:prstGeom>
                    <a:noFill/>
                    <a:ln>
                      <a:noFill/>
                    </a:ln>
                    <a:extLst>
                      <a:ext uri="{53640926-AAD7-44D8-BBD7-CCE9431645EC}">
                        <a14:shadowObscured xmlns:a14="http://schemas.microsoft.com/office/drawing/2010/main"/>
                      </a:ext>
                    </a:extLst>
                  </pic:spPr>
                </pic:pic>
              </a:graphicData>
            </a:graphic>
          </wp:inline>
        </w:drawing>
      </w:r>
    </w:p>
    <w:p w14:paraId="3166FC13" w14:textId="77777777" w:rsidR="008C1458" w:rsidRPr="00CE3172" w:rsidRDefault="008C1458" w:rsidP="00DA07A9">
      <w:pPr>
        <w:spacing w:after="200"/>
        <w:jc w:val="center"/>
        <w:rPr>
          <w:rFonts w:eastAsia="Calibri"/>
          <w:szCs w:val="22"/>
          <w:lang w:val="fr-FR" w:eastAsia="en-US"/>
        </w:rPr>
      </w:pPr>
    </w:p>
    <w:p w14:paraId="56E13945" w14:textId="77777777" w:rsidR="008C1458" w:rsidRPr="00CE3172" w:rsidRDefault="008C1458" w:rsidP="00DA07A9">
      <w:pPr>
        <w:keepNext/>
        <w:jc w:val="center"/>
        <w:rPr>
          <w:rFonts w:eastAsia="Calibri"/>
          <w:i/>
          <w:szCs w:val="22"/>
          <w:lang w:val="fr-FR" w:eastAsia="en-US"/>
        </w:rPr>
      </w:pPr>
      <w:r w:rsidRPr="00CE3172">
        <w:rPr>
          <w:rFonts w:eastAsia="Calibri"/>
          <w:i/>
          <w:szCs w:val="22"/>
          <w:lang w:val="fr-FR" w:eastAsia="en-US"/>
        </w:rPr>
        <w:t>Schéma 2</w:t>
      </w:r>
    </w:p>
    <w:p w14:paraId="195EFA24" w14:textId="77777777" w:rsidR="008C1458" w:rsidRPr="00CE3172" w:rsidRDefault="008C1458" w:rsidP="00DA07A9">
      <w:pPr>
        <w:keepNext/>
        <w:shd w:val="clear" w:color="auto" w:fill="A6A6A6" w:themeFill="background1" w:themeFillShade="A6"/>
        <w:spacing w:after="200"/>
        <w:jc w:val="center"/>
        <w:rPr>
          <w:i/>
          <w:szCs w:val="22"/>
          <w:lang w:val="fr-FR"/>
        </w:rPr>
      </w:pPr>
      <w:r w:rsidRPr="00CE3172">
        <w:rPr>
          <w:i/>
          <w:szCs w:val="22"/>
          <w:lang w:val="fr-FR"/>
        </w:rPr>
        <w:t>Organigramme de la division de gestion de la qualité</w:t>
      </w:r>
    </w:p>
    <w:p w14:paraId="6BAEE408" w14:textId="77777777" w:rsidR="008C1458" w:rsidRPr="00CE3172" w:rsidRDefault="008C1458" w:rsidP="00DA07A9">
      <w:pPr>
        <w:tabs>
          <w:tab w:val="left" w:pos="3555"/>
        </w:tabs>
        <w:spacing w:after="200"/>
        <w:jc w:val="center"/>
        <w:rPr>
          <w:rFonts w:ascii="Calibri" w:eastAsia="Calibri" w:hAnsi="Calibri" w:cs="Times New Roman"/>
          <w:szCs w:val="22"/>
          <w:lang w:val="fr-FR" w:eastAsia="en-US"/>
        </w:rPr>
      </w:pPr>
      <w:r w:rsidRPr="00CE3172">
        <w:rPr>
          <w:rFonts w:ascii="Calibri" w:eastAsia="Calibri" w:hAnsi="Calibri" w:cs="Times New Roman"/>
          <w:noProof/>
          <w:szCs w:val="22"/>
          <w:lang w:val="en-US" w:eastAsia="en-US"/>
        </w:rPr>
        <w:drawing>
          <wp:inline distT="0" distB="0" distL="0" distR="0" wp14:anchorId="1E20B3B0" wp14:editId="679A2773">
            <wp:extent cx="3193778" cy="2539093"/>
            <wp:effectExtent l="19050" t="0" r="662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3193778" cy="2539093"/>
                    </a:xfrm>
                    <a:prstGeom prst="rect">
                      <a:avLst/>
                    </a:prstGeom>
                    <a:noFill/>
                    <a:ln w="9525">
                      <a:noFill/>
                      <a:miter lim="800000"/>
                      <a:headEnd/>
                      <a:tailEnd/>
                    </a:ln>
                  </pic:spPr>
                </pic:pic>
              </a:graphicData>
            </a:graphic>
          </wp:inline>
        </w:drawing>
      </w:r>
    </w:p>
    <w:p w14:paraId="2F6F0683" w14:textId="77777777" w:rsidR="008C1458" w:rsidRPr="00CE3172" w:rsidRDefault="008C1458" w:rsidP="00DA07A9">
      <w:pPr>
        <w:rPr>
          <w:lang w:val="fr-FR"/>
        </w:rPr>
      </w:pPr>
    </w:p>
    <w:p w14:paraId="51598FF4" w14:textId="77777777" w:rsidR="008C1458" w:rsidRPr="00CE3172" w:rsidRDefault="008C1458" w:rsidP="00DA07A9">
      <w:pPr>
        <w:pStyle w:val="Guidance"/>
        <w:spacing w:line="240" w:lineRule="auto"/>
      </w:pPr>
      <w:r w:rsidRPr="00CE3172">
        <w:t>21.05</w:t>
      </w:r>
      <w:r w:rsidRPr="00CE3172">
        <w:tab/>
        <w:t>Indiquer (p. ex. au moyen d’un tableau) le degré de compatibilité entre le système de gestion de la qualité de l’administration et les exigences du chapitre 21 des Directives concernant la recherche internationale et l’examen préliminaire.  Le cas échéant, indiquer le domaine dans lequel l’administration n’a pas encore répondu à ces exigences.</w:t>
      </w:r>
    </w:p>
    <w:p w14:paraId="73F45E9A" w14:textId="77777777" w:rsidR="008C1458" w:rsidRPr="00CE3172" w:rsidRDefault="008C1458" w:rsidP="00DA07A9">
      <w:pPr>
        <w:rPr>
          <w:lang w:val="fr-FR"/>
        </w:rPr>
      </w:pPr>
    </w:p>
    <w:p w14:paraId="00DE276B" w14:textId="77777777" w:rsidR="008C1458" w:rsidRPr="00CE3172" w:rsidRDefault="008C1458" w:rsidP="00DA07A9">
      <w:pPr>
        <w:keepNext/>
        <w:spacing w:after="120"/>
        <w:rPr>
          <w:i/>
          <w:lang w:val="fr-FR"/>
        </w:rPr>
      </w:pPr>
      <w:r w:rsidRPr="00CE3172">
        <w:rPr>
          <w:i/>
          <w:lang w:val="fr-FR"/>
        </w:rPr>
        <w:lastRenderedPageBreak/>
        <w:t>Tableau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66"/>
        <w:gridCol w:w="496"/>
        <w:gridCol w:w="496"/>
        <w:gridCol w:w="5246"/>
        <w:gridCol w:w="708"/>
        <w:gridCol w:w="936"/>
        <w:gridCol w:w="822"/>
      </w:tblGrid>
      <w:tr w:rsidR="008C1458" w:rsidRPr="00CE3172" w14:paraId="63043101" w14:textId="77777777" w:rsidTr="00C96354">
        <w:trPr>
          <w:cantSplit/>
          <w:tblHeader/>
        </w:trPr>
        <w:tc>
          <w:tcPr>
            <w:tcW w:w="3698" w:type="pct"/>
            <w:gridSpan w:val="4"/>
            <w:tcBorders>
              <w:bottom w:val="nil"/>
            </w:tcBorders>
          </w:tcPr>
          <w:p w14:paraId="659AF5E2" w14:textId="77777777" w:rsidR="008C1458" w:rsidRPr="00CE3172" w:rsidRDefault="008C1458" w:rsidP="00DA07A9">
            <w:pPr>
              <w:spacing w:before="20" w:after="20"/>
              <w:rPr>
                <w:lang w:val="fr-FR"/>
              </w:rPr>
            </w:pPr>
            <w:r w:rsidRPr="00CE3172">
              <w:rPr>
                <w:lang w:val="fr-FR"/>
              </w:rPr>
              <w:t>Exigences du chapitre 21</w:t>
            </w:r>
          </w:p>
        </w:tc>
        <w:tc>
          <w:tcPr>
            <w:tcW w:w="1302" w:type="pct"/>
            <w:gridSpan w:val="3"/>
          </w:tcPr>
          <w:p w14:paraId="04D7B9EB" w14:textId="77777777" w:rsidR="008C1458" w:rsidRPr="00CE3172" w:rsidRDefault="008C1458" w:rsidP="00DA07A9">
            <w:pPr>
              <w:spacing w:before="20" w:after="20"/>
              <w:jc w:val="center"/>
              <w:rPr>
                <w:lang w:val="fr-FR"/>
              </w:rPr>
            </w:pPr>
            <w:r w:rsidRPr="00CE3172">
              <w:rPr>
                <w:lang w:val="fr-FR"/>
              </w:rPr>
              <w:t>Degré de conformité</w:t>
            </w:r>
          </w:p>
        </w:tc>
      </w:tr>
      <w:tr w:rsidR="008C1458" w:rsidRPr="00CE3172" w14:paraId="530C7399" w14:textId="77777777" w:rsidTr="00C96354">
        <w:trPr>
          <w:cantSplit/>
          <w:tblHeader/>
        </w:trPr>
        <w:tc>
          <w:tcPr>
            <w:tcW w:w="404" w:type="pct"/>
            <w:tcBorders>
              <w:top w:val="nil"/>
              <w:right w:val="nil"/>
            </w:tcBorders>
          </w:tcPr>
          <w:p w14:paraId="32D8DBE4" w14:textId="77777777" w:rsidR="008C1458" w:rsidRPr="00CE3172" w:rsidRDefault="008C1458" w:rsidP="00DA07A9">
            <w:pPr>
              <w:spacing w:before="20" w:after="20"/>
              <w:rPr>
                <w:lang w:val="fr-FR"/>
              </w:rPr>
            </w:pPr>
          </w:p>
        </w:tc>
        <w:tc>
          <w:tcPr>
            <w:tcW w:w="262" w:type="pct"/>
            <w:tcBorders>
              <w:top w:val="nil"/>
              <w:left w:val="nil"/>
              <w:right w:val="nil"/>
            </w:tcBorders>
          </w:tcPr>
          <w:p w14:paraId="44787C37" w14:textId="77777777" w:rsidR="008C1458" w:rsidRPr="00CE3172" w:rsidRDefault="008C1458" w:rsidP="00DA07A9">
            <w:pPr>
              <w:spacing w:before="20" w:after="20"/>
              <w:rPr>
                <w:lang w:val="fr-FR"/>
              </w:rPr>
            </w:pPr>
          </w:p>
        </w:tc>
        <w:tc>
          <w:tcPr>
            <w:tcW w:w="262" w:type="pct"/>
            <w:tcBorders>
              <w:top w:val="nil"/>
              <w:left w:val="nil"/>
              <w:right w:val="nil"/>
            </w:tcBorders>
          </w:tcPr>
          <w:p w14:paraId="5D422145" w14:textId="77777777" w:rsidR="008C1458" w:rsidRPr="00CE3172" w:rsidRDefault="008C1458" w:rsidP="00DA07A9">
            <w:pPr>
              <w:spacing w:before="20" w:after="20"/>
              <w:rPr>
                <w:lang w:val="fr-FR"/>
              </w:rPr>
            </w:pPr>
          </w:p>
        </w:tc>
        <w:tc>
          <w:tcPr>
            <w:tcW w:w="2770" w:type="pct"/>
            <w:tcBorders>
              <w:top w:val="nil"/>
              <w:left w:val="nil"/>
            </w:tcBorders>
          </w:tcPr>
          <w:p w14:paraId="4D03455C" w14:textId="77777777" w:rsidR="008C1458" w:rsidRPr="00CE3172" w:rsidRDefault="008C1458" w:rsidP="00DA07A9">
            <w:pPr>
              <w:spacing w:before="20" w:after="20"/>
              <w:rPr>
                <w:lang w:val="fr-FR"/>
              </w:rPr>
            </w:pPr>
          </w:p>
        </w:tc>
        <w:tc>
          <w:tcPr>
            <w:tcW w:w="374" w:type="pct"/>
          </w:tcPr>
          <w:p w14:paraId="1188A67A" w14:textId="77777777" w:rsidR="008C1458" w:rsidRPr="00CE3172" w:rsidRDefault="008C1458" w:rsidP="00DA07A9">
            <w:pPr>
              <w:spacing w:before="20" w:after="20"/>
              <w:jc w:val="center"/>
              <w:rPr>
                <w:lang w:val="fr-FR"/>
              </w:rPr>
            </w:pPr>
            <w:r w:rsidRPr="00CE3172">
              <w:rPr>
                <w:lang w:val="fr-FR"/>
              </w:rPr>
              <w:t>totale</w:t>
            </w:r>
          </w:p>
        </w:tc>
        <w:tc>
          <w:tcPr>
            <w:tcW w:w="494" w:type="pct"/>
          </w:tcPr>
          <w:p w14:paraId="426757CF" w14:textId="77777777" w:rsidR="008C1458" w:rsidRPr="00CE3172" w:rsidRDefault="008C1458" w:rsidP="00DA07A9">
            <w:pPr>
              <w:spacing w:before="20" w:after="20"/>
              <w:jc w:val="center"/>
              <w:rPr>
                <w:lang w:val="fr-FR"/>
              </w:rPr>
            </w:pPr>
            <w:r w:rsidRPr="00CE3172">
              <w:rPr>
                <w:lang w:val="fr-FR"/>
              </w:rPr>
              <w:t>partielle</w:t>
            </w:r>
          </w:p>
        </w:tc>
        <w:tc>
          <w:tcPr>
            <w:tcW w:w="434" w:type="pct"/>
          </w:tcPr>
          <w:p w14:paraId="11A0709A" w14:textId="77777777" w:rsidR="008C1458" w:rsidRPr="00CE3172" w:rsidRDefault="008C1458" w:rsidP="00DA07A9">
            <w:pPr>
              <w:spacing w:before="20" w:after="20"/>
              <w:jc w:val="center"/>
              <w:rPr>
                <w:lang w:val="fr-FR"/>
              </w:rPr>
            </w:pPr>
            <w:r w:rsidRPr="00CE3172">
              <w:rPr>
                <w:lang w:val="fr-FR"/>
              </w:rPr>
              <w:t>nulle</w:t>
            </w:r>
          </w:p>
        </w:tc>
      </w:tr>
      <w:tr w:rsidR="008C1458" w:rsidRPr="00CE3172" w14:paraId="72500F06" w14:textId="77777777" w:rsidTr="00C96354">
        <w:trPr>
          <w:cantSplit/>
        </w:trPr>
        <w:tc>
          <w:tcPr>
            <w:tcW w:w="404" w:type="pct"/>
          </w:tcPr>
          <w:p w14:paraId="1FBBA281" w14:textId="77777777" w:rsidR="008C1458" w:rsidRPr="00CE3172" w:rsidRDefault="008C1458" w:rsidP="00DA07A9">
            <w:pPr>
              <w:spacing w:before="20" w:after="20"/>
              <w:rPr>
                <w:lang w:val="fr-FR"/>
              </w:rPr>
            </w:pPr>
            <w:r w:rsidRPr="00CE3172">
              <w:rPr>
                <w:lang w:val="fr-FR"/>
              </w:rPr>
              <w:t>21.04</w:t>
            </w:r>
          </w:p>
        </w:tc>
        <w:tc>
          <w:tcPr>
            <w:tcW w:w="262" w:type="pct"/>
          </w:tcPr>
          <w:p w14:paraId="7C55F43E" w14:textId="77777777" w:rsidR="008C1458" w:rsidRPr="00CE3172" w:rsidRDefault="008C1458" w:rsidP="00DA07A9">
            <w:pPr>
              <w:spacing w:before="20" w:after="20"/>
              <w:rPr>
                <w:lang w:val="fr-FR"/>
              </w:rPr>
            </w:pPr>
          </w:p>
        </w:tc>
        <w:tc>
          <w:tcPr>
            <w:tcW w:w="262" w:type="pct"/>
          </w:tcPr>
          <w:p w14:paraId="0887F65F" w14:textId="77777777" w:rsidR="008C1458" w:rsidRPr="00CE3172" w:rsidRDefault="008C1458" w:rsidP="00DA07A9">
            <w:pPr>
              <w:spacing w:before="20" w:after="20"/>
              <w:rPr>
                <w:lang w:val="fr-FR"/>
              </w:rPr>
            </w:pPr>
            <w:r w:rsidRPr="00CE3172">
              <w:rPr>
                <w:lang w:val="fr-FR"/>
              </w:rPr>
              <w:t>a)</w:t>
            </w:r>
          </w:p>
        </w:tc>
        <w:tc>
          <w:tcPr>
            <w:tcW w:w="2770" w:type="pct"/>
          </w:tcPr>
          <w:p w14:paraId="63035A20" w14:textId="77777777" w:rsidR="008C1458" w:rsidRPr="00CE3172" w:rsidRDefault="008C1458" w:rsidP="00DA07A9">
            <w:pPr>
              <w:spacing w:before="20" w:after="20"/>
              <w:rPr>
                <w:lang w:val="fr-FR"/>
              </w:rPr>
            </w:pPr>
            <w:r w:rsidRPr="00CE3172">
              <w:rPr>
                <w:lang w:val="fr-FR"/>
              </w:rPr>
              <w:t>Politique en matière de qualité disponible</w:t>
            </w:r>
          </w:p>
        </w:tc>
        <w:tc>
          <w:tcPr>
            <w:tcW w:w="374" w:type="pct"/>
          </w:tcPr>
          <w:p w14:paraId="12A55FA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D5293CE" w14:textId="77777777" w:rsidR="008C1458" w:rsidRPr="00CE3172" w:rsidRDefault="008C1458" w:rsidP="00DA07A9">
            <w:pPr>
              <w:spacing w:before="20" w:after="20"/>
              <w:jc w:val="center"/>
              <w:rPr>
                <w:lang w:val="fr-FR"/>
              </w:rPr>
            </w:pPr>
          </w:p>
        </w:tc>
        <w:tc>
          <w:tcPr>
            <w:tcW w:w="434" w:type="pct"/>
          </w:tcPr>
          <w:p w14:paraId="13FD2A65" w14:textId="77777777" w:rsidR="008C1458" w:rsidRPr="00CE3172" w:rsidRDefault="008C1458" w:rsidP="00DA07A9">
            <w:pPr>
              <w:spacing w:before="20" w:after="20"/>
              <w:jc w:val="center"/>
              <w:rPr>
                <w:lang w:val="fr-FR"/>
              </w:rPr>
            </w:pPr>
          </w:p>
        </w:tc>
      </w:tr>
      <w:tr w:rsidR="008C1458" w:rsidRPr="00CE3172" w14:paraId="24ECB891" w14:textId="77777777" w:rsidTr="00C96354">
        <w:trPr>
          <w:cantSplit/>
        </w:trPr>
        <w:tc>
          <w:tcPr>
            <w:tcW w:w="404" w:type="pct"/>
          </w:tcPr>
          <w:p w14:paraId="045D4B13" w14:textId="77777777" w:rsidR="008C1458" w:rsidRPr="00CE3172" w:rsidRDefault="008C1458" w:rsidP="00DA07A9">
            <w:pPr>
              <w:spacing w:before="20" w:after="20"/>
              <w:rPr>
                <w:lang w:val="fr-FR"/>
              </w:rPr>
            </w:pPr>
          </w:p>
        </w:tc>
        <w:tc>
          <w:tcPr>
            <w:tcW w:w="262" w:type="pct"/>
          </w:tcPr>
          <w:p w14:paraId="0A15CEFA" w14:textId="77777777" w:rsidR="008C1458" w:rsidRPr="00CE3172" w:rsidRDefault="008C1458" w:rsidP="00DA07A9">
            <w:pPr>
              <w:spacing w:before="20" w:after="20"/>
              <w:rPr>
                <w:lang w:val="fr-FR"/>
              </w:rPr>
            </w:pPr>
          </w:p>
        </w:tc>
        <w:tc>
          <w:tcPr>
            <w:tcW w:w="262" w:type="pct"/>
          </w:tcPr>
          <w:p w14:paraId="01B213B5" w14:textId="77777777" w:rsidR="008C1458" w:rsidRPr="00CE3172" w:rsidRDefault="008C1458" w:rsidP="00DA07A9">
            <w:pPr>
              <w:spacing w:before="20" w:after="20"/>
              <w:rPr>
                <w:lang w:val="fr-FR"/>
              </w:rPr>
            </w:pPr>
            <w:r w:rsidRPr="00CE3172">
              <w:rPr>
                <w:lang w:val="fr-FR"/>
              </w:rPr>
              <w:t>b)</w:t>
            </w:r>
          </w:p>
        </w:tc>
        <w:tc>
          <w:tcPr>
            <w:tcW w:w="2770" w:type="pct"/>
          </w:tcPr>
          <w:p w14:paraId="27AAB3CA" w14:textId="77777777" w:rsidR="008C1458" w:rsidRPr="00CE3172" w:rsidRDefault="008C1458" w:rsidP="00DA07A9">
            <w:pPr>
              <w:spacing w:before="20" w:after="20"/>
              <w:rPr>
                <w:lang w:val="fr-FR"/>
              </w:rPr>
            </w:pPr>
            <w:r w:rsidRPr="00CE3172">
              <w:rPr>
                <w:lang w:val="fr-FR"/>
              </w:rPr>
              <w:t>Rôles et noms des parties chargées du système de gestion de la qualité</w:t>
            </w:r>
          </w:p>
        </w:tc>
        <w:tc>
          <w:tcPr>
            <w:tcW w:w="374" w:type="pct"/>
          </w:tcPr>
          <w:p w14:paraId="5AC0063A"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13BBD89B" w14:textId="77777777" w:rsidR="008C1458" w:rsidRPr="00CE3172" w:rsidRDefault="008C1458" w:rsidP="00DA07A9">
            <w:pPr>
              <w:spacing w:before="20" w:after="20"/>
              <w:jc w:val="center"/>
              <w:rPr>
                <w:lang w:val="fr-FR"/>
              </w:rPr>
            </w:pPr>
          </w:p>
        </w:tc>
        <w:tc>
          <w:tcPr>
            <w:tcW w:w="434" w:type="pct"/>
          </w:tcPr>
          <w:p w14:paraId="28717D9D" w14:textId="77777777" w:rsidR="008C1458" w:rsidRPr="00CE3172" w:rsidRDefault="008C1458" w:rsidP="00DA07A9">
            <w:pPr>
              <w:spacing w:before="20" w:after="20"/>
              <w:jc w:val="center"/>
              <w:rPr>
                <w:lang w:val="fr-FR"/>
              </w:rPr>
            </w:pPr>
          </w:p>
        </w:tc>
      </w:tr>
      <w:tr w:rsidR="008C1458" w:rsidRPr="00CE3172" w14:paraId="44575F13" w14:textId="77777777" w:rsidTr="00C96354">
        <w:trPr>
          <w:cantSplit/>
        </w:trPr>
        <w:tc>
          <w:tcPr>
            <w:tcW w:w="404" w:type="pct"/>
          </w:tcPr>
          <w:p w14:paraId="287165EC" w14:textId="77777777" w:rsidR="008C1458" w:rsidRPr="00CE3172" w:rsidRDefault="008C1458" w:rsidP="00DA07A9">
            <w:pPr>
              <w:spacing w:before="20" w:after="20"/>
              <w:rPr>
                <w:lang w:val="fr-FR"/>
              </w:rPr>
            </w:pPr>
          </w:p>
        </w:tc>
        <w:tc>
          <w:tcPr>
            <w:tcW w:w="262" w:type="pct"/>
          </w:tcPr>
          <w:p w14:paraId="215FE102" w14:textId="77777777" w:rsidR="008C1458" w:rsidRPr="00CE3172" w:rsidRDefault="008C1458" w:rsidP="00DA07A9">
            <w:pPr>
              <w:spacing w:before="20" w:after="20"/>
              <w:rPr>
                <w:lang w:val="fr-FR"/>
              </w:rPr>
            </w:pPr>
          </w:p>
        </w:tc>
        <w:tc>
          <w:tcPr>
            <w:tcW w:w="262" w:type="pct"/>
          </w:tcPr>
          <w:p w14:paraId="7647CE22" w14:textId="77777777" w:rsidR="008C1458" w:rsidRPr="00CE3172" w:rsidRDefault="008C1458" w:rsidP="00DA07A9">
            <w:pPr>
              <w:spacing w:before="20" w:after="20"/>
              <w:rPr>
                <w:lang w:val="fr-FR"/>
              </w:rPr>
            </w:pPr>
            <w:r w:rsidRPr="00CE3172">
              <w:rPr>
                <w:lang w:val="fr-FR"/>
              </w:rPr>
              <w:t>c)</w:t>
            </w:r>
          </w:p>
        </w:tc>
        <w:tc>
          <w:tcPr>
            <w:tcW w:w="2770" w:type="pct"/>
          </w:tcPr>
          <w:p w14:paraId="3BBBE856" w14:textId="77777777" w:rsidR="008C1458" w:rsidRPr="00CE3172" w:rsidRDefault="008C1458" w:rsidP="00DA07A9">
            <w:pPr>
              <w:spacing w:before="20" w:after="20"/>
              <w:rPr>
                <w:lang w:val="fr-FR"/>
              </w:rPr>
            </w:pPr>
            <w:r w:rsidRPr="00CE3172">
              <w:rPr>
                <w:lang w:val="fr-FR"/>
              </w:rPr>
              <w:t>Organigramme disponible</w:t>
            </w:r>
          </w:p>
        </w:tc>
        <w:tc>
          <w:tcPr>
            <w:tcW w:w="374" w:type="pct"/>
          </w:tcPr>
          <w:p w14:paraId="32CCF9FE"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C9F5B70" w14:textId="77777777" w:rsidR="008C1458" w:rsidRPr="00CE3172" w:rsidRDefault="008C1458" w:rsidP="00DA07A9">
            <w:pPr>
              <w:spacing w:before="20" w:after="20"/>
              <w:jc w:val="center"/>
              <w:rPr>
                <w:lang w:val="fr-FR"/>
              </w:rPr>
            </w:pPr>
          </w:p>
        </w:tc>
        <w:tc>
          <w:tcPr>
            <w:tcW w:w="434" w:type="pct"/>
          </w:tcPr>
          <w:p w14:paraId="0883D38C" w14:textId="77777777" w:rsidR="008C1458" w:rsidRPr="00CE3172" w:rsidRDefault="008C1458" w:rsidP="00DA07A9">
            <w:pPr>
              <w:spacing w:before="20" w:after="20"/>
              <w:jc w:val="center"/>
              <w:rPr>
                <w:lang w:val="fr-FR"/>
              </w:rPr>
            </w:pPr>
          </w:p>
        </w:tc>
      </w:tr>
      <w:tr w:rsidR="008C1458" w:rsidRPr="00CE3172" w14:paraId="1057016F" w14:textId="77777777" w:rsidTr="00C96354">
        <w:trPr>
          <w:cantSplit/>
        </w:trPr>
        <w:tc>
          <w:tcPr>
            <w:tcW w:w="404" w:type="pct"/>
          </w:tcPr>
          <w:p w14:paraId="66E7451A" w14:textId="77777777" w:rsidR="008C1458" w:rsidRPr="00CE3172" w:rsidRDefault="008C1458" w:rsidP="00DA07A9">
            <w:pPr>
              <w:spacing w:before="20" w:after="20"/>
              <w:rPr>
                <w:lang w:val="fr-FR"/>
              </w:rPr>
            </w:pPr>
            <w:r w:rsidRPr="00CE3172">
              <w:rPr>
                <w:lang w:val="fr-FR"/>
              </w:rPr>
              <w:t>21.05</w:t>
            </w:r>
          </w:p>
        </w:tc>
        <w:tc>
          <w:tcPr>
            <w:tcW w:w="262" w:type="pct"/>
          </w:tcPr>
          <w:p w14:paraId="5152D12F" w14:textId="77777777" w:rsidR="008C1458" w:rsidRPr="00CE3172" w:rsidRDefault="008C1458" w:rsidP="00DA07A9">
            <w:pPr>
              <w:spacing w:before="20" w:after="20"/>
              <w:rPr>
                <w:lang w:val="fr-FR"/>
              </w:rPr>
            </w:pPr>
          </w:p>
        </w:tc>
        <w:tc>
          <w:tcPr>
            <w:tcW w:w="262" w:type="pct"/>
          </w:tcPr>
          <w:p w14:paraId="712FD0A3" w14:textId="77777777" w:rsidR="008C1458" w:rsidRPr="00CE3172" w:rsidRDefault="008C1458" w:rsidP="00DA07A9">
            <w:pPr>
              <w:spacing w:before="20" w:after="20"/>
              <w:rPr>
                <w:lang w:val="fr-FR"/>
              </w:rPr>
            </w:pPr>
          </w:p>
        </w:tc>
        <w:tc>
          <w:tcPr>
            <w:tcW w:w="2770" w:type="pct"/>
          </w:tcPr>
          <w:p w14:paraId="5263F1E1" w14:textId="77777777" w:rsidR="008C1458" w:rsidRPr="00CE3172" w:rsidRDefault="008C1458" w:rsidP="00DA07A9">
            <w:pPr>
              <w:spacing w:before="20" w:after="20"/>
              <w:rPr>
                <w:lang w:val="fr-FR"/>
              </w:rPr>
            </w:pPr>
            <w:r w:rsidRPr="00CE3172">
              <w:rPr>
                <w:lang w:val="fr-FR"/>
              </w:rPr>
              <w:t>Compatibilité du système de gestion de la qualité avec le chapitre 21</w:t>
            </w:r>
          </w:p>
        </w:tc>
        <w:tc>
          <w:tcPr>
            <w:tcW w:w="374" w:type="pct"/>
          </w:tcPr>
          <w:p w14:paraId="5F431788"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2BEAB198" w14:textId="77777777" w:rsidR="008C1458" w:rsidRPr="00CE3172" w:rsidRDefault="008C1458" w:rsidP="00DA07A9">
            <w:pPr>
              <w:spacing w:before="20" w:after="20"/>
              <w:jc w:val="center"/>
              <w:rPr>
                <w:lang w:val="fr-FR"/>
              </w:rPr>
            </w:pPr>
          </w:p>
        </w:tc>
        <w:tc>
          <w:tcPr>
            <w:tcW w:w="434" w:type="pct"/>
          </w:tcPr>
          <w:p w14:paraId="65ABF15A" w14:textId="77777777" w:rsidR="008C1458" w:rsidRPr="00CE3172" w:rsidRDefault="008C1458" w:rsidP="00DA07A9">
            <w:pPr>
              <w:spacing w:before="20" w:after="20"/>
              <w:jc w:val="center"/>
              <w:rPr>
                <w:lang w:val="fr-FR"/>
              </w:rPr>
            </w:pPr>
          </w:p>
        </w:tc>
      </w:tr>
      <w:tr w:rsidR="008C1458" w:rsidRPr="00CE3172" w14:paraId="2F169EEB" w14:textId="77777777" w:rsidTr="00C96354">
        <w:trPr>
          <w:cantSplit/>
        </w:trPr>
        <w:tc>
          <w:tcPr>
            <w:tcW w:w="404" w:type="pct"/>
          </w:tcPr>
          <w:p w14:paraId="74DEBCD6" w14:textId="77777777" w:rsidR="008C1458" w:rsidRPr="00CE3172" w:rsidRDefault="008C1458" w:rsidP="00DA07A9">
            <w:pPr>
              <w:spacing w:before="20" w:after="20"/>
              <w:rPr>
                <w:lang w:val="fr-FR"/>
              </w:rPr>
            </w:pPr>
            <w:r w:rsidRPr="00CE3172">
              <w:rPr>
                <w:lang w:val="fr-FR"/>
              </w:rPr>
              <w:t>21.06</w:t>
            </w:r>
          </w:p>
        </w:tc>
        <w:tc>
          <w:tcPr>
            <w:tcW w:w="262" w:type="pct"/>
          </w:tcPr>
          <w:p w14:paraId="1FFF62D1" w14:textId="77777777" w:rsidR="008C1458" w:rsidRPr="00CE3172" w:rsidRDefault="008C1458" w:rsidP="00DA07A9">
            <w:pPr>
              <w:spacing w:before="20" w:after="20"/>
              <w:rPr>
                <w:lang w:val="fr-FR"/>
              </w:rPr>
            </w:pPr>
          </w:p>
        </w:tc>
        <w:tc>
          <w:tcPr>
            <w:tcW w:w="262" w:type="pct"/>
          </w:tcPr>
          <w:p w14:paraId="237EB62F" w14:textId="77777777" w:rsidR="008C1458" w:rsidRPr="00CE3172" w:rsidRDefault="008C1458" w:rsidP="00DA07A9">
            <w:pPr>
              <w:spacing w:before="20" w:after="20"/>
              <w:rPr>
                <w:lang w:val="fr-FR"/>
              </w:rPr>
            </w:pPr>
            <w:r w:rsidRPr="00CE3172">
              <w:rPr>
                <w:lang w:val="fr-FR"/>
              </w:rPr>
              <w:t>a)</w:t>
            </w:r>
          </w:p>
        </w:tc>
        <w:tc>
          <w:tcPr>
            <w:tcW w:w="2770" w:type="pct"/>
          </w:tcPr>
          <w:p w14:paraId="4F1FDCC6" w14:textId="77777777" w:rsidR="008C1458" w:rsidRPr="00CE3172" w:rsidRDefault="008C1458" w:rsidP="00DA07A9">
            <w:pPr>
              <w:spacing w:before="20" w:after="20"/>
              <w:rPr>
                <w:lang w:val="fr-FR"/>
              </w:rPr>
            </w:pPr>
            <w:r w:rsidRPr="00CE3172">
              <w:rPr>
                <w:lang w:val="fr-FR"/>
              </w:rPr>
              <w:t>Mécanismes pour garantir l’efficacité du système de gestion de la qualité</w:t>
            </w:r>
          </w:p>
        </w:tc>
        <w:tc>
          <w:tcPr>
            <w:tcW w:w="374" w:type="pct"/>
          </w:tcPr>
          <w:p w14:paraId="14657E8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14B30E41" w14:textId="77777777" w:rsidR="008C1458" w:rsidRPr="00CE3172" w:rsidRDefault="008C1458" w:rsidP="00DA07A9">
            <w:pPr>
              <w:spacing w:before="20" w:after="20"/>
              <w:jc w:val="center"/>
              <w:rPr>
                <w:lang w:val="fr-FR"/>
              </w:rPr>
            </w:pPr>
          </w:p>
        </w:tc>
        <w:tc>
          <w:tcPr>
            <w:tcW w:w="434" w:type="pct"/>
          </w:tcPr>
          <w:p w14:paraId="3436A2F7" w14:textId="77777777" w:rsidR="008C1458" w:rsidRPr="00CE3172" w:rsidRDefault="008C1458" w:rsidP="00DA07A9">
            <w:pPr>
              <w:spacing w:before="20" w:after="20"/>
              <w:jc w:val="center"/>
              <w:rPr>
                <w:lang w:val="fr-FR"/>
              </w:rPr>
            </w:pPr>
          </w:p>
        </w:tc>
      </w:tr>
      <w:tr w:rsidR="008C1458" w:rsidRPr="00CE3172" w14:paraId="669613C2" w14:textId="77777777" w:rsidTr="00C96354">
        <w:trPr>
          <w:cantSplit/>
        </w:trPr>
        <w:tc>
          <w:tcPr>
            <w:tcW w:w="404" w:type="pct"/>
          </w:tcPr>
          <w:p w14:paraId="11DB7843" w14:textId="77777777" w:rsidR="008C1458" w:rsidRPr="00CE3172" w:rsidRDefault="008C1458" w:rsidP="00DA07A9">
            <w:pPr>
              <w:spacing w:before="20" w:after="20"/>
              <w:rPr>
                <w:lang w:val="fr-FR"/>
              </w:rPr>
            </w:pPr>
          </w:p>
        </w:tc>
        <w:tc>
          <w:tcPr>
            <w:tcW w:w="262" w:type="pct"/>
          </w:tcPr>
          <w:p w14:paraId="2BA1627B" w14:textId="77777777" w:rsidR="008C1458" w:rsidRPr="00CE3172" w:rsidRDefault="008C1458" w:rsidP="00DA07A9">
            <w:pPr>
              <w:spacing w:before="20" w:after="20"/>
              <w:rPr>
                <w:lang w:val="fr-FR"/>
              </w:rPr>
            </w:pPr>
          </w:p>
        </w:tc>
        <w:tc>
          <w:tcPr>
            <w:tcW w:w="262" w:type="pct"/>
          </w:tcPr>
          <w:p w14:paraId="694BCEBD" w14:textId="77777777" w:rsidR="008C1458" w:rsidRPr="00CE3172" w:rsidRDefault="008C1458" w:rsidP="00DA07A9">
            <w:pPr>
              <w:spacing w:before="20" w:after="20"/>
              <w:rPr>
                <w:lang w:val="fr-FR"/>
              </w:rPr>
            </w:pPr>
            <w:r w:rsidRPr="00CE3172">
              <w:rPr>
                <w:lang w:val="fr-FR"/>
              </w:rPr>
              <w:t>b)</w:t>
            </w:r>
          </w:p>
        </w:tc>
        <w:tc>
          <w:tcPr>
            <w:tcW w:w="2770" w:type="pct"/>
          </w:tcPr>
          <w:p w14:paraId="1C47227F" w14:textId="77777777" w:rsidR="008C1458" w:rsidRPr="00CE3172" w:rsidRDefault="008C1458" w:rsidP="00DA07A9">
            <w:pPr>
              <w:spacing w:before="20" w:after="20"/>
              <w:rPr>
                <w:lang w:val="fr-FR"/>
              </w:rPr>
            </w:pPr>
            <w:r w:rsidRPr="00CE3172">
              <w:rPr>
                <w:lang w:val="fr-FR"/>
              </w:rPr>
              <w:t>Contrôle du processus d’amélioration continue</w:t>
            </w:r>
          </w:p>
        </w:tc>
        <w:tc>
          <w:tcPr>
            <w:tcW w:w="374" w:type="pct"/>
          </w:tcPr>
          <w:p w14:paraId="700322F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4360A2B0" w14:textId="77777777" w:rsidR="008C1458" w:rsidRPr="00CE3172" w:rsidRDefault="008C1458" w:rsidP="00DA07A9">
            <w:pPr>
              <w:spacing w:before="20" w:after="20"/>
              <w:jc w:val="center"/>
              <w:rPr>
                <w:lang w:val="fr-FR"/>
              </w:rPr>
            </w:pPr>
          </w:p>
        </w:tc>
        <w:tc>
          <w:tcPr>
            <w:tcW w:w="434" w:type="pct"/>
          </w:tcPr>
          <w:p w14:paraId="6D4E0EAE" w14:textId="77777777" w:rsidR="008C1458" w:rsidRPr="00CE3172" w:rsidRDefault="008C1458" w:rsidP="00DA07A9">
            <w:pPr>
              <w:spacing w:before="20" w:after="20"/>
              <w:jc w:val="center"/>
              <w:rPr>
                <w:lang w:val="fr-FR"/>
              </w:rPr>
            </w:pPr>
          </w:p>
        </w:tc>
      </w:tr>
      <w:tr w:rsidR="008C1458" w:rsidRPr="00CE3172" w14:paraId="6066D484" w14:textId="77777777" w:rsidTr="00C96354">
        <w:trPr>
          <w:cantSplit/>
        </w:trPr>
        <w:tc>
          <w:tcPr>
            <w:tcW w:w="404" w:type="pct"/>
          </w:tcPr>
          <w:p w14:paraId="2680DE8F" w14:textId="77777777" w:rsidR="008C1458" w:rsidRPr="00CE3172" w:rsidRDefault="008C1458" w:rsidP="00DA07A9">
            <w:pPr>
              <w:spacing w:before="20" w:after="20"/>
              <w:rPr>
                <w:lang w:val="fr-FR"/>
              </w:rPr>
            </w:pPr>
            <w:r w:rsidRPr="00CE3172">
              <w:rPr>
                <w:lang w:val="fr-FR"/>
              </w:rPr>
              <w:t>21.07</w:t>
            </w:r>
          </w:p>
        </w:tc>
        <w:tc>
          <w:tcPr>
            <w:tcW w:w="262" w:type="pct"/>
          </w:tcPr>
          <w:p w14:paraId="38E6C8B3" w14:textId="77777777" w:rsidR="008C1458" w:rsidRPr="00CE3172" w:rsidRDefault="008C1458" w:rsidP="00DA07A9">
            <w:pPr>
              <w:spacing w:before="20" w:after="20"/>
              <w:rPr>
                <w:lang w:val="fr-FR"/>
              </w:rPr>
            </w:pPr>
          </w:p>
        </w:tc>
        <w:tc>
          <w:tcPr>
            <w:tcW w:w="262" w:type="pct"/>
          </w:tcPr>
          <w:p w14:paraId="08AE5013" w14:textId="77777777" w:rsidR="008C1458" w:rsidRPr="00CE3172" w:rsidRDefault="008C1458" w:rsidP="00DA07A9">
            <w:pPr>
              <w:spacing w:before="20" w:after="20"/>
              <w:rPr>
                <w:lang w:val="fr-FR"/>
              </w:rPr>
            </w:pPr>
            <w:r w:rsidRPr="00CE3172">
              <w:rPr>
                <w:lang w:val="fr-FR"/>
              </w:rPr>
              <w:t>a)</w:t>
            </w:r>
          </w:p>
        </w:tc>
        <w:tc>
          <w:tcPr>
            <w:tcW w:w="2770" w:type="pct"/>
          </w:tcPr>
          <w:p w14:paraId="2242A299" w14:textId="77777777" w:rsidR="008C1458" w:rsidRPr="00CE3172" w:rsidRDefault="008C1458" w:rsidP="00DA07A9">
            <w:pPr>
              <w:spacing w:before="20" w:after="20"/>
              <w:rPr>
                <w:lang w:val="fr-FR"/>
              </w:rPr>
            </w:pPr>
            <w:r w:rsidRPr="00CE3172">
              <w:rPr>
                <w:lang w:val="fr-FR"/>
              </w:rPr>
              <w:t>Communication de la direction au personnel sur cette norme</w:t>
            </w:r>
          </w:p>
        </w:tc>
        <w:tc>
          <w:tcPr>
            <w:tcW w:w="374" w:type="pct"/>
          </w:tcPr>
          <w:p w14:paraId="71649C2C"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BC846F6" w14:textId="77777777" w:rsidR="008C1458" w:rsidRPr="00CE3172" w:rsidRDefault="008C1458" w:rsidP="00DA07A9">
            <w:pPr>
              <w:spacing w:before="20" w:after="20"/>
              <w:jc w:val="center"/>
              <w:rPr>
                <w:lang w:val="fr-FR"/>
              </w:rPr>
            </w:pPr>
          </w:p>
        </w:tc>
        <w:tc>
          <w:tcPr>
            <w:tcW w:w="434" w:type="pct"/>
          </w:tcPr>
          <w:p w14:paraId="0D571254" w14:textId="77777777" w:rsidR="008C1458" w:rsidRPr="00CE3172" w:rsidRDefault="008C1458" w:rsidP="00DA07A9">
            <w:pPr>
              <w:spacing w:before="20" w:after="20"/>
              <w:jc w:val="center"/>
              <w:rPr>
                <w:lang w:val="fr-FR"/>
              </w:rPr>
            </w:pPr>
          </w:p>
        </w:tc>
      </w:tr>
      <w:tr w:rsidR="008C1458" w:rsidRPr="00CE3172" w14:paraId="716CAFC0" w14:textId="77777777" w:rsidTr="00C96354">
        <w:trPr>
          <w:cantSplit/>
        </w:trPr>
        <w:tc>
          <w:tcPr>
            <w:tcW w:w="404" w:type="pct"/>
          </w:tcPr>
          <w:p w14:paraId="63F3A80A" w14:textId="77777777" w:rsidR="008C1458" w:rsidRPr="00CE3172" w:rsidRDefault="008C1458" w:rsidP="00DA07A9">
            <w:pPr>
              <w:spacing w:before="20" w:after="20"/>
              <w:rPr>
                <w:lang w:val="fr-FR"/>
              </w:rPr>
            </w:pPr>
          </w:p>
        </w:tc>
        <w:tc>
          <w:tcPr>
            <w:tcW w:w="262" w:type="pct"/>
          </w:tcPr>
          <w:p w14:paraId="15826A8B" w14:textId="77777777" w:rsidR="008C1458" w:rsidRPr="00CE3172" w:rsidRDefault="008C1458" w:rsidP="00DA07A9">
            <w:pPr>
              <w:spacing w:before="20" w:after="20"/>
              <w:rPr>
                <w:lang w:val="fr-FR"/>
              </w:rPr>
            </w:pPr>
          </w:p>
        </w:tc>
        <w:tc>
          <w:tcPr>
            <w:tcW w:w="262" w:type="pct"/>
          </w:tcPr>
          <w:p w14:paraId="473E00FB" w14:textId="77777777" w:rsidR="008C1458" w:rsidRPr="00CE3172" w:rsidRDefault="008C1458" w:rsidP="00DA07A9">
            <w:pPr>
              <w:spacing w:before="20" w:after="20"/>
              <w:rPr>
                <w:lang w:val="fr-FR"/>
              </w:rPr>
            </w:pPr>
            <w:r w:rsidRPr="00CE3172">
              <w:rPr>
                <w:lang w:val="fr-FR"/>
              </w:rPr>
              <w:t>b)</w:t>
            </w:r>
          </w:p>
        </w:tc>
        <w:tc>
          <w:tcPr>
            <w:tcW w:w="2770" w:type="pct"/>
          </w:tcPr>
          <w:p w14:paraId="30B876A6" w14:textId="77777777" w:rsidR="008C1458" w:rsidRPr="00CE3172" w:rsidRDefault="008C1458" w:rsidP="00DA07A9">
            <w:pPr>
              <w:spacing w:before="20" w:after="20"/>
              <w:rPr>
                <w:lang w:val="fr-FR"/>
              </w:rPr>
            </w:pPr>
            <w:r w:rsidRPr="00CE3172">
              <w:rPr>
                <w:lang w:val="fr-FR"/>
              </w:rPr>
              <w:t>Les directives du PCT sont conformes au système de gestion de la qualité de l’administration</w:t>
            </w:r>
          </w:p>
        </w:tc>
        <w:tc>
          <w:tcPr>
            <w:tcW w:w="374" w:type="pct"/>
          </w:tcPr>
          <w:p w14:paraId="2FAC9380"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AA35D23" w14:textId="77777777" w:rsidR="008C1458" w:rsidRPr="00CE3172" w:rsidRDefault="008C1458" w:rsidP="00DA07A9">
            <w:pPr>
              <w:spacing w:before="20" w:after="20"/>
              <w:jc w:val="center"/>
              <w:rPr>
                <w:lang w:val="fr-FR"/>
              </w:rPr>
            </w:pPr>
          </w:p>
        </w:tc>
        <w:tc>
          <w:tcPr>
            <w:tcW w:w="434" w:type="pct"/>
          </w:tcPr>
          <w:p w14:paraId="3838ADB4" w14:textId="77777777" w:rsidR="008C1458" w:rsidRPr="00CE3172" w:rsidRDefault="008C1458" w:rsidP="00DA07A9">
            <w:pPr>
              <w:spacing w:before="20" w:after="20"/>
              <w:jc w:val="center"/>
              <w:rPr>
                <w:lang w:val="fr-FR"/>
              </w:rPr>
            </w:pPr>
          </w:p>
        </w:tc>
      </w:tr>
      <w:tr w:rsidR="008C1458" w:rsidRPr="00CE3172" w14:paraId="36C11117" w14:textId="77777777" w:rsidTr="00C96354">
        <w:trPr>
          <w:cantSplit/>
        </w:trPr>
        <w:tc>
          <w:tcPr>
            <w:tcW w:w="404" w:type="pct"/>
          </w:tcPr>
          <w:p w14:paraId="719F3F06" w14:textId="77777777" w:rsidR="008C1458" w:rsidRPr="00CE3172" w:rsidRDefault="008C1458" w:rsidP="00DA07A9">
            <w:pPr>
              <w:spacing w:before="20" w:after="20"/>
              <w:rPr>
                <w:lang w:val="fr-FR"/>
              </w:rPr>
            </w:pPr>
            <w:r w:rsidRPr="00CE3172">
              <w:rPr>
                <w:lang w:val="fr-FR"/>
              </w:rPr>
              <w:t>21.08</w:t>
            </w:r>
          </w:p>
        </w:tc>
        <w:tc>
          <w:tcPr>
            <w:tcW w:w="262" w:type="pct"/>
          </w:tcPr>
          <w:p w14:paraId="0541C723" w14:textId="77777777" w:rsidR="008C1458" w:rsidRPr="00CE3172" w:rsidRDefault="008C1458" w:rsidP="00DA07A9">
            <w:pPr>
              <w:spacing w:before="20" w:after="20"/>
              <w:rPr>
                <w:lang w:val="fr-FR"/>
              </w:rPr>
            </w:pPr>
          </w:p>
        </w:tc>
        <w:tc>
          <w:tcPr>
            <w:tcW w:w="262" w:type="pct"/>
          </w:tcPr>
          <w:p w14:paraId="47814A3A" w14:textId="77777777" w:rsidR="008C1458" w:rsidRPr="00CE3172" w:rsidRDefault="008C1458" w:rsidP="00DA07A9">
            <w:pPr>
              <w:spacing w:before="20" w:after="20"/>
              <w:rPr>
                <w:lang w:val="fr-FR"/>
              </w:rPr>
            </w:pPr>
            <w:r w:rsidRPr="00CE3172">
              <w:rPr>
                <w:lang w:val="fr-FR"/>
              </w:rPr>
              <w:t>a)</w:t>
            </w:r>
          </w:p>
        </w:tc>
        <w:tc>
          <w:tcPr>
            <w:tcW w:w="2770" w:type="pct"/>
          </w:tcPr>
          <w:p w14:paraId="46097BF8" w14:textId="77777777" w:rsidR="008C1458" w:rsidRPr="00CE3172" w:rsidRDefault="008C1458" w:rsidP="00DA07A9">
            <w:pPr>
              <w:spacing w:before="20" w:after="20"/>
              <w:rPr>
                <w:lang w:val="fr-FR"/>
              </w:rPr>
            </w:pPr>
            <w:r w:rsidRPr="00CE3172">
              <w:rPr>
                <w:lang w:val="fr-FR"/>
              </w:rPr>
              <w:t>Des évaluations de gestion sont faites</w:t>
            </w:r>
          </w:p>
        </w:tc>
        <w:tc>
          <w:tcPr>
            <w:tcW w:w="374" w:type="pct"/>
          </w:tcPr>
          <w:p w14:paraId="74E5BE5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2CC338D7" w14:textId="77777777" w:rsidR="008C1458" w:rsidRPr="00CE3172" w:rsidRDefault="008C1458" w:rsidP="00DA07A9">
            <w:pPr>
              <w:spacing w:before="20" w:after="20"/>
              <w:jc w:val="center"/>
              <w:rPr>
                <w:lang w:val="fr-FR"/>
              </w:rPr>
            </w:pPr>
          </w:p>
        </w:tc>
        <w:tc>
          <w:tcPr>
            <w:tcW w:w="434" w:type="pct"/>
          </w:tcPr>
          <w:p w14:paraId="58685CE8" w14:textId="77777777" w:rsidR="008C1458" w:rsidRPr="00CE3172" w:rsidRDefault="008C1458" w:rsidP="00DA07A9">
            <w:pPr>
              <w:spacing w:before="20" w:after="20"/>
              <w:jc w:val="center"/>
              <w:rPr>
                <w:lang w:val="fr-FR"/>
              </w:rPr>
            </w:pPr>
          </w:p>
        </w:tc>
      </w:tr>
      <w:tr w:rsidR="008C1458" w:rsidRPr="00CE3172" w14:paraId="5D82C51E" w14:textId="77777777" w:rsidTr="00C96354">
        <w:trPr>
          <w:cantSplit/>
        </w:trPr>
        <w:tc>
          <w:tcPr>
            <w:tcW w:w="404" w:type="pct"/>
          </w:tcPr>
          <w:p w14:paraId="27B96CE8" w14:textId="77777777" w:rsidR="008C1458" w:rsidRPr="00CE3172" w:rsidRDefault="008C1458" w:rsidP="00DA07A9">
            <w:pPr>
              <w:spacing w:before="20" w:after="20"/>
              <w:rPr>
                <w:lang w:val="fr-FR"/>
              </w:rPr>
            </w:pPr>
          </w:p>
        </w:tc>
        <w:tc>
          <w:tcPr>
            <w:tcW w:w="262" w:type="pct"/>
          </w:tcPr>
          <w:p w14:paraId="0F93DA0C" w14:textId="77777777" w:rsidR="008C1458" w:rsidRPr="00CE3172" w:rsidRDefault="008C1458" w:rsidP="00DA07A9">
            <w:pPr>
              <w:spacing w:before="20" w:after="20"/>
              <w:rPr>
                <w:lang w:val="fr-FR"/>
              </w:rPr>
            </w:pPr>
          </w:p>
        </w:tc>
        <w:tc>
          <w:tcPr>
            <w:tcW w:w="262" w:type="pct"/>
          </w:tcPr>
          <w:p w14:paraId="3620C910" w14:textId="77777777" w:rsidR="008C1458" w:rsidRPr="00CE3172" w:rsidRDefault="008C1458" w:rsidP="00DA07A9">
            <w:pPr>
              <w:spacing w:before="20" w:after="20"/>
              <w:rPr>
                <w:lang w:val="fr-FR"/>
              </w:rPr>
            </w:pPr>
            <w:r w:rsidRPr="00CE3172">
              <w:rPr>
                <w:lang w:val="fr-FR"/>
              </w:rPr>
              <w:t>b)</w:t>
            </w:r>
          </w:p>
        </w:tc>
        <w:tc>
          <w:tcPr>
            <w:tcW w:w="2770" w:type="pct"/>
          </w:tcPr>
          <w:p w14:paraId="22CE4853" w14:textId="77777777" w:rsidR="008C1458" w:rsidRPr="00CE3172" w:rsidRDefault="008C1458" w:rsidP="00DA07A9">
            <w:pPr>
              <w:spacing w:before="20" w:after="20"/>
              <w:rPr>
                <w:lang w:val="fr-FR"/>
              </w:rPr>
            </w:pPr>
            <w:r w:rsidRPr="00CE3172">
              <w:rPr>
                <w:lang w:val="fr-FR"/>
              </w:rPr>
              <w:t>Les objectifs de qualité sont évalués</w:t>
            </w:r>
          </w:p>
        </w:tc>
        <w:tc>
          <w:tcPr>
            <w:tcW w:w="374" w:type="pct"/>
          </w:tcPr>
          <w:p w14:paraId="5EB96600"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98B03A4" w14:textId="77777777" w:rsidR="008C1458" w:rsidRPr="00CE3172" w:rsidRDefault="008C1458" w:rsidP="00DA07A9">
            <w:pPr>
              <w:spacing w:before="20" w:after="20"/>
              <w:jc w:val="center"/>
              <w:rPr>
                <w:lang w:val="fr-FR"/>
              </w:rPr>
            </w:pPr>
          </w:p>
        </w:tc>
        <w:tc>
          <w:tcPr>
            <w:tcW w:w="434" w:type="pct"/>
          </w:tcPr>
          <w:p w14:paraId="351764CC" w14:textId="77777777" w:rsidR="008C1458" w:rsidRPr="00CE3172" w:rsidRDefault="008C1458" w:rsidP="00DA07A9">
            <w:pPr>
              <w:spacing w:before="20" w:after="20"/>
              <w:jc w:val="center"/>
              <w:rPr>
                <w:lang w:val="fr-FR"/>
              </w:rPr>
            </w:pPr>
          </w:p>
        </w:tc>
      </w:tr>
      <w:tr w:rsidR="008C1458" w:rsidRPr="00CE3172" w14:paraId="4F604BAB" w14:textId="77777777" w:rsidTr="00C96354">
        <w:trPr>
          <w:cantSplit/>
        </w:trPr>
        <w:tc>
          <w:tcPr>
            <w:tcW w:w="404" w:type="pct"/>
          </w:tcPr>
          <w:p w14:paraId="7CD0F606" w14:textId="77777777" w:rsidR="008C1458" w:rsidRPr="00CE3172" w:rsidRDefault="008C1458" w:rsidP="00DA07A9">
            <w:pPr>
              <w:spacing w:before="20" w:after="20"/>
              <w:rPr>
                <w:lang w:val="fr-FR"/>
              </w:rPr>
            </w:pPr>
          </w:p>
        </w:tc>
        <w:tc>
          <w:tcPr>
            <w:tcW w:w="262" w:type="pct"/>
          </w:tcPr>
          <w:p w14:paraId="777B341F" w14:textId="77777777" w:rsidR="008C1458" w:rsidRPr="00CE3172" w:rsidRDefault="008C1458" w:rsidP="00DA07A9">
            <w:pPr>
              <w:spacing w:before="20" w:after="20"/>
              <w:rPr>
                <w:lang w:val="fr-FR"/>
              </w:rPr>
            </w:pPr>
          </w:p>
        </w:tc>
        <w:tc>
          <w:tcPr>
            <w:tcW w:w="262" w:type="pct"/>
          </w:tcPr>
          <w:p w14:paraId="4C8B7156" w14:textId="77777777" w:rsidR="008C1458" w:rsidRPr="00CE3172" w:rsidRDefault="008C1458" w:rsidP="00DA07A9">
            <w:pPr>
              <w:spacing w:before="20" w:after="20"/>
              <w:rPr>
                <w:lang w:val="fr-FR"/>
              </w:rPr>
            </w:pPr>
            <w:r w:rsidRPr="00CE3172">
              <w:rPr>
                <w:lang w:val="fr-FR"/>
              </w:rPr>
              <w:t>c)</w:t>
            </w:r>
          </w:p>
        </w:tc>
        <w:tc>
          <w:tcPr>
            <w:tcW w:w="2770" w:type="pct"/>
          </w:tcPr>
          <w:p w14:paraId="1C87D59F" w14:textId="77777777" w:rsidR="008C1458" w:rsidRPr="00CE3172" w:rsidRDefault="008C1458" w:rsidP="00DA07A9">
            <w:pPr>
              <w:spacing w:before="20" w:after="20"/>
              <w:rPr>
                <w:lang w:val="fr-FR"/>
              </w:rPr>
            </w:pPr>
            <w:r w:rsidRPr="00CE3172">
              <w:rPr>
                <w:lang w:val="fr-FR"/>
              </w:rPr>
              <w:t>Communication des objectifs de qualité au sein de l’administration tout entière</w:t>
            </w:r>
          </w:p>
        </w:tc>
        <w:tc>
          <w:tcPr>
            <w:tcW w:w="374" w:type="pct"/>
          </w:tcPr>
          <w:p w14:paraId="221B0563"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1AA6B87" w14:textId="77777777" w:rsidR="008C1458" w:rsidRPr="00CE3172" w:rsidRDefault="008C1458" w:rsidP="00DA07A9">
            <w:pPr>
              <w:spacing w:before="20" w:after="20"/>
              <w:jc w:val="center"/>
              <w:rPr>
                <w:lang w:val="fr-FR"/>
              </w:rPr>
            </w:pPr>
          </w:p>
        </w:tc>
        <w:tc>
          <w:tcPr>
            <w:tcW w:w="434" w:type="pct"/>
          </w:tcPr>
          <w:p w14:paraId="01EBD53E" w14:textId="77777777" w:rsidR="008C1458" w:rsidRPr="00CE3172" w:rsidRDefault="008C1458" w:rsidP="00DA07A9">
            <w:pPr>
              <w:spacing w:before="20" w:after="20"/>
              <w:jc w:val="center"/>
              <w:rPr>
                <w:lang w:val="fr-FR"/>
              </w:rPr>
            </w:pPr>
          </w:p>
        </w:tc>
      </w:tr>
      <w:tr w:rsidR="008C1458" w:rsidRPr="00CE3172" w14:paraId="73366C36" w14:textId="77777777" w:rsidTr="00C96354">
        <w:trPr>
          <w:cantSplit/>
        </w:trPr>
        <w:tc>
          <w:tcPr>
            <w:tcW w:w="404" w:type="pct"/>
          </w:tcPr>
          <w:p w14:paraId="3C43CD09" w14:textId="77777777" w:rsidR="008C1458" w:rsidRPr="00CE3172" w:rsidRDefault="008C1458" w:rsidP="00DA07A9">
            <w:pPr>
              <w:spacing w:before="20" w:after="20"/>
              <w:rPr>
                <w:lang w:val="fr-FR"/>
              </w:rPr>
            </w:pPr>
            <w:r w:rsidRPr="00CE3172">
              <w:rPr>
                <w:lang w:val="fr-FR"/>
              </w:rPr>
              <w:t>21.09</w:t>
            </w:r>
          </w:p>
        </w:tc>
        <w:tc>
          <w:tcPr>
            <w:tcW w:w="262" w:type="pct"/>
          </w:tcPr>
          <w:p w14:paraId="101DB661" w14:textId="77777777" w:rsidR="008C1458" w:rsidRPr="00CE3172" w:rsidRDefault="008C1458" w:rsidP="00DA07A9">
            <w:pPr>
              <w:spacing w:before="20" w:after="20"/>
              <w:rPr>
                <w:lang w:val="fr-FR"/>
              </w:rPr>
            </w:pPr>
          </w:p>
        </w:tc>
        <w:tc>
          <w:tcPr>
            <w:tcW w:w="262" w:type="pct"/>
          </w:tcPr>
          <w:p w14:paraId="5EEA4E20" w14:textId="77777777" w:rsidR="008C1458" w:rsidRPr="00CE3172" w:rsidRDefault="008C1458" w:rsidP="00DA07A9">
            <w:pPr>
              <w:spacing w:before="20" w:after="20"/>
              <w:rPr>
                <w:lang w:val="fr-FR"/>
              </w:rPr>
            </w:pPr>
            <w:r w:rsidRPr="00CE3172">
              <w:rPr>
                <w:lang w:val="fr-FR"/>
              </w:rPr>
              <w:t>a)</w:t>
            </w:r>
          </w:p>
        </w:tc>
        <w:tc>
          <w:tcPr>
            <w:tcW w:w="2770" w:type="pct"/>
          </w:tcPr>
          <w:p w14:paraId="5DC405E1" w14:textId="77777777" w:rsidR="008C1458" w:rsidRPr="00CE3172" w:rsidRDefault="008C1458" w:rsidP="00DA07A9">
            <w:pPr>
              <w:spacing w:before="20" w:after="20"/>
              <w:rPr>
                <w:lang w:val="fr-FR"/>
              </w:rPr>
            </w:pPr>
            <w:r w:rsidRPr="00CE3172">
              <w:rPr>
                <w:lang w:val="fr-FR"/>
              </w:rPr>
              <w:t>Exécution d’une évaluation annuelle interne du système de gestion de la qualité pour :</w:t>
            </w:r>
          </w:p>
        </w:tc>
        <w:tc>
          <w:tcPr>
            <w:tcW w:w="374" w:type="pct"/>
          </w:tcPr>
          <w:p w14:paraId="442263ED"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660571B" w14:textId="77777777" w:rsidR="008C1458" w:rsidRPr="00CE3172" w:rsidRDefault="008C1458" w:rsidP="00DA07A9">
            <w:pPr>
              <w:spacing w:before="20" w:after="20"/>
              <w:jc w:val="center"/>
              <w:rPr>
                <w:lang w:val="fr-FR"/>
              </w:rPr>
            </w:pPr>
          </w:p>
        </w:tc>
        <w:tc>
          <w:tcPr>
            <w:tcW w:w="434" w:type="pct"/>
          </w:tcPr>
          <w:p w14:paraId="68FAA91B" w14:textId="77777777" w:rsidR="008C1458" w:rsidRPr="00CE3172" w:rsidRDefault="008C1458" w:rsidP="00DA07A9">
            <w:pPr>
              <w:spacing w:before="20" w:after="20"/>
              <w:jc w:val="center"/>
              <w:rPr>
                <w:lang w:val="fr-FR"/>
              </w:rPr>
            </w:pPr>
          </w:p>
        </w:tc>
      </w:tr>
      <w:tr w:rsidR="008C1458" w:rsidRPr="00CE3172" w14:paraId="6276CC32" w14:textId="77777777" w:rsidTr="00C96354">
        <w:trPr>
          <w:cantSplit/>
        </w:trPr>
        <w:tc>
          <w:tcPr>
            <w:tcW w:w="404" w:type="pct"/>
          </w:tcPr>
          <w:p w14:paraId="09E25A0B" w14:textId="77777777" w:rsidR="008C1458" w:rsidRPr="00CE3172" w:rsidRDefault="008C1458" w:rsidP="00DA07A9">
            <w:pPr>
              <w:spacing w:before="20" w:after="20"/>
              <w:rPr>
                <w:lang w:val="fr-FR"/>
              </w:rPr>
            </w:pPr>
          </w:p>
        </w:tc>
        <w:tc>
          <w:tcPr>
            <w:tcW w:w="262" w:type="pct"/>
          </w:tcPr>
          <w:p w14:paraId="4BA5063A" w14:textId="77777777" w:rsidR="008C1458" w:rsidRPr="00CE3172" w:rsidRDefault="008C1458" w:rsidP="00DA07A9">
            <w:pPr>
              <w:spacing w:before="20" w:after="20"/>
              <w:rPr>
                <w:lang w:val="fr-FR"/>
              </w:rPr>
            </w:pPr>
          </w:p>
        </w:tc>
        <w:tc>
          <w:tcPr>
            <w:tcW w:w="262" w:type="pct"/>
          </w:tcPr>
          <w:p w14:paraId="14ECBBAF" w14:textId="77777777" w:rsidR="008C1458" w:rsidRPr="00CE3172" w:rsidRDefault="008C1458" w:rsidP="00DA07A9">
            <w:pPr>
              <w:spacing w:before="20" w:after="20"/>
              <w:rPr>
                <w:lang w:val="fr-FR"/>
              </w:rPr>
            </w:pPr>
            <w:r w:rsidRPr="00CE3172">
              <w:rPr>
                <w:lang w:val="fr-FR"/>
              </w:rPr>
              <w:t>b)</w:t>
            </w:r>
          </w:p>
        </w:tc>
        <w:tc>
          <w:tcPr>
            <w:tcW w:w="2770" w:type="pct"/>
          </w:tcPr>
          <w:p w14:paraId="58E8EF88" w14:textId="77777777" w:rsidR="008C1458" w:rsidRPr="00CE3172" w:rsidRDefault="008C1458" w:rsidP="00DA07A9">
            <w:pPr>
              <w:spacing w:before="20" w:after="20"/>
              <w:rPr>
                <w:lang w:val="fr-FR"/>
              </w:rPr>
            </w:pPr>
            <w:r w:rsidRPr="00CE3172">
              <w:rPr>
                <w:lang w:val="fr-FR"/>
              </w:rPr>
              <w:t>i) déterminer la mesure dans laquelle le système de gestion de la qualité repose sur le chapitre 21</w:t>
            </w:r>
          </w:p>
        </w:tc>
        <w:tc>
          <w:tcPr>
            <w:tcW w:w="374" w:type="pct"/>
          </w:tcPr>
          <w:p w14:paraId="7B3A0EC4"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D5577A6" w14:textId="77777777" w:rsidR="008C1458" w:rsidRPr="00CE3172" w:rsidRDefault="008C1458" w:rsidP="00DA07A9">
            <w:pPr>
              <w:spacing w:before="20" w:after="20"/>
              <w:jc w:val="center"/>
              <w:rPr>
                <w:lang w:val="fr-FR"/>
              </w:rPr>
            </w:pPr>
          </w:p>
        </w:tc>
        <w:tc>
          <w:tcPr>
            <w:tcW w:w="434" w:type="pct"/>
          </w:tcPr>
          <w:p w14:paraId="52DC24A6" w14:textId="77777777" w:rsidR="008C1458" w:rsidRPr="00CE3172" w:rsidRDefault="008C1458" w:rsidP="00DA07A9">
            <w:pPr>
              <w:spacing w:before="20" w:after="20"/>
              <w:jc w:val="center"/>
              <w:rPr>
                <w:lang w:val="fr-FR"/>
              </w:rPr>
            </w:pPr>
          </w:p>
        </w:tc>
      </w:tr>
      <w:tr w:rsidR="008C1458" w:rsidRPr="00CE3172" w14:paraId="264ADAFF" w14:textId="77777777" w:rsidTr="00C96354">
        <w:trPr>
          <w:cantSplit/>
        </w:trPr>
        <w:tc>
          <w:tcPr>
            <w:tcW w:w="404" w:type="pct"/>
          </w:tcPr>
          <w:p w14:paraId="0284767B" w14:textId="77777777" w:rsidR="008C1458" w:rsidRPr="00CE3172" w:rsidRDefault="008C1458" w:rsidP="00DA07A9">
            <w:pPr>
              <w:spacing w:before="20" w:after="20"/>
              <w:rPr>
                <w:lang w:val="fr-FR"/>
              </w:rPr>
            </w:pPr>
          </w:p>
        </w:tc>
        <w:tc>
          <w:tcPr>
            <w:tcW w:w="262" w:type="pct"/>
          </w:tcPr>
          <w:p w14:paraId="2EC1F7C5" w14:textId="77777777" w:rsidR="008C1458" w:rsidRPr="00CE3172" w:rsidRDefault="008C1458" w:rsidP="00DA07A9">
            <w:pPr>
              <w:spacing w:before="20" w:after="20"/>
              <w:rPr>
                <w:lang w:val="fr-FR"/>
              </w:rPr>
            </w:pPr>
          </w:p>
        </w:tc>
        <w:tc>
          <w:tcPr>
            <w:tcW w:w="262" w:type="pct"/>
          </w:tcPr>
          <w:p w14:paraId="624B050D" w14:textId="77777777" w:rsidR="008C1458" w:rsidRPr="00CE3172" w:rsidRDefault="008C1458" w:rsidP="00DA07A9">
            <w:pPr>
              <w:spacing w:before="20" w:after="20"/>
              <w:rPr>
                <w:lang w:val="fr-FR"/>
              </w:rPr>
            </w:pPr>
          </w:p>
        </w:tc>
        <w:tc>
          <w:tcPr>
            <w:tcW w:w="2770" w:type="pct"/>
          </w:tcPr>
          <w:p w14:paraId="730DB550" w14:textId="77777777" w:rsidR="008C1458" w:rsidRPr="00CE3172" w:rsidRDefault="008C1458" w:rsidP="00DA07A9">
            <w:pPr>
              <w:spacing w:before="20" w:after="20"/>
              <w:rPr>
                <w:lang w:val="fr-FR"/>
              </w:rPr>
            </w:pPr>
            <w:r w:rsidRPr="00CE3172">
              <w:rPr>
                <w:lang w:val="fr-FR"/>
              </w:rPr>
              <w:t>ii) déterminer la mesure dans laquelle la recherche et l’examen sont conformes aux directives du PCT</w:t>
            </w:r>
          </w:p>
        </w:tc>
        <w:tc>
          <w:tcPr>
            <w:tcW w:w="374" w:type="pct"/>
          </w:tcPr>
          <w:p w14:paraId="6FF1A5FC"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2479B25A" w14:textId="77777777" w:rsidR="008C1458" w:rsidRPr="00CE3172" w:rsidRDefault="008C1458" w:rsidP="00DA07A9">
            <w:pPr>
              <w:spacing w:before="20" w:after="20"/>
              <w:jc w:val="center"/>
              <w:rPr>
                <w:lang w:val="fr-FR"/>
              </w:rPr>
            </w:pPr>
          </w:p>
        </w:tc>
        <w:tc>
          <w:tcPr>
            <w:tcW w:w="434" w:type="pct"/>
          </w:tcPr>
          <w:p w14:paraId="6BBBFFA2" w14:textId="77777777" w:rsidR="008C1458" w:rsidRPr="00CE3172" w:rsidRDefault="008C1458" w:rsidP="00DA07A9">
            <w:pPr>
              <w:spacing w:before="20" w:after="20"/>
              <w:jc w:val="center"/>
              <w:rPr>
                <w:lang w:val="fr-FR"/>
              </w:rPr>
            </w:pPr>
          </w:p>
        </w:tc>
      </w:tr>
      <w:tr w:rsidR="008C1458" w:rsidRPr="00CE3172" w14:paraId="16D7C3C2" w14:textId="77777777" w:rsidTr="00C96354">
        <w:trPr>
          <w:cantSplit/>
        </w:trPr>
        <w:tc>
          <w:tcPr>
            <w:tcW w:w="404" w:type="pct"/>
          </w:tcPr>
          <w:p w14:paraId="20C026C1" w14:textId="77777777" w:rsidR="008C1458" w:rsidRPr="00CE3172" w:rsidRDefault="008C1458" w:rsidP="00DA07A9">
            <w:pPr>
              <w:spacing w:before="20" w:after="20"/>
              <w:rPr>
                <w:lang w:val="fr-FR"/>
              </w:rPr>
            </w:pPr>
          </w:p>
        </w:tc>
        <w:tc>
          <w:tcPr>
            <w:tcW w:w="262" w:type="pct"/>
          </w:tcPr>
          <w:p w14:paraId="069B83D9" w14:textId="77777777" w:rsidR="008C1458" w:rsidRPr="00CE3172" w:rsidRDefault="008C1458" w:rsidP="00DA07A9">
            <w:pPr>
              <w:spacing w:before="20" w:after="20"/>
              <w:rPr>
                <w:lang w:val="fr-FR"/>
              </w:rPr>
            </w:pPr>
          </w:p>
        </w:tc>
        <w:tc>
          <w:tcPr>
            <w:tcW w:w="262" w:type="pct"/>
          </w:tcPr>
          <w:p w14:paraId="171DC51F" w14:textId="77777777" w:rsidR="008C1458" w:rsidRPr="00CE3172" w:rsidRDefault="008C1458" w:rsidP="00DA07A9">
            <w:pPr>
              <w:spacing w:before="20" w:after="20"/>
              <w:rPr>
                <w:lang w:val="fr-FR"/>
              </w:rPr>
            </w:pPr>
            <w:r w:rsidRPr="00CE3172">
              <w:rPr>
                <w:lang w:val="fr-FR"/>
              </w:rPr>
              <w:t>c)</w:t>
            </w:r>
          </w:p>
        </w:tc>
        <w:tc>
          <w:tcPr>
            <w:tcW w:w="2770" w:type="pct"/>
          </w:tcPr>
          <w:p w14:paraId="6C1FECF5" w14:textId="77777777" w:rsidR="008C1458" w:rsidRPr="00CE3172" w:rsidRDefault="008C1458" w:rsidP="00DA07A9">
            <w:pPr>
              <w:spacing w:before="20" w:after="20"/>
              <w:rPr>
                <w:lang w:val="fr-FR"/>
              </w:rPr>
            </w:pPr>
            <w:r w:rsidRPr="00CE3172">
              <w:rPr>
                <w:lang w:val="fr-FR"/>
              </w:rPr>
              <w:t>d’une manière objective et transparente</w:t>
            </w:r>
          </w:p>
        </w:tc>
        <w:tc>
          <w:tcPr>
            <w:tcW w:w="374" w:type="pct"/>
          </w:tcPr>
          <w:p w14:paraId="1FD263C6"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54A64A4" w14:textId="77777777" w:rsidR="008C1458" w:rsidRPr="00CE3172" w:rsidRDefault="008C1458" w:rsidP="00DA07A9">
            <w:pPr>
              <w:spacing w:before="20" w:after="20"/>
              <w:jc w:val="center"/>
              <w:rPr>
                <w:lang w:val="fr-FR"/>
              </w:rPr>
            </w:pPr>
          </w:p>
        </w:tc>
        <w:tc>
          <w:tcPr>
            <w:tcW w:w="434" w:type="pct"/>
          </w:tcPr>
          <w:p w14:paraId="7203CCE1" w14:textId="77777777" w:rsidR="008C1458" w:rsidRPr="00CE3172" w:rsidRDefault="008C1458" w:rsidP="00DA07A9">
            <w:pPr>
              <w:spacing w:before="20" w:after="20"/>
              <w:jc w:val="center"/>
              <w:rPr>
                <w:lang w:val="fr-FR"/>
              </w:rPr>
            </w:pPr>
          </w:p>
        </w:tc>
      </w:tr>
      <w:tr w:rsidR="008C1458" w:rsidRPr="00CE3172" w14:paraId="01112F96" w14:textId="77777777" w:rsidTr="00C96354">
        <w:trPr>
          <w:cantSplit/>
        </w:trPr>
        <w:tc>
          <w:tcPr>
            <w:tcW w:w="404" w:type="pct"/>
          </w:tcPr>
          <w:p w14:paraId="6E7DB23B" w14:textId="77777777" w:rsidR="008C1458" w:rsidRPr="00CE3172" w:rsidRDefault="008C1458" w:rsidP="00DA07A9">
            <w:pPr>
              <w:spacing w:before="20" w:after="20"/>
              <w:rPr>
                <w:lang w:val="fr-FR"/>
              </w:rPr>
            </w:pPr>
          </w:p>
        </w:tc>
        <w:tc>
          <w:tcPr>
            <w:tcW w:w="262" w:type="pct"/>
          </w:tcPr>
          <w:p w14:paraId="672B6995" w14:textId="77777777" w:rsidR="008C1458" w:rsidRPr="00CE3172" w:rsidRDefault="008C1458" w:rsidP="00DA07A9">
            <w:pPr>
              <w:spacing w:before="20" w:after="20"/>
              <w:rPr>
                <w:lang w:val="fr-FR"/>
              </w:rPr>
            </w:pPr>
          </w:p>
        </w:tc>
        <w:tc>
          <w:tcPr>
            <w:tcW w:w="262" w:type="pct"/>
          </w:tcPr>
          <w:p w14:paraId="077E6567" w14:textId="77777777" w:rsidR="008C1458" w:rsidRPr="00CE3172" w:rsidRDefault="008C1458" w:rsidP="00DA07A9">
            <w:pPr>
              <w:spacing w:before="20" w:after="20"/>
              <w:rPr>
                <w:lang w:val="fr-FR"/>
              </w:rPr>
            </w:pPr>
            <w:r w:rsidRPr="00CE3172">
              <w:rPr>
                <w:lang w:val="fr-FR"/>
              </w:rPr>
              <w:t>d)</w:t>
            </w:r>
          </w:p>
        </w:tc>
        <w:tc>
          <w:tcPr>
            <w:tcW w:w="2770" w:type="pct"/>
          </w:tcPr>
          <w:p w14:paraId="1704E5F4" w14:textId="77777777" w:rsidR="008C1458" w:rsidRPr="00CE3172" w:rsidRDefault="008C1458" w:rsidP="00DA07A9">
            <w:pPr>
              <w:spacing w:before="20" w:after="20"/>
              <w:rPr>
                <w:lang w:val="fr-FR"/>
              </w:rPr>
            </w:pPr>
            <w:r w:rsidRPr="00CE3172">
              <w:rPr>
                <w:lang w:val="fr-FR"/>
              </w:rPr>
              <w:t>utilisant les apports, y compris les informations conformément au paragraphe 21.24</w:t>
            </w:r>
          </w:p>
        </w:tc>
        <w:tc>
          <w:tcPr>
            <w:tcW w:w="374" w:type="pct"/>
          </w:tcPr>
          <w:p w14:paraId="31F68AB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A33AC53" w14:textId="77777777" w:rsidR="008C1458" w:rsidRPr="00CE3172" w:rsidRDefault="008C1458" w:rsidP="00DA07A9">
            <w:pPr>
              <w:spacing w:before="20" w:after="20"/>
              <w:jc w:val="center"/>
              <w:rPr>
                <w:lang w:val="fr-FR"/>
              </w:rPr>
            </w:pPr>
          </w:p>
        </w:tc>
        <w:tc>
          <w:tcPr>
            <w:tcW w:w="434" w:type="pct"/>
          </w:tcPr>
          <w:p w14:paraId="0B66C7F1" w14:textId="77777777" w:rsidR="008C1458" w:rsidRPr="00CE3172" w:rsidRDefault="008C1458" w:rsidP="00DA07A9">
            <w:pPr>
              <w:spacing w:before="20" w:after="20"/>
              <w:jc w:val="center"/>
              <w:rPr>
                <w:lang w:val="fr-FR"/>
              </w:rPr>
            </w:pPr>
          </w:p>
        </w:tc>
      </w:tr>
      <w:tr w:rsidR="008C1458" w:rsidRPr="00CE3172" w14:paraId="643A1FE2" w14:textId="77777777" w:rsidTr="00C96354">
        <w:trPr>
          <w:cantSplit/>
        </w:trPr>
        <w:tc>
          <w:tcPr>
            <w:tcW w:w="404" w:type="pct"/>
          </w:tcPr>
          <w:p w14:paraId="0B5B4877" w14:textId="77777777" w:rsidR="008C1458" w:rsidRPr="00CE3172" w:rsidRDefault="008C1458" w:rsidP="00DA07A9">
            <w:pPr>
              <w:spacing w:before="20" w:after="20"/>
              <w:rPr>
                <w:lang w:val="fr-FR"/>
              </w:rPr>
            </w:pPr>
          </w:p>
        </w:tc>
        <w:tc>
          <w:tcPr>
            <w:tcW w:w="262" w:type="pct"/>
          </w:tcPr>
          <w:p w14:paraId="47F7AED6" w14:textId="77777777" w:rsidR="008C1458" w:rsidRPr="00CE3172" w:rsidRDefault="008C1458" w:rsidP="00DA07A9">
            <w:pPr>
              <w:spacing w:before="20" w:after="20"/>
              <w:rPr>
                <w:lang w:val="fr-FR"/>
              </w:rPr>
            </w:pPr>
          </w:p>
        </w:tc>
        <w:tc>
          <w:tcPr>
            <w:tcW w:w="262" w:type="pct"/>
          </w:tcPr>
          <w:p w14:paraId="03FB102A" w14:textId="77777777" w:rsidR="008C1458" w:rsidRPr="00CE3172" w:rsidRDefault="008C1458" w:rsidP="00DA07A9">
            <w:pPr>
              <w:spacing w:before="20" w:after="20"/>
              <w:rPr>
                <w:lang w:val="fr-FR"/>
              </w:rPr>
            </w:pPr>
            <w:r w:rsidRPr="00CE3172">
              <w:rPr>
                <w:lang w:val="fr-FR"/>
              </w:rPr>
              <w:t>e)</w:t>
            </w:r>
          </w:p>
        </w:tc>
        <w:tc>
          <w:tcPr>
            <w:tcW w:w="2770" w:type="pct"/>
          </w:tcPr>
          <w:p w14:paraId="51A7D0E8" w14:textId="77777777" w:rsidR="008C1458" w:rsidRPr="00CE3172" w:rsidRDefault="008C1458" w:rsidP="00DA07A9">
            <w:pPr>
              <w:spacing w:before="20" w:after="20"/>
              <w:rPr>
                <w:lang w:val="fr-FR"/>
              </w:rPr>
            </w:pPr>
            <w:r w:rsidRPr="00CE3172">
              <w:rPr>
                <w:lang w:val="fr-FR"/>
              </w:rPr>
              <w:t>enregistrement des résultats</w:t>
            </w:r>
          </w:p>
        </w:tc>
        <w:tc>
          <w:tcPr>
            <w:tcW w:w="374" w:type="pct"/>
          </w:tcPr>
          <w:p w14:paraId="2E063038"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E74A950" w14:textId="77777777" w:rsidR="008C1458" w:rsidRPr="00CE3172" w:rsidRDefault="008C1458" w:rsidP="00DA07A9">
            <w:pPr>
              <w:spacing w:before="20" w:after="20"/>
              <w:jc w:val="center"/>
              <w:rPr>
                <w:lang w:val="fr-FR"/>
              </w:rPr>
            </w:pPr>
          </w:p>
        </w:tc>
        <w:tc>
          <w:tcPr>
            <w:tcW w:w="434" w:type="pct"/>
          </w:tcPr>
          <w:p w14:paraId="1C903B28" w14:textId="77777777" w:rsidR="008C1458" w:rsidRPr="00CE3172" w:rsidRDefault="008C1458" w:rsidP="00DA07A9">
            <w:pPr>
              <w:spacing w:before="20" w:after="20"/>
              <w:jc w:val="center"/>
              <w:rPr>
                <w:lang w:val="fr-FR"/>
              </w:rPr>
            </w:pPr>
          </w:p>
        </w:tc>
      </w:tr>
      <w:tr w:rsidR="008C1458" w:rsidRPr="00CE3172" w14:paraId="4CB3BFB7" w14:textId="77777777" w:rsidTr="00C96354">
        <w:trPr>
          <w:cantSplit/>
        </w:trPr>
        <w:tc>
          <w:tcPr>
            <w:tcW w:w="404" w:type="pct"/>
          </w:tcPr>
          <w:p w14:paraId="24E5FD57" w14:textId="77777777" w:rsidR="008C1458" w:rsidRPr="00CE3172" w:rsidRDefault="008C1458" w:rsidP="00DA07A9">
            <w:pPr>
              <w:spacing w:before="20" w:after="20"/>
              <w:rPr>
                <w:lang w:val="fr-FR"/>
              </w:rPr>
            </w:pPr>
            <w:r w:rsidRPr="00CE3172">
              <w:rPr>
                <w:lang w:val="fr-FR"/>
              </w:rPr>
              <w:t>21.10</w:t>
            </w:r>
          </w:p>
        </w:tc>
        <w:tc>
          <w:tcPr>
            <w:tcW w:w="262" w:type="pct"/>
          </w:tcPr>
          <w:p w14:paraId="2634BD16" w14:textId="77777777" w:rsidR="008C1458" w:rsidRPr="00CE3172" w:rsidRDefault="008C1458" w:rsidP="00DA07A9">
            <w:pPr>
              <w:spacing w:before="20" w:after="20"/>
              <w:rPr>
                <w:lang w:val="fr-FR"/>
              </w:rPr>
            </w:pPr>
          </w:p>
        </w:tc>
        <w:tc>
          <w:tcPr>
            <w:tcW w:w="262" w:type="pct"/>
          </w:tcPr>
          <w:p w14:paraId="5046BD99" w14:textId="77777777" w:rsidR="008C1458" w:rsidRPr="00CE3172" w:rsidRDefault="008C1458" w:rsidP="00DA07A9">
            <w:pPr>
              <w:spacing w:before="20" w:after="20"/>
              <w:rPr>
                <w:lang w:val="fr-FR"/>
              </w:rPr>
            </w:pPr>
          </w:p>
        </w:tc>
        <w:tc>
          <w:tcPr>
            <w:tcW w:w="2770" w:type="pct"/>
          </w:tcPr>
          <w:p w14:paraId="44E470CC" w14:textId="77777777" w:rsidR="008C1458" w:rsidRPr="00CE3172" w:rsidRDefault="008C1458" w:rsidP="00DA07A9">
            <w:pPr>
              <w:spacing w:before="20" w:after="20"/>
              <w:rPr>
                <w:lang w:val="fr-FR"/>
              </w:rPr>
            </w:pPr>
            <w:r w:rsidRPr="00CE3172">
              <w:rPr>
                <w:lang w:val="fr-FR"/>
              </w:rPr>
              <w:t>Assurance pour contrôler le volume de travail et s’y adapter</w:t>
            </w:r>
          </w:p>
        </w:tc>
        <w:tc>
          <w:tcPr>
            <w:tcW w:w="374" w:type="pct"/>
          </w:tcPr>
          <w:p w14:paraId="0AC81043"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8249F20" w14:textId="77777777" w:rsidR="008C1458" w:rsidRPr="00CE3172" w:rsidRDefault="008C1458" w:rsidP="00DA07A9">
            <w:pPr>
              <w:spacing w:before="20" w:after="20"/>
              <w:jc w:val="center"/>
              <w:rPr>
                <w:lang w:val="fr-FR"/>
              </w:rPr>
            </w:pPr>
          </w:p>
        </w:tc>
        <w:tc>
          <w:tcPr>
            <w:tcW w:w="434" w:type="pct"/>
          </w:tcPr>
          <w:p w14:paraId="6FF95EB9" w14:textId="77777777" w:rsidR="008C1458" w:rsidRPr="00CE3172" w:rsidRDefault="008C1458" w:rsidP="00DA07A9">
            <w:pPr>
              <w:spacing w:before="20" w:after="20"/>
              <w:jc w:val="center"/>
              <w:rPr>
                <w:lang w:val="fr-FR"/>
              </w:rPr>
            </w:pPr>
          </w:p>
        </w:tc>
      </w:tr>
      <w:tr w:rsidR="008C1458" w:rsidRPr="00CE3172" w14:paraId="10AC28FB" w14:textId="77777777" w:rsidTr="00C96354">
        <w:trPr>
          <w:cantSplit/>
        </w:trPr>
        <w:tc>
          <w:tcPr>
            <w:tcW w:w="404" w:type="pct"/>
          </w:tcPr>
          <w:p w14:paraId="26CEA786" w14:textId="77777777" w:rsidR="008C1458" w:rsidRPr="00CE3172" w:rsidRDefault="008C1458" w:rsidP="00DA07A9">
            <w:pPr>
              <w:spacing w:before="20" w:after="20"/>
              <w:rPr>
                <w:lang w:val="fr-FR"/>
              </w:rPr>
            </w:pPr>
          </w:p>
        </w:tc>
        <w:tc>
          <w:tcPr>
            <w:tcW w:w="262" w:type="pct"/>
          </w:tcPr>
          <w:p w14:paraId="60FD8390" w14:textId="77777777" w:rsidR="008C1458" w:rsidRPr="00CE3172" w:rsidRDefault="008C1458" w:rsidP="00DA07A9">
            <w:pPr>
              <w:spacing w:before="20" w:after="20"/>
              <w:rPr>
                <w:lang w:val="fr-FR"/>
              </w:rPr>
            </w:pPr>
            <w:r w:rsidRPr="00CE3172">
              <w:rPr>
                <w:lang w:val="fr-FR"/>
              </w:rPr>
              <w:t>i)</w:t>
            </w:r>
          </w:p>
        </w:tc>
        <w:tc>
          <w:tcPr>
            <w:tcW w:w="262" w:type="pct"/>
          </w:tcPr>
          <w:p w14:paraId="78AD1AE1" w14:textId="77777777" w:rsidR="008C1458" w:rsidRPr="00CE3172" w:rsidRDefault="008C1458" w:rsidP="00DA07A9">
            <w:pPr>
              <w:spacing w:before="20" w:after="20"/>
              <w:rPr>
                <w:lang w:val="fr-FR"/>
              </w:rPr>
            </w:pPr>
          </w:p>
        </w:tc>
        <w:tc>
          <w:tcPr>
            <w:tcW w:w="2770" w:type="pct"/>
          </w:tcPr>
          <w:p w14:paraId="23ED1556" w14:textId="77777777" w:rsidR="008C1458" w:rsidRPr="00CE3172" w:rsidRDefault="008C1458" w:rsidP="00DA07A9">
            <w:pPr>
              <w:spacing w:before="20" w:after="20"/>
              <w:rPr>
                <w:lang w:val="fr-FR"/>
              </w:rPr>
            </w:pPr>
            <w:r w:rsidRPr="00CE3172">
              <w:rPr>
                <w:lang w:val="fr-FR"/>
              </w:rPr>
              <w:t>Infrastructure en place pour permettre à un personnel suffisamment nombreux</w:t>
            </w:r>
          </w:p>
        </w:tc>
        <w:tc>
          <w:tcPr>
            <w:tcW w:w="374" w:type="pct"/>
          </w:tcPr>
          <w:p w14:paraId="595857C9" w14:textId="77777777" w:rsidR="008C1458" w:rsidRPr="00CE3172" w:rsidRDefault="008C1458" w:rsidP="00DA07A9">
            <w:pPr>
              <w:spacing w:before="20" w:after="20"/>
              <w:jc w:val="center"/>
              <w:rPr>
                <w:lang w:val="fr-FR"/>
              </w:rPr>
            </w:pPr>
          </w:p>
        </w:tc>
        <w:tc>
          <w:tcPr>
            <w:tcW w:w="494" w:type="pct"/>
          </w:tcPr>
          <w:p w14:paraId="2D2CA82A" w14:textId="77777777" w:rsidR="008C1458" w:rsidRPr="00CE3172" w:rsidRDefault="008C1458" w:rsidP="00DA07A9">
            <w:pPr>
              <w:spacing w:before="20" w:after="20"/>
              <w:jc w:val="center"/>
              <w:rPr>
                <w:lang w:val="fr-FR"/>
              </w:rPr>
            </w:pPr>
          </w:p>
        </w:tc>
        <w:tc>
          <w:tcPr>
            <w:tcW w:w="434" w:type="pct"/>
          </w:tcPr>
          <w:p w14:paraId="253C2D8C" w14:textId="77777777" w:rsidR="008C1458" w:rsidRPr="00CE3172" w:rsidRDefault="008C1458" w:rsidP="00DA07A9">
            <w:pPr>
              <w:spacing w:before="20" w:after="20"/>
              <w:jc w:val="center"/>
              <w:rPr>
                <w:lang w:val="fr-FR"/>
              </w:rPr>
            </w:pPr>
          </w:p>
        </w:tc>
      </w:tr>
      <w:tr w:rsidR="008C1458" w:rsidRPr="00CE3172" w14:paraId="4C2E244F" w14:textId="77777777" w:rsidTr="00C96354">
        <w:trPr>
          <w:cantSplit/>
        </w:trPr>
        <w:tc>
          <w:tcPr>
            <w:tcW w:w="404" w:type="pct"/>
          </w:tcPr>
          <w:p w14:paraId="37ACE5D9" w14:textId="77777777" w:rsidR="008C1458" w:rsidRPr="00CE3172" w:rsidRDefault="008C1458" w:rsidP="00DA07A9">
            <w:pPr>
              <w:spacing w:before="20" w:after="20"/>
              <w:rPr>
                <w:lang w:val="fr-FR"/>
              </w:rPr>
            </w:pPr>
          </w:p>
        </w:tc>
        <w:tc>
          <w:tcPr>
            <w:tcW w:w="262" w:type="pct"/>
          </w:tcPr>
          <w:p w14:paraId="7EFA864D" w14:textId="77777777" w:rsidR="008C1458" w:rsidRPr="00CE3172" w:rsidRDefault="008C1458" w:rsidP="00DA07A9">
            <w:pPr>
              <w:spacing w:before="20" w:after="20"/>
              <w:rPr>
                <w:lang w:val="fr-FR"/>
              </w:rPr>
            </w:pPr>
          </w:p>
        </w:tc>
        <w:tc>
          <w:tcPr>
            <w:tcW w:w="262" w:type="pct"/>
          </w:tcPr>
          <w:p w14:paraId="6BFF3B52" w14:textId="77777777" w:rsidR="008C1458" w:rsidRPr="00CE3172" w:rsidRDefault="008C1458" w:rsidP="00DA07A9">
            <w:pPr>
              <w:spacing w:before="20" w:after="20"/>
              <w:rPr>
                <w:lang w:val="fr-FR"/>
              </w:rPr>
            </w:pPr>
            <w:r w:rsidRPr="00CE3172">
              <w:rPr>
                <w:lang w:val="fr-FR"/>
              </w:rPr>
              <w:t>a)</w:t>
            </w:r>
          </w:p>
        </w:tc>
        <w:tc>
          <w:tcPr>
            <w:tcW w:w="2770" w:type="pct"/>
          </w:tcPr>
          <w:p w14:paraId="3993A2AA" w14:textId="77777777" w:rsidR="008C1458" w:rsidRPr="00CE3172" w:rsidRDefault="008C1458" w:rsidP="00DA07A9">
            <w:pPr>
              <w:spacing w:before="20" w:after="20"/>
              <w:rPr>
                <w:lang w:val="fr-FR"/>
              </w:rPr>
            </w:pPr>
            <w:r w:rsidRPr="00CE3172">
              <w:rPr>
                <w:lang w:val="fr-FR"/>
              </w:rPr>
              <w:t>de faire face à l’apport de travail</w:t>
            </w:r>
          </w:p>
        </w:tc>
        <w:tc>
          <w:tcPr>
            <w:tcW w:w="374" w:type="pct"/>
          </w:tcPr>
          <w:p w14:paraId="6FD4208F"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7F1EEC2" w14:textId="77777777" w:rsidR="008C1458" w:rsidRPr="00CE3172" w:rsidRDefault="008C1458" w:rsidP="00DA07A9">
            <w:pPr>
              <w:spacing w:before="20" w:after="20"/>
              <w:jc w:val="center"/>
              <w:rPr>
                <w:lang w:val="fr-FR"/>
              </w:rPr>
            </w:pPr>
          </w:p>
        </w:tc>
        <w:tc>
          <w:tcPr>
            <w:tcW w:w="434" w:type="pct"/>
          </w:tcPr>
          <w:p w14:paraId="57615607" w14:textId="77777777" w:rsidR="008C1458" w:rsidRPr="00CE3172" w:rsidRDefault="008C1458" w:rsidP="00DA07A9">
            <w:pPr>
              <w:spacing w:before="20" w:after="20"/>
              <w:jc w:val="center"/>
              <w:rPr>
                <w:lang w:val="fr-FR"/>
              </w:rPr>
            </w:pPr>
          </w:p>
        </w:tc>
      </w:tr>
      <w:tr w:rsidR="008C1458" w:rsidRPr="00CE3172" w14:paraId="31777043" w14:textId="77777777" w:rsidTr="00C96354">
        <w:trPr>
          <w:cantSplit/>
        </w:trPr>
        <w:tc>
          <w:tcPr>
            <w:tcW w:w="404" w:type="pct"/>
          </w:tcPr>
          <w:p w14:paraId="2133B568" w14:textId="77777777" w:rsidR="008C1458" w:rsidRPr="00CE3172" w:rsidRDefault="008C1458" w:rsidP="00DA07A9">
            <w:pPr>
              <w:spacing w:before="20" w:after="20"/>
              <w:rPr>
                <w:lang w:val="fr-FR"/>
              </w:rPr>
            </w:pPr>
          </w:p>
        </w:tc>
        <w:tc>
          <w:tcPr>
            <w:tcW w:w="262" w:type="pct"/>
          </w:tcPr>
          <w:p w14:paraId="57C30DED" w14:textId="77777777" w:rsidR="008C1458" w:rsidRPr="00CE3172" w:rsidRDefault="008C1458" w:rsidP="00DA07A9">
            <w:pPr>
              <w:spacing w:before="20" w:after="20"/>
              <w:rPr>
                <w:lang w:val="fr-FR"/>
              </w:rPr>
            </w:pPr>
          </w:p>
        </w:tc>
        <w:tc>
          <w:tcPr>
            <w:tcW w:w="262" w:type="pct"/>
          </w:tcPr>
          <w:p w14:paraId="70FA314F" w14:textId="77777777" w:rsidR="008C1458" w:rsidRPr="00CE3172" w:rsidRDefault="008C1458" w:rsidP="00DA07A9">
            <w:pPr>
              <w:spacing w:before="20" w:after="20"/>
              <w:rPr>
                <w:lang w:val="fr-FR"/>
              </w:rPr>
            </w:pPr>
            <w:r w:rsidRPr="00CE3172">
              <w:rPr>
                <w:lang w:val="fr-FR"/>
              </w:rPr>
              <w:t>b)</w:t>
            </w:r>
          </w:p>
        </w:tc>
        <w:tc>
          <w:tcPr>
            <w:tcW w:w="2770" w:type="pct"/>
          </w:tcPr>
          <w:p w14:paraId="49429956" w14:textId="77777777" w:rsidR="008C1458" w:rsidRPr="00CE3172" w:rsidRDefault="008C1458" w:rsidP="00DA07A9">
            <w:pPr>
              <w:spacing w:before="20" w:after="20"/>
              <w:rPr>
                <w:lang w:val="fr-FR"/>
              </w:rPr>
            </w:pPr>
            <w:r w:rsidRPr="00CE3172">
              <w:rPr>
                <w:lang w:val="fr-FR"/>
              </w:rPr>
              <w:t>disposant des compétences techniques nécessaires de procéder aux recherches et aux examens requis dans tous les domaines techniques</w:t>
            </w:r>
          </w:p>
        </w:tc>
        <w:tc>
          <w:tcPr>
            <w:tcW w:w="374" w:type="pct"/>
          </w:tcPr>
          <w:p w14:paraId="1B0158D4"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1DB975AA" w14:textId="77777777" w:rsidR="008C1458" w:rsidRPr="00CE3172" w:rsidRDefault="008C1458" w:rsidP="00DA07A9">
            <w:pPr>
              <w:spacing w:before="20" w:after="20"/>
              <w:jc w:val="center"/>
              <w:rPr>
                <w:lang w:val="fr-FR"/>
              </w:rPr>
            </w:pPr>
          </w:p>
        </w:tc>
        <w:tc>
          <w:tcPr>
            <w:tcW w:w="434" w:type="pct"/>
          </w:tcPr>
          <w:p w14:paraId="6EE3BA85" w14:textId="77777777" w:rsidR="008C1458" w:rsidRPr="00CE3172" w:rsidRDefault="008C1458" w:rsidP="00DA07A9">
            <w:pPr>
              <w:spacing w:before="20" w:after="20"/>
              <w:jc w:val="center"/>
              <w:rPr>
                <w:lang w:val="fr-FR"/>
              </w:rPr>
            </w:pPr>
          </w:p>
        </w:tc>
      </w:tr>
      <w:tr w:rsidR="008C1458" w:rsidRPr="00CE3172" w14:paraId="012105F2" w14:textId="77777777" w:rsidTr="00C96354">
        <w:trPr>
          <w:cantSplit/>
        </w:trPr>
        <w:tc>
          <w:tcPr>
            <w:tcW w:w="404" w:type="pct"/>
          </w:tcPr>
          <w:p w14:paraId="4E1A7C0D" w14:textId="77777777" w:rsidR="008C1458" w:rsidRPr="00CE3172" w:rsidRDefault="008C1458" w:rsidP="00DA07A9">
            <w:pPr>
              <w:spacing w:before="20" w:after="20"/>
              <w:rPr>
                <w:lang w:val="fr-FR"/>
              </w:rPr>
            </w:pPr>
          </w:p>
        </w:tc>
        <w:tc>
          <w:tcPr>
            <w:tcW w:w="262" w:type="pct"/>
          </w:tcPr>
          <w:p w14:paraId="6915E406" w14:textId="77777777" w:rsidR="008C1458" w:rsidRPr="00CE3172" w:rsidRDefault="008C1458" w:rsidP="00DA07A9">
            <w:pPr>
              <w:spacing w:before="20" w:after="20"/>
              <w:rPr>
                <w:lang w:val="fr-FR"/>
              </w:rPr>
            </w:pPr>
          </w:p>
        </w:tc>
        <w:tc>
          <w:tcPr>
            <w:tcW w:w="262" w:type="pct"/>
          </w:tcPr>
          <w:p w14:paraId="07D9AA34" w14:textId="77777777" w:rsidR="008C1458" w:rsidRPr="00CE3172" w:rsidRDefault="008C1458" w:rsidP="00DA07A9">
            <w:pPr>
              <w:spacing w:before="20" w:after="20"/>
              <w:rPr>
                <w:lang w:val="fr-FR"/>
              </w:rPr>
            </w:pPr>
            <w:r w:rsidRPr="00CE3172">
              <w:rPr>
                <w:lang w:val="fr-FR"/>
              </w:rPr>
              <w:t>c)</w:t>
            </w:r>
          </w:p>
        </w:tc>
        <w:tc>
          <w:tcPr>
            <w:tcW w:w="2770" w:type="pct"/>
          </w:tcPr>
          <w:p w14:paraId="44632F35" w14:textId="77777777" w:rsidR="008C1458" w:rsidRPr="00CE3172" w:rsidRDefault="008C1458" w:rsidP="00DA07A9">
            <w:pPr>
              <w:spacing w:before="20" w:after="20"/>
              <w:rPr>
                <w:lang w:val="fr-FR"/>
              </w:rPr>
            </w:pPr>
            <w:r w:rsidRPr="00CE3172">
              <w:rPr>
                <w:lang w:val="fr-FR"/>
              </w:rPr>
              <w:t>disposant des connaissances linguistiques lui permettant de comprendre les langues conformément à la règle 34</w:t>
            </w:r>
          </w:p>
        </w:tc>
        <w:tc>
          <w:tcPr>
            <w:tcW w:w="374" w:type="pct"/>
          </w:tcPr>
          <w:p w14:paraId="2C16E570"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56CC3B8" w14:textId="77777777" w:rsidR="008C1458" w:rsidRPr="00CE3172" w:rsidRDefault="008C1458" w:rsidP="00DA07A9">
            <w:pPr>
              <w:spacing w:before="20" w:after="20"/>
              <w:jc w:val="center"/>
              <w:rPr>
                <w:lang w:val="fr-FR"/>
              </w:rPr>
            </w:pPr>
          </w:p>
        </w:tc>
        <w:tc>
          <w:tcPr>
            <w:tcW w:w="434" w:type="pct"/>
          </w:tcPr>
          <w:p w14:paraId="389D2F01" w14:textId="77777777" w:rsidR="008C1458" w:rsidRPr="00CE3172" w:rsidRDefault="008C1458" w:rsidP="00DA07A9">
            <w:pPr>
              <w:spacing w:before="20" w:after="20"/>
              <w:jc w:val="center"/>
              <w:rPr>
                <w:lang w:val="fr-FR"/>
              </w:rPr>
            </w:pPr>
          </w:p>
        </w:tc>
      </w:tr>
      <w:tr w:rsidR="008C1458" w:rsidRPr="00CE3172" w14:paraId="3A691594" w14:textId="77777777" w:rsidTr="00C96354">
        <w:trPr>
          <w:cantSplit/>
        </w:trPr>
        <w:tc>
          <w:tcPr>
            <w:tcW w:w="404" w:type="pct"/>
          </w:tcPr>
          <w:p w14:paraId="6AEDBA73" w14:textId="77777777" w:rsidR="008C1458" w:rsidRPr="00CE3172" w:rsidRDefault="008C1458" w:rsidP="00DA07A9">
            <w:pPr>
              <w:spacing w:before="20" w:after="20"/>
              <w:rPr>
                <w:lang w:val="fr-FR"/>
              </w:rPr>
            </w:pPr>
          </w:p>
        </w:tc>
        <w:tc>
          <w:tcPr>
            <w:tcW w:w="262" w:type="pct"/>
          </w:tcPr>
          <w:p w14:paraId="3D16CE0E" w14:textId="77777777" w:rsidR="008C1458" w:rsidRPr="00CE3172" w:rsidRDefault="008C1458" w:rsidP="00DA07A9">
            <w:pPr>
              <w:spacing w:before="20" w:after="20"/>
              <w:rPr>
                <w:lang w:val="fr-FR"/>
              </w:rPr>
            </w:pPr>
            <w:r w:rsidRPr="00CE3172">
              <w:rPr>
                <w:lang w:val="fr-FR"/>
              </w:rPr>
              <w:t>ii)</w:t>
            </w:r>
          </w:p>
        </w:tc>
        <w:tc>
          <w:tcPr>
            <w:tcW w:w="262" w:type="pct"/>
          </w:tcPr>
          <w:p w14:paraId="2EEBD344" w14:textId="77777777" w:rsidR="008C1458" w:rsidRPr="00CE3172" w:rsidRDefault="008C1458" w:rsidP="00DA07A9">
            <w:pPr>
              <w:spacing w:before="20" w:after="20"/>
              <w:rPr>
                <w:lang w:val="fr-FR"/>
              </w:rPr>
            </w:pPr>
          </w:p>
        </w:tc>
        <w:tc>
          <w:tcPr>
            <w:tcW w:w="2770" w:type="pct"/>
          </w:tcPr>
          <w:p w14:paraId="2814ABED" w14:textId="77777777" w:rsidR="008C1458" w:rsidRPr="00CE3172" w:rsidRDefault="008C1458" w:rsidP="00DA07A9">
            <w:pPr>
              <w:spacing w:before="20" w:after="20"/>
              <w:rPr>
                <w:lang w:val="fr-FR"/>
              </w:rPr>
            </w:pPr>
            <w:r w:rsidRPr="00CE3172">
              <w:rPr>
                <w:lang w:val="fr-FR"/>
              </w:rPr>
              <w:t>Infrastructure pour fournir un personnel administratif suffisamment nombreux qui possède les compétences appropriées</w:t>
            </w:r>
          </w:p>
        </w:tc>
        <w:tc>
          <w:tcPr>
            <w:tcW w:w="374" w:type="pct"/>
          </w:tcPr>
          <w:p w14:paraId="3C145CDE"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43B8C35" w14:textId="77777777" w:rsidR="008C1458" w:rsidRPr="00CE3172" w:rsidRDefault="008C1458" w:rsidP="00DA07A9">
            <w:pPr>
              <w:spacing w:before="20" w:after="20"/>
              <w:jc w:val="center"/>
              <w:rPr>
                <w:lang w:val="fr-FR"/>
              </w:rPr>
            </w:pPr>
          </w:p>
        </w:tc>
        <w:tc>
          <w:tcPr>
            <w:tcW w:w="434" w:type="pct"/>
          </w:tcPr>
          <w:p w14:paraId="2B7ECC1C" w14:textId="77777777" w:rsidR="008C1458" w:rsidRPr="00CE3172" w:rsidRDefault="008C1458" w:rsidP="00DA07A9">
            <w:pPr>
              <w:spacing w:before="20" w:after="20"/>
              <w:jc w:val="center"/>
              <w:rPr>
                <w:lang w:val="fr-FR"/>
              </w:rPr>
            </w:pPr>
          </w:p>
        </w:tc>
      </w:tr>
      <w:tr w:rsidR="008C1458" w:rsidRPr="00CE3172" w14:paraId="091BE6F5" w14:textId="77777777" w:rsidTr="00C96354">
        <w:trPr>
          <w:cantSplit/>
        </w:trPr>
        <w:tc>
          <w:tcPr>
            <w:tcW w:w="404" w:type="pct"/>
          </w:tcPr>
          <w:p w14:paraId="6C6DAC93" w14:textId="77777777" w:rsidR="008C1458" w:rsidRPr="00CE3172" w:rsidRDefault="008C1458" w:rsidP="00DA07A9">
            <w:pPr>
              <w:spacing w:before="20" w:after="20"/>
              <w:rPr>
                <w:lang w:val="fr-FR"/>
              </w:rPr>
            </w:pPr>
          </w:p>
        </w:tc>
        <w:tc>
          <w:tcPr>
            <w:tcW w:w="262" w:type="pct"/>
          </w:tcPr>
          <w:p w14:paraId="46826D20" w14:textId="77777777" w:rsidR="008C1458" w:rsidRPr="00CE3172" w:rsidRDefault="008C1458" w:rsidP="00DA07A9">
            <w:pPr>
              <w:spacing w:before="20" w:after="20"/>
              <w:rPr>
                <w:lang w:val="fr-FR"/>
              </w:rPr>
            </w:pPr>
          </w:p>
        </w:tc>
        <w:tc>
          <w:tcPr>
            <w:tcW w:w="262" w:type="pct"/>
          </w:tcPr>
          <w:p w14:paraId="14A149DB" w14:textId="77777777" w:rsidR="008C1458" w:rsidRPr="00CE3172" w:rsidRDefault="008C1458" w:rsidP="00DA07A9">
            <w:pPr>
              <w:spacing w:before="20" w:after="20"/>
              <w:rPr>
                <w:lang w:val="fr-FR"/>
              </w:rPr>
            </w:pPr>
            <w:r w:rsidRPr="00CE3172">
              <w:rPr>
                <w:lang w:val="fr-FR"/>
              </w:rPr>
              <w:t>a)</w:t>
            </w:r>
          </w:p>
        </w:tc>
        <w:tc>
          <w:tcPr>
            <w:tcW w:w="2770" w:type="pct"/>
          </w:tcPr>
          <w:p w14:paraId="0A9B1940" w14:textId="77777777" w:rsidR="008C1458" w:rsidRPr="00CE3172" w:rsidRDefault="008C1458" w:rsidP="00DA07A9">
            <w:pPr>
              <w:spacing w:before="20" w:after="20"/>
              <w:rPr>
                <w:lang w:val="fr-FR"/>
              </w:rPr>
            </w:pPr>
            <w:r w:rsidRPr="00CE3172">
              <w:rPr>
                <w:lang w:val="fr-FR"/>
              </w:rPr>
              <w:t>pour répondre aux besoins du personnel techniquement qualifié</w:t>
            </w:r>
          </w:p>
        </w:tc>
        <w:tc>
          <w:tcPr>
            <w:tcW w:w="374" w:type="pct"/>
          </w:tcPr>
          <w:p w14:paraId="7B2452AF"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B850ABF" w14:textId="77777777" w:rsidR="008C1458" w:rsidRPr="00CE3172" w:rsidRDefault="008C1458" w:rsidP="00DA07A9">
            <w:pPr>
              <w:spacing w:before="20" w:after="20"/>
              <w:jc w:val="center"/>
              <w:rPr>
                <w:lang w:val="fr-FR"/>
              </w:rPr>
            </w:pPr>
          </w:p>
        </w:tc>
        <w:tc>
          <w:tcPr>
            <w:tcW w:w="434" w:type="pct"/>
          </w:tcPr>
          <w:p w14:paraId="79FA0EEF" w14:textId="77777777" w:rsidR="008C1458" w:rsidRPr="00CE3172" w:rsidRDefault="008C1458" w:rsidP="00DA07A9">
            <w:pPr>
              <w:spacing w:before="20" w:after="20"/>
              <w:jc w:val="center"/>
              <w:rPr>
                <w:lang w:val="fr-FR"/>
              </w:rPr>
            </w:pPr>
          </w:p>
        </w:tc>
      </w:tr>
      <w:tr w:rsidR="008C1458" w:rsidRPr="00CE3172" w14:paraId="45971207" w14:textId="77777777" w:rsidTr="00C96354">
        <w:trPr>
          <w:cantSplit/>
        </w:trPr>
        <w:tc>
          <w:tcPr>
            <w:tcW w:w="404" w:type="pct"/>
          </w:tcPr>
          <w:p w14:paraId="0E77E959" w14:textId="77777777" w:rsidR="008C1458" w:rsidRPr="00CE3172" w:rsidRDefault="008C1458" w:rsidP="00DA07A9">
            <w:pPr>
              <w:spacing w:before="20" w:after="20"/>
              <w:rPr>
                <w:lang w:val="fr-FR"/>
              </w:rPr>
            </w:pPr>
          </w:p>
        </w:tc>
        <w:tc>
          <w:tcPr>
            <w:tcW w:w="262" w:type="pct"/>
          </w:tcPr>
          <w:p w14:paraId="293FB27B" w14:textId="77777777" w:rsidR="008C1458" w:rsidRPr="00CE3172" w:rsidRDefault="008C1458" w:rsidP="00DA07A9">
            <w:pPr>
              <w:spacing w:before="20" w:after="20"/>
              <w:rPr>
                <w:lang w:val="fr-FR"/>
              </w:rPr>
            </w:pPr>
          </w:p>
        </w:tc>
        <w:tc>
          <w:tcPr>
            <w:tcW w:w="262" w:type="pct"/>
          </w:tcPr>
          <w:p w14:paraId="0BAEE68A" w14:textId="77777777" w:rsidR="008C1458" w:rsidRPr="00CE3172" w:rsidRDefault="008C1458" w:rsidP="00DA07A9">
            <w:pPr>
              <w:spacing w:before="20" w:after="20"/>
              <w:rPr>
                <w:lang w:val="fr-FR"/>
              </w:rPr>
            </w:pPr>
            <w:r w:rsidRPr="00CE3172">
              <w:rPr>
                <w:lang w:val="fr-FR"/>
              </w:rPr>
              <w:t>b)</w:t>
            </w:r>
          </w:p>
        </w:tc>
        <w:tc>
          <w:tcPr>
            <w:tcW w:w="2770" w:type="pct"/>
          </w:tcPr>
          <w:p w14:paraId="4FCEE50B" w14:textId="77777777" w:rsidR="008C1458" w:rsidRPr="00CE3172" w:rsidRDefault="008C1458" w:rsidP="00DA07A9">
            <w:pPr>
              <w:spacing w:before="20" w:after="20"/>
              <w:rPr>
                <w:lang w:val="fr-FR"/>
              </w:rPr>
            </w:pPr>
            <w:r w:rsidRPr="00CE3172">
              <w:rPr>
                <w:lang w:val="fr-FR"/>
              </w:rPr>
              <w:t>pour l’enregistrement des dossiers</w:t>
            </w:r>
          </w:p>
        </w:tc>
        <w:tc>
          <w:tcPr>
            <w:tcW w:w="374" w:type="pct"/>
          </w:tcPr>
          <w:p w14:paraId="4F35B794"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AD087C6" w14:textId="77777777" w:rsidR="008C1458" w:rsidRPr="00CE3172" w:rsidRDefault="008C1458" w:rsidP="00DA07A9">
            <w:pPr>
              <w:spacing w:before="20" w:after="20"/>
              <w:jc w:val="center"/>
              <w:rPr>
                <w:lang w:val="fr-FR"/>
              </w:rPr>
            </w:pPr>
          </w:p>
        </w:tc>
        <w:tc>
          <w:tcPr>
            <w:tcW w:w="434" w:type="pct"/>
          </w:tcPr>
          <w:p w14:paraId="0CF59D0F" w14:textId="77777777" w:rsidR="008C1458" w:rsidRPr="00CE3172" w:rsidRDefault="008C1458" w:rsidP="00DA07A9">
            <w:pPr>
              <w:spacing w:before="20" w:after="20"/>
              <w:jc w:val="center"/>
              <w:rPr>
                <w:lang w:val="fr-FR"/>
              </w:rPr>
            </w:pPr>
          </w:p>
        </w:tc>
      </w:tr>
      <w:tr w:rsidR="008C1458" w:rsidRPr="00CE3172" w14:paraId="60477030" w14:textId="77777777" w:rsidTr="00C96354">
        <w:trPr>
          <w:cantSplit/>
        </w:trPr>
        <w:tc>
          <w:tcPr>
            <w:tcW w:w="404" w:type="pct"/>
          </w:tcPr>
          <w:p w14:paraId="4F9B7E9E" w14:textId="77777777" w:rsidR="008C1458" w:rsidRPr="00CE3172" w:rsidRDefault="008C1458" w:rsidP="00DA07A9">
            <w:pPr>
              <w:spacing w:before="20" w:after="20"/>
              <w:rPr>
                <w:lang w:val="fr-FR"/>
              </w:rPr>
            </w:pPr>
          </w:p>
        </w:tc>
        <w:tc>
          <w:tcPr>
            <w:tcW w:w="262" w:type="pct"/>
          </w:tcPr>
          <w:p w14:paraId="1B5558B4" w14:textId="77777777" w:rsidR="008C1458" w:rsidRPr="00CE3172" w:rsidRDefault="008C1458" w:rsidP="00DA07A9">
            <w:pPr>
              <w:spacing w:before="20" w:after="20"/>
              <w:rPr>
                <w:lang w:val="fr-FR"/>
              </w:rPr>
            </w:pPr>
            <w:r w:rsidRPr="00CE3172">
              <w:rPr>
                <w:lang w:val="fr-FR"/>
              </w:rPr>
              <w:t>iii)</w:t>
            </w:r>
          </w:p>
        </w:tc>
        <w:tc>
          <w:tcPr>
            <w:tcW w:w="262" w:type="pct"/>
          </w:tcPr>
          <w:p w14:paraId="3438BB0C" w14:textId="77777777" w:rsidR="008C1458" w:rsidRPr="00CE3172" w:rsidRDefault="008C1458" w:rsidP="00DA07A9">
            <w:pPr>
              <w:spacing w:before="20" w:after="20"/>
              <w:rPr>
                <w:lang w:val="fr-FR"/>
              </w:rPr>
            </w:pPr>
          </w:p>
        </w:tc>
        <w:tc>
          <w:tcPr>
            <w:tcW w:w="2770" w:type="pct"/>
          </w:tcPr>
          <w:p w14:paraId="7F6C8409" w14:textId="77777777" w:rsidR="008C1458" w:rsidRPr="00CE3172" w:rsidRDefault="008C1458" w:rsidP="00DA07A9">
            <w:pPr>
              <w:spacing w:before="20" w:after="20"/>
              <w:rPr>
                <w:lang w:val="fr-FR"/>
              </w:rPr>
            </w:pPr>
            <w:r w:rsidRPr="00CE3172">
              <w:rPr>
                <w:lang w:val="fr-FR"/>
              </w:rPr>
              <w:t>Assurer un matériel approprié pour permettre de réaliser le travail de recherche et d’examen (matériel et logiciels informatiques)</w:t>
            </w:r>
          </w:p>
        </w:tc>
        <w:tc>
          <w:tcPr>
            <w:tcW w:w="374" w:type="pct"/>
          </w:tcPr>
          <w:p w14:paraId="011254D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74CA008" w14:textId="77777777" w:rsidR="008C1458" w:rsidRPr="00CE3172" w:rsidRDefault="008C1458" w:rsidP="00DA07A9">
            <w:pPr>
              <w:spacing w:before="20" w:after="20"/>
              <w:jc w:val="center"/>
              <w:rPr>
                <w:lang w:val="fr-FR"/>
              </w:rPr>
            </w:pPr>
          </w:p>
        </w:tc>
        <w:tc>
          <w:tcPr>
            <w:tcW w:w="434" w:type="pct"/>
          </w:tcPr>
          <w:p w14:paraId="11A41F0A" w14:textId="77777777" w:rsidR="008C1458" w:rsidRPr="00CE3172" w:rsidRDefault="008C1458" w:rsidP="00DA07A9">
            <w:pPr>
              <w:spacing w:before="20" w:after="20"/>
              <w:jc w:val="center"/>
              <w:rPr>
                <w:lang w:val="fr-FR"/>
              </w:rPr>
            </w:pPr>
          </w:p>
        </w:tc>
      </w:tr>
      <w:tr w:rsidR="008C1458" w:rsidRPr="00CE3172" w14:paraId="35B4C202" w14:textId="77777777" w:rsidTr="00C96354">
        <w:trPr>
          <w:cantSplit/>
        </w:trPr>
        <w:tc>
          <w:tcPr>
            <w:tcW w:w="404" w:type="pct"/>
          </w:tcPr>
          <w:p w14:paraId="2FA7CC10" w14:textId="77777777" w:rsidR="008C1458" w:rsidRPr="00CE3172" w:rsidRDefault="008C1458" w:rsidP="00DA07A9">
            <w:pPr>
              <w:spacing w:before="20" w:after="20"/>
              <w:rPr>
                <w:lang w:val="fr-FR"/>
              </w:rPr>
            </w:pPr>
          </w:p>
        </w:tc>
        <w:tc>
          <w:tcPr>
            <w:tcW w:w="262" w:type="pct"/>
          </w:tcPr>
          <w:p w14:paraId="534C477F" w14:textId="77777777" w:rsidR="008C1458" w:rsidRPr="00CE3172" w:rsidRDefault="008C1458" w:rsidP="00DA07A9">
            <w:pPr>
              <w:spacing w:before="20" w:after="20"/>
              <w:rPr>
                <w:lang w:val="fr-FR"/>
              </w:rPr>
            </w:pPr>
            <w:r w:rsidRPr="00CE3172">
              <w:rPr>
                <w:lang w:val="fr-FR"/>
              </w:rPr>
              <w:t>iv)</w:t>
            </w:r>
          </w:p>
        </w:tc>
        <w:tc>
          <w:tcPr>
            <w:tcW w:w="262" w:type="pct"/>
          </w:tcPr>
          <w:p w14:paraId="305FAA21" w14:textId="77777777" w:rsidR="008C1458" w:rsidRPr="00CE3172" w:rsidRDefault="008C1458" w:rsidP="00DA07A9">
            <w:pPr>
              <w:spacing w:before="20" w:after="20"/>
              <w:rPr>
                <w:lang w:val="fr-FR"/>
              </w:rPr>
            </w:pPr>
          </w:p>
        </w:tc>
        <w:tc>
          <w:tcPr>
            <w:tcW w:w="2770" w:type="pct"/>
          </w:tcPr>
          <w:p w14:paraId="610E8968" w14:textId="77777777" w:rsidR="008C1458" w:rsidRPr="00CE3172" w:rsidRDefault="008C1458" w:rsidP="00DA07A9">
            <w:pPr>
              <w:spacing w:before="20" w:after="20"/>
              <w:rPr>
                <w:lang w:val="fr-FR"/>
              </w:rPr>
            </w:pPr>
            <w:r w:rsidRPr="00CE3172">
              <w:rPr>
                <w:lang w:val="fr-FR"/>
              </w:rPr>
              <w:t>Faire en sorte que la documentation selon la règle 34 soit accessible, correctement organisée et tenue à jour</w:t>
            </w:r>
          </w:p>
        </w:tc>
        <w:tc>
          <w:tcPr>
            <w:tcW w:w="374" w:type="pct"/>
          </w:tcPr>
          <w:p w14:paraId="05BA375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3E904C7" w14:textId="77777777" w:rsidR="008C1458" w:rsidRPr="00CE3172" w:rsidRDefault="008C1458" w:rsidP="00DA07A9">
            <w:pPr>
              <w:spacing w:before="20" w:after="20"/>
              <w:jc w:val="center"/>
              <w:rPr>
                <w:lang w:val="fr-FR"/>
              </w:rPr>
            </w:pPr>
          </w:p>
        </w:tc>
        <w:tc>
          <w:tcPr>
            <w:tcW w:w="434" w:type="pct"/>
          </w:tcPr>
          <w:p w14:paraId="2D6924C7" w14:textId="77777777" w:rsidR="008C1458" w:rsidRPr="00CE3172" w:rsidRDefault="008C1458" w:rsidP="00DA07A9">
            <w:pPr>
              <w:spacing w:before="20" w:after="20"/>
              <w:jc w:val="center"/>
              <w:rPr>
                <w:lang w:val="fr-FR"/>
              </w:rPr>
            </w:pPr>
          </w:p>
        </w:tc>
      </w:tr>
      <w:tr w:rsidR="008C1458" w:rsidRPr="00CE3172" w14:paraId="01B8BAC2" w14:textId="77777777" w:rsidTr="00C96354">
        <w:trPr>
          <w:cantSplit/>
        </w:trPr>
        <w:tc>
          <w:tcPr>
            <w:tcW w:w="404" w:type="pct"/>
          </w:tcPr>
          <w:p w14:paraId="728386CA" w14:textId="77777777" w:rsidR="008C1458" w:rsidRPr="00CE3172" w:rsidRDefault="008C1458" w:rsidP="00DA07A9">
            <w:pPr>
              <w:spacing w:before="20" w:after="20"/>
              <w:rPr>
                <w:lang w:val="fr-FR"/>
              </w:rPr>
            </w:pPr>
          </w:p>
        </w:tc>
        <w:tc>
          <w:tcPr>
            <w:tcW w:w="262" w:type="pct"/>
          </w:tcPr>
          <w:p w14:paraId="3AD6D8D6" w14:textId="77777777" w:rsidR="008C1458" w:rsidRPr="00CE3172" w:rsidRDefault="008C1458" w:rsidP="00DA07A9">
            <w:pPr>
              <w:spacing w:before="20" w:after="20"/>
              <w:rPr>
                <w:lang w:val="fr-FR"/>
              </w:rPr>
            </w:pPr>
            <w:r w:rsidRPr="00CE3172">
              <w:rPr>
                <w:lang w:val="fr-FR"/>
              </w:rPr>
              <w:t>v)</w:t>
            </w:r>
          </w:p>
        </w:tc>
        <w:tc>
          <w:tcPr>
            <w:tcW w:w="262" w:type="pct"/>
          </w:tcPr>
          <w:p w14:paraId="5F496155" w14:textId="77777777" w:rsidR="008C1458" w:rsidRPr="00CE3172" w:rsidRDefault="008C1458" w:rsidP="00DA07A9">
            <w:pPr>
              <w:spacing w:before="20" w:after="20"/>
              <w:rPr>
                <w:lang w:val="fr-FR"/>
              </w:rPr>
            </w:pPr>
            <w:r w:rsidRPr="00CE3172">
              <w:rPr>
                <w:lang w:val="fr-FR"/>
              </w:rPr>
              <w:t>a)</w:t>
            </w:r>
          </w:p>
        </w:tc>
        <w:tc>
          <w:tcPr>
            <w:tcW w:w="2770" w:type="pct"/>
          </w:tcPr>
          <w:p w14:paraId="1D27E0AF" w14:textId="77777777" w:rsidR="008C1458" w:rsidRPr="00CE3172" w:rsidRDefault="008C1458" w:rsidP="00DA07A9">
            <w:pPr>
              <w:spacing w:before="20" w:after="20"/>
              <w:rPr>
                <w:lang w:val="fr-FR"/>
              </w:rPr>
            </w:pPr>
            <w:r w:rsidRPr="00CE3172">
              <w:rPr>
                <w:lang w:val="fr-FR"/>
              </w:rPr>
              <w:t>Instructions pour aider le personnel à comprendre et agir conformément aux critères et normes de qualité</w:t>
            </w:r>
          </w:p>
        </w:tc>
        <w:tc>
          <w:tcPr>
            <w:tcW w:w="374" w:type="pct"/>
          </w:tcPr>
          <w:p w14:paraId="1DE35525"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5462F6E" w14:textId="77777777" w:rsidR="008C1458" w:rsidRPr="00CE3172" w:rsidRDefault="008C1458" w:rsidP="00DA07A9">
            <w:pPr>
              <w:spacing w:before="20" w:after="20"/>
              <w:jc w:val="center"/>
              <w:rPr>
                <w:lang w:val="fr-FR"/>
              </w:rPr>
            </w:pPr>
          </w:p>
        </w:tc>
        <w:tc>
          <w:tcPr>
            <w:tcW w:w="434" w:type="pct"/>
          </w:tcPr>
          <w:p w14:paraId="60965145" w14:textId="77777777" w:rsidR="008C1458" w:rsidRPr="00CE3172" w:rsidRDefault="008C1458" w:rsidP="00DA07A9">
            <w:pPr>
              <w:spacing w:before="20" w:after="20"/>
              <w:jc w:val="center"/>
              <w:rPr>
                <w:lang w:val="fr-FR"/>
              </w:rPr>
            </w:pPr>
          </w:p>
        </w:tc>
      </w:tr>
      <w:tr w:rsidR="008C1458" w:rsidRPr="00CE3172" w14:paraId="3C61A7C6" w14:textId="77777777" w:rsidTr="00C96354">
        <w:trPr>
          <w:cantSplit/>
        </w:trPr>
        <w:tc>
          <w:tcPr>
            <w:tcW w:w="404" w:type="pct"/>
          </w:tcPr>
          <w:p w14:paraId="26E14D2A" w14:textId="77777777" w:rsidR="008C1458" w:rsidRPr="00CE3172" w:rsidRDefault="008C1458" w:rsidP="00DA07A9">
            <w:pPr>
              <w:spacing w:before="20" w:after="20"/>
              <w:rPr>
                <w:lang w:val="fr-FR"/>
              </w:rPr>
            </w:pPr>
          </w:p>
        </w:tc>
        <w:tc>
          <w:tcPr>
            <w:tcW w:w="262" w:type="pct"/>
          </w:tcPr>
          <w:p w14:paraId="2C5A0FF0" w14:textId="77777777" w:rsidR="008C1458" w:rsidRPr="00CE3172" w:rsidRDefault="008C1458" w:rsidP="00DA07A9">
            <w:pPr>
              <w:spacing w:before="20" w:after="20"/>
              <w:rPr>
                <w:lang w:val="fr-FR"/>
              </w:rPr>
            </w:pPr>
          </w:p>
        </w:tc>
        <w:tc>
          <w:tcPr>
            <w:tcW w:w="262" w:type="pct"/>
          </w:tcPr>
          <w:p w14:paraId="16224634" w14:textId="77777777" w:rsidR="008C1458" w:rsidRPr="00CE3172" w:rsidRDefault="008C1458" w:rsidP="00DA07A9">
            <w:pPr>
              <w:spacing w:before="20" w:after="20"/>
              <w:rPr>
                <w:lang w:val="fr-FR"/>
              </w:rPr>
            </w:pPr>
            <w:r w:rsidRPr="00CE3172">
              <w:rPr>
                <w:lang w:val="fr-FR"/>
              </w:rPr>
              <w:t>b)</w:t>
            </w:r>
          </w:p>
        </w:tc>
        <w:tc>
          <w:tcPr>
            <w:tcW w:w="2770" w:type="pct"/>
          </w:tcPr>
          <w:p w14:paraId="3BEBEE77" w14:textId="77777777" w:rsidR="008C1458" w:rsidRPr="00CE3172" w:rsidRDefault="008C1458" w:rsidP="00DA07A9">
            <w:pPr>
              <w:spacing w:before="20" w:after="20"/>
              <w:rPr>
                <w:lang w:val="fr-FR"/>
              </w:rPr>
            </w:pPr>
            <w:r w:rsidRPr="00CE3172">
              <w:rPr>
                <w:lang w:val="fr-FR"/>
              </w:rPr>
              <w:t>Instructions pour suivre les procédures de travail avec précision et les actualiser</w:t>
            </w:r>
          </w:p>
        </w:tc>
        <w:tc>
          <w:tcPr>
            <w:tcW w:w="374" w:type="pct"/>
          </w:tcPr>
          <w:p w14:paraId="6528203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4F681D9E" w14:textId="77777777" w:rsidR="008C1458" w:rsidRPr="00CE3172" w:rsidRDefault="008C1458" w:rsidP="00DA07A9">
            <w:pPr>
              <w:spacing w:before="20" w:after="20"/>
              <w:jc w:val="center"/>
              <w:rPr>
                <w:lang w:val="fr-FR"/>
              </w:rPr>
            </w:pPr>
          </w:p>
        </w:tc>
        <w:tc>
          <w:tcPr>
            <w:tcW w:w="434" w:type="pct"/>
          </w:tcPr>
          <w:p w14:paraId="68450F1D" w14:textId="77777777" w:rsidR="008C1458" w:rsidRPr="00CE3172" w:rsidRDefault="008C1458" w:rsidP="00DA07A9">
            <w:pPr>
              <w:spacing w:before="20" w:after="20"/>
              <w:jc w:val="center"/>
              <w:rPr>
                <w:lang w:val="fr-FR"/>
              </w:rPr>
            </w:pPr>
          </w:p>
        </w:tc>
      </w:tr>
      <w:tr w:rsidR="008C1458" w:rsidRPr="00CE3172" w14:paraId="74F97F54" w14:textId="77777777" w:rsidTr="00C96354">
        <w:trPr>
          <w:cantSplit/>
        </w:trPr>
        <w:tc>
          <w:tcPr>
            <w:tcW w:w="404" w:type="pct"/>
          </w:tcPr>
          <w:p w14:paraId="096E2169" w14:textId="77777777" w:rsidR="008C1458" w:rsidRPr="00CE3172" w:rsidRDefault="008C1458" w:rsidP="00DA07A9">
            <w:pPr>
              <w:spacing w:before="20" w:after="20"/>
              <w:rPr>
                <w:lang w:val="fr-FR"/>
              </w:rPr>
            </w:pPr>
          </w:p>
        </w:tc>
        <w:tc>
          <w:tcPr>
            <w:tcW w:w="262" w:type="pct"/>
          </w:tcPr>
          <w:p w14:paraId="610481C0" w14:textId="77777777" w:rsidR="008C1458" w:rsidRPr="00CE3172" w:rsidRDefault="008C1458" w:rsidP="00DA07A9">
            <w:pPr>
              <w:spacing w:before="20" w:after="20"/>
              <w:rPr>
                <w:lang w:val="fr-FR"/>
              </w:rPr>
            </w:pPr>
            <w:r w:rsidRPr="00CE3172">
              <w:rPr>
                <w:lang w:val="fr-FR"/>
              </w:rPr>
              <w:t>vi)</w:t>
            </w:r>
          </w:p>
        </w:tc>
        <w:tc>
          <w:tcPr>
            <w:tcW w:w="262" w:type="pct"/>
          </w:tcPr>
          <w:p w14:paraId="04F27CF8" w14:textId="77777777" w:rsidR="008C1458" w:rsidRPr="00CE3172" w:rsidRDefault="008C1458" w:rsidP="00DA07A9">
            <w:pPr>
              <w:spacing w:before="20" w:after="20"/>
              <w:rPr>
                <w:lang w:val="fr-FR"/>
              </w:rPr>
            </w:pPr>
            <w:r w:rsidRPr="00CE3172">
              <w:rPr>
                <w:lang w:val="fr-FR"/>
              </w:rPr>
              <w:t>a)</w:t>
            </w:r>
          </w:p>
        </w:tc>
        <w:tc>
          <w:tcPr>
            <w:tcW w:w="2770" w:type="pct"/>
          </w:tcPr>
          <w:p w14:paraId="65B0DDE1" w14:textId="77777777" w:rsidR="008C1458" w:rsidRPr="00CE3172" w:rsidRDefault="008C1458" w:rsidP="00DA07A9">
            <w:pPr>
              <w:spacing w:before="20" w:after="20"/>
              <w:rPr>
                <w:lang w:val="fr-FR"/>
              </w:rPr>
            </w:pPr>
            <w:r w:rsidRPr="00CE3172">
              <w:rPr>
                <w:lang w:val="fr-FR"/>
              </w:rPr>
              <w:t>Programme de formation et de perfectionnement pour faire en sorte de tenir à jour les compétences nécessaires en matière de recherche et d’examen</w:t>
            </w:r>
          </w:p>
        </w:tc>
        <w:tc>
          <w:tcPr>
            <w:tcW w:w="374" w:type="pct"/>
          </w:tcPr>
          <w:p w14:paraId="4D3CEBE3"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5323390" w14:textId="77777777" w:rsidR="008C1458" w:rsidRPr="00CE3172" w:rsidRDefault="008C1458" w:rsidP="00DA07A9">
            <w:pPr>
              <w:spacing w:before="20" w:after="20"/>
              <w:jc w:val="center"/>
              <w:rPr>
                <w:lang w:val="fr-FR"/>
              </w:rPr>
            </w:pPr>
          </w:p>
        </w:tc>
        <w:tc>
          <w:tcPr>
            <w:tcW w:w="434" w:type="pct"/>
          </w:tcPr>
          <w:p w14:paraId="61F0FBD2" w14:textId="77777777" w:rsidR="008C1458" w:rsidRPr="00CE3172" w:rsidRDefault="008C1458" w:rsidP="00DA07A9">
            <w:pPr>
              <w:spacing w:before="20" w:after="20"/>
              <w:jc w:val="center"/>
              <w:rPr>
                <w:lang w:val="fr-FR"/>
              </w:rPr>
            </w:pPr>
          </w:p>
        </w:tc>
      </w:tr>
      <w:tr w:rsidR="008C1458" w:rsidRPr="00CE3172" w14:paraId="1EAC4708" w14:textId="77777777" w:rsidTr="00C96354">
        <w:trPr>
          <w:cantSplit/>
        </w:trPr>
        <w:tc>
          <w:tcPr>
            <w:tcW w:w="404" w:type="pct"/>
          </w:tcPr>
          <w:p w14:paraId="2296A3C4" w14:textId="77777777" w:rsidR="008C1458" w:rsidRPr="00CE3172" w:rsidRDefault="008C1458" w:rsidP="00DA07A9">
            <w:pPr>
              <w:spacing w:before="20" w:after="20"/>
              <w:rPr>
                <w:lang w:val="fr-FR"/>
              </w:rPr>
            </w:pPr>
          </w:p>
        </w:tc>
        <w:tc>
          <w:tcPr>
            <w:tcW w:w="262" w:type="pct"/>
          </w:tcPr>
          <w:p w14:paraId="08155F69" w14:textId="77777777" w:rsidR="008C1458" w:rsidRPr="00CE3172" w:rsidRDefault="008C1458" w:rsidP="00DA07A9">
            <w:pPr>
              <w:spacing w:before="20" w:after="20"/>
              <w:rPr>
                <w:lang w:val="fr-FR"/>
              </w:rPr>
            </w:pPr>
          </w:p>
        </w:tc>
        <w:tc>
          <w:tcPr>
            <w:tcW w:w="262" w:type="pct"/>
          </w:tcPr>
          <w:p w14:paraId="36FA0461" w14:textId="77777777" w:rsidR="008C1458" w:rsidRPr="00CE3172" w:rsidRDefault="008C1458" w:rsidP="00DA07A9">
            <w:pPr>
              <w:spacing w:before="20" w:after="20"/>
              <w:rPr>
                <w:lang w:val="fr-FR"/>
              </w:rPr>
            </w:pPr>
            <w:r w:rsidRPr="00CE3172">
              <w:rPr>
                <w:lang w:val="fr-FR"/>
              </w:rPr>
              <w:t>b)</w:t>
            </w:r>
          </w:p>
        </w:tc>
        <w:tc>
          <w:tcPr>
            <w:tcW w:w="2770" w:type="pct"/>
          </w:tcPr>
          <w:p w14:paraId="3086D0C9" w14:textId="77777777" w:rsidR="008C1458" w:rsidRPr="00CE3172" w:rsidRDefault="008C1458" w:rsidP="00DA07A9">
            <w:pPr>
              <w:spacing w:before="20" w:after="20"/>
              <w:rPr>
                <w:lang w:val="fr-FR"/>
              </w:rPr>
            </w:pPr>
            <w:r w:rsidRPr="00CE3172">
              <w:rPr>
                <w:lang w:val="fr-FR"/>
              </w:rPr>
              <w:t>Programme de formation et de perfectionnement pour garantir que le personnel est pleinement conscient de l’importance de respecter les critères et les normes de qualité.</w:t>
            </w:r>
          </w:p>
        </w:tc>
        <w:tc>
          <w:tcPr>
            <w:tcW w:w="374" w:type="pct"/>
          </w:tcPr>
          <w:p w14:paraId="3F0476CD"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294E70C3" w14:textId="77777777" w:rsidR="008C1458" w:rsidRPr="00CE3172" w:rsidRDefault="008C1458" w:rsidP="00DA07A9">
            <w:pPr>
              <w:spacing w:before="20" w:after="20"/>
              <w:jc w:val="center"/>
              <w:rPr>
                <w:lang w:val="fr-FR"/>
              </w:rPr>
            </w:pPr>
          </w:p>
        </w:tc>
        <w:tc>
          <w:tcPr>
            <w:tcW w:w="434" w:type="pct"/>
          </w:tcPr>
          <w:p w14:paraId="4148BDF5" w14:textId="77777777" w:rsidR="008C1458" w:rsidRPr="00CE3172" w:rsidRDefault="008C1458" w:rsidP="00DA07A9">
            <w:pPr>
              <w:spacing w:before="20" w:after="20"/>
              <w:jc w:val="center"/>
              <w:rPr>
                <w:lang w:val="fr-FR"/>
              </w:rPr>
            </w:pPr>
          </w:p>
        </w:tc>
      </w:tr>
      <w:tr w:rsidR="008C1458" w:rsidRPr="00CE3172" w14:paraId="0D1F61B0" w14:textId="77777777" w:rsidTr="00C96354">
        <w:trPr>
          <w:cantSplit/>
        </w:trPr>
        <w:tc>
          <w:tcPr>
            <w:tcW w:w="404" w:type="pct"/>
          </w:tcPr>
          <w:p w14:paraId="522DCE61" w14:textId="77777777" w:rsidR="008C1458" w:rsidRPr="00CE3172" w:rsidRDefault="008C1458" w:rsidP="00DA07A9">
            <w:pPr>
              <w:spacing w:before="20" w:after="20"/>
              <w:rPr>
                <w:lang w:val="fr-FR"/>
              </w:rPr>
            </w:pPr>
          </w:p>
        </w:tc>
        <w:tc>
          <w:tcPr>
            <w:tcW w:w="262" w:type="pct"/>
          </w:tcPr>
          <w:p w14:paraId="42533C39" w14:textId="77777777" w:rsidR="008C1458" w:rsidRPr="00CE3172" w:rsidRDefault="008C1458" w:rsidP="00DA07A9">
            <w:pPr>
              <w:spacing w:before="20" w:after="20"/>
              <w:rPr>
                <w:lang w:val="fr-FR"/>
              </w:rPr>
            </w:pPr>
            <w:r w:rsidRPr="00CE3172">
              <w:rPr>
                <w:lang w:val="fr-FR"/>
              </w:rPr>
              <w:t>vii)</w:t>
            </w:r>
          </w:p>
        </w:tc>
        <w:tc>
          <w:tcPr>
            <w:tcW w:w="262" w:type="pct"/>
          </w:tcPr>
          <w:p w14:paraId="0E3A4082" w14:textId="77777777" w:rsidR="008C1458" w:rsidRPr="00CE3172" w:rsidRDefault="008C1458" w:rsidP="00DA07A9">
            <w:pPr>
              <w:spacing w:before="20" w:after="20"/>
              <w:rPr>
                <w:lang w:val="fr-FR"/>
              </w:rPr>
            </w:pPr>
            <w:r w:rsidRPr="00CE3172">
              <w:rPr>
                <w:lang w:val="fr-FR"/>
              </w:rPr>
              <w:t>a)</w:t>
            </w:r>
          </w:p>
        </w:tc>
        <w:tc>
          <w:tcPr>
            <w:tcW w:w="2770" w:type="pct"/>
          </w:tcPr>
          <w:p w14:paraId="6BC980FC" w14:textId="77777777" w:rsidR="008C1458" w:rsidRPr="00CE3172" w:rsidRDefault="008C1458" w:rsidP="00DA07A9">
            <w:pPr>
              <w:spacing w:before="20" w:after="20"/>
              <w:rPr>
                <w:lang w:val="fr-FR"/>
              </w:rPr>
            </w:pPr>
            <w:r w:rsidRPr="00CE3172">
              <w:rPr>
                <w:lang w:val="fr-FR"/>
              </w:rPr>
              <w:t>Système en place pour contrôler les ressources nécessaires pour faire face à la demande</w:t>
            </w:r>
          </w:p>
        </w:tc>
        <w:tc>
          <w:tcPr>
            <w:tcW w:w="374" w:type="pct"/>
          </w:tcPr>
          <w:p w14:paraId="2C66218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5204986" w14:textId="77777777" w:rsidR="008C1458" w:rsidRPr="00CE3172" w:rsidRDefault="008C1458" w:rsidP="00DA07A9">
            <w:pPr>
              <w:spacing w:before="20" w:after="20"/>
              <w:jc w:val="center"/>
              <w:rPr>
                <w:lang w:val="fr-FR"/>
              </w:rPr>
            </w:pPr>
          </w:p>
        </w:tc>
        <w:tc>
          <w:tcPr>
            <w:tcW w:w="434" w:type="pct"/>
          </w:tcPr>
          <w:p w14:paraId="22B17698" w14:textId="77777777" w:rsidR="008C1458" w:rsidRPr="00CE3172" w:rsidRDefault="008C1458" w:rsidP="00DA07A9">
            <w:pPr>
              <w:spacing w:before="20" w:after="20"/>
              <w:jc w:val="center"/>
              <w:rPr>
                <w:lang w:val="fr-FR"/>
              </w:rPr>
            </w:pPr>
          </w:p>
        </w:tc>
      </w:tr>
      <w:tr w:rsidR="008C1458" w:rsidRPr="00CE3172" w14:paraId="710853FA" w14:textId="77777777" w:rsidTr="00C96354">
        <w:trPr>
          <w:cantSplit/>
        </w:trPr>
        <w:tc>
          <w:tcPr>
            <w:tcW w:w="404" w:type="pct"/>
          </w:tcPr>
          <w:p w14:paraId="07F366D2" w14:textId="77777777" w:rsidR="008C1458" w:rsidRPr="00CE3172" w:rsidRDefault="008C1458" w:rsidP="00DA07A9">
            <w:pPr>
              <w:spacing w:before="20" w:after="20"/>
              <w:rPr>
                <w:lang w:val="fr-FR"/>
              </w:rPr>
            </w:pPr>
          </w:p>
        </w:tc>
        <w:tc>
          <w:tcPr>
            <w:tcW w:w="262" w:type="pct"/>
          </w:tcPr>
          <w:p w14:paraId="1FBC3D83" w14:textId="77777777" w:rsidR="008C1458" w:rsidRPr="00CE3172" w:rsidRDefault="008C1458" w:rsidP="00DA07A9">
            <w:pPr>
              <w:spacing w:before="20" w:after="20"/>
              <w:rPr>
                <w:lang w:val="fr-FR"/>
              </w:rPr>
            </w:pPr>
          </w:p>
        </w:tc>
        <w:tc>
          <w:tcPr>
            <w:tcW w:w="262" w:type="pct"/>
          </w:tcPr>
          <w:p w14:paraId="13909F69" w14:textId="77777777" w:rsidR="008C1458" w:rsidRPr="00CE3172" w:rsidRDefault="008C1458" w:rsidP="00DA07A9">
            <w:pPr>
              <w:spacing w:before="20" w:after="20"/>
              <w:rPr>
                <w:lang w:val="fr-FR"/>
              </w:rPr>
            </w:pPr>
            <w:r w:rsidRPr="00CE3172">
              <w:rPr>
                <w:lang w:val="fr-FR"/>
              </w:rPr>
              <w:t>b)</w:t>
            </w:r>
          </w:p>
        </w:tc>
        <w:tc>
          <w:tcPr>
            <w:tcW w:w="2770" w:type="pct"/>
          </w:tcPr>
          <w:p w14:paraId="2E404A4D" w14:textId="77777777" w:rsidR="008C1458" w:rsidRPr="00CE3172" w:rsidRDefault="008C1458" w:rsidP="00DA07A9">
            <w:pPr>
              <w:spacing w:before="20" w:after="20"/>
              <w:rPr>
                <w:lang w:val="fr-FR"/>
              </w:rPr>
            </w:pPr>
            <w:r w:rsidRPr="00CE3172">
              <w:rPr>
                <w:lang w:val="fr-FR"/>
              </w:rPr>
              <w:t>Système en place pour contrôler les ressources nécessaires pour respecter les normes de qualité en matière de recherche et d’examen</w:t>
            </w:r>
          </w:p>
        </w:tc>
        <w:tc>
          <w:tcPr>
            <w:tcW w:w="374" w:type="pct"/>
          </w:tcPr>
          <w:p w14:paraId="736F2690"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A27642B" w14:textId="77777777" w:rsidR="008C1458" w:rsidRPr="00CE3172" w:rsidRDefault="008C1458" w:rsidP="00DA07A9">
            <w:pPr>
              <w:spacing w:before="20" w:after="20"/>
              <w:jc w:val="center"/>
              <w:rPr>
                <w:lang w:val="fr-FR"/>
              </w:rPr>
            </w:pPr>
          </w:p>
        </w:tc>
        <w:tc>
          <w:tcPr>
            <w:tcW w:w="434" w:type="pct"/>
          </w:tcPr>
          <w:p w14:paraId="243A70DB" w14:textId="77777777" w:rsidR="008C1458" w:rsidRPr="00CE3172" w:rsidRDefault="008C1458" w:rsidP="00DA07A9">
            <w:pPr>
              <w:spacing w:before="20" w:after="20"/>
              <w:jc w:val="center"/>
              <w:rPr>
                <w:lang w:val="fr-FR"/>
              </w:rPr>
            </w:pPr>
          </w:p>
        </w:tc>
      </w:tr>
      <w:tr w:rsidR="008C1458" w:rsidRPr="00CE3172" w14:paraId="410831BE" w14:textId="77777777" w:rsidTr="00C96354">
        <w:trPr>
          <w:cantSplit/>
        </w:trPr>
        <w:tc>
          <w:tcPr>
            <w:tcW w:w="404" w:type="pct"/>
          </w:tcPr>
          <w:p w14:paraId="678A9687" w14:textId="77777777" w:rsidR="008C1458" w:rsidRPr="00CE3172" w:rsidRDefault="008C1458" w:rsidP="00DA07A9">
            <w:pPr>
              <w:spacing w:before="20" w:after="20"/>
              <w:rPr>
                <w:lang w:val="fr-FR"/>
              </w:rPr>
            </w:pPr>
            <w:r w:rsidRPr="00CE3172">
              <w:rPr>
                <w:lang w:val="fr-FR"/>
              </w:rPr>
              <w:t>21.11</w:t>
            </w:r>
          </w:p>
        </w:tc>
        <w:tc>
          <w:tcPr>
            <w:tcW w:w="262" w:type="pct"/>
          </w:tcPr>
          <w:p w14:paraId="4ABDAADC" w14:textId="77777777" w:rsidR="008C1458" w:rsidRPr="00CE3172" w:rsidRDefault="008C1458" w:rsidP="00DA07A9">
            <w:pPr>
              <w:spacing w:before="20" w:after="20"/>
              <w:rPr>
                <w:lang w:val="fr-FR"/>
              </w:rPr>
            </w:pPr>
            <w:r w:rsidRPr="00CE3172">
              <w:rPr>
                <w:lang w:val="fr-FR"/>
              </w:rPr>
              <w:t>i)</w:t>
            </w:r>
          </w:p>
        </w:tc>
        <w:tc>
          <w:tcPr>
            <w:tcW w:w="262" w:type="pct"/>
          </w:tcPr>
          <w:p w14:paraId="69509063" w14:textId="77777777" w:rsidR="008C1458" w:rsidRPr="00CE3172" w:rsidRDefault="008C1458" w:rsidP="00DA07A9">
            <w:pPr>
              <w:spacing w:before="20" w:after="20"/>
              <w:rPr>
                <w:lang w:val="fr-FR"/>
              </w:rPr>
            </w:pPr>
          </w:p>
        </w:tc>
        <w:tc>
          <w:tcPr>
            <w:tcW w:w="2770" w:type="pct"/>
          </w:tcPr>
          <w:p w14:paraId="52C01755" w14:textId="77777777" w:rsidR="008C1458" w:rsidRPr="00CE3172" w:rsidRDefault="008C1458" w:rsidP="00DA07A9">
            <w:pPr>
              <w:spacing w:before="20" w:after="20"/>
              <w:rPr>
                <w:lang w:val="fr-FR"/>
              </w:rPr>
            </w:pPr>
            <w:r w:rsidRPr="00CE3172">
              <w:rPr>
                <w:lang w:val="fr-FR"/>
              </w:rPr>
              <w:t>Mécanismes efficaces de contrôle pour garantir l’établissement en temps opportun des rapports de recherche et d’examen</w:t>
            </w:r>
          </w:p>
        </w:tc>
        <w:tc>
          <w:tcPr>
            <w:tcW w:w="374" w:type="pct"/>
          </w:tcPr>
          <w:p w14:paraId="2E4BEAE7"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17F5D49" w14:textId="77777777" w:rsidR="008C1458" w:rsidRPr="00CE3172" w:rsidRDefault="008C1458" w:rsidP="00DA07A9">
            <w:pPr>
              <w:spacing w:before="20" w:after="20"/>
              <w:jc w:val="center"/>
              <w:rPr>
                <w:lang w:val="fr-FR"/>
              </w:rPr>
            </w:pPr>
          </w:p>
        </w:tc>
        <w:tc>
          <w:tcPr>
            <w:tcW w:w="434" w:type="pct"/>
          </w:tcPr>
          <w:p w14:paraId="7E2A8A4A" w14:textId="77777777" w:rsidR="008C1458" w:rsidRPr="00CE3172" w:rsidRDefault="008C1458" w:rsidP="00DA07A9">
            <w:pPr>
              <w:spacing w:before="20" w:after="20"/>
              <w:jc w:val="center"/>
              <w:rPr>
                <w:lang w:val="fr-FR"/>
              </w:rPr>
            </w:pPr>
          </w:p>
        </w:tc>
      </w:tr>
      <w:tr w:rsidR="008C1458" w:rsidRPr="00CE3172" w14:paraId="3E86EFFF" w14:textId="77777777" w:rsidTr="00C96354">
        <w:trPr>
          <w:cantSplit/>
        </w:trPr>
        <w:tc>
          <w:tcPr>
            <w:tcW w:w="404" w:type="pct"/>
          </w:tcPr>
          <w:p w14:paraId="72691F69" w14:textId="77777777" w:rsidR="008C1458" w:rsidRPr="00CE3172" w:rsidRDefault="008C1458" w:rsidP="00DA07A9">
            <w:pPr>
              <w:spacing w:before="20" w:after="20"/>
              <w:rPr>
                <w:lang w:val="fr-FR"/>
              </w:rPr>
            </w:pPr>
          </w:p>
        </w:tc>
        <w:tc>
          <w:tcPr>
            <w:tcW w:w="262" w:type="pct"/>
          </w:tcPr>
          <w:p w14:paraId="45E6F3BC" w14:textId="77777777" w:rsidR="008C1458" w:rsidRPr="00CE3172" w:rsidRDefault="008C1458" w:rsidP="00DA07A9">
            <w:pPr>
              <w:spacing w:before="20" w:after="20"/>
              <w:rPr>
                <w:lang w:val="fr-FR"/>
              </w:rPr>
            </w:pPr>
            <w:r w:rsidRPr="00CE3172">
              <w:rPr>
                <w:lang w:val="fr-FR"/>
              </w:rPr>
              <w:t>ii)</w:t>
            </w:r>
          </w:p>
        </w:tc>
        <w:tc>
          <w:tcPr>
            <w:tcW w:w="262" w:type="pct"/>
          </w:tcPr>
          <w:p w14:paraId="48213F0D" w14:textId="77777777" w:rsidR="008C1458" w:rsidRPr="00CE3172" w:rsidRDefault="008C1458" w:rsidP="00DA07A9">
            <w:pPr>
              <w:spacing w:before="20" w:after="20"/>
              <w:rPr>
                <w:lang w:val="fr-FR"/>
              </w:rPr>
            </w:pPr>
          </w:p>
        </w:tc>
        <w:tc>
          <w:tcPr>
            <w:tcW w:w="2770" w:type="pct"/>
          </w:tcPr>
          <w:p w14:paraId="3E7CA1B3" w14:textId="77777777" w:rsidR="008C1458" w:rsidRPr="00CE3172" w:rsidRDefault="008C1458" w:rsidP="00DA07A9">
            <w:pPr>
              <w:spacing w:before="20" w:after="20"/>
              <w:rPr>
                <w:lang w:val="fr-FR"/>
              </w:rPr>
            </w:pPr>
            <w:r w:rsidRPr="00CE3172">
              <w:rPr>
                <w:lang w:val="fr-FR"/>
              </w:rPr>
              <w:t>Mécanismes de contrôle approprié des fluctuations de la demande et des retards</w:t>
            </w:r>
          </w:p>
        </w:tc>
        <w:tc>
          <w:tcPr>
            <w:tcW w:w="374" w:type="pct"/>
          </w:tcPr>
          <w:p w14:paraId="4E5430E9"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EE52F2B" w14:textId="77777777" w:rsidR="008C1458" w:rsidRPr="00CE3172" w:rsidRDefault="008C1458" w:rsidP="00DA07A9">
            <w:pPr>
              <w:spacing w:before="20" w:after="20"/>
              <w:jc w:val="center"/>
              <w:rPr>
                <w:lang w:val="fr-FR"/>
              </w:rPr>
            </w:pPr>
          </w:p>
        </w:tc>
        <w:tc>
          <w:tcPr>
            <w:tcW w:w="434" w:type="pct"/>
          </w:tcPr>
          <w:p w14:paraId="094F33E8" w14:textId="77777777" w:rsidR="008C1458" w:rsidRPr="00CE3172" w:rsidRDefault="008C1458" w:rsidP="00DA07A9">
            <w:pPr>
              <w:spacing w:before="20" w:after="20"/>
              <w:jc w:val="center"/>
              <w:rPr>
                <w:lang w:val="fr-FR"/>
              </w:rPr>
            </w:pPr>
          </w:p>
        </w:tc>
      </w:tr>
      <w:tr w:rsidR="008C1458" w:rsidRPr="00CE3172" w14:paraId="77D9D642" w14:textId="77777777" w:rsidTr="00C96354">
        <w:trPr>
          <w:cantSplit/>
        </w:trPr>
        <w:tc>
          <w:tcPr>
            <w:tcW w:w="404" w:type="pct"/>
          </w:tcPr>
          <w:p w14:paraId="59B1E3A0" w14:textId="77777777" w:rsidR="008C1458" w:rsidRPr="00CE3172" w:rsidRDefault="008C1458" w:rsidP="00DA07A9">
            <w:pPr>
              <w:spacing w:before="20" w:after="20"/>
              <w:rPr>
                <w:lang w:val="fr-FR"/>
              </w:rPr>
            </w:pPr>
            <w:r w:rsidRPr="00CE3172">
              <w:rPr>
                <w:lang w:val="fr-FR"/>
              </w:rPr>
              <w:t>21.12</w:t>
            </w:r>
          </w:p>
        </w:tc>
        <w:tc>
          <w:tcPr>
            <w:tcW w:w="262" w:type="pct"/>
          </w:tcPr>
          <w:p w14:paraId="187650BC" w14:textId="77777777" w:rsidR="008C1458" w:rsidRPr="00CE3172" w:rsidRDefault="008C1458" w:rsidP="00DA07A9">
            <w:pPr>
              <w:spacing w:before="20" w:after="20"/>
              <w:rPr>
                <w:lang w:val="fr-FR"/>
              </w:rPr>
            </w:pPr>
            <w:r w:rsidRPr="00CE3172">
              <w:rPr>
                <w:lang w:val="fr-FR"/>
              </w:rPr>
              <w:t>i)</w:t>
            </w:r>
          </w:p>
        </w:tc>
        <w:tc>
          <w:tcPr>
            <w:tcW w:w="262" w:type="pct"/>
          </w:tcPr>
          <w:p w14:paraId="0E040D73" w14:textId="77777777" w:rsidR="008C1458" w:rsidRPr="00CE3172" w:rsidRDefault="008C1458" w:rsidP="00DA07A9">
            <w:pPr>
              <w:spacing w:before="20" w:after="20"/>
              <w:rPr>
                <w:lang w:val="fr-FR"/>
              </w:rPr>
            </w:pPr>
          </w:p>
        </w:tc>
        <w:tc>
          <w:tcPr>
            <w:tcW w:w="2770" w:type="pct"/>
          </w:tcPr>
          <w:p w14:paraId="4C849D63" w14:textId="1A1F0DEC" w:rsidR="008C1458" w:rsidRPr="00CE3172" w:rsidRDefault="008C1458" w:rsidP="00DA07A9">
            <w:pPr>
              <w:spacing w:before="20" w:after="20"/>
              <w:rPr>
                <w:lang w:val="fr-FR"/>
              </w:rPr>
            </w:pPr>
            <w:r w:rsidRPr="00CE3172">
              <w:rPr>
                <w:lang w:val="fr-FR"/>
              </w:rPr>
              <w:t>Système d’assurance de la qualité permettant une auto</w:t>
            </w:r>
            <w:r w:rsidR="00BC3CD7">
              <w:rPr>
                <w:lang w:val="fr-FR"/>
              </w:rPr>
              <w:noBreakHyphen/>
            </w:r>
            <w:r w:rsidRPr="00CE3172">
              <w:rPr>
                <w:lang w:val="fr-FR"/>
              </w:rPr>
              <w:t>évaluation</w:t>
            </w:r>
          </w:p>
        </w:tc>
        <w:tc>
          <w:tcPr>
            <w:tcW w:w="374" w:type="pct"/>
          </w:tcPr>
          <w:p w14:paraId="1696CA0A"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1D1AAC4" w14:textId="77777777" w:rsidR="008C1458" w:rsidRPr="00CE3172" w:rsidRDefault="008C1458" w:rsidP="00DA07A9">
            <w:pPr>
              <w:spacing w:before="20" w:after="20"/>
              <w:jc w:val="center"/>
              <w:rPr>
                <w:lang w:val="fr-FR"/>
              </w:rPr>
            </w:pPr>
          </w:p>
        </w:tc>
        <w:tc>
          <w:tcPr>
            <w:tcW w:w="434" w:type="pct"/>
          </w:tcPr>
          <w:p w14:paraId="5390DF78" w14:textId="77777777" w:rsidR="008C1458" w:rsidRPr="00CE3172" w:rsidRDefault="008C1458" w:rsidP="00DA07A9">
            <w:pPr>
              <w:spacing w:before="20" w:after="20"/>
              <w:jc w:val="center"/>
              <w:rPr>
                <w:lang w:val="fr-FR"/>
              </w:rPr>
            </w:pPr>
          </w:p>
        </w:tc>
      </w:tr>
      <w:tr w:rsidR="008C1458" w:rsidRPr="00CE3172" w14:paraId="53D65C86" w14:textId="77777777" w:rsidTr="00C96354">
        <w:trPr>
          <w:cantSplit/>
        </w:trPr>
        <w:tc>
          <w:tcPr>
            <w:tcW w:w="404" w:type="pct"/>
          </w:tcPr>
          <w:p w14:paraId="7AFD8FBE" w14:textId="77777777" w:rsidR="008C1458" w:rsidRPr="00CE3172" w:rsidRDefault="008C1458" w:rsidP="00DA07A9">
            <w:pPr>
              <w:spacing w:before="20" w:after="20"/>
              <w:rPr>
                <w:lang w:val="fr-FR"/>
              </w:rPr>
            </w:pPr>
          </w:p>
        </w:tc>
        <w:tc>
          <w:tcPr>
            <w:tcW w:w="262" w:type="pct"/>
          </w:tcPr>
          <w:p w14:paraId="6C807045" w14:textId="77777777" w:rsidR="008C1458" w:rsidRPr="00CE3172" w:rsidRDefault="008C1458" w:rsidP="00DA07A9">
            <w:pPr>
              <w:spacing w:before="20" w:after="20"/>
              <w:rPr>
                <w:lang w:val="fr-FR"/>
              </w:rPr>
            </w:pPr>
          </w:p>
        </w:tc>
        <w:tc>
          <w:tcPr>
            <w:tcW w:w="262" w:type="pct"/>
          </w:tcPr>
          <w:p w14:paraId="165FF7D6" w14:textId="77777777" w:rsidR="008C1458" w:rsidRPr="00CE3172" w:rsidRDefault="008C1458" w:rsidP="00DA07A9">
            <w:pPr>
              <w:spacing w:before="20" w:after="20"/>
              <w:rPr>
                <w:lang w:val="fr-FR"/>
              </w:rPr>
            </w:pPr>
            <w:r w:rsidRPr="00CE3172">
              <w:rPr>
                <w:lang w:val="fr-FR"/>
              </w:rPr>
              <w:t>a)</w:t>
            </w:r>
          </w:p>
        </w:tc>
        <w:tc>
          <w:tcPr>
            <w:tcW w:w="2770" w:type="pct"/>
          </w:tcPr>
          <w:p w14:paraId="7AB38E73" w14:textId="77777777" w:rsidR="008C1458" w:rsidRPr="00CE3172" w:rsidRDefault="008C1458" w:rsidP="00DA07A9">
            <w:pPr>
              <w:spacing w:before="20" w:after="20"/>
              <w:rPr>
                <w:lang w:val="fr-FR"/>
              </w:rPr>
            </w:pPr>
            <w:r w:rsidRPr="00CE3172">
              <w:rPr>
                <w:lang w:val="fr-FR"/>
              </w:rPr>
              <w:t>afin de garantir leur conformité avec les directives concernant la recherche et l’examen</w:t>
            </w:r>
          </w:p>
        </w:tc>
        <w:tc>
          <w:tcPr>
            <w:tcW w:w="374" w:type="pct"/>
          </w:tcPr>
          <w:p w14:paraId="556CDD71"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4C782811" w14:textId="77777777" w:rsidR="008C1458" w:rsidRPr="00CE3172" w:rsidRDefault="008C1458" w:rsidP="00DA07A9">
            <w:pPr>
              <w:spacing w:before="20" w:after="20"/>
              <w:jc w:val="center"/>
              <w:rPr>
                <w:lang w:val="fr-FR"/>
              </w:rPr>
            </w:pPr>
          </w:p>
        </w:tc>
        <w:tc>
          <w:tcPr>
            <w:tcW w:w="434" w:type="pct"/>
          </w:tcPr>
          <w:p w14:paraId="38A60338" w14:textId="77777777" w:rsidR="008C1458" w:rsidRPr="00CE3172" w:rsidRDefault="008C1458" w:rsidP="00DA07A9">
            <w:pPr>
              <w:spacing w:before="20" w:after="20"/>
              <w:jc w:val="center"/>
              <w:rPr>
                <w:lang w:val="fr-FR"/>
              </w:rPr>
            </w:pPr>
          </w:p>
        </w:tc>
      </w:tr>
      <w:tr w:rsidR="008C1458" w:rsidRPr="00CE3172" w14:paraId="219FD70B" w14:textId="77777777" w:rsidTr="00C96354">
        <w:trPr>
          <w:cantSplit/>
        </w:trPr>
        <w:tc>
          <w:tcPr>
            <w:tcW w:w="404" w:type="pct"/>
          </w:tcPr>
          <w:p w14:paraId="61A87112" w14:textId="77777777" w:rsidR="008C1458" w:rsidRPr="00CE3172" w:rsidRDefault="008C1458" w:rsidP="00DA07A9">
            <w:pPr>
              <w:spacing w:before="20" w:after="20"/>
              <w:rPr>
                <w:lang w:val="fr-FR"/>
              </w:rPr>
            </w:pPr>
          </w:p>
        </w:tc>
        <w:tc>
          <w:tcPr>
            <w:tcW w:w="262" w:type="pct"/>
          </w:tcPr>
          <w:p w14:paraId="1606AB10" w14:textId="77777777" w:rsidR="008C1458" w:rsidRPr="00CE3172" w:rsidRDefault="008C1458" w:rsidP="00DA07A9">
            <w:pPr>
              <w:spacing w:before="20" w:after="20"/>
              <w:rPr>
                <w:lang w:val="fr-FR"/>
              </w:rPr>
            </w:pPr>
          </w:p>
        </w:tc>
        <w:tc>
          <w:tcPr>
            <w:tcW w:w="262" w:type="pct"/>
          </w:tcPr>
          <w:p w14:paraId="18DD5164" w14:textId="77777777" w:rsidR="008C1458" w:rsidRPr="00CE3172" w:rsidRDefault="008C1458" w:rsidP="00DA07A9">
            <w:pPr>
              <w:spacing w:before="20" w:after="20"/>
              <w:rPr>
                <w:lang w:val="fr-FR"/>
              </w:rPr>
            </w:pPr>
            <w:r w:rsidRPr="00CE3172">
              <w:rPr>
                <w:lang w:val="fr-FR"/>
              </w:rPr>
              <w:t>b)</w:t>
            </w:r>
          </w:p>
        </w:tc>
        <w:tc>
          <w:tcPr>
            <w:tcW w:w="2770" w:type="pct"/>
          </w:tcPr>
          <w:p w14:paraId="7D88353A" w14:textId="77777777" w:rsidR="008C1458" w:rsidRPr="00CE3172" w:rsidRDefault="008C1458" w:rsidP="00DA07A9">
            <w:pPr>
              <w:spacing w:before="20" w:after="20"/>
              <w:rPr>
                <w:lang w:val="fr-FR"/>
              </w:rPr>
            </w:pPr>
            <w:r w:rsidRPr="00CE3172">
              <w:rPr>
                <w:lang w:val="fr-FR"/>
              </w:rPr>
              <w:t>afin de transmettre au personnel des informations en retour</w:t>
            </w:r>
          </w:p>
        </w:tc>
        <w:tc>
          <w:tcPr>
            <w:tcW w:w="374" w:type="pct"/>
          </w:tcPr>
          <w:p w14:paraId="6D6EF258"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45418F9" w14:textId="77777777" w:rsidR="008C1458" w:rsidRPr="00CE3172" w:rsidRDefault="008C1458" w:rsidP="00DA07A9">
            <w:pPr>
              <w:spacing w:before="20" w:after="20"/>
              <w:jc w:val="center"/>
              <w:rPr>
                <w:lang w:val="fr-FR"/>
              </w:rPr>
            </w:pPr>
          </w:p>
        </w:tc>
        <w:tc>
          <w:tcPr>
            <w:tcW w:w="434" w:type="pct"/>
          </w:tcPr>
          <w:p w14:paraId="394EDDCD" w14:textId="77777777" w:rsidR="008C1458" w:rsidRPr="00CE3172" w:rsidRDefault="008C1458" w:rsidP="00DA07A9">
            <w:pPr>
              <w:spacing w:before="20" w:after="20"/>
              <w:jc w:val="center"/>
              <w:rPr>
                <w:lang w:val="fr-FR"/>
              </w:rPr>
            </w:pPr>
          </w:p>
        </w:tc>
      </w:tr>
      <w:tr w:rsidR="008C1458" w:rsidRPr="00CE3172" w14:paraId="65067126" w14:textId="77777777" w:rsidTr="00C96354">
        <w:trPr>
          <w:cantSplit/>
        </w:trPr>
        <w:tc>
          <w:tcPr>
            <w:tcW w:w="404" w:type="pct"/>
          </w:tcPr>
          <w:p w14:paraId="0C09851C" w14:textId="77777777" w:rsidR="008C1458" w:rsidRPr="00CE3172" w:rsidRDefault="008C1458" w:rsidP="00DA07A9">
            <w:pPr>
              <w:spacing w:before="20" w:after="20"/>
              <w:rPr>
                <w:lang w:val="fr-FR"/>
              </w:rPr>
            </w:pPr>
          </w:p>
        </w:tc>
        <w:tc>
          <w:tcPr>
            <w:tcW w:w="262" w:type="pct"/>
          </w:tcPr>
          <w:p w14:paraId="64443AEB" w14:textId="77777777" w:rsidR="008C1458" w:rsidRPr="00CE3172" w:rsidRDefault="008C1458" w:rsidP="00DA07A9">
            <w:pPr>
              <w:spacing w:before="20" w:after="20"/>
              <w:rPr>
                <w:lang w:val="fr-FR"/>
              </w:rPr>
            </w:pPr>
            <w:r w:rsidRPr="00CE3172">
              <w:rPr>
                <w:lang w:val="fr-FR"/>
              </w:rPr>
              <w:t>ii)</w:t>
            </w:r>
          </w:p>
        </w:tc>
        <w:tc>
          <w:tcPr>
            <w:tcW w:w="262" w:type="pct"/>
          </w:tcPr>
          <w:p w14:paraId="2895289B" w14:textId="77777777" w:rsidR="008C1458" w:rsidRPr="00CE3172" w:rsidRDefault="008C1458" w:rsidP="00DA07A9">
            <w:pPr>
              <w:spacing w:before="20" w:after="20"/>
              <w:rPr>
                <w:lang w:val="fr-FR"/>
              </w:rPr>
            </w:pPr>
          </w:p>
        </w:tc>
        <w:tc>
          <w:tcPr>
            <w:tcW w:w="2770" w:type="pct"/>
          </w:tcPr>
          <w:p w14:paraId="7D4396F9" w14:textId="77777777" w:rsidR="008C1458" w:rsidRPr="00CE3172" w:rsidRDefault="008C1458" w:rsidP="00DA07A9">
            <w:pPr>
              <w:spacing w:before="20" w:after="20"/>
              <w:rPr>
                <w:lang w:val="fr-FR"/>
              </w:rPr>
            </w:pPr>
            <w:r w:rsidRPr="00CE3172">
              <w:rPr>
                <w:lang w:val="fr-FR"/>
              </w:rPr>
              <w:t>Système de mesure des données, de collecte de données et d’établissement de rapports pour une amélioration continue</w:t>
            </w:r>
          </w:p>
        </w:tc>
        <w:tc>
          <w:tcPr>
            <w:tcW w:w="374" w:type="pct"/>
          </w:tcPr>
          <w:p w14:paraId="2503D867"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1F91AA55" w14:textId="77777777" w:rsidR="008C1458" w:rsidRPr="00CE3172" w:rsidRDefault="008C1458" w:rsidP="00DA07A9">
            <w:pPr>
              <w:spacing w:before="20" w:after="20"/>
              <w:jc w:val="center"/>
              <w:rPr>
                <w:lang w:val="fr-FR"/>
              </w:rPr>
            </w:pPr>
          </w:p>
        </w:tc>
        <w:tc>
          <w:tcPr>
            <w:tcW w:w="434" w:type="pct"/>
          </w:tcPr>
          <w:p w14:paraId="32403A39" w14:textId="77777777" w:rsidR="008C1458" w:rsidRPr="00CE3172" w:rsidRDefault="008C1458" w:rsidP="00DA07A9">
            <w:pPr>
              <w:spacing w:before="20" w:after="20"/>
              <w:jc w:val="center"/>
              <w:rPr>
                <w:lang w:val="fr-FR"/>
              </w:rPr>
            </w:pPr>
          </w:p>
        </w:tc>
      </w:tr>
      <w:tr w:rsidR="008C1458" w:rsidRPr="00CE3172" w14:paraId="3BACD107" w14:textId="77777777" w:rsidTr="00C96354">
        <w:trPr>
          <w:cantSplit/>
        </w:trPr>
        <w:tc>
          <w:tcPr>
            <w:tcW w:w="404" w:type="pct"/>
          </w:tcPr>
          <w:p w14:paraId="432FB3D8" w14:textId="77777777" w:rsidR="008C1458" w:rsidRPr="00CE3172" w:rsidRDefault="008C1458" w:rsidP="00DA07A9">
            <w:pPr>
              <w:spacing w:before="20" w:after="20"/>
              <w:rPr>
                <w:lang w:val="fr-FR"/>
              </w:rPr>
            </w:pPr>
          </w:p>
        </w:tc>
        <w:tc>
          <w:tcPr>
            <w:tcW w:w="262" w:type="pct"/>
          </w:tcPr>
          <w:p w14:paraId="181334AC" w14:textId="77777777" w:rsidR="008C1458" w:rsidRPr="00CE3172" w:rsidRDefault="008C1458" w:rsidP="00DA07A9">
            <w:pPr>
              <w:spacing w:before="20" w:after="20"/>
              <w:rPr>
                <w:lang w:val="fr-FR"/>
              </w:rPr>
            </w:pPr>
            <w:r w:rsidRPr="00CE3172">
              <w:rPr>
                <w:lang w:val="fr-FR"/>
              </w:rPr>
              <w:t>iii)</w:t>
            </w:r>
          </w:p>
        </w:tc>
        <w:tc>
          <w:tcPr>
            <w:tcW w:w="262" w:type="pct"/>
          </w:tcPr>
          <w:p w14:paraId="33D85DBD" w14:textId="77777777" w:rsidR="008C1458" w:rsidRPr="00CE3172" w:rsidRDefault="008C1458" w:rsidP="00DA07A9">
            <w:pPr>
              <w:spacing w:before="20" w:after="20"/>
              <w:rPr>
                <w:lang w:val="fr-FR"/>
              </w:rPr>
            </w:pPr>
          </w:p>
        </w:tc>
        <w:tc>
          <w:tcPr>
            <w:tcW w:w="2770" w:type="pct"/>
          </w:tcPr>
          <w:p w14:paraId="0E90D86E" w14:textId="77777777" w:rsidR="008C1458" w:rsidRPr="00CE3172" w:rsidRDefault="008C1458" w:rsidP="00DA07A9">
            <w:pPr>
              <w:spacing w:before="20" w:after="20"/>
              <w:rPr>
                <w:lang w:val="fr-FR"/>
              </w:rPr>
            </w:pPr>
            <w:r w:rsidRPr="00CE3172">
              <w:rPr>
                <w:lang w:val="fr-FR"/>
              </w:rPr>
              <w:t>Système permettant de vérifier l’efficacité des mesures prises pour corriger les défaillances des travaux de recherche et d’examen</w:t>
            </w:r>
          </w:p>
        </w:tc>
        <w:tc>
          <w:tcPr>
            <w:tcW w:w="374" w:type="pct"/>
          </w:tcPr>
          <w:p w14:paraId="65CBB359"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2AC50CC" w14:textId="77777777" w:rsidR="008C1458" w:rsidRPr="00CE3172" w:rsidRDefault="008C1458" w:rsidP="00DA07A9">
            <w:pPr>
              <w:spacing w:before="20" w:after="20"/>
              <w:jc w:val="center"/>
              <w:rPr>
                <w:lang w:val="fr-FR"/>
              </w:rPr>
            </w:pPr>
          </w:p>
        </w:tc>
        <w:tc>
          <w:tcPr>
            <w:tcW w:w="434" w:type="pct"/>
          </w:tcPr>
          <w:p w14:paraId="37A4786D" w14:textId="77777777" w:rsidR="008C1458" w:rsidRPr="00CE3172" w:rsidRDefault="008C1458" w:rsidP="00DA07A9">
            <w:pPr>
              <w:spacing w:before="20" w:after="20"/>
              <w:jc w:val="center"/>
              <w:rPr>
                <w:lang w:val="fr-FR"/>
              </w:rPr>
            </w:pPr>
          </w:p>
        </w:tc>
      </w:tr>
      <w:tr w:rsidR="008C1458" w:rsidRPr="00CE3172" w14:paraId="1AC3DAE5" w14:textId="77777777" w:rsidTr="00C96354">
        <w:trPr>
          <w:cantSplit/>
        </w:trPr>
        <w:tc>
          <w:tcPr>
            <w:tcW w:w="404" w:type="pct"/>
          </w:tcPr>
          <w:p w14:paraId="6FDBD4CE" w14:textId="77777777" w:rsidR="008C1458" w:rsidRPr="00CE3172" w:rsidRDefault="008C1458" w:rsidP="00DA07A9">
            <w:pPr>
              <w:spacing w:before="20" w:after="20"/>
              <w:rPr>
                <w:lang w:val="fr-FR"/>
              </w:rPr>
            </w:pPr>
            <w:r w:rsidRPr="00CE3172">
              <w:rPr>
                <w:lang w:val="fr-FR"/>
              </w:rPr>
              <w:t>21.14</w:t>
            </w:r>
          </w:p>
        </w:tc>
        <w:tc>
          <w:tcPr>
            <w:tcW w:w="262" w:type="pct"/>
          </w:tcPr>
          <w:p w14:paraId="5F7FC5D1" w14:textId="77777777" w:rsidR="008C1458" w:rsidRPr="00CE3172" w:rsidRDefault="008C1458" w:rsidP="00DA07A9">
            <w:pPr>
              <w:spacing w:before="20" w:after="20"/>
              <w:rPr>
                <w:lang w:val="fr-FR"/>
              </w:rPr>
            </w:pPr>
          </w:p>
        </w:tc>
        <w:tc>
          <w:tcPr>
            <w:tcW w:w="262" w:type="pct"/>
          </w:tcPr>
          <w:p w14:paraId="43D4BAD1" w14:textId="77777777" w:rsidR="008C1458" w:rsidRPr="00CE3172" w:rsidRDefault="008C1458" w:rsidP="00DA07A9">
            <w:pPr>
              <w:spacing w:before="20" w:after="20"/>
              <w:rPr>
                <w:lang w:val="fr-FR"/>
              </w:rPr>
            </w:pPr>
            <w:r w:rsidRPr="00CE3172">
              <w:rPr>
                <w:lang w:val="fr-FR"/>
              </w:rPr>
              <w:t>a)</w:t>
            </w:r>
          </w:p>
        </w:tc>
        <w:tc>
          <w:tcPr>
            <w:tcW w:w="2770" w:type="pct"/>
          </w:tcPr>
          <w:p w14:paraId="530FC03D" w14:textId="77777777" w:rsidR="008C1458" w:rsidRPr="00CE3172" w:rsidRDefault="008C1458" w:rsidP="00DA07A9">
            <w:pPr>
              <w:spacing w:before="20" w:after="20"/>
              <w:rPr>
                <w:lang w:val="fr-FR"/>
              </w:rPr>
            </w:pPr>
            <w:r w:rsidRPr="00CE3172">
              <w:rPr>
                <w:lang w:val="fr-FR"/>
              </w:rPr>
              <w:t>Coordonnateur aidant à recenser les meilleures pratiques entre administrations</w:t>
            </w:r>
          </w:p>
        </w:tc>
        <w:tc>
          <w:tcPr>
            <w:tcW w:w="374" w:type="pct"/>
          </w:tcPr>
          <w:p w14:paraId="1E4EB59C"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4C99E628" w14:textId="77777777" w:rsidR="008C1458" w:rsidRPr="00CE3172" w:rsidRDefault="008C1458" w:rsidP="00DA07A9">
            <w:pPr>
              <w:spacing w:before="20" w:after="20"/>
              <w:jc w:val="center"/>
              <w:rPr>
                <w:lang w:val="fr-FR"/>
              </w:rPr>
            </w:pPr>
          </w:p>
        </w:tc>
        <w:tc>
          <w:tcPr>
            <w:tcW w:w="434" w:type="pct"/>
          </w:tcPr>
          <w:p w14:paraId="471F671F" w14:textId="77777777" w:rsidR="008C1458" w:rsidRPr="00CE3172" w:rsidRDefault="008C1458" w:rsidP="00DA07A9">
            <w:pPr>
              <w:spacing w:before="20" w:after="20"/>
              <w:jc w:val="center"/>
              <w:rPr>
                <w:lang w:val="fr-FR"/>
              </w:rPr>
            </w:pPr>
          </w:p>
        </w:tc>
      </w:tr>
      <w:tr w:rsidR="008C1458" w:rsidRPr="00CE3172" w14:paraId="4826B5D1" w14:textId="77777777" w:rsidTr="00C96354">
        <w:trPr>
          <w:cantSplit/>
        </w:trPr>
        <w:tc>
          <w:tcPr>
            <w:tcW w:w="404" w:type="pct"/>
          </w:tcPr>
          <w:p w14:paraId="66B1335E" w14:textId="77777777" w:rsidR="008C1458" w:rsidRPr="00CE3172" w:rsidRDefault="008C1458" w:rsidP="00DA07A9">
            <w:pPr>
              <w:spacing w:before="20" w:after="20"/>
              <w:rPr>
                <w:lang w:val="fr-FR"/>
              </w:rPr>
            </w:pPr>
          </w:p>
        </w:tc>
        <w:tc>
          <w:tcPr>
            <w:tcW w:w="262" w:type="pct"/>
          </w:tcPr>
          <w:p w14:paraId="370C957C" w14:textId="77777777" w:rsidR="008C1458" w:rsidRPr="00CE3172" w:rsidRDefault="008C1458" w:rsidP="00DA07A9">
            <w:pPr>
              <w:spacing w:before="20" w:after="20"/>
              <w:rPr>
                <w:lang w:val="fr-FR"/>
              </w:rPr>
            </w:pPr>
          </w:p>
        </w:tc>
        <w:tc>
          <w:tcPr>
            <w:tcW w:w="262" w:type="pct"/>
          </w:tcPr>
          <w:p w14:paraId="78CF84F1" w14:textId="77777777" w:rsidR="008C1458" w:rsidRPr="00CE3172" w:rsidRDefault="008C1458" w:rsidP="00DA07A9">
            <w:pPr>
              <w:spacing w:before="20" w:after="20"/>
              <w:rPr>
                <w:lang w:val="fr-FR"/>
              </w:rPr>
            </w:pPr>
            <w:r w:rsidRPr="00CE3172">
              <w:rPr>
                <w:lang w:val="fr-FR"/>
              </w:rPr>
              <w:t>b)</w:t>
            </w:r>
          </w:p>
        </w:tc>
        <w:tc>
          <w:tcPr>
            <w:tcW w:w="2770" w:type="pct"/>
          </w:tcPr>
          <w:p w14:paraId="4C2C1C05" w14:textId="77777777" w:rsidR="008C1458" w:rsidRPr="00CE3172" w:rsidRDefault="008C1458" w:rsidP="00DA07A9">
            <w:pPr>
              <w:spacing w:before="20" w:after="20"/>
              <w:rPr>
                <w:lang w:val="fr-FR"/>
              </w:rPr>
            </w:pPr>
            <w:r w:rsidRPr="00CE3172">
              <w:rPr>
                <w:lang w:val="fr-FR"/>
              </w:rPr>
              <w:t>Coordonnateur stimulant une amélioration continue</w:t>
            </w:r>
          </w:p>
        </w:tc>
        <w:tc>
          <w:tcPr>
            <w:tcW w:w="374" w:type="pct"/>
          </w:tcPr>
          <w:p w14:paraId="533BB911"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537A56E" w14:textId="77777777" w:rsidR="008C1458" w:rsidRPr="00CE3172" w:rsidRDefault="008C1458" w:rsidP="00DA07A9">
            <w:pPr>
              <w:spacing w:before="20" w:after="20"/>
              <w:jc w:val="center"/>
              <w:rPr>
                <w:lang w:val="fr-FR"/>
              </w:rPr>
            </w:pPr>
          </w:p>
        </w:tc>
        <w:tc>
          <w:tcPr>
            <w:tcW w:w="434" w:type="pct"/>
          </w:tcPr>
          <w:p w14:paraId="32D24826" w14:textId="77777777" w:rsidR="008C1458" w:rsidRPr="00CE3172" w:rsidRDefault="008C1458" w:rsidP="00DA07A9">
            <w:pPr>
              <w:spacing w:before="20" w:after="20"/>
              <w:jc w:val="center"/>
              <w:rPr>
                <w:lang w:val="fr-FR"/>
              </w:rPr>
            </w:pPr>
          </w:p>
        </w:tc>
      </w:tr>
      <w:tr w:rsidR="008C1458" w:rsidRPr="00CE3172" w14:paraId="27D7FF68" w14:textId="77777777" w:rsidTr="00C96354">
        <w:trPr>
          <w:cantSplit/>
        </w:trPr>
        <w:tc>
          <w:tcPr>
            <w:tcW w:w="404" w:type="pct"/>
          </w:tcPr>
          <w:p w14:paraId="1019EEDE" w14:textId="77777777" w:rsidR="008C1458" w:rsidRPr="00CE3172" w:rsidRDefault="008C1458" w:rsidP="00DA07A9">
            <w:pPr>
              <w:spacing w:before="20" w:after="20"/>
              <w:rPr>
                <w:lang w:val="fr-FR"/>
              </w:rPr>
            </w:pPr>
          </w:p>
        </w:tc>
        <w:tc>
          <w:tcPr>
            <w:tcW w:w="262" w:type="pct"/>
          </w:tcPr>
          <w:p w14:paraId="4DED6941" w14:textId="77777777" w:rsidR="008C1458" w:rsidRPr="00CE3172" w:rsidRDefault="008C1458" w:rsidP="00DA07A9">
            <w:pPr>
              <w:spacing w:before="20" w:after="20"/>
              <w:rPr>
                <w:lang w:val="fr-FR"/>
              </w:rPr>
            </w:pPr>
          </w:p>
        </w:tc>
        <w:tc>
          <w:tcPr>
            <w:tcW w:w="262" w:type="pct"/>
          </w:tcPr>
          <w:p w14:paraId="27EBBBB4" w14:textId="77777777" w:rsidR="008C1458" w:rsidRPr="00CE3172" w:rsidRDefault="008C1458" w:rsidP="00DA07A9">
            <w:pPr>
              <w:spacing w:before="20" w:after="20"/>
              <w:rPr>
                <w:lang w:val="fr-FR"/>
              </w:rPr>
            </w:pPr>
            <w:r w:rsidRPr="00CE3172">
              <w:rPr>
                <w:lang w:val="fr-FR"/>
              </w:rPr>
              <w:t>c)</w:t>
            </w:r>
          </w:p>
        </w:tc>
        <w:tc>
          <w:tcPr>
            <w:tcW w:w="2770" w:type="pct"/>
          </w:tcPr>
          <w:p w14:paraId="198CC11C" w14:textId="77777777" w:rsidR="008C1458" w:rsidRPr="00CE3172" w:rsidRDefault="008C1458" w:rsidP="00DA07A9">
            <w:pPr>
              <w:spacing w:before="20" w:after="20"/>
              <w:rPr>
                <w:lang w:val="fr-FR"/>
              </w:rPr>
            </w:pPr>
            <w:r w:rsidRPr="00CE3172">
              <w:rPr>
                <w:lang w:val="fr-FR"/>
              </w:rPr>
              <w:t>Coordonnateur fournissant une communication effective avec d’autres administrations à des fins de retour d’information et d’évaluation</w:t>
            </w:r>
          </w:p>
        </w:tc>
        <w:tc>
          <w:tcPr>
            <w:tcW w:w="374" w:type="pct"/>
          </w:tcPr>
          <w:p w14:paraId="47D9050C"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BA367D6" w14:textId="77777777" w:rsidR="008C1458" w:rsidRPr="00CE3172" w:rsidRDefault="008C1458" w:rsidP="00DA07A9">
            <w:pPr>
              <w:spacing w:before="20" w:after="20"/>
              <w:jc w:val="center"/>
              <w:rPr>
                <w:lang w:val="fr-FR"/>
              </w:rPr>
            </w:pPr>
          </w:p>
        </w:tc>
        <w:tc>
          <w:tcPr>
            <w:tcW w:w="434" w:type="pct"/>
          </w:tcPr>
          <w:p w14:paraId="76D36BB5" w14:textId="77777777" w:rsidR="008C1458" w:rsidRPr="00CE3172" w:rsidRDefault="008C1458" w:rsidP="00DA07A9">
            <w:pPr>
              <w:spacing w:before="20" w:after="20"/>
              <w:jc w:val="center"/>
              <w:rPr>
                <w:lang w:val="fr-FR"/>
              </w:rPr>
            </w:pPr>
          </w:p>
        </w:tc>
      </w:tr>
      <w:tr w:rsidR="008C1458" w:rsidRPr="00CE3172" w14:paraId="676AE44A" w14:textId="77777777" w:rsidTr="00C96354">
        <w:trPr>
          <w:cantSplit/>
        </w:trPr>
        <w:tc>
          <w:tcPr>
            <w:tcW w:w="404" w:type="pct"/>
          </w:tcPr>
          <w:p w14:paraId="246E0DFA" w14:textId="77777777" w:rsidR="008C1458" w:rsidRPr="00CE3172" w:rsidRDefault="008C1458" w:rsidP="00DA07A9">
            <w:pPr>
              <w:spacing w:before="20" w:after="20"/>
              <w:rPr>
                <w:lang w:val="fr-FR"/>
              </w:rPr>
            </w:pPr>
            <w:r w:rsidRPr="00CE3172">
              <w:rPr>
                <w:lang w:val="fr-FR"/>
              </w:rPr>
              <w:t>21.15</w:t>
            </w:r>
          </w:p>
        </w:tc>
        <w:tc>
          <w:tcPr>
            <w:tcW w:w="262" w:type="pct"/>
          </w:tcPr>
          <w:p w14:paraId="2D1AF774" w14:textId="77777777" w:rsidR="008C1458" w:rsidRPr="00CE3172" w:rsidRDefault="008C1458" w:rsidP="00DA07A9">
            <w:pPr>
              <w:spacing w:before="20" w:after="20"/>
              <w:rPr>
                <w:lang w:val="fr-FR"/>
              </w:rPr>
            </w:pPr>
            <w:r w:rsidRPr="00CE3172">
              <w:rPr>
                <w:lang w:val="fr-FR"/>
              </w:rPr>
              <w:t>i)</w:t>
            </w:r>
          </w:p>
        </w:tc>
        <w:tc>
          <w:tcPr>
            <w:tcW w:w="262" w:type="pct"/>
          </w:tcPr>
          <w:p w14:paraId="7E93E97D" w14:textId="77777777" w:rsidR="008C1458" w:rsidRPr="00CE3172" w:rsidRDefault="008C1458" w:rsidP="00DA07A9">
            <w:pPr>
              <w:spacing w:before="20" w:after="20"/>
              <w:rPr>
                <w:lang w:val="fr-FR"/>
              </w:rPr>
            </w:pPr>
            <w:r w:rsidRPr="00CE3172">
              <w:rPr>
                <w:lang w:val="fr-FR"/>
              </w:rPr>
              <w:t>a)</w:t>
            </w:r>
          </w:p>
        </w:tc>
        <w:tc>
          <w:tcPr>
            <w:tcW w:w="2770" w:type="pct"/>
          </w:tcPr>
          <w:p w14:paraId="0B716423" w14:textId="77777777" w:rsidR="008C1458" w:rsidRPr="00CE3172" w:rsidRDefault="008C1458" w:rsidP="00DA07A9">
            <w:pPr>
              <w:spacing w:before="20" w:after="20"/>
              <w:rPr>
                <w:lang w:val="fr-FR"/>
              </w:rPr>
            </w:pPr>
            <w:r w:rsidRPr="00CE3172">
              <w:rPr>
                <w:lang w:val="fr-FR"/>
              </w:rPr>
              <w:t>Système approprié de traitement des réclamations</w:t>
            </w:r>
          </w:p>
        </w:tc>
        <w:tc>
          <w:tcPr>
            <w:tcW w:w="374" w:type="pct"/>
          </w:tcPr>
          <w:p w14:paraId="181B52A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B3DC201" w14:textId="77777777" w:rsidR="008C1458" w:rsidRPr="00CE3172" w:rsidRDefault="008C1458" w:rsidP="00DA07A9">
            <w:pPr>
              <w:spacing w:before="20" w:after="20"/>
              <w:jc w:val="center"/>
              <w:rPr>
                <w:lang w:val="fr-FR"/>
              </w:rPr>
            </w:pPr>
          </w:p>
        </w:tc>
        <w:tc>
          <w:tcPr>
            <w:tcW w:w="434" w:type="pct"/>
          </w:tcPr>
          <w:p w14:paraId="3B488032" w14:textId="77777777" w:rsidR="008C1458" w:rsidRPr="00CE3172" w:rsidRDefault="008C1458" w:rsidP="00DA07A9">
            <w:pPr>
              <w:spacing w:before="20" w:after="20"/>
              <w:jc w:val="center"/>
              <w:rPr>
                <w:lang w:val="fr-FR"/>
              </w:rPr>
            </w:pPr>
          </w:p>
        </w:tc>
      </w:tr>
      <w:tr w:rsidR="008C1458" w:rsidRPr="00CE3172" w14:paraId="7159ABE5" w14:textId="77777777" w:rsidTr="00C96354">
        <w:trPr>
          <w:cantSplit/>
        </w:trPr>
        <w:tc>
          <w:tcPr>
            <w:tcW w:w="404" w:type="pct"/>
          </w:tcPr>
          <w:p w14:paraId="0AC4DAD4" w14:textId="77777777" w:rsidR="008C1458" w:rsidRPr="00CE3172" w:rsidRDefault="008C1458" w:rsidP="00DA07A9">
            <w:pPr>
              <w:spacing w:before="20" w:after="20"/>
              <w:rPr>
                <w:lang w:val="fr-FR"/>
              </w:rPr>
            </w:pPr>
          </w:p>
        </w:tc>
        <w:tc>
          <w:tcPr>
            <w:tcW w:w="262" w:type="pct"/>
          </w:tcPr>
          <w:p w14:paraId="3D0BB8BA" w14:textId="77777777" w:rsidR="008C1458" w:rsidRPr="00CE3172" w:rsidRDefault="008C1458" w:rsidP="00DA07A9">
            <w:pPr>
              <w:spacing w:before="20" w:after="20"/>
              <w:rPr>
                <w:lang w:val="fr-FR"/>
              </w:rPr>
            </w:pPr>
          </w:p>
        </w:tc>
        <w:tc>
          <w:tcPr>
            <w:tcW w:w="262" w:type="pct"/>
          </w:tcPr>
          <w:p w14:paraId="05BA9CE1" w14:textId="77777777" w:rsidR="008C1458" w:rsidRPr="00CE3172" w:rsidRDefault="008C1458" w:rsidP="00DA07A9">
            <w:pPr>
              <w:spacing w:before="20" w:after="20"/>
              <w:rPr>
                <w:lang w:val="fr-FR"/>
              </w:rPr>
            </w:pPr>
            <w:r w:rsidRPr="00CE3172">
              <w:rPr>
                <w:lang w:val="fr-FR"/>
              </w:rPr>
              <w:t>b)</w:t>
            </w:r>
          </w:p>
        </w:tc>
        <w:tc>
          <w:tcPr>
            <w:tcW w:w="2770" w:type="pct"/>
          </w:tcPr>
          <w:p w14:paraId="63210707" w14:textId="77777777" w:rsidR="008C1458" w:rsidRPr="00CE3172" w:rsidRDefault="008C1458" w:rsidP="00DA07A9">
            <w:pPr>
              <w:spacing w:before="20" w:after="20"/>
              <w:rPr>
                <w:lang w:val="fr-FR"/>
              </w:rPr>
            </w:pPr>
            <w:r w:rsidRPr="00CE3172">
              <w:rPr>
                <w:lang w:val="fr-FR"/>
              </w:rPr>
              <w:t>Système approprié permettant de prendre des mesures correctives ou préventives</w:t>
            </w:r>
          </w:p>
        </w:tc>
        <w:tc>
          <w:tcPr>
            <w:tcW w:w="374" w:type="pct"/>
          </w:tcPr>
          <w:p w14:paraId="05178697"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29309AC" w14:textId="77777777" w:rsidR="008C1458" w:rsidRPr="00CE3172" w:rsidRDefault="008C1458" w:rsidP="00DA07A9">
            <w:pPr>
              <w:spacing w:before="20" w:after="20"/>
              <w:jc w:val="center"/>
              <w:rPr>
                <w:lang w:val="fr-FR"/>
              </w:rPr>
            </w:pPr>
          </w:p>
        </w:tc>
        <w:tc>
          <w:tcPr>
            <w:tcW w:w="434" w:type="pct"/>
          </w:tcPr>
          <w:p w14:paraId="0DE6FBE1" w14:textId="77777777" w:rsidR="008C1458" w:rsidRPr="00CE3172" w:rsidRDefault="008C1458" w:rsidP="00DA07A9">
            <w:pPr>
              <w:spacing w:before="20" w:after="20"/>
              <w:jc w:val="center"/>
              <w:rPr>
                <w:lang w:val="fr-FR"/>
              </w:rPr>
            </w:pPr>
          </w:p>
        </w:tc>
      </w:tr>
      <w:tr w:rsidR="008C1458" w:rsidRPr="00CE3172" w14:paraId="0D46014E" w14:textId="77777777" w:rsidTr="00C96354">
        <w:trPr>
          <w:cantSplit/>
        </w:trPr>
        <w:tc>
          <w:tcPr>
            <w:tcW w:w="404" w:type="pct"/>
          </w:tcPr>
          <w:p w14:paraId="18246322" w14:textId="77777777" w:rsidR="008C1458" w:rsidRPr="00CE3172" w:rsidRDefault="008C1458" w:rsidP="00DA07A9">
            <w:pPr>
              <w:spacing w:before="20" w:after="20"/>
              <w:rPr>
                <w:lang w:val="fr-FR"/>
              </w:rPr>
            </w:pPr>
          </w:p>
        </w:tc>
        <w:tc>
          <w:tcPr>
            <w:tcW w:w="262" w:type="pct"/>
          </w:tcPr>
          <w:p w14:paraId="46FBDB41" w14:textId="77777777" w:rsidR="008C1458" w:rsidRPr="00CE3172" w:rsidRDefault="008C1458" w:rsidP="00DA07A9">
            <w:pPr>
              <w:spacing w:before="20" w:after="20"/>
              <w:rPr>
                <w:lang w:val="fr-FR"/>
              </w:rPr>
            </w:pPr>
          </w:p>
        </w:tc>
        <w:tc>
          <w:tcPr>
            <w:tcW w:w="262" w:type="pct"/>
          </w:tcPr>
          <w:p w14:paraId="47172687" w14:textId="77777777" w:rsidR="008C1458" w:rsidRPr="00CE3172" w:rsidRDefault="008C1458" w:rsidP="00DA07A9">
            <w:pPr>
              <w:spacing w:before="20" w:after="20"/>
              <w:rPr>
                <w:lang w:val="fr-FR"/>
              </w:rPr>
            </w:pPr>
            <w:r w:rsidRPr="00CE3172">
              <w:rPr>
                <w:lang w:val="fr-FR"/>
              </w:rPr>
              <w:t>c)</w:t>
            </w:r>
          </w:p>
        </w:tc>
        <w:tc>
          <w:tcPr>
            <w:tcW w:w="2770" w:type="pct"/>
          </w:tcPr>
          <w:p w14:paraId="5E2DE1AE" w14:textId="77777777" w:rsidR="008C1458" w:rsidRPr="00CE3172" w:rsidRDefault="008C1458" w:rsidP="00DA07A9">
            <w:pPr>
              <w:spacing w:before="20" w:after="20"/>
              <w:rPr>
                <w:lang w:val="fr-FR"/>
              </w:rPr>
            </w:pPr>
            <w:r w:rsidRPr="00CE3172">
              <w:rPr>
                <w:lang w:val="fr-FR"/>
              </w:rPr>
              <w:t>Système approprié permettant de fournir aux utilisateurs des informations en retour;</w:t>
            </w:r>
          </w:p>
        </w:tc>
        <w:tc>
          <w:tcPr>
            <w:tcW w:w="374" w:type="pct"/>
          </w:tcPr>
          <w:p w14:paraId="2137CBD8"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493EC11" w14:textId="77777777" w:rsidR="008C1458" w:rsidRPr="00CE3172" w:rsidRDefault="008C1458" w:rsidP="00DA07A9">
            <w:pPr>
              <w:spacing w:before="20" w:after="20"/>
              <w:jc w:val="center"/>
              <w:rPr>
                <w:lang w:val="fr-FR"/>
              </w:rPr>
            </w:pPr>
          </w:p>
        </w:tc>
        <w:tc>
          <w:tcPr>
            <w:tcW w:w="434" w:type="pct"/>
          </w:tcPr>
          <w:p w14:paraId="69D436C5" w14:textId="77777777" w:rsidR="008C1458" w:rsidRPr="00CE3172" w:rsidRDefault="008C1458" w:rsidP="00DA07A9">
            <w:pPr>
              <w:spacing w:before="20" w:after="20"/>
              <w:jc w:val="center"/>
              <w:rPr>
                <w:lang w:val="fr-FR"/>
              </w:rPr>
            </w:pPr>
          </w:p>
        </w:tc>
      </w:tr>
      <w:tr w:rsidR="008C1458" w:rsidRPr="00CE3172" w14:paraId="78E59051" w14:textId="77777777" w:rsidTr="00C96354">
        <w:trPr>
          <w:cantSplit/>
        </w:trPr>
        <w:tc>
          <w:tcPr>
            <w:tcW w:w="404" w:type="pct"/>
          </w:tcPr>
          <w:p w14:paraId="51ACC9BA" w14:textId="77777777" w:rsidR="008C1458" w:rsidRPr="00CE3172" w:rsidRDefault="008C1458" w:rsidP="00DA07A9">
            <w:pPr>
              <w:spacing w:before="20" w:after="20"/>
              <w:rPr>
                <w:lang w:val="fr-FR"/>
              </w:rPr>
            </w:pPr>
          </w:p>
        </w:tc>
        <w:tc>
          <w:tcPr>
            <w:tcW w:w="262" w:type="pct"/>
          </w:tcPr>
          <w:p w14:paraId="6CC3CDD8" w14:textId="77777777" w:rsidR="008C1458" w:rsidRPr="00CE3172" w:rsidRDefault="008C1458" w:rsidP="00DA07A9">
            <w:pPr>
              <w:spacing w:before="20" w:after="20"/>
              <w:rPr>
                <w:lang w:val="fr-FR"/>
              </w:rPr>
            </w:pPr>
            <w:r w:rsidRPr="00CE3172">
              <w:rPr>
                <w:lang w:val="fr-FR"/>
              </w:rPr>
              <w:t>ii)</w:t>
            </w:r>
          </w:p>
        </w:tc>
        <w:tc>
          <w:tcPr>
            <w:tcW w:w="262" w:type="pct"/>
          </w:tcPr>
          <w:p w14:paraId="2EBCB92D" w14:textId="77777777" w:rsidR="008C1458" w:rsidRPr="00CE3172" w:rsidRDefault="008C1458" w:rsidP="00DA07A9">
            <w:pPr>
              <w:spacing w:before="20" w:after="20"/>
              <w:rPr>
                <w:lang w:val="fr-FR"/>
              </w:rPr>
            </w:pPr>
            <w:r w:rsidRPr="00CE3172">
              <w:rPr>
                <w:lang w:val="fr-FR"/>
              </w:rPr>
              <w:t>a)</w:t>
            </w:r>
          </w:p>
        </w:tc>
        <w:tc>
          <w:tcPr>
            <w:tcW w:w="2770" w:type="pct"/>
          </w:tcPr>
          <w:p w14:paraId="1918C7CB" w14:textId="77777777" w:rsidR="008C1458" w:rsidRPr="00CE3172" w:rsidRDefault="008C1458" w:rsidP="00DA07A9">
            <w:pPr>
              <w:spacing w:before="20" w:after="20"/>
              <w:rPr>
                <w:lang w:val="fr-FR"/>
              </w:rPr>
            </w:pPr>
            <w:r w:rsidRPr="00CE3172">
              <w:rPr>
                <w:lang w:val="fr-FR"/>
              </w:rPr>
              <w:t>Une procédure de suivi de la satisfaction et de la perception des utilisateurs</w:t>
            </w:r>
          </w:p>
        </w:tc>
        <w:tc>
          <w:tcPr>
            <w:tcW w:w="374" w:type="pct"/>
          </w:tcPr>
          <w:p w14:paraId="66B5856B"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CCC4F6F" w14:textId="77777777" w:rsidR="008C1458" w:rsidRPr="00CE3172" w:rsidRDefault="008C1458" w:rsidP="00DA07A9">
            <w:pPr>
              <w:spacing w:before="20" w:after="20"/>
              <w:jc w:val="center"/>
              <w:rPr>
                <w:lang w:val="fr-FR"/>
              </w:rPr>
            </w:pPr>
          </w:p>
        </w:tc>
        <w:tc>
          <w:tcPr>
            <w:tcW w:w="434" w:type="pct"/>
          </w:tcPr>
          <w:p w14:paraId="25102EF1" w14:textId="77777777" w:rsidR="008C1458" w:rsidRPr="00CE3172" w:rsidRDefault="008C1458" w:rsidP="00DA07A9">
            <w:pPr>
              <w:spacing w:before="20" w:after="20"/>
              <w:jc w:val="center"/>
              <w:rPr>
                <w:lang w:val="fr-FR"/>
              </w:rPr>
            </w:pPr>
          </w:p>
        </w:tc>
      </w:tr>
      <w:tr w:rsidR="008C1458" w:rsidRPr="00CE3172" w14:paraId="1A8E5EC5" w14:textId="77777777" w:rsidTr="00C96354">
        <w:trPr>
          <w:cantSplit/>
        </w:trPr>
        <w:tc>
          <w:tcPr>
            <w:tcW w:w="404" w:type="pct"/>
          </w:tcPr>
          <w:p w14:paraId="19DE592E" w14:textId="77777777" w:rsidR="008C1458" w:rsidRPr="00CE3172" w:rsidRDefault="008C1458" w:rsidP="00DA07A9">
            <w:pPr>
              <w:spacing w:before="20" w:after="20"/>
              <w:rPr>
                <w:lang w:val="fr-FR"/>
              </w:rPr>
            </w:pPr>
          </w:p>
        </w:tc>
        <w:tc>
          <w:tcPr>
            <w:tcW w:w="262" w:type="pct"/>
          </w:tcPr>
          <w:p w14:paraId="021006D1" w14:textId="77777777" w:rsidR="008C1458" w:rsidRPr="00CE3172" w:rsidRDefault="008C1458" w:rsidP="00DA07A9">
            <w:pPr>
              <w:spacing w:before="20" w:after="20"/>
              <w:rPr>
                <w:lang w:val="fr-FR"/>
              </w:rPr>
            </w:pPr>
          </w:p>
        </w:tc>
        <w:tc>
          <w:tcPr>
            <w:tcW w:w="262" w:type="pct"/>
          </w:tcPr>
          <w:p w14:paraId="3BE22FE1" w14:textId="77777777" w:rsidR="008C1458" w:rsidRPr="00CE3172" w:rsidRDefault="008C1458" w:rsidP="00DA07A9">
            <w:pPr>
              <w:spacing w:before="20" w:after="20"/>
              <w:rPr>
                <w:lang w:val="fr-FR"/>
              </w:rPr>
            </w:pPr>
            <w:r w:rsidRPr="00CE3172">
              <w:rPr>
                <w:lang w:val="fr-FR"/>
              </w:rPr>
              <w:t>b)</w:t>
            </w:r>
          </w:p>
        </w:tc>
        <w:tc>
          <w:tcPr>
            <w:tcW w:w="2770" w:type="pct"/>
          </w:tcPr>
          <w:p w14:paraId="6F53AE2B" w14:textId="77777777" w:rsidR="008C1458" w:rsidRPr="00CE3172" w:rsidRDefault="008C1458" w:rsidP="00DA07A9">
            <w:pPr>
              <w:spacing w:before="20" w:after="20"/>
              <w:rPr>
                <w:lang w:val="fr-FR"/>
              </w:rPr>
            </w:pPr>
            <w:r w:rsidRPr="00CE3172">
              <w:rPr>
                <w:lang w:val="fr-FR"/>
              </w:rPr>
              <w:t>Une procédure permettant de vérifier que les besoins et attentes légitimes desdits utilisateurs sont satisfaits</w:t>
            </w:r>
          </w:p>
        </w:tc>
        <w:tc>
          <w:tcPr>
            <w:tcW w:w="374" w:type="pct"/>
          </w:tcPr>
          <w:p w14:paraId="784D99E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4157374" w14:textId="77777777" w:rsidR="008C1458" w:rsidRPr="00CE3172" w:rsidRDefault="008C1458" w:rsidP="00DA07A9">
            <w:pPr>
              <w:spacing w:before="20" w:after="20"/>
              <w:jc w:val="center"/>
              <w:rPr>
                <w:lang w:val="fr-FR"/>
              </w:rPr>
            </w:pPr>
          </w:p>
        </w:tc>
        <w:tc>
          <w:tcPr>
            <w:tcW w:w="434" w:type="pct"/>
          </w:tcPr>
          <w:p w14:paraId="55FB08D3" w14:textId="77777777" w:rsidR="008C1458" w:rsidRPr="00CE3172" w:rsidRDefault="008C1458" w:rsidP="00DA07A9">
            <w:pPr>
              <w:spacing w:before="20" w:after="20"/>
              <w:jc w:val="center"/>
              <w:rPr>
                <w:lang w:val="fr-FR"/>
              </w:rPr>
            </w:pPr>
          </w:p>
        </w:tc>
      </w:tr>
      <w:tr w:rsidR="008C1458" w:rsidRPr="00CE3172" w14:paraId="60751E64" w14:textId="77777777" w:rsidTr="00C96354">
        <w:trPr>
          <w:cantSplit/>
        </w:trPr>
        <w:tc>
          <w:tcPr>
            <w:tcW w:w="404" w:type="pct"/>
          </w:tcPr>
          <w:p w14:paraId="62D6766B" w14:textId="77777777" w:rsidR="008C1458" w:rsidRPr="00CE3172" w:rsidRDefault="008C1458" w:rsidP="00DA07A9">
            <w:pPr>
              <w:spacing w:before="20" w:after="20"/>
              <w:rPr>
                <w:lang w:val="fr-FR"/>
              </w:rPr>
            </w:pPr>
          </w:p>
        </w:tc>
        <w:tc>
          <w:tcPr>
            <w:tcW w:w="262" w:type="pct"/>
          </w:tcPr>
          <w:p w14:paraId="5889D251" w14:textId="77777777" w:rsidR="008C1458" w:rsidRPr="00CE3172" w:rsidRDefault="008C1458" w:rsidP="00DA07A9">
            <w:pPr>
              <w:spacing w:before="20" w:after="20"/>
              <w:rPr>
                <w:lang w:val="fr-FR"/>
              </w:rPr>
            </w:pPr>
            <w:r w:rsidRPr="00CE3172">
              <w:rPr>
                <w:lang w:val="fr-FR"/>
              </w:rPr>
              <w:t>iii)</w:t>
            </w:r>
          </w:p>
        </w:tc>
        <w:tc>
          <w:tcPr>
            <w:tcW w:w="262" w:type="pct"/>
          </w:tcPr>
          <w:p w14:paraId="3A565966" w14:textId="77777777" w:rsidR="008C1458" w:rsidRPr="00CE3172" w:rsidRDefault="008C1458" w:rsidP="00DA07A9">
            <w:pPr>
              <w:spacing w:before="20" w:after="20"/>
              <w:rPr>
                <w:lang w:val="fr-FR"/>
              </w:rPr>
            </w:pPr>
          </w:p>
        </w:tc>
        <w:tc>
          <w:tcPr>
            <w:tcW w:w="2770" w:type="pct"/>
          </w:tcPr>
          <w:p w14:paraId="1DB06E15" w14:textId="77777777" w:rsidR="008C1458" w:rsidRPr="00CE3172" w:rsidRDefault="008C1458" w:rsidP="00DA07A9">
            <w:pPr>
              <w:spacing w:before="20" w:after="20"/>
              <w:rPr>
                <w:lang w:val="fr-FR"/>
              </w:rPr>
            </w:pPr>
            <w:r w:rsidRPr="00CE3172">
              <w:rPr>
                <w:lang w:val="fr-FR"/>
              </w:rPr>
              <w:t>Directives claires et concises sur la procédure de recherche et d’examen à l’intention de l’utilisateur</w:t>
            </w:r>
          </w:p>
        </w:tc>
        <w:tc>
          <w:tcPr>
            <w:tcW w:w="374" w:type="pct"/>
          </w:tcPr>
          <w:p w14:paraId="147BCECF"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CB990FF" w14:textId="77777777" w:rsidR="008C1458" w:rsidRPr="00CE3172" w:rsidRDefault="008C1458" w:rsidP="00DA07A9">
            <w:pPr>
              <w:spacing w:before="20" w:after="20"/>
              <w:jc w:val="center"/>
              <w:rPr>
                <w:lang w:val="fr-FR"/>
              </w:rPr>
            </w:pPr>
          </w:p>
        </w:tc>
        <w:tc>
          <w:tcPr>
            <w:tcW w:w="434" w:type="pct"/>
          </w:tcPr>
          <w:p w14:paraId="25FC7083" w14:textId="77777777" w:rsidR="008C1458" w:rsidRPr="00CE3172" w:rsidRDefault="008C1458" w:rsidP="00DA07A9">
            <w:pPr>
              <w:spacing w:before="20" w:after="20"/>
              <w:jc w:val="center"/>
              <w:rPr>
                <w:lang w:val="fr-FR"/>
              </w:rPr>
            </w:pPr>
          </w:p>
        </w:tc>
      </w:tr>
      <w:tr w:rsidR="008C1458" w:rsidRPr="00CE3172" w14:paraId="420F4DBF" w14:textId="77777777" w:rsidTr="00C96354">
        <w:trPr>
          <w:cantSplit/>
        </w:trPr>
        <w:tc>
          <w:tcPr>
            <w:tcW w:w="404" w:type="pct"/>
          </w:tcPr>
          <w:p w14:paraId="081BC324" w14:textId="77777777" w:rsidR="008C1458" w:rsidRPr="00CE3172" w:rsidRDefault="008C1458" w:rsidP="00DA07A9">
            <w:pPr>
              <w:spacing w:before="20" w:after="20"/>
              <w:rPr>
                <w:lang w:val="fr-FR"/>
              </w:rPr>
            </w:pPr>
          </w:p>
        </w:tc>
        <w:tc>
          <w:tcPr>
            <w:tcW w:w="262" w:type="pct"/>
          </w:tcPr>
          <w:p w14:paraId="2C19E344" w14:textId="77777777" w:rsidR="008C1458" w:rsidRPr="00CE3172" w:rsidRDefault="008C1458" w:rsidP="00DA07A9">
            <w:pPr>
              <w:spacing w:before="20" w:after="20"/>
              <w:rPr>
                <w:lang w:val="fr-FR"/>
              </w:rPr>
            </w:pPr>
            <w:r w:rsidRPr="00CE3172">
              <w:rPr>
                <w:lang w:val="fr-FR"/>
              </w:rPr>
              <w:t>iv)</w:t>
            </w:r>
          </w:p>
        </w:tc>
        <w:tc>
          <w:tcPr>
            <w:tcW w:w="262" w:type="pct"/>
          </w:tcPr>
          <w:p w14:paraId="78308177" w14:textId="77777777" w:rsidR="008C1458" w:rsidRPr="00CE3172" w:rsidRDefault="008C1458" w:rsidP="00DA07A9">
            <w:pPr>
              <w:spacing w:before="20" w:after="20"/>
              <w:rPr>
                <w:lang w:val="fr-FR"/>
              </w:rPr>
            </w:pPr>
          </w:p>
        </w:tc>
        <w:tc>
          <w:tcPr>
            <w:tcW w:w="2770" w:type="pct"/>
          </w:tcPr>
          <w:p w14:paraId="77E3A34B" w14:textId="77777777" w:rsidR="008C1458" w:rsidRPr="00CE3172" w:rsidRDefault="008C1458" w:rsidP="00DA07A9">
            <w:pPr>
              <w:spacing w:before="20" w:after="20"/>
              <w:rPr>
                <w:lang w:val="fr-FR"/>
              </w:rPr>
            </w:pPr>
            <w:r w:rsidRPr="00CE3172">
              <w:rPr>
                <w:lang w:val="fr-FR"/>
              </w:rPr>
              <w:t>Indication lorsque et comment l’administration met ses objectifs en matière de qualité à la disposition du public</w:t>
            </w:r>
          </w:p>
        </w:tc>
        <w:tc>
          <w:tcPr>
            <w:tcW w:w="374" w:type="pct"/>
          </w:tcPr>
          <w:p w14:paraId="72FC7831"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A9BEB0E" w14:textId="77777777" w:rsidR="008C1458" w:rsidRPr="00CE3172" w:rsidRDefault="008C1458" w:rsidP="00DA07A9">
            <w:pPr>
              <w:spacing w:before="20" w:after="20"/>
              <w:jc w:val="center"/>
              <w:rPr>
                <w:lang w:val="fr-FR"/>
              </w:rPr>
            </w:pPr>
          </w:p>
        </w:tc>
        <w:tc>
          <w:tcPr>
            <w:tcW w:w="434" w:type="pct"/>
          </w:tcPr>
          <w:p w14:paraId="2A9570A6" w14:textId="77777777" w:rsidR="008C1458" w:rsidRPr="00CE3172" w:rsidRDefault="008C1458" w:rsidP="00DA07A9">
            <w:pPr>
              <w:spacing w:before="20" w:after="20"/>
              <w:jc w:val="center"/>
              <w:rPr>
                <w:lang w:val="fr-FR"/>
              </w:rPr>
            </w:pPr>
          </w:p>
        </w:tc>
      </w:tr>
      <w:tr w:rsidR="008C1458" w:rsidRPr="00CE3172" w14:paraId="0A1184C1" w14:textId="77777777" w:rsidTr="00C96354">
        <w:trPr>
          <w:cantSplit/>
        </w:trPr>
        <w:tc>
          <w:tcPr>
            <w:tcW w:w="404" w:type="pct"/>
          </w:tcPr>
          <w:p w14:paraId="60267020" w14:textId="77777777" w:rsidR="008C1458" w:rsidRPr="00CE3172" w:rsidRDefault="008C1458" w:rsidP="00DA07A9">
            <w:pPr>
              <w:spacing w:before="20" w:after="20"/>
              <w:rPr>
                <w:lang w:val="fr-FR"/>
              </w:rPr>
            </w:pPr>
            <w:r w:rsidRPr="00CE3172">
              <w:rPr>
                <w:lang w:val="fr-FR"/>
              </w:rPr>
              <w:t>21.16</w:t>
            </w:r>
          </w:p>
        </w:tc>
        <w:tc>
          <w:tcPr>
            <w:tcW w:w="262" w:type="pct"/>
          </w:tcPr>
          <w:p w14:paraId="3DA8705D" w14:textId="77777777" w:rsidR="008C1458" w:rsidRPr="00CE3172" w:rsidRDefault="008C1458" w:rsidP="00DA07A9">
            <w:pPr>
              <w:spacing w:before="20" w:after="20"/>
              <w:rPr>
                <w:lang w:val="fr-FR"/>
              </w:rPr>
            </w:pPr>
          </w:p>
        </w:tc>
        <w:tc>
          <w:tcPr>
            <w:tcW w:w="262" w:type="pct"/>
          </w:tcPr>
          <w:p w14:paraId="01EB797A" w14:textId="77777777" w:rsidR="008C1458" w:rsidRPr="00CE3172" w:rsidRDefault="008C1458" w:rsidP="00DA07A9">
            <w:pPr>
              <w:spacing w:before="20" w:after="20"/>
              <w:rPr>
                <w:lang w:val="fr-FR"/>
              </w:rPr>
            </w:pPr>
          </w:p>
        </w:tc>
        <w:tc>
          <w:tcPr>
            <w:tcW w:w="2770" w:type="pct"/>
          </w:tcPr>
          <w:p w14:paraId="41A0010E" w14:textId="77777777" w:rsidR="008C1458" w:rsidRPr="00CE3172" w:rsidRDefault="008C1458" w:rsidP="00DA07A9">
            <w:pPr>
              <w:spacing w:before="20" w:after="20"/>
              <w:rPr>
                <w:lang w:val="fr-FR"/>
              </w:rPr>
            </w:pPr>
            <w:r w:rsidRPr="00CE3172">
              <w:rPr>
                <w:lang w:val="fr-FR"/>
              </w:rPr>
              <w:t>Communication avec l’OMPI et avec les offices désignés ou élus</w:t>
            </w:r>
          </w:p>
        </w:tc>
        <w:tc>
          <w:tcPr>
            <w:tcW w:w="374" w:type="pct"/>
          </w:tcPr>
          <w:p w14:paraId="325557B9"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F131253" w14:textId="77777777" w:rsidR="008C1458" w:rsidRPr="00CE3172" w:rsidRDefault="008C1458" w:rsidP="00DA07A9">
            <w:pPr>
              <w:spacing w:before="20" w:after="20"/>
              <w:jc w:val="center"/>
              <w:rPr>
                <w:lang w:val="fr-FR"/>
              </w:rPr>
            </w:pPr>
          </w:p>
        </w:tc>
        <w:tc>
          <w:tcPr>
            <w:tcW w:w="434" w:type="pct"/>
          </w:tcPr>
          <w:p w14:paraId="69B2C3E1" w14:textId="77777777" w:rsidR="008C1458" w:rsidRPr="00CE3172" w:rsidRDefault="008C1458" w:rsidP="00DA07A9">
            <w:pPr>
              <w:spacing w:before="20" w:after="20"/>
              <w:jc w:val="center"/>
              <w:rPr>
                <w:lang w:val="fr-FR"/>
              </w:rPr>
            </w:pPr>
          </w:p>
        </w:tc>
      </w:tr>
      <w:tr w:rsidR="008C1458" w:rsidRPr="00CE3172" w14:paraId="0322CD5C" w14:textId="77777777" w:rsidTr="00C96354">
        <w:trPr>
          <w:cantSplit/>
        </w:trPr>
        <w:tc>
          <w:tcPr>
            <w:tcW w:w="404" w:type="pct"/>
          </w:tcPr>
          <w:p w14:paraId="5D1E96CF" w14:textId="77777777" w:rsidR="008C1458" w:rsidRPr="00CE3172" w:rsidRDefault="008C1458" w:rsidP="00DA07A9">
            <w:pPr>
              <w:spacing w:before="20" w:after="20"/>
              <w:rPr>
                <w:lang w:val="fr-FR"/>
              </w:rPr>
            </w:pPr>
            <w:r w:rsidRPr="00CE3172">
              <w:rPr>
                <w:lang w:val="fr-FR"/>
              </w:rPr>
              <w:t>21.18</w:t>
            </w:r>
          </w:p>
        </w:tc>
        <w:tc>
          <w:tcPr>
            <w:tcW w:w="262" w:type="pct"/>
          </w:tcPr>
          <w:p w14:paraId="798C73F7" w14:textId="77777777" w:rsidR="008C1458" w:rsidRPr="00CE3172" w:rsidRDefault="008C1458" w:rsidP="00DA07A9">
            <w:pPr>
              <w:spacing w:before="20" w:after="20"/>
              <w:rPr>
                <w:lang w:val="fr-FR"/>
              </w:rPr>
            </w:pPr>
          </w:p>
        </w:tc>
        <w:tc>
          <w:tcPr>
            <w:tcW w:w="262" w:type="pct"/>
          </w:tcPr>
          <w:p w14:paraId="1C49B2BC" w14:textId="77777777" w:rsidR="008C1458" w:rsidRPr="00CE3172" w:rsidRDefault="008C1458" w:rsidP="00DA07A9">
            <w:pPr>
              <w:spacing w:before="20" w:after="20"/>
              <w:rPr>
                <w:lang w:val="fr-FR"/>
              </w:rPr>
            </w:pPr>
            <w:r w:rsidRPr="00CE3172">
              <w:rPr>
                <w:lang w:val="fr-FR"/>
              </w:rPr>
              <w:t>a)</w:t>
            </w:r>
          </w:p>
        </w:tc>
        <w:tc>
          <w:tcPr>
            <w:tcW w:w="2770" w:type="pct"/>
          </w:tcPr>
          <w:p w14:paraId="525A8E44" w14:textId="77777777" w:rsidR="008C1458" w:rsidRPr="00CE3172" w:rsidRDefault="008C1458" w:rsidP="00DA07A9">
            <w:pPr>
              <w:spacing w:before="20" w:after="20"/>
              <w:rPr>
                <w:lang w:val="fr-FR"/>
              </w:rPr>
            </w:pPr>
            <w:r w:rsidRPr="00CE3172">
              <w:rPr>
                <w:lang w:val="fr-FR"/>
              </w:rPr>
              <w:t>Les documents dont se compose le manuel sur la qualité ont été établis et distribués</w:t>
            </w:r>
          </w:p>
        </w:tc>
        <w:tc>
          <w:tcPr>
            <w:tcW w:w="374" w:type="pct"/>
          </w:tcPr>
          <w:p w14:paraId="7710BAD7"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7DCB8C6" w14:textId="77777777" w:rsidR="008C1458" w:rsidRPr="00CE3172" w:rsidRDefault="008C1458" w:rsidP="00DA07A9">
            <w:pPr>
              <w:spacing w:before="20" w:after="20"/>
              <w:jc w:val="center"/>
              <w:rPr>
                <w:lang w:val="fr-FR"/>
              </w:rPr>
            </w:pPr>
          </w:p>
        </w:tc>
        <w:tc>
          <w:tcPr>
            <w:tcW w:w="434" w:type="pct"/>
          </w:tcPr>
          <w:p w14:paraId="49A968B5" w14:textId="77777777" w:rsidR="008C1458" w:rsidRPr="00CE3172" w:rsidRDefault="008C1458" w:rsidP="00DA07A9">
            <w:pPr>
              <w:spacing w:before="20" w:after="20"/>
              <w:jc w:val="center"/>
              <w:rPr>
                <w:lang w:val="fr-FR"/>
              </w:rPr>
            </w:pPr>
          </w:p>
        </w:tc>
      </w:tr>
      <w:tr w:rsidR="008C1458" w:rsidRPr="00CE3172" w14:paraId="33B1EF8E" w14:textId="77777777" w:rsidTr="00C96354">
        <w:trPr>
          <w:cantSplit/>
        </w:trPr>
        <w:tc>
          <w:tcPr>
            <w:tcW w:w="404" w:type="pct"/>
          </w:tcPr>
          <w:p w14:paraId="692D0196" w14:textId="77777777" w:rsidR="008C1458" w:rsidRPr="00CE3172" w:rsidRDefault="008C1458" w:rsidP="00DA07A9">
            <w:pPr>
              <w:spacing w:before="20" w:after="20"/>
              <w:rPr>
                <w:lang w:val="fr-FR"/>
              </w:rPr>
            </w:pPr>
          </w:p>
        </w:tc>
        <w:tc>
          <w:tcPr>
            <w:tcW w:w="262" w:type="pct"/>
          </w:tcPr>
          <w:p w14:paraId="7EA2B60D" w14:textId="77777777" w:rsidR="008C1458" w:rsidRPr="00CE3172" w:rsidRDefault="008C1458" w:rsidP="00DA07A9">
            <w:pPr>
              <w:spacing w:before="20" w:after="20"/>
              <w:rPr>
                <w:lang w:val="fr-FR"/>
              </w:rPr>
            </w:pPr>
          </w:p>
        </w:tc>
        <w:tc>
          <w:tcPr>
            <w:tcW w:w="262" w:type="pct"/>
          </w:tcPr>
          <w:p w14:paraId="432F0A68" w14:textId="77777777" w:rsidR="008C1458" w:rsidRPr="00CE3172" w:rsidRDefault="008C1458" w:rsidP="00DA07A9">
            <w:pPr>
              <w:spacing w:before="20" w:after="20"/>
              <w:rPr>
                <w:lang w:val="fr-FR"/>
              </w:rPr>
            </w:pPr>
            <w:r w:rsidRPr="00CE3172">
              <w:rPr>
                <w:lang w:val="fr-FR"/>
              </w:rPr>
              <w:t>b)</w:t>
            </w:r>
          </w:p>
        </w:tc>
        <w:tc>
          <w:tcPr>
            <w:tcW w:w="2770" w:type="pct"/>
          </w:tcPr>
          <w:p w14:paraId="7EAF1104" w14:textId="77777777" w:rsidR="008C1458" w:rsidRPr="00CE3172" w:rsidRDefault="008C1458" w:rsidP="00DA07A9">
            <w:pPr>
              <w:spacing w:before="20" w:after="20"/>
              <w:rPr>
                <w:lang w:val="fr-FR"/>
              </w:rPr>
            </w:pPr>
            <w:r w:rsidRPr="00CE3172">
              <w:rPr>
                <w:lang w:val="fr-FR"/>
              </w:rPr>
              <w:t>Supports disponibles pour favoriser le manuel sur la qualité</w:t>
            </w:r>
          </w:p>
        </w:tc>
        <w:tc>
          <w:tcPr>
            <w:tcW w:w="374" w:type="pct"/>
          </w:tcPr>
          <w:p w14:paraId="1D2CD378"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BB97696" w14:textId="77777777" w:rsidR="008C1458" w:rsidRPr="00CE3172" w:rsidRDefault="008C1458" w:rsidP="00DA07A9">
            <w:pPr>
              <w:spacing w:before="20" w:after="20"/>
              <w:jc w:val="center"/>
              <w:rPr>
                <w:lang w:val="fr-FR"/>
              </w:rPr>
            </w:pPr>
          </w:p>
        </w:tc>
        <w:tc>
          <w:tcPr>
            <w:tcW w:w="434" w:type="pct"/>
          </w:tcPr>
          <w:p w14:paraId="75074A15" w14:textId="77777777" w:rsidR="008C1458" w:rsidRPr="00CE3172" w:rsidRDefault="008C1458" w:rsidP="00DA07A9">
            <w:pPr>
              <w:spacing w:before="20" w:after="20"/>
              <w:jc w:val="center"/>
              <w:rPr>
                <w:lang w:val="fr-FR"/>
              </w:rPr>
            </w:pPr>
          </w:p>
        </w:tc>
      </w:tr>
      <w:tr w:rsidR="008C1458" w:rsidRPr="00CE3172" w14:paraId="0F6DA9B4" w14:textId="77777777" w:rsidTr="00C96354">
        <w:trPr>
          <w:cantSplit/>
        </w:trPr>
        <w:tc>
          <w:tcPr>
            <w:tcW w:w="404" w:type="pct"/>
          </w:tcPr>
          <w:p w14:paraId="4C3FF207" w14:textId="77777777" w:rsidR="008C1458" w:rsidRPr="00CE3172" w:rsidRDefault="008C1458" w:rsidP="00DA07A9">
            <w:pPr>
              <w:spacing w:before="20" w:after="20"/>
              <w:rPr>
                <w:lang w:val="fr-FR"/>
              </w:rPr>
            </w:pPr>
          </w:p>
        </w:tc>
        <w:tc>
          <w:tcPr>
            <w:tcW w:w="262" w:type="pct"/>
          </w:tcPr>
          <w:p w14:paraId="4C34CF68" w14:textId="77777777" w:rsidR="008C1458" w:rsidRPr="00CE3172" w:rsidRDefault="008C1458" w:rsidP="00DA07A9">
            <w:pPr>
              <w:spacing w:before="20" w:after="20"/>
              <w:rPr>
                <w:lang w:val="fr-FR"/>
              </w:rPr>
            </w:pPr>
          </w:p>
        </w:tc>
        <w:tc>
          <w:tcPr>
            <w:tcW w:w="262" w:type="pct"/>
          </w:tcPr>
          <w:p w14:paraId="2105B2F5" w14:textId="77777777" w:rsidR="008C1458" w:rsidRPr="00CE3172" w:rsidRDefault="008C1458" w:rsidP="00DA07A9">
            <w:pPr>
              <w:spacing w:before="20" w:after="20"/>
              <w:rPr>
                <w:lang w:val="fr-FR"/>
              </w:rPr>
            </w:pPr>
            <w:r w:rsidRPr="00CE3172">
              <w:rPr>
                <w:lang w:val="fr-FR"/>
              </w:rPr>
              <w:t>c)</w:t>
            </w:r>
          </w:p>
        </w:tc>
        <w:tc>
          <w:tcPr>
            <w:tcW w:w="2770" w:type="pct"/>
          </w:tcPr>
          <w:p w14:paraId="72AF233D" w14:textId="77777777" w:rsidR="008C1458" w:rsidRPr="00CE3172" w:rsidRDefault="008C1458" w:rsidP="00DA07A9">
            <w:pPr>
              <w:spacing w:before="20" w:after="20"/>
              <w:rPr>
                <w:lang w:val="fr-FR"/>
              </w:rPr>
            </w:pPr>
            <w:r w:rsidRPr="00CE3172">
              <w:rPr>
                <w:lang w:val="fr-FR"/>
              </w:rPr>
              <w:t>Des mesures de contrôle des documents sont prises</w:t>
            </w:r>
          </w:p>
        </w:tc>
        <w:tc>
          <w:tcPr>
            <w:tcW w:w="374" w:type="pct"/>
          </w:tcPr>
          <w:p w14:paraId="43E7CAE1"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2E5EECFC" w14:textId="77777777" w:rsidR="008C1458" w:rsidRPr="00CE3172" w:rsidRDefault="008C1458" w:rsidP="00DA07A9">
            <w:pPr>
              <w:spacing w:before="20" w:after="20"/>
              <w:jc w:val="center"/>
              <w:rPr>
                <w:lang w:val="fr-FR"/>
              </w:rPr>
            </w:pPr>
          </w:p>
        </w:tc>
        <w:tc>
          <w:tcPr>
            <w:tcW w:w="434" w:type="pct"/>
          </w:tcPr>
          <w:p w14:paraId="0AB651D2" w14:textId="77777777" w:rsidR="008C1458" w:rsidRPr="00CE3172" w:rsidRDefault="008C1458" w:rsidP="00DA07A9">
            <w:pPr>
              <w:spacing w:before="20" w:after="20"/>
              <w:jc w:val="center"/>
              <w:rPr>
                <w:lang w:val="fr-FR"/>
              </w:rPr>
            </w:pPr>
          </w:p>
        </w:tc>
      </w:tr>
      <w:tr w:rsidR="008C1458" w:rsidRPr="00CE3172" w14:paraId="3D6A58FB" w14:textId="77777777" w:rsidTr="00C96354">
        <w:trPr>
          <w:cantSplit/>
        </w:trPr>
        <w:tc>
          <w:tcPr>
            <w:tcW w:w="404" w:type="pct"/>
          </w:tcPr>
          <w:p w14:paraId="7D140BA5" w14:textId="77777777" w:rsidR="008C1458" w:rsidRPr="00CE3172" w:rsidRDefault="008C1458" w:rsidP="00DA07A9">
            <w:pPr>
              <w:spacing w:before="20" w:after="20"/>
              <w:rPr>
                <w:lang w:val="fr-FR"/>
              </w:rPr>
            </w:pPr>
            <w:r w:rsidRPr="00CE3172">
              <w:rPr>
                <w:lang w:val="fr-FR"/>
              </w:rPr>
              <w:t>21.19</w:t>
            </w:r>
          </w:p>
        </w:tc>
        <w:tc>
          <w:tcPr>
            <w:tcW w:w="262" w:type="pct"/>
          </w:tcPr>
          <w:p w14:paraId="050FAE0F" w14:textId="77777777" w:rsidR="008C1458" w:rsidRPr="00CE3172" w:rsidRDefault="008C1458" w:rsidP="00DA07A9">
            <w:pPr>
              <w:spacing w:before="20" w:after="20"/>
              <w:rPr>
                <w:lang w:val="fr-FR"/>
              </w:rPr>
            </w:pPr>
          </w:p>
        </w:tc>
        <w:tc>
          <w:tcPr>
            <w:tcW w:w="262" w:type="pct"/>
          </w:tcPr>
          <w:p w14:paraId="45952554" w14:textId="77777777" w:rsidR="008C1458" w:rsidRPr="00CE3172" w:rsidRDefault="008C1458" w:rsidP="00DA07A9">
            <w:pPr>
              <w:spacing w:before="20" w:after="20"/>
              <w:rPr>
                <w:lang w:val="fr-FR"/>
              </w:rPr>
            </w:pPr>
            <w:r w:rsidRPr="00CE3172">
              <w:rPr>
                <w:lang w:val="fr-FR"/>
              </w:rPr>
              <w:t>i)</w:t>
            </w:r>
          </w:p>
        </w:tc>
        <w:tc>
          <w:tcPr>
            <w:tcW w:w="2770" w:type="pct"/>
          </w:tcPr>
          <w:p w14:paraId="05C5E3FB" w14:textId="77777777" w:rsidR="008C1458" w:rsidRPr="00CE3172" w:rsidRDefault="008C1458" w:rsidP="00DA07A9">
            <w:pPr>
              <w:spacing w:before="20" w:after="20"/>
              <w:rPr>
                <w:lang w:val="fr-FR"/>
              </w:rPr>
            </w:pPr>
            <w:r w:rsidRPr="00CE3172">
              <w:rPr>
                <w:lang w:val="fr-FR"/>
              </w:rPr>
              <w:t>Politique en matière de qualité de l’administration et participation au système de gestion de la qualité</w:t>
            </w:r>
          </w:p>
        </w:tc>
        <w:tc>
          <w:tcPr>
            <w:tcW w:w="374" w:type="pct"/>
          </w:tcPr>
          <w:p w14:paraId="13C7CD35"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318267E" w14:textId="77777777" w:rsidR="008C1458" w:rsidRPr="00CE3172" w:rsidRDefault="008C1458" w:rsidP="00DA07A9">
            <w:pPr>
              <w:spacing w:before="20" w:after="20"/>
              <w:jc w:val="center"/>
              <w:rPr>
                <w:lang w:val="fr-FR"/>
              </w:rPr>
            </w:pPr>
          </w:p>
        </w:tc>
        <w:tc>
          <w:tcPr>
            <w:tcW w:w="434" w:type="pct"/>
          </w:tcPr>
          <w:p w14:paraId="0089B17A" w14:textId="77777777" w:rsidR="008C1458" w:rsidRPr="00CE3172" w:rsidRDefault="008C1458" w:rsidP="00DA07A9">
            <w:pPr>
              <w:spacing w:before="20" w:after="20"/>
              <w:jc w:val="center"/>
              <w:rPr>
                <w:lang w:val="fr-FR"/>
              </w:rPr>
            </w:pPr>
          </w:p>
        </w:tc>
      </w:tr>
      <w:tr w:rsidR="008C1458" w:rsidRPr="00CE3172" w14:paraId="5C0368AF" w14:textId="77777777" w:rsidTr="00C96354">
        <w:trPr>
          <w:cantSplit/>
        </w:trPr>
        <w:tc>
          <w:tcPr>
            <w:tcW w:w="404" w:type="pct"/>
          </w:tcPr>
          <w:p w14:paraId="33E46FD9" w14:textId="77777777" w:rsidR="008C1458" w:rsidRPr="00CE3172" w:rsidRDefault="008C1458" w:rsidP="00DA07A9">
            <w:pPr>
              <w:spacing w:before="20" w:after="20"/>
              <w:rPr>
                <w:lang w:val="fr-FR"/>
              </w:rPr>
            </w:pPr>
          </w:p>
        </w:tc>
        <w:tc>
          <w:tcPr>
            <w:tcW w:w="262" w:type="pct"/>
          </w:tcPr>
          <w:p w14:paraId="5DA3B4E4" w14:textId="77777777" w:rsidR="008C1458" w:rsidRPr="00CE3172" w:rsidRDefault="008C1458" w:rsidP="00DA07A9">
            <w:pPr>
              <w:spacing w:before="20" w:after="20"/>
              <w:rPr>
                <w:lang w:val="fr-FR"/>
              </w:rPr>
            </w:pPr>
          </w:p>
        </w:tc>
        <w:tc>
          <w:tcPr>
            <w:tcW w:w="262" w:type="pct"/>
          </w:tcPr>
          <w:p w14:paraId="6C5F7F98" w14:textId="77777777" w:rsidR="008C1458" w:rsidRPr="00CE3172" w:rsidRDefault="008C1458" w:rsidP="00DA07A9">
            <w:pPr>
              <w:spacing w:before="20" w:after="20"/>
              <w:rPr>
                <w:lang w:val="fr-FR"/>
              </w:rPr>
            </w:pPr>
            <w:r w:rsidRPr="00CE3172">
              <w:rPr>
                <w:lang w:val="fr-FR"/>
              </w:rPr>
              <w:t>ii)</w:t>
            </w:r>
          </w:p>
        </w:tc>
        <w:tc>
          <w:tcPr>
            <w:tcW w:w="2770" w:type="pct"/>
          </w:tcPr>
          <w:p w14:paraId="26AED239" w14:textId="77777777" w:rsidR="008C1458" w:rsidRPr="00CE3172" w:rsidRDefault="008C1458" w:rsidP="00DA07A9">
            <w:pPr>
              <w:spacing w:before="20" w:after="20"/>
              <w:rPr>
                <w:lang w:val="fr-FR"/>
              </w:rPr>
            </w:pPr>
            <w:r w:rsidRPr="00CE3172">
              <w:rPr>
                <w:lang w:val="fr-FR"/>
              </w:rPr>
              <w:t>Portée du système de gestion de la qualité</w:t>
            </w:r>
          </w:p>
        </w:tc>
        <w:tc>
          <w:tcPr>
            <w:tcW w:w="374" w:type="pct"/>
          </w:tcPr>
          <w:p w14:paraId="1BC38CAE"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7F8BCFD" w14:textId="77777777" w:rsidR="008C1458" w:rsidRPr="00CE3172" w:rsidRDefault="008C1458" w:rsidP="00DA07A9">
            <w:pPr>
              <w:spacing w:before="20" w:after="20"/>
              <w:jc w:val="center"/>
              <w:rPr>
                <w:lang w:val="fr-FR"/>
              </w:rPr>
            </w:pPr>
          </w:p>
        </w:tc>
        <w:tc>
          <w:tcPr>
            <w:tcW w:w="434" w:type="pct"/>
          </w:tcPr>
          <w:p w14:paraId="5C76FE37" w14:textId="77777777" w:rsidR="008C1458" w:rsidRPr="00CE3172" w:rsidRDefault="008C1458" w:rsidP="00DA07A9">
            <w:pPr>
              <w:spacing w:before="20" w:after="20"/>
              <w:jc w:val="center"/>
              <w:rPr>
                <w:lang w:val="fr-FR"/>
              </w:rPr>
            </w:pPr>
          </w:p>
        </w:tc>
      </w:tr>
      <w:tr w:rsidR="008C1458" w:rsidRPr="00CE3172" w14:paraId="7BF21E2D" w14:textId="77777777" w:rsidTr="00C96354">
        <w:trPr>
          <w:cantSplit/>
        </w:trPr>
        <w:tc>
          <w:tcPr>
            <w:tcW w:w="404" w:type="pct"/>
          </w:tcPr>
          <w:p w14:paraId="09D3E036" w14:textId="77777777" w:rsidR="008C1458" w:rsidRPr="00CE3172" w:rsidRDefault="008C1458" w:rsidP="00DA07A9">
            <w:pPr>
              <w:spacing w:before="20" w:after="20"/>
              <w:rPr>
                <w:lang w:val="fr-FR"/>
              </w:rPr>
            </w:pPr>
          </w:p>
        </w:tc>
        <w:tc>
          <w:tcPr>
            <w:tcW w:w="262" w:type="pct"/>
          </w:tcPr>
          <w:p w14:paraId="204D3AE8" w14:textId="77777777" w:rsidR="008C1458" w:rsidRPr="00CE3172" w:rsidRDefault="008C1458" w:rsidP="00DA07A9">
            <w:pPr>
              <w:spacing w:before="20" w:after="20"/>
              <w:rPr>
                <w:lang w:val="fr-FR"/>
              </w:rPr>
            </w:pPr>
          </w:p>
        </w:tc>
        <w:tc>
          <w:tcPr>
            <w:tcW w:w="262" w:type="pct"/>
          </w:tcPr>
          <w:p w14:paraId="4DD98E1A" w14:textId="77777777" w:rsidR="008C1458" w:rsidRPr="00CE3172" w:rsidRDefault="008C1458" w:rsidP="00DA07A9">
            <w:pPr>
              <w:spacing w:before="20" w:after="20"/>
              <w:rPr>
                <w:lang w:val="fr-FR"/>
              </w:rPr>
            </w:pPr>
            <w:r w:rsidRPr="00CE3172">
              <w:rPr>
                <w:lang w:val="fr-FR"/>
              </w:rPr>
              <w:t>iii)</w:t>
            </w:r>
          </w:p>
        </w:tc>
        <w:tc>
          <w:tcPr>
            <w:tcW w:w="2770" w:type="pct"/>
          </w:tcPr>
          <w:p w14:paraId="2E2D61A6" w14:textId="77777777" w:rsidR="008C1458" w:rsidRPr="00CE3172" w:rsidRDefault="008C1458" w:rsidP="00DA07A9">
            <w:pPr>
              <w:spacing w:before="20" w:after="20"/>
              <w:rPr>
                <w:lang w:val="fr-FR"/>
              </w:rPr>
            </w:pPr>
            <w:r w:rsidRPr="00CE3172">
              <w:rPr>
                <w:lang w:val="fr-FR"/>
              </w:rPr>
              <w:t>Structure organique et les responsabilités</w:t>
            </w:r>
          </w:p>
        </w:tc>
        <w:tc>
          <w:tcPr>
            <w:tcW w:w="374" w:type="pct"/>
          </w:tcPr>
          <w:p w14:paraId="1E07EDDB"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13CA827" w14:textId="77777777" w:rsidR="008C1458" w:rsidRPr="00CE3172" w:rsidRDefault="008C1458" w:rsidP="00DA07A9">
            <w:pPr>
              <w:spacing w:before="20" w:after="20"/>
              <w:jc w:val="center"/>
              <w:rPr>
                <w:lang w:val="fr-FR"/>
              </w:rPr>
            </w:pPr>
          </w:p>
        </w:tc>
        <w:tc>
          <w:tcPr>
            <w:tcW w:w="434" w:type="pct"/>
          </w:tcPr>
          <w:p w14:paraId="7F0B9F7B" w14:textId="77777777" w:rsidR="008C1458" w:rsidRPr="00CE3172" w:rsidRDefault="008C1458" w:rsidP="00DA07A9">
            <w:pPr>
              <w:spacing w:before="20" w:after="20"/>
              <w:jc w:val="center"/>
              <w:rPr>
                <w:lang w:val="fr-FR"/>
              </w:rPr>
            </w:pPr>
          </w:p>
        </w:tc>
      </w:tr>
      <w:tr w:rsidR="008C1458" w:rsidRPr="00CE3172" w14:paraId="04035784" w14:textId="77777777" w:rsidTr="00C96354">
        <w:trPr>
          <w:cantSplit/>
        </w:trPr>
        <w:tc>
          <w:tcPr>
            <w:tcW w:w="404" w:type="pct"/>
          </w:tcPr>
          <w:p w14:paraId="127CA527" w14:textId="77777777" w:rsidR="008C1458" w:rsidRPr="00CE3172" w:rsidRDefault="008C1458" w:rsidP="00DA07A9">
            <w:pPr>
              <w:spacing w:before="20" w:after="20"/>
              <w:rPr>
                <w:lang w:val="fr-FR"/>
              </w:rPr>
            </w:pPr>
          </w:p>
        </w:tc>
        <w:tc>
          <w:tcPr>
            <w:tcW w:w="262" w:type="pct"/>
          </w:tcPr>
          <w:p w14:paraId="52D885EF" w14:textId="77777777" w:rsidR="008C1458" w:rsidRPr="00CE3172" w:rsidRDefault="008C1458" w:rsidP="00DA07A9">
            <w:pPr>
              <w:spacing w:before="20" w:after="20"/>
              <w:rPr>
                <w:lang w:val="fr-FR"/>
              </w:rPr>
            </w:pPr>
          </w:p>
        </w:tc>
        <w:tc>
          <w:tcPr>
            <w:tcW w:w="262" w:type="pct"/>
          </w:tcPr>
          <w:p w14:paraId="57970793" w14:textId="77777777" w:rsidR="008C1458" w:rsidRPr="00CE3172" w:rsidRDefault="008C1458" w:rsidP="00DA07A9">
            <w:pPr>
              <w:spacing w:before="20" w:after="20"/>
              <w:rPr>
                <w:lang w:val="fr-FR"/>
              </w:rPr>
            </w:pPr>
            <w:r w:rsidRPr="00CE3172">
              <w:rPr>
                <w:lang w:val="fr-FR"/>
              </w:rPr>
              <w:t>iv)</w:t>
            </w:r>
          </w:p>
        </w:tc>
        <w:tc>
          <w:tcPr>
            <w:tcW w:w="2770" w:type="pct"/>
          </w:tcPr>
          <w:p w14:paraId="580A85DE" w14:textId="77777777" w:rsidR="008C1458" w:rsidRPr="00CE3172" w:rsidRDefault="008C1458" w:rsidP="00DA07A9">
            <w:pPr>
              <w:spacing w:before="20" w:after="20"/>
              <w:rPr>
                <w:lang w:val="fr-FR"/>
              </w:rPr>
            </w:pPr>
            <w:r w:rsidRPr="00CE3172">
              <w:rPr>
                <w:lang w:val="fr-FR"/>
              </w:rPr>
              <w:t>Les procédures documentées sont appliquées au sein de l’administration</w:t>
            </w:r>
          </w:p>
        </w:tc>
        <w:tc>
          <w:tcPr>
            <w:tcW w:w="374" w:type="pct"/>
          </w:tcPr>
          <w:p w14:paraId="26BE6BF8"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240C628" w14:textId="77777777" w:rsidR="008C1458" w:rsidRPr="00CE3172" w:rsidRDefault="008C1458" w:rsidP="00DA07A9">
            <w:pPr>
              <w:spacing w:before="20" w:after="20"/>
              <w:jc w:val="center"/>
              <w:rPr>
                <w:lang w:val="fr-FR"/>
              </w:rPr>
            </w:pPr>
          </w:p>
        </w:tc>
        <w:tc>
          <w:tcPr>
            <w:tcW w:w="434" w:type="pct"/>
          </w:tcPr>
          <w:p w14:paraId="39FEEE28" w14:textId="77777777" w:rsidR="008C1458" w:rsidRPr="00CE3172" w:rsidRDefault="008C1458" w:rsidP="00DA07A9">
            <w:pPr>
              <w:spacing w:before="20" w:after="20"/>
              <w:jc w:val="center"/>
              <w:rPr>
                <w:lang w:val="fr-FR"/>
              </w:rPr>
            </w:pPr>
          </w:p>
        </w:tc>
      </w:tr>
      <w:tr w:rsidR="008C1458" w:rsidRPr="00CE3172" w14:paraId="1A8BB982" w14:textId="77777777" w:rsidTr="00C96354">
        <w:trPr>
          <w:cantSplit/>
        </w:trPr>
        <w:tc>
          <w:tcPr>
            <w:tcW w:w="404" w:type="pct"/>
          </w:tcPr>
          <w:p w14:paraId="0F411469" w14:textId="77777777" w:rsidR="008C1458" w:rsidRPr="00CE3172" w:rsidRDefault="008C1458" w:rsidP="00DA07A9">
            <w:pPr>
              <w:spacing w:before="20" w:after="20"/>
              <w:rPr>
                <w:lang w:val="fr-FR"/>
              </w:rPr>
            </w:pPr>
          </w:p>
        </w:tc>
        <w:tc>
          <w:tcPr>
            <w:tcW w:w="262" w:type="pct"/>
          </w:tcPr>
          <w:p w14:paraId="4EB8AF20" w14:textId="77777777" w:rsidR="008C1458" w:rsidRPr="00CE3172" w:rsidRDefault="008C1458" w:rsidP="00DA07A9">
            <w:pPr>
              <w:spacing w:before="20" w:after="20"/>
              <w:rPr>
                <w:lang w:val="fr-FR"/>
              </w:rPr>
            </w:pPr>
          </w:p>
        </w:tc>
        <w:tc>
          <w:tcPr>
            <w:tcW w:w="262" w:type="pct"/>
          </w:tcPr>
          <w:p w14:paraId="1E233432" w14:textId="77777777" w:rsidR="008C1458" w:rsidRPr="00CE3172" w:rsidRDefault="008C1458" w:rsidP="00DA07A9">
            <w:pPr>
              <w:spacing w:before="20" w:after="20"/>
              <w:rPr>
                <w:lang w:val="fr-FR"/>
              </w:rPr>
            </w:pPr>
            <w:r w:rsidRPr="00CE3172">
              <w:rPr>
                <w:lang w:val="fr-FR"/>
              </w:rPr>
              <w:t>v)</w:t>
            </w:r>
          </w:p>
        </w:tc>
        <w:tc>
          <w:tcPr>
            <w:tcW w:w="2770" w:type="pct"/>
          </w:tcPr>
          <w:p w14:paraId="47962646" w14:textId="77777777" w:rsidR="008C1458" w:rsidRPr="00CE3172" w:rsidRDefault="008C1458" w:rsidP="00DA07A9">
            <w:pPr>
              <w:spacing w:before="20" w:after="20"/>
              <w:rPr>
                <w:lang w:val="fr-FR"/>
              </w:rPr>
            </w:pPr>
            <w:r w:rsidRPr="00CE3172">
              <w:rPr>
                <w:lang w:val="fr-FR"/>
              </w:rPr>
              <w:t>Ressources disponibles aux fins de l’application des processus et de la mise en œuvre des procédures</w:t>
            </w:r>
          </w:p>
        </w:tc>
        <w:tc>
          <w:tcPr>
            <w:tcW w:w="374" w:type="pct"/>
          </w:tcPr>
          <w:p w14:paraId="6647298A"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311725E" w14:textId="77777777" w:rsidR="008C1458" w:rsidRPr="00CE3172" w:rsidRDefault="008C1458" w:rsidP="00DA07A9">
            <w:pPr>
              <w:spacing w:before="20" w:after="20"/>
              <w:jc w:val="center"/>
              <w:rPr>
                <w:lang w:val="fr-FR"/>
              </w:rPr>
            </w:pPr>
          </w:p>
        </w:tc>
        <w:tc>
          <w:tcPr>
            <w:tcW w:w="434" w:type="pct"/>
          </w:tcPr>
          <w:p w14:paraId="5F5D54D1" w14:textId="77777777" w:rsidR="008C1458" w:rsidRPr="00CE3172" w:rsidRDefault="008C1458" w:rsidP="00DA07A9">
            <w:pPr>
              <w:spacing w:before="20" w:after="20"/>
              <w:jc w:val="center"/>
              <w:rPr>
                <w:lang w:val="fr-FR"/>
              </w:rPr>
            </w:pPr>
          </w:p>
        </w:tc>
      </w:tr>
      <w:tr w:rsidR="008C1458" w:rsidRPr="00CE3172" w14:paraId="7AE8A350" w14:textId="77777777" w:rsidTr="00C96354">
        <w:trPr>
          <w:cantSplit/>
        </w:trPr>
        <w:tc>
          <w:tcPr>
            <w:tcW w:w="404" w:type="pct"/>
          </w:tcPr>
          <w:p w14:paraId="7D58730F" w14:textId="77777777" w:rsidR="008C1458" w:rsidRPr="00CE3172" w:rsidRDefault="008C1458" w:rsidP="00DA07A9">
            <w:pPr>
              <w:spacing w:before="20" w:after="20"/>
              <w:rPr>
                <w:lang w:val="fr-FR"/>
              </w:rPr>
            </w:pPr>
          </w:p>
        </w:tc>
        <w:tc>
          <w:tcPr>
            <w:tcW w:w="262" w:type="pct"/>
          </w:tcPr>
          <w:p w14:paraId="4543078D" w14:textId="77777777" w:rsidR="008C1458" w:rsidRPr="00CE3172" w:rsidRDefault="008C1458" w:rsidP="00DA07A9">
            <w:pPr>
              <w:spacing w:before="20" w:after="20"/>
              <w:rPr>
                <w:lang w:val="fr-FR"/>
              </w:rPr>
            </w:pPr>
          </w:p>
        </w:tc>
        <w:tc>
          <w:tcPr>
            <w:tcW w:w="262" w:type="pct"/>
          </w:tcPr>
          <w:p w14:paraId="378584DD" w14:textId="77777777" w:rsidR="008C1458" w:rsidRPr="00CE3172" w:rsidRDefault="008C1458" w:rsidP="00DA07A9">
            <w:pPr>
              <w:spacing w:before="20" w:after="20"/>
              <w:rPr>
                <w:lang w:val="fr-FR"/>
              </w:rPr>
            </w:pPr>
            <w:r w:rsidRPr="00CE3172">
              <w:rPr>
                <w:lang w:val="fr-FR"/>
              </w:rPr>
              <w:t>vi)</w:t>
            </w:r>
          </w:p>
        </w:tc>
        <w:tc>
          <w:tcPr>
            <w:tcW w:w="2770" w:type="pct"/>
          </w:tcPr>
          <w:p w14:paraId="1846E78E" w14:textId="77777777" w:rsidR="008C1458" w:rsidRPr="00CE3172" w:rsidRDefault="008C1458" w:rsidP="00DA07A9">
            <w:pPr>
              <w:spacing w:before="20" w:after="20"/>
              <w:rPr>
                <w:lang w:val="fr-FR"/>
              </w:rPr>
            </w:pPr>
            <w:r w:rsidRPr="00CE3172">
              <w:rPr>
                <w:lang w:val="fr-FR"/>
              </w:rPr>
              <w:t>Une description de l’interaction entre ces processus et les procédures relevant du système de gestion de la qualité</w:t>
            </w:r>
          </w:p>
        </w:tc>
        <w:tc>
          <w:tcPr>
            <w:tcW w:w="374" w:type="pct"/>
          </w:tcPr>
          <w:p w14:paraId="732E012F"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46F056AB" w14:textId="77777777" w:rsidR="008C1458" w:rsidRPr="00CE3172" w:rsidRDefault="008C1458" w:rsidP="00DA07A9">
            <w:pPr>
              <w:spacing w:before="20" w:after="20"/>
              <w:jc w:val="center"/>
              <w:rPr>
                <w:lang w:val="fr-FR"/>
              </w:rPr>
            </w:pPr>
          </w:p>
        </w:tc>
        <w:tc>
          <w:tcPr>
            <w:tcW w:w="434" w:type="pct"/>
          </w:tcPr>
          <w:p w14:paraId="0D39BBDC" w14:textId="77777777" w:rsidR="008C1458" w:rsidRPr="00CE3172" w:rsidRDefault="008C1458" w:rsidP="00DA07A9">
            <w:pPr>
              <w:spacing w:before="20" w:after="20"/>
              <w:jc w:val="center"/>
              <w:rPr>
                <w:lang w:val="fr-FR"/>
              </w:rPr>
            </w:pPr>
          </w:p>
        </w:tc>
      </w:tr>
      <w:tr w:rsidR="008C1458" w:rsidRPr="00CE3172" w14:paraId="04358233" w14:textId="77777777" w:rsidTr="00C96354">
        <w:trPr>
          <w:cantSplit/>
        </w:trPr>
        <w:tc>
          <w:tcPr>
            <w:tcW w:w="404" w:type="pct"/>
          </w:tcPr>
          <w:p w14:paraId="49CE1D56" w14:textId="77777777" w:rsidR="008C1458" w:rsidRPr="00CE3172" w:rsidRDefault="008C1458" w:rsidP="00DA07A9">
            <w:pPr>
              <w:spacing w:before="20" w:after="20"/>
              <w:rPr>
                <w:lang w:val="fr-FR"/>
              </w:rPr>
            </w:pPr>
            <w:r w:rsidRPr="00CE3172">
              <w:rPr>
                <w:lang w:val="fr-FR"/>
              </w:rPr>
              <w:t>21.20</w:t>
            </w:r>
          </w:p>
        </w:tc>
        <w:tc>
          <w:tcPr>
            <w:tcW w:w="262" w:type="pct"/>
          </w:tcPr>
          <w:p w14:paraId="03484E07" w14:textId="77777777" w:rsidR="008C1458" w:rsidRPr="00CE3172" w:rsidRDefault="008C1458" w:rsidP="00DA07A9">
            <w:pPr>
              <w:spacing w:before="20" w:after="20"/>
              <w:rPr>
                <w:lang w:val="fr-FR"/>
              </w:rPr>
            </w:pPr>
          </w:p>
        </w:tc>
        <w:tc>
          <w:tcPr>
            <w:tcW w:w="262" w:type="pct"/>
          </w:tcPr>
          <w:p w14:paraId="07E61799" w14:textId="77777777" w:rsidR="008C1458" w:rsidRPr="00CE3172" w:rsidRDefault="008C1458" w:rsidP="00DA07A9">
            <w:pPr>
              <w:spacing w:before="20" w:after="20"/>
              <w:rPr>
                <w:lang w:val="fr-FR"/>
              </w:rPr>
            </w:pPr>
            <w:r w:rsidRPr="00CE3172">
              <w:rPr>
                <w:lang w:val="fr-FR"/>
              </w:rPr>
              <w:t>i)</w:t>
            </w:r>
          </w:p>
        </w:tc>
        <w:tc>
          <w:tcPr>
            <w:tcW w:w="2770" w:type="pct"/>
          </w:tcPr>
          <w:p w14:paraId="2123ECC7" w14:textId="77777777" w:rsidR="008C1458" w:rsidRPr="00CE3172" w:rsidRDefault="008C1458" w:rsidP="00DA07A9">
            <w:pPr>
              <w:spacing w:before="20" w:after="20"/>
              <w:rPr>
                <w:lang w:val="fr-FR"/>
              </w:rPr>
            </w:pPr>
            <w:r w:rsidRPr="00CE3172">
              <w:rPr>
                <w:lang w:val="fr-FR"/>
              </w:rPr>
              <w:t>Une définition des documents conservés et de l’endroit où ils sont archivés</w:t>
            </w:r>
          </w:p>
        </w:tc>
        <w:tc>
          <w:tcPr>
            <w:tcW w:w="374" w:type="pct"/>
          </w:tcPr>
          <w:p w14:paraId="7A3F4E7E"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9B34247" w14:textId="77777777" w:rsidR="008C1458" w:rsidRPr="00CE3172" w:rsidRDefault="008C1458" w:rsidP="00DA07A9">
            <w:pPr>
              <w:spacing w:before="20" w:after="20"/>
              <w:jc w:val="center"/>
              <w:rPr>
                <w:lang w:val="fr-FR"/>
              </w:rPr>
            </w:pPr>
          </w:p>
        </w:tc>
        <w:tc>
          <w:tcPr>
            <w:tcW w:w="434" w:type="pct"/>
          </w:tcPr>
          <w:p w14:paraId="1D0281AD" w14:textId="77777777" w:rsidR="008C1458" w:rsidRPr="00CE3172" w:rsidRDefault="008C1458" w:rsidP="00DA07A9">
            <w:pPr>
              <w:spacing w:before="20" w:after="20"/>
              <w:jc w:val="center"/>
              <w:rPr>
                <w:lang w:val="fr-FR"/>
              </w:rPr>
            </w:pPr>
          </w:p>
        </w:tc>
      </w:tr>
      <w:tr w:rsidR="008C1458" w:rsidRPr="00CE3172" w14:paraId="03DDF67D" w14:textId="77777777" w:rsidTr="00C96354">
        <w:trPr>
          <w:cantSplit/>
        </w:trPr>
        <w:tc>
          <w:tcPr>
            <w:tcW w:w="404" w:type="pct"/>
          </w:tcPr>
          <w:p w14:paraId="13D0826C" w14:textId="77777777" w:rsidR="008C1458" w:rsidRPr="00CE3172" w:rsidRDefault="008C1458" w:rsidP="00DA07A9">
            <w:pPr>
              <w:spacing w:before="20" w:after="20"/>
              <w:rPr>
                <w:lang w:val="fr-FR"/>
              </w:rPr>
            </w:pPr>
          </w:p>
        </w:tc>
        <w:tc>
          <w:tcPr>
            <w:tcW w:w="262" w:type="pct"/>
          </w:tcPr>
          <w:p w14:paraId="41281CEF" w14:textId="77777777" w:rsidR="008C1458" w:rsidRPr="00CE3172" w:rsidRDefault="008C1458" w:rsidP="00DA07A9">
            <w:pPr>
              <w:spacing w:before="20" w:after="20"/>
              <w:rPr>
                <w:lang w:val="fr-FR"/>
              </w:rPr>
            </w:pPr>
          </w:p>
        </w:tc>
        <w:tc>
          <w:tcPr>
            <w:tcW w:w="262" w:type="pct"/>
          </w:tcPr>
          <w:p w14:paraId="3AEAE367" w14:textId="77777777" w:rsidR="008C1458" w:rsidRPr="00CE3172" w:rsidRDefault="008C1458" w:rsidP="00DA07A9">
            <w:pPr>
              <w:spacing w:before="20" w:after="20"/>
              <w:rPr>
                <w:lang w:val="fr-FR"/>
              </w:rPr>
            </w:pPr>
            <w:r w:rsidRPr="00CE3172">
              <w:rPr>
                <w:lang w:val="fr-FR"/>
              </w:rPr>
              <w:t>ii)</w:t>
            </w:r>
          </w:p>
        </w:tc>
        <w:tc>
          <w:tcPr>
            <w:tcW w:w="2770" w:type="pct"/>
          </w:tcPr>
          <w:p w14:paraId="6022B371" w14:textId="77777777" w:rsidR="008C1458" w:rsidRPr="00CE3172" w:rsidRDefault="008C1458" w:rsidP="00DA07A9">
            <w:pPr>
              <w:spacing w:before="20" w:after="20"/>
              <w:rPr>
                <w:lang w:val="fr-FR"/>
              </w:rPr>
            </w:pPr>
            <w:r w:rsidRPr="00CE3172">
              <w:rPr>
                <w:lang w:val="fr-FR"/>
              </w:rPr>
              <w:t>Dossiers des résultats de l’évaluation de gestion</w:t>
            </w:r>
          </w:p>
        </w:tc>
        <w:tc>
          <w:tcPr>
            <w:tcW w:w="374" w:type="pct"/>
          </w:tcPr>
          <w:p w14:paraId="2E4AEBC4"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B437F65" w14:textId="77777777" w:rsidR="008C1458" w:rsidRPr="00CE3172" w:rsidRDefault="008C1458" w:rsidP="00DA07A9">
            <w:pPr>
              <w:spacing w:before="20" w:after="20"/>
              <w:jc w:val="center"/>
              <w:rPr>
                <w:lang w:val="fr-FR"/>
              </w:rPr>
            </w:pPr>
          </w:p>
        </w:tc>
        <w:tc>
          <w:tcPr>
            <w:tcW w:w="434" w:type="pct"/>
          </w:tcPr>
          <w:p w14:paraId="377AFA38" w14:textId="77777777" w:rsidR="008C1458" w:rsidRPr="00CE3172" w:rsidRDefault="008C1458" w:rsidP="00DA07A9">
            <w:pPr>
              <w:spacing w:before="20" w:after="20"/>
              <w:jc w:val="center"/>
              <w:rPr>
                <w:lang w:val="fr-FR"/>
              </w:rPr>
            </w:pPr>
          </w:p>
        </w:tc>
      </w:tr>
      <w:tr w:rsidR="008C1458" w:rsidRPr="00CE3172" w14:paraId="6739B567" w14:textId="77777777" w:rsidTr="00C96354">
        <w:trPr>
          <w:cantSplit/>
        </w:trPr>
        <w:tc>
          <w:tcPr>
            <w:tcW w:w="404" w:type="pct"/>
          </w:tcPr>
          <w:p w14:paraId="7545B91A" w14:textId="77777777" w:rsidR="008C1458" w:rsidRPr="00CE3172" w:rsidRDefault="008C1458" w:rsidP="00DA07A9">
            <w:pPr>
              <w:spacing w:before="20" w:after="20"/>
              <w:rPr>
                <w:lang w:val="fr-FR"/>
              </w:rPr>
            </w:pPr>
          </w:p>
        </w:tc>
        <w:tc>
          <w:tcPr>
            <w:tcW w:w="262" w:type="pct"/>
          </w:tcPr>
          <w:p w14:paraId="0EDB1448" w14:textId="77777777" w:rsidR="008C1458" w:rsidRPr="00CE3172" w:rsidRDefault="008C1458" w:rsidP="00DA07A9">
            <w:pPr>
              <w:spacing w:before="20" w:after="20"/>
              <w:rPr>
                <w:lang w:val="fr-FR"/>
              </w:rPr>
            </w:pPr>
          </w:p>
        </w:tc>
        <w:tc>
          <w:tcPr>
            <w:tcW w:w="262" w:type="pct"/>
          </w:tcPr>
          <w:p w14:paraId="05A5CEF9" w14:textId="77777777" w:rsidR="008C1458" w:rsidRPr="00CE3172" w:rsidRDefault="008C1458" w:rsidP="00DA07A9">
            <w:pPr>
              <w:spacing w:before="20" w:after="20"/>
              <w:rPr>
                <w:lang w:val="fr-FR"/>
              </w:rPr>
            </w:pPr>
            <w:r w:rsidRPr="00CE3172">
              <w:rPr>
                <w:lang w:val="fr-FR"/>
              </w:rPr>
              <w:t>iii)</w:t>
            </w:r>
          </w:p>
        </w:tc>
        <w:tc>
          <w:tcPr>
            <w:tcW w:w="2770" w:type="pct"/>
          </w:tcPr>
          <w:p w14:paraId="4501DE81" w14:textId="77777777" w:rsidR="008C1458" w:rsidRPr="00CE3172" w:rsidRDefault="008C1458" w:rsidP="00DA07A9">
            <w:pPr>
              <w:spacing w:before="20" w:after="20"/>
              <w:rPr>
                <w:lang w:val="fr-FR"/>
              </w:rPr>
            </w:pPr>
            <w:r w:rsidRPr="00CE3172">
              <w:rPr>
                <w:lang w:val="fr-FR"/>
              </w:rPr>
              <w:t>Dossiers de la formation, des compétences et de l’expérience des membres du personnel</w:t>
            </w:r>
          </w:p>
        </w:tc>
        <w:tc>
          <w:tcPr>
            <w:tcW w:w="374" w:type="pct"/>
          </w:tcPr>
          <w:p w14:paraId="73C1CF9B"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D4657DB" w14:textId="77777777" w:rsidR="008C1458" w:rsidRPr="00CE3172" w:rsidRDefault="008C1458" w:rsidP="00DA07A9">
            <w:pPr>
              <w:spacing w:before="20" w:after="20"/>
              <w:jc w:val="center"/>
              <w:rPr>
                <w:lang w:val="fr-FR"/>
              </w:rPr>
            </w:pPr>
          </w:p>
        </w:tc>
        <w:tc>
          <w:tcPr>
            <w:tcW w:w="434" w:type="pct"/>
          </w:tcPr>
          <w:p w14:paraId="3EA551A3" w14:textId="77777777" w:rsidR="008C1458" w:rsidRPr="00CE3172" w:rsidRDefault="008C1458" w:rsidP="00DA07A9">
            <w:pPr>
              <w:spacing w:before="20" w:after="20"/>
              <w:jc w:val="center"/>
              <w:rPr>
                <w:lang w:val="fr-FR"/>
              </w:rPr>
            </w:pPr>
          </w:p>
        </w:tc>
      </w:tr>
      <w:tr w:rsidR="008C1458" w:rsidRPr="00CE3172" w14:paraId="0AA6F998" w14:textId="77777777" w:rsidTr="00C96354">
        <w:trPr>
          <w:cantSplit/>
        </w:trPr>
        <w:tc>
          <w:tcPr>
            <w:tcW w:w="404" w:type="pct"/>
          </w:tcPr>
          <w:p w14:paraId="2BF10C6E" w14:textId="77777777" w:rsidR="008C1458" w:rsidRPr="00CE3172" w:rsidRDefault="008C1458" w:rsidP="00DA07A9">
            <w:pPr>
              <w:spacing w:before="20" w:after="20"/>
              <w:rPr>
                <w:lang w:val="fr-FR"/>
              </w:rPr>
            </w:pPr>
          </w:p>
        </w:tc>
        <w:tc>
          <w:tcPr>
            <w:tcW w:w="262" w:type="pct"/>
          </w:tcPr>
          <w:p w14:paraId="5976B3E6" w14:textId="77777777" w:rsidR="008C1458" w:rsidRPr="00CE3172" w:rsidRDefault="008C1458" w:rsidP="00DA07A9">
            <w:pPr>
              <w:spacing w:before="20" w:after="20"/>
              <w:rPr>
                <w:lang w:val="fr-FR"/>
              </w:rPr>
            </w:pPr>
          </w:p>
        </w:tc>
        <w:tc>
          <w:tcPr>
            <w:tcW w:w="262" w:type="pct"/>
          </w:tcPr>
          <w:p w14:paraId="39E05386" w14:textId="77777777" w:rsidR="008C1458" w:rsidRPr="00CE3172" w:rsidRDefault="008C1458" w:rsidP="00DA07A9">
            <w:pPr>
              <w:spacing w:before="20" w:after="20"/>
              <w:rPr>
                <w:lang w:val="fr-FR"/>
              </w:rPr>
            </w:pPr>
            <w:r w:rsidRPr="00CE3172">
              <w:rPr>
                <w:lang w:val="fr-FR"/>
              </w:rPr>
              <w:t>iv)</w:t>
            </w:r>
          </w:p>
        </w:tc>
        <w:tc>
          <w:tcPr>
            <w:tcW w:w="2770" w:type="pct"/>
          </w:tcPr>
          <w:p w14:paraId="6DF114C4" w14:textId="77777777" w:rsidR="008C1458" w:rsidRPr="00CE3172" w:rsidRDefault="008C1458" w:rsidP="00DA07A9">
            <w:pPr>
              <w:spacing w:before="20" w:after="20"/>
              <w:rPr>
                <w:lang w:val="fr-FR"/>
              </w:rPr>
            </w:pPr>
            <w:r w:rsidRPr="00CE3172">
              <w:rPr>
                <w:lang w:val="fr-FR"/>
              </w:rPr>
              <w:t>Preuves de la conformité des processus</w:t>
            </w:r>
          </w:p>
        </w:tc>
        <w:tc>
          <w:tcPr>
            <w:tcW w:w="374" w:type="pct"/>
          </w:tcPr>
          <w:p w14:paraId="54B6A248"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D7C8064" w14:textId="77777777" w:rsidR="008C1458" w:rsidRPr="00CE3172" w:rsidRDefault="008C1458" w:rsidP="00DA07A9">
            <w:pPr>
              <w:spacing w:before="20" w:after="20"/>
              <w:jc w:val="center"/>
              <w:rPr>
                <w:lang w:val="fr-FR"/>
              </w:rPr>
            </w:pPr>
          </w:p>
        </w:tc>
        <w:tc>
          <w:tcPr>
            <w:tcW w:w="434" w:type="pct"/>
          </w:tcPr>
          <w:p w14:paraId="2C566D2C" w14:textId="77777777" w:rsidR="008C1458" w:rsidRPr="00CE3172" w:rsidRDefault="008C1458" w:rsidP="00DA07A9">
            <w:pPr>
              <w:spacing w:before="20" w:after="20"/>
              <w:jc w:val="center"/>
              <w:rPr>
                <w:lang w:val="fr-FR"/>
              </w:rPr>
            </w:pPr>
          </w:p>
        </w:tc>
      </w:tr>
      <w:tr w:rsidR="008C1458" w:rsidRPr="00CE3172" w14:paraId="7F1F259F" w14:textId="77777777" w:rsidTr="00C96354">
        <w:trPr>
          <w:cantSplit/>
        </w:trPr>
        <w:tc>
          <w:tcPr>
            <w:tcW w:w="404" w:type="pct"/>
          </w:tcPr>
          <w:p w14:paraId="42C1F012" w14:textId="77777777" w:rsidR="008C1458" w:rsidRPr="00CE3172" w:rsidRDefault="008C1458" w:rsidP="00DA07A9">
            <w:pPr>
              <w:spacing w:before="20" w:after="20"/>
              <w:rPr>
                <w:lang w:val="fr-FR"/>
              </w:rPr>
            </w:pPr>
          </w:p>
        </w:tc>
        <w:tc>
          <w:tcPr>
            <w:tcW w:w="262" w:type="pct"/>
          </w:tcPr>
          <w:p w14:paraId="2523B0B1" w14:textId="77777777" w:rsidR="008C1458" w:rsidRPr="00CE3172" w:rsidRDefault="008C1458" w:rsidP="00DA07A9">
            <w:pPr>
              <w:spacing w:before="20" w:after="20"/>
              <w:rPr>
                <w:lang w:val="fr-FR"/>
              </w:rPr>
            </w:pPr>
          </w:p>
        </w:tc>
        <w:tc>
          <w:tcPr>
            <w:tcW w:w="262" w:type="pct"/>
          </w:tcPr>
          <w:p w14:paraId="653E3B15" w14:textId="77777777" w:rsidR="008C1458" w:rsidRPr="00CE3172" w:rsidRDefault="008C1458" w:rsidP="00DA07A9">
            <w:pPr>
              <w:spacing w:before="20" w:after="20"/>
              <w:rPr>
                <w:lang w:val="fr-FR"/>
              </w:rPr>
            </w:pPr>
            <w:r w:rsidRPr="00CE3172">
              <w:rPr>
                <w:lang w:val="fr-FR"/>
              </w:rPr>
              <w:t>v)</w:t>
            </w:r>
          </w:p>
        </w:tc>
        <w:tc>
          <w:tcPr>
            <w:tcW w:w="2770" w:type="pct"/>
          </w:tcPr>
          <w:p w14:paraId="1F6D8B18" w14:textId="77777777" w:rsidR="008C1458" w:rsidRPr="00CE3172" w:rsidRDefault="008C1458" w:rsidP="00DA07A9">
            <w:pPr>
              <w:spacing w:before="20" w:after="20"/>
              <w:rPr>
                <w:lang w:val="fr-FR"/>
              </w:rPr>
            </w:pPr>
            <w:r w:rsidRPr="00CE3172">
              <w:rPr>
                <w:lang w:val="fr-FR"/>
              </w:rPr>
              <w:t>Résultats des évaluations relatives aux exigences applicables aux produits</w:t>
            </w:r>
          </w:p>
        </w:tc>
        <w:tc>
          <w:tcPr>
            <w:tcW w:w="374" w:type="pct"/>
          </w:tcPr>
          <w:p w14:paraId="487DD1DD"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1DE8E354" w14:textId="77777777" w:rsidR="008C1458" w:rsidRPr="00CE3172" w:rsidRDefault="008C1458" w:rsidP="00DA07A9">
            <w:pPr>
              <w:spacing w:before="20" w:after="20"/>
              <w:jc w:val="center"/>
              <w:rPr>
                <w:lang w:val="fr-FR"/>
              </w:rPr>
            </w:pPr>
          </w:p>
        </w:tc>
        <w:tc>
          <w:tcPr>
            <w:tcW w:w="434" w:type="pct"/>
          </w:tcPr>
          <w:p w14:paraId="0A65D167" w14:textId="77777777" w:rsidR="008C1458" w:rsidRPr="00CE3172" w:rsidRDefault="008C1458" w:rsidP="00DA07A9">
            <w:pPr>
              <w:spacing w:before="20" w:after="20"/>
              <w:jc w:val="center"/>
              <w:rPr>
                <w:lang w:val="fr-FR"/>
              </w:rPr>
            </w:pPr>
          </w:p>
        </w:tc>
      </w:tr>
      <w:tr w:rsidR="008C1458" w:rsidRPr="00CE3172" w14:paraId="70D64CD0" w14:textId="77777777" w:rsidTr="00C96354">
        <w:trPr>
          <w:cantSplit/>
        </w:trPr>
        <w:tc>
          <w:tcPr>
            <w:tcW w:w="404" w:type="pct"/>
          </w:tcPr>
          <w:p w14:paraId="68F3305B" w14:textId="77777777" w:rsidR="008C1458" w:rsidRPr="00CE3172" w:rsidRDefault="008C1458" w:rsidP="00DA07A9">
            <w:pPr>
              <w:spacing w:before="20" w:after="20"/>
              <w:rPr>
                <w:lang w:val="fr-FR"/>
              </w:rPr>
            </w:pPr>
          </w:p>
        </w:tc>
        <w:tc>
          <w:tcPr>
            <w:tcW w:w="262" w:type="pct"/>
          </w:tcPr>
          <w:p w14:paraId="54930CF7" w14:textId="77777777" w:rsidR="008C1458" w:rsidRPr="00CE3172" w:rsidRDefault="008C1458" w:rsidP="00DA07A9">
            <w:pPr>
              <w:spacing w:before="20" w:after="20"/>
              <w:rPr>
                <w:lang w:val="fr-FR"/>
              </w:rPr>
            </w:pPr>
          </w:p>
        </w:tc>
        <w:tc>
          <w:tcPr>
            <w:tcW w:w="262" w:type="pct"/>
          </w:tcPr>
          <w:p w14:paraId="28654DE0" w14:textId="77777777" w:rsidR="008C1458" w:rsidRPr="00CE3172" w:rsidRDefault="008C1458" w:rsidP="00DA07A9">
            <w:pPr>
              <w:spacing w:before="20" w:after="20"/>
              <w:rPr>
                <w:lang w:val="fr-FR"/>
              </w:rPr>
            </w:pPr>
            <w:r w:rsidRPr="00CE3172">
              <w:rPr>
                <w:lang w:val="fr-FR"/>
              </w:rPr>
              <w:t>vi)</w:t>
            </w:r>
          </w:p>
        </w:tc>
        <w:tc>
          <w:tcPr>
            <w:tcW w:w="2770" w:type="pct"/>
          </w:tcPr>
          <w:p w14:paraId="516964AA" w14:textId="77777777" w:rsidR="008C1458" w:rsidRPr="00CE3172" w:rsidRDefault="008C1458" w:rsidP="00DA07A9">
            <w:pPr>
              <w:spacing w:before="20" w:after="20"/>
              <w:rPr>
                <w:lang w:val="fr-FR"/>
              </w:rPr>
            </w:pPr>
            <w:r w:rsidRPr="00CE3172">
              <w:rPr>
                <w:lang w:val="fr-FR"/>
              </w:rPr>
              <w:t>Archives des procédures de recherche et d’examen menées à bien pour chaque demande</w:t>
            </w:r>
          </w:p>
        </w:tc>
        <w:tc>
          <w:tcPr>
            <w:tcW w:w="374" w:type="pct"/>
          </w:tcPr>
          <w:p w14:paraId="5347A2E0"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E405266" w14:textId="77777777" w:rsidR="008C1458" w:rsidRPr="00CE3172" w:rsidRDefault="008C1458" w:rsidP="00DA07A9">
            <w:pPr>
              <w:spacing w:before="20" w:after="20"/>
              <w:jc w:val="center"/>
              <w:rPr>
                <w:lang w:val="fr-FR"/>
              </w:rPr>
            </w:pPr>
          </w:p>
        </w:tc>
        <w:tc>
          <w:tcPr>
            <w:tcW w:w="434" w:type="pct"/>
          </w:tcPr>
          <w:p w14:paraId="04A609E5" w14:textId="77777777" w:rsidR="008C1458" w:rsidRPr="00CE3172" w:rsidRDefault="008C1458" w:rsidP="00DA07A9">
            <w:pPr>
              <w:spacing w:before="20" w:after="20"/>
              <w:jc w:val="center"/>
              <w:rPr>
                <w:lang w:val="fr-FR"/>
              </w:rPr>
            </w:pPr>
          </w:p>
        </w:tc>
      </w:tr>
      <w:tr w:rsidR="008C1458" w:rsidRPr="00CE3172" w14:paraId="03A8147B" w14:textId="77777777" w:rsidTr="00C96354">
        <w:trPr>
          <w:cantSplit/>
        </w:trPr>
        <w:tc>
          <w:tcPr>
            <w:tcW w:w="404" w:type="pct"/>
          </w:tcPr>
          <w:p w14:paraId="684DB15C" w14:textId="77777777" w:rsidR="008C1458" w:rsidRPr="00CE3172" w:rsidRDefault="008C1458" w:rsidP="00DA07A9">
            <w:pPr>
              <w:spacing w:before="20" w:after="20"/>
              <w:rPr>
                <w:lang w:val="fr-FR"/>
              </w:rPr>
            </w:pPr>
          </w:p>
        </w:tc>
        <w:tc>
          <w:tcPr>
            <w:tcW w:w="262" w:type="pct"/>
          </w:tcPr>
          <w:p w14:paraId="079A028C" w14:textId="77777777" w:rsidR="008C1458" w:rsidRPr="00CE3172" w:rsidRDefault="008C1458" w:rsidP="00DA07A9">
            <w:pPr>
              <w:spacing w:before="20" w:after="20"/>
              <w:rPr>
                <w:lang w:val="fr-FR"/>
              </w:rPr>
            </w:pPr>
          </w:p>
        </w:tc>
        <w:tc>
          <w:tcPr>
            <w:tcW w:w="262" w:type="pct"/>
          </w:tcPr>
          <w:p w14:paraId="3A606C75" w14:textId="77777777" w:rsidR="008C1458" w:rsidRPr="00CE3172" w:rsidRDefault="008C1458" w:rsidP="00DA07A9">
            <w:pPr>
              <w:spacing w:before="20" w:after="20"/>
              <w:rPr>
                <w:lang w:val="fr-FR"/>
              </w:rPr>
            </w:pPr>
            <w:r w:rsidRPr="00CE3172">
              <w:rPr>
                <w:lang w:val="fr-FR"/>
              </w:rPr>
              <w:t>vii)</w:t>
            </w:r>
          </w:p>
        </w:tc>
        <w:tc>
          <w:tcPr>
            <w:tcW w:w="2770" w:type="pct"/>
          </w:tcPr>
          <w:p w14:paraId="202D95CE" w14:textId="77777777" w:rsidR="008C1458" w:rsidRPr="00CE3172" w:rsidRDefault="008C1458" w:rsidP="00DA07A9">
            <w:pPr>
              <w:spacing w:before="20" w:after="20"/>
              <w:rPr>
                <w:lang w:val="fr-FR"/>
              </w:rPr>
            </w:pPr>
            <w:r w:rsidRPr="00CE3172">
              <w:rPr>
                <w:lang w:val="fr-FR"/>
              </w:rPr>
              <w:t>Dossier des données permettant de suivre chaque tâche individuelle</w:t>
            </w:r>
          </w:p>
        </w:tc>
        <w:tc>
          <w:tcPr>
            <w:tcW w:w="374" w:type="pct"/>
          </w:tcPr>
          <w:p w14:paraId="0FD8B663"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7D9B070" w14:textId="77777777" w:rsidR="008C1458" w:rsidRPr="00CE3172" w:rsidRDefault="008C1458" w:rsidP="00DA07A9">
            <w:pPr>
              <w:spacing w:before="20" w:after="20"/>
              <w:jc w:val="center"/>
              <w:rPr>
                <w:lang w:val="fr-FR"/>
              </w:rPr>
            </w:pPr>
          </w:p>
        </w:tc>
        <w:tc>
          <w:tcPr>
            <w:tcW w:w="434" w:type="pct"/>
          </w:tcPr>
          <w:p w14:paraId="45525C34" w14:textId="77777777" w:rsidR="008C1458" w:rsidRPr="00CE3172" w:rsidRDefault="008C1458" w:rsidP="00DA07A9">
            <w:pPr>
              <w:spacing w:before="20" w:after="20"/>
              <w:jc w:val="center"/>
              <w:rPr>
                <w:lang w:val="fr-FR"/>
              </w:rPr>
            </w:pPr>
          </w:p>
        </w:tc>
      </w:tr>
      <w:tr w:rsidR="008C1458" w:rsidRPr="00CE3172" w14:paraId="4102F3EC" w14:textId="77777777" w:rsidTr="00C96354">
        <w:trPr>
          <w:cantSplit/>
        </w:trPr>
        <w:tc>
          <w:tcPr>
            <w:tcW w:w="404" w:type="pct"/>
          </w:tcPr>
          <w:p w14:paraId="62266123" w14:textId="77777777" w:rsidR="008C1458" w:rsidRPr="00CE3172" w:rsidRDefault="008C1458" w:rsidP="00DA07A9">
            <w:pPr>
              <w:spacing w:before="20" w:after="20"/>
              <w:rPr>
                <w:lang w:val="fr-FR"/>
              </w:rPr>
            </w:pPr>
          </w:p>
        </w:tc>
        <w:tc>
          <w:tcPr>
            <w:tcW w:w="262" w:type="pct"/>
          </w:tcPr>
          <w:p w14:paraId="75696D3A" w14:textId="77777777" w:rsidR="008C1458" w:rsidRPr="00CE3172" w:rsidRDefault="008C1458" w:rsidP="00DA07A9">
            <w:pPr>
              <w:spacing w:before="20" w:after="20"/>
              <w:rPr>
                <w:lang w:val="fr-FR"/>
              </w:rPr>
            </w:pPr>
          </w:p>
        </w:tc>
        <w:tc>
          <w:tcPr>
            <w:tcW w:w="262" w:type="pct"/>
          </w:tcPr>
          <w:p w14:paraId="68905163" w14:textId="77777777" w:rsidR="008C1458" w:rsidRPr="00CE3172" w:rsidRDefault="008C1458" w:rsidP="00DA07A9">
            <w:pPr>
              <w:spacing w:before="20" w:after="20"/>
              <w:rPr>
                <w:lang w:val="fr-FR"/>
              </w:rPr>
            </w:pPr>
            <w:r w:rsidRPr="00CE3172">
              <w:rPr>
                <w:lang w:val="fr-FR"/>
              </w:rPr>
              <w:t>viii)</w:t>
            </w:r>
          </w:p>
        </w:tc>
        <w:tc>
          <w:tcPr>
            <w:tcW w:w="2770" w:type="pct"/>
          </w:tcPr>
          <w:p w14:paraId="038F44D2" w14:textId="77777777" w:rsidR="008C1458" w:rsidRPr="00CE3172" w:rsidRDefault="008C1458" w:rsidP="00DA07A9">
            <w:pPr>
              <w:spacing w:before="20" w:after="20"/>
              <w:rPr>
                <w:lang w:val="fr-FR"/>
              </w:rPr>
            </w:pPr>
            <w:r w:rsidRPr="00CE3172">
              <w:rPr>
                <w:lang w:val="fr-FR"/>
              </w:rPr>
              <w:t>Dossier des audits effectués dans le cadre du système de gestion de la qualité</w:t>
            </w:r>
          </w:p>
        </w:tc>
        <w:tc>
          <w:tcPr>
            <w:tcW w:w="374" w:type="pct"/>
          </w:tcPr>
          <w:p w14:paraId="2A4FD773"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409223B" w14:textId="77777777" w:rsidR="008C1458" w:rsidRPr="00CE3172" w:rsidRDefault="008C1458" w:rsidP="00DA07A9">
            <w:pPr>
              <w:spacing w:before="20" w:after="20"/>
              <w:jc w:val="center"/>
              <w:rPr>
                <w:lang w:val="fr-FR"/>
              </w:rPr>
            </w:pPr>
          </w:p>
        </w:tc>
        <w:tc>
          <w:tcPr>
            <w:tcW w:w="434" w:type="pct"/>
          </w:tcPr>
          <w:p w14:paraId="7D7307E6" w14:textId="77777777" w:rsidR="008C1458" w:rsidRPr="00CE3172" w:rsidRDefault="008C1458" w:rsidP="00DA07A9">
            <w:pPr>
              <w:spacing w:before="20" w:after="20"/>
              <w:jc w:val="center"/>
              <w:rPr>
                <w:lang w:val="fr-FR"/>
              </w:rPr>
            </w:pPr>
          </w:p>
        </w:tc>
      </w:tr>
      <w:tr w:rsidR="008C1458" w:rsidRPr="00CE3172" w14:paraId="41EB2163" w14:textId="77777777" w:rsidTr="00C96354">
        <w:trPr>
          <w:cantSplit/>
        </w:trPr>
        <w:tc>
          <w:tcPr>
            <w:tcW w:w="404" w:type="pct"/>
          </w:tcPr>
          <w:p w14:paraId="295477D5" w14:textId="77777777" w:rsidR="008C1458" w:rsidRPr="00CE3172" w:rsidRDefault="008C1458" w:rsidP="00DA07A9">
            <w:pPr>
              <w:spacing w:before="20" w:after="20"/>
              <w:rPr>
                <w:lang w:val="fr-FR"/>
              </w:rPr>
            </w:pPr>
          </w:p>
        </w:tc>
        <w:tc>
          <w:tcPr>
            <w:tcW w:w="262" w:type="pct"/>
          </w:tcPr>
          <w:p w14:paraId="2885EAB7" w14:textId="77777777" w:rsidR="008C1458" w:rsidRPr="00CE3172" w:rsidRDefault="008C1458" w:rsidP="00DA07A9">
            <w:pPr>
              <w:spacing w:before="20" w:after="20"/>
              <w:rPr>
                <w:lang w:val="fr-FR"/>
              </w:rPr>
            </w:pPr>
          </w:p>
        </w:tc>
        <w:tc>
          <w:tcPr>
            <w:tcW w:w="262" w:type="pct"/>
          </w:tcPr>
          <w:p w14:paraId="348A3B22" w14:textId="77777777" w:rsidR="008C1458" w:rsidRPr="00CE3172" w:rsidRDefault="008C1458" w:rsidP="00DA07A9">
            <w:pPr>
              <w:spacing w:before="20" w:after="20"/>
              <w:rPr>
                <w:lang w:val="fr-FR"/>
              </w:rPr>
            </w:pPr>
            <w:r w:rsidRPr="00CE3172">
              <w:rPr>
                <w:lang w:val="fr-FR"/>
              </w:rPr>
              <w:t>ix)</w:t>
            </w:r>
          </w:p>
        </w:tc>
        <w:tc>
          <w:tcPr>
            <w:tcW w:w="2770" w:type="pct"/>
          </w:tcPr>
          <w:p w14:paraId="360B5A39" w14:textId="77777777" w:rsidR="008C1458" w:rsidRPr="00CE3172" w:rsidRDefault="008C1458" w:rsidP="00DA07A9">
            <w:pPr>
              <w:spacing w:before="20" w:after="20"/>
              <w:rPr>
                <w:lang w:val="fr-FR"/>
              </w:rPr>
            </w:pPr>
            <w:r w:rsidRPr="00CE3172">
              <w:rPr>
                <w:lang w:val="fr-FR"/>
              </w:rPr>
              <w:t>Dossiers des mesures prises en cas de produits non conformes</w:t>
            </w:r>
          </w:p>
        </w:tc>
        <w:tc>
          <w:tcPr>
            <w:tcW w:w="374" w:type="pct"/>
          </w:tcPr>
          <w:p w14:paraId="6C91127F"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147F9185" w14:textId="77777777" w:rsidR="008C1458" w:rsidRPr="00CE3172" w:rsidRDefault="008C1458" w:rsidP="00DA07A9">
            <w:pPr>
              <w:spacing w:before="20" w:after="20"/>
              <w:jc w:val="center"/>
              <w:rPr>
                <w:lang w:val="fr-FR"/>
              </w:rPr>
            </w:pPr>
          </w:p>
        </w:tc>
        <w:tc>
          <w:tcPr>
            <w:tcW w:w="434" w:type="pct"/>
          </w:tcPr>
          <w:p w14:paraId="7CFE46B2" w14:textId="77777777" w:rsidR="008C1458" w:rsidRPr="00CE3172" w:rsidRDefault="008C1458" w:rsidP="00DA07A9">
            <w:pPr>
              <w:spacing w:before="20" w:after="20"/>
              <w:jc w:val="center"/>
              <w:rPr>
                <w:lang w:val="fr-FR"/>
              </w:rPr>
            </w:pPr>
          </w:p>
        </w:tc>
      </w:tr>
      <w:tr w:rsidR="008C1458" w:rsidRPr="00CE3172" w14:paraId="42521274" w14:textId="77777777" w:rsidTr="00C96354">
        <w:trPr>
          <w:cantSplit/>
        </w:trPr>
        <w:tc>
          <w:tcPr>
            <w:tcW w:w="404" w:type="pct"/>
          </w:tcPr>
          <w:p w14:paraId="746C9D11" w14:textId="77777777" w:rsidR="008C1458" w:rsidRPr="00CE3172" w:rsidRDefault="008C1458" w:rsidP="00DA07A9">
            <w:pPr>
              <w:spacing w:before="20" w:after="20"/>
              <w:rPr>
                <w:lang w:val="fr-FR"/>
              </w:rPr>
            </w:pPr>
          </w:p>
        </w:tc>
        <w:tc>
          <w:tcPr>
            <w:tcW w:w="262" w:type="pct"/>
          </w:tcPr>
          <w:p w14:paraId="05D287AC" w14:textId="77777777" w:rsidR="008C1458" w:rsidRPr="00CE3172" w:rsidRDefault="008C1458" w:rsidP="00DA07A9">
            <w:pPr>
              <w:spacing w:before="20" w:after="20"/>
              <w:rPr>
                <w:lang w:val="fr-FR"/>
              </w:rPr>
            </w:pPr>
          </w:p>
        </w:tc>
        <w:tc>
          <w:tcPr>
            <w:tcW w:w="262" w:type="pct"/>
          </w:tcPr>
          <w:p w14:paraId="78AB7393" w14:textId="77777777" w:rsidR="008C1458" w:rsidRPr="00CE3172" w:rsidRDefault="008C1458" w:rsidP="00DA07A9">
            <w:pPr>
              <w:spacing w:before="20" w:after="20"/>
              <w:rPr>
                <w:lang w:val="fr-FR"/>
              </w:rPr>
            </w:pPr>
            <w:r w:rsidRPr="00CE3172">
              <w:rPr>
                <w:lang w:val="fr-FR"/>
              </w:rPr>
              <w:t>x)</w:t>
            </w:r>
          </w:p>
        </w:tc>
        <w:tc>
          <w:tcPr>
            <w:tcW w:w="2770" w:type="pct"/>
          </w:tcPr>
          <w:p w14:paraId="647DC10A" w14:textId="77777777" w:rsidR="008C1458" w:rsidRPr="00CE3172" w:rsidRDefault="008C1458" w:rsidP="00DA07A9">
            <w:pPr>
              <w:spacing w:before="20" w:after="20"/>
              <w:rPr>
                <w:lang w:val="fr-FR"/>
              </w:rPr>
            </w:pPr>
            <w:r w:rsidRPr="00CE3172">
              <w:rPr>
                <w:lang w:val="fr-FR"/>
              </w:rPr>
              <w:t>Dossiers du suivi des mesures correctives</w:t>
            </w:r>
          </w:p>
        </w:tc>
        <w:tc>
          <w:tcPr>
            <w:tcW w:w="374" w:type="pct"/>
          </w:tcPr>
          <w:p w14:paraId="47639963"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300555D" w14:textId="77777777" w:rsidR="008C1458" w:rsidRPr="00CE3172" w:rsidRDefault="008C1458" w:rsidP="00DA07A9">
            <w:pPr>
              <w:spacing w:before="20" w:after="20"/>
              <w:jc w:val="center"/>
              <w:rPr>
                <w:lang w:val="fr-FR"/>
              </w:rPr>
            </w:pPr>
          </w:p>
        </w:tc>
        <w:tc>
          <w:tcPr>
            <w:tcW w:w="434" w:type="pct"/>
          </w:tcPr>
          <w:p w14:paraId="4ED7A7ED" w14:textId="77777777" w:rsidR="008C1458" w:rsidRPr="00CE3172" w:rsidRDefault="008C1458" w:rsidP="00DA07A9">
            <w:pPr>
              <w:spacing w:before="20" w:after="20"/>
              <w:jc w:val="center"/>
              <w:rPr>
                <w:lang w:val="fr-FR"/>
              </w:rPr>
            </w:pPr>
          </w:p>
        </w:tc>
      </w:tr>
      <w:tr w:rsidR="008C1458" w:rsidRPr="00CE3172" w14:paraId="1CB2E3B0" w14:textId="77777777" w:rsidTr="00C96354">
        <w:trPr>
          <w:cantSplit/>
        </w:trPr>
        <w:tc>
          <w:tcPr>
            <w:tcW w:w="404" w:type="pct"/>
          </w:tcPr>
          <w:p w14:paraId="619AC06F" w14:textId="77777777" w:rsidR="008C1458" w:rsidRPr="00CE3172" w:rsidRDefault="008C1458" w:rsidP="00DA07A9">
            <w:pPr>
              <w:spacing w:before="20" w:after="20"/>
              <w:rPr>
                <w:lang w:val="fr-FR"/>
              </w:rPr>
            </w:pPr>
          </w:p>
        </w:tc>
        <w:tc>
          <w:tcPr>
            <w:tcW w:w="262" w:type="pct"/>
          </w:tcPr>
          <w:p w14:paraId="08D5496E" w14:textId="77777777" w:rsidR="008C1458" w:rsidRPr="00CE3172" w:rsidRDefault="008C1458" w:rsidP="00DA07A9">
            <w:pPr>
              <w:spacing w:before="20" w:after="20"/>
              <w:rPr>
                <w:lang w:val="fr-FR"/>
              </w:rPr>
            </w:pPr>
          </w:p>
        </w:tc>
        <w:tc>
          <w:tcPr>
            <w:tcW w:w="262" w:type="pct"/>
          </w:tcPr>
          <w:p w14:paraId="796EB209" w14:textId="77777777" w:rsidR="008C1458" w:rsidRPr="00CE3172" w:rsidRDefault="008C1458" w:rsidP="00DA07A9">
            <w:pPr>
              <w:spacing w:before="20" w:after="20"/>
              <w:rPr>
                <w:lang w:val="fr-FR"/>
              </w:rPr>
            </w:pPr>
            <w:r w:rsidRPr="00CE3172">
              <w:rPr>
                <w:lang w:val="fr-FR"/>
              </w:rPr>
              <w:t>xi)</w:t>
            </w:r>
          </w:p>
        </w:tc>
        <w:tc>
          <w:tcPr>
            <w:tcW w:w="2770" w:type="pct"/>
          </w:tcPr>
          <w:p w14:paraId="26B10280" w14:textId="77777777" w:rsidR="008C1458" w:rsidRPr="00CE3172" w:rsidRDefault="008C1458" w:rsidP="00DA07A9">
            <w:pPr>
              <w:spacing w:before="20" w:after="20"/>
              <w:rPr>
                <w:lang w:val="fr-FR"/>
              </w:rPr>
            </w:pPr>
            <w:r w:rsidRPr="00CE3172">
              <w:rPr>
                <w:lang w:val="fr-FR"/>
              </w:rPr>
              <w:t>Dossiers du suivi des mesures préventives</w:t>
            </w:r>
          </w:p>
        </w:tc>
        <w:tc>
          <w:tcPr>
            <w:tcW w:w="374" w:type="pct"/>
          </w:tcPr>
          <w:p w14:paraId="6FB9AC4F"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41143B4D" w14:textId="77777777" w:rsidR="008C1458" w:rsidRPr="00CE3172" w:rsidRDefault="008C1458" w:rsidP="00DA07A9">
            <w:pPr>
              <w:spacing w:before="20" w:after="20"/>
              <w:jc w:val="center"/>
              <w:rPr>
                <w:lang w:val="fr-FR"/>
              </w:rPr>
            </w:pPr>
          </w:p>
        </w:tc>
        <w:tc>
          <w:tcPr>
            <w:tcW w:w="434" w:type="pct"/>
          </w:tcPr>
          <w:p w14:paraId="4033C254" w14:textId="77777777" w:rsidR="008C1458" w:rsidRPr="00CE3172" w:rsidRDefault="008C1458" w:rsidP="00DA07A9">
            <w:pPr>
              <w:spacing w:before="20" w:after="20"/>
              <w:jc w:val="center"/>
              <w:rPr>
                <w:lang w:val="fr-FR"/>
              </w:rPr>
            </w:pPr>
          </w:p>
        </w:tc>
      </w:tr>
      <w:tr w:rsidR="008C1458" w:rsidRPr="00CE3172" w14:paraId="76A40BA5" w14:textId="77777777" w:rsidTr="00C96354">
        <w:trPr>
          <w:cantSplit/>
        </w:trPr>
        <w:tc>
          <w:tcPr>
            <w:tcW w:w="404" w:type="pct"/>
          </w:tcPr>
          <w:p w14:paraId="15D5A23E" w14:textId="77777777" w:rsidR="008C1458" w:rsidRPr="00CE3172" w:rsidRDefault="008C1458" w:rsidP="00DA07A9">
            <w:pPr>
              <w:spacing w:before="20" w:after="20"/>
              <w:rPr>
                <w:lang w:val="fr-FR"/>
              </w:rPr>
            </w:pPr>
          </w:p>
        </w:tc>
        <w:tc>
          <w:tcPr>
            <w:tcW w:w="262" w:type="pct"/>
          </w:tcPr>
          <w:p w14:paraId="3FBDED0E" w14:textId="77777777" w:rsidR="008C1458" w:rsidRPr="00CE3172" w:rsidRDefault="008C1458" w:rsidP="00DA07A9">
            <w:pPr>
              <w:spacing w:before="20" w:after="20"/>
              <w:rPr>
                <w:lang w:val="fr-FR"/>
              </w:rPr>
            </w:pPr>
          </w:p>
        </w:tc>
        <w:tc>
          <w:tcPr>
            <w:tcW w:w="262" w:type="pct"/>
          </w:tcPr>
          <w:p w14:paraId="743C0554" w14:textId="77777777" w:rsidR="008C1458" w:rsidRPr="00CE3172" w:rsidRDefault="008C1458" w:rsidP="00DA07A9">
            <w:pPr>
              <w:spacing w:before="20" w:after="20"/>
              <w:rPr>
                <w:lang w:val="fr-FR"/>
              </w:rPr>
            </w:pPr>
            <w:r w:rsidRPr="00CE3172">
              <w:rPr>
                <w:lang w:val="fr-FR"/>
              </w:rPr>
              <w:t>xii)</w:t>
            </w:r>
          </w:p>
        </w:tc>
        <w:tc>
          <w:tcPr>
            <w:tcW w:w="2770" w:type="pct"/>
          </w:tcPr>
          <w:p w14:paraId="3DA56027" w14:textId="77777777" w:rsidR="008C1458" w:rsidRPr="00CE3172" w:rsidRDefault="008C1458" w:rsidP="00DA07A9">
            <w:pPr>
              <w:spacing w:before="20" w:after="20"/>
              <w:rPr>
                <w:lang w:val="fr-FR"/>
              </w:rPr>
            </w:pPr>
            <w:r w:rsidRPr="00CE3172">
              <w:rPr>
                <w:lang w:val="fr-FR"/>
              </w:rPr>
              <w:t>Dossiers concernant la documentation relative à la procédure de recherche</w:t>
            </w:r>
          </w:p>
        </w:tc>
        <w:tc>
          <w:tcPr>
            <w:tcW w:w="374" w:type="pct"/>
          </w:tcPr>
          <w:p w14:paraId="0C667C95"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2C60D63" w14:textId="77777777" w:rsidR="008C1458" w:rsidRPr="00CE3172" w:rsidRDefault="008C1458" w:rsidP="00DA07A9">
            <w:pPr>
              <w:spacing w:before="20" w:after="20"/>
              <w:jc w:val="center"/>
              <w:rPr>
                <w:lang w:val="fr-FR"/>
              </w:rPr>
            </w:pPr>
          </w:p>
        </w:tc>
        <w:tc>
          <w:tcPr>
            <w:tcW w:w="434" w:type="pct"/>
          </w:tcPr>
          <w:p w14:paraId="12FC5DB8" w14:textId="77777777" w:rsidR="008C1458" w:rsidRPr="00CE3172" w:rsidRDefault="008C1458" w:rsidP="00DA07A9">
            <w:pPr>
              <w:spacing w:before="20" w:after="20"/>
              <w:jc w:val="center"/>
              <w:rPr>
                <w:lang w:val="fr-FR"/>
              </w:rPr>
            </w:pPr>
          </w:p>
        </w:tc>
      </w:tr>
      <w:tr w:rsidR="008C1458" w:rsidRPr="00CE3172" w14:paraId="0AF45B0F" w14:textId="77777777" w:rsidTr="00C96354">
        <w:trPr>
          <w:cantSplit/>
        </w:trPr>
        <w:tc>
          <w:tcPr>
            <w:tcW w:w="404" w:type="pct"/>
          </w:tcPr>
          <w:p w14:paraId="0E5FB4CD" w14:textId="77777777" w:rsidR="008C1458" w:rsidRPr="00CE3172" w:rsidRDefault="008C1458" w:rsidP="00DA07A9">
            <w:pPr>
              <w:spacing w:before="20" w:after="20"/>
              <w:rPr>
                <w:lang w:val="fr-FR"/>
              </w:rPr>
            </w:pPr>
            <w:r w:rsidRPr="00CE3172">
              <w:rPr>
                <w:lang w:val="fr-FR"/>
              </w:rPr>
              <w:t>21.21</w:t>
            </w:r>
          </w:p>
        </w:tc>
        <w:tc>
          <w:tcPr>
            <w:tcW w:w="262" w:type="pct"/>
          </w:tcPr>
          <w:p w14:paraId="08A7D9B1" w14:textId="77777777" w:rsidR="008C1458" w:rsidRPr="00CE3172" w:rsidRDefault="008C1458" w:rsidP="00DA07A9">
            <w:pPr>
              <w:spacing w:before="20" w:after="20"/>
              <w:rPr>
                <w:lang w:val="fr-FR"/>
              </w:rPr>
            </w:pPr>
            <w:r w:rsidRPr="00CE3172">
              <w:rPr>
                <w:lang w:val="fr-FR"/>
              </w:rPr>
              <w:t>a)</w:t>
            </w:r>
          </w:p>
        </w:tc>
        <w:tc>
          <w:tcPr>
            <w:tcW w:w="262" w:type="pct"/>
          </w:tcPr>
          <w:p w14:paraId="2A571E23" w14:textId="77777777" w:rsidR="008C1458" w:rsidRPr="00CE3172" w:rsidRDefault="008C1458" w:rsidP="00DA07A9">
            <w:pPr>
              <w:spacing w:before="20" w:after="20"/>
              <w:rPr>
                <w:lang w:val="fr-FR"/>
              </w:rPr>
            </w:pPr>
          </w:p>
        </w:tc>
        <w:tc>
          <w:tcPr>
            <w:tcW w:w="2770" w:type="pct"/>
          </w:tcPr>
          <w:p w14:paraId="6B2BFF73" w14:textId="77777777" w:rsidR="008C1458" w:rsidRPr="00CE3172" w:rsidRDefault="008C1458" w:rsidP="00DA07A9">
            <w:pPr>
              <w:spacing w:before="20" w:after="20"/>
              <w:rPr>
                <w:lang w:val="fr-FR"/>
              </w:rPr>
            </w:pPr>
            <w:r w:rsidRPr="00CE3172">
              <w:rPr>
                <w:lang w:val="fr-FR"/>
              </w:rPr>
              <w:t>La procédure de recherche est consignée à des fins internes et les dossiers comprennent les éléments suivants :</w:t>
            </w:r>
          </w:p>
        </w:tc>
        <w:tc>
          <w:tcPr>
            <w:tcW w:w="374" w:type="pct"/>
          </w:tcPr>
          <w:p w14:paraId="11F3DDB6" w14:textId="77777777" w:rsidR="008C1458" w:rsidRPr="00CE3172" w:rsidRDefault="008C1458" w:rsidP="00DA07A9">
            <w:pPr>
              <w:spacing w:before="20" w:after="20"/>
              <w:jc w:val="center"/>
              <w:rPr>
                <w:szCs w:val="22"/>
                <w:lang w:val="fr-FR"/>
              </w:rPr>
            </w:pPr>
          </w:p>
        </w:tc>
        <w:tc>
          <w:tcPr>
            <w:tcW w:w="494" w:type="pct"/>
          </w:tcPr>
          <w:p w14:paraId="538D370E" w14:textId="77777777" w:rsidR="008C1458" w:rsidRPr="00CE3172" w:rsidRDefault="008C1458" w:rsidP="00DA07A9">
            <w:pPr>
              <w:spacing w:before="20" w:after="20"/>
              <w:jc w:val="center"/>
              <w:rPr>
                <w:lang w:val="fr-FR"/>
              </w:rPr>
            </w:pPr>
          </w:p>
        </w:tc>
        <w:tc>
          <w:tcPr>
            <w:tcW w:w="434" w:type="pct"/>
          </w:tcPr>
          <w:p w14:paraId="6B85E6CE" w14:textId="77777777" w:rsidR="008C1458" w:rsidRPr="00CE3172" w:rsidRDefault="008C1458" w:rsidP="00DA07A9">
            <w:pPr>
              <w:spacing w:before="20" w:after="20"/>
              <w:jc w:val="center"/>
              <w:rPr>
                <w:lang w:val="fr-FR"/>
              </w:rPr>
            </w:pPr>
          </w:p>
        </w:tc>
      </w:tr>
      <w:tr w:rsidR="008C1458" w:rsidRPr="00CE3172" w14:paraId="20360529" w14:textId="77777777" w:rsidTr="00C96354">
        <w:trPr>
          <w:cantSplit/>
        </w:trPr>
        <w:tc>
          <w:tcPr>
            <w:tcW w:w="404" w:type="pct"/>
          </w:tcPr>
          <w:p w14:paraId="5B56096B" w14:textId="77777777" w:rsidR="008C1458" w:rsidRPr="00CE3172" w:rsidRDefault="008C1458" w:rsidP="00DA07A9">
            <w:pPr>
              <w:spacing w:before="20" w:after="20"/>
              <w:rPr>
                <w:lang w:val="fr-FR"/>
              </w:rPr>
            </w:pPr>
          </w:p>
        </w:tc>
        <w:tc>
          <w:tcPr>
            <w:tcW w:w="262" w:type="pct"/>
          </w:tcPr>
          <w:p w14:paraId="0EB425D7" w14:textId="77777777" w:rsidR="008C1458" w:rsidRPr="00CE3172" w:rsidRDefault="008C1458" w:rsidP="00DA07A9">
            <w:pPr>
              <w:spacing w:before="20" w:after="20"/>
              <w:rPr>
                <w:lang w:val="fr-FR"/>
              </w:rPr>
            </w:pPr>
          </w:p>
        </w:tc>
        <w:tc>
          <w:tcPr>
            <w:tcW w:w="262" w:type="pct"/>
          </w:tcPr>
          <w:p w14:paraId="301C6606" w14:textId="77777777" w:rsidR="008C1458" w:rsidRPr="00CE3172" w:rsidRDefault="008C1458" w:rsidP="00DA07A9">
            <w:pPr>
              <w:spacing w:before="20" w:after="20"/>
              <w:rPr>
                <w:lang w:val="fr-FR"/>
              </w:rPr>
            </w:pPr>
            <w:r w:rsidRPr="00CE3172">
              <w:rPr>
                <w:lang w:val="fr-FR"/>
              </w:rPr>
              <w:t>i)</w:t>
            </w:r>
          </w:p>
        </w:tc>
        <w:tc>
          <w:tcPr>
            <w:tcW w:w="2770" w:type="pct"/>
          </w:tcPr>
          <w:p w14:paraId="4C82C181" w14:textId="77777777" w:rsidR="008C1458" w:rsidRPr="00CE3172" w:rsidRDefault="008C1458" w:rsidP="00DA07A9">
            <w:pPr>
              <w:spacing w:before="20" w:after="20"/>
              <w:rPr>
                <w:lang w:val="fr-FR"/>
              </w:rPr>
            </w:pPr>
            <w:r w:rsidRPr="00CE3172">
              <w:rPr>
                <w:lang w:val="fr-FR"/>
              </w:rPr>
              <w:t>Enregistrement des bases de données consultées pendant la recherche</w:t>
            </w:r>
          </w:p>
        </w:tc>
        <w:tc>
          <w:tcPr>
            <w:tcW w:w="374" w:type="pct"/>
          </w:tcPr>
          <w:p w14:paraId="4F465D16"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96DEC0F" w14:textId="77777777" w:rsidR="008C1458" w:rsidRPr="00CE3172" w:rsidRDefault="008C1458" w:rsidP="00DA07A9">
            <w:pPr>
              <w:spacing w:before="20" w:after="20"/>
              <w:jc w:val="center"/>
              <w:rPr>
                <w:lang w:val="fr-FR"/>
              </w:rPr>
            </w:pPr>
          </w:p>
        </w:tc>
        <w:tc>
          <w:tcPr>
            <w:tcW w:w="434" w:type="pct"/>
          </w:tcPr>
          <w:p w14:paraId="6905D7D5" w14:textId="77777777" w:rsidR="008C1458" w:rsidRPr="00CE3172" w:rsidRDefault="008C1458" w:rsidP="00DA07A9">
            <w:pPr>
              <w:spacing w:before="20" w:after="20"/>
              <w:jc w:val="center"/>
              <w:rPr>
                <w:lang w:val="fr-FR"/>
              </w:rPr>
            </w:pPr>
          </w:p>
        </w:tc>
      </w:tr>
      <w:tr w:rsidR="008C1458" w:rsidRPr="00CE3172" w14:paraId="4B7A91F9" w14:textId="77777777" w:rsidTr="00C96354">
        <w:trPr>
          <w:cantSplit/>
        </w:trPr>
        <w:tc>
          <w:tcPr>
            <w:tcW w:w="404" w:type="pct"/>
          </w:tcPr>
          <w:p w14:paraId="5370B642" w14:textId="77777777" w:rsidR="008C1458" w:rsidRPr="00CE3172" w:rsidRDefault="008C1458" w:rsidP="00DA07A9">
            <w:pPr>
              <w:spacing w:before="20" w:after="20"/>
              <w:rPr>
                <w:lang w:val="fr-FR"/>
              </w:rPr>
            </w:pPr>
          </w:p>
        </w:tc>
        <w:tc>
          <w:tcPr>
            <w:tcW w:w="262" w:type="pct"/>
          </w:tcPr>
          <w:p w14:paraId="260CDCF1" w14:textId="77777777" w:rsidR="008C1458" w:rsidRPr="00CE3172" w:rsidRDefault="008C1458" w:rsidP="00DA07A9">
            <w:pPr>
              <w:spacing w:before="20" w:after="20"/>
              <w:rPr>
                <w:lang w:val="fr-FR"/>
              </w:rPr>
            </w:pPr>
          </w:p>
        </w:tc>
        <w:tc>
          <w:tcPr>
            <w:tcW w:w="262" w:type="pct"/>
          </w:tcPr>
          <w:p w14:paraId="5684D0A8" w14:textId="77777777" w:rsidR="008C1458" w:rsidRPr="00CE3172" w:rsidRDefault="008C1458" w:rsidP="00DA07A9">
            <w:pPr>
              <w:spacing w:before="20" w:after="20"/>
              <w:rPr>
                <w:lang w:val="fr-FR"/>
              </w:rPr>
            </w:pPr>
            <w:r w:rsidRPr="00CE3172">
              <w:rPr>
                <w:lang w:val="fr-FR"/>
              </w:rPr>
              <w:t>ii)</w:t>
            </w:r>
          </w:p>
        </w:tc>
        <w:tc>
          <w:tcPr>
            <w:tcW w:w="2770" w:type="pct"/>
          </w:tcPr>
          <w:p w14:paraId="4045A555" w14:textId="77777777" w:rsidR="008C1458" w:rsidRPr="00CE3172" w:rsidRDefault="008C1458" w:rsidP="00DA07A9">
            <w:pPr>
              <w:spacing w:before="20" w:after="20"/>
              <w:rPr>
                <w:lang w:val="fr-FR"/>
              </w:rPr>
            </w:pPr>
            <w:r w:rsidRPr="00CE3172">
              <w:rPr>
                <w:lang w:val="fr-FR"/>
              </w:rPr>
              <w:t>Enregistrement des mots clés, combinaisons de mots et troncatures utilisés pendant la recherche</w:t>
            </w:r>
          </w:p>
        </w:tc>
        <w:tc>
          <w:tcPr>
            <w:tcW w:w="374" w:type="pct"/>
          </w:tcPr>
          <w:p w14:paraId="4AE481B9"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B5179DD" w14:textId="77777777" w:rsidR="008C1458" w:rsidRPr="00CE3172" w:rsidRDefault="008C1458" w:rsidP="00DA07A9">
            <w:pPr>
              <w:spacing w:before="20" w:after="20"/>
              <w:jc w:val="center"/>
              <w:rPr>
                <w:lang w:val="fr-FR"/>
              </w:rPr>
            </w:pPr>
          </w:p>
        </w:tc>
        <w:tc>
          <w:tcPr>
            <w:tcW w:w="434" w:type="pct"/>
          </w:tcPr>
          <w:p w14:paraId="3FBCDD17" w14:textId="77777777" w:rsidR="008C1458" w:rsidRPr="00CE3172" w:rsidRDefault="008C1458" w:rsidP="00DA07A9">
            <w:pPr>
              <w:spacing w:before="20" w:after="20"/>
              <w:jc w:val="center"/>
              <w:rPr>
                <w:lang w:val="fr-FR"/>
              </w:rPr>
            </w:pPr>
          </w:p>
        </w:tc>
      </w:tr>
      <w:tr w:rsidR="008C1458" w:rsidRPr="00CE3172" w14:paraId="28CC2F91" w14:textId="77777777" w:rsidTr="00C96354">
        <w:trPr>
          <w:cantSplit/>
        </w:trPr>
        <w:tc>
          <w:tcPr>
            <w:tcW w:w="404" w:type="pct"/>
          </w:tcPr>
          <w:p w14:paraId="383ED666" w14:textId="77777777" w:rsidR="008C1458" w:rsidRPr="00CE3172" w:rsidRDefault="008C1458" w:rsidP="00DA07A9">
            <w:pPr>
              <w:spacing w:before="20" w:after="20"/>
              <w:rPr>
                <w:lang w:val="fr-FR"/>
              </w:rPr>
            </w:pPr>
          </w:p>
        </w:tc>
        <w:tc>
          <w:tcPr>
            <w:tcW w:w="262" w:type="pct"/>
          </w:tcPr>
          <w:p w14:paraId="5DB3D1D5" w14:textId="77777777" w:rsidR="008C1458" w:rsidRPr="00CE3172" w:rsidRDefault="008C1458" w:rsidP="00DA07A9">
            <w:pPr>
              <w:spacing w:before="20" w:after="20"/>
              <w:rPr>
                <w:lang w:val="fr-FR"/>
              </w:rPr>
            </w:pPr>
          </w:p>
        </w:tc>
        <w:tc>
          <w:tcPr>
            <w:tcW w:w="262" w:type="pct"/>
          </w:tcPr>
          <w:p w14:paraId="5685BCDB" w14:textId="77777777" w:rsidR="008C1458" w:rsidRPr="00CE3172" w:rsidRDefault="008C1458" w:rsidP="00DA07A9">
            <w:pPr>
              <w:spacing w:before="20" w:after="20"/>
              <w:rPr>
                <w:lang w:val="fr-FR"/>
              </w:rPr>
            </w:pPr>
            <w:r w:rsidRPr="00CE3172">
              <w:rPr>
                <w:lang w:val="fr-FR"/>
              </w:rPr>
              <w:t>iii)</w:t>
            </w:r>
          </w:p>
        </w:tc>
        <w:tc>
          <w:tcPr>
            <w:tcW w:w="2770" w:type="pct"/>
          </w:tcPr>
          <w:p w14:paraId="63AB0DA6" w14:textId="77777777" w:rsidR="008C1458" w:rsidRPr="00CE3172" w:rsidRDefault="008C1458" w:rsidP="00DA07A9">
            <w:pPr>
              <w:spacing w:before="20" w:after="20"/>
              <w:rPr>
                <w:lang w:val="fr-FR"/>
              </w:rPr>
            </w:pPr>
            <w:r w:rsidRPr="00CE3172">
              <w:rPr>
                <w:lang w:val="fr-FR"/>
              </w:rPr>
              <w:t>Enregistrement des langues utilisées pendant la recherche</w:t>
            </w:r>
          </w:p>
        </w:tc>
        <w:tc>
          <w:tcPr>
            <w:tcW w:w="374" w:type="pct"/>
          </w:tcPr>
          <w:p w14:paraId="34378F51"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281F37C" w14:textId="77777777" w:rsidR="008C1458" w:rsidRPr="00CE3172" w:rsidRDefault="008C1458" w:rsidP="00DA07A9">
            <w:pPr>
              <w:spacing w:before="20" w:after="20"/>
              <w:jc w:val="center"/>
              <w:rPr>
                <w:lang w:val="fr-FR"/>
              </w:rPr>
            </w:pPr>
          </w:p>
        </w:tc>
        <w:tc>
          <w:tcPr>
            <w:tcW w:w="434" w:type="pct"/>
          </w:tcPr>
          <w:p w14:paraId="5E66CCD0" w14:textId="77777777" w:rsidR="008C1458" w:rsidRPr="00CE3172" w:rsidRDefault="008C1458" w:rsidP="00DA07A9">
            <w:pPr>
              <w:spacing w:before="20" w:after="20"/>
              <w:jc w:val="center"/>
              <w:rPr>
                <w:lang w:val="fr-FR"/>
              </w:rPr>
            </w:pPr>
          </w:p>
        </w:tc>
      </w:tr>
      <w:tr w:rsidR="008C1458" w:rsidRPr="00CE3172" w14:paraId="6BA02D5C" w14:textId="77777777" w:rsidTr="00C96354">
        <w:trPr>
          <w:cantSplit/>
        </w:trPr>
        <w:tc>
          <w:tcPr>
            <w:tcW w:w="404" w:type="pct"/>
          </w:tcPr>
          <w:p w14:paraId="3C4985A6" w14:textId="77777777" w:rsidR="008C1458" w:rsidRPr="00CE3172" w:rsidRDefault="008C1458" w:rsidP="00DA07A9">
            <w:pPr>
              <w:spacing w:before="20" w:after="20"/>
              <w:rPr>
                <w:lang w:val="fr-FR"/>
              </w:rPr>
            </w:pPr>
          </w:p>
        </w:tc>
        <w:tc>
          <w:tcPr>
            <w:tcW w:w="262" w:type="pct"/>
          </w:tcPr>
          <w:p w14:paraId="6B98FF14" w14:textId="77777777" w:rsidR="008C1458" w:rsidRPr="00CE3172" w:rsidRDefault="008C1458" w:rsidP="00DA07A9">
            <w:pPr>
              <w:spacing w:before="20" w:after="20"/>
              <w:rPr>
                <w:lang w:val="fr-FR"/>
              </w:rPr>
            </w:pPr>
          </w:p>
        </w:tc>
        <w:tc>
          <w:tcPr>
            <w:tcW w:w="262" w:type="pct"/>
          </w:tcPr>
          <w:p w14:paraId="677E90EF" w14:textId="77777777" w:rsidR="008C1458" w:rsidRPr="00CE3172" w:rsidRDefault="008C1458" w:rsidP="00DA07A9">
            <w:pPr>
              <w:spacing w:before="20" w:after="20"/>
              <w:rPr>
                <w:lang w:val="fr-FR"/>
              </w:rPr>
            </w:pPr>
            <w:r w:rsidRPr="00CE3172">
              <w:rPr>
                <w:lang w:val="fr-FR"/>
              </w:rPr>
              <w:t>iv)</w:t>
            </w:r>
          </w:p>
        </w:tc>
        <w:tc>
          <w:tcPr>
            <w:tcW w:w="2770" w:type="pct"/>
          </w:tcPr>
          <w:p w14:paraId="7D8B0599" w14:textId="77777777" w:rsidR="008C1458" w:rsidRPr="00CE3172" w:rsidRDefault="008C1458" w:rsidP="00DA07A9">
            <w:pPr>
              <w:spacing w:before="20" w:after="20"/>
              <w:rPr>
                <w:lang w:val="fr-FR"/>
              </w:rPr>
            </w:pPr>
            <w:r w:rsidRPr="00CE3172">
              <w:rPr>
                <w:lang w:val="fr-FR"/>
              </w:rPr>
              <w:t>Enregistrement des classes et combinaisons de classes consultées pendant la recherche</w:t>
            </w:r>
          </w:p>
        </w:tc>
        <w:tc>
          <w:tcPr>
            <w:tcW w:w="374" w:type="pct"/>
          </w:tcPr>
          <w:p w14:paraId="5962CA8C"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3E014263" w14:textId="77777777" w:rsidR="008C1458" w:rsidRPr="00CE3172" w:rsidRDefault="008C1458" w:rsidP="00DA07A9">
            <w:pPr>
              <w:spacing w:before="20" w:after="20"/>
              <w:jc w:val="center"/>
              <w:rPr>
                <w:lang w:val="fr-FR"/>
              </w:rPr>
            </w:pPr>
          </w:p>
        </w:tc>
        <w:tc>
          <w:tcPr>
            <w:tcW w:w="434" w:type="pct"/>
          </w:tcPr>
          <w:p w14:paraId="515CAE86" w14:textId="77777777" w:rsidR="008C1458" w:rsidRPr="00CE3172" w:rsidRDefault="008C1458" w:rsidP="00DA07A9">
            <w:pPr>
              <w:spacing w:before="20" w:after="20"/>
              <w:jc w:val="center"/>
              <w:rPr>
                <w:lang w:val="fr-FR"/>
              </w:rPr>
            </w:pPr>
          </w:p>
        </w:tc>
      </w:tr>
      <w:tr w:rsidR="008C1458" w:rsidRPr="00CE3172" w14:paraId="0D07317F" w14:textId="77777777" w:rsidTr="00C96354">
        <w:trPr>
          <w:cantSplit/>
        </w:trPr>
        <w:tc>
          <w:tcPr>
            <w:tcW w:w="404" w:type="pct"/>
          </w:tcPr>
          <w:p w14:paraId="7AF904B9" w14:textId="77777777" w:rsidR="008C1458" w:rsidRPr="00CE3172" w:rsidRDefault="008C1458" w:rsidP="00DA07A9">
            <w:pPr>
              <w:spacing w:before="20" w:after="20"/>
              <w:rPr>
                <w:lang w:val="fr-FR"/>
              </w:rPr>
            </w:pPr>
          </w:p>
        </w:tc>
        <w:tc>
          <w:tcPr>
            <w:tcW w:w="262" w:type="pct"/>
          </w:tcPr>
          <w:p w14:paraId="3E373966" w14:textId="77777777" w:rsidR="008C1458" w:rsidRPr="00CE3172" w:rsidRDefault="008C1458" w:rsidP="00DA07A9">
            <w:pPr>
              <w:spacing w:before="20" w:after="20"/>
              <w:rPr>
                <w:lang w:val="fr-FR"/>
              </w:rPr>
            </w:pPr>
          </w:p>
        </w:tc>
        <w:tc>
          <w:tcPr>
            <w:tcW w:w="262" w:type="pct"/>
          </w:tcPr>
          <w:p w14:paraId="67A1D232" w14:textId="77777777" w:rsidR="008C1458" w:rsidRPr="00CE3172" w:rsidRDefault="008C1458" w:rsidP="00DA07A9">
            <w:pPr>
              <w:spacing w:before="20" w:after="20"/>
              <w:rPr>
                <w:lang w:val="fr-FR"/>
              </w:rPr>
            </w:pPr>
            <w:r w:rsidRPr="00CE3172">
              <w:rPr>
                <w:lang w:val="fr-FR"/>
              </w:rPr>
              <w:t>v)</w:t>
            </w:r>
          </w:p>
        </w:tc>
        <w:tc>
          <w:tcPr>
            <w:tcW w:w="2770" w:type="pct"/>
          </w:tcPr>
          <w:p w14:paraId="4609C7B1" w14:textId="77777777" w:rsidR="008C1458" w:rsidRPr="00CE3172" w:rsidRDefault="008C1458" w:rsidP="00DA07A9">
            <w:pPr>
              <w:spacing w:before="20" w:after="20"/>
              <w:rPr>
                <w:lang w:val="fr-FR"/>
              </w:rPr>
            </w:pPr>
            <w:r w:rsidRPr="00CE3172">
              <w:rPr>
                <w:lang w:val="fr-FR"/>
              </w:rPr>
              <w:t>Enregistrement de la liste de tous les énoncés de recherche utilisés dans les bases de données consultées</w:t>
            </w:r>
          </w:p>
        </w:tc>
        <w:tc>
          <w:tcPr>
            <w:tcW w:w="374" w:type="pct"/>
          </w:tcPr>
          <w:p w14:paraId="003EB0FD"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0188BAB" w14:textId="77777777" w:rsidR="008C1458" w:rsidRPr="00CE3172" w:rsidRDefault="008C1458" w:rsidP="00DA07A9">
            <w:pPr>
              <w:spacing w:before="20" w:after="20"/>
              <w:jc w:val="center"/>
              <w:rPr>
                <w:lang w:val="fr-FR"/>
              </w:rPr>
            </w:pPr>
          </w:p>
        </w:tc>
        <w:tc>
          <w:tcPr>
            <w:tcW w:w="434" w:type="pct"/>
          </w:tcPr>
          <w:p w14:paraId="48B2C39D" w14:textId="77777777" w:rsidR="008C1458" w:rsidRPr="00CE3172" w:rsidRDefault="008C1458" w:rsidP="00DA07A9">
            <w:pPr>
              <w:spacing w:before="20" w:after="20"/>
              <w:jc w:val="center"/>
              <w:rPr>
                <w:lang w:val="fr-FR"/>
              </w:rPr>
            </w:pPr>
          </w:p>
        </w:tc>
      </w:tr>
      <w:tr w:rsidR="008C1458" w:rsidRPr="00CE3172" w14:paraId="6785337C" w14:textId="77777777" w:rsidTr="00C96354">
        <w:trPr>
          <w:cantSplit/>
        </w:trPr>
        <w:tc>
          <w:tcPr>
            <w:tcW w:w="404" w:type="pct"/>
          </w:tcPr>
          <w:p w14:paraId="68028F94" w14:textId="77777777" w:rsidR="008C1458" w:rsidRPr="00CE3172" w:rsidRDefault="008C1458" w:rsidP="00DA07A9">
            <w:pPr>
              <w:spacing w:before="20" w:after="20"/>
              <w:rPr>
                <w:lang w:val="fr-FR"/>
              </w:rPr>
            </w:pPr>
          </w:p>
        </w:tc>
        <w:tc>
          <w:tcPr>
            <w:tcW w:w="262" w:type="pct"/>
          </w:tcPr>
          <w:p w14:paraId="454B14AE" w14:textId="77777777" w:rsidR="008C1458" w:rsidRPr="00CE3172" w:rsidRDefault="008C1458" w:rsidP="00DA07A9">
            <w:pPr>
              <w:spacing w:before="20" w:after="20"/>
              <w:rPr>
                <w:lang w:val="fr-FR"/>
              </w:rPr>
            </w:pPr>
          </w:p>
        </w:tc>
        <w:tc>
          <w:tcPr>
            <w:tcW w:w="262" w:type="pct"/>
          </w:tcPr>
          <w:p w14:paraId="6C6530F9" w14:textId="77777777" w:rsidR="008C1458" w:rsidRPr="00CE3172" w:rsidRDefault="008C1458" w:rsidP="00DA07A9">
            <w:pPr>
              <w:spacing w:before="20" w:after="20"/>
              <w:rPr>
                <w:lang w:val="fr-FR"/>
              </w:rPr>
            </w:pPr>
            <w:r w:rsidRPr="00CE3172">
              <w:rPr>
                <w:lang w:val="fr-FR"/>
              </w:rPr>
              <w:t>vi)</w:t>
            </w:r>
          </w:p>
        </w:tc>
        <w:tc>
          <w:tcPr>
            <w:tcW w:w="2770" w:type="pct"/>
          </w:tcPr>
          <w:p w14:paraId="0114B187" w14:textId="77777777" w:rsidR="008C1458" w:rsidRPr="00CE3172" w:rsidRDefault="008C1458" w:rsidP="00DA07A9">
            <w:pPr>
              <w:spacing w:before="20" w:after="20"/>
              <w:rPr>
                <w:lang w:val="fr-FR"/>
              </w:rPr>
            </w:pPr>
            <w:r w:rsidRPr="00CE3172">
              <w:rPr>
                <w:lang w:val="fr-FR"/>
              </w:rPr>
              <w:t>Dossiers sur d’autres informations intéressant la recherche</w:t>
            </w:r>
          </w:p>
        </w:tc>
        <w:tc>
          <w:tcPr>
            <w:tcW w:w="374" w:type="pct"/>
          </w:tcPr>
          <w:p w14:paraId="11EB3F45"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08E6E887" w14:textId="77777777" w:rsidR="008C1458" w:rsidRPr="00CE3172" w:rsidRDefault="008C1458" w:rsidP="00DA07A9">
            <w:pPr>
              <w:spacing w:before="20" w:after="20"/>
              <w:jc w:val="center"/>
              <w:rPr>
                <w:lang w:val="fr-FR"/>
              </w:rPr>
            </w:pPr>
          </w:p>
        </w:tc>
        <w:tc>
          <w:tcPr>
            <w:tcW w:w="434" w:type="pct"/>
          </w:tcPr>
          <w:p w14:paraId="1D733356" w14:textId="77777777" w:rsidR="008C1458" w:rsidRPr="00CE3172" w:rsidRDefault="008C1458" w:rsidP="00DA07A9">
            <w:pPr>
              <w:spacing w:before="20" w:after="20"/>
              <w:jc w:val="center"/>
              <w:rPr>
                <w:lang w:val="fr-FR"/>
              </w:rPr>
            </w:pPr>
          </w:p>
        </w:tc>
      </w:tr>
      <w:tr w:rsidR="008C1458" w:rsidRPr="00CE3172" w14:paraId="59C2D97D" w14:textId="77777777" w:rsidTr="00C96354">
        <w:trPr>
          <w:cantSplit/>
        </w:trPr>
        <w:tc>
          <w:tcPr>
            <w:tcW w:w="404" w:type="pct"/>
          </w:tcPr>
          <w:p w14:paraId="7C14F7F1" w14:textId="77777777" w:rsidR="008C1458" w:rsidRPr="00CE3172" w:rsidRDefault="008C1458" w:rsidP="00DA07A9">
            <w:pPr>
              <w:spacing w:before="20" w:after="20"/>
              <w:rPr>
                <w:lang w:val="fr-FR"/>
              </w:rPr>
            </w:pPr>
          </w:p>
        </w:tc>
        <w:tc>
          <w:tcPr>
            <w:tcW w:w="262" w:type="pct"/>
          </w:tcPr>
          <w:p w14:paraId="4B78E39E" w14:textId="77777777" w:rsidR="008C1458" w:rsidRPr="00CE3172" w:rsidRDefault="008C1458" w:rsidP="00DA07A9">
            <w:pPr>
              <w:spacing w:before="20" w:after="20"/>
              <w:rPr>
                <w:lang w:val="fr-FR"/>
              </w:rPr>
            </w:pPr>
          </w:p>
        </w:tc>
        <w:tc>
          <w:tcPr>
            <w:tcW w:w="262" w:type="pct"/>
          </w:tcPr>
          <w:p w14:paraId="77C10308" w14:textId="77777777" w:rsidR="008C1458" w:rsidRPr="00CE3172" w:rsidRDefault="008C1458" w:rsidP="00DA07A9">
            <w:pPr>
              <w:spacing w:before="20" w:after="20"/>
              <w:rPr>
                <w:lang w:val="fr-FR"/>
              </w:rPr>
            </w:pPr>
            <w:r w:rsidRPr="00CE3172">
              <w:rPr>
                <w:lang w:val="fr-FR"/>
              </w:rPr>
              <w:t>vii)</w:t>
            </w:r>
          </w:p>
        </w:tc>
        <w:tc>
          <w:tcPr>
            <w:tcW w:w="2770" w:type="pct"/>
          </w:tcPr>
          <w:p w14:paraId="429E338E" w14:textId="77777777" w:rsidR="008C1458" w:rsidRPr="00CE3172" w:rsidRDefault="008C1458" w:rsidP="00DA07A9">
            <w:pPr>
              <w:spacing w:before="20" w:after="20"/>
              <w:rPr>
                <w:lang w:val="fr-FR"/>
              </w:rPr>
            </w:pPr>
            <w:r w:rsidRPr="00CE3172">
              <w:rPr>
                <w:lang w:val="fr-FR"/>
              </w:rPr>
              <w:t>Dossiers sur la limitation de la recherche et sa justification</w:t>
            </w:r>
          </w:p>
        </w:tc>
        <w:tc>
          <w:tcPr>
            <w:tcW w:w="374" w:type="pct"/>
          </w:tcPr>
          <w:p w14:paraId="4A2CACC5"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2EECE7C5" w14:textId="77777777" w:rsidR="008C1458" w:rsidRPr="00CE3172" w:rsidRDefault="008C1458" w:rsidP="00DA07A9">
            <w:pPr>
              <w:spacing w:before="20" w:after="20"/>
              <w:jc w:val="center"/>
              <w:rPr>
                <w:lang w:val="fr-FR"/>
              </w:rPr>
            </w:pPr>
          </w:p>
        </w:tc>
        <w:tc>
          <w:tcPr>
            <w:tcW w:w="434" w:type="pct"/>
          </w:tcPr>
          <w:p w14:paraId="5184411D" w14:textId="77777777" w:rsidR="008C1458" w:rsidRPr="00CE3172" w:rsidRDefault="008C1458" w:rsidP="00DA07A9">
            <w:pPr>
              <w:spacing w:before="20" w:after="20"/>
              <w:jc w:val="center"/>
              <w:rPr>
                <w:lang w:val="fr-FR"/>
              </w:rPr>
            </w:pPr>
          </w:p>
        </w:tc>
      </w:tr>
      <w:tr w:rsidR="008C1458" w:rsidRPr="00CE3172" w14:paraId="51E55E81" w14:textId="77777777" w:rsidTr="00C96354">
        <w:trPr>
          <w:cantSplit/>
        </w:trPr>
        <w:tc>
          <w:tcPr>
            <w:tcW w:w="404" w:type="pct"/>
          </w:tcPr>
          <w:p w14:paraId="231E7617" w14:textId="77777777" w:rsidR="008C1458" w:rsidRPr="00CE3172" w:rsidRDefault="008C1458" w:rsidP="00DA07A9">
            <w:pPr>
              <w:spacing w:before="20" w:after="20"/>
              <w:rPr>
                <w:lang w:val="fr-FR"/>
              </w:rPr>
            </w:pPr>
          </w:p>
        </w:tc>
        <w:tc>
          <w:tcPr>
            <w:tcW w:w="262" w:type="pct"/>
          </w:tcPr>
          <w:p w14:paraId="62A5167D" w14:textId="77777777" w:rsidR="008C1458" w:rsidRPr="00CE3172" w:rsidRDefault="008C1458" w:rsidP="00DA07A9">
            <w:pPr>
              <w:spacing w:before="20" w:after="20"/>
              <w:rPr>
                <w:lang w:val="fr-FR"/>
              </w:rPr>
            </w:pPr>
          </w:p>
        </w:tc>
        <w:tc>
          <w:tcPr>
            <w:tcW w:w="262" w:type="pct"/>
          </w:tcPr>
          <w:p w14:paraId="725C93D9" w14:textId="77777777" w:rsidR="008C1458" w:rsidRPr="00CE3172" w:rsidRDefault="008C1458" w:rsidP="00DA07A9">
            <w:pPr>
              <w:spacing w:before="20" w:after="20"/>
              <w:rPr>
                <w:lang w:val="fr-FR"/>
              </w:rPr>
            </w:pPr>
            <w:r w:rsidRPr="00CE3172">
              <w:rPr>
                <w:lang w:val="fr-FR"/>
              </w:rPr>
              <w:t>viii)</w:t>
            </w:r>
          </w:p>
        </w:tc>
        <w:tc>
          <w:tcPr>
            <w:tcW w:w="2770" w:type="pct"/>
          </w:tcPr>
          <w:p w14:paraId="64A0CEE3" w14:textId="77777777" w:rsidR="008C1458" w:rsidRPr="00CE3172" w:rsidRDefault="008C1458" w:rsidP="00DA07A9">
            <w:pPr>
              <w:spacing w:before="20" w:after="20"/>
              <w:rPr>
                <w:lang w:val="fr-FR"/>
              </w:rPr>
            </w:pPr>
            <w:r w:rsidRPr="00CE3172">
              <w:rPr>
                <w:lang w:val="fr-FR"/>
              </w:rPr>
              <w:t>Dossiers sur le manque de clarté des revendications</w:t>
            </w:r>
          </w:p>
        </w:tc>
        <w:tc>
          <w:tcPr>
            <w:tcW w:w="374" w:type="pct"/>
          </w:tcPr>
          <w:p w14:paraId="082DB941"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5D289D79" w14:textId="77777777" w:rsidR="008C1458" w:rsidRPr="00CE3172" w:rsidRDefault="008C1458" w:rsidP="00DA07A9">
            <w:pPr>
              <w:spacing w:before="20" w:after="20"/>
              <w:jc w:val="center"/>
              <w:rPr>
                <w:lang w:val="fr-FR"/>
              </w:rPr>
            </w:pPr>
          </w:p>
        </w:tc>
        <w:tc>
          <w:tcPr>
            <w:tcW w:w="434" w:type="pct"/>
          </w:tcPr>
          <w:p w14:paraId="7A2E00E6" w14:textId="77777777" w:rsidR="008C1458" w:rsidRPr="00CE3172" w:rsidRDefault="008C1458" w:rsidP="00DA07A9">
            <w:pPr>
              <w:spacing w:before="20" w:after="20"/>
              <w:jc w:val="center"/>
              <w:rPr>
                <w:lang w:val="fr-FR"/>
              </w:rPr>
            </w:pPr>
          </w:p>
        </w:tc>
      </w:tr>
      <w:tr w:rsidR="008C1458" w:rsidRPr="00CE3172" w14:paraId="1A8E4391" w14:textId="77777777" w:rsidTr="00C96354">
        <w:trPr>
          <w:cantSplit/>
        </w:trPr>
        <w:tc>
          <w:tcPr>
            <w:tcW w:w="404" w:type="pct"/>
          </w:tcPr>
          <w:p w14:paraId="67676ABB" w14:textId="77777777" w:rsidR="008C1458" w:rsidRPr="00CE3172" w:rsidRDefault="008C1458" w:rsidP="00DA07A9">
            <w:pPr>
              <w:spacing w:before="20" w:after="20"/>
              <w:rPr>
                <w:lang w:val="fr-FR"/>
              </w:rPr>
            </w:pPr>
          </w:p>
        </w:tc>
        <w:tc>
          <w:tcPr>
            <w:tcW w:w="262" w:type="pct"/>
          </w:tcPr>
          <w:p w14:paraId="0576690B" w14:textId="77777777" w:rsidR="008C1458" w:rsidRPr="00CE3172" w:rsidRDefault="008C1458" w:rsidP="00DA07A9">
            <w:pPr>
              <w:spacing w:before="20" w:after="20"/>
              <w:rPr>
                <w:lang w:val="fr-FR"/>
              </w:rPr>
            </w:pPr>
          </w:p>
        </w:tc>
        <w:tc>
          <w:tcPr>
            <w:tcW w:w="262" w:type="pct"/>
          </w:tcPr>
          <w:p w14:paraId="2AA88E0F" w14:textId="77777777" w:rsidR="008C1458" w:rsidRPr="00CE3172" w:rsidRDefault="008C1458" w:rsidP="00DA07A9">
            <w:pPr>
              <w:spacing w:before="20" w:after="20"/>
              <w:rPr>
                <w:lang w:val="fr-FR"/>
              </w:rPr>
            </w:pPr>
            <w:r w:rsidRPr="00CE3172">
              <w:rPr>
                <w:lang w:val="fr-FR"/>
              </w:rPr>
              <w:t>ix)</w:t>
            </w:r>
          </w:p>
        </w:tc>
        <w:tc>
          <w:tcPr>
            <w:tcW w:w="2770" w:type="pct"/>
          </w:tcPr>
          <w:p w14:paraId="1F5E9EBB" w14:textId="77777777" w:rsidR="008C1458" w:rsidRPr="00CE3172" w:rsidRDefault="008C1458" w:rsidP="00DA07A9">
            <w:pPr>
              <w:spacing w:before="20" w:after="20"/>
              <w:rPr>
                <w:lang w:val="fr-FR"/>
              </w:rPr>
            </w:pPr>
            <w:r w:rsidRPr="00CE3172">
              <w:rPr>
                <w:lang w:val="fr-FR"/>
              </w:rPr>
              <w:t>Dossiers sur le manque d’unité</w:t>
            </w:r>
          </w:p>
        </w:tc>
        <w:tc>
          <w:tcPr>
            <w:tcW w:w="374" w:type="pct"/>
          </w:tcPr>
          <w:p w14:paraId="0BFC3824"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6026623" w14:textId="77777777" w:rsidR="008C1458" w:rsidRPr="00CE3172" w:rsidRDefault="008C1458" w:rsidP="00DA07A9">
            <w:pPr>
              <w:spacing w:before="20" w:after="20"/>
              <w:jc w:val="center"/>
              <w:rPr>
                <w:lang w:val="fr-FR"/>
              </w:rPr>
            </w:pPr>
          </w:p>
        </w:tc>
        <w:tc>
          <w:tcPr>
            <w:tcW w:w="434" w:type="pct"/>
          </w:tcPr>
          <w:p w14:paraId="05153B3D" w14:textId="77777777" w:rsidR="008C1458" w:rsidRPr="00CE3172" w:rsidRDefault="008C1458" w:rsidP="00DA07A9">
            <w:pPr>
              <w:spacing w:before="20" w:after="20"/>
              <w:jc w:val="center"/>
              <w:rPr>
                <w:lang w:val="fr-FR"/>
              </w:rPr>
            </w:pPr>
          </w:p>
        </w:tc>
      </w:tr>
      <w:tr w:rsidR="008C1458" w:rsidRPr="00CE3172" w14:paraId="1889C299" w14:textId="77777777" w:rsidTr="00C96354">
        <w:trPr>
          <w:cantSplit/>
        </w:trPr>
        <w:tc>
          <w:tcPr>
            <w:tcW w:w="404" w:type="pct"/>
          </w:tcPr>
          <w:p w14:paraId="5EC2D230" w14:textId="77777777" w:rsidR="008C1458" w:rsidRPr="00CE3172" w:rsidRDefault="008C1458" w:rsidP="00DA07A9">
            <w:pPr>
              <w:spacing w:before="20" w:after="20"/>
              <w:rPr>
                <w:lang w:val="fr-FR"/>
              </w:rPr>
            </w:pPr>
            <w:r w:rsidRPr="00CE3172">
              <w:rPr>
                <w:lang w:val="fr-FR"/>
              </w:rPr>
              <w:t>21.22</w:t>
            </w:r>
          </w:p>
        </w:tc>
        <w:tc>
          <w:tcPr>
            <w:tcW w:w="262" w:type="pct"/>
          </w:tcPr>
          <w:p w14:paraId="73066456" w14:textId="77777777" w:rsidR="008C1458" w:rsidRPr="00CE3172" w:rsidRDefault="008C1458" w:rsidP="00DA07A9">
            <w:pPr>
              <w:spacing w:before="20" w:after="20"/>
              <w:rPr>
                <w:lang w:val="fr-FR"/>
              </w:rPr>
            </w:pPr>
          </w:p>
        </w:tc>
        <w:tc>
          <w:tcPr>
            <w:tcW w:w="262" w:type="pct"/>
          </w:tcPr>
          <w:p w14:paraId="57441C78" w14:textId="77777777" w:rsidR="008C1458" w:rsidRPr="00CE3172" w:rsidRDefault="008C1458" w:rsidP="00DA07A9">
            <w:pPr>
              <w:spacing w:before="20" w:after="20"/>
              <w:rPr>
                <w:lang w:val="fr-FR"/>
              </w:rPr>
            </w:pPr>
          </w:p>
        </w:tc>
        <w:tc>
          <w:tcPr>
            <w:tcW w:w="2770" w:type="pct"/>
          </w:tcPr>
          <w:p w14:paraId="6B0510B7" w14:textId="77777777" w:rsidR="008C1458" w:rsidRPr="00CE3172" w:rsidRDefault="008C1458" w:rsidP="00DA07A9">
            <w:pPr>
              <w:spacing w:before="20" w:after="20"/>
              <w:rPr>
                <w:lang w:val="fr-FR"/>
              </w:rPr>
            </w:pPr>
            <w:r w:rsidRPr="00CE3172">
              <w:rPr>
                <w:lang w:val="fr-FR"/>
              </w:rPr>
              <w:t>Rapport sur ses propres procédures d’évaluation internes</w:t>
            </w:r>
          </w:p>
        </w:tc>
        <w:tc>
          <w:tcPr>
            <w:tcW w:w="374" w:type="pct"/>
          </w:tcPr>
          <w:p w14:paraId="3C5F369D"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2BBF01B9" w14:textId="77777777" w:rsidR="008C1458" w:rsidRPr="00CE3172" w:rsidRDefault="008C1458" w:rsidP="00DA07A9">
            <w:pPr>
              <w:spacing w:before="20" w:after="20"/>
              <w:jc w:val="center"/>
              <w:rPr>
                <w:lang w:val="fr-FR"/>
              </w:rPr>
            </w:pPr>
          </w:p>
        </w:tc>
        <w:tc>
          <w:tcPr>
            <w:tcW w:w="434" w:type="pct"/>
          </w:tcPr>
          <w:p w14:paraId="59B1E422" w14:textId="77777777" w:rsidR="008C1458" w:rsidRPr="00CE3172" w:rsidRDefault="008C1458" w:rsidP="00DA07A9">
            <w:pPr>
              <w:spacing w:before="20" w:after="20"/>
              <w:jc w:val="center"/>
              <w:rPr>
                <w:lang w:val="fr-FR"/>
              </w:rPr>
            </w:pPr>
          </w:p>
        </w:tc>
      </w:tr>
      <w:tr w:rsidR="008C1458" w:rsidRPr="00CE3172" w14:paraId="32DB156D" w14:textId="77777777" w:rsidTr="00C96354">
        <w:trPr>
          <w:cantSplit/>
        </w:trPr>
        <w:tc>
          <w:tcPr>
            <w:tcW w:w="404" w:type="pct"/>
          </w:tcPr>
          <w:p w14:paraId="77FB1DAD" w14:textId="3F7E71A0" w:rsidR="008C1458" w:rsidRPr="00CE3172" w:rsidRDefault="008C1458" w:rsidP="00DA07A9">
            <w:pPr>
              <w:spacing w:before="20" w:after="20"/>
              <w:rPr>
                <w:lang w:val="fr-FR"/>
              </w:rPr>
            </w:pPr>
            <w:r w:rsidRPr="00CE3172">
              <w:rPr>
                <w:lang w:val="fr-FR"/>
              </w:rPr>
              <w:t>21.23</w:t>
            </w:r>
            <w:r w:rsidR="00BC3CD7">
              <w:rPr>
                <w:lang w:val="fr-FR"/>
              </w:rPr>
              <w:noBreakHyphen/>
            </w:r>
            <w:r w:rsidRPr="00CE3172">
              <w:rPr>
                <w:lang w:val="fr-FR"/>
              </w:rPr>
              <w:t>21.25</w:t>
            </w:r>
          </w:p>
        </w:tc>
        <w:tc>
          <w:tcPr>
            <w:tcW w:w="262" w:type="pct"/>
          </w:tcPr>
          <w:p w14:paraId="77AE7B97" w14:textId="77777777" w:rsidR="008C1458" w:rsidRPr="00CE3172" w:rsidRDefault="008C1458" w:rsidP="00DA07A9">
            <w:pPr>
              <w:spacing w:before="20" w:after="20"/>
              <w:rPr>
                <w:lang w:val="fr-FR"/>
              </w:rPr>
            </w:pPr>
          </w:p>
        </w:tc>
        <w:tc>
          <w:tcPr>
            <w:tcW w:w="262" w:type="pct"/>
          </w:tcPr>
          <w:p w14:paraId="7BC858E5" w14:textId="77777777" w:rsidR="008C1458" w:rsidRPr="00CE3172" w:rsidRDefault="008C1458" w:rsidP="00DA07A9">
            <w:pPr>
              <w:spacing w:before="20" w:after="20"/>
              <w:rPr>
                <w:lang w:val="fr-FR"/>
              </w:rPr>
            </w:pPr>
          </w:p>
        </w:tc>
        <w:tc>
          <w:tcPr>
            <w:tcW w:w="2770" w:type="pct"/>
          </w:tcPr>
          <w:p w14:paraId="500751EF" w14:textId="77777777" w:rsidR="008C1458" w:rsidRPr="00CE3172" w:rsidRDefault="008C1458" w:rsidP="00DA07A9">
            <w:pPr>
              <w:spacing w:before="20" w:after="20"/>
              <w:rPr>
                <w:lang w:val="fr-FR"/>
              </w:rPr>
            </w:pPr>
            <w:r w:rsidRPr="00CE3172">
              <w:rPr>
                <w:lang w:val="fr-FR"/>
              </w:rPr>
              <w:t>Informations additionnelles sur d’autres apports à ses évaluations internes</w:t>
            </w:r>
          </w:p>
        </w:tc>
        <w:tc>
          <w:tcPr>
            <w:tcW w:w="374" w:type="pct"/>
          </w:tcPr>
          <w:p w14:paraId="43DF2AB2"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6375C594" w14:textId="77777777" w:rsidR="008C1458" w:rsidRPr="00CE3172" w:rsidRDefault="008C1458" w:rsidP="00DA07A9">
            <w:pPr>
              <w:spacing w:before="20" w:after="20"/>
              <w:jc w:val="center"/>
              <w:rPr>
                <w:lang w:val="fr-FR"/>
              </w:rPr>
            </w:pPr>
          </w:p>
        </w:tc>
        <w:tc>
          <w:tcPr>
            <w:tcW w:w="434" w:type="pct"/>
          </w:tcPr>
          <w:p w14:paraId="3829B394" w14:textId="77777777" w:rsidR="008C1458" w:rsidRPr="00CE3172" w:rsidRDefault="008C1458" w:rsidP="00DA07A9">
            <w:pPr>
              <w:spacing w:before="20" w:after="20"/>
              <w:jc w:val="center"/>
              <w:rPr>
                <w:lang w:val="fr-FR"/>
              </w:rPr>
            </w:pPr>
          </w:p>
        </w:tc>
      </w:tr>
      <w:tr w:rsidR="008C1458" w:rsidRPr="00CE3172" w14:paraId="400A6B95" w14:textId="77777777" w:rsidTr="00C96354">
        <w:trPr>
          <w:cantSplit/>
        </w:trPr>
        <w:tc>
          <w:tcPr>
            <w:tcW w:w="404" w:type="pct"/>
          </w:tcPr>
          <w:p w14:paraId="19D1B637" w14:textId="77777777" w:rsidR="008C1458" w:rsidRPr="00CE3172" w:rsidRDefault="008C1458" w:rsidP="00DA07A9">
            <w:pPr>
              <w:spacing w:before="20" w:after="20"/>
              <w:rPr>
                <w:lang w:val="fr-FR"/>
              </w:rPr>
            </w:pPr>
            <w:r w:rsidRPr="00CE3172">
              <w:rPr>
                <w:lang w:val="fr-FR"/>
              </w:rPr>
              <w:t>21.26</w:t>
            </w:r>
          </w:p>
        </w:tc>
        <w:tc>
          <w:tcPr>
            <w:tcW w:w="262" w:type="pct"/>
          </w:tcPr>
          <w:p w14:paraId="1D4817A0" w14:textId="77777777" w:rsidR="008C1458" w:rsidRPr="00CE3172" w:rsidRDefault="008C1458" w:rsidP="00DA07A9">
            <w:pPr>
              <w:spacing w:before="20" w:after="20"/>
              <w:rPr>
                <w:lang w:val="fr-FR"/>
              </w:rPr>
            </w:pPr>
          </w:p>
        </w:tc>
        <w:tc>
          <w:tcPr>
            <w:tcW w:w="262" w:type="pct"/>
          </w:tcPr>
          <w:p w14:paraId="71BF1F14" w14:textId="77777777" w:rsidR="008C1458" w:rsidRPr="00CE3172" w:rsidRDefault="008C1458" w:rsidP="00DA07A9">
            <w:pPr>
              <w:spacing w:before="20" w:after="20"/>
              <w:rPr>
                <w:lang w:val="fr-FR"/>
              </w:rPr>
            </w:pPr>
          </w:p>
        </w:tc>
        <w:tc>
          <w:tcPr>
            <w:tcW w:w="2770" w:type="pct"/>
          </w:tcPr>
          <w:p w14:paraId="4C1826D2" w14:textId="77777777" w:rsidR="008C1458" w:rsidRPr="00CE3172" w:rsidRDefault="008C1458" w:rsidP="00DA07A9">
            <w:pPr>
              <w:spacing w:before="20" w:after="20"/>
              <w:rPr>
                <w:lang w:val="fr-FR"/>
              </w:rPr>
            </w:pPr>
            <w:r w:rsidRPr="00CE3172">
              <w:rPr>
                <w:lang w:val="fr-FR"/>
              </w:rPr>
              <w:t>Rapport initial préconisé par le paragraphe 21.26</w:t>
            </w:r>
          </w:p>
        </w:tc>
        <w:tc>
          <w:tcPr>
            <w:tcW w:w="374" w:type="pct"/>
          </w:tcPr>
          <w:p w14:paraId="559616FC" w14:textId="77777777" w:rsidR="008C1458" w:rsidRPr="00CE3172" w:rsidRDefault="008C1458" w:rsidP="00DA07A9">
            <w:pPr>
              <w:spacing w:before="20" w:after="20"/>
              <w:jc w:val="center"/>
              <w:rPr>
                <w:lang w:val="fr-FR"/>
              </w:rPr>
            </w:pPr>
            <w:r w:rsidRPr="00CE3172">
              <w:rPr>
                <w:szCs w:val="22"/>
                <w:lang w:val="fr-FR"/>
              </w:rPr>
              <w:sym w:font="Wingdings" w:char="F0FC"/>
            </w:r>
          </w:p>
        </w:tc>
        <w:tc>
          <w:tcPr>
            <w:tcW w:w="494" w:type="pct"/>
          </w:tcPr>
          <w:p w14:paraId="79FCB36F" w14:textId="77777777" w:rsidR="008C1458" w:rsidRPr="00CE3172" w:rsidRDefault="008C1458" w:rsidP="00DA07A9">
            <w:pPr>
              <w:spacing w:before="20" w:after="20"/>
              <w:jc w:val="center"/>
              <w:rPr>
                <w:lang w:val="fr-FR"/>
              </w:rPr>
            </w:pPr>
          </w:p>
        </w:tc>
        <w:tc>
          <w:tcPr>
            <w:tcW w:w="434" w:type="pct"/>
          </w:tcPr>
          <w:p w14:paraId="6E7CAD1F" w14:textId="77777777" w:rsidR="008C1458" w:rsidRPr="00CE3172" w:rsidRDefault="008C1458" w:rsidP="00DA07A9">
            <w:pPr>
              <w:spacing w:before="20" w:after="20"/>
              <w:jc w:val="center"/>
              <w:rPr>
                <w:lang w:val="fr-FR"/>
              </w:rPr>
            </w:pPr>
          </w:p>
        </w:tc>
      </w:tr>
    </w:tbl>
    <w:p w14:paraId="6ACE0D91" w14:textId="77777777" w:rsidR="008C1458" w:rsidRPr="00CE3172" w:rsidRDefault="008C1458" w:rsidP="00DA07A9"/>
    <w:p w14:paraId="7DEB56BA" w14:textId="77777777" w:rsidR="008C1458" w:rsidRPr="00CE3172" w:rsidRDefault="008C1458" w:rsidP="00DA07A9"/>
    <w:p w14:paraId="486B22B8" w14:textId="77777777" w:rsidR="008C1458" w:rsidRPr="00CE3172" w:rsidRDefault="008C1458" w:rsidP="00DA07A9">
      <w:pPr>
        <w:pStyle w:val="Guidance"/>
        <w:spacing w:line="240" w:lineRule="auto"/>
      </w:pPr>
      <w:r w:rsidRPr="00CE3172">
        <w:t>21.06</w:t>
      </w:r>
      <w:r w:rsidRPr="00CE3172">
        <w:tab/>
        <w:t>Indiquer en rapport avec l’organigramme les organes et mécanismes qu’utilise la direction pour garantir :</w:t>
      </w:r>
    </w:p>
    <w:p w14:paraId="511FBE24" w14:textId="77777777" w:rsidR="008C1458" w:rsidRPr="00CE3172" w:rsidRDefault="008C1458" w:rsidP="00DA07A9">
      <w:pPr>
        <w:pStyle w:val="Guidance"/>
        <w:spacing w:line="240" w:lineRule="auto"/>
      </w:pPr>
      <w:r w:rsidRPr="00CE3172">
        <w:tab/>
        <w:t>a)</w:t>
      </w:r>
      <w:r w:rsidRPr="00CE3172">
        <w:tab/>
        <w:t>l’efficacité du système de gestion de la qualité;  et</w:t>
      </w:r>
    </w:p>
    <w:p w14:paraId="49CE47FD" w14:textId="77777777" w:rsidR="008C1458" w:rsidRPr="00CE3172" w:rsidRDefault="008C1458" w:rsidP="00DA07A9">
      <w:pPr>
        <w:pStyle w:val="Guidance"/>
        <w:spacing w:line="240" w:lineRule="auto"/>
      </w:pPr>
      <w:r w:rsidRPr="00CE3172">
        <w:tab/>
        <w:t>b)</w:t>
      </w:r>
      <w:r w:rsidRPr="00CE3172">
        <w:tab/>
        <w:t>que la procédure d’amélioration continue progresse.</w:t>
      </w:r>
    </w:p>
    <w:p w14:paraId="09AC97BF" w14:textId="730B04B7" w:rsidR="008C1458" w:rsidRPr="00CE3172" w:rsidRDefault="008C1458" w:rsidP="00DA07A9">
      <w:pPr>
        <w:pStyle w:val="ONUMFS"/>
        <w:numPr>
          <w:ilvl w:val="0"/>
          <w:numId w:val="0"/>
        </w:numPr>
        <w:rPr>
          <w:lang w:val="fr-FR"/>
        </w:rPr>
      </w:pPr>
      <w:r w:rsidRPr="00CE3172">
        <w:rPr>
          <w:lang w:val="fr-FR"/>
        </w:rPr>
        <w:t>Selon le schéma 1, les équipes de direction s’acquittent des tâches ci</w:t>
      </w:r>
      <w:r w:rsidR="00BC3CD7">
        <w:rPr>
          <w:lang w:val="fr-FR"/>
        </w:rPr>
        <w:noBreakHyphen/>
      </w:r>
      <w:r w:rsidRPr="00CE3172">
        <w:rPr>
          <w:lang w:val="fr-FR"/>
        </w:rPr>
        <w:t>après afin de garantir l’efficacité du système de gestion de la qualité et du processus tendant à apporter des améliorations constantes :</w:t>
      </w:r>
    </w:p>
    <w:p w14:paraId="3D461DE7" w14:textId="4D12D4C2" w:rsidR="008C1458" w:rsidRPr="00CE3172" w:rsidRDefault="008C1458" w:rsidP="00DA07A9">
      <w:pPr>
        <w:pStyle w:val="ONUMFS"/>
        <w:numPr>
          <w:ilvl w:val="0"/>
          <w:numId w:val="0"/>
        </w:numPr>
        <w:rPr>
          <w:lang w:val="fr-FR"/>
        </w:rPr>
      </w:pPr>
      <w:r w:rsidRPr="00CE3172">
        <w:rPr>
          <w:lang w:val="fr-FR"/>
        </w:rPr>
        <w:t>Le représentant pour la gestion de la qualité (QMR) veille à ce que l’IPOPHL respecte le système de gestion de la qualité existant et repère les domaines à améliorer.  Il veille également à ce que les besoins des clients soient satisfaits dans le cadre des processus essentiels et des processus d’appui pertinents du système de gestion de la qualité de l’</w:t>
      </w:r>
      <w:r w:rsidR="00BB28AA" w:rsidRPr="00CE3172">
        <w:rPr>
          <w:lang w:val="fr-FR"/>
        </w:rPr>
        <w:t>office</w:t>
      </w:r>
      <w:r w:rsidRPr="00CE3172">
        <w:rPr>
          <w:lang w:val="fr-FR"/>
        </w:rPr>
        <w:t xml:space="preserve">.  Le représentant rend </w:t>
      </w:r>
      <w:r w:rsidR="00DA07A9">
        <w:rPr>
          <w:lang w:val="fr-FR"/>
        </w:rPr>
        <w:t>compte</w:t>
      </w:r>
      <w:r w:rsidRPr="00CE3172">
        <w:rPr>
          <w:lang w:val="fr-FR"/>
        </w:rPr>
        <w:t xml:space="preserve"> au directeur général.</w:t>
      </w:r>
    </w:p>
    <w:p w14:paraId="45F60481" w14:textId="457A835C" w:rsidR="008C1458" w:rsidRPr="00CE3172" w:rsidRDefault="008C1458" w:rsidP="00DA07A9">
      <w:pPr>
        <w:pStyle w:val="ONUMFS"/>
        <w:numPr>
          <w:ilvl w:val="0"/>
          <w:numId w:val="0"/>
        </w:numPr>
        <w:rPr>
          <w:lang w:val="fr-FR"/>
        </w:rPr>
      </w:pPr>
      <w:r w:rsidRPr="00CE3172">
        <w:rPr>
          <w:lang w:val="fr-FR"/>
        </w:rPr>
        <w:t xml:space="preserve">L’équipe chargée de l’audit qualité interne (IQA Team) réalise un audit deux fois par an (audit effectif et vérification) et communique </w:t>
      </w:r>
      <w:r w:rsidR="00DA07A9">
        <w:rPr>
          <w:lang w:val="fr-FR"/>
        </w:rPr>
        <w:t>ses</w:t>
      </w:r>
      <w:r w:rsidRPr="00CE3172">
        <w:rPr>
          <w:lang w:val="fr-FR"/>
        </w:rPr>
        <w:t xml:space="preserve"> conclusions à la haute direction de l’IPOPHL lors de l’évaluation de gestion.  Les conclusions de l’audit présentent les cas de conformité et de non</w:t>
      </w:r>
      <w:r w:rsidR="00BC3CD7">
        <w:rPr>
          <w:lang w:val="fr-FR"/>
        </w:rPr>
        <w:noBreakHyphen/>
      </w:r>
      <w:r w:rsidRPr="00CE3172">
        <w:rPr>
          <w:lang w:val="fr-FR"/>
        </w:rPr>
        <w:t xml:space="preserve">conformité recensés lors de l’audit, une analyse des causes ainsi que des mesures correctrices et préventives, avec mention des dates des phases de conclusion et de suivi de l’audit.  L’équipe chargée de l’audit qualité interne rend </w:t>
      </w:r>
      <w:r w:rsidR="00DA07A9">
        <w:rPr>
          <w:lang w:val="fr-FR"/>
        </w:rPr>
        <w:t>compte</w:t>
      </w:r>
      <w:r w:rsidRPr="00CE3172">
        <w:rPr>
          <w:lang w:val="fr-FR"/>
        </w:rPr>
        <w:t xml:space="preserve"> au représentant pour la gestion de la qualité.</w:t>
      </w:r>
    </w:p>
    <w:p w14:paraId="0A179DB0" w14:textId="50C580E3" w:rsidR="008C1458" w:rsidRPr="00CE3172" w:rsidRDefault="008C1458" w:rsidP="00DA07A9">
      <w:pPr>
        <w:pStyle w:val="ONUMFS"/>
        <w:numPr>
          <w:ilvl w:val="0"/>
          <w:numId w:val="0"/>
        </w:numPr>
        <w:rPr>
          <w:lang w:val="fr-FR"/>
        </w:rPr>
      </w:pPr>
      <w:r w:rsidRPr="00CE3172">
        <w:rPr>
          <w:lang w:val="fr-FR"/>
        </w:rPr>
        <w:lastRenderedPageBreak/>
        <w:t>La division de gestion de la qualité (QMD) met en œuvre le système de contrôle de la qualité des brevets au sein du Bureau des brevets et en évalue l’efficacité.  Elle évalue le système tous les six</w:t>
      </w:r>
      <w:r w:rsidR="00CF31F7">
        <w:rPr>
          <w:lang w:val="fr-FR"/>
        </w:rPr>
        <w:t xml:space="preserve"> (6)</w:t>
      </w:r>
      <w:r w:rsidRPr="00CE3172">
        <w:rPr>
          <w:lang w:val="fr-FR"/>
        </w:rPr>
        <w:t xml:space="preserve"> mois, compte tenu des résultats de l’évaluation de la qualité des travaux de recherche et d’examen, des questions concernant l’examen et la procédure d’évaluation de la qualité, ainsi que des commentaires ou des propositions formulés par les déposants ou les examinateurs.  Après l’évaluation, la division de gestion de la qualité adresse des recommandations au comité de gestion de la qualité (QMC), pour examen, concernant des mesures correctrices et préventives et des modifications à apporter aux normes ou aux politiques relatives au système de contrôle de la qualité des brevets.  Le chef de la division de gestion de la qualité rend </w:t>
      </w:r>
      <w:r w:rsidR="00DA07A9">
        <w:rPr>
          <w:lang w:val="fr-FR"/>
        </w:rPr>
        <w:t>compte</w:t>
      </w:r>
      <w:r w:rsidRPr="00CE3172">
        <w:rPr>
          <w:lang w:val="fr-FR"/>
        </w:rPr>
        <w:t xml:space="preserve"> au directeur du Bureau.</w:t>
      </w:r>
    </w:p>
    <w:p w14:paraId="47090DBA" w14:textId="2BAA4AA0" w:rsidR="008C1458" w:rsidRPr="00CE3172" w:rsidRDefault="008C1458" w:rsidP="00DA07A9">
      <w:pPr>
        <w:pStyle w:val="ONUMFS"/>
        <w:numPr>
          <w:ilvl w:val="0"/>
          <w:numId w:val="0"/>
        </w:numPr>
        <w:rPr>
          <w:lang w:val="fr-FR"/>
        </w:rPr>
      </w:pPr>
      <w:r w:rsidRPr="00CE3172">
        <w:rPr>
          <w:lang w:val="fr-FR"/>
        </w:rPr>
        <w:t>En outre, des audits externes sont réalisés tous les trois</w:t>
      </w:r>
      <w:r w:rsidR="00CF31F7">
        <w:rPr>
          <w:lang w:val="fr-FR"/>
        </w:rPr>
        <w:t xml:space="preserve"> (3)</w:t>
      </w:r>
      <w:r w:rsidRPr="00CE3172">
        <w:rPr>
          <w:lang w:val="fr-FR"/>
        </w:rPr>
        <w:t> ans pour vérifier que l’IPOPHL respecte la norme ISO 9001, mais des audits de surveillance sont également menés sur une base annuelle.</w:t>
      </w:r>
    </w:p>
    <w:p w14:paraId="41607987" w14:textId="77777777" w:rsidR="008C1458" w:rsidRPr="00CE3172" w:rsidRDefault="008C1458" w:rsidP="00DA07A9">
      <w:pPr>
        <w:pStyle w:val="Guidance"/>
        <w:spacing w:line="240" w:lineRule="auto"/>
      </w:pPr>
      <w:r w:rsidRPr="00CE3172">
        <w:t>21.07</w:t>
      </w:r>
      <w:r w:rsidRPr="00CE3172">
        <w:tab/>
        <w:t>Indiquer comment la direction de l’administration communique à son personnel l’importance que revêt l’observation des exigences découlant des traités et des instruments réglementaires, y compris :</w:t>
      </w:r>
    </w:p>
    <w:p w14:paraId="2D230B88" w14:textId="77777777" w:rsidR="008C1458" w:rsidRPr="00CE3172" w:rsidRDefault="008C1458" w:rsidP="00DA07A9">
      <w:pPr>
        <w:pStyle w:val="Guidance"/>
        <w:spacing w:line="240" w:lineRule="auto"/>
      </w:pPr>
      <w:r w:rsidRPr="00CE3172">
        <w:tab/>
        <w:t>a)</w:t>
      </w:r>
      <w:r w:rsidRPr="00CE3172">
        <w:tab/>
        <w:t>celles qui découlent de la présente norme;  et</w:t>
      </w:r>
    </w:p>
    <w:p w14:paraId="347E31EE" w14:textId="77777777" w:rsidR="008C1458" w:rsidRPr="00CE3172" w:rsidRDefault="008C1458" w:rsidP="00DA07A9">
      <w:pPr>
        <w:pStyle w:val="Guidance"/>
        <w:spacing w:line="240" w:lineRule="auto"/>
      </w:pPr>
      <w:r w:rsidRPr="00CE3172">
        <w:tab/>
        <w:t>b)</w:t>
      </w:r>
      <w:r w:rsidRPr="00CE3172">
        <w:tab/>
        <w:t>celles qui respectent le système de gestion de la qualité de l’administration.</w:t>
      </w:r>
    </w:p>
    <w:p w14:paraId="684E42E9" w14:textId="014B8F22" w:rsidR="008C1458" w:rsidRPr="00CE3172" w:rsidRDefault="008C1458" w:rsidP="00DA07A9">
      <w:pPr>
        <w:pStyle w:val="ONUMFS"/>
        <w:numPr>
          <w:ilvl w:val="0"/>
          <w:numId w:val="0"/>
        </w:numPr>
        <w:rPr>
          <w:lang w:val="fr-FR"/>
        </w:rPr>
      </w:pPr>
      <w:r w:rsidRPr="00CE3172">
        <w:rPr>
          <w:lang w:val="fr-FR"/>
        </w:rPr>
        <w:t>L’un des objectifs stratégiques de l’IPOPHL est d’assurer la délivrance de brevets de qualité sans délai.  L’</w:t>
      </w:r>
      <w:r w:rsidR="00BB28AA" w:rsidRPr="00CE3172">
        <w:rPr>
          <w:lang w:val="fr-FR"/>
        </w:rPr>
        <w:t>office</w:t>
      </w:r>
      <w:r w:rsidRPr="00CE3172">
        <w:rPr>
          <w:lang w:val="fr-FR"/>
        </w:rPr>
        <w:t xml:space="preserve"> utilise plusieurs méthodes pour faire comprendre l’importance de respecter les exigences découlant des traités et des instruments réglementaires.</w:t>
      </w:r>
    </w:p>
    <w:p w14:paraId="1D69E17A" w14:textId="1D8CA0A4" w:rsidR="008C1458" w:rsidRPr="00CE3172" w:rsidRDefault="008C1458" w:rsidP="00DA07A9">
      <w:pPr>
        <w:pStyle w:val="ONUMFS"/>
        <w:numPr>
          <w:ilvl w:val="0"/>
          <w:numId w:val="0"/>
        </w:numPr>
        <w:rPr>
          <w:lang w:val="fr-FR"/>
        </w:rPr>
      </w:pPr>
      <w:r w:rsidRPr="00CE3172">
        <w:rPr>
          <w:lang w:val="fr-FR"/>
        </w:rPr>
        <w:t>Dans le cadre du processus relatif au système de gestion de la qualité, l’IPOPHL rend compte de l’</w:t>
      </w:r>
      <w:r w:rsidR="00DA07A9">
        <w:rPr>
          <w:lang w:val="fr-FR"/>
        </w:rPr>
        <w:t>intérêt</w:t>
      </w:r>
      <w:r w:rsidRPr="00CE3172">
        <w:rPr>
          <w:lang w:val="fr-FR"/>
        </w:rPr>
        <w:t xml:space="preserve"> qu’il y a à respecter les exigences du système de gestion de la qualité et de son importance à travers l’équipe chargée de l’audit qualité interne qui réalise des audits effectifs et des audits de vérification, afin de vérifier que les activités de l’IPOPHL sont bien conformes aux engagements pris vis</w:t>
      </w:r>
      <w:r w:rsidR="00BC3CD7">
        <w:rPr>
          <w:lang w:val="fr-FR"/>
        </w:rPr>
        <w:noBreakHyphen/>
      </w:r>
      <w:r w:rsidRPr="00CE3172">
        <w:rPr>
          <w:lang w:val="fr-FR"/>
        </w:rPr>
        <w:t>à</w:t>
      </w:r>
      <w:r w:rsidR="00BC3CD7">
        <w:rPr>
          <w:lang w:val="fr-FR"/>
        </w:rPr>
        <w:noBreakHyphen/>
      </w:r>
      <w:r w:rsidRPr="00CE3172">
        <w:rPr>
          <w:lang w:val="fr-FR"/>
        </w:rPr>
        <w:t>vis des parties prenantes et aux textes juridiques pertinents et d’évaluer l’efficacité du système de gestion de la qualité.  Les conclusions de l’audit sont communiquées à la haute direction de l’IPOPHL lors de l’évaluation de gestion ainsi qu’aux chefs et au personnel des bureaux, services ou unités concernés qui sont responsables du domaine vérifié à l’occasion des réunions du comité de gestion du Bureau et des réunions mensuelles de division.  Les chefs de bureau et de service prennent sans délai des mesures correctrices et préventives concernant les irrégularités constatées lors de l’audit.  Des activités de suivi sont également menées afin de contrôler et de constater l’application et l’efficacité des mesures correctrices prises.</w:t>
      </w:r>
    </w:p>
    <w:p w14:paraId="01FBD054" w14:textId="77777777" w:rsidR="008C1458" w:rsidRPr="00CE3172" w:rsidRDefault="008C1458" w:rsidP="00DA07A9">
      <w:pPr>
        <w:pStyle w:val="ONUMFS"/>
        <w:numPr>
          <w:ilvl w:val="0"/>
          <w:numId w:val="0"/>
        </w:numPr>
        <w:rPr>
          <w:lang w:val="fr-FR"/>
        </w:rPr>
      </w:pPr>
      <w:r w:rsidRPr="00CE3172">
        <w:rPr>
          <w:lang w:val="fr-FR"/>
        </w:rPr>
        <w:t>La capacité du bureau, de la division et de chaque examinateur à honorer leurs engagements respectifs en termes de qualité, de respect des délais et de demandes traitées se reflète dans les évaluations de performance et d’engagement du bureau et de la division, y compris au niveau individuel.  Ces évaluations sont réalisées deux fois par an afin de vérifier que les engagements sont effectivement remplis.</w:t>
      </w:r>
    </w:p>
    <w:p w14:paraId="3473D32D" w14:textId="77777777" w:rsidR="008C1458" w:rsidRPr="00CE3172" w:rsidRDefault="008C1458" w:rsidP="00DA07A9">
      <w:pPr>
        <w:pStyle w:val="Guidance"/>
        <w:spacing w:line="240" w:lineRule="auto"/>
      </w:pPr>
      <w:r w:rsidRPr="00CE3172">
        <w:t>21.08</w:t>
      </w:r>
      <w:r w:rsidRPr="00CE3172">
        <w:tab/>
        <w:t>Indiquer comment et quand la haute direction de l’administration ou les fonctionnaires habilités :</w:t>
      </w:r>
    </w:p>
    <w:p w14:paraId="5A7922B7" w14:textId="77777777" w:rsidR="008C1458" w:rsidRPr="00CE3172" w:rsidRDefault="008C1458" w:rsidP="00DA07A9">
      <w:pPr>
        <w:pStyle w:val="GuidanceNumbereda"/>
        <w:spacing w:line="240" w:lineRule="auto"/>
      </w:pPr>
      <w:r w:rsidRPr="00CE3172">
        <w:tab/>
        <w:t>a)</w:t>
      </w:r>
      <w:r w:rsidRPr="00CE3172">
        <w:tab/>
        <w:t>font des évaluations de gestion et veillent à la mise à disposition des ressources nécessaires;</w:t>
      </w:r>
    </w:p>
    <w:p w14:paraId="7435AE41" w14:textId="77777777" w:rsidR="008C1458" w:rsidRPr="00CE3172" w:rsidRDefault="008C1458" w:rsidP="00DA07A9">
      <w:pPr>
        <w:pStyle w:val="GuidanceNumbereda"/>
        <w:spacing w:line="240" w:lineRule="auto"/>
      </w:pPr>
      <w:r w:rsidRPr="00CE3172">
        <w:tab/>
        <w:t>b)</w:t>
      </w:r>
      <w:r w:rsidRPr="00CE3172">
        <w:tab/>
        <w:t>évaluent les objectifs de qualité;  et</w:t>
      </w:r>
    </w:p>
    <w:p w14:paraId="4A6AE368" w14:textId="77777777" w:rsidR="008C1458" w:rsidRPr="00CE3172" w:rsidRDefault="008C1458" w:rsidP="00DA07A9">
      <w:pPr>
        <w:pStyle w:val="GuidanceNumbereda"/>
        <w:spacing w:line="240" w:lineRule="auto"/>
      </w:pPr>
      <w:r w:rsidRPr="00CE3172">
        <w:tab/>
        <w:t>c)</w:t>
      </w:r>
      <w:r w:rsidRPr="00CE3172">
        <w:tab/>
        <w:t>veillent à ce que ces objectifs soient connus et compris au sein de l’administration concernée.</w:t>
      </w:r>
    </w:p>
    <w:p w14:paraId="01A2E6ED" w14:textId="77777777" w:rsidR="008C1458" w:rsidRPr="00CE3172" w:rsidRDefault="008C1458" w:rsidP="00DA07A9">
      <w:pPr>
        <w:pStyle w:val="ONUMFS"/>
        <w:numPr>
          <w:ilvl w:val="0"/>
          <w:numId w:val="0"/>
        </w:numPr>
        <w:rPr>
          <w:lang w:val="fr-FR"/>
        </w:rPr>
      </w:pPr>
      <w:r w:rsidRPr="00CE3172">
        <w:rPr>
          <w:lang w:val="fr-FR"/>
        </w:rPr>
        <w:t>Une évaluation du système de gestion de la qualité existant de l’IPOPHL est effectuée au moins une fois par an ou dès que le directeur général le juge nécessaire ou sur recommandation du représentant pour la gestion de la qualité, afin de continuer à assurer la stabilité et l’efficacité du système et satisfaire les besoins des clients et des parties prenantes.  Les résultats de cette évaluation sont présentés à la haute direction de l’IPOPHL pour discussion.</w:t>
      </w:r>
    </w:p>
    <w:p w14:paraId="6181B2EA" w14:textId="716B0A5E" w:rsidR="008C1458" w:rsidRPr="00CE3172" w:rsidRDefault="008C1458" w:rsidP="00DA07A9">
      <w:pPr>
        <w:pStyle w:val="ONUMFS"/>
        <w:numPr>
          <w:ilvl w:val="0"/>
          <w:numId w:val="0"/>
        </w:numPr>
        <w:rPr>
          <w:lang w:val="fr-FR"/>
        </w:rPr>
      </w:pPr>
      <w:r w:rsidRPr="00CE3172">
        <w:rPr>
          <w:lang w:val="fr-FR"/>
        </w:rPr>
        <w:lastRenderedPageBreak/>
        <w:t>En dehors de l’évaluation de gestion programmée, le Comité exécutif tient des réunions mensuelles.  L’ordre du jour de la réunion porte sur les points ci</w:t>
      </w:r>
      <w:r w:rsidR="00BC3CD7">
        <w:rPr>
          <w:lang w:val="fr-FR"/>
        </w:rPr>
        <w:noBreakHyphen/>
      </w:r>
      <w:r w:rsidRPr="00CE3172">
        <w:rPr>
          <w:lang w:val="fr-FR"/>
        </w:rPr>
        <w:t>après : i) planification des objectifs, des cibles et des programmes;  ii) examen/évaluation des objectifs, cibles et programmes;  iii) suivi des tâches affectées;  iv) examen des activités pour le mois suivant;  v) observations des parties prenantes;  et vi) autres questions dont doit se saisir immédiatement le Comité exécutif de l’IPOPHL.</w:t>
      </w:r>
    </w:p>
    <w:p w14:paraId="47B9AA47" w14:textId="77777777" w:rsidR="008C1458" w:rsidRPr="00CE3172" w:rsidRDefault="008C1458" w:rsidP="00DA07A9">
      <w:pPr>
        <w:pStyle w:val="ONUMFS"/>
        <w:numPr>
          <w:ilvl w:val="0"/>
          <w:numId w:val="0"/>
        </w:numPr>
        <w:rPr>
          <w:lang w:val="fr-FR"/>
        </w:rPr>
      </w:pPr>
      <w:r w:rsidRPr="00CE3172">
        <w:rPr>
          <w:lang w:val="fr-FR"/>
        </w:rPr>
        <w:t xml:space="preserve">Les résultats de l’évaluation sont communiqués à chaque comité de gestion du Bureau et au personnel à l’occasion des réunions mensuelles de division ainsi que par </w:t>
      </w:r>
      <w:r>
        <w:rPr>
          <w:lang w:val="fr-FR"/>
        </w:rPr>
        <w:t>courrier électronique</w:t>
      </w:r>
      <w:r w:rsidRPr="00CE3172">
        <w:rPr>
          <w:lang w:val="fr-FR"/>
        </w:rPr>
        <w:t xml:space="preserve"> ou mémorandum.</w:t>
      </w:r>
    </w:p>
    <w:p w14:paraId="38C640FB" w14:textId="36FB6EC6" w:rsidR="008C1458" w:rsidRPr="00CE3172" w:rsidRDefault="008C1458" w:rsidP="00DA07A9">
      <w:pPr>
        <w:pStyle w:val="ONUMFS"/>
        <w:numPr>
          <w:ilvl w:val="0"/>
          <w:numId w:val="0"/>
        </w:numPr>
        <w:rPr>
          <w:lang w:val="fr-FR"/>
        </w:rPr>
      </w:pPr>
      <w:r w:rsidRPr="00CE3172">
        <w:rPr>
          <w:lang w:val="fr-FR"/>
        </w:rPr>
        <w:t xml:space="preserve">Le comité de gestion de la qualité traite les résultats de l’évaluation pour le Bureau des brevets et tient des réunions mensuelles afin de discuter des questions concernant les pratiques d’examen, de définir les besoins en termes de ressources humaines ou d’infrastructure informatique, et de mettre à jour ou </w:t>
      </w:r>
      <w:r w:rsidR="00DA07A9">
        <w:rPr>
          <w:lang w:val="fr-FR"/>
        </w:rPr>
        <w:t xml:space="preserve">de </w:t>
      </w:r>
      <w:r w:rsidRPr="00CE3172">
        <w:rPr>
          <w:lang w:val="fr-FR"/>
        </w:rPr>
        <w:t xml:space="preserve">réviser les objectifs en matière de qualité, si nécessaire.  Toute mise à jour ou modification est communiquée aux examinateurs et au personnel à l’occasion des réunions de division, lors de séminaires ou de formations, ou par le biais de mémorandums ou de </w:t>
      </w:r>
      <w:r>
        <w:rPr>
          <w:lang w:val="fr-FR"/>
        </w:rPr>
        <w:t>courriers électroniques</w:t>
      </w:r>
      <w:r w:rsidRPr="00CE3172">
        <w:rPr>
          <w:lang w:val="fr-FR"/>
        </w:rPr>
        <w:t>.</w:t>
      </w:r>
    </w:p>
    <w:p w14:paraId="28B7B933" w14:textId="77777777" w:rsidR="008C1458" w:rsidRPr="00CE3172" w:rsidRDefault="008C1458" w:rsidP="00DA07A9">
      <w:pPr>
        <w:pStyle w:val="Guidance"/>
        <w:keepNext/>
        <w:spacing w:line="240" w:lineRule="auto"/>
        <w:rPr>
          <w:rFonts w:cs="Arial"/>
        </w:rPr>
      </w:pPr>
      <w:r w:rsidRPr="00CE3172">
        <w:rPr>
          <w:rFonts w:cs="Arial"/>
        </w:rPr>
        <w:t>21.09</w:t>
      </w:r>
      <w:r w:rsidRPr="00CE3172">
        <w:rPr>
          <w:rFonts w:cs="Arial"/>
        </w:rPr>
        <w:tab/>
        <w:t>Indiquer si la haute direction ou les fonctionnaires habilités de l’administration font une évaluation interne du système de gestion de la qualité conformément aux paragraphes :</w:t>
      </w:r>
    </w:p>
    <w:p w14:paraId="2B488F1A" w14:textId="77777777" w:rsidR="008C1458" w:rsidRPr="00CE3172" w:rsidRDefault="008C1458" w:rsidP="00DA07A9">
      <w:pPr>
        <w:pStyle w:val="GuidanceNumbereda"/>
        <w:spacing w:line="240" w:lineRule="auto"/>
        <w:rPr>
          <w:rFonts w:cs="Arial"/>
        </w:rPr>
      </w:pPr>
      <w:r w:rsidRPr="00CE3172">
        <w:rPr>
          <w:rFonts w:cs="Arial"/>
        </w:rPr>
        <w:tab/>
      </w:r>
      <w:proofErr w:type="gramStart"/>
      <w:r w:rsidRPr="00CE3172">
        <w:rPr>
          <w:rFonts w:cs="Arial"/>
        </w:rPr>
        <w:t>a</w:t>
      </w:r>
      <w:proofErr w:type="gramEnd"/>
      <w:r w:rsidRPr="00CE3172">
        <w:rPr>
          <w:rFonts w:cs="Arial"/>
        </w:rPr>
        <w:t>)</w:t>
      </w:r>
      <w:r w:rsidRPr="00CE3172">
        <w:rPr>
          <w:rFonts w:cs="Arial"/>
        </w:rPr>
        <w:tab/>
        <w:t>une fois au moins par an (voir le paragraphe 21.22);</w:t>
      </w:r>
    </w:p>
    <w:p w14:paraId="19A6AD6B" w14:textId="77777777" w:rsidR="008C1458" w:rsidRPr="00CE3172" w:rsidRDefault="008C1458" w:rsidP="00DA07A9">
      <w:pPr>
        <w:pStyle w:val="GuidanceNumbereda"/>
        <w:spacing w:line="240" w:lineRule="auto"/>
        <w:ind w:left="567" w:hanging="567"/>
        <w:rPr>
          <w:rFonts w:cs="Arial"/>
        </w:rPr>
      </w:pPr>
      <w:r w:rsidRPr="00CE3172">
        <w:rPr>
          <w:rFonts w:cs="Arial"/>
        </w:rPr>
        <w:tab/>
        <w:t>b)</w:t>
      </w:r>
      <w:r w:rsidRPr="00CE3172">
        <w:rPr>
          <w:rFonts w:cs="Arial"/>
        </w:rPr>
        <w:tab/>
        <w:t>en fonction de la portée minimale de ces évaluations comme indiqué dans la section 8, à savoir :</w:t>
      </w:r>
    </w:p>
    <w:p w14:paraId="2A579499" w14:textId="77777777" w:rsidR="008C1458" w:rsidRPr="00CE3172" w:rsidRDefault="008C1458" w:rsidP="00DA07A9">
      <w:pPr>
        <w:pStyle w:val="GuidanceNumbered"/>
        <w:spacing w:line="240" w:lineRule="auto"/>
        <w:rPr>
          <w:rFonts w:cs="Arial"/>
        </w:rPr>
      </w:pPr>
      <w:r w:rsidRPr="00CE3172">
        <w:rPr>
          <w:rFonts w:cs="Arial"/>
        </w:rPr>
        <w:tab/>
      </w:r>
      <w:proofErr w:type="gramStart"/>
      <w:r w:rsidRPr="00CE3172">
        <w:rPr>
          <w:rFonts w:cs="Arial"/>
        </w:rPr>
        <w:t>pour</w:t>
      </w:r>
      <w:proofErr w:type="gramEnd"/>
      <w:r w:rsidRPr="00CE3172">
        <w:rPr>
          <w:rFonts w:cs="Arial"/>
        </w:rPr>
        <w:t xml:space="preserve"> déterminer la mesure dans laquelle le système de gestion de la qualité repose sur le chapitre 21 (voir les paragraphes 21.22 et 21.24.i));</w:t>
      </w:r>
    </w:p>
    <w:p w14:paraId="7CEC8A4B" w14:textId="77777777" w:rsidR="008C1458" w:rsidRPr="00CE3172" w:rsidRDefault="008C1458" w:rsidP="00DA07A9">
      <w:pPr>
        <w:pStyle w:val="GuidanceNumbered"/>
        <w:spacing w:line="240" w:lineRule="auto"/>
        <w:rPr>
          <w:rFonts w:cs="Arial"/>
        </w:rPr>
      </w:pPr>
      <w:r w:rsidRPr="00CE3172">
        <w:rPr>
          <w:rFonts w:cs="Arial"/>
        </w:rPr>
        <w:tab/>
      </w:r>
      <w:proofErr w:type="gramStart"/>
      <w:r w:rsidRPr="00CE3172">
        <w:rPr>
          <w:rFonts w:cs="Arial"/>
        </w:rPr>
        <w:t>pour</w:t>
      </w:r>
      <w:proofErr w:type="gramEnd"/>
      <w:r w:rsidRPr="00CE3172">
        <w:rPr>
          <w:rFonts w:cs="Arial"/>
        </w:rPr>
        <w:t xml:space="preserve"> déterminer la mesure dans laquelle le travail de recherche et d’examen respecte les directives du PCT (voir les paragraphes 21.22 et 21.24.i));</w:t>
      </w:r>
    </w:p>
    <w:p w14:paraId="198261D9" w14:textId="77777777" w:rsidR="008C1458" w:rsidRPr="00CE3172" w:rsidRDefault="008C1458" w:rsidP="00DA07A9">
      <w:pPr>
        <w:pStyle w:val="GuidanceNumbereda"/>
        <w:spacing w:line="240" w:lineRule="auto"/>
        <w:rPr>
          <w:rFonts w:cs="Arial"/>
        </w:rPr>
      </w:pPr>
      <w:r w:rsidRPr="00CE3172">
        <w:rPr>
          <w:rFonts w:cs="Arial"/>
        </w:rPr>
        <w:tab/>
        <w:t>c)</w:t>
      </w:r>
      <w:r w:rsidRPr="00CE3172">
        <w:rPr>
          <w:rFonts w:cs="Arial"/>
        </w:rPr>
        <w:tab/>
        <w:t>d’une manière objective et transparente (voir le paragraphe 21.22);</w:t>
      </w:r>
    </w:p>
    <w:p w14:paraId="39F08C63" w14:textId="77777777" w:rsidR="008C1458" w:rsidRPr="00CE3172" w:rsidRDefault="008C1458" w:rsidP="00DA07A9">
      <w:pPr>
        <w:pStyle w:val="GuidanceNumbereda"/>
        <w:spacing w:line="240" w:lineRule="auto"/>
        <w:rPr>
          <w:rFonts w:cs="Arial"/>
        </w:rPr>
      </w:pPr>
      <w:r w:rsidRPr="00CE3172">
        <w:rPr>
          <w:rFonts w:cs="Arial"/>
        </w:rPr>
        <w:tab/>
      </w:r>
      <w:proofErr w:type="gramStart"/>
      <w:r w:rsidRPr="00CE3172">
        <w:rPr>
          <w:rFonts w:cs="Arial"/>
        </w:rPr>
        <w:t>d</w:t>
      </w:r>
      <w:proofErr w:type="gramEnd"/>
      <w:r w:rsidRPr="00CE3172">
        <w:rPr>
          <w:rFonts w:cs="Arial"/>
        </w:rPr>
        <w:t>)</w:t>
      </w:r>
      <w:r w:rsidRPr="00CE3172">
        <w:rPr>
          <w:rFonts w:cs="Arial"/>
        </w:rPr>
        <w:tab/>
      </w:r>
      <w:r w:rsidRPr="00CE3172">
        <w:rPr>
          <w:rFonts w:eastAsia="Arial Unicode MS" w:cs="Arial"/>
        </w:rPr>
        <w:t>utilisant des apports, y compris des informations selon les paragraphes </w:t>
      </w:r>
      <w:r w:rsidRPr="00CE3172">
        <w:rPr>
          <w:rFonts w:cs="Arial"/>
        </w:rPr>
        <w:t>21.24.ii) à vi);</w:t>
      </w:r>
    </w:p>
    <w:p w14:paraId="5C46818A" w14:textId="77777777" w:rsidR="008C1458" w:rsidRPr="00CE3172" w:rsidRDefault="008C1458" w:rsidP="00DA07A9">
      <w:pPr>
        <w:pStyle w:val="GuidanceNumbereda"/>
        <w:spacing w:line="240" w:lineRule="auto"/>
        <w:rPr>
          <w:rFonts w:cs="Arial"/>
        </w:rPr>
      </w:pPr>
      <w:r w:rsidRPr="00CE3172">
        <w:rPr>
          <w:rFonts w:cs="Arial"/>
        </w:rPr>
        <w:tab/>
        <w:t>e)</w:t>
      </w:r>
      <w:r w:rsidRPr="00CE3172">
        <w:rPr>
          <w:rFonts w:cs="Arial"/>
        </w:rPr>
        <w:tab/>
        <w:t>enregistrant les résultats (voir le paragraphe 21.25).</w:t>
      </w:r>
    </w:p>
    <w:p w14:paraId="17E4613A" w14:textId="77777777" w:rsidR="008C1458" w:rsidRPr="00CE3172" w:rsidRDefault="008C1458" w:rsidP="00DA07A9">
      <w:pPr>
        <w:pStyle w:val="ONUMFS"/>
        <w:numPr>
          <w:ilvl w:val="0"/>
          <w:numId w:val="0"/>
        </w:numPr>
        <w:rPr>
          <w:lang w:val="fr-FR"/>
        </w:rPr>
      </w:pPr>
      <w:r w:rsidRPr="00CE3172">
        <w:rPr>
          <w:lang w:val="fr-FR"/>
        </w:rPr>
        <w:t>L’équipe chargée de l’audit qualité interne effectue des audits internes deux fois par an (audit effectif et vérification) qui sont conformes aux exigences des normes ISO concernant tous les processus opérationnels, y compris le contrôle qualité en cours de processus et le système de contrôle de la qualité des brevets.  Les résultats de l’audit sont communiqués à la haute direction de l’IPOPHL lors de l’évaluation de gestion pour examen.</w:t>
      </w:r>
    </w:p>
    <w:p w14:paraId="2F72BC99" w14:textId="2414679B" w:rsidR="008C1458" w:rsidRPr="00CE3172" w:rsidRDefault="008C1458" w:rsidP="00DA07A9">
      <w:pPr>
        <w:pStyle w:val="ONUMFS"/>
        <w:numPr>
          <w:ilvl w:val="0"/>
          <w:numId w:val="0"/>
        </w:numPr>
        <w:rPr>
          <w:lang w:val="fr-FR"/>
        </w:rPr>
      </w:pPr>
      <w:r w:rsidRPr="00CE3172">
        <w:rPr>
          <w:lang w:val="fr-FR"/>
        </w:rPr>
        <w:t>Au niveau du Bureau, la division de gestion de la qualité établit un rapport mensuel sur la performance du système de contrôle de la qualité des brevets, qui est présenté lors de la réunion mensuelle du Bureau des brevets et qui fait partie intégrante des documents analysés lors des audits annuels internes et externes.  Le rapport présente les conclusions de l’évaluation de la qualité de tous les travaux, notamment les rapports de recherche et d’examen, réalisée suivant l’échantillonnage aléatoire du système de contrôle de la qualité des brevets.  Il recense également les insuffisances et d’autres questions</w:t>
      </w:r>
      <w:r w:rsidR="00DA07A9">
        <w:rPr>
          <w:lang w:val="fr-FR"/>
        </w:rPr>
        <w:t xml:space="preserve"> ou </w:t>
      </w:r>
      <w:r w:rsidRPr="00CE3172">
        <w:rPr>
          <w:lang w:val="fr-FR"/>
        </w:rPr>
        <w:t>problèmes concernant le processus de recherche et d’examen et formule des recommandations à des fins de correction.</w:t>
      </w:r>
    </w:p>
    <w:p w14:paraId="5FB9FAD8" w14:textId="77777777" w:rsidR="008C1458" w:rsidRPr="00CE3172" w:rsidRDefault="008C1458" w:rsidP="00DA07A9">
      <w:pPr>
        <w:pStyle w:val="Heading1"/>
        <w:rPr>
          <w:lang w:val="fr-FR"/>
        </w:rPr>
      </w:pPr>
      <w:r w:rsidRPr="00CE3172">
        <w:rPr>
          <w:lang w:val="fr-FR"/>
        </w:rPr>
        <w:lastRenderedPageBreak/>
        <w:t>2.</w:t>
      </w:r>
      <w:r w:rsidRPr="00CE3172">
        <w:rPr>
          <w:lang w:val="fr-FR"/>
        </w:rPr>
        <w:tab/>
        <w:t>Ressources</w:t>
      </w:r>
    </w:p>
    <w:p w14:paraId="7CD91252" w14:textId="7F608BF1" w:rsidR="008C1458" w:rsidRPr="00CE3172" w:rsidRDefault="008C1458" w:rsidP="00DA07A9">
      <w:pPr>
        <w:pStyle w:val="Guidance"/>
        <w:keepNext/>
        <w:keepLines/>
        <w:spacing w:line="240" w:lineRule="auto"/>
      </w:pPr>
      <w:r w:rsidRPr="00CE3172">
        <w:t>21.10</w:t>
      </w:r>
      <w:r w:rsidRPr="00CE3172">
        <w:tab/>
        <w:t>Note explicative : l’octroi du statut d’administration chargée de la recherche internationale et de l’examen préliminaire international signifie que l’administration a démontré qu’elle possède l’infrastructure et les ressources nécessaires pour appuyer le processus de recherche et d’examen.  Le chapitre 21 demande l’assurance que l’administration peut appuyer de manière continue ce processus tout en tenant compte des changements du volume de travail et en répondant aux exigences du système de gestion de la qualité.  Les réponses ci</w:t>
      </w:r>
      <w:r w:rsidR="00BC3CD7">
        <w:noBreakHyphen/>
      </w:r>
      <w:r w:rsidRPr="00CE3172">
        <w:t>dessous devraient fournir cette assurance.</w:t>
      </w:r>
    </w:p>
    <w:p w14:paraId="2EA0DC89" w14:textId="77777777" w:rsidR="008C1458" w:rsidRPr="00CE3172" w:rsidRDefault="008C1458" w:rsidP="00DA07A9">
      <w:pPr>
        <w:pStyle w:val="GuidanceNumbered"/>
        <w:spacing w:line="240" w:lineRule="auto"/>
      </w:pPr>
      <w:r w:rsidRPr="00CE3172">
        <w:tab/>
        <w:t>Ressources humaines :</w:t>
      </w:r>
    </w:p>
    <w:p w14:paraId="6C393A46" w14:textId="77777777" w:rsidR="008C1458" w:rsidRPr="00CE3172" w:rsidRDefault="008C1458" w:rsidP="00DA07A9">
      <w:pPr>
        <w:pStyle w:val="GuidanceNumbered"/>
        <w:spacing w:line="240" w:lineRule="auto"/>
      </w:pPr>
      <w:r w:rsidRPr="00CE3172">
        <w:tab/>
        <w:t>i)</w:t>
      </w:r>
      <w:r w:rsidRPr="00CE3172">
        <w:tab/>
        <w:t>Fournir des informations sur l’infrastructure en place pour veiller à ce qu’un personnel suffisamment nombreux :</w:t>
      </w:r>
    </w:p>
    <w:p w14:paraId="6A7D8CB5" w14:textId="77777777" w:rsidR="008C1458" w:rsidRPr="00CE3172" w:rsidRDefault="008C1458" w:rsidP="00DA07A9">
      <w:pPr>
        <w:pStyle w:val="GuidanceNumbered"/>
        <w:spacing w:line="240" w:lineRule="auto"/>
      </w:pPr>
      <w:r w:rsidRPr="00CE3172">
        <w:tab/>
      </w:r>
      <w:proofErr w:type="gramStart"/>
      <w:r w:rsidRPr="00CE3172">
        <w:t>puisse</w:t>
      </w:r>
      <w:proofErr w:type="gramEnd"/>
      <w:r w:rsidRPr="00CE3172">
        <w:t xml:space="preserve"> faire face à l’apport de travail;</w:t>
      </w:r>
    </w:p>
    <w:p w14:paraId="6D8BF091" w14:textId="77777777" w:rsidR="008C1458" w:rsidRPr="00CE3172" w:rsidRDefault="008C1458" w:rsidP="00DA07A9">
      <w:pPr>
        <w:pStyle w:val="GuidanceNumbered"/>
        <w:spacing w:line="240" w:lineRule="auto"/>
      </w:pPr>
      <w:r w:rsidRPr="00CE3172">
        <w:tab/>
      </w:r>
      <w:proofErr w:type="gramStart"/>
      <w:r w:rsidRPr="00CE3172">
        <w:t>actualise</w:t>
      </w:r>
      <w:proofErr w:type="gramEnd"/>
      <w:r w:rsidRPr="00CE3172">
        <w:t xml:space="preserve"> ses compétences techniques nécessaires pour procéder aux recherches et aux examens voulus dans les domaines techniques concernés;  et</w:t>
      </w:r>
    </w:p>
    <w:p w14:paraId="2C98CB56" w14:textId="77777777" w:rsidR="008C1458" w:rsidRPr="00CE3172" w:rsidRDefault="008C1458" w:rsidP="00DA07A9">
      <w:pPr>
        <w:pStyle w:val="GuidanceNumbered"/>
        <w:spacing w:line="240" w:lineRule="auto"/>
      </w:pPr>
      <w:r w:rsidRPr="00CE3172">
        <w:tab/>
      </w:r>
      <w:proofErr w:type="gramStart"/>
      <w:r w:rsidRPr="00CE3172">
        <w:t>dispose</w:t>
      </w:r>
      <w:proofErr w:type="gramEnd"/>
      <w:r w:rsidRPr="00CE3172">
        <w:t xml:space="preserve"> des connaissances linguistiques lui permettant de comprendre au moins les langues dans lesquelles la documentation minimale mentionnée à la règle 34 du règlement d’exécution du PCT est écrite ou est traduite;</w:t>
      </w:r>
    </w:p>
    <w:p w14:paraId="7CBD61DA" w14:textId="77777777" w:rsidR="008C1458" w:rsidRPr="00CE3172" w:rsidRDefault="008C1458" w:rsidP="00DA07A9">
      <w:pPr>
        <w:pStyle w:val="GuidanceNumbered"/>
        <w:spacing w:line="240" w:lineRule="auto"/>
      </w:pPr>
      <w:r w:rsidRPr="00CE3172">
        <w:tab/>
      </w:r>
      <w:proofErr w:type="gramStart"/>
      <w:r w:rsidRPr="00CE3172">
        <w:t>et</w:t>
      </w:r>
      <w:proofErr w:type="gramEnd"/>
      <w:r w:rsidRPr="00CE3172">
        <w:t xml:space="preserve"> que ces ressources soient adaptées aux fluctuations de la charge de travail.</w:t>
      </w:r>
    </w:p>
    <w:p w14:paraId="085FF092" w14:textId="77777777" w:rsidR="008C1458" w:rsidRPr="00CE3172" w:rsidRDefault="008C1458" w:rsidP="00DA07A9">
      <w:pPr>
        <w:pStyle w:val="GuidanceNumbered"/>
        <w:spacing w:line="240" w:lineRule="auto"/>
      </w:pPr>
      <w:r w:rsidRPr="00CE3172">
        <w:tab/>
        <w:t>ii)</w:t>
      </w:r>
      <w:r w:rsidRPr="00CE3172">
        <w:tab/>
        <w:t>Décrire l’infrastructure en place pour veiller à ce qu’un personnel administratif bien formé/qualifié et suffisamment nombreux soit maintenu et adapté aux modifications du volume de travail :</w:t>
      </w:r>
    </w:p>
    <w:p w14:paraId="639CB4A1" w14:textId="77777777" w:rsidR="008C1458" w:rsidRPr="00CE3172" w:rsidRDefault="008C1458" w:rsidP="00DA07A9">
      <w:pPr>
        <w:pStyle w:val="GuidanceNumbered"/>
        <w:spacing w:line="240" w:lineRule="auto"/>
      </w:pPr>
      <w:r w:rsidRPr="00CE3172">
        <w:tab/>
      </w:r>
      <w:proofErr w:type="gramStart"/>
      <w:r w:rsidRPr="00CE3172">
        <w:t>à</w:t>
      </w:r>
      <w:proofErr w:type="gramEnd"/>
      <w:r w:rsidRPr="00CE3172">
        <w:t xml:space="preserve"> un niveau permettant d’appuyer le personnel techniquement qualifié et de faciliter le travail de recherche et d’examen;  et</w:t>
      </w:r>
    </w:p>
    <w:p w14:paraId="0DCA690C" w14:textId="77777777" w:rsidR="008C1458" w:rsidRPr="00CE3172" w:rsidRDefault="008C1458" w:rsidP="00DA07A9">
      <w:pPr>
        <w:pStyle w:val="GuidanceNumbered"/>
        <w:spacing w:line="240" w:lineRule="auto"/>
      </w:pPr>
      <w:r w:rsidRPr="00CE3172">
        <w:tab/>
      </w:r>
      <w:proofErr w:type="gramStart"/>
      <w:r w:rsidRPr="00CE3172">
        <w:t>pour</w:t>
      </w:r>
      <w:proofErr w:type="gramEnd"/>
      <w:r w:rsidRPr="00CE3172">
        <w:t xml:space="preserve"> l’enregistrement des dossiers.</w:t>
      </w:r>
    </w:p>
    <w:p w14:paraId="292C9BB2" w14:textId="2258FF12" w:rsidR="008C1458" w:rsidRPr="00CE3172" w:rsidRDefault="008C1458" w:rsidP="00DA07A9">
      <w:pPr>
        <w:pStyle w:val="ONUMFS"/>
        <w:numPr>
          <w:ilvl w:val="0"/>
          <w:numId w:val="0"/>
        </w:numPr>
        <w:rPr>
          <w:lang w:val="fr-FR"/>
        </w:rPr>
      </w:pPr>
      <w:r w:rsidRPr="00CE3172">
        <w:rPr>
          <w:lang w:val="fr-FR"/>
        </w:rPr>
        <w:t>i)</w:t>
      </w:r>
      <w:r w:rsidRPr="00CE3172">
        <w:rPr>
          <w:lang w:val="fr-FR"/>
        </w:rPr>
        <w:tab/>
        <w:t>L’IPOPHL dispose du personnel nécessaire employé à plein temps et doté des qualifications techniques suffisantes pour mener à bien des travaux de recherche et d’examen.  L’</w:t>
      </w:r>
      <w:r w:rsidR="00BB28AA" w:rsidRPr="00CE3172">
        <w:rPr>
          <w:lang w:val="fr-FR"/>
        </w:rPr>
        <w:t>office</w:t>
      </w:r>
      <w:r w:rsidRPr="00CE3172">
        <w:rPr>
          <w:lang w:val="fr-FR"/>
        </w:rPr>
        <w:t xml:space="preserve"> compte 102 examinateurs, qui sont titulaires de diplômes en ingénierie et en sciences et qui ont une grande expérience dans le domaine de la recherche et de l’examen de brevets.  Pour faire en sorte d’embaucher le personnel compétent, l’</w:t>
      </w:r>
      <w:r w:rsidR="00BB28AA" w:rsidRPr="00CE3172">
        <w:rPr>
          <w:lang w:val="fr-FR"/>
        </w:rPr>
        <w:t>office</w:t>
      </w:r>
      <w:r w:rsidRPr="00CE3172">
        <w:rPr>
          <w:lang w:val="fr-FR"/>
        </w:rPr>
        <w:t xml:space="preserve"> suit un processus de recrutement et de sélection à quatre niveaux.  Il dispose d’un programme de formation structuré, complet et axé sur les compétences.  En outre, tous les examinateurs suivent régulièrement des formations internes et externes visant à renforcer leurs compétences en matière de recherche et d’examen.</w:t>
      </w:r>
    </w:p>
    <w:p w14:paraId="2F5DC731" w14:textId="77777777" w:rsidR="008C1458" w:rsidRPr="00CE3172" w:rsidRDefault="008C1458" w:rsidP="00DA07A9">
      <w:pPr>
        <w:pStyle w:val="ONUMFS"/>
        <w:numPr>
          <w:ilvl w:val="0"/>
          <w:numId w:val="0"/>
        </w:numPr>
        <w:rPr>
          <w:lang w:val="fr-FR"/>
        </w:rPr>
      </w:pPr>
      <w:r w:rsidRPr="00CE3172">
        <w:rPr>
          <w:lang w:val="fr-FR"/>
        </w:rPr>
        <w:t>Comme l’exige la Commission de la fonction publique des Philippines, les examinateurs de l’IPOPHL sont titulaires de diplômes en ingénierie, sciences naturelles, sciences médicales et autres sciences connexes.  Ils doivent également avoir réussi l’examen professionnel requis pour obtenir leur permis d’exercice, comme l’exige la Commission de réglementation professionnelle, ainsi que l’examen de carrière de la Commission de la fonction publique.</w:t>
      </w:r>
    </w:p>
    <w:p w14:paraId="3BAF803D" w14:textId="7458D967" w:rsidR="008C1458" w:rsidRPr="00CE3172" w:rsidRDefault="008C1458" w:rsidP="00DA07A9">
      <w:pPr>
        <w:pStyle w:val="ONUMFS"/>
        <w:numPr>
          <w:ilvl w:val="0"/>
          <w:numId w:val="0"/>
        </w:numPr>
        <w:rPr>
          <w:lang w:val="fr-FR"/>
        </w:rPr>
      </w:pPr>
      <w:r w:rsidRPr="00CE3172">
        <w:rPr>
          <w:lang w:val="fr-FR"/>
        </w:rPr>
        <w:t xml:space="preserve">Nombre d’examinateurs sont titulaires d’un diplôme universitaire supérieur ou sont en train de poursuivre leurs études.  L’IPOPHL apporte un soutien à tous ses examinateurs dans la poursuite de leurs études supérieures.  À l’heure actuelle, l’IPOPHL a un partenariat avec le principal établissement du pays dans le domaine des sciences et de l’ingénierie, l’Institut technologique </w:t>
      </w:r>
      <w:proofErr w:type="spellStart"/>
      <w:r w:rsidRPr="00CE3172">
        <w:rPr>
          <w:lang w:val="fr-FR"/>
        </w:rPr>
        <w:t>Mapua</w:t>
      </w:r>
      <w:proofErr w:type="spellEnd"/>
      <w:r w:rsidRPr="00CE3172">
        <w:rPr>
          <w:lang w:val="fr-FR"/>
        </w:rPr>
        <w:t>, en ce qui concerne des programmes de formation universitaire spécialement conçus pour préparer les examinateurs à l’examen des demandes de brevet dans des domaines technologiques hautement spécialisés.  Un certain nombre de chercheurs et d’examinateurs de l’IPOPHL sont actuellement inscrits dans le programme de Master en bio</w:t>
      </w:r>
      <w:r w:rsidR="00BC3CD7">
        <w:rPr>
          <w:lang w:val="fr-FR"/>
        </w:rPr>
        <w:noBreakHyphen/>
      </w:r>
      <w:r w:rsidRPr="00CE3172">
        <w:rPr>
          <w:lang w:val="fr-FR"/>
        </w:rPr>
        <w:t xml:space="preserve">ingénierie.  Un programme similaire en mécanique est en cours </w:t>
      </w:r>
      <w:r w:rsidR="00DA07A9">
        <w:rPr>
          <w:lang w:val="fr-FR"/>
        </w:rPr>
        <w:t>d’élaboration</w:t>
      </w:r>
      <w:r w:rsidRPr="00CE3172">
        <w:rPr>
          <w:lang w:val="fr-FR"/>
        </w:rPr>
        <w:t>.</w:t>
      </w:r>
    </w:p>
    <w:p w14:paraId="56D76B0B" w14:textId="1EBA9177" w:rsidR="008C1458" w:rsidRPr="00CE3172" w:rsidRDefault="008C1458" w:rsidP="00DA07A9">
      <w:pPr>
        <w:pStyle w:val="ONUMFS"/>
        <w:numPr>
          <w:ilvl w:val="0"/>
          <w:numId w:val="0"/>
        </w:numPr>
        <w:rPr>
          <w:lang w:val="fr-FR"/>
        </w:rPr>
      </w:pPr>
      <w:r w:rsidRPr="00CE3172">
        <w:rPr>
          <w:lang w:val="fr-FR"/>
        </w:rPr>
        <w:t xml:space="preserve">Il convient de noter que 60 examinateurs, soit plus de la moitié des examinateurs, ont une expérience dans le domaine de la recherche et de l’examen allant de </w:t>
      </w:r>
      <w:r w:rsidR="00CF31F7">
        <w:rPr>
          <w:lang w:val="fr-FR"/>
        </w:rPr>
        <w:t>4</w:t>
      </w:r>
      <w:r w:rsidRPr="00CE3172">
        <w:rPr>
          <w:lang w:val="fr-FR"/>
        </w:rPr>
        <w:t> à 39 ans.  Tous les nouveaux examinateurs suivent le programme de formation structuré, complet et axé sur les compétences, qui les dote des compétences requises pour mener des travaux de recherche et d’examen.</w:t>
      </w:r>
    </w:p>
    <w:p w14:paraId="21325865" w14:textId="77777777" w:rsidR="008C1458" w:rsidRPr="00CE3172" w:rsidRDefault="008C1458" w:rsidP="00DA07A9">
      <w:pPr>
        <w:pStyle w:val="ONUMFS"/>
        <w:numPr>
          <w:ilvl w:val="0"/>
          <w:numId w:val="0"/>
        </w:numPr>
        <w:rPr>
          <w:lang w:val="fr-FR"/>
        </w:rPr>
      </w:pPr>
      <w:r w:rsidRPr="00CE3172">
        <w:rPr>
          <w:lang w:val="fr-FR"/>
        </w:rPr>
        <w:lastRenderedPageBreak/>
        <w:t>Tous les examinateurs de l’IPOPHL sont encadrés par des superviseurs chevronnés au titre d’un contrôle qualité à deux niveaux en cours de processus pour tous les rapports de recherche et d’examen.  Les superviseurs de toutes les divisions d’examen sont titulaires de diplômes techniques et de diplômes de gestion et ont une expérience étendue de la recherche et de l’examen d’au moins 15 ans.  Tous les superviseurs suivent régulièrement des formations internes et externes afin d’actualiser et de renforcer leurs capacités en matière de contrôle de la qualité des brevets, et d’encadrement et d’accompagnement des examinateurs.</w:t>
      </w:r>
    </w:p>
    <w:p w14:paraId="2375D48A" w14:textId="77777777" w:rsidR="008C1458" w:rsidRPr="00CE3172" w:rsidRDefault="008C1458" w:rsidP="00DA07A9">
      <w:pPr>
        <w:pStyle w:val="ONUMFS"/>
        <w:numPr>
          <w:ilvl w:val="0"/>
          <w:numId w:val="0"/>
        </w:numPr>
        <w:rPr>
          <w:lang w:val="fr-FR"/>
        </w:rPr>
      </w:pPr>
      <w:r w:rsidRPr="00CE3172">
        <w:rPr>
          <w:lang w:val="fr-FR"/>
        </w:rPr>
        <w:t>Conformément aux règles 36.1 iii) et 63.1 iii) du règlement d’exécution du PCT qui exigent des examinateurs qu’ils aient les connaissances linguistiques nécessaires à la compréhension au moins des langues dans lesquelles la documentation minimale de la règle 34 est rédigée ou traduite, les examinateurs de l’IPOPHL ont une très bonne compréhension de l’anglais courant, et de très bonnes aptitudes en la matière.</w:t>
      </w:r>
    </w:p>
    <w:p w14:paraId="7A676E4C" w14:textId="77777777" w:rsidR="008C1458" w:rsidRPr="00CE3172" w:rsidRDefault="008C1458" w:rsidP="00DA07A9">
      <w:pPr>
        <w:pStyle w:val="ONUMFS"/>
        <w:numPr>
          <w:ilvl w:val="0"/>
          <w:numId w:val="0"/>
        </w:numPr>
        <w:rPr>
          <w:lang w:val="fr-FR"/>
        </w:rPr>
      </w:pPr>
      <w:r w:rsidRPr="00CE3172">
        <w:rPr>
          <w:lang w:val="fr-FR"/>
        </w:rPr>
        <w:t>Tous les examinateurs maîtrisent le philippin et l’anglais tant à l’oral qu’à l’écrit.  Certains examinateurs connaissent également d’autres langues comme le japonais, le mandarin, l’allemand, l’espagnol et le français.</w:t>
      </w:r>
    </w:p>
    <w:p w14:paraId="6CFF5457" w14:textId="77777777" w:rsidR="008C1458" w:rsidRPr="00CE3172" w:rsidRDefault="008C1458" w:rsidP="00DA07A9">
      <w:pPr>
        <w:pStyle w:val="ONUMFS"/>
        <w:numPr>
          <w:ilvl w:val="0"/>
          <w:numId w:val="0"/>
        </w:numPr>
        <w:rPr>
          <w:lang w:val="fr-FR"/>
        </w:rPr>
      </w:pPr>
      <w:r w:rsidRPr="00CE3172">
        <w:rPr>
          <w:lang w:val="fr-FR"/>
        </w:rPr>
        <w:t>ii)</w:t>
      </w:r>
      <w:r w:rsidRPr="00CE3172">
        <w:rPr>
          <w:lang w:val="fr-FR"/>
        </w:rPr>
        <w:tab/>
        <w:t>Les nouveaux examinateurs de brevets suivent un cours de formation intensif destiné à les doter des compétences et aptitudes nécessaires et de l’approche adéquate avant leur affectation à la division d’examen concernée.  En particulier, ce cours étudie en profondeur les textes statutaires et réglementaires des Philippines, et comprend des travaux et exercices pratiques axés sur le renforcement des aptitudes et des compétences dans le domaine de la recherche et de l’examen de fond.</w:t>
      </w:r>
    </w:p>
    <w:p w14:paraId="1A537BAE" w14:textId="77777777" w:rsidR="008C1458" w:rsidRPr="00CE3172" w:rsidRDefault="008C1458" w:rsidP="00DA07A9">
      <w:pPr>
        <w:pStyle w:val="ONUMFS"/>
        <w:numPr>
          <w:ilvl w:val="0"/>
          <w:numId w:val="0"/>
        </w:numPr>
        <w:rPr>
          <w:lang w:val="fr-FR"/>
        </w:rPr>
      </w:pPr>
      <w:r w:rsidRPr="00CE3172">
        <w:rPr>
          <w:lang w:val="fr-FR"/>
        </w:rPr>
        <w:t>Pour les examinateurs confirmés, l’IPOPHL assure une formation continue au moyen de conférences, séminaires ou cours donnés par des professeurs d’université, des scientifiques philippins de retour après un doctorat à l’étranger et différents offices de la propriété intellectuelle.  Une formation continue est également proposée aux examinateurs, par exemple grâce à des bourses de Master.</w:t>
      </w:r>
    </w:p>
    <w:p w14:paraId="0FBC6F3F" w14:textId="77777777" w:rsidR="008C1458" w:rsidRPr="00CE3172" w:rsidRDefault="008C1458" w:rsidP="00DA07A9">
      <w:pPr>
        <w:pStyle w:val="Guidance"/>
        <w:keepNext/>
        <w:keepLines/>
        <w:spacing w:line="240" w:lineRule="auto"/>
      </w:pPr>
      <w:r w:rsidRPr="00CE3172">
        <w:tab/>
        <w:t>Ressources matérielles :</w:t>
      </w:r>
    </w:p>
    <w:p w14:paraId="4B047DBB" w14:textId="77777777" w:rsidR="008C1458" w:rsidRPr="00CE3172" w:rsidRDefault="008C1458" w:rsidP="00DA07A9">
      <w:pPr>
        <w:pStyle w:val="GuidanceNumbered"/>
        <w:spacing w:line="240" w:lineRule="auto"/>
      </w:pPr>
      <w:r w:rsidRPr="00CE3172">
        <w:tab/>
        <w:t>iii)</w:t>
      </w:r>
      <w:r w:rsidRPr="00CE3172">
        <w:tab/>
        <w:t>Décrire l’infrastructure en place pour s’assurer qu’un matériel et des installations appropriés, tels que le matériel informatique et les logiciels, pour permettre de réaliser le travail de recherche et d’examen soient fournis et entretenus;</w:t>
      </w:r>
    </w:p>
    <w:p w14:paraId="06585178" w14:textId="77777777" w:rsidR="008C1458" w:rsidRPr="00CE3172" w:rsidRDefault="008C1458" w:rsidP="00DA07A9">
      <w:pPr>
        <w:pStyle w:val="GuidanceNumbered"/>
        <w:spacing w:line="240" w:lineRule="auto"/>
      </w:pPr>
      <w:r w:rsidRPr="00CE3172">
        <w:tab/>
        <w:t>iv)</w:t>
      </w:r>
      <w:r w:rsidRPr="00CE3172">
        <w:tab/>
        <w:t>Décrire l’infrastructure en place pour s’assurer qu’au moins la documentation minimale dont il est question à la règle 34 soit disponible, accessible, bien disposée et tenue à jour à des fins de recherche et d’examen.  Précisez si elle se présente sur support papier ou sur microforme, ou stockée sur support électronique, et où elle l’est.</w:t>
      </w:r>
    </w:p>
    <w:p w14:paraId="053A169B" w14:textId="77777777" w:rsidR="008C1458" w:rsidRPr="00CE3172" w:rsidRDefault="008C1458" w:rsidP="00DA07A9">
      <w:pPr>
        <w:pStyle w:val="GuidanceNumbered"/>
        <w:spacing w:line="240" w:lineRule="auto"/>
      </w:pPr>
      <w:r w:rsidRPr="00CE3172">
        <w:tab/>
        <w:t>v)</w:t>
      </w:r>
      <w:r w:rsidRPr="00CE3172">
        <w:tab/>
        <w:t>Décrire comment les instructions :</w:t>
      </w:r>
    </w:p>
    <w:p w14:paraId="2081D9A7" w14:textId="77777777" w:rsidR="008C1458" w:rsidRPr="00CE3172" w:rsidRDefault="008C1458" w:rsidP="00DA07A9">
      <w:pPr>
        <w:pStyle w:val="GuidanceNumbered"/>
        <w:spacing w:line="240" w:lineRule="auto"/>
      </w:pPr>
      <w:r w:rsidRPr="00CE3172">
        <w:tab/>
      </w:r>
      <w:proofErr w:type="gramStart"/>
      <w:r w:rsidRPr="00CE3172">
        <w:t>aident</w:t>
      </w:r>
      <w:proofErr w:type="gramEnd"/>
      <w:r w:rsidRPr="00CE3172">
        <w:t xml:space="preserve"> le personnel à comprendre et respecter les critères et les normes de qualité, et</w:t>
      </w:r>
    </w:p>
    <w:p w14:paraId="3087AEFD" w14:textId="77777777" w:rsidR="008C1458" w:rsidRPr="00CE3172" w:rsidRDefault="008C1458" w:rsidP="00DA07A9">
      <w:pPr>
        <w:pStyle w:val="GuidanceNumbered"/>
        <w:spacing w:line="240" w:lineRule="auto"/>
      </w:pPr>
      <w:r w:rsidRPr="00CE3172">
        <w:tab/>
      </w:r>
      <w:proofErr w:type="gramStart"/>
      <w:r w:rsidRPr="00CE3172">
        <w:t>à</w:t>
      </w:r>
      <w:proofErr w:type="gramEnd"/>
      <w:r w:rsidRPr="00CE3172">
        <w:t xml:space="preserve"> suivre les méthodes de travail exactement et systématiquement</w:t>
      </w:r>
    </w:p>
    <w:p w14:paraId="6050F926" w14:textId="77777777" w:rsidR="008C1458" w:rsidRPr="00CE3172" w:rsidRDefault="008C1458" w:rsidP="00DA07A9">
      <w:pPr>
        <w:pStyle w:val="GuidanceNumbered"/>
        <w:spacing w:line="240" w:lineRule="auto"/>
      </w:pPr>
      <w:r w:rsidRPr="00CE3172">
        <w:tab/>
      </w:r>
      <w:proofErr w:type="gramStart"/>
      <w:r w:rsidRPr="00CE3172">
        <w:t>sont</w:t>
      </w:r>
      <w:proofErr w:type="gramEnd"/>
      <w:r w:rsidRPr="00CE3172">
        <w:t xml:space="preserve"> documentées, fournies au personnel, tenues à jour et adaptées selon que de besoin.</w:t>
      </w:r>
    </w:p>
    <w:p w14:paraId="1D730D75" w14:textId="7CEA39EC" w:rsidR="008C1458" w:rsidRPr="00CE3172" w:rsidRDefault="008C1458" w:rsidP="00DA07A9">
      <w:pPr>
        <w:pStyle w:val="ONUMFS"/>
        <w:numPr>
          <w:ilvl w:val="0"/>
          <w:numId w:val="0"/>
        </w:numPr>
        <w:rPr>
          <w:lang w:val="fr-FR"/>
        </w:rPr>
      </w:pPr>
      <w:r w:rsidRPr="00CE3172">
        <w:rPr>
          <w:lang w:val="fr-FR"/>
        </w:rPr>
        <w:t>iii)</w:t>
      </w:r>
      <w:r w:rsidRPr="00CE3172">
        <w:rPr>
          <w:lang w:val="fr-FR"/>
        </w:rPr>
        <w:tab/>
        <w:t>L’IPOPHL s’efforce de suivre l’évolution des technologies de l’information afin d’appuyer ses examinateurs dans la conduite de leurs travaux de recherche et d’examen (par exemple serveurs avancés et infrastructures de réseau).  En outre, des logiciels spécifiques sont utilisés pour</w:t>
      </w:r>
      <w:r w:rsidR="00DA07A9">
        <w:rPr>
          <w:lang w:val="fr-FR"/>
        </w:rPr>
        <w:t xml:space="preserve"> mener à bien l</w:t>
      </w:r>
      <w:r w:rsidRPr="00CE3172">
        <w:rPr>
          <w:lang w:val="fr-FR"/>
        </w:rPr>
        <w:t>es travaux de recherche et d’examen.</w:t>
      </w:r>
    </w:p>
    <w:p w14:paraId="61D8157F" w14:textId="2A76FDB7" w:rsidR="008C1458" w:rsidRPr="00CE3172" w:rsidRDefault="008C1458" w:rsidP="00DA07A9">
      <w:pPr>
        <w:pStyle w:val="ONUMFS"/>
        <w:numPr>
          <w:ilvl w:val="0"/>
          <w:numId w:val="0"/>
        </w:numPr>
        <w:rPr>
          <w:lang w:val="fr-FR"/>
        </w:rPr>
      </w:pPr>
      <w:r w:rsidRPr="00CE3172">
        <w:rPr>
          <w:lang w:val="fr-FR"/>
        </w:rPr>
        <w:t>L’IPOPHL utilise le système d’automatisation en matière de propriété intellectuelle (IPAS) de l’OMPI, qui a été spécialement adapté aux processus d’exécution des tâches de l’</w:t>
      </w:r>
      <w:r w:rsidR="00BB28AA" w:rsidRPr="00CE3172">
        <w:rPr>
          <w:lang w:val="fr-FR"/>
        </w:rPr>
        <w:t>office</w:t>
      </w:r>
      <w:r w:rsidRPr="00CE3172">
        <w:rPr>
          <w:lang w:val="fr-FR"/>
        </w:rPr>
        <w:t>.  L’IPAS regroupe d’autres systèmes développés en interne, notamment des systèmes de dépôt et de paiement en ligne afin d’assurer la continuité des processus ayant trait aux demandes d’enregistrement d’invention</w:t>
      </w:r>
      <w:r w:rsidR="00DA07A9">
        <w:rPr>
          <w:lang w:val="fr-FR"/>
        </w:rPr>
        <w:t>s</w:t>
      </w:r>
      <w:r w:rsidRPr="00CE3172">
        <w:rPr>
          <w:lang w:val="fr-FR"/>
        </w:rPr>
        <w:t xml:space="preserve">, de </w:t>
      </w:r>
      <w:r w:rsidR="00DA07A9">
        <w:rPr>
          <w:lang w:val="fr-FR"/>
        </w:rPr>
        <w:t>dessins ou modèles industriels</w:t>
      </w:r>
      <w:r w:rsidRPr="00CE3172">
        <w:rPr>
          <w:lang w:val="fr-FR"/>
        </w:rPr>
        <w:t>, de modèle</w:t>
      </w:r>
      <w:r w:rsidR="00DA07A9">
        <w:rPr>
          <w:lang w:val="fr-FR"/>
        </w:rPr>
        <w:t>s</w:t>
      </w:r>
      <w:r w:rsidRPr="00CE3172">
        <w:rPr>
          <w:lang w:val="fr-FR"/>
        </w:rPr>
        <w:t xml:space="preserve"> d’utilité et de marque</w:t>
      </w:r>
      <w:r w:rsidR="00DA07A9">
        <w:rPr>
          <w:lang w:val="fr-FR"/>
        </w:rPr>
        <w:t>s</w:t>
      </w:r>
      <w:r w:rsidRPr="00CE3172">
        <w:rPr>
          <w:lang w:val="fr-FR"/>
        </w:rPr>
        <w:t>.</w:t>
      </w:r>
    </w:p>
    <w:p w14:paraId="39BD9ABB" w14:textId="2A1FEE66" w:rsidR="008C1458" w:rsidRPr="00CE3172" w:rsidRDefault="008C1458" w:rsidP="00DA07A9">
      <w:pPr>
        <w:pStyle w:val="ONUMFS"/>
        <w:numPr>
          <w:ilvl w:val="0"/>
          <w:numId w:val="0"/>
        </w:numPr>
        <w:rPr>
          <w:lang w:val="fr-FR"/>
        </w:rPr>
      </w:pPr>
      <w:r w:rsidRPr="00CE3172">
        <w:rPr>
          <w:lang w:val="fr-FR"/>
        </w:rPr>
        <w:lastRenderedPageBreak/>
        <w:t>L’IPAS prévoit un certain nombre de modules qui jouent un rôle central dans différents aspects du processus de recherche et d’examen : 1) le module “liste de tâches à exécuter”, qui suit chaque étape du processus d’examen et fournit, en temps réel, des détails sur l’état d’avancement de toutes les demandes;  2) le module “exécution des tâches”, qui donne une vue d’ensemble et instantanée des transactions concernant une demande;  3) le module “fiches d’intervention”, qui aide les examinateurs dans l’établissement des rapports d’examen en fournissant des modèles d’intervention normalisés ainsi que des indications sur la prochaine tâche à exécuter;  4) le module “recherche”, qui permet aux examinateurs d’accéder aux demandes d’enregistrement de dessin</w:t>
      </w:r>
      <w:r w:rsidR="00DA07A9">
        <w:rPr>
          <w:lang w:val="fr-FR"/>
        </w:rPr>
        <w:t>s</w:t>
      </w:r>
      <w:r w:rsidRPr="00CE3172">
        <w:rPr>
          <w:lang w:val="fr-FR"/>
        </w:rPr>
        <w:t xml:space="preserve"> ou modèle</w:t>
      </w:r>
      <w:r w:rsidR="00DA07A9">
        <w:rPr>
          <w:lang w:val="fr-FR"/>
        </w:rPr>
        <w:t>s</w:t>
      </w:r>
      <w:r w:rsidRPr="00CE3172">
        <w:rPr>
          <w:lang w:val="fr-FR"/>
        </w:rPr>
        <w:t xml:space="preserve"> industriel</w:t>
      </w:r>
      <w:r w:rsidR="00DA07A9">
        <w:rPr>
          <w:lang w:val="fr-FR"/>
        </w:rPr>
        <w:t>s</w:t>
      </w:r>
      <w:r w:rsidRPr="00CE3172">
        <w:rPr>
          <w:lang w:val="fr-FR"/>
        </w:rPr>
        <w:t>, de modèle</w:t>
      </w:r>
      <w:r w:rsidR="00DA07A9">
        <w:rPr>
          <w:lang w:val="fr-FR"/>
        </w:rPr>
        <w:t>s</w:t>
      </w:r>
      <w:r w:rsidRPr="00CE3172">
        <w:rPr>
          <w:lang w:val="fr-FR"/>
        </w:rPr>
        <w:t xml:space="preserve"> d’utilité et de brevet</w:t>
      </w:r>
      <w:r w:rsidR="00DA07A9">
        <w:rPr>
          <w:lang w:val="fr-FR"/>
        </w:rPr>
        <w:t>s</w:t>
      </w:r>
      <w:r w:rsidRPr="00CE3172">
        <w:rPr>
          <w:lang w:val="fr-FR"/>
        </w:rPr>
        <w:t>, publiées ou non, qui ont été déposées au niveau local;  et 5) le système de gestion électronique des documents, qui donne accès à la version électronique des documents déposés par le déposant.</w:t>
      </w:r>
    </w:p>
    <w:p w14:paraId="39E5B97F" w14:textId="6362CEFA" w:rsidR="008C1458" w:rsidRPr="00CE3172" w:rsidRDefault="008C1458" w:rsidP="00DA07A9">
      <w:pPr>
        <w:pStyle w:val="ONUMFS"/>
        <w:numPr>
          <w:ilvl w:val="0"/>
          <w:numId w:val="0"/>
        </w:numPr>
        <w:rPr>
          <w:lang w:val="fr-FR"/>
        </w:rPr>
      </w:pPr>
      <w:r w:rsidRPr="00CE3172">
        <w:rPr>
          <w:lang w:val="fr-FR"/>
        </w:rPr>
        <w:t>L’IPOPHL s’emploie actuellement à optimiser ses processus</w:t>
      </w:r>
      <w:r w:rsidR="00DA07A9">
        <w:rPr>
          <w:lang w:val="fr-FR"/>
        </w:rPr>
        <w:t xml:space="preserve"> opérationnels et à améliorer leur </w:t>
      </w:r>
      <w:r w:rsidRPr="00CE3172">
        <w:rPr>
          <w:lang w:val="fr-FR"/>
        </w:rPr>
        <w:t>efficacité, en particulier dans des domaines essentiels du processus de recherche et d’examen, notamment les plateformes de correspondance en ligne, l’évaluation de la qualité, les notifications en temps réel et la recherche en matière de brevets.</w:t>
      </w:r>
    </w:p>
    <w:p w14:paraId="3D0A1481" w14:textId="4F0C5CC1" w:rsidR="008C1458" w:rsidRPr="00CE3172" w:rsidRDefault="008C1458" w:rsidP="00DA07A9">
      <w:pPr>
        <w:pStyle w:val="ONUMFS"/>
        <w:numPr>
          <w:ilvl w:val="0"/>
          <w:numId w:val="0"/>
        </w:numPr>
        <w:rPr>
          <w:lang w:val="fr-FR"/>
        </w:rPr>
      </w:pPr>
      <w:r w:rsidRPr="00CE3172">
        <w:rPr>
          <w:lang w:val="fr-FR"/>
        </w:rPr>
        <w:t>S’agissant de l’infrastructure de réseau, l’IPOPHL dispose d’une solution de sécurité complète et intégrée, équipée d’un dispositif de pare</w:t>
      </w:r>
      <w:r w:rsidR="00BC3CD7">
        <w:rPr>
          <w:lang w:val="fr-FR"/>
        </w:rPr>
        <w:noBreakHyphen/>
      </w:r>
      <w:r w:rsidRPr="00CE3172">
        <w:rPr>
          <w:lang w:val="fr-FR"/>
        </w:rPr>
        <w:t>feu et d’un système anti</w:t>
      </w:r>
      <w:r w:rsidR="00BC3CD7">
        <w:rPr>
          <w:lang w:val="fr-FR"/>
        </w:rPr>
        <w:noBreakHyphen/>
      </w:r>
      <w:r w:rsidRPr="00CE3172">
        <w:rPr>
          <w:lang w:val="fr-FR"/>
        </w:rPr>
        <w:t>intrusion, doté de fonctions antivirus, anti</w:t>
      </w:r>
      <w:r w:rsidR="00BC3CD7">
        <w:rPr>
          <w:lang w:val="fr-FR"/>
        </w:rPr>
        <w:noBreakHyphen/>
      </w:r>
      <w:r w:rsidRPr="00CE3172">
        <w:rPr>
          <w:lang w:val="fr-FR"/>
        </w:rPr>
        <w:t xml:space="preserve">bot et </w:t>
      </w:r>
      <w:proofErr w:type="spellStart"/>
      <w:r w:rsidRPr="00CE3172">
        <w:rPr>
          <w:lang w:val="fr-FR"/>
        </w:rPr>
        <w:t>antispam</w:t>
      </w:r>
      <w:proofErr w:type="spellEnd"/>
      <w:r w:rsidRPr="00CE3172">
        <w:rPr>
          <w:lang w:val="fr-FR"/>
        </w:rPr>
        <w:t xml:space="preserve">, et d’une fonction réseau privé virtuel </w:t>
      </w:r>
      <w:proofErr w:type="spellStart"/>
      <w:r w:rsidRPr="00CE3172">
        <w:rPr>
          <w:lang w:val="fr-FR"/>
        </w:rPr>
        <w:t>IPSec</w:t>
      </w:r>
      <w:proofErr w:type="spellEnd"/>
      <w:r w:rsidRPr="00CE3172">
        <w:rPr>
          <w:lang w:val="fr-FR"/>
        </w:rPr>
        <w:t xml:space="preserve"> pour des conne</w:t>
      </w:r>
      <w:r>
        <w:rPr>
          <w:lang w:val="fr-FR"/>
        </w:rPr>
        <w:t>x</w:t>
      </w:r>
      <w:r w:rsidRPr="00CE3172">
        <w:rPr>
          <w:lang w:val="fr-FR"/>
        </w:rPr>
        <w:t>ions de site à site sécurisées.  Le principal commutateur réseau est alimenté via deux nœuds Internet actifs, dotés d’une bande</w:t>
      </w:r>
      <w:r>
        <w:rPr>
          <w:lang w:val="fr-FR"/>
        </w:rPr>
        <w:t xml:space="preserve"> </w:t>
      </w:r>
      <w:r w:rsidRPr="00CE3172">
        <w:rPr>
          <w:lang w:val="fr-FR"/>
        </w:rPr>
        <w:t>passante suffisante pour tout le réseau, et prévoit une fonction de basculement en cas de panne d’un des nœuds.  La virtualisation du serveur est assurée, ce qui permet d’approvisionner et de déployer plus rapidement les systèmes d’application tout en assurant une plus grande disponibilité et une meilleure durée de fonctionnement.  L’IPOPHL a souscrit à des services de sauvegarde de données en nuage, et des procédures de sauvegarde de données et d’essai sont régulièrement observées.</w:t>
      </w:r>
    </w:p>
    <w:p w14:paraId="46C16AC3" w14:textId="0B29B500" w:rsidR="008C1458" w:rsidRPr="00CE3172" w:rsidRDefault="008C1458" w:rsidP="00DA07A9">
      <w:pPr>
        <w:pStyle w:val="ONUMFS"/>
        <w:numPr>
          <w:ilvl w:val="0"/>
          <w:numId w:val="0"/>
        </w:numPr>
        <w:rPr>
          <w:lang w:val="fr-FR"/>
        </w:rPr>
      </w:pPr>
      <w:r w:rsidRPr="00CE3172">
        <w:rPr>
          <w:lang w:val="fr-FR"/>
        </w:rPr>
        <w:t>iv)</w:t>
      </w:r>
      <w:r w:rsidRPr="00CE3172">
        <w:rPr>
          <w:lang w:val="fr-FR"/>
        </w:rPr>
        <w:tab/>
        <w:t>Les examinateurs de l’IPOPHL ont accès aux bases de données de documentation en matière de brevets et de littérature non</w:t>
      </w:r>
      <w:r w:rsidR="00BC3CD7">
        <w:rPr>
          <w:lang w:val="fr-FR"/>
        </w:rPr>
        <w:noBreakHyphen/>
      </w:r>
      <w:r w:rsidRPr="00CE3172">
        <w:rPr>
          <w:lang w:val="fr-FR"/>
        </w:rPr>
        <w:t>brevet ci</w:t>
      </w:r>
      <w:r w:rsidR="00BC3CD7">
        <w:rPr>
          <w:lang w:val="fr-FR"/>
        </w:rPr>
        <w:noBreakHyphen/>
      </w:r>
      <w:r w:rsidRPr="00CE3172">
        <w:rPr>
          <w:lang w:val="fr-FR"/>
        </w:rPr>
        <w:t>après :</w:t>
      </w:r>
    </w:p>
    <w:p w14:paraId="052982C6" w14:textId="403CDD37" w:rsidR="008C1458" w:rsidRPr="00CE3172" w:rsidRDefault="00DA07A9" w:rsidP="00DA07A9">
      <w:pPr>
        <w:pStyle w:val="ONUMFS"/>
        <w:numPr>
          <w:ilvl w:val="0"/>
          <w:numId w:val="40"/>
        </w:numPr>
        <w:ind w:left="1134" w:hanging="567"/>
        <w:rPr>
          <w:lang w:val="fr-FR"/>
        </w:rPr>
      </w:pPr>
      <w:r w:rsidRPr="00CE3172">
        <w:rPr>
          <w:lang w:val="fr-FR"/>
        </w:rPr>
        <w:t xml:space="preserve">la </w:t>
      </w:r>
      <w:r w:rsidR="008C1458" w:rsidRPr="00CE3172">
        <w:rPr>
          <w:lang w:val="fr-FR"/>
        </w:rPr>
        <w:t>plateforme de recherche commerciale Thomson Innovation, qui englobe le Derwent World Patent Index (DWPI);</w:t>
      </w:r>
    </w:p>
    <w:p w14:paraId="248AA7CB" w14:textId="03EE11FE" w:rsidR="008C1458" w:rsidRPr="00CE3172" w:rsidRDefault="00DA07A9" w:rsidP="00DA07A9">
      <w:pPr>
        <w:pStyle w:val="ONUMFS"/>
        <w:numPr>
          <w:ilvl w:val="0"/>
          <w:numId w:val="40"/>
        </w:numPr>
        <w:ind w:left="1134" w:hanging="567"/>
        <w:rPr>
          <w:lang w:val="fr-FR"/>
        </w:rPr>
      </w:pPr>
      <w:r w:rsidRPr="00CE3172">
        <w:rPr>
          <w:lang w:val="fr-FR"/>
        </w:rPr>
        <w:t xml:space="preserve">la </w:t>
      </w:r>
      <w:r w:rsidR="008C1458" w:rsidRPr="00CE3172">
        <w:rPr>
          <w:lang w:val="fr-FR"/>
        </w:rPr>
        <w:t>base de données mondiale WIPS, qui contient le texte intégral des brevets délivrés et des demandes d’enregistrement de brevets en provenance des États</w:t>
      </w:r>
      <w:r w:rsidR="00BC3CD7">
        <w:rPr>
          <w:lang w:val="fr-FR"/>
        </w:rPr>
        <w:noBreakHyphen/>
      </w:r>
      <w:r w:rsidR="008C1458" w:rsidRPr="00CE3172">
        <w:rPr>
          <w:lang w:val="fr-FR"/>
        </w:rPr>
        <w:t>Unis d’Amérique, d’Europe, du Japon, de Corée et de Chine, notamment les demandes selon le PCT émises avant 1975;</w:t>
      </w:r>
    </w:p>
    <w:p w14:paraId="7653E39F" w14:textId="590FEDB1" w:rsidR="008C1458" w:rsidRPr="00CE3172" w:rsidRDefault="00DA07A9" w:rsidP="00DA07A9">
      <w:pPr>
        <w:pStyle w:val="ONUMFS"/>
        <w:numPr>
          <w:ilvl w:val="0"/>
          <w:numId w:val="40"/>
        </w:numPr>
        <w:ind w:left="1134" w:hanging="567"/>
        <w:rPr>
          <w:lang w:val="fr-FR"/>
        </w:rPr>
      </w:pPr>
      <w:r w:rsidRPr="00CE3172">
        <w:rPr>
          <w:lang w:val="fr-FR"/>
        </w:rPr>
        <w:t xml:space="preserve">des </w:t>
      </w:r>
      <w:r w:rsidR="008C1458" w:rsidRPr="00CE3172">
        <w:rPr>
          <w:lang w:val="fr-FR"/>
        </w:rPr>
        <w:t xml:space="preserve">bases de données publiques telles que : i) OPSIN (nomenclature de l’UICPA);  ii) NCBI (National Center for </w:t>
      </w:r>
      <w:proofErr w:type="spellStart"/>
      <w:r w:rsidR="008C1458" w:rsidRPr="00CE3172">
        <w:rPr>
          <w:lang w:val="fr-FR"/>
        </w:rPr>
        <w:t>Biotechnology</w:t>
      </w:r>
      <w:proofErr w:type="spellEnd"/>
      <w:r w:rsidR="008C1458" w:rsidRPr="00CE3172">
        <w:rPr>
          <w:lang w:val="fr-FR"/>
        </w:rPr>
        <w:t xml:space="preserve"> Information – Centre national d’information sur les biotechnologies);  iii) EMBL</w:t>
      </w:r>
      <w:r w:rsidR="00BC3CD7">
        <w:rPr>
          <w:lang w:val="fr-FR"/>
        </w:rPr>
        <w:noBreakHyphen/>
      </w:r>
      <w:r w:rsidR="008C1458" w:rsidRPr="00CE3172">
        <w:rPr>
          <w:lang w:val="fr-FR"/>
        </w:rPr>
        <w:t>EBI (Laboratoire européen de biologie moléculaire – Institut européen de bio</w:t>
      </w:r>
      <w:r w:rsidR="00BC3CD7">
        <w:rPr>
          <w:lang w:val="fr-FR"/>
        </w:rPr>
        <w:noBreakHyphen/>
      </w:r>
      <w:r w:rsidR="008C1458" w:rsidRPr="00CE3172">
        <w:rPr>
          <w:lang w:val="fr-FR"/>
        </w:rPr>
        <w:t>informatique) pour la recherche en matière de listage des séquences;  iv) 3GPP (Technologies de la télécommunication);  v) WIPO Case et vi) PATENTSCOPE;</w:t>
      </w:r>
    </w:p>
    <w:p w14:paraId="0B50328A" w14:textId="73690BEB" w:rsidR="008C1458" w:rsidRPr="00CE3172" w:rsidRDefault="00DA07A9" w:rsidP="00DA07A9">
      <w:pPr>
        <w:pStyle w:val="ONUMFS"/>
        <w:numPr>
          <w:ilvl w:val="0"/>
          <w:numId w:val="40"/>
        </w:numPr>
        <w:ind w:left="1134" w:hanging="567"/>
        <w:rPr>
          <w:lang w:val="fr-FR"/>
        </w:rPr>
      </w:pPr>
      <w:r w:rsidRPr="00CE3172">
        <w:rPr>
          <w:lang w:val="fr-FR"/>
        </w:rPr>
        <w:t xml:space="preserve">des </w:t>
      </w:r>
      <w:r w:rsidR="008C1458" w:rsidRPr="00CE3172">
        <w:rPr>
          <w:lang w:val="fr-FR"/>
        </w:rPr>
        <w:t xml:space="preserve">bases de données comme </w:t>
      </w:r>
      <w:proofErr w:type="spellStart"/>
      <w:r w:rsidR="008C1458" w:rsidRPr="00CE3172">
        <w:rPr>
          <w:lang w:val="fr-FR"/>
        </w:rPr>
        <w:t>PubMed</w:t>
      </w:r>
      <w:proofErr w:type="spellEnd"/>
      <w:r w:rsidR="008C1458" w:rsidRPr="00CE3172">
        <w:rPr>
          <w:lang w:val="fr-FR"/>
        </w:rPr>
        <w:t>, qui regroupe des articles ne portant pas sur les brevets dans les domaines de la chimie, de la biologie moléculaire et d’autres sciences précliniques, et The Lens pour des recherches complètes sur l’ADN et les séquences de protéines;</w:t>
      </w:r>
    </w:p>
    <w:p w14:paraId="1EAFA1A4" w14:textId="7D0E0E53" w:rsidR="008C1458" w:rsidRPr="00CE3172" w:rsidRDefault="00DA07A9" w:rsidP="00DA07A9">
      <w:pPr>
        <w:pStyle w:val="ONUMFS"/>
        <w:numPr>
          <w:ilvl w:val="0"/>
          <w:numId w:val="40"/>
        </w:numPr>
        <w:ind w:left="1134" w:hanging="567"/>
        <w:rPr>
          <w:lang w:val="fr-FR"/>
        </w:rPr>
      </w:pPr>
      <w:r w:rsidRPr="00CE3172">
        <w:rPr>
          <w:lang w:val="fr-FR"/>
        </w:rPr>
        <w:t xml:space="preserve">la </w:t>
      </w:r>
      <w:r w:rsidR="008C1458" w:rsidRPr="00CE3172">
        <w:rPr>
          <w:lang w:val="fr-FR"/>
        </w:rPr>
        <w:t>bibliothèque numérique de la propriété industrielle de l’IPOPHL et la base de données interne IPAS (système d’automatisation en matière de propriété intellectuelle) de l’IPOPHL;</w:t>
      </w:r>
    </w:p>
    <w:p w14:paraId="52D8CB52" w14:textId="68C60416" w:rsidR="008C1458" w:rsidRPr="00CE3172" w:rsidRDefault="00DA07A9" w:rsidP="00DA07A9">
      <w:pPr>
        <w:pStyle w:val="ONUMFS"/>
        <w:numPr>
          <w:ilvl w:val="0"/>
          <w:numId w:val="40"/>
        </w:numPr>
        <w:ind w:left="1134" w:hanging="567"/>
        <w:rPr>
          <w:lang w:val="fr-FR"/>
        </w:rPr>
      </w:pPr>
      <w:r w:rsidRPr="00CE3172">
        <w:rPr>
          <w:lang w:val="fr-FR"/>
        </w:rPr>
        <w:lastRenderedPageBreak/>
        <w:t xml:space="preserve">des </w:t>
      </w:r>
      <w:r w:rsidR="008C1458" w:rsidRPr="00CE3172">
        <w:rPr>
          <w:lang w:val="fr-FR"/>
        </w:rPr>
        <w:t>bases de données nationales sur les brevets d’autres offices de la propriété intellectuelle, comme USPTO, J</w:t>
      </w:r>
      <w:r w:rsidR="00BC3CD7">
        <w:rPr>
          <w:lang w:val="fr-FR"/>
        </w:rPr>
        <w:noBreakHyphen/>
      </w:r>
      <w:r w:rsidR="008C1458" w:rsidRPr="00CE3172">
        <w:rPr>
          <w:lang w:val="fr-FR"/>
        </w:rPr>
        <w:t xml:space="preserve">PLATPAT, AUSPAT, </w:t>
      </w:r>
      <w:proofErr w:type="spellStart"/>
      <w:r w:rsidR="008C1458" w:rsidRPr="00CE3172">
        <w:rPr>
          <w:lang w:val="fr-FR"/>
        </w:rPr>
        <w:t>Espacenet</w:t>
      </w:r>
      <w:proofErr w:type="spellEnd"/>
      <w:r w:rsidR="008C1458" w:rsidRPr="00CE3172">
        <w:rPr>
          <w:lang w:val="fr-FR"/>
        </w:rPr>
        <w:t xml:space="preserve"> et AIPN.</w:t>
      </w:r>
    </w:p>
    <w:p w14:paraId="61FCF236" w14:textId="02026CF7" w:rsidR="008C1458" w:rsidRPr="00CE3172" w:rsidRDefault="008C1458" w:rsidP="00DA07A9">
      <w:pPr>
        <w:pStyle w:val="ONUMFS"/>
        <w:numPr>
          <w:ilvl w:val="0"/>
          <w:numId w:val="0"/>
        </w:numPr>
        <w:rPr>
          <w:lang w:val="fr-FR"/>
        </w:rPr>
      </w:pPr>
      <w:r w:rsidRPr="00CE3172">
        <w:rPr>
          <w:lang w:val="fr-FR"/>
        </w:rPr>
        <w:t>S</w:t>
      </w:r>
      <w:r w:rsidR="00DA07A9">
        <w:rPr>
          <w:lang w:val="fr-FR"/>
        </w:rPr>
        <w:t>’ils</w:t>
      </w:r>
      <w:r w:rsidRPr="00CE3172">
        <w:rPr>
          <w:lang w:val="fr-FR"/>
        </w:rPr>
        <w:t xml:space="preserve"> sont déjà conformes aux exigences relatives à la documentation minimale, les options et les champs de recherche de l’IPOPHL seront prochainement améliorés grâce à un accès aux bases de données STN et IEEE </w:t>
      </w:r>
      <w:proofErr w:type="spellStart"/>
      <w:r w:rsidRPr="00CE3172">
        <w:rPr>
          <w:lang w:val="fr-FR"/>
        </w:rPr>
        <w:t>Xplore</w:t>
      </w:r>
      <w:proofErr w:type="spellEnd"/>
      <w:r w:rsidRPr="00CE3172">
        <w:rPr>
          <w:lang w:val="fr-FR"/>
        </w:rPr>
        <w:t>.  En outre, l’</w:t>
      </w:r>
      <w:r w:rsidR="00BB28AA" w:rsidRPr="00CE3172">
        <w:rPr>
          <w:lang w:val="fr-FR"/>
        </w:rPr>
        <w:t>office</w:t>
      </w:r>
      <w:r w:rsidRPr="00CE3172">
        <w:rPr>
          <w:lang w:val="fr-FR"/>
        </w:rPr>
        <w:t xml:space="preserve"> envisage d’accéder à </w:t>
      </w:r>
      <w:proofErr w:type="spellStart"/>
      <w:r w:rsidRPr="00CE3172">
        <w:rPr>
          <w:lang w:val="fr-FR"/>
        </w:rPr>
        <w:t>EPOQUENet</w:t>
      </w:r>
      <w:proofErr w:type="spellEnd"/>
      <w:r w:rsidRPr="00CE3172">
        <w:rPr>
          <w:lang w:val="fr-FR"/>
        </w:rPr>
        <w:t>.</w:t>
      </w:r>
    </w:p>
    <w:p w14:paraId="3FE4F143" w14:textId="0117E622" w:rsidR="008C1458" w:rsidRPr="00CE3172" w:rsidRDefault="008C1458" w:rsidP="00DA07A9">
      <w:pPr>
        <w:pStyle w:val="ONUMFS"/>
        <w:numPr>
          <w:ilvl w:val="0"/>
          <w:numId w:val="0"/>
        </w:numPr>
        <w:rPr>
          <w:lang w:val="fr-FR"/>
        </w:rPr>
      </w:pPr>
      <w:r w:rsidRPr="00CE3172">
        <w:rPr>
          <w:lang w:val="fr-FR"/>
        </w:rPr>
        <w:t>v)</w:t>
      </w:r>
      <w:r w:rsidRPr="00CE3172">
        <w:rPr>
          <w:lang w:val="fr-FR"/>
        </w:rPr>
        <w:tab/>
        <w:t>Toutes les informations utiles concernant les procédures, les directives et les documents comme le Code de la propriété intellectuelle, les règlements d’exécution, le manuel pratique sur l’examen des brevets sont accessibles sur le site Web de l’IPOPHL.  Le Manuel sur la qualité, les publications, les mémorandums et les décisions de l’</w:t>
      </w:r>
      <w:r w:rsidR="00BB28AA" w:rsidRPr="00CE3172">
        <w:rPr>
          <w:lang w:val="fr-FR"/>
        </w:rPr>
        <w:t>office</w:t>
      </w:r>
      <w:r w:rsidRPr="00CE3172">
        <w:rPr>
          <w:lang w:val="fr-FR"/>
        </w:rPr>
        <w:t xml:space="preserve"> concernant le système de contrôle de la qualité des brevets sont accessibles via l’intranet de l’IPOPHL.</w:t>
      </w:r>
    </w:p>
    <w:p w14:paraId="4D08638B" w14:textId="77777777" w:rsidR="008C1458" w:rsidRPr="00CE3172" w:rsidRDefault="008C1458" w:rsidP="00DA07A9">
      <w:pPr>
        <w:pStyle w:val="ONUMFS"/>
        <w:numPr>
          <w:ilvl w:val="0"/>
          <w:numId w:val="0"/>
        </w:numPr>
        <w:rPr>
          <w:lang w:val="fr-FR"/>
        </w:rPr>
      </w:pPr>
      <w:r w:rsidRPr="00CE3172">
        <w:rPr>
          <w:lang w:val="fr-FR"/>
        </w:rPr>
        <w:t>Toute mise à jour ou toute instruction est communiquée à l’occasion de l’Assemblée générale du Bureau des brevets, des réunions de la direction du Bureau des brevets, des réunions mensuelles de division ou de réunions spéciales, selon qu’il convient.</w:t>
      </w:r>
    </w:p>
    <w:p w14:paraId="55DF9AEB" w14:textId="77777777" w:rsidR="008C1458" w:rsidRPr="00CE3172" w:rsidRDefault="008C1458" w:rsidP="00DA07A9">
      <w:pPr>
        <w:pStyle w:val="GuidanceNumbered"/>
        <w:spacing w:line="240" w:lineRule="auto"/>
      </w:pPr>
      <w:r w:rsidRPr="00CE3172">
        <w:t>Ressources en matière de formation :</w:t>
      </w:r>
    </w:p>
    <w:p w14:paraId="7E4717E3" w14:textId="77777777" w:rsidR="008C1458" w:rsidRPr="00CE3172" w:rsidRDefault="008C1458" w:rsidP="00DA07A9">
      <w:pPr>
        <w:pStyle w:val="GuidanceNumbered"/>
        <w:spacing w:line="240" w:lineRule="auto"/>
      </w:pPr>
      <w:r w:rsidRPr="00CE3172">
        <w:tab/>
        <w:t>vi)</w:t>
      </w:r>
      <w:r w:rsidRPr="00CE3172">
        <w:tab/>
        <w:t>Décrire l’infrastructure et le programme de formation et de perfectionnement qui permet à tout le personnel participant au processus de recherche et d’examen</w:t>
      </w:r>
      <w:r w:rsidRPr="00CE3172">
        <w:rPr>
          <w:i w:val="0"/>
        </w:rPr>
        <w:t> :</w:t>
      </w:r>
    </w:p>
    <w:p w14:paraId="086C5C99" w14:textId="77777777" w:rsidR="008C1458" w:rsidRPr="00CE3172" w:rsidRDefault="008C1458" w:rsidP="00DA07A9">
      <w:pPr>
        <w:pStyle w:val="GuidanceNumbered"/>
        <w:spacing w:line="240" w:lineRule="auto"/>
      </w:pPr>
      <w:r w:rsidRPr="00CE3172">
        <w:tab/>
      </w:r>
      <w:proofErr w:type="gramStart"/>
      <w:r w:rsidRPr="00CE3172">
        <w:t>d’acquérir</w:t>
      </w:r>
      <w:proofErr w:type="gramEnd"/>
      <w:r w:rsidRPr="00CE3172">
        <w:t xml:space="preserve"> et de conserver l’expérience et les compétences nécessaires;  et</w:t>
      </w:r>
    </w:p>
    <w:p w14:paraId="40291A18" w14:textId="77777777" w:rsidR="008C1458" w:rsidRPr="00CE3172" w:rsidRDefault="008C1458" w:rsidP="00DA07A9">
      <w:pPr>
        <w:pStyle w:val="GuidanceNumbered"/>
        <w:spacing w:line="240" w:lineRule="auto"/>
      </w:pPr>
      <w:r w:rsidRPr="00CE3172">
        <w:tab/>
      </w:r>
      <w:proofErr w:type="gramStart"/>
      <w:r w:rsidRPr="00CE3172">
        <w:t>d’être</w:t>
      </w:r>
      <w:proofErr w:type="gramEnd"/>
      <w:r w:rsidRPr="00CE3172">
        <w:t xml:space="preserve"> pleinement conscient de l’importance de respecter les critères et les normes de qualité.</w:t>
      </w:r>
    </w:p>
    <w:p w14:paraId="03DAF39F" w14:textId="77777777" w:rsidR="008C1458" w:rsidRPr="00CE3172" w:rsidRDefault="008C1458" w:rsidP="00DA07A9">
      <w:pPr>
        <w:pStyle w:val="Heading4"/>
        <w:rPr>
          <w:lang w:val="fr-FR"/>
        </w:rPr>
      </w:pPr>
      <w:r w:rsidRPr="00CE3172">
        <w:rPr>
          <w:lang w:val="fr-FR"/>
        </w:rPr>
        <w:t>Programme de formation à l’intention des nouveaux examinateurs de brevets :</w:t>
      </w:r>
    </w:p>
    <w:p w14:paraId="01C0D9A1" w14:textId="77777777" w:rsidR="008C1458" w:rsidRPr="00CE3172" w:rsidRDefault="008C1458" w:rsidP="00DA07A9">
      <w:pPr>
        <w:rPr>
          <w:lang w:val="fr-FR"/>
        </w:rPr>
      </w:pPr>
    </w:p>
    <w:p w14:paraId="5E69B82C" w14:textId="77777777" w:rsidR="008C1458" w:rsidRPr="00CE3172" w:rsidRDefault="008C1458" w:rsidP="00DA07A9">
      <w:pPr>
        <w:pStyle w:val="ONUMFS"/>
        <w:numPr>
          <w:ilvl w:val="0"/>
          <w:numId w:val="0"/>
        </w:numPr>
        <w:rPr>
          <w:lang w:val="fr-FR"/>
        </w:rPr>
      </w:pPr>
      <w:r w:rsidRPr="00CE3172">
        <w:rPr>
          <w:lang w:val="fr-FR"/>
        </w:rPr>
        <w:t>À la date de la nomination en tant qu’administration chargée de la recherche internationale, les nouveaux examinateurs seront déjà dotés de compétences en matière d’examen de brevets et seront capables de mener, en toute autonomie, des travaux de recherche et d’examen quant au fond.</w:t>
      </w:r>
    </w:p>
    <w:p w14:paraId="18CB6327" w14:textId="127F96BA" w:rsidR="008C1458" w:rsidRPr="00CE3172" w:rsidRDefault="008C1458" w:rsidP="00DA07A9">
      <w:pPr>
        <w:pStyle w:val="ONUMFS"/>
        <w:numPr>
          <w:ilvl w:val="0"/>
          <w:numId w:val="0"/>
        </w:numPr>
        <w:rPr>
          <w:lang w:val="fr-FR"/>
        </w:rPr>
      </w:pPr>
      <w:r w:rsidRPr="00CE3172">
        <w:rPr>
          <w:lang w:val="fr-FR"/>
        </w:rPr>
        <w:t xml:space="preserve">L’IPOPHL déploie une formation axée sur les compétences et un programme de </w:t>
      </w:r>
      <w:r w:rsidRPr="00CE3172">
        <w:rPr>
          <w:snapToGrid w:val="0"/>
          <w:kern w:val="22"/>
          <w:lang w:val="fr-FR"/>
        </w:rPr>
        <w:t>renforcement des capacités</w:t>
      </w:r>
      <w:r w:rsidRPr="00CE3172">
        <w:rPr>
          <w:lang w:val="fr-FR"/>
        </w:rPr>
        <w:t xml:space="preserve"> à l’intention des examinateurs de brevets afin de garantir des recherches et des examens de qualité.  Son approche s’articule autour de deux axes : 1) la formation à l’intention des nouveaux examinateurs de brevets (NPET);  et 2) le programme de formation continue (CTP).  Élaboré par l’</w:t>
      </w:r>
      <w:r w:rsidR="00BB28AA" w:rsidRPr="00CE3172">
        <w:rPr>
          <w:lang w:val="fr-FR"/>
        </w:rPr>
        <w:t>office</w:t>
      </w:r>
      <w:r w:rsidRPr="00CE3172">
        <w:rPr>
          <w:lang w:val="fr-FR"/>
        </w:rPr>
        <w:t>, le NPET est un programme de formation très structuré et complet qui intègre, entre autres, les éléments pertinents des programmes de formation de l’U</w:t>
      </w:r>
      <w:r>
        <w:rPr>
          <w:lang w:val="fr-FR"/>
        </w:rPr>
        <w:t>SP</w:t>
      </w:r>
      <w:r w:rsidRPr="00CE3172">
        <w:rPr>
          <w:lang w:val="fr-FR"/>
        </w:rPr>
        <w:t>TO, d’IP </w:t>
      </w:r>
      <w:proofErr w:type="spellStart"/>
      <w:r w:rsidRPr="00CE3172">
        <w:rPr>
          <w:lang w:val="fr-FR"/>
        </w:rPr>
        <w:t>Australia</w:t>
      </w:r>
      <w:proofErr w:type="spellEnd"/>
      <w:r w:rsidRPr="00CE3172">
        <w:rPr>
          <w:lang w:val="fr-FR"/>
        </w:rPr>
        <w:t xml:space="preserve"> et de l’OEB.  Le NPET comprend trois phases.</w:t>
      </w:r>
    </w:p>
    <w:p w14:paraId="4DA7A09D" w14:textId="77777777" w:rsidR="008C1458" w:rsidRPr="00CE3172" w:rsidRDefault="008C1458" w:rsidP="00DA07A9">
      <w:pPr>
        <w:pStyle w:val="ONUMFS"/>
        <w:numPr>
          <w:ilvl w:val="0"/>
          <w:numId w:val="0"/>
        </w:numPr>
        <w:rPr>
          <w:lang w:val="fr-FR"/>
        </w:rPr>
      </w:pPr>
      <w:r w:rsidRPr="00CE3172">
        <w:rPr>
          <w:lang w:val="fr-FR"/>
        </w:rPr>
        <w:t>La phase I porte sur les concepts fondamentaux de la recherche et de l’examen en matière de brevets, les pratiques et les procédures, les dispositions juridiques, l’automatisation ainsi que le développement personnel et professionnel.</w:t>
      </w:r>
    </w:p>
    <w:p w14:paraId="32C991E2" w14:textId="77777777" w:rsidR="008C1458" w:rsidRPr="00CE3172" w:rsidRDefault="008C1458" w:rsidP="00DA07A9">
      <w:pPr>
        <w:pStyle w:val="ONUMFS"/>
        <w:numPr>
          <w:ilvl w:val="0"/>
          <w:numId w:val="0"/>
        </w:numPr>
        <w:rPr>
          <w:lang w:val="fr-FR"/>
        </w:rPr>
      </w:pPr>
      <w:r w:rsidRPr="00CE3172">
        <w:rPr>
          <w:lang w:val="fr-FR"/>
        </w:rPr>
        <w:t>La phase II concerne la formation axée sur la technologie.  Les nouveaux examinateurs sont affectés dans les divisions d’examen où ils gèrent des demandes concrètes et mettent leurs apprentissages en pratique.  À ce stade, ils sont encadrés et supervisés par des examinateurs chevronnés.</w:t>
      </w:r>
    </w:p>
    <w:p w14:paraId="79EE65B0" w14:textId="77777777" w:rsidR="008C1458" w:rsidRPr="00CE3172" w:rsidRDefault="008C1458" w:rsidP="00DA07A9">
      <w:pPr>
        <w:pStyle w:val="ONUMFS"/>
        <w:numPr>
          <w:ilvl w:val="0"/>
          <w:numId w:val="0"/>
        </w:numPr>
        <w:rPr>
          <w:lang w:val="fr-FR"/>
        </w:rPr>
      </w:pPr>
      <w:r w:rsidRPr="00CE3172">
        <w:rPr>
          <w:lang w:val="fr-FR"/>
        </w:rPr>
        <w:t xml:space="preserve">La phase III comprend une formation complémentaire en ce qui concerne l’examen, la recherche et d’autres questions relatives à la propriété intellectuelle dans les domaines qui l’exigent, sur la base de l’évaluation menée aux étapes précédentes.  Pour le NPET, différentes méthodes sont utilisées (conférences, travaux et exposés de groupe, </w:t>
      </w:r>
      <w:proofErr w:type="spellStart"/>
      <w:r w:rsidRPr="00CE3172">
        <w:rPr>
          <w:lang w:val="fr-FR"/>
        </w:rPr>
        <w:t>microtests</w:t>
      </w:r>
      <w:proofErr w:type="spellEnd"/>
      <w:r w:rsidRPr="00CE3172">
        <w:rPr>
          <w:lang w:val="fr-FR"/>
        </w:rPr>
        <w:t xml:space="preserve"> et exercices, et ateliers destinés à assurer un apprentissage efficace).  Une évaluation est réalisée à la fin de chaque phase du NPET.</w:t>
      </w:r>
    </w:p>
    <w:p w14:paraId="49C001EE" w14:textId="77777777" w:rsidR="008C1458" w:rsidRPr="00CE3172" w:rsidRDefault="008C1458" w:rsidP="00DA07A9">
      <w:pPr>
        <w:pStyle w:val="Heading4"/>
        <w:rPr>
          <w:lang w:val="fr-FR"/>
        </w:rPr>
      </w:pPr>
      <w:r w:rsidRPr="00CE3172">
        <w:rPr>
          <w:lang w:val="fr-FR"/>
        </w:rPr>
        <w:lastRenderedPageBreak/>
        <w:t>Évaluation axée sur les compétences</w:t>
      </w:r>
    </w:p>
    <w:p w14:paraId="6616DE00" w14:textId="77777777" w:rsidR="008C1458" w:rsidRPr="00CE3172" w:rsidRDefault="008C1458" w:rsidP="00DA07A9">
      <w:pPr>
        <w:rPr>
          <w:lang w:val="fr-FR"/>
        </w:rPr>
      </w:pPr>
    </w:p>
    <w:p w14:paraId="164F9E56" w14:textId="77777777" w:rsidR="008C1458" w:rsidRPr="00CE3172" w:rsidRDefault="008C1458" w:rsidP="00DA07A9">
      <w:pPr>
        <w:pStyle w:val="ONUMFS"/>
        <w:numPr>
          <w:ilvl w:val="0"/>
          <w:numId w:val="0"/>
        </w:numPr>
        <w:rPr>
          <w:lang w:val="fr-FR"/>
        </w:rPr>
      </w:pPr>
      <w:r w:rsidRPr="00CE3172">
        <w:rPr>
          <w:lang w:val="fr-FR"/>
        </w:rPr>
        <w:t>Pour les nouveaux examinateurs de brevets, une évaluation est réalisée à la fin de chaque phase du NPET.  Tout participant qui ne manifeste pas les compétences attendues en matière de recherche et d’examen après la phase I ne sera pas admis dans la phase II (formation axée sur la technologie).  Lors de la phase II, le superviseur adjoint et le superviseur font des commentaires sur la compétence du participant.</w:t>
      </w:r>
    </w:p>
    <w:p w14:paraId="077A1825" w14:textId="77777777" w:rsidR="008C1458" w:rsidRPr="00CE3172" w:rsidRDefault="008C1458" w:rsidP="00DA07A9">
      <w:pPr>
        <w:pStyle w:val="ONUMFS"/>
        <w:numPr>
          <w:ilvl w:val="0"/>
          <w:numId w:val="0"/>
        </w:numPr>
        <w:rPr>
          <w:lang w:val="fr-FR"/>
        </w:rPr>
      </w:pPr>
      <w:r w:rsidRPr="00CE3172">
        <w:rPr>
          <w:lang w:val="fr-FR"/>
        </w:rPr>
        <w:t>Pour la phase II, les participants doivent établir six rapports d’examen consécutifs sans erreur.</w:t>
      </w:r>
    </w:p>
    <w:p w14:paraId="71FD012E" w14:textId="4AC2ADA4" w:rsidR="008C1458" w:rsidRPr="00CE3172" w:rsidRDefault="008C1458" w:rsidP="00DA07A9">
      <w:pPr>
        <w:pStyle w:val="ONUMFS"/>
        <w:numPr>
          <w:ilvl w:val="0"/>
          <w:numId w:val="0"/>
        </w:numPr>
        <w:rPr>
          <w:lang w:val="fr-FR"/>
        </w:rPr>
      </w:pPr>
      <w:r w:rsidRPr="00CE3172">
        <w:rPr>
          <w:lang w:val="fr-FR"/>
        </w:rPr>
        <w:t>Tout participant qui commet une erreur au titre des sections 1 et 2 (recherche, brevetabilité et clarté des revendications) des normes applicables du système de contrôle de la qualité des brevets recommence à zéro jusqu’à ce qu’il réussisse à établir six rapports d’examen consécutifs sans erreur.  Le nombre de demandes examinées peut encore être accru au</w:t>
      </w:r>
      <w:r w:rsidR="00BC3CD7">
        <w:rPr>
          <w:lang w:val="fr-FR"/>
        </w:rPr>
        <w:noBreakHyphen/>
      </w:r>
      <w:r w:rsidRPr="00CE3172">
        <w:rPr>
          <w:lang w:val="fr-FR"/>
        </w:rPr>
        <w:t>delà de ce qui est requis, si le formateur estime raisonnablement que le participant doit acquérir une plus grande pratique de certains sujets.</w:t>
      </w:r>
    </w:p>
    <w:p w14:paraId="12233554" w14:textId="77777777" w:rsidR="008C1458" w:rsidRPr="00CE3172" w:rsidRDefault="008C1458" w:rsidP="00DA07A9">
      <w:pPr>
        <w:pStyle w:val="ONUMFS"/>
        <w:numPr>
          <w:ilvl w:val="0"/>
          <w:numId w:val="0"/>
        </w:numPr>
        <w:rPr>
          <w:lang w:val="fr-FR"/>
        </w:rPr>
      </w:pPr>
      <w:r w:rsidRPr="00CE3172">
        <w:rPr>
          <w:lang w:val="fr-FR"/>
        </w:rPr>
        <w:t>Les travaux de tous les examinateurs de brevets sont soumis à deux contrôles qualité en cours de processus, l’un par le superviseur adjoint (chef de division adjoint) et l’autre par le superviseur (chef de division).</w:t>
      </w:r>
    </w:p>
    <w:p w14:paraId="6BC1957B" w14:textId="77777777" w:rsidR="008C1458" w:rsidRPr="00CE3172" w:rsidRDefault="008C1458" w:rsidP="00DA07A9">
      <w:pPr>
        <w:pStyle w:val="Heading4"/>
        <w:rPr>
          <w:lang w:val="fr-FR"/>
        </w:rPr>
      </w:pPr>
      <w:r w:rsidRPr="00CE3172">
        <w:rPr>
          <w:lang w:val="fr-FR"/>
        </w:rPr>
        <w:t>Programme de formation continue (CTP)</w:t>
      </w:r>
    </w:p>
    <w:p w14:paraId="7C9071D6" w14:textId="77777777" w:rsidR="008C1458" w:rsidRPr="00CE3172" w:rsidRDefault="008C1458" w:rsidP="00DA07A9">
      <w:pPr>
        <w:keepNext/>
        <w:rPr>
          <w:lang w:val="fr-FR"/>
        </w:rPr>
      </w:pPr>
    </w:p>
    <w:p w14:paraId="4C6C1CFF" w14:textId="5D61521E" w:rsidR="008C1458" w:rsidRPr="00CE3172" w:rsidRDefault="008C1458" w:rsidP="00DA07A9">
      <w:pPr>
        <w:pStyle w:val="ONUMFS"/>
        <w:numPr>
          <w:ilvl w:val="0"/>
          <w:numId w:val="0"/>
        </w:numPr>
        <w:rPr>
          <w:lang w:val="fr-FR"/>
        </w:rPr>
      </w:pPr>
      <w:r w:rsidRPr="00CE3172">
        <w:rPr>
          <w:lang w:val="fr-FR"/>
        </w:rPr>
        <w:t xml:space="preserve">Afin de renforcer les capacités et les compétences des examinateurs actuels, l’IPOPHL mène un programme de formation continue, qui comprend des formations avancées, des ateliers et des séminaires sur la recherche et l’examen en matière de brevets dans différents domaines technologiques ainsi que sur les technologies nouvelles et émergentes, </w:t>
      </w:r>
      <w:r w:rsidR="00DA07A9">
        <w:rPr>
          <w:lang w:val="fr-FR"/>
        </w:rPr>
        <w:t xml:space="preserve">l’évolution de </w:t>
      </w:r>
      <w:r w:rsidRPr="00CE3172">
        <w:rPr>
          <w:lang w:val="fr-FR"/>
        </w:rPr>
        <w:t>la législation, les pratiques et les procédures concernant les brevets, et des visites d’usine dans les secteurs utilisant des technologies avancées.  Depuis 2011, l’IPOPHL a un partenariat avec le DOST dans le cadre de son programme en faveur des scientifiques de retour dans le pays (</w:t>
      </w:r>
      <w:proofErr w:type="spellStart"/>
      <w:r w:rsidRPr="00CE3172">
        <w:rPr>
          <w:i/>
          <w:lang w:val="fr-FR"/>
        </w:rPr>
        <w:t>Balik</w:t>
      </w:r>
      <w:proofErr w:type="spellEnd"/>
      <w:r w:rsidRPr="00CE3172">
        <w:rPr>
          <w:i/>
          <w:lang w:val="fr-FR"/>
        </w:rPr>
        <w:t xml:space="preserve"> </w:t>
      </w:r>
      <w:proofErr w:type="spellStart"/>
      <w:r w:rsidRPr="00CE3172">
        <w:rPr>
          <w:i/>
          <w:lang w:val="fr-FR"/>
        </w:rPr>
        <w:t>Scientist</w:t>
      </w:r>
      <w:proofErr w:type="spellEnd"/>
      <w:r w:rsidRPr="00CE3172">
        <w:rPr>
          <w:i/>
          <w:lang w:val="fr-FR"/>
        </w:rPr>
        <w:t xml:space="preserve"> Program</w:t>
      </w:r>
      <w:r w:rsidRPr="00CE3172">
        <w:rPr>
          <w:lang w:val="fr-FR"/>
        </w:rPr>
        <w:t>), destiné à renforcer les ressources humaines dans le domaine des sciences et des technologies grâce au transfert de différentes connaissances et données d’expertise.  Aux termes de ce programme, les doctorants boursiers du DOST qui ont poursuivi leurs études à l’étranger donnent des conférences et des formations à l’intention des examinateurs de brevets sur des domaines technologiques spécifiques.</w:t>
      </w:r>
    </w:p>
    <w:p w14:paraId="6AA13F05" w14:textId="13F4B96F" w:rsidR="008C1458" w:rsidRPr="00CE3172" w:rsidRDefault="008C1458" w:rsidP="00DA07A9">
      <w:pPr>
        <w:pStyle w:val="ONUMFS"/>
        <w:numPr>
          <w:ilvl w:val="0"/>
          <w:numId w:val="0"/>
        </w:numPr>
        <w:rPr>
          <w:lang w:val="fr-FR"/>
        </w:rPr>
      </w:pPr>
      <w:r w:rsidRPr="00CE3172">
        <w:rPr>
          <w:lang w:val="fr-FR"/>
        </w:rPr>
        <w:t>L’IPOPHL a multiplié les activités de renforcement des capacités dans le domaine de la recherche et de l’examen en partenariat avec d’autres offices ou administrations internationales de propriété intellectuelle, comme l’U</w:t>
      </w:r>
      <w:r>
        <w:rPr>
          <w:lang w:val="fr-FR"/>
        </w:rPr>
        <w:t>SP</w:t>
      </w:r>
      <w:r w:rsidRPr="00CE3172">
        <w:rPr>
          <w:lang w:val="fr-FR"/>
        </w:rPr>
        <w:t>TO, l’OEB, l</w:t>
      </w:r>
      <w:r w:rsidR="00BB28AA">
        <w:rPr>
          <w:lang w:val="fr-FR"/>
        </w:rPr>
        <w:t>e </w:t>
      </w:r>
      <w:r w:rsidRPr="00CE3172">
        <w:rPr>
          <w:lang w:val="fr-FR"/>
        </w:rPr>
        <w:t xml:space="preserve">JPO et l’OMPI.  En outre, les examinateurs de brevets ont suivi des cours à distance proposés par l’OMPI, l’Académie européenne des brevets et d’autres offices étrangers de propriété intellectuelle.  </w:t>
      </w:r>
      <w:r w:rsidR="00DA07A9">
        <w:rPr>
          <w:lang w:val="fr-FR"/>
        </w:rPr>
        <w:t>Par ailleurs</w:t>
      </w:r>
      <w:r w:rsidRPr="00CE3172">
        <w:rPr>
          <w:lang w:val="fr-FR"/>
        </w:rPr>
        <w:t>, l’IPOPHL continue de dispenser des formations et de communiquer des informations actualisées sur le système du PCT à l’intention des examinateurs et du personnel administratif en coopération avec la Division du PCT de l’OMPI.</w:t>
      </w:r>
    </w:p>
    <w:p w14:paraId="46FBA198" w14:textId="076A720B" w:rsidR="008C1458" w:rsidRPr="00CE3172" w:rsidRDefault="008C1458" w:rsidP="00DA07A9">
      <w:pPr>
        <w:pStyle w:val="ONUMFS"/>
        <w:numPr>
          <w:ilvl w:val="0"/>
          <w:numId w:val="0"/>
        </w:numPr>
        <w:rPr>
          <w:lang w:val="fr-FR"/>
        </w:rPr>
      </w:pPr>
      <w:r w:rsidRPr="00CE3172">
        <w:rPr>
          <w:lang w:val="fr-FR"/>
        </w:rPr>
        <w:t>Dans un souci constant de renforcer et d’entretenir les compétences et la motivation des effectifs, l’IPOPHL offre un programme de bourses pour les masters en bio</w:t>
      </w:r>
      <w:r w:rsidR="00BC3CD7">
        <w:rPr>
          <w:lang w:val="fr-FR"/>
        </w:rPr>
        <w:noBreakHyphen/>
      </w:r>
      <w:r w:rsidRPr="00CE3172">
        <w:rPr>
          <w:lang w:val="fr-FR"/>
        </w:rPr>
        <w:t xml:space="preserve">ingénierie adapté aux besoins techniques des examinateurs de l’IPOPHL.  Ce programme est établi en partenariat avec l’Institut technologique </w:t>
      </w:r>
      <w:proofErr w:type="spellStart"/>
      <w:r w:rsidRPr="00CE3172">
        <w:rPr>
          <w:lang w:val="fr-FR"/>
        </w:rPr>
        <w:t>Mapua</w:t>
      </w:r>
      <w:proofErr w:type="spellEnd"/>
      <w:r w:rsidRPr="00CE3172">
        <w:rPr>
          <w:lang w:val="fr-FR"/>
        </w:rPr>
        <w:t>, l’une des principales écoles d’ingénieurs du pays, un centre d’excellence reconnu pour la formation des ingénieurs par la commission de l’enseignement supérieur et un établissement agréé par l’</w:t>
      </w:r>
      <w:proofErr w:type="spellStart"/>
      <w:r w:rsidRPr="00CE3172">
        <w:rPr>
          <w:lang w:val="fr-FR"/>
        </w:rPr>
        <w:t>Accreditation</w:t>
      </w:r>
      <w:proofErr w:type="spellEnd"/>
      <w:r w:rsidRPr="00CE3172">
        <w:rPr>
          <w:lang w:val="fr-FR"/>
        </w:rPr>
        <w:t xml:space="preserve"> </w:t>
      </w:r>
      <w:proofErr w:type="spellStart"/>
      <w:r w:rsidRPr="00CE3172">
        <w:rPr>
          <w:lang w:val="fr-FR"/>
        </w:rPr>
        <w:t>Board</w:t>
      </w:r>
      <w:proofErr w:type="spellEnd"/>
      <w:r w:rsidRPr="00CE3172">
        <w:rPr>
          <w:lang w:val="fr-FR"/>
        </w:rPr>
        <w:t xml:space="preserve"> for Engineering and </w:t>
      </w:r>
      <w:proofErr w:type="spellStart"/>
      <w:r w:rsidRPr="00CE3172">
        <w:rPr>
          <w:lang w:val="fr-FR"/>
        </w:rPr>
        <w:t>Technology</w:t>
      </w:r>
      <w:proofErr w:type="spellEnd"/>
      <w:r w:rsidRPr="00CE3172">
        <w:rPr>
          <w:lang w:val="fr-FR"/>
        </w:rPr>
        <w:t xml:space="preserve"> (ABET).  Un programme similaire est en train d’être élaboré pour les examinateurs dans le domaine de la mécanique.</w:t>
      </w:r>
    </w:p>
    <w:p w14:paraId="3E732AF2" w14:textId="77777777" w:rsidR="008C1458" w:rsidRPr="00CE3172" w:rsidRDefault="008C1458" w:rsidP="00DA07A9">
      <w:pPr>
        <w:pStyle w:val="ONUMFS"/>
        <w:numPr>
          <w:ilvl w:val="0"/>
          <w:numId w:val="0"/>
        </w:numPr>
        <w:rPr>
          <w:lang w:val="fr-FR"/>
        </w:rPr>
      </w:pPr>
      <w:r w:rsidRPr="00CE3172">
        <w:rPr>
          <w:lang w:val="fr-FR"/>
        </w:rPr>
        <w:lastRenderedPageBreak/>
        <w:t>L’IPOPHL dispense également des formations sur les pratiques, les procédures et les dernières nouveautés relatives aux PCT ainsi que sur le système de gestion de la qualité à l’intention des examinateurs et du personnel administratif.</w:t>
      </w:r>
    </w:p>
    <w:p w14:paraId="634360E0" w14:textId="77777777" w:rsidR="008C1458" w:rsidRPr="00CE3172" w:rsidRDefault="008C1458" w:rsidP="00DA07A9">
      <w:pPr>
        <w:pStyle w:val="GuidanceNumbered"/>
        <w:spacing w:line="240" w:lineRule="auto"/>
      </w:pPr>
      <w:r w:rsidRPr="00CE3172">
        <w:t>Suivi des ressources :</w:t>
      </w:r>
    </w:p>
    <w:p w14:paraId="2AE85ED9" w14:textId="77777777" w:rsidR="008C1458" w:rsidRPr="00CE3172" w:rsidRDefault="008C1458" w:rsidP="00DA07A9">
      <w:pPr>
        <w:pStyle w:val="GuidanceNumbered"/>
        <w:spacing w:line="240" w:lineRule="auto"/>
      </w:pPr>
      <w:r w:rsidRPr="00CE3172">
        <w:tab/>
        <w:t>vii)</w:t>
      </w:r>
      <w:r w:rsidRPr="00CE3172">
        <w:tab/>
        <w:t>Décrire le système en place visant à suivre et à recenser en permanence les ressources nécessaires</w:t>
      </w:r>
      <w:r w:rsidRPr="00CE3172">
        <w:rPr>
          <w:i w:val="0"/>
        </w:rPr>
        <w:t> :</w:t>
      </w:r>
    </w:p>
    <w:p w14:paraId="2F8B6CC5" w14:textId="77777777" w:rsidR="008C1458" w:rsidRPr="00CE3172" w:rsidRDefault="008C1458" w:rsidP="00DA07A9">
      <w:pPr>
        <w:pStyle w:val="GuidanceNumbered"/>
        <w:spacing w:line="240" w:lineRule="auto"/>
      </w:pPr>
      <w:r w:rsidRPr="00CE3172">
        <w:tab/>
      </w:r>
      <w:proofErr w:type="gramStart"/>
      <w:r w:rsidRPr="00CE3172">
        <w:t>pour</w:t>
      </w:r>
      <w:proofErr w:type="gramEnd"/>
      <w:r w:rsidRPr="00CE3172">
        <w:t xml:space="preserve"> faire face à la demande;  et</w:t>
      </w:r>
    </w:p>
    <w:p w14:paraId="12D8956A" w14:textId="77777777" w:rsidR="008C1458" w:rsidRPr="00CE3172" w:rsidRDefault="008C1458" w:rsidP="00DA07A9">
      <w:pPr>
        <w:pStyle w:val="GuidanceNumbered"/>
        <w:spacing w:line="240" w:lineRule="auto"/>
      </w:pPr>
      <w:r w:rsidRPr="00CE3172">
        <w:tab/>
      </w:r>
      <w:proofErr w:type="gramStart"/>
      <w:r w:rsidRPr="00CE3172">
        <w:t>pour</w:t>
      </w:r>
      <w:proofErr w:type="gramEnd"/>
      <w:r w:rsidRPr="00CE3172">
        <w:t xml:space="preserve"> respecter les normes de qualité en matière de recherche et d’examen.</w:t>
      </w:r>
    </w:p>
    <w:p w14:paraId="19E8C0CD" w14:textId="77777777" w:rsidR="008C1458" w:rsidRPr="00CE3172" w:rsidRDefault="008C1458" w:rsidP="00DA07A9">
      <w:pPr>
        <w:pStyle w:val="ONUMFS"/>
        <w:numPr>
          <w:ilvl w:val="0"/>
          <w:numId w:val="0"/>
        </w:numPr>
        <w:rPr>
          <w:lang w:val="fr-FR"/>
        </w:rPr>
      </w:pPr>
      <w:r w:rsidRPr="00CE3172">
        <w:rPr>
          <w:lang w:val="fr-FR"/>
        </w:rPr>
        <w:t>Un contrôle automatique de la charge de travail et des tâches a été mis en place dans le cadre du système d’automatisation en matière de propriété intellectuelle.  L’Unité de gestion des dossiers (RMU) établit un rapport mensuel sur les demandes affectées et les travaux des examinateurs de brevets dans les différentes divisions.  Sur la base de ce rapport, la direction du Bureau des brevets détermine s’il est nécessaire d’embaucher des examinateurs de brevets supplémentaires ou de réaffecter les examinateurs d’un domaine technologique à un autre afin de faire face à la demande croissante, s’il y a lieu.</w:t>
      </w:r>
    </w:p>
    <w:p w14:paraId="11394248" w14:textId="08FDB6FA" w:rsidR="008C1458" w:rsidRPr="00CE3172" w:rsidRDefault="008C1458" w:rsidP="00DA07A9">
      <w:pPr>
        <w:pStyle w:val="ONUMFS"/>
        <w:numPr>
          <w:ilvl w:val="0"/>
          <w:numId w:val="0"/>
        </w:numPr>
        <w:rPr>
          <w:lang w:val="fr-FR"/>
        </w:rPr>
      </w:pPr>
      <w:r w:rsidRPr="00CE3172">
        <w:rPr>
          <w:lang w:val="fr-FR"/>
        </w:rPr>
        <w:t>Afin de superviser et de recenser en permanence les ressources requises pour respecter les normes de qualité, la division de gestion de la qualité établit un rapport mensuel sur les résultats de l’évaluation de la qualité des travaux des examinateurs.  Ce rapport présente entre autres les résultats de l’évaluation de la qualité, notamment les cas de conformité et de non</w:t>
      </w:r>
      <w:r w:rsidR="00BC3CD7">
        <w:rPr>
          <w:lang w:val="fr-FR"/>
        </w:rPr>
        <w:noBreakHyphen/>
      </w:r>
      <w:r w:rsidRPr="00CE3172">
        <w:rPr>
          <w:lang w:val="fr-FR"/>
        </w:rPr>
        <w:t>conformité, ainsi que des recommandations sur la nécessité de nommer des évaluateurs supplémentaires chargés de la qualité ou d’identifier d’autres ressources utiles.  Le rapport est soumis à la direction du Bureau des brevets pour examen et approbation.</w:t>
      </w:r>
    </w:p>
    <w:p w14:paraId="5CB07469" w14:textId="77777777" w:rsidR="008C1458" w:rsidRPr="00CE3172" w:rsidRDefault="008C1458" w:rsidP="00DA07A9">
      <w:pPr>
        <w:pStyle w:val="Heading1"/>
        <w:keepLines/>
        <w:rPr>
          <w:lang w:val="fr-FR"/>
        </w:rPr>
      </w:pPr>
      <w:r w:rsidRPr="00CE3172">
        <w:rPr>
          <w:lang w:val="fr-FR"/>
        </w:rPr>
        <w:t>3.</w:t>
      </w:r>
      <w:r w:rsidRPr="00CE3172">
        <w:rPr>
          <w:lang w:val="fr-FR"/>
        </w:rPr>
        <w:tab/>
        <w:t>Gestion de la charge de travail administratif</w:t>
      </w:r>
    </w:p>
    <w:p w14:paraId="786EB915" w14:textId="77777777" w:rsidR="008C1458" w:rsidRPr="00CE3172" w:rsidRDefault="008C1458" w:rsidP="00DA07A9">
      <w:pPr>
        <w:rPr>
          <w:lang w:val="fr-FR"/>
        </w:rPr>
      </w:pPr>
    </w:p>
    <w:p w14:paraId="4ABF4BC5" w14:textId="152B33C9" w:rsidR="008C1458" w:rsidRPr="00CE3172" w:rsidRDefault="008C1458" w:rsidP="00DA07A9">
      <w:pPr>
        <w:pStyle w:val="Guidance"/>
        <w:keepNext/>
        <w:keepLines/>
        <w:spacing w:line="240" w:lineRule="auto"/>
      </w:pPr>
      <w:r w:rsidRPr="00CE3172">
        <w:t>21.11</w:t>
      </w:r>
      <w:r w:rsidRPr="00CE3172">
        <w:tab/>
        <w:t>Indiquer comment les pratiques et méthodes mentionnées ci</w:t>
      </w:r>
      <w:r w:rsidR="00BC3CD7">
        <w:noBreakHyphen/>
      </w:r>
      <w:r w:rsidRPr="00CE3172">
        <w:t>après en ce qui concerne le traitement des demandes de recherche et d’examen et l’accomplissement des fonctions connexes telles que la saisie de données et le classement sont appliquées :</w:t>
      </w:r>
    </w:p>
    <w:p w14:paraId="27CAA90C" w14:textId="77777777" w:rsidR="008C1458" w:rsidRPr="00CE3172" w:rsidRDefault="008C1458" w:rsidP="00DA07A9">
      <w:pPr>
        <w:pStyle w:val="GuidanceNumbered"/>
        <w:spacing w:line="240" w:lineRule="auto"/>
      </w:pPr>
      <w:r w:rsidRPr="00CE3172">
        <w:tab/>
        <w:t>i)</w:t>
      </w:r>
      <w:r w:rsidRPr="00CE3172">
        <w:tab/>
        <w:t>mise en place de mécanismes de contrôle efficaces s’agissant de l’établissement, dans les délais impartis, de rapports de recherche et d’examen satisfaisant aux normes de qualité déterminées par l’administration concernée;  et</w:t>
      </w:r>
    </w:p>
    <w:p w14:paraId="24C3FB17" w14:textId="77777777" w:rsidR="008C1458" w:rsidRPr="00CE3172" w:rsidRDefault="008C1458" w:rsidP="00DA07A9">
      <w:pPr>
        <w:pStyle w:val="GuidanceNumbered"/>
        <w:spacing w:line="240" w:lineRule="auto"/>
      </w:pPr>
      <w:r w:rsidRPr="00CE3172">
        <w:tab/>
        <w:t>ii)</w:t>
      </w:r>
      <w:r w:rsidRPr="00CE3172">
        <w:tab/>
        <w:t>mise en place de mécanismes appropriés de contrôle des fluctuations de la demande et de gestion des retards.</w:t>
      </w:r>
    </w:p>
    <w:p w14:paraId="0D847102" w14:textId="2F27FD3A" w:rsidR="008C1458" w:rsidRPr="00CE3172" w:rsidRDefault="008C1458" w:rsidP="00DA07A9">
      <w:pPr>
        <w:pStyle w:val="ONUMFS"/>
        <w:numPr>
          <w:ilvl w:val="0"/>
          <w:numId w:val="0"/>
        </w:numPr>
        <w:rPr>
          <w:lang w:val="fr-FR"/>
        </w:rPr>
      </w:pPr>
      <w:r w:rsidRPr="00CE3172">
        <w:rPr>
          <w:lang w:val="fr-FR"/>
        </w:rPr>
        <w:t>i)</w:t>
      </w:r>
      <w:r w:rsidRPr="00CE3172">
        <w:rPr>
          <w:lang w:val="fr-FR"/>
        </w:rPr>
        <w:tab/>
        <w:t xml:space="preserve">Le système d’automatisation en matière de propriété intellectuelle rend bien compte du traitement des demandes du dépôt </w:t>
      </w:r>
      <w:r w:rsidR="00DA07A9">
        <w:rPr>
          <w:lang w:val="fr-FR"/>
        </w:rPr>
        <w:t xml:space="preserve">jusqu’après la </w:t>
      </w:r>
      <w:r w:rsidRPr="00CE3172">
        <w:rPr>
          <w:lang w:val="fr-FR"/>
        </w:rPr>
        <w:t>délivrance</w:t>
      </w:r>
      <w:r w:rsidR="00DA07A9">
        <w:rPr>
          <w:lang w:val="fr-FR"/>
        </w:rPr>
        <w:t xml:space="preserve"> des brevets</w:t>
      </w:r>
      <w:r w:rsidRPr="00CE3172">
        <w:rPr>
          <w:lang w:val="fr-FR"/>
        </w:rPr>
        <w:t>.  Au moment du dépôt, la saisie de données est effectuée par la section de dépôt qui télécharge les données bibliographiques dans le système.  L’Unité de gestion des dossiers effectue un premier classement général afin de savoir quelle division traitera la demande.  La demande est ensuite classée d’une manière spécifique par l’examinateur après affectation.</w:t>
      </w:r>
    </w:p>
    <w:p w14:paraId="2CF0106D" w14:textId="77777777" w:rsidR="008C1458" w:rsidRPr="00CE3172" w:rsidRDefault="008C1458" w:rsidP="00DA07A9">
      <w:pPr>
        <w:pStyle w:val="ONUMFS"/>
        <w:numPr>
          <w:ilvl w:val="0"/>
          <w:numId w:val="0"/>
        </w:numPr>
        <w:rPr>
          <w:lang w:val="fr-FR"/>
        </w:rPr>
      </w:pPr>
      <w:r w:rsidRPr="00CE3172">
        <w:rPr>
          <w:lang w:val="fr-FR"/>
        </w:rPr>
        <w:t>L’Unité de gestion des dossiers contrôle la publication dans les délais des demandes, assorties des rapports de recherche correspondants, et avise les examinateurs avant l’expiration des délais.  Les superviseurs (chefs de division), les superviseurs adjoints (chefs de division adjoints) et les examinateurs sont également en mesure de surveiller les charges de travail et les différents délais via le système d’automatisation en matière de propriété intellectuelle.  Le système est conçu pour suivre l’état d’avancement de chaque demande d’enregistrement de brevet du dépôt jusqu’à la délivrance.  Il fait le suivi des procédures d’exécution des tâches, des interventions et des configurations, des délais légaux et les dates limites légale</w:t>
      </w:r>
      <w:r>
        <w:rPr>
          <w:lang w:val="fr-FR"/>
        </w:rPr>
        <w:t xml:space="preserve">s </w:t>
      </w:r>
      <w:r w:rsidRPr="00CE3172">
        <w:rPr>
          <w:lang w:val="fr-FR"/>
        </w:rPr>
        <w:t>(émission</w:t>
      </w:r>
      <w:r w:rsidRPr="00CE3172">
        <w:rPr>
          <w:color w:val="000000" w:themeColor="text1"/>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3172">
        <w:rPr>
          <w:lang w:val="fr-FR"/>
        </w:rPr>
        <w:t>des rapports de recherche, publications et rapports d’examen).</w:t>
      </w:r>
    </w:p>
    <w:p w14:paraId="10B2F001" w14:textId="77777777" w:rsidR="008C1458" w:rsidRPr="00CE3172" w:rsidRDefault="008C1458" w:rsidP="00DA07A9">
      <w:pPr>
        <w:pStyle w:val="ONUMFS"/>
        <w:numPr>
          <w:ilvl w:val="0"/>
          <w:numId w:val="0"/>
        </w:numPr>
        <w:rPr>
          <w:lang w:val="fr-FR"/>
        </w:rPr>
      </w:pPr>
      <w:r w:rsidRPr="00CE3172">
        <w:rPr>
          <w:lang w:val="fr-FR"/>
        </w:rPr>
        <w:t>La direction du Bureau des brevets surveille régulièrement le respect des délais d’émission des rapports de recherche, et de traitement et de publication des demandes.</w:t>
      </w:r>
    </w:p>
    <w:p w14:paraId="3BAE1800" w14:textId="77777777" w:rsidR="008C1458" w:rsidRPr="00CE3172" w:rsidRDefault="008C1458" w:rsidP="00DA07A9">
      <w:pPr>
        <w:pStyle w:val="ONUMFS"/>
        <w:numPr>
          <w:ilvl w:val="0"/>
          <w:numId w:val="0"/>
        </w:numPr>
        <w:rPr>
          <w:lang w:val="fr-FR"/>
        </w:rPr>
      </w:pPr>
      <w:r w:rsidRPr="00CE3172">
        <w:rPr>
          <w:lang w:val="fr-FR"/>
        </w:rPr>
        <w:lastRenderedPageBreak/>
        <w:t>ii)</w:t>
      </w:r>
      <w:r w:rsidRPr="00CE3172">
        <w:rPr>
          <w:lang w:val="fr-FR"/>
        </w:rPr>
        <w:tab/>
        <w:t>L’IPOPHL continue d’améliorer son efficacité en réduisant la durée de traitement des demandes (du dépôt à la délivrance) et en gérant les fluctuations de la demande en appliquant différentes mesures destinées, par exemple, à réduire les retards, à respecter la publication en temps voulu des demandes ou à réaffecter des dossiers à d’autres divisions compétentes afin de stabiliser la charge de travail, selon le cas.</w:t>
      </w:r>
    </w:p>
    <w:p w14:paraId="20DB9656" w14:textId="576875A5" w:rsidR="008C1458" w:rsidRPr="00CE3172" w:rsidRDefault="008C1458" w:rsidP="00DA07A9">
      <w:pPr>
        <w:pStyle w:val="ONUMFS"/>
        <w:numPr>
          <w:ilvl w:val="0"/>
          <w:numId w:val="0"/>
        </w:numPr>
        <w:rPr>
          <w:lang w:val="fr-FR"/>
        </w:rPr>
      </w:pPr>
      <w:r w:rsidRPr="00CE3172">
        <w:rPr>
          <w:lang w:val="fr-FR"/>
        </w:rPr>
        <w:t xml:space="preserve">Chaque année, le Bureau des brevets présente ses objectifs en matière de réduction des retards et de traitement opportun des demandes </w:t>
      </w:r>
      <w:r w:rsidR="00DA07A9">
        <w:rPr>
          <w:lang w:val="fr-FR"/>
        </w:rPr>
        <w:t>en cours</w:t>
      </w:r>
      <w:r w:rsidRPr="00CE3172">
        <w:rPr>
          <w:lang w:val="fr-FR"/>
        </w:rPr>
        <w:t>, qui figurent dans les objectifs des divisions et les objectifs individuels.</w:t>
      </w:r>
    </w:p>
    <w:p w14:paraId="23232F05" w14:textId="77777777" w:rsidR="008C1458" w:rsidRPr="00CE3172" w:rsidRDefault="008C1458" w:rsidP="00DA07A9">
      <w:pPr>
        <w:pStyle w:val="Heading1"/>
        <w:rPr>
          <w:lang w:val="fr-FR"/>
        </w:rPr>
      </w:pPr>
      <w:r w:rsidRPr="00CE3172">
        <w:rPr>
          <w:lang w:val="fr-FR"/>
        </w:rPr>
        <w:t>4.</w:t>
      </w:r>
      <w:r w:rsidRPr="00CE3172">
        <w:rPr>
          <w:lang w:val="fr-FR"/>
        </w:rPr>
        <w:tab/>
        <w:t>Assurance qualité</w:t>
      </w:r>
    </w:p>
    <w:p w14:paraId="17CF9B20" w14:textId="77777777" w:rsidR="008C1458" w:rsidRPr="00CE3172" w:rsidRDefault="008C1458" w:rsidP="00DA07A9">
      <w:pPr>
        <w:rPr>
          <w:lang w:val="fr-FR"/>
        </w:rPr>
      </w:pPr>
    </w:p>
    <w:p w14:paraId="127ED8F8" w14:textId="77777777" w:rsidR="008C1458" w:rsidRPr="00CE3172" w:rsidRDefault="008C1458" w:rsidP="00DA07A9">
      <w:pPr>
        <w:pStyle w:val="GuidanceNumbered"/>
        <w:spacing w:line="240" w:lineRule="auto"/>
        <w:ind w:left="0" w:firstLine="0"/>
      </w:pPr>
      <w:r w:rsidRPr="00CE3172">
        <w:t>21.12</w:t>
      </w:r>
      <w:r w:rsidRPr="00CE3172">
        <w:tab/>
        <w:t>Les mesures suivantes sont les mesures d’assurance qualité requises pour l’établissement dans les délais impartis de rapports de recherche et d’examen satisfaisant aux normes de qualité déterminées dans les directives.  Indiquer les modalités d’application des mesures suivantes, y compris l’utilisation de listes de pointage éventuelles permettant de vérifier les rapports avant leur présentation ou de surveiller l’application de la norme de quali</w:t>
      </w:r>
      <w:r>
        <w:t>té</w:t>
      </w:r>
      <w:r w:rsidRPr="00CE3172">
        <w:t>, dans le cadre d’une procédure de révision après la présentation :</w:t>
      </w:r>
    </w:p>
    <w:p w14:paraId="27565A5E" w14:textId="4AAA39A5" w:rsidR="008C1458" w:rsidRPr="00CE3172" w:rsidRDefault="008C1458" w:rsidP="00DA07A9">
      <w:pPr>
        <w:pStyle w:val="GuidanceNumbereda"/>
        <w:spacing w:line="240" w:lineRule="auto"/>
        <w:ind w:left="567" w:hanging="567"/>
      </w:pPr>
      <w:r w:rsidRPr="00CE3172">
        <w:tab/>
        <w:t>i)</w:t>
      </w:r>
      <w:r w:rsidRPr="00CE3172">
        <w:tab/>
        <w:t>un système interne efficace de garantie de la qualité permettant une auto</w:t>
      </w:r>
      <w:r w:rsidR="00BC3CD7">
        <w:noBreakHyphen/>
      </w:r>
      <w:r w:rsidRPr="00CE3172">
        <w:t>évaluation, qui comprenne des procédures de vérification, de validation et de suivi des travaux de recherche et d’examen :</w:t>
      </w:r>
    </w:p>
    <w:p w14:paraId="36D58B6F" w14:textId="77777777" w:rsidR="008C1458" w:rsidRPr="00CE3172" w:rsidRDefault="008C1458" w:rsidP="00DA07A9">
      <w:pPr>
        <w:pStyle w:val="GuidanceNumberedai"/>
        <w:spacing w:line="240" w:lineRule="auto"/>
        <w:ind w:left="567" w:hanging="567"/>
      </w:pPr>
      <w:r w:rsidRPr="00CE3172">
        <w:tab/>
        <w:t>visant à garantir leur conformité avec les directives concernant la recherche et l’examen;  et</w:t>
      </w:r>
    </w:p>
    <w:p w14:paraId="3952FF83" w14:textId="77777777" w:rsidR="008C1458" w:rsidRPr="00CE3172" w:rsidRDefault="008C1458" w:rsidP="00DA07A9">
      <w:pPr>
        <w:pStyle w:val="GuidanceNumberedai"/>
        <w:spacing w:line="240" w:lineRule="auto"/>
        <w:ind w:left="567" w:hanging="567"/>
      </w:pPr>
      <w:r w:rsidRPr="00CE3172">
        <w:tab/>
      </w:r>
      <w:proofErr w:type="gramStart"/>
      <w:r w:rsidRPr="00CE3172">
        <w:t>la</w:t>
      </w:r>
      <w:proofErr w:type="gramEnd"/>
      <w:r w:rsidRPr="00CE3172">
        <w:t xml:space="preserve"> transmission au personnel des informations en retour.</w:t>
      </w:r>
    </w:p>
    <w:p w14:paraId="4021046E" w14:textId="77777777" w:rsidR="008C1458" w:rsidRPr="00CE3172" w:rsidRDefault="008C1458" w:rsidP="00DA07A9">
      <w:pPr>
        <w:pStyle w:val="GuidanceNumbereda"/>
        <w:spacing w:line="240" w:lineRule="auto"/>
        <w:ind w:left="567" w:hanging="567"/>
      </w:pPr>
      <w:r w:rsidRPr="00CE3172">
        <w:tab/>
        <w:t>ii)</w:t>
      </w:r>
      <w:r w:rsidRPr="00CE3172">
        <w:tab/>
        <w:t>un système de mesure et de collecte de données et d’établissement de rapports.  Montrer comment l’administration utilise ce système pour assurer l’amélioration continue des procédures établies.</w:t>
      </w:r>
    </w:p>
    <w:p w14:paraId="4DB3C082" w14:textId="77777777" w:rsidR="008C1458" w:rsidRPr="00CE3172" w:rsidRDefault="008C1458" w:rsidP="00DA07A9">
      <w:pPr>
        <w:pStyle w:val="Guidance"/>
        <w:keepNext/>
        <w:keepLines/>
        <w:spacing w:line="240" w:lineRule="auto"/>
        <w:ind w:left="567" w:hanging="567"/>
      </w:pPr>
      <w:r w:rsidRPr="00CE3172">
        <w:tab/>
        <w:t>iii)</w:t>
      </w:r>
      <w:r w:rsidRPr="00CE3172">
        <w:tab/>
        <w:t>un système permettant de vérifier l’efficacité des mesures prises pour corriger les défaillances du travail de recherche et d’examen, en éliminer les causes et éviter la répétition des problèmes.</w:t>
      </w:r>
    </w:p>
    <w:p w14:paraId="03ED1F2F" w14:textId="5C930705" w:rsidR="008C1458" w:rsidRPr="00CE3172" w:rsidRDefault="008C1458" w:rsidP="00DA07A9">
      <w:pPr>
        <w:pStyle w:val="ONUMFS"/>
        <w:numPr>
          <w:ilvl w:val="0"/>
          <w:numId w:val="0"/>
        </w:numPr>
        <w:rPr>
          <w:lang w:val="fr-FR"/>
        </w:rPr>
      </w:pPr>
      <w:r w:rsidRPr="00CE3172">
        <w:rPr>
          <w:lang w:val="fr-FR"/>
        </w:rPr>
        <w:t>Pour établir des rapports de recherche et d’examen de qualité dans les délais impartis, l’IPOPHL s’appuie sur deux niveaux d’assurance qualité en matière de brevets.  En ce qui concerne le premier niveau ou l’assurance qualité en cours de processus, tous les travaux, notamment les rapports de recherche et d’examen, sont contrôlés par le superviseur adjoint (chef de division adjoint) et le superviseur (chef de division) avant d’être adressés au déposant.  S’il convient d’apporter une correction au rapport d’examen, celui</w:t>
      </w:r>
      <w:r w:rsidR="00BC3CD7">
        <w:rPr>
          <w:lang w:val="fr-FR"/>
        </w:rPr>
        <w:noBreakHyphen/>
      </w:r>
      <w:r w:rsidRPr="00CE3172">
        <w:rPr>
          <w:lang w:val="fr-FR"/>
        </w:rPr>
        <w:t>ci est renvoyé à l’examinateur qui le révise comme il se doit.  Le rapport révisé est de nouveau contrôlé par le superviseur adjoint et le superviseur;  si aucune autre correction n’est nécessaire, le rapport est approuvé et transmis au déposant.</w:t>
      </w:r>
    </w:p>
    <w:p w14:paraId="3AD20D64" w14:textId="77777777" w:rsidR="008C1458" w:rsidRPr="00CE3172" w:rsidRDefault="008C1458" w:rsidP="00DA07A9">
      <w:pPr>
        <w:pStyle w:val="ONUMFS"/>
        <w:numPr>
          <w:ilvl w:val="0"/>
          <w:numId w:val="0"/>
        </w:numPr>
        <w:rPr>
          <w:lang w:val="fr-FR"/>
        </w:rPr>
      </w:pPr>
      <w:r w:rsidRPr="00CE3172">
        <w:rPr>
          <w:lang w:val="fr-FR"/>
        </w:rPr>
        <w:t>En outre, l’IPOPHL a recours à une équipe de trois personnes pour la recherche.  L’examinateur principal chargé de mener les travaux de recherche concernant une demande consulte et mobilise deux de ses collègues pour l’aider dans ses travaux.  Chaque examinateur élaborera ensuite de manière autonome ses stratégies et réalisera la recherche, dont les résultats seront examinés par les trois examinateurs afin de recenser les éléments les plus pertinents de l’état de la technique relatifs à la demande.  Ce processus permet de mener une recherche approfondie et garantit que toutes les stratégies et bases de données ont été épuisées.</w:t>
      </w:r>
    </w:p>
    <w:p w14:paraId="27587B76" w14:textId="77777777" w:rsidR="008C1458" w:rsidRPr="00CE3172" w:rsidRDefault="008C1458" w:rsidP="00DA07A9">
      <w:pPr>
        <w:pStyle w:val="ONUMFS"/>
        <w:numPr>
          <w:ilvl w:val="0"/>
          <w:numId w:val="0"/>
        </w:numPr>
        <w:rPr>
          <w:lang w:val="fr-FR"/>
        </w:rPr>
      </w:pPr>
      <w:r w:rsidRPr="00CE3172">
        <w:rPr>
          <w:lang w:val="fr-FR"/>
        </w:rPr>
        <w:t>En ce qui concerne le second niveau ou le système de contrôle de la qualité des brevets, les rapports de recherche et d’examen sont sélectionnés de manière aléatoire et examinés d’après les normes de qualité en vigueur de la division de gestion de la qualité.  La qualité est évaluée sur une base mensuelle et environ 7% de tous les rapports d’examen émis chaque année font l’objet d’une évaluation de la qualité par cette division.  Les résultats de l’évaluation de la qualité sont documentés et communiqués sur une base mensuelle.</w:t>
      </w:r>
    </w:p>
    <w:p w14:paraId="0885384F" w14:textId="25C64FEE" w:rsidR="008C1458" w:rsidRPr="00CE3172" w:rsidRDefault="008C1458" w:rsidP="00DA07A9">
      <w:pPr>
        <w:pStyle w:val="ONUMFS"/>
        <w:numPr>
          <w:ilvl w:val="0"/>
          <w:numId w:val="0"/>
        </w:numPr>
        <w:rPr>
          <w:lang w:val="fr-FR"/>
        </w:rPr>
      </w:pPr>
      <w:r w:rsidRPr="00CE3172">
        <w:rPr>
          <w:lang w:val="fr-FR"/>
        </w:rPr>
        <w:t>Lorsque des irrégularités sont constatées, des mécanismes correcteurs et préventifs sont à disposition.  Selon la nature du cas de non</w:t>
      </w:r>
      <w:r w:rsidR="00BC3CD7">
        <w:rPr>
          <w:lang w:val="fr-FR"/>
        </w:rPr>
        <w:noBreakHyphen/>
      </w:r>
      <w:r w:rsidRPr="00CE3172">
        <w:rPr>
          <w:lang w:val="fr-FR"/>
        </w:rPr>
        <w:t xml:space="preserve">conformité, il est possible d’établir un autre rapport d’examen ou de procéder à un nouvel examen.  Afin d’éviter de nouveaux cas de </w:t>
      </w:r>
      <w:r w:rsidRPr="00CE3172">
        <w:rPr>
          <w:lang w:val="fr-FR"/>
        </w:rPr>
        <w:lastRenderedPageBreak/>
        <w:t>non</w:t>
      </w:r>
      <w:r w:rsidR="00BC3CD7">
        <w:rPr>
          <w:lang w:val="fr-FR"/>
        </w:rPr>
        <w:noBreakHyphen/>
      </w:r>
      <w:r w:rsidRPr="00CE3172">
        <w:rPr>
          <w:lang w:val="fr-FR"/>
        </w:rPr>
        <w:t>conformité, en particulier en ce qui concerne des questions de brevetabilité, le comité de gestion de la qualité examine le problème et formule de nouvelles politiques ou propose des modifications en vue de leur mise en œuvre par le Bureau.  Si un examinateur enregistre des cas répétés de non</w:t>
      </w:r>
      <w:r w:rsidR="00BC3CD7">
        <w:rPr>
          <w:lang w:val="fr-FR"/>
        </w:rPr>
        <w:noBreakHyphen/>
      </w:r>
      <w:r w:rsidRPr="00CE3172">
        <w:rPr>
          <w:lang w:val="fr-FR"/>
        </w:rPr>
        <w:t>conformité, il sera invité à se réorienter ou à se reconvertir.</w:t>
      </w:r>
    </w:p>
    <w:p w14:paraId="79CDEB63" w14:textId="77777777" w:rsidR="008C1458" w:rsidRPr="00CE3172" w:rsidRDefault="008C1458" w:rsidP="00DA07A9">
      <w:pPr>
        <w:pStyle w:val="Heading1"/>
        <w:rPr>
          <w:lang w:val="fr-FR"/>
        </w:rPr>
      </w:pPr>
      <w:r w:rsidRPr="00CE3172">
        <w:rPr>
          <w:lang w:val="fr-FR"/>
        </w:rPr>
        <w:t>5.</w:t>
      </w:r>
      <w:r w:rsidRPr="00CE3172">
        <w:rPr>
          <w:lang w:val="fr-FR"/>
        </w:rPr>
        <w:tab/>
        <w:t>Communication</w:t>
      </w:r>
    </w:p>
    <w:p w14:paraId="6BCC3A1C" w14:textId="77777777" w:rsidR="008C1458" w:rsidRPr="00CE3172" w:rsidRDefault="008C1458" w:rsidP="00DA07A9">
      <w:pPr>
        <w:rPr>
          <w:lang w:val="fr-FR"/>
        </w:rPr>
      </w:pPr>
    </w:p>
    <w:p w14:paraId="14DE3BD6" w14:textId="77777777" w:rsidR="008C1458" w:rsidRPr="00CE3172" w:rsidRDefault="008C1458" w:rsidP="00DA07A9">
      <w:pPr>
        <w:pStyle w:val="GuidanceNumbered"/>
        <w:spacing w:line="240" w:lineRule="auto"/>
      </w:pPr>
      <w:r w:rsidRPr="00CE3172">
        <w:tab/>
        <w:t>Communication entre administrations :</w:t>
      </w:r>
    </w:p>
    <w:p w14:paraId="2CAA375E" w14:textId="77777777" w:rsidR="008C1458" w:rsidRPr="00CE3172" w:rsidRDefault="008C1458" w:rsidP="00DA07A9">
      <w:pPr>
        <w:pStyle w:val="GuidanceNumbered"/>
        <w:spacing w:line="240" w:lineRule="auto"/>
        <w:ind w:left="0" w:firstLine="0"/>
      </w:pPr>
      <w:r w:rsidRPr="00CE3172">
        <w:t>Note explicative : Chaque administration doit assurer une communication efficace avec les autres administrations.</w:t>
      </w:r>
    </w:p>
    <w:p w14:paraId="191AD496" w14:textId="77777777" w:rsidR="008C1458" w:rsidRPr="00CE3172" w:rsidRDefault="008C1458" w:rsidP="00DA07A9">
      <w:pPr>
        <w:pStyle w:val="GuidanceNumbered"/>
        <w:spacing w:line="240" w:lineRule="auto"/>
        <w:ind w:left="0" w:firstLine="0"/>
      </w:pPr>
      <w:r w:rsidRPr="00CE3172">
        <w:tab/>
        <w:t>(Note : ce point est mentionné à titre d’information.  Aucune réponse n’est requise par le modèle au paragraphe 21.13)</w:t>
      </w:r>
    </w:p>
    <w:p w14:paraId="355A4440" w14:textId="77777777" w:rsidR="008C1458" w:rsidRPr="00CE3172" w:rsidRDefault="008C1458" w:rsidP="00DA07A9">
      <w:pPr>
        <w:pStyle w:val="GuidanceNumbered"/>
        <w:spacing w:line="240" w:lineRule="auto"/>
        <w:ind w:left="0" w:firstLine="0"/>
      </w:pPr>
      <w:r w:rsidRPr="00CE3172">
        <w:t>21.14</w:t>
      </w:r>
      <w:r w:rsidRPr="00CE3172">
        <w:tab/>
        <w:t>Fournir le nom, le titre et les coordonnées du coordonnateur de qualité désigné par les administrations qui se chargera</w:t>
      </w:r>
      <w:r w:rsidRPr="00CE3172">
        <w:rPr>
          <w:i w:val="0"/>
        </w:rPr>
        <w:t> :</w:t>
      </w:r>
    </w:p>
    <w:p w14:paraId="62F92935" w14:textId="77777777" w:rsidR="008C1458" w:rsidRPr="00CE3172" w:rsidRDefault="008C1458" w:rsidP="00DA07A9">
      <w:pPr>
        <w:pStyle w:val="GuidanceNumbereda"/>
        <w:spacing w:line="240" w:lineRule="auto"/>
      </w:pPr>
      <w:r w:rsidRPr="00CE3172">
        <w:tab/>
        <w:t>a)</w:t>
      </w:r>
      <w:r w:rsidRPr="00CE3172">
        <w:tab/>
        <w:t>d’aider à recenser les pratiques recommandées et à les diffuser parmi les administrations;</w:t>
      </w:r>
    </w:p>
    <w:p w14:paraId="0BAECDEB" w14:textId="77777777" w:rsidR="008C1458" w:rsidRPr="00CE3172" w:rsidRDefault="008C1458" w:rsidP="00DA07A9">
      <w:pPr>
        <w:pStyle w:val="GuidanceNumbereda"/>
        <w:spacing w:line="240" w:lineRule="auto"/>
      </w:pPr>
      <w:r w:rsidRPr="00CE3172">
        <w:tab/>
        <w:t>b)</w:t>
      </w:r>
      <w:r w:rsidRPr="00CE3172">
        <w:tab/>
        <w:t>de favoriser leur amélioration continue;  et</w:t>
      </w:r>
    </w:p>
    <w:p w14:paraId="4C1E66EB" w14:textId="77777777" w:rsidR="008C1458" w:rsidRPr="00CE3172" w:rsidRDefault="008C1458" w:rsidP="00DA07A9">
      <w:pPr>
        <w:pStyle w:val="Guidance"/>
        <w:keepNext/>
        <w:keepLines/>
        <w:spacing w:line="240" w:lineRule="auto"/>
        <w:ind w:left="567" w:hanging="567"/>
      </w:pPr>
      <w:r w:rsidRPr="00CE3172">
        <w:tab/>
        <w:t>c)</w:t>
      </w:r>
      <w:r w:rsidRPr="00CE3172">
        <w:tab/>
        <w:t>de mettre en place une communication efficace avec les autres administrations afin de permettre à ces dernières d’assurer un retour d’information rapide, de sorte que les problèmes systémiques éventuels puissent être évalués et réglés.</w:t>
      </w:r>
    </w:p>
    <w:p w14:paraId="455F2834" w14:textId="77777777" w:rsidR="008C1458" w:rsidRPr="00CE3172" w:rsidRDefault="008C1458" w:rsidP="00DA07A9">
      <w:pPr>
        <w:pStyle w:val="ONUMFS"/>
        <w:numPr>
          <w:ilvl w:val="0"/>
          <w:numId w:val="0"/>
        </w:numPr>
        <w:rPr>
          <w:i/>
          <w:lang w:val="fr-FR"/>
        </w:rPr>
      </w:pPr>
      <w:r w:rsidRPr="00CE3172">
        <w:rPr>
          <w:i/>
          <w:lang w:val="fr-FR"/>
        </w:rPr>
        <w:t>Personne(s) à contacter pour les questions de qualité :</w:t>
      </w:r>
    </w:p>
    <w:p w14:paraId="6E961CC4" w14:textId="77777777" w:rsidR="008C1458" w:rsidRPr="00CE3172" w:rsidRDefault="008C1458" w:rsidP="00DA07A9">
      <w:pPr>
        <w:pStyle w:val="ONUMFS"/>
        <w:numPr>
          <w:ilvl w:val="0"/>
          <w:numId w:val="0"/>
        </w:numPr>
        <w:rPr>
          <w:lang w:val="fr-FR"/>
        </w:rPr>
      </w:pPr>
      <w:r w:rsidRPr="00CE3172">
        <w:rPr>
          <w:lang w:val="fr-FR"/>
        </w:rPr>
        <w:t>M.</w:t>
      </w:r>
      <w:r w:rsidRPr="00CE3172">
        <w:rPr>
          <w:i/>
          <w:lang w:val="fr-FR"/>
        </w:rPr>
        <w:t> </w:t>
      </w:r>
      <w:proofErr w:type="spellStart"/>
      <w:r w:rsidRPr="00CE3172">
        <w:rPr>
          <w:lang w:val="fr-FR"/>
        </w:rPr>
        <w:t>Merito</w:t>
      </w:r>
      <w:proofErr w:type="spellEnd"/>
      <w:r w:rsidRPr="00CE3172">
        <w:rPr>
          <w:lang w:val="fr-FR"/>
        </w:rPr>
        <w:t xml:space="preserve"> J. </w:t>
      </w:r>
      <w:proofErr w:type="spellStart"/>
      <w:r w:rsidRPr="00CE3172">
        <w:rPr>
          <w:lang w:val="fr-FR"/>
        </w:rPr>
        <w:t>Carag</w:t>
      </w:r>
      <w:proofErr w:type="spellEnd"/>
      <w:r w:rsidRPr="00CE3172">
        <w:rPr>
          <w:lang w:val="fr-FR"/>
        </w:rPr>
        <w:t>, chef de la division de gestion de la qualité (</w:t>
      </w:r>
      <w:hyperlink r:id="rId15" w:history="1">
        <w:r w:rsidRPr="00F94A20">
          <w:rPr>
            <w:rStyle w:val="Hyperlink"/>
            <w:color w:val="auto"/>
            <w:lang w:val="fr-FR"/>
          </w:rPr>
          <w:t>merito.carag@ipophil.gov.ph</w:t>
        </w:r>
      </w:hyperlink>
      <w:r w:rsidRPr="00CE3172">
        <w:rPr>
          <w:lang w:val="fr-FR"/>
        </w:rPr>
        <w:t>)</w:t>
      </w:r>
    </w:p>
    <w:p w14:paraId="0FDA8F28" w14:textId="6D971B70" w:rsidR="008C1458" w:rsidRPr="00CE3172" w:rsidRDefault="008C1458" w:rsidP="00DA07A9">
      <w:pPr>
        <w:pStyle w:val="ONUMFS"/>
        <w:numPr>
          <w:ilvl w:val="0"/>
          <w:numId w:val="0"/>
        </w:numPr>
        <w:rPr>
          <w:lang w:val="fr-FR"/>
        </w:rPr>
      </w:pPr>
      <w:r w:rsidRPr="00CE3172">
        <w:rPr>
          <w:lang w:val="fr-FR"/>
        </w:rPr>
        <w:t>Mme </w:t>
      </w:r>
      <w:proofErr w:type="spellStart"/>
      <w:r w:rsidRPr="00CE3172">
        <w:rPr>
          <w:lang w:val="fr-FR"/>
        </w:rPr>
        <w:t>Ronil</w:t>
      </w:r>
      <w:proofErr w:type="spellEnd"/>
      <w:r w:rsidR="00534B03">
        <w:rPr>
          <w:lang w:val="fr-FR"/>
        </w:rPr>
        <w:t xml:space="preserve"> </w:t>
      </w:r>
      <w:proofErr w:type="spellStart"/>
      <w:r w:rsidRPr="00CE3172">
        <w:rPr>
          <w:lang w:val="fr-FR"/>
        </w:rPr>
        <w:t>Emmavi</w:t>
      </w:r>
      <w:proofErr w:type="spellEnd"/>
      <w:r w:rsidRPr="00CE3172">
        <w:rPr>
          <w:lang w:val="fr-FR"/>
        </w:rPr>
        <w:t xml:space="preserve"> J. </w:t>
      </w:r>
      <w:proofErr w:type="spellStart"/>
      <w:r w:rsidRPr="00CE3172">
        <w:rPr>
          <w:lang w:val="fr-FR"/>
        </w:rPr>
        <w:t>Remoquillo</w:t>
      </w:r>
      <w:proofErr w:type="spellEnd"/>
      <w:r w:rsidRPr="00CE3172">
        <w:rPr>
          <w:lang w:val="fr-FR"/>
        </w:rPr>
        <w:t>, évaluateur en chef de la qualité, division de gestion de la qualité (</w:t>
      </w:r>
      <w:hyperlink r:id="rId16" w:history="1">
        <w:r w:rsidRPr="00CE3172">
          <w:rPr>
            <w:rStyle w:val="Hyperlink"/>
            <w:lang w:val="fr-FR"/>
          </w:rPr>
          <w:t>r</w:t>
        </w:r>
        <w:bookmarkStart w:id="6" w:name="_GoBack"/>
        <w:r w:rsidRPr="00F94A20">
          <w:rPr>
            <w:rStyle w:val="Hyperlink"/>
            <w:color w:val="auto"/>
            <w:lang w:val="fr-FR"/>
          </w:rPr>
          <w:t>onilemmavi.remoquillo@ipophil.gov.ph</w:t>
        </w:r>
        <w:bookmarkEnd w:id="6"/>
      </w:hyperlink>
      <w:r w:rsidRPr="00CE3172">
        <w:rPr>
          <w:lang w:val="fr-FR"/>
        </w:rPr>
        <w:t>)</w:t>
      </w:r>
    </w:p>
    <w:p w14:paraId="4EB2A010" w14:textId="77777777" w:rsidR="008C1458" w:rsidRPr="00CE3172" w:rsidRDefault="008C1458" w:rsidP="00DA07A9">
      <w:pPr>
        <w:pStyle w:val="GuidanceNumbered"/>
        <w:spacing w:line="240" w:lineRule="auto"/>
      </w:pPr>
      <w:r w:rsidRPr="00CE3172">
        <w:t>21.15</w:t>
      </w:r>
      <w:r w:rsidRPr="00CE3172">
        <w:tab/>
        <w:t>Communication avec les utilisateurs et conseils aux utilisateurs :</w:t>
      </w:r>
    </w:p>
    <w:p w14:paraId="35B357EF" w14:textId="77777777" w:rsidR="008C1458" w:rsidRPr="00CE3172" w:rsidRDefault="008C1458" w:rsidP="00DA07A9">
      <w:pPr>
        <w:pStyle w:val="GuidanceNumbered"/>
        <w:spacing w:line="240" w:lineRule="auto"/>
        <w:ind w:left="0" w:firstLine="0"/>
      </w:pPr>
      <w:r w:rsidRPr="00CE3172">
        <w:t>Décrire le système en place pour contrôler et utiliser les informations communiquées en retour par les clients, comprenant au moins les éléments suivants :</w:t>
      </w:r>
    </w:p>
    <w:p w14:paraId="3C4148A9" w14:textId="77777777" w:rsidR="008C1458" w:rsidRPr="00CE3172" w:rsidRDefault="008C1458" w:rsidP="00DA07A9">
      <w:pPr>
        <w:pStyle w:val="GuidanceNumbereda"/>
        <w:spacing w:line="240" w:lineRule="auto"/>
      </w:pPr>
      <w:r w:rsidRPr="00CE3172">
        <w:tab/>
        <w:t>i)</w:t>
      </w:r>
      <w:r w:rsidRPr="00CE3172">
        <w:tab/>
        <w:t>Un système approprié :</w:t>
      </w:r>
    </w:p>
    <w:p w14:paraId="2F8D5742" w14:textId="77777777" w:rsidR="008C1458" w:rsidRPr="00CE3172" w:rsidRDefault="008C1458" w:rsidP="00DA07A9">
      <w:pPr>
        <w:pStyle w:val="GuidanceNumberedai"/>
        <w:spacing w:line="240" w:lineRule="auto"/>
        <w:ind w:left="567" w:hanging="567"/>
      </w:pPr>
      <w:r w:rsidRPr="00CE3172">
        <w:tab/>
      </w:r>
      <w:proofErr w:type="gramStart"/>
      <w:r w:rsidRPr="00CE3172">
        <w:t>de</w:t>
      </w:r>
      <w:proofErr w:type="gramEnd"/>
      <w:r w:rsidRPr="00CE3172">
        <w:t xml:space="preserve"> traitement des réclamations et de correction;</w:t>
      </w:r>
    </w:p>
    <w:p w14:paraId="5C594CFA" w14:textId="77777777" w:rsidR="008C1458" w:rsidRPr="00CE3172" w:rsidRDefault="008C1458" w:rsidP="00DA07A9">
      <w:pPr>
        <w:pStyle w:val="GuidanceNumberedai"/>
        <w:spacing w:line="240" w:lineRule="auto"/>
        <w:ind w:left="567" w:hanging="567"/>
      </w:pPr>
      <w:r w:rsidRPr="00CE3172">
        <w:tab/>
      </w:r>
      <w:proofErr w:type="gramStart"/>
      <w:r w:rsidRPr="00CE3172">
        <w:t>de</w:t>
      </w:r>
      <w:proofErr w:type="gramEnd"/>
      <w:r w:rsidRPr="00CE3172">
        <w:t xml:space="preserve"> prise de mesures correctives ou préventives selon que de besoin;  et</w:t>
      </w:r>
    </w:p>
    <w:p w14:paraId="68EAF007" w14:textId="77777777" w:rsidR="008C1458" w:rsidRPr="00CE3172" w:rsidRDefault="008C1458" w:rsidP="00DA07A9">
      <w:pPr>
        <w:pStyle w:val="GuidanceNumberedai"/>
        <w:spacing w:line="240" w:lineRule="auto"/>
        <w:ind w:left="567" w:hanging="567"/>
      </w:pPr>
      <w:r w:rsidRPr="00CE3172">
        <w:tab/>
      </w:r>
      <w:proofErr w:type="gramStart"/>
      <w:r w:rsidRPr="00CE3172">
        <w:t>de</w:t>
      </w:r>
      <w:proofErr w:type="gramEnd"/>
      <w:r w:rsidRPr="00CE3172">
        <w:t xml:space="preserve"> fourniture aux utilisateurs des informations en retour.</w:t>
      </w:r>
    </w:p>
    <w:p w14:paraId="18073B40" w14:textId="77777777" w:rsidR="008C1458" w:rsidRPr="00CE3172" w:rsidRDefault="008C1458" w:rsidP="00DA07A9">
      <w:pPr>
        <w:pStyle w:val="GuidanceNumbereda"/>
        <w:spacing w:line="240" w:lineRule="auto"/>
      </w:pPr>
      <w:r w:rsidRPr="00CE3172">
        <w:tab/>
        <w:t>ii)</w:t>
      </w:r>
      <w:r w:rsidRPr="00CE3172">
        <w:tab/>
        <w:t>Une procédure :</w:t>
      </w:r>
    </w:p>
    <w:p w14:paraId="6878BFA5" w14:textId="77777777" w:rsidR="008C1458" w:rsidRPr="00CE3172" w:rsidRDefault="008C1458" w:rsidP="00DA07A9">
      <w:pPr>
        <w:pStyle w:val="GuidanceNumberedai"/>
        <w:spacing w:line="240" w:lineRule="auto"/>
        <w:ind w:left="567" w:hanging="567"/>
      </w:pPr>
      <w:r w:rsidRPr="00CE3172">
        <w:tab/>
      </w:r>
      <w:proofErr w:type="gramStart"/>
      <w:r w:rsidRPr="00CE3172">
        <w:t>de</w:t>
      </w:r>
      <w:proofErr w:type="gramEnd"/>
      <w:r w:rsidRPr="00CE3172">
        <w:t xml:space="preserve"> suivi de la satisfaction et de la perception des utilisateurs;  et</w:t>
      </w:r>
    </w:p>
    <w:p w14:paraId="7B5CFC06" w14:textId="77777777" w:rsidR="008C1458" w:rsidRPr="00CE3172" w:rsidRDefault="008C1458" w:rsidP="00DA07A9">
      <w:pPr>
        <w:pStyle w:val="GuidanceNumberedai"/>
        <w:spacing w:line="240" w:lineRule="auto"/>
        <w:ind w:left="567" w:hanging="567"/>
      </w:pPr>
      <w:r w:rsidRPr="00CE3172">
        <w:tab/>
      </w:r>
      <w:proofErr w:type="gramStart"/>
      <w:r w:rsidRPr="00CE3172">
        <w:t>permettant</w:t>
      </w:r>
      <w:proofErr w:type="gramEnd"/>
      <w:r w:rsidRPr="00CE3172">
        <w:t xml:space="preserve"> de vérifier que les besoins et attentes légitimes desdits utilisateurs sont satisfaits.</w:t>
      </w:r>
    </w:p>
    <w:p w14:paraId="393D5F47" w14:textId="77777777" w:rsidR="008C1458" w:rsidRPr="00CE3172" w:rsidRDefault="008C1458" w:rsidP="00DA07A9">
      <w:pPr>
        <w:pStyle w:val="GuidanceNumbereda"/>
        <w:spacing w:line="240" w:lineRule="auto"/>
        <w:ind w:left="567" w:hanging="567"/>
      </w:pPr>
      <w:r w:rsidRPr="00CE3172">
        <w:tab/>
        <w:t>iii)</w:t>
      </w:r>
      <w:r w:rsidRPr="00CE3172">
        <w:tab/>
        <w:t>Fourniture aux utilisateurs (en particulier les déposants non représentés) de conseils et d’informations clairs, concis et approfondis sur la recherche et l’examen, donnant des détails sur l’endroit où ils figurent comme par exemple le site Web de l’administration et les guides.</w:t>
      </w:r>
    </w:p>
    <w:p w14:paraId="027CEC41" w14:textId="77777777" w:rsidR="008C1458" w:rsidRPr="00CE3172" w:rsidRDefault="008C1458" w:rsidP="00DA07A9">
      <w:pPr>
        <w:pStyle w:val="Guidance"/>
        <w:keepNext/>
        <w:keepLines/>
        <w:spacing w:line="240" w:lineRule="auto"/>
        <w:ind w:left="567" w:hanging="567"/>
      </w:pPr>
      <w:r w:rsidRPr="00CE3172">
        <w:tab/>
        <w:t>iv)</w:t>
      </w:r>
      <w:r w:rsidRPr="00CE3172">
        <w:tab/>
        <w:t>Une indication de l’endroit où l’administration met ses objectifs en matière de qualité à la disposition des utilisateurs et de la manière dont elle le fait.</w:t>
      </w:r>
    </w:p>
    <w:p w14:paraId="0D803BB4" w14:textId="2F7A2C1D" w:rsidR="008C1458" w:rsidRPr="00CE3172" w:rsidRDefault="008C1458" w:rsidP="00DA07A9">
      <w:pPr>
        <w:pStyle w:val="ONUMFS"/>
        <w:numPr>
          <w:ilvl w:val="0"/>
          <w:numId w:val="0"/>
        </w:numPr>
        <w:rPr>
          <w:lang w:val="fr-FR"/>
        </w:rPr>
      </w:pPr>
      <w:r w:rsidRPr="00CE3172">
        <w:rPr>
          <w:lang w:val="fr-FR"/>
        </w:rPr>
        <w:t>L’IPOPHL utilise le mécanisme de retour d’information ci</w:t>
      </w:r>
      <w:r w:rsidR="00BC3CD7">
        <w:rPr>
          <w:lang w:val="fr-FR"/>
        </w:rPr>
        <w:noBreakHyphen/>
      </w:r>
      <w:r w:rsidRPr="00CE3172">
        <w:rPr>
          <w:lang w:val="fr-FR"/>
        </w:rPr>
        <w:t>après :</w:t>
      </w:r>
    </w:p>
    <w:p w14:paraId="0B7F23D1" w14:textId="77777777" w:rsidR="008C1458" w:rsidRPr="00CE3172" w:rsidRDefault="008C1458" w:rsidP="000C2BE0">
      <w:pPr>
        <w:keepLines/>
        <w:rPr>
          <w:lang w:val="fr-FR"/>
        </w:rPr>
      </w:pPr>
    </w:p>
    <w:p w14:paraId="278DAE9E" w14:textId="77777777" w:rsidR="008C1458" w:rsidRPr="00CE3172" w:rsidRDefault="008C1458" w:rsidP="00DA07A9">
      <w:pPr>
        <w:keepNext/>
        <w:keepLines/>
        <w:jc w:val="center"/>
        <w:rPr>
          <w:i/>
          <w:szCs w:val="22"/>
          <w:lang w:val="fr-FR"/>
        </w:rPr>
      </w:pPr>
      <w:r w:rsidRPr="00CE3172">
        <w:rPr>
          <w:i/>
          <w:szCs w:val="22"/>
          <w:lang w:val="fr-FR"/>
        </w:rPr>
        <w:lastRenderedPageBreak/>
        <w:t>Schéma 3</w:t>
      </w:r>
    </w:p>
    <w:p w14:paraId="0170A4E4" w14:textId="77777777" w:rsidR="008C1458" w:rsidRPr="00CE3172" w:rsidRDefault="008C1458" w:rsidP="00DA07A9">
      <w:pPr>
        <w:keepNext/>
        <w:keepLines/>
        <w:shd w:val="clear" w:color="auto" w:fill="BFBFBF"/>
        <w:jc w:val="center"/>
        <w:rPr>
          <w:b/>
          <w:i/>
          <w:szCs w:val="22"/>
          <w:lang w:val="fr-FR"/>
        </w:rPr>
      </w:pPr>
      <w:r w:rsidRPr="00CE3172">
        <w:rPr>
          <w:b/>
          <w:i/>
          <w:szCs w:val="22"/>
          <w:lang w:val="fr-FR"/>
        </w:rPr>
        <w:t>Circulation de l’information au sein du système PQRS</w:t>
      </w:r>
    </w:p>
    <w:p w14:paraId="597268DD" w14:textId="77777777" w:rsidR="008C1458" w:rsidRPr="00CE3172" w:rsidRDefault="008C1458" w:rsidP="00DA07A9">
      <w:pPr>
        <w:jc w:val="center"/>
        <w:rPr>
          <w:lang w:val="fr-FR"/>
        </w:rPr>
      </w:pPr>
      <w:r w:rsidRPr="00CE3172">
        <w:rPr>
          <w:noProof/>
          <w:lang w:val="en-US" w:eastAsia="en-US"/>
        </w:rPr>
        <w:drawing>
          <wp:inline distT="0" distB="0" distL="0" distR="0" wp14:anchorId="1FE84FAE" wp14:editId="5582EE51">
            <wp:extent cx="5486400" cy="3739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489174" cy="3740992"/>
                    </a:xfrm>
                    <a:prstGeom prst="rect">
                      <a:avLst/>
                    </a:prstGeom>
                    <a:noFill/>
                    <a:ln w="9525">
                      <a:noFill/>
                      <a:miter lim="800000"/>
                      <a:headEnd/>
                      <a:tailEnd/>
                    </a:ln>
                  </pic:spPr>
                </pic:pic>
              </a:graphicData>
            </a:graphic>
          </wp:inline>
        </w:drawing>
      </w:r>
    </w:p>
    <w:p w14:paraId="152DBC4F" w14:textId="77777777" w:rsidR="008C1458" w:rsidRPr="00CE3172" w:rsidRDefault="008C1458" w:rsidP="00DA07A9">
      <w:pPr>
        <w:rPr>
          <w:lang w:val="fr-FR"/>
        </w:rPr>
      </w:pPr>
    </w:p>
    <w:p w14:paraId="169DCF5C" w14:textId="6462EED1" w:rsidR="008C1458" w:rsidRPr="00CE3172" w:rsidRDefault="008C1458" w:rsidP="00DA07A9">
      <w:pPr>
        <w:pStyle w:val="ONUMFS"/>
        <w:numPr>
          <w:ilvl w:val="0"/>
          <w:numId w:val="0"/>
        </w:numPr>
        <w:rPr>
          <w:lang w:val="fr-FR"/>
        </w:rPr>
      </w:pPr>
      <w:r w:rsidRPr="00CE3172">
        <w:rPr>
          <w:lang w:val="fr-FR"/>
        </w:rPr>
        <w:t xml:space="preserve">i) </w:t>
      </w:r>
      <w:r w:rsidRPr="00CE3172">
        <w:rPr>
          <w:lang w:val="fr-FR"/>
        </w:rPr>
        <w:tab/>
        <w:t xml:space="preserve">Le Bureau de la gestion stratégique (OSM) est chargé de recevoir les observations et les plaintes des clients au moyen de formulaires dédiés, par </w:t>
      </w:r>
      <w:r>
        <w:rPr>
          <w:lang w:val="fr-FR"/>
        </w:rPr>
        <w:t>courrier électronique</w:t>
      </w:r>
      <w:r w:rsidRPr="00CE3172">
        <w:rPr>
          <w:lang w:val="fr-FR"/>
        </w:rPr>
        <w:t>, par courrier postal, par téléphone et via la boîte à idées de l’IPOPHL.  Les plaintes et les observations sont adressées aux chefs de bureau et de département concernés pour qu’ils prennent des mesures appropriées.  Les observations ou les questions relatives à l’examen sont transmises à la division de gestion de la qualité pour évaluation et correction.  Les résultats de l’évaluation et les mesures à prendre sont ensuite communiqués aux clients</w:t>
      </w:r>
      <w:r w:rsidR="00DA07A9">
        <w:rPr>
          <w:lang w:val="fr-FR"/>
        </w:rPr>
        <w:t xml:space="preserve"> ou </w:t>
      </w:r>
      <w:r w:rsidRPr="00CE3172">
        <w:rPr>
          <w:lang w:val="fr-FR"/>
        </w:rPr>
        <w:t>déposants.</w:t>
      </w:r>
    </w:p>
    <w:p w14:paraId="3F28B9CA" w14:textId="77777777" w:rsidR="008C1458" w:rsidRPr="00CE3172" w:rsidRDefault="008C1458" w:rsidP="00DA07A9">
      <w:pPr>
        <w:pStyle w:val="ONUMFS"/>
        <w:numPr>
          <w:ilvl w:val="0"/>
          <w:numId w:val="0"/>
        </w:numPr>
        <w:rPr>
          <w:lang w:val="fr-FR"/>
        </w:rPr>
      </w:pPr>
      <w:r w:rsidRPr="00CE3172">
        <w:rPr>
          <w:lang w:val="fr-FR"/>
        </w:rPr>
        <w:t>ii)</w:t>
      </w:r>
      <w:r w:rsidRPr="00CE3172">
        <w:rPr>
          <w:lang w:val="fr-FR"/>
        </w:rPr>
        <w:tab/>
        <w:t xml:space="preserve">L’IPOPHL réalise une enquête de satisfaction de la clientèle via le Bureau de la gestion stratégique.  Cette enquête est importante pour aider le Bureau des brevets à améliorer la qualité de ses services.  Le Bureau de la gestion stratégique élabore la fiche d’observations destinée aux clients et en assure la diffusion par fax, </w:t>
      </w:r>
      <w:r>
        <w:rPr>
          <w:lang w:val="fr-FR"/>
        </w:rPr>
        <w:t>courrier électronique</w:t>
      </w:r>
      <w:r w:rsidRPr="00CE3172">
        <w:rPr>
          <w:lang w:val="fr-FR"/>
        </w:rPr>
        <w:t xml:space="preserve">, courrier postal, en direct ou via la boîte aux lettres de l’IPOPHL.  Les réponses sont adressées par le même biais et les personnes qui sont de passage dans les locaux de l’IPOPHL déposent directement leur fiche dans la boîte prévue à cet effet.  Il est également possible de donner suite aux formulaires d’enquête par </w:t>
      </w:r>
      <w:r>
        <w:rPr>
          <w:lang w:val="fr-FR"/>
        </w:rPr>
        <w:t>courrier électronique</w:t>
      </w:r>
      <w:r w:rsidRPr="00CE3172">
        <w:rPr>
          <w:lang w:val="fr-FR"/>
        </w:rPr>
        <w:t xml:space="preserve"> et par téléphone.  Les réponses sont regroupées, synthétis</w:t>
      </w:r>
      <w:r>
        <w:rPr>
          <w:lang w:val="fr-FR"/>
        </w:rPr>
        <w:t>ées</w:t>
      </w:r>
      <w:r w:rsidRPr="00CE3172">
        <w:rPr>
          <w:lang w:val="fr-FR"/>
        </w:rPr>
        <w:t xml:space="preserve"> et présentées sous forme de tableau.  Le Bureau de la gestion stratégique élabore le rapport d’enquête sur la satisfaction de la clientèle qui comprend une analyse statistique, des commentaires et des recommandations fondées sur les résultats.</w:t>
      </w:r>
    </w:p>
    <w:p w14:paraId="186C4B29" w14:textId="77777777" w:rsidR="008C1458" w:rsidRPr="00CE3172" w:rsidRDefault="008C1458" w:rsidP="00DA07A9">
      <w:pPr>
        <w:pStyle w:val="ONUMFS"/>
        <w:numPr>
          <w:ilvl w:val="0"/>
          <w:numId w:val="0"/>
        </w:numPr>
        <w:rPr>
          <w:lang w:val="fr-FR"/>
        </w:rPr>
      </w:pPr>
      <w:r w:rsidRPr="00CE3172">
        <w:rPr>
          <w:lang w:val="fr-FR"/>
        </w:rPr>
        <w:t>Le Bureau des brevets organise également une réunion annuelle des parties prenantes afin d’examiner les questions et les problèmes se rapportant aux pratiques de recherche et d’examen.</w:t>
      </w:r>
    </w:p>
    <w:p w14:paraId="0D8C1008" w14:textId="77777777" w:rsidR="008C1458" w:rsidRPr="00CE3172" w:rsidRDefault="008C1458" w:rsidP="00DA07A9">
      <w:pPr>
        <w:pStyle w:val="ONUMFS"/>
        <w:numPr>
          <w:ilvl w:val="0"/>
          <w:numId w:val="0"/>
        </w:numPr>
        <w:rPr>
          <w:lang w:val="fr-FR"/>
        </w:rPr>
      </w:pPr>
      <w:r w:rsidRPr="00CE3172">
        <w:rPr>
          <w:lang w:val="fr-FR"/>
        </w:rPr>
        <w:t>iii) et iv) L’IPOPHL a publié le Code de la propriété intellectuelle et son règlement d’application, le Manuel sur les pratiques d’examen de brevets, la loi de 2008 sur l’accès universel à des médicaments de qualité et moins coûteux (QUAMA) et ses directives, la procédure relative à la présentation des demandes d’enregistrement de modèles d’utilité, de dessins ou modèles industriels, de brevets et des demandes selon le PCT et le barème des taxes.  Tous ces documents sont disponibles sur le site Web de l’IPOPHL.</w:t>
      </w:r>
    </w:p>
    <w:p w14:paraId="514FB5DB" w14:textId="73B1A2D7" w:rsidR="008C1458" w:rsidRPr="00CE3172" w:rsidRDefault="008C1458" w:rsidP="00DA07A9">
      <w:pPr>
        <w:pStyle w:val="ONUMFS"/>
        <w:numPr>
          <w:ilvl w:val="0"/>
          <w:numId w:val="0"/>
        </w:numPr>
        <w:rPr>
          <w:lang w:val="fr-FR"/>
        </w:rPr>
      </w:pPr>
      <w:r w:rsidRPr="00CE3172">
        <w:rPr>
          <w:lang w:val="fr-FR"/>
        </w:rPr>
        <w:lastRenderedPageBreak/>
        <w:t>Les objectifs de l’IPOPHL en matière de qualité sont également portés à la connaissance du public via le site Web de l’</w:t>
      </w:r>
      <w:r w:rsidR="00BB28AA" w:rsidRPr="00CE3172">
        <w:rPr>
          <w:lang w:val="fr-FR"/>
        </w:rPr>
        <w:t>office</w:t>
      </w:r>
      <w:r w:rsidRPr="00CE3172">
        <w:rPr>
          <w:lang w:val="fr-FR"/>
        </w:rPr>
        <w:t>.</w:t>
      </w:r>
    </w:p>
    <w:p w14:paraId="7A00802D" w14:textId="77777777" w:rsidR="008C1458" w:rsidRPr="00CE3172" w:rsidRDefault="008C1458" w:rsidP="00DA07A9">
      <w:pPr>
        <w:pStyle w:val="Guidance"/>
        <w:keepNext/>
        <w:spacing w:line="240" w:lineRule="auto"/>
      </w:pPr>
      <w:r w:rsidRPr="00CE3172">
        <w:t>21.16</w:t>
      </w:r>
      <w:r w:rsidRPr="00CE3172">
        <w:tab/>
        <w:t>Communication avec l’OMPI et avec les offices désignés ou élus :</w:t>
      </w:r>
    </w:p>
    <w:p w14:paraId="00423497" w14:textId="77777777" w:rsidR="008C1458" w:rsidRPr="00CE3172" w:rsidRDefault="008C1458" w:rsidP="00DA07A9">
      <w:pPr>
        <w:pStyle w:val="GuidanceNumbered"/>
        <w:spacing w:line="240" w:lineRule="auto"/>
      </w:pPr>
      <w:r w:rsidRPr="00CE3172">
        <w:tab/>
        <w:t>Décrire comment l’administration met en place des moyens efficaces de communication avec l’OMPI et les offices désignés et offices élus et, en particulier</w:t>
      </w:r>
      <w:r>
        <w:t xml:space="preserve">, </w:t>
      </w:r>
      <w:r w:rsidRPr="00CE3172">
        <w:t>comment elle veille à ce que le retour d’information de l’OMPI soit promptement évalué et pris en compte.</w:t>
      </w:r>
    </w:p>
    <w:p w14:paraId="06E82A19" w14:textId="77777777" w:rsidR="008C1458" w:rsidRPr="00CE3172" w:rsidRDefault="008C1458" w:rsidP="00DA07A9">
      <w:pPr>
        <w:pStyle w:val="ONUMFS"/>
        <w:numPr>
          <w:ilvl w:val="0"/>
          <w:numId w:val="0"/>
        </w:numPr>
        <w:rPr>
          <w:lang w:val="fr-FR"/>
        </w:rPr>
      </w:pPr>
      <w:r w:rsidRPr="00CE3172">
        <w:rPr>
          <w:lang w:val="fr-FR"/>
        </w:rPr>
        <w:t>À la date de la nomination, l’interlocuteur désigné par l’IPOPHL pour communiquer avec le Bureau international de l’OMPI et les offices désignés et élus sera le directeur du Bureau des brevets.</w:t>
      </w:r>
    </w:p>
    <w:p w14:paraId="13A3BF21" w14:textId="77777777" w:rsidR="008C1458" w:rsidRPr="00CE3172" w:rsidRDefault="008C1458" w:rsidP="00DA07A9">
      <w:pPr>
        <w:pStyle w:val="Heading1"/>
        <w:rPr>
          <w:lang w:val="fr-FR"/>
        </w:rPr>
      </w:pPr>
      <w:r w:rsidRPr="00CE3172">
        <w:rPr>
          <w:lang w:val="fr-FR"/>
        </w:rPr>
        <w:t>6.</w:t>
      </w:r>
      <w:r w:rsidRPr="00CE3172">
        <w:rPr>
          <w:lang w:val="fr-FR"/>
        </w:rPr>
        <w:tab/>
        <w:t>Documentation</w:t>
      </w:r>
    </w:p>
    <w:p w14:paraId="0BE7FFC4" w14:textId="77777777" w:rsidR="008C1458" w:rsidRPr="00CE3172" w:rsidRDefault="008C1458" w:rsidP="00DA07A9">
      <w:pPr>
        <w:rPr>
          <w:lang w:val="fr-FR"/>
        </w:rPr>
      </w:pPr>
    </w:p>
    <w:p w14:paraId="5E4BC1EE" w14:textId="77777777" w:rsidR="008C1458" w:rsidRPr="00CE3172" w:rsidRDefault="008C1458" w:rsidP="00DA07A9">
      <w:pPr>
        <w:pStyle w:val="Guidance"/>
        <w:keepLines/>
        <w:spacing w:line="240" w:lineRule="auto"/>
        <w:rPr>
          <w:rFonts w:eastAsia="SimSun"/>
        </w:rPr>
      </w:pPr>
      <w:r w:rsidRPr="00CE3172">
        <w:rPr>
          <w:rFonts w:eastAsia="SimSun"/>
        </w:rPr>
        <w:t>21.17</w:t>
      </w:r>
      <w:r w:rsidRPr="00CE3172">
        <w:rPr>
          <w:rFonts w:eastAsia="SimSun"/>
        </w:rPr>
        <w:tab/>
        <w:t>Note explicative : le système de gestion de la qualité de l’administration doit être clairement décrit et mis en œuvre afin que toutes les procédures engagées au sein de l’administration et que les produits et services qui en résultent puissent être surveillés et contrôlés et que leur conformité soit vérifiée.  Cela est fait dans les documents qui constituent le Manuel sur la qualité de l’administration (voir le paragraphe 21.18).</w:t>
      </w:r>
    </w:p>
    <w:p w14:paraId="1B5BA0BE" w14:textId="77777777" w:rsidR="008C1458" w:rsidRPr="00CE3172" w:rsidRDefault="008C1458" w:rsidP="00DA07A9">
      <w:pPr>
        <w:pStyle w:val="Guidance"/>
        <w:keepLines/>
        <w:spacing w:line="240" w:lineRule="auto"/>
        <w:rPr>
          <w:rFonts w:eastAsia="SimSun"/>
        </w:rPr>
      </w:pPr>
      <w:r w:rsidRPr="00CE3172">
        <w:rPr>
          <w:rFonts w:eastAsia="SimSun"/>
        </w:rPr>
        <w:tab/>
        <w:t>(Note : ce point est mentionné à titre d’information.  Aucune réponse n’est requise par le canevas au paragraphe 21.17)</w:t>
      </w:r>
    </w:p>
    <w:p w14:paraId="253249A7" w14:textId="77777777" w:rsidR="008C1458" w:rsidRPr="00CE3172" w:rsidRDefault="008C1458" w:rsidP="00DA07A9">
      <w:pPr>
        <w:pStyle w:val="Guidance"/>
        <w:keepLines/>
        <w:spacing w:line="240" w:lineRule="auto"/>
        <w:rPr>
          <w:rFonts w:eastAsia="SimSun"/>
        </w:rPr>
      </w:pPr>
      <w:r w:rsidRPr="00CE3172">
        <w:rPr>
          <w:rFonts w:eastAsia="SimSun"/>
        </w:rPr>
        <w:t>21.18</w:t>
      </w:r>
      <w:r w:rsidRPr="00CE3172">
        <w:rPr>
          <w:rFonts w:eastAsia="SimSun"/>
        </w:rPr>
        <w:tab/>
        <w:t>Les documents qui constituent le manuel sur la qualité servent à documenter les procédures et processus ayant une incidence sur la qualité du travail, tels que le classement, la recherche, l’examen et les tâches administratives connexes.  À cet égard, le manuel indique l’endroit où se trouvent les instructions relatives aux procédures.</w:t>
      </w:r>
    </w:p>
    <w:p w14:paraId="15406117" w14:textId="77777777" w:rsidR="008C1458" w:rsidRPr="00CE3172" w:rsidRDefault="008C1458" w:rsidP="00DA07A9">
      <w:pPr>
        <w:pStyle w:val="Guidance"/>
        <w:keepLines/>
        <w:spacing w:line="240" w:lineRule="auto"/>
        <w:rPr>
          <w:rFonts w:eastAsia="SimSun"/>
        </w:rPr>
      </w:pPr>
      <w:r w:rsidRPr="00CE3172">
        <w:rPr>
          <w:rFonts w:eastAsia="SimSun"/>
        </w:rPr>
        <w:tab/>
        <w:t>Aux fins du présent rapport, indiquer :</w:t>
      </w:r>
    </w:p>
    <w:p w14:paraId="61D96587" w14:textId="77777777" w:rsidR="008C1458" w:rsidRPr="00CE3172" w:rsidRDefault="008C1458" w:rsidP="00DA07A9">
      <w:pPr>
        <w:pStyle w:val="Guidance"/>
        <w:keepLines/>
        <w:spacing w:line="240" w:lineRule="auto"/>
        <w:rPr>
          <w:rFonts w:eastAsia="SimSun"/>
        </w:rPr>
      </w:pPr>
      <w:r w:rsidRPr="00CE3172">
        <w:rPr>
          <w:rFonts w:eastAsia="SimSun"/>
        </w:rPr>
        <w:tab/>
        <w:t>a)</w:t>
      </w:r>
      <w:r w:rsidRPr="00CE3172">
        <w:rPr>
          <w:rFonts w:eastAsia="SimSun"/>
        </w:rPr>
        <w:tab/>
        <w:t>les documents constituant un manuel sur la qualité qui ont été établis et distribués;</w:t>
      </w:r>
    </w:p>
    <w:p w14:paraId="6C18D265" w14:textId="77777777" w:rsidR="008C1458" w:rsidRPr="00CE3172" w:rsidRDefault="008C1458" w:rsidP="00DA07A9">
      <w:pPr>
        <w:pStyle w:val="Guidance"/>
        <w:keepLines/>
        <w:spacing w:line="240" w:lineRule="auto"/>
        <w:rPr>
          <w:rFonts w:eastAsia="SimSun"/>
        </w:rPr>
      </w:pPr>
      <w:r w:rsidRPr="00CE3172">
        <w:rPr>
          <w:rFonts w:eastAsia="SimSun"/>
        </w:rPr>
        <w:tab/>
        <w:t>b)</w:t>
      </w:r>
      <w:r w:rsidRPr="00CE3172">
        <w:rPr>
          <w:rFonts w:eastAsia="SimSun"/>
        </w:rPr>
        <w:tab/>
        <w:t>les supports sur lesquels il s’appuie (comme par exemple la publication interne, Internet et Intranet);  et</w:t>
      </w:r>
    </w:p>
    <w:p w14:paraId="0F4C4B2E" w14:textId="77777777" w:rsidR="008C1458" w:rsidRPr="00CE3172" w:rsidRDefault="008C1458" w:rsidP="00DA07A9">
      <w:pPr>
        <w:pStyle w:val="Guidance"/>
        <w:keepLines/>
        <w:spacing w:line="240" w:lineRule="auto"/>
        <w:rPr>
          <w:rFonts w:eastAsia="SimSun"/>
        </w:rPr>
      </w:pPr>
      <w:r w:rsidRPr="00CE3172">
        <w:rPr>
          <w:rFonts w:eastAsia="SimSun"/>
        </w:rPr>
        <w:tab/>
        <w:t>c)</w:t>
      </w:r>
      <w:r w:rsidRPr="00CE3172">
        <w:rPr>
          <w:rFonts w:eastAsia="SimSun"/>
        </w:rPr>
        <w:tab/>
        <w:t>les mesures de contrôle prises comme par exemple la numérotation de la version et l’accès à la dernière version.</w:t>
      </w:r>
    </w:p>
    <w:p w14:paraId="7CECD922" w14:textId="77777777" w:rsidR="008C1458" w:rsidRPr="00CE3172" w:rsidRDefault="008C1458" w:rsidP="00DA07A9">
      <w:pPr>
        <w:pStyle w:val="ONUMFS"/>
        <w:numPr>
          <w:ilvl w:val="0"/>
          <w:numId w:val="0"/>
        </w:numPr>
        <w:rPr>
          <w:lang w:val="fr-FR"/>
        </w:rPr>
      </w:pPr>
      <w:r w:rsidRPr="00CE3172">
        <w:rPr>
          <w:lang w:val="fr-FR"/>
        </w:rPr>
        <w:t>Les documents qui composent le Manuel sur la qualité ont été élaborés et distribués au personnel.  Des mesures de contrôle de la documentation sont prises, par exemple la numérotation des versions, et la dernière version en date est publiée en interne.  Tous les documents sont disponibles sur l’intranet (système de communication interne de l’IPOPHL).</w:t>
      </w:r>
    </w:p>
    <w:p w14:paraId="2552DAC0" w14:textId="77777777" w:rsidR="008C1458" w:rsidRPr="00CE3172" w:rsidRDefault="008C1458" w:rsidP="00DA07A9">
      <w:pPr>
        <w:pStyle w:val="Guidance"/>
        <w:keepNext/>
        <w:keepLines/>
        <w:spacing w:line="240" w:lineRule="auto"/>
        <w:ind w:left="567" w:hanging="567"/>
        <w:rPr>
          <w:rFonts w:eastAsia="SimSun"/>
        </w:rPr>
      </w:pPr>
      <w:r w:rsidRPr="00CE3172">
        <w:rPr>
          <w:rFonts w:eastAsia="SimSun"/>
        </w:rPr>
        <w:t xml:space="preserve">21.19 </w:t>
      </w:r>
      <w:r w:rsidRPr="00CE3172">
        <w:rPr>
          <w:rFonts w:eastAsia="SimSun"/>
        </w:rPr>
        <w:tab/>
        <w:t>Indiquer si le manuel sur la qualité comprend les documents suivants :</w:t>
      </w:r>
    </w:p>
    <w:p w14:paraId="769EB2B7" w14:textId="77777777" w:rsidR="008C1458" w:rsidRPr="00CE3172" w:rsidRDefault="008C1458" w:rsidP="00DA07A9">
      <w:pPr>
        <w:pStyle w:val="Guidance"/>
        <w:keepNext/>
        <w:keepLines/>
        <w:spacing w:line="240" w:lineRule="auto"/>
        <w:ind w:left="567" w:hanging="567"/>
        <w:rPr>
          <w:rFonts w:eastAsia="SimSun"/>
        </w:rPr>
      </w:pPr>
      <w:r w:rsidRPr="00CE3172">
        <w:rPr>
          <w:rFonts w:eastAsia="SimSun"/>
        </w:rPr>
        <w:tab/>
        <w:t>i)</w:t>
      </w:r>
      <w:r w:rsidRPr="00CE3172">
        <w:rPr>
          <w:rFonts w:eastAsia="SimSun"/>
        </w:rPr>
        <w:tab/>
        <w:t>la politique en matière de qualité de l’administration, accompagnée d’une déclaration de la haute direction indiquant expressément son adhésion au système de gestion de la qualité;</w:t>
      </w:r>
    </w:p>
    <w:p w14:paraId="413B14CF" w14:textId="77777777" w:rsidR="008C1458" w:rsidRPr="00CE3172" w:rsidRDefault="008C1458" w:rsidP="00DA07A9">
      <w:pPr>
        <w:pStyle w:val="Guidance"/>
        <w:keepNext/>
        <w:keepLines/>
        <w:spacing w:line="240" w:lineRule="auto"/>
        <w:ind w:left="567" w:hanging="567"/>
        <w:rPr>
          <w:rFonts w:eastAsia="SimSun"/>
        </w:rPr>
      </w:pPr>
      <w:r w:rsidRPr="00CE3172">
        <w:rPr>
          <w:rFonts w:eastAsia="SimSun"/>
        </w:rPr>
        <w:tab/>
        <w:t>ii)</w:t>
      </w:r>
      <w:r w:rsidRPr="00CE3172">
        <w:rPr>
          <w:rFonts w:eastAsia="SimSun"/>
        </w:rPr>
        <w:tab/>
        <w:t>la portée du système de gestion de la qualité, avec des informations détaillées sur tous éléments exclus et les justifications de ces exclusions;</w:t>
      </w:r>
    </w:p>
    <w:p w14:paraId="129A2C7B" w14:textId="77777777" w:rsidR="008C1458" w:rsidRPr="00CE3172" w:rsidRDefault="008C1458" w:rsidP="00DA07A9">
      <w:pPr>
        <w:pStyle w:val="Guidance"/>
        <w:keepNext/>
        <w:keepLines/>
        <w:spacing w:line="240" w:lineRule="auto"/>
        <w:ind w:left="567" w:hanging="567"/>
        <w:rPr>
          <w:rFonts w:eastAsia="SimSun"/>
        </w:rPr>
      </w:pPr>
      <w:r w:rsidRPr="00CE3172">
        <w:rPr>
          <w:rFonts w:eastAsia="SimSun"/>
        </w:rPr>
        <w:tab/>
        <w:t>iii)</w:t>
      </w:r>
      <w:r w:rsidRPr="00CE3172">
        <w:rPr>
          <w:rFonts w:eastAsia="SimSun"/>
        </w:rPr>
        <w:tab/>
        <w:t>la structure organique de l’administration et les responsabilités confiées à chacun de ses départements;</w:t>
      </w:r>
    </w:p>
    <w:p w14:paraId="3FA93803" w14:textId="77777777" w:rsidR="008C1458" w:rsidRPr="00CE3172" w:rsidRDefault="008C1458" w:rsidP="00DA07A9">
      <w:pPr>
        <w:pStyle w:val="Guidance"/>
        <w:keepNext/>
        <w:keepLines/>
        <w:spacing w:line="240" w:lineRule="auto"/>
        <w:ind w:left="567" w:hanging="567"/>
        <w:rPr>
          <w:rFonts w:eastAsia="SimSun"/>
        </w:rPr>
      </w:pPr>
      <w:r w:rsidRPr="00CE3172">
        <w:rPr>
          <w:rFonts w:eastAsia="SimSun"/>
        </w:rPr>
        <w:tab/>
        <w:t>iv)</w:t>
      </w:r>
      <w:r w:rsidRPr="00CE3172">
        <w:rPr>
          <w:rFonts w:eastAsia="SimSun"/>
        </w:rPr>
        <w:tab/>
        <w:t>la description des procédures appliquées au sein de l’administration, telles que la réception des demandes, le classement, la diffusion, la recherche, l’examen, la publication et les mécanismes d’appui, ainsi que les procédures arrêtées aux fins du système de gestion de la qualité ou les renvois à ces procédures;</w:t>
      </w:r>
    </w:p>
    <w:p w14:paraId="59D68FF3" w14:textId="77777777" w:rsidR="008C1458" w:rsidRPr="00CE3172" w:rsidRDefault="008C1458" w:rsidP="00DA07A9">
      <w:pPr>
        <w:pStyle w:val="Guidance"/>
        <w:keepNext/>
        <w:keepLines/>
        <w:spacing w:line="240" w:lineRule="auto"/>
        <w:ind w:left="567" w:hanging="567"/>
        <w:rPr>
          <w:rFonts w:eastAsia="SimSun"/>
        </w:rPr>
      </w:pPr>
      <w:r w:rsidRPr="00CE3172">
        <w:rPr>
          <w:rFonts w:eastAsia="SimSun"/>
        </w:rPr>
        <w:tab/>
        <w:t>v)</w:t>
      </w:r>
      <w:r w:rsidRPr="00CE3172">
        <w:rPr>
          <w:rFonts w:eastAsia="SimSun"/>
        </w:rPr>
        <w:tab/>
        <w:t>les ressources disponibles aux fins de l’application des processus et de la mise en œuvre des procédures;  et</w:t>
      </w:r>
    </w:p>
    <w:p w14:paraId="175D3459" w14:textId="77777777" w:rsidR="008C1458" w:rsidRPr="00CE3172" w:rsidRDefault="008C1458" w:rsidP="00DA07A9">
      <w:pPr>
        <w:pStyle w:val="Guidance"/>
        <w:keepNext/>
        <w:keepLines/>
        <w:spacing w:line="240" w:lineRule="auto"/>
        <w:ind w:left="567" w:hanging="567"/>
      </w:pPr>
      <w:r w:rsidRPr="00CE3172">
        <w:rPr>
          <w:rFonts w:eastAsia="SimSun"/>
        </w:rPr>
        <w:tab/>
        <w:t>vi)</w:t>
      </w:r>
      <w:r w:rsidRPr="00CE3172">
        <w:rPr>
          <w:rFonts w:eastAsia="SimSun"/>
        </w:rPr>
        <w:tab/>
        <w:t>une description de l’interaction entre ces processus et les procédures relevant du système de gestion de la qualité.</w:t>
      </w:r>
    </w:p>
    <w:p w14:paraId="139DB8C9" w14:textId="77777777" w:rsidR="000C2BE0" w:rsidRDefault="000C2BE0">
      <w:pPr>
        <w:rPr>
          <w:lang w:val="fr-FR"/>
        </w:rPr>
      </w:pPr>
      <w:r>
        <w:rPr>
          <w:lang w:val="fr-FR"/>
        </w:rPr>
        <w:br w:type="page"/>
      </w:r>
    </w:p>
    <w:p w14:paraId="6DADF05A" w14:textId="595E5989" w:rsidR="008C1458" w:rsidRPr="00CE3172" w:rsidRDefault="008C1458" w:rsidP="00DA07A9">
      <w:pPr>
        <w:pStyle w:val="ONUMFS"/>
        <w:numPr>
          <w:ilvl w:val="0"/>
          <w:numId w:val="0"/>
        </w:numPr>
        <w:rPr>
          <w:lang w:val="fr-FR"/>
        </w:rPr>
      </w:pPr>
      <w:r w:rsidRPr="00CE3172">
        <w:rPr>
          <w:lang w:val="fr-FR"/>
        </w:rPr>
        <w:lastRenderedPageBreak/>
        <w:t>Le Manuel sur la qualité comprend :</w:t>
      </w:r>
    </w:p>
    <w:p w14:paraId="44EAAB79" w14:textId="6F1CD8C7" w:rsidR="008C1458" w:rsidRPr="00CE3172" w:rsidRDefault="00DA07A9" w:rsidP="00DA07A9">
      <w:pPr>
        <w:pStyle w:val="ListParagraph"/>
        <w:numPr>
          <w:ilvl w:val="0"/>
          <w:numId w:val="21"/>
        </w:numPr>
        <w:ind w:left="1134" w:hanging="567"/>
        <w:jc w:val="both"/>
        <w:rPr>
          <w:lang w:val="fr-FR"/>
        </w:rPr>
      </w:pPr>
      <w:r w:rsidRPr="00CE3172">
        <w:rPr>
          <w:lang w:val="fr-FR"/>
        </w:rPr>
        <w:t xml:space="preserve">la </w:t>
      </w:r>
      <w:r w:rsidR="008C1458" w:rsidRPr="00CE3172">
        <w:rPr>
          <w:lang w:val="fr-FR"/>
        </w:rPr>
        <w:t>politique en matière de qualité;</w:t>
      </w:r>
    </w:p>
    <w:p w14:paraId="79C127AE" w14:textId="2DD9522A" w:rsidR="008C1458" w:rsidRPr="00CE3172" w:rsidRDefault="00DA07A9" w:rsidP="00DA07A9">
      <w:pPr>
        <w:pStyle w:val="ListParagraph"/>
        <w:numPr>
          <w:ilvl w:val="0"/>
          <w:numId w:val="21"/>
        </w:numPr>
        <w:ind w:left="1134" w:hanging="567"/>
        <w:jc w:val="both"/>
        <w:rPr>
          <w:lang w:val="fr-FR"/>
        </w:rPr>
      </w:pPr>
      <w:r w:rsidRPr="00CE3172">
        <w:rPr>
          <w:lang w:val="fr-FR"/>
        </w:rPr>
        <w:t xml:space="preserve">la </w:t>
      </w:r>
      <w:r w:rsidR="008C1458" w:rsidRPr="00CE3172">
        <w:rPr>
          <w:lang w:val="fr-FR"/>
        </w:rPr>
        <w:t>portée du système de gestion de la qualité;</w:t>
      </w:r>
    </w:p>
    <w:p w14:paraId="021C3F8B" w14:textId="60257A68" w:rsidR="008C1458" w:rsidRPr="00CE3172" w:rsidRDefault="00DA07A9" w:rsidP="00DA07A9">
      <w:pPr>
        <w:pStyle w:val="ListParagraph"/>
        <w:numPr>
          <w:ilvl w:val="0"/>
          <w:numId w:val="21"/>
        </w:numPr>
        <w:ind w:left="1134" w:hanging="567"/>
        <w:jc w:val="both"/>
        <w:rPr>
          <w:lang w:val="fr-FR"/>
        </w:rPr>
      </w:pPr>
      <w:r w:rsidRPr="00CE3172">
        <w:rPr>
          <w:lang w:val="fr-FR"/>
        </w:rPr>
        <w:t xml:space="preserve">la </w:t>
      </w:r>
      <w:r w:rsidR="008C1458" w:rsidRPr="00CE3172">
        <w:rPr>
          <w:lang w:val="fr-FR"/>
        </w:rPr>
        <w:t>structure de l’organisation;</w:t>
      </w:r>
    </w:p>
    <w:p w14:paraId="10BE583E" w14:textId="55129B4D" w:rsidR="008C1458" w:rsidRPr="00CE3172" w:rsidRDefault="00DA07A9" w:rsidP="00DA07A9">
      <w:pPr>
        <w:pStyle w:val="ListParagraph"/>
        <w:numPr>
          <w:ilvl w:val="0"/>
          <w:numId w:val="21"/>
        </w:numPr>
        <w:ind w:left="1134" w:hanging="567"/>
        <w:jc w:val="both"/>
        <w:rPr>
          <w:lang w:val="fr-FR"/>
        </w:rPr>
      </w:pPr>
      <w:r w:rsidRPr="00CE3172">
        <w:rPr>
          <w:lang w:val="fr-FR"/>
        </w:rPr>
        <w:t xml:space="preserve">les </w:t>
      </w:r>
      <w:r w:rsidR="008C1458" w:rsidRPr="00CE3172">
        <w:rPr>
          <w:lang w:val="fr-FR"/>
        </w:rPr>
        <w:t>procédures documentées suivies au sein de l’IPOPHL, du dépôt de la demande à la délivrance entre autres;</w:t>
      </w:r>
    </w:p>
    <w:p w14:paraId="714C0476" w14:textId="0A99C69B" w:rsidR="008C1458" w:rsidRPr="00CE3172" w:rsidRDefault="00DA07A9" w:rsidP="00DA07A9">
      <w:pPr>
        <w:pStyle w:val="ListParagraph"/>
        <w:numPr>
          <w:ilvl w:val="0"/>
          <w:numId w:val="21"/>
        </w:numPr>
        <w:ind w:left="1134" w:hanging="567"/>
        <w:jc w:val="both"/>
        <w:rPr>
          <w:lang w:val="fr-FR"/>
        </w:rPr>
      </w:pPr>
      <w:r w:rsidRPr="00CE3172">
        <w:rPr>
          <w:lang w:val="fr-FR"/>
        </w:rPr>
        <w:t xml:space="preserve">les </w:t>
      </w:r>
      <w:r w:rsidR="008C1458" w:rsidRPr="00CE3172">
        <w:rPr>
          <w:lang w:val="fr-FR"/>
        </w:rPr>
        <w:t>ressources nécessaires à l’exécution des procédures;</w:t>
      </w:r>
    </w:p>
    <w:p w14:paraId="0C540DB8" w14:textId="587789B2" w:rsidR="008C1458" w:rsidRPr="00CE3172" w:rsidRDefault="00DA07A9" w:rsidP="00DA07A9">
      <w:pPr>
        <w:pStyle w:val="ListParagraph"/>
        <w:numPr>
          <w:ilvl w:val="0"/>
          <w:numId w:val="21"/>
        </w:numPr>
        <w:ind w:left="1134" w:hanging="567"/>
        <w:jc w:val="both"/>
        <w:rPr>
          <w:lang w:val="fr-FR"/>
        </w:rPr>
      </w:pPr>
      <w:r w:rsidRPr="00CE3172">
        <w:rPr>
          <w:lang w:val="fr-FR"/>
        </w:rPr>
        <w:t xml:space="preserve">et </w:t>
      </w:r>
      <w:r w:rsidR="008C1458" w:rsidRPr="00CE3172">
        <w:rPr>
          <w:lang w:val="fr-FR"/>
        </w:rPr>
        <w:t>leurs interactions.</w:t>
      </w:r>
    </w:p>
    <w:p w14:paraId="0F9F0012" w14:textId="77777777" w:rsidR="008C1458" w:rsidRPr="00CE3172" w:rsidRDefault="008C1458" w:rsidP="00DA07A9">
      <w:pPr>
        <w:jc w:val="both"/>
        <w:rPr>
          <w:sz w:val="24"/>
          <w:szCs w:val="24"/>
          <w:lang w:val="fr-FR"/>
        </w:rPr>
      </w:pPr>
    </w:p>
    <w:p w14:paraId="61D27D2A" w14:textId="77777777" w:rsidR="008C1458" w:rsidRPr="00CE3172" w:rsidRDefault="008C1458" w:rsidP="00DA07A9">
      <w:pPr>
        <w:pStyle w:val="GuidanceNumbered"/>
        <w:spacing w:line="240" w:lineRule="auto"/>
      </w:pPr>
      <w:r w:rsidRPr="00CE3172">
        <w:t>21.20</w:t>
      </w:r>
      <w:r w:rsidRPr="00CE3172">
        <w:tab/>
        <w:t>Indiquer les types de données que l’administration tient à jour comme :</w:t>
      </w:r>
    </w:p>
    <w:p w14:paraId="6318B129" w14:textId="77777777" w:rsidR="008C1458" w:rsidRPr="00CE3172" w:rsidRDefault="008C1458" w:rsidP="00DA07A9">
      <w:pPr>
        <w:pStyle w:val="GuidanceNumbereda"/>
        <w:spacing w:line="240" w:lineRule="auto"/>
      </w:pPr>
      <w:r w:rsidRPr="00CE3172">
        <w:tab/>
        <w:t>i)</w:t>
      </w:r>
      <w:r w:rsidRPr="00CE3172">
        <w:tab/>
        <w:t>une définition des documents conservés et de l’endroit où ils sont archivés;</w:t>
      </w:r>
    </w:p>
    <w:p w14:paraId="45516A3B" w14:textId="77777777" w:rsidR="008C1458" w:rsidRPr="00CE3172" w:rsidRDefault="008C1458" w:rsidP="00DA07A9">
      <w:pPr>
        <w:pStyle w:val="GuidanceNumbereda"/>
        <w:spacing w:line="240" w:lineRule="auto"/>
      </w:pPr>
      <w:r w:rsidRPr="00CE3172">
        <w:tab/>
        <w:t>ii)</w:t>
      </w:r>
      <w:r w:rsidRPr="00CE3172">
        <w:tab/>
        <w:t>les résultats de l’évaluation de gestion;</w:t>
      </w:r>
    </w:p>
    <w:p w14:paraId="5F652855" w14:textId="77777777" w:rsidR="008C1458" w:rsidRPr="00CE3172" w:rsidRDefault="008C1458" w:rsidP="00DA07A9">
      <w:pPr>
        <w:pStyle w:val="GuidanceNumbereda"/>
        <w:spacing w:line="240" w:lineRule="auto"/>
      </w:pPr>
      <w:r w:rsidRPr="00CE3172">
        <w:tab/>
        <w:t>iii)</w:t>
      </w:r>
      <w:r w:rsidRPr="00CE3172">
        <w:tab/>
        <w:t>la formation, les compétences et l’expérience des membres du personnel;</w:t>
      </w:r>
    </w:p>
    <w:p w14:paraId="46C928FC" w14:textId="77777777" w:rsidR="008C1458" w:rsidRPr="00CE3172" w:rsidRDefault="008C1458" w:rsidP="00DA07A9">
      <w:pPr>
        <w:pStyle w:val="GuidanceNumbereda"/>
        <w:spacing w:line="240" w:lineRule="auto"/>
      </w:pPr>
      <w:r w:rsidRPr="00CE3172">
        <w:tab/>
        <w:t>iv)</w:t>
      </w:r>
      <w:r w:rsidRPr="00CE3172">
        <w:tab/>
        <w:t>des preuves de la conformité des processus ainsi que des produits et services en résultant aux normes de qualité;</w:t>
      </w:r>
    </w:p>
    <w:p w14:paraId="2E3618CD" w14:textId="77777777" w:rsidR="008C1458" w:rsidRPr="00CE3172" w:rsidRDefault="008C1458" w:rsidP="00DA07A9">
      <w:pPr>
        <w:pStyle w:val="GuidanceNumbereda"/>
        <w:spacing w:line="240" w:lineRule="auto"/>
      </w:pPr>
      <w:r w:rsidRPr="00CE3172">
        <w:tab/>
        <w:t>v)</w:t>
      </w:r>
      <w:r w:rsidRPr="00CE3172">
        <w:tab/>
        <w:t>les résultats des évaluations relatives aux exigences applicables aux produits;</w:t>
      </w:r>
    </w:p>
    <w:p w14:paraId="6C622E5C" w14:textId="77777777" w:rsidR="008C1458" w:rsidRPr="00CE3172" w:rsidRDefault="008C1458" w:rsidP="00DA07A9">
      <w:pPr>
        <w:pStyle w:val="GuidanceNumbereda"/>
        <w:spacing w:line="240" w:lineRule="auto"/>
      </w:pPr>
      <w:r w:rsidRPr="00CE3172">
        <w:tab/>
        <w:t>vi)</w:t>
      </w:r>
      <w:r w:rsidRPr="00CE3172">
        <w:tab/>
        <w:t>les procédures de recherche et d’examen menées à bien pour chaque demande;</w:t>
      </w:r>
    </w:p>
    <w:p w14:paraId="0D9980FA" w14:textId="77777777" w:rsidR="008C1458" w:rsidRPr="00CE3172" w:rsidRDefault="008C1458" w:rsidP="00DA07A9">
      <w:pPr>
        <w:pStyle w:val="GuidanceNumbereda"/>
        <w:spacing w:line="240" w:lineRule="auto"/>
      </w:pPr>
      <w:r w:rsidRPr="00CE3172">
        <w:tab/>
        <w:t>vii)</w:t>
      </w:r>
      <w:r w:rsidRPr="00CE3172">
        <w:tab/>
        <w:t>des données permettant de suivre et de reconstituer chaque tâche individuelle;</w:t>
      </w:r>
    </w:p>
    <w:p w14:paraId="54F5AC8B" w14:textId="77777777" w:rsidR="008C1458" w:rsidRPr="00CE3172" w:rsidRDefault="008C1458" w:rsidP="00DA07A9">
      <w:pPr>
        <w:pStyle w:val="GuidanceNumbereda"/>
        <w:spacing w:line="240" w:lineRule="auto"/>
      </w:pPr>
      <w:r w:rsidRPr="00CE3172">
        <w:tab/>
        <w:t>viii)</w:t>
      </w:r>
      <w:r w:rsidRPr="00CE3172">
        <w:tab/>
        <w:t>les dossiers des audits effectués dans le cadre du système de gestion de la qualité;</w:t>
      </w:r>
    </w:p>
    <w:p w14:paraId="6FE93366" w14:textId="77777777" w:rsidR="008C1458" w:rsidRPr="00CE3172" w:rsidRDefault="008C1458" w:rsidP="00DA07A9">
      <w:pPr>
        <w:pStyle w:val="GuidanceNumbereda"/>
        <w:spacing w:line="240" w:lineRule="auto"/>
      </w:pPr>
      <w:r w:rsidRPr="00CE3172">
        <w:tab/>
        <w:t>ix)</w:t>
      </w:r>
      <w:r w:rsidRPr="00CE3172">
        <w:tab/>
        <w:t>les mesures prises en cas de produits non conformes, par exemple les corrections effectuées;</w:t>
      </w:r>
    </w:p>
    <w:p w14:paraId="6065C744" w14:textId="77777777" w:rsidR="008C1458" w:rsidRPr="00CE3172" w:rsidRDefault="008C1458" w:rsidP="00DA07A9">
      <w:pPr>
        <w:pStyle w:val="GuidanceNumbereda"/>
        <w:spacing w:line="240" w:lineRule="auto"/>
      </w:pPr>
      <w:r w:rsidRPr="00CE3172">
        <w:tab/>
        <w:t>x)</w:t>
      </w:r>
      <w:r w:rsidRPr="00CE3172">
        <w:tab/>
        <w:t>le suivi des mesures correctives;</w:t>
      </w:r>
    </w:p>
    <w:p w14:paraId="3B9A553E" w14:textId="77777777" w:rsidR="008C1458" w:rsidRPr="00CE3172" w:rsidRDefault="008C1458" w:rsidP="00DA07A9">
      <w:pPr>
        <w:pStyle w:val="GuidanceNumbereda"/>
        <w:spacing w:line="240" w:lineRule="auto"/>
      </w:pPr>
      <w:r w:rsidRPr="00CE3172">
        <w:tab/>
        <w:t>xi)</w:t>
      </w:r>
      <w:r w:rsidRPr="00CE3172">
        <w:tab/>
        <w:t>le suivi des mesures préventives;  et</w:t>
      </w:r>
    </w:p>
    <w:p w14:paraId="2AC507B0" w14:textId="77777777" w:rsidR="008C1458" w:rsidRPr="00CE3172" w:rsidRDefault="008C1458" w:rsidP="00DA07A9">
      <w:pPr>
        <w:pStyle w:val="Guidance"/>
        <w:keepLines/>
        <w:spacing w:line="240" w:lineRule="auto"/>
        <w:ind w:left="567" w:hanging="567"/>
      </w:pPr>
      <w:r w:rsidRPr="00CE3172">
        <w:tab/>
        <w:t>xii)</w:t>
      </w:r>
      <w:r w:rsidRPr="00CE3172">
        <w:tab/>
        <w:t>la description de la procédure de recherche, telle qu’exposée dans la section 7.</w:t>
      </w:r>
    </w:p>
    <w:p w14:paraId="63C4AE72" w14:textId="77777777" w:rsidR="008C1458" w:rsidRPr="00CE3172" w:rsidRDefault="008C1458" w:rsidP="00DA07A9">
      <w:pPr>
        <w:pStyle w:val="ONUMFS"/>
        <w:keepNext/>
        <w:numPr>
          <w:ilvl w:val="0"/>
          <w:numId w:val="0"/>
        </w:numPr>
        <w:rPr>
          <w:lang w:val="fr-FR"/>
        </w:rPr>
      </w:pPr>
      <w:r w:rsidRPr="00CE3172">
        <w:rPr>
          <w:lang w:val="fr-FR"/>
        </w:rPr>
        <w:t>À l’IPOPHL, le Conservateur des dossiers et des documents (DRC) est responsable de la collecte, du stockage, de la protection et du traitement des données de chaque bureau/division, conformément aux exigences de la norme ISO 9001:2008, qui comprennent notamment :</w:t>
      </w:r>
    </w:p>
    <w:p w14:paraId="0B653E82"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i)</w:t>
      </w:r>
      <w:r w:rsidRPr="00CE3172">
        <w:rPr>
          <w:lang w:val="fr-FR"/>
        </w:rPr>
        <w:tab/>
        <w:t>une définition des documents conservés et de l’endroit où ils sont archivés;</w:t>
      </w:r>
    </w:p>
    <w:p w14:paraId="461BB4B4"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ii)</w:t>
      </w:r>
      <w:r w:rsidRPr="00CE3172">
        <w:rPr>
          <w:lang w:val="fr-FR"/>
        </w:rPr>
        <w:tab/>
        <w:t>les résultats de l’évaluation de gestion;</w:t>
      </w:r>
    </w:p>
    <w:p w14:paraId="2FF02F10"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ii)</w:t>
      </w:r>
      <w:r w:rsidRPr="00CE3172">
        <w:rPr>
          <w:lang w:val="fr-FR"/>
        </w:rPr>
        <w:tab/>
        <w:t>des preuves de la conformité des processus ainsi que des produits et services en résultant aux normes de qualité;</w:t>
      </w:r>
    </w:p>
    <w:p w14:paraId="2C4A5234"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iv)</w:t>
      </w:r>
      <w:r w:rsidRPr="00CE3172">
        <w:rPr>
          <w:lang w:val="fr-FR"/>
        </w:rPr>
        <w:tab/>
        <w:t>les résultats des évaluations relatives aux exigences applicables aux produits;</w:t>
      </w:r>
    </w:p>
    <w:p w14:paraId="3A40631E"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v)</w:t>
      </w:r>
      <w:r w:rsidRPr="00CE3172">
        <w:rPr>
          <w:lang w:val="fr-FR"/>
        </w:rPr>
        <w:tab/>
        <w:t>les dossiers des audits effectués dans le cadre du système de gestion de la qualité;</w:t>
      </w:r>
    </w:p>
    <w:p w14:paraId="532741A6"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vi)</w:t>
      </w:r>
      <w:r w:rsidRPr="00CE3172">
        <w:rPr>
          <w:lang w:val="fr-FR"/>
        </w:rPr>
        <w:tab/>
        <w:t>les mesures prises en cas de produits non conformes, par exemple les corrections effectuées;</w:t>
      </w:r>
    </w:p>
    <w:p w14:paraId="240E6FA6"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vii)</w:t>
      </w:r>
      <w:r w:rsidRPr="00CE3172">
        <w:rPr>
          <w:lang w:val="fr-FR"/>
        </w:rPr>
        <w:tab/>
        <w:t>le suivi des mesures correctives;</w:t>
      </w:r>
    </w:p>
    <w:p w14:paraId="58DDEDD3" w14:textId="77777777" w:rsidR="008C1458" w:rsidRPr="00CE3172" w:rsidRDefault="008C1458" w:rsidP="00DA07A9">
      <w:pPr>
        <w:pStyle w:val="ONUMFS"/>
        <w:numPr>
          <w:ilvl w:val="0"/>
          <w:numId w:val="0"/>
        </w:numPr>
        <w:tabs>
          <w:tab w:val="left" w:pos="567"/>
        </w:tabs>
        <w:ind w:left="1134" w:hanging="1134"/>
        <w:rPr>
          <w:lang w:val="fr-FR"/>
        </w:rPr>
      </w:pPr>
      <w:r w:rsidRPr="00CE3172">
        <w:rPr>
          <w:lang w:val="fr-FR"/>
        </w:rPr>
        <w:tab/>
        <w:t>viii)</w:t>
      </w:r>
      <w:r w:rsidRPr="00CE3172">
        <w:rPr>
          <w:lang w:val="fr-FR"/>
        </w:rPr>
        <w:tab/>
        <w:t>le suivi des mesures préventives.</w:t>
      </w:r>
    </w:p>
    <w:p w14:paraId="54F98C2C" w14:textId="77777777" w:rsidR="008C1458" w:rsidRPr="00CE3172" w:rsidRDefault="008C1458" w:rsidP="00DA07A9">
      <w:pPr>
        <w:pStyle w:val="ONUMFS"/>
        <w:numPr>
          <w:ilvl w:val="0"/>
          <w:numId w:val="0"/>
        </w:numPr>
        <w:rPr>
          <w:lang w:val="fr-FR"/>
        </w:rPr>
      </w:pPr>
      <w:r w:rsidRPr="00CE3172">
        <w:rPr>
          <w:lang w:val="fr-FR"/>
        </w:rPr>
        <w:t>Tous les dossiers sont conservés et archivés au bureau du Conservateur des dossiers et des documents.</w:t>
      </w:r>
    </w:p>
    <w:p w14:paraId="74D8182F" w14:textId="77777777" w:rsidR="000C2BE0" w:rsidRDefault="000C2BE0">
      <w:pPr>
        <w:rPr>
          <w:lang w:val="fr-FR"/>
        </w:rPr>
      </w:pPr>
      <w:r>
        <w:rPr>
          <w:lang w:val="fr-FR"/>
        </w:rPr>
        <w:br w:type="page"/>
      </w:r>
    </w:p>
    <w:p w14:paraId="048349A2" w14:textId="24C6AC98" w:rsidR="008C1458" w:rsidRPr="00CE3172" w:rsidRDefault="008C1458" w:rsidP="00DA07A9">
      <w:pPr>
        <w:pStyle w:val="ONUMFS"/>
        <w:numPr>
          <w:ilvl w:val="0"/>
          <w:numId w:val="0"/>
        </w:numPr>
        <w:rPr>
          <w:lang w:val="fr-FR"/>
        </w:rPr>
      </w:pPr>
      <w:r w:rsidRPr="00CE3172">
        <w:rPr>
          <w:lang w:val="fr-FR"/>
        </w:rPr>
        <w:lastRenderedPageBreak/>
        <w:t>Au Bureau des brevets, l’Unité de gestion des dossiers est chargée de conserver les dossiers concernant :</w:t>
      </w:r>
    </w:p>
    <w:p w14:paraId="3BAC7091" w14:textId="77777777" w:rsidR="008C1458" w:rsidRPr="00CE3172" w:rsidRDefault="008C1458" w:rsidP="00DA07A9">
      <w:pPr>
        <w:pStyle w:val="ONUMFS"/>
        <w:numPr>
          <w:ilvl w:val="0"/>
          <w:numId w:val="0"/>
        </w:numPr>
        <w:rPr>
          <w:lang w:val="fr-FR"/>
        </w:rPr>
      </w:pPr>
      <w:r w:rsidRPr="00CE3172">
        <w:rPr>
          <w:lang w:val="fr-FR"/>
        </w:rPr>
        <w:tab/>
        <w:t>ix)</w:t>
      </w:r>
      <w:r w:rsidRPr="00CE3172">
        <w:rPr>
          <w:lang w:val="fr-FR"/>
        </w:rPr>
        <w:tab/>
        <w:t>les procédures de recherche et d’examen menées à bien pour chaque demande;</w:t>
      </w:r>
    </w:p>
    <w:p w14:paraId="616744AA" w14:textId="77777777" w:rsidR="008C1458" w:rsidRPr="00CE3172" w:rsidRDefault="008C1458" w:rsidP="00DA07A9">
      <w:pPr>
        <w:pStyle w:val="ONUMFS"/>
        <w:numPr>
          <w:ilvl w:val="0"/>
          <w:numId w:val="0"/>
        </w:numPr>
        <w:rPr>
          <w:lang w:val="fr-FR"/>
        </w:rPr>
      </w:pPr>
      <w:r w:rsidRPr="00CE3172">
        <w:rPr>
          <w:lang w:val="fr-FR"/>
        </w:rPr>
        <w:tab/>
        <w:t>x)</w:t>
      </w:r>
      <w:r w:rsidRPr="00CE3172">
        <w:rPr>
          <w:lang w:val="fr-FR"/>
        </w:rPr>
        <w:tab/>
        <w:t>les données permettant de suivre et de reconstituer chaque tâche individuelle;</w:t>
      </w:r>
    </w:p>
    <w:p w14:paraId="51C20D5E" w14:textId="77777777" w:rsidR="008C1458" w:rsidRPr="00CE3172" w:rsidRDefault="008C1458" w:rsidP="00DA07A9">
      <w:pPr>
        <w:pStyle w:val="ONUMFS"/>
        <w:numPr>
          <w:ilvl w:val="0"/>
          <w:numId w:val="0"/>
        </w:numPr>
        <w:rPr>
          <w:lang w:val="fr-FR"/>
        </w:rPr>
      </w:pPr>
      <w:r w:rsidRPr="00CE3172">
        <w:rPr>
          <w:lang w:val="fr-FR"/>
        </w:rPr>
        <w:tab/>
        <w:t>xi)</w:t>
      </w:r>
      <w:r w:rsidRPr="00CE3172">
        <w:rPr>
          <w:lang w:val="fr-FR"/>
        </w:rPr>
        <w:tab/>
        <w:t>la description de la procédure de recherche, telle qu’exposée dans la section 7.</w:t>
      </w:r>
    </w:p>
    <w:p w14:paraId="1C87A04C" w14:textId="77777777" w:rsidR="008C1458" w:rsidRPr="00CE3172" w:rsidRDefault="008C1458" w:rsidP="00DA07A9">
      <w:pPr>
        <w:pStyle w:val="ONUMFS"/>
        <w:numPr>
          <w:ilvl w:val="0"/>
          <w:numId w:val="0"/>
        </w:numPr>
        <w:rPr>
          <w:lang w:val="fr-FR"/>
        </w:rPr>
      </w:pPr>
      <w:r w:rsidRPr="00CE3172">
        <w:rPr>
          <w:lang w:val="fr-FR"/>
        </w:rPr>
        <w:t>Tous les documents sont conservés et archivés sous forme électronique dans le système d’automatisation en matière de propriété intellectuelle.</w:t>
      </w:r>
    </w:p>
    <w:p w14:paraId="1A1D5296" w14:textId="77777777" w:rsidR="008C1458" w:rsidRPr="00CE3172" w:rsidRDefault="008C1458" w:rsidP="00DA07A9">
      <w:pPr>
        <w:pStyle w:val="ONUMFS"/>
        <w:numPr>
          <w:ilvl w:val="0"/>
          <w:numId w:val="0"/>
        </w:numPr>
        <w:rPr>
          <w:lang w:val="fr-FR"/>
        </w:rPr>
      </w:pPr>
      <w:r w:rsidRPr="00CE3172">
        <w:rPr>
          <w:lang w:val="fr-FR"/>
        </w:rPr>
        <w:t>En outre, la division des ressources humaines (HRDD) est chargée de conserver les dossiers concernant :</w:t>
      </w:r>
    </w:p>
    <w:p w14:paraId="71F60933" w14:textId="77777777" w:rsidR="008C1458" w:rsidRPr="00CE3172" w:rsidRDefault="008C1458" w:rsidP="00DA07A9">
      <w:pPr>
        <w:pStyle w:val="ONUMFS"/>
        <w:numPr>
          <w:ilvl w:val="0"/>
          <w:numId w:val="0"/>
        </w:numPr>
        <w:rPr>
          <w:lang w:val="fr-FR"/>
        </w:rPr>
      </w:pPr>
      <w:r w:rsidRPr="00CE3172">
        <w:rPr>
          <w:lang w:val="fr-FR"/>
        </w:rPr>
        <w:tab/>
        <w:t>xii)</w:t>
      </w:r>
      <w:r w:rsidRPr="00CE3172">
        <w:rPr>
          <w:lang w:val="fr-FR"/>
        </w:rPr>
        <w:tab/>
        <w:t>la formation, les compétences et l’expérience des membres du personnel.</w:t>
      </w:r>
    </w:p>
    <w:p w14:paraId="06CBD906" w14:textId="77777777" w:rsidR="008C1458" w:rsidRPr="00CE3172" w:rsidRDefault="008C1458" w:rsidP="00DA07A9">
      <w:pPr>
        <w:pStyle w:val="ONUMFS"/>
        <w:numPr>
          <w:ilvl w:val="0"/>
          <w:numId w:val="0"/>
        </w:numPr>
        <w:rPr>
          <w:lang w:val="fr-FR"/>
        </w:rPr>
      </w:pPr>
      <w:r w:rsidRPr="00CE3172">
        <w:rPr>
          <w:lang w:val="fr-FR"/>
        </w:rPr>
        <w:t>Tous les dossiers sont conservés et archivés au bureau de la division des ressources humaines.</w:t>
      </w:r>
    </w:p>
    <w:p w14:paraId="55517972" w14:textId="77777777" w:rsidR="008C1458" w:rsidRPr="00CE3172" w:rsidRDefault="008C1458" w:rsidP="00DA07A9">
      <w:pPr>
        <w:pStyle w:val="Heading1"/>
        <w:keepLines/>
        <w:rPr>
          <w:lang w:val="fr-FR"/>
        </w:rPr>
      </w:pPr>
      <w:r w:rsidRPr="00CE3172">
        <w:rPr>
          <w:lang w:val="fr-FR"/>
        </w:rPr>
        <w:t>7.</w:t>
      </w:r>
      <w:r w:rsidRPr="00CE3172">
        <w:rPr>
          <w:lang w:val="fr-FR"/>
        </w:rPr>
        <w:tab/>
        <w:t>Description de la procédure de recherche</w:t>
      </w:r>
    </w:p>
    <w:p w14:paraId="31ACE215" w14:textId="77777777" w:rsidR="008C1458" w:rsidRPr="00CE3172" w:rsidRDefault="008C1458" w:rsidP="00DA07A9">
      <w:pPr>
        <w:keepNext/>
        <w:keepLines/>
        <w:rPr>
          <w:lang w:val="fr-FR"/>
        </w:rPr>
      </w:pPr>
    </w:p>
    <w:p w14:paraId="506A0709" w14:textId="77777777" w:rsidR="008C1458" w:rsidRPr="00CE3172" w:rsidRDefault="008C1458" w:rsidP="00DA07A9">
      <w:pPr>
        <w:pStyle w:val="GuidanceNumbered"/>
        <w:spacing w:line="240" w:lineRule="auto"/>
      </w:pPr>
      <w:r w:rsidRPr="00CE3172">
        <w:t>21.21</w:t>
      </w:r>
      <w:r w:rsidRPr="00CE3172">
        <w:tab/>
        <w:t>À des fins internes, l’administration décrit sa procédure de recherche.</w:t>
      </w:r>
    </w:p>
    <w:p w14:paraId="0E9CC215" w14:textId="77777777" w:rsidR="008C1458" w:rsidRPr="00CE3172" w:rsidRDefault="008C1458" w:rsidP="00DA07A9">
      <w:pPr>
        <w:pStyle w:val="GuidanceNumbered"/>
        <w:spacing w:line="240" w:lineRule="auto"/>
        <w:rPr>
          <w:lang w:eastAsia="zh-CN"/>
        </w:rPr>
      </w:pPr>
      <w:r w:rsidRPr="00CE3172">
        <w:rPr>
          <w:lang w:eastAsia="zh-CN"/>
        </w:rPr>
        <w:tab/>
        <w:t>L’administration doit indiquer</w:t>
      </w:r>
    </w:p>
    <w:p w14:paraId="2ECE62FE" w14:textId="77777777" w:rsidR="008C1458" w:rsidRPr="00CE3172" w:rsidRDefault="008C1458" w:rsidP="00DA07A9">
      <w:pPr>
        <w:pStyle w:val="GuidanceNumbereda"/>
        <w:spacing w:line="240" w:lineRule="auto"/>
      </w:pPr>
      <w:r w:rsidRPr="00CE3172">
        <w:tab/>
        <w:t>a)</w:t>
      </w:r>
      <w:r w:rsidRPr="00CE3172">
        <w:tab/>
        <w:t>le ou lesquels des éléments suivants figurent dans cette procédure :</w:t>
      </w:r>
    </w:p>
    <w:p w14:paraId="3EB86910" w14:textId="4A267672" w:rsidR="008C1458" w:rsidRPr="00CE3172" w:rsidRDefault="008C1458" w:rsidP="00DA07A9">
      <w:pPr>
        <w:pStyle w:val="GuidanceNumberedai"/>
        <w:spacing w:line="240" w:lineRule="auto"/>
        <w:ind w:left="1134" w:hanging="1134"/>
      </w:pPr>
      <w:r w:rsidRPr="00CE3172">
        <w:tab/>
        <w:t>i)</w:t>
      </w:r>
      <w:r w:rsidRPr="00CE3172">
        <w:tab/>
        <w:t>les bases de données consultées (bases de données de brevets et de littérature non</w:t>
      </w:r>
      <w:r w:rsidR="00BC3CD7">
        <w:noBreakHyphen/>
      </w:r>
      <w:r w:rsidRPr="00CE3172">
        <w:t>brevet);</w:t>
      </w:r>
    </w:p>
    <w:p w14:paraId="43A36CE5" w14:textId="77777777" w:rsidR="008C1458" w:rsidRPr="00CE3172" w:rsidRDefault="008C1458" w:rsidP="00DA07A9">
      <w:pPr>
        <w:pStyle w:val="GuidanceNumberedai"/>
        <w:spacing w:line="240" w:lineRule="auto"/>
        <w:ind w:left="1134" w:hanging="1134"/>
      </w:pPr>
      <w:r w:rsidRPr="00CE3172">
        <w:tab/>
        <w:t>ii)</w:t>
      </w:r>
      <w:r w:rsidRPr="00CE3172">
        <w:tab/>
        <w:t>les mots clés, combinaisons de mots et troncatures utilisés;</w:t>
      </w:r>
    </w:p>
    <w:p w14:paraId="6F955E1D" w14:textId="77777777" w:rsidR="008C1458" w:rsidRPr="00CE3172" w:rsidRDefault="008C1458" w:rsidP="00DA07A9">
      <w:pPr>
        <w:pStyle w:val="GuidanceNumberedai"/>
        <w:spacing w:line="240" w:lineRule="auto"/>
        <w:ind w:left="1134" w:hanging="1134"/>
      </w:pPr>
      <w:r w:rsidRPr="00CE3172">
        <w:tab/>
        <w:t>iii)</w:t>
      </w:r>
      <w:r w:rsidRPr="00CE3172">
        <w:tab/>
        <w:t>la ou les langues dans lesquelles la recherche a été effectuée;</w:t>
      </w:r>
    </w:p>
    <w:p w14:paraId="50485EF8" w14:textId="77777777" w:rsidR="008C1458" w:rsidRPr="00CE3172" w:rsidRDefault="008C1458" w:rsidP="00DA07A9">
      <w:pPr>
        <w:pStyle w:val="GuidanceNumberedai"/>
        <w:spacing w:line="240" w:lineRule="auto"/>
        <w:ind w:left="1134" w:hanging="1134"/>
      </w:pPr>
      <w:r w:rsidRPr="00CE3172">
        <w:tab/>
        <w:t>iv)</w:t>
      </w:r>
      <w:r w:rsidRPr="00CE3172">
        <w:tab/>
        <w:t>les classes et les combinaisons de classes dans lesquelles la recherche a été effectuée, au moins selon la CIB ou une classification équivalente;  et</w:t>
      </w:r>
    </w:p>
    <w:p w14:paraId="0370213F" w14:textId="77777777" w:rsidR="008C1458" w:rsidRPr="00CE3172" w:rsidRDefault="008C1458" w:rsidP="00DA07A9">
      <w:pPr>
        <w:pStyle w:val="GuidanceNumberedai"/>
        <w:spacing w:line="240" w:lineRule="auto"/>
        <w:ind w:left="1134" w:hanging="1134"/>
      </w:pPr>
      <w:r w:rsidRPr="00CE3172">
        <w:tab/>
        <w:t>v)</w:t>
      </w:r>
      <w:r w:rsidRPr="00CE3172">
        <w:tab/>
        <w:t>la liste de tous les énoncés de recherche utilisés dans les bases de données consultées;</w:t>
      </w:r>
    </w:p>
    <w:p w14:paraId="7FB8167F" w14:textId="0D091091" w:rsidR="008C1458" w:rsidRPr="00CE3172" w:rsidRDefault="008C1458" w:rsidP="00DA07A9">
      <w:pPr>
        <w:pStyle w:val="GuidanceNumbered"/>
        <w:spacing w:line="240" w:lineRule="auto"/>
      </w:pPr>
      <w:r w:rsidRPr="00CE3172">
        <w:tab/>
        <w:t>b)</w:t>
      </w:r>
      <w:r w:rsidRPr="00CE3172">
        <w:tab/>
        <w:t>les autres informations applicables à la recherche elle</w:t>
      </w:r>
      <w:r w:rsidR="00BC3CD7">
        <w:noBreakHyphen/>
      </w:r>
      <w:r w:rsidRPr="00CE3172">
        <w:t>même qui peuvent figurer dans ce dossier comme par exemple un énoncé de l’objet de la recherche, les détails revêtant une importance particulière pour la recherche sur l’Internet, un dossier des documents consultés, un thésaurus en ligne et des bases de données de synonymes ou de concepts.</w:t>
      </w:r>
    </w:p>
    <w:p w14:paraId="5443F135" w14:textId="77777777" w:rsidR="008C1458" w:rsidRPr="00CE3172" w:rsidRDefault="008C1458" w:rsidP="00DA07A9">
      <w:pPr>
        <w:pStyle w:val="GuidanceNumbered"/>
        <w:spacing w:line="240" w:lineRule="auto"/>
      </w:pPr>
      <w:r w:rsidRPr="00CE3172">
        <w:tab/>
        <w:t>(Note explicative</w:t>
      </w:r>
      <w:r w:rsidRPr="00CE3172">
        <w:rPr>
          <w:i w:val="0"/>
        </w:rPr>
        <w:t> :</w:t>
      </w:r>
      <w:r w:rsidRPr="00CE3172">
        <w:t xml:space="preserve"> l’administration internationale est priée de consigner les autres informations qu’elle peut collecter pour contrôler et améliorer le processus de recherche)</w:t>
      </w:r>
    </w:p>
    <w:p w14:paraId="4D896DD2" w14:textId="77777777" w:rsidR="008C1458" w:rsidRPr="00CE3172" w:rsidRDefault="008C1458" w:rsidP="00DA07A9">
      <w:pPr>
        <w:pStyle w:val="GuidanceNumbereda"/>
        <w:spacing w:line="240" w:lineRule="auto"/>
      </w:pPr>
      <w:r w:rsidRPr="00CE3172">
        <w:tab/>
        <w:t>c)</w:t>
      </w:r>
      <w:r w:rsidRPr="00CE3172">
        <w:tab/>
        <w:t>les cas particuliers qui sont documentés et si des dossiers sont conservés qui consignent :</w:t>
      </w:r>
    </w:p>
    <w:p w14:paraId="2C46FCE3" w14:textId="77777777" w:rsidR="008C1458" w:rsidRPr="00CE3172" w:rsidRDefault="008C1458" w:rsidP="00DA07A9">
      <w:pPr>
        <w:pStyle w:val="GuidanceNumberedai"/>
        <w:spacing w:line="240" w:lineRule="auto"/>
      </w:pPr>
      <w:r w:rsidRPr="00CE3172">
        <w:tab/>
        <w:t>vi)</w:t>
      </w:r>
      <w:r w:rsidRPr="00CE3172">
        <w:tab/>
        <w:t>la limitation de la recherche, avec les justifications de cette limitation;</w:t>
      </w:r>
    </w:p>
    <w:p w14:paraId="3A606403" w14:textId="77777777" w:rsidR="008C1458" w:rsidRPr="00CE3172" w:rsidRDefault="008C1458" w:rsidP="00DA07A9">
      <w:pPr>
        <w:pStyle w:val="GuidanceNumberedai"/>
        <w:spacing w:line="240" w:lineRule="auto"/>
      </w:pPr>
      <w:r w:rsidRPr="00CE3172">
        <w:tab/>
        <w:t>vii)</w:t>
      </w:r>
      <w:r w:rsidRPr="00CE3172">
        <w:tab/>
        <w:t>le manque de clarté des revendications;  et</w:t>
      </w:r>
    </w:p>
    <w:p w14:paraId="1EE98EE0" w14:textId="77777777" w:rsidR="008C1458" w:rsidRPr="00CE3172" w:rsidRDefault="008C1458" w:rsidP="00DA07A9">
      <w:pPr>
        <w:pStyle w:val="GuidanceNumberedai"/>
        <w:spacing w:line="240" w:lineRule="auto"/>
      </w:pPr>
      <w:r w:rsidRPr="00CE3172">
        <w:tab/>
        <w:t>viii)</w:t>
      </w:r>
      <w:r w:rsidRPr="00CE3172">
        <w:tab/>
        <w:t>l’absence d’unité d’invention.</w:t>
      </w:r>
    </w:p>
    <w:p w14:paraId="011ADB4E" w14:textId="77777777" w:rsidR="008C1458" w:rsidRPr="00CE3172" w:rsidRDefault="008C1458" w:rsidP="00DA07A9">
      <w:pPr>
        <w:pStyle w:val="ONUMFS"/>
        <w:numPr>
          <w:ilvl w:val="0"/>
          <w:numId w:val="0"/>
        </w:numPr>
        <w:rPr>
          <w:lang w:val="fr-FR"/>
        </w:rPr>
      </w:pPr>
      <w:r w:rsidRPr="00CE3172">
        <w:rPr>
          <w:lang w:val="fr-FR"/>
        </w:rPr>
        <w:t>Le système d’automatisation en matière de propriété intellectuelle contient les modèles normalisés de tous les travaux, notamment les rapports de recherche et d’examen.</w:t>
      </w:r>
    </w:p>
    <w:p w14:paraId="7E5BEE16" w14:textId="6F0CF8E4" w:rsidR="008C1458" w:rsidRPr="00CE3172" w:rsidRDefault="008C1458" w:rsidP="00DA07A9">
      <w:pPr>
        <w:pStyle w:val="ONUMFS"/>
        <w:numPr>
          <w:ilvl w:val="0"/>
          <w:numId w:val="0"/>
        </w:numPr>
        <w:rPr>
          <w:lang w:val="fr-FR"/>
        </w:rPr>
      </w:pPr>
      <w:r w:rsidRPr="00CE3172">
        <w:rPr>
          <w:lang w:val="fr-FR"/>
        </w:rPr>
        <w:t>Les informations ci</w:t>
      </w:r>
      <w:r w:rsidR="00BC3CD7">
        <w:rPr>
          <w:lang w:val="fr-FR"/>
        </w:rPr>
        <w:noBreakHyphen/>
      </w:r>
      <w:r w:rsidRPr="00CE3172">
        <w:rPr>
          <w:lang w:val="fr-FR"/>
        </w:rPr>
        <w:t>après concernant la publication du rapport de recherche sont consignées :</w:t>
      </w:r>
    </w:p>
    <w:p w14:paraId="27C9CF63" w14:textId="49BDBF97" w:rsidR="008C1458" w:rsidRPr="00CE3172" w:rsidRDefault="008C1458" w:rsidP="00DA07A9">
      <w:pPr>
        <w:pStyle w:val="ONUMFS"/>
        <w:numPr>
          <w:ilvl w:val="0"/>
          <w:numId w:val="0"/>
        </w:numPr>
        <w:tabs>
          <w:tab w:val="left" w:pos="567"/>
        </w:tabs>
        <w:ind w:left="1134" w:hanging="1134"/>
        <w:rPr>
          <w:lang w:val="fr-FR"/>
        </w:rPr>
      </w:pPr>
      <w:r w:rsidRPr="00CE3172">
        <w:rPr>
          <w:lang w:val="fr-FR"/>
        </w:rPr>
        <w:tab/>
        <w:t>i)</w:t>
      </w:r>
      <w:r w:rsidRPr="00CE3172">
        <w:rPr>
          <w:lang w:val="fr-FR"/>
        </w:rPr>
        <w:tab/>
      </w:r>
      <w:r w:rsidR="00DA07A9" w:rsidRPr="00CE3172">
        <w:rPr>
          <w:lang w:val="fr-FR"/>
        </w:rPr>
        <w:t xml:space="preserve">données </w:t>
      </w:r>
      <w:r w:rsidRPr="00CE3172">
        <w:rPr>
          <w:lang w:val="fr-FR"/>
        </w:rPr>
        <w:t>relatives à la demande : numéro de la demande, date de dépôt, titre, date de priorité la plus ancienne</w:t>
      </w:r>
    </w:p>
    <w:p w14:paraId="0425BE8B" w14:textId="2EF6A353" w:rsidR="008C1458" w:rsidRPr="00CE3172" w:rsidRDefault="008C1458" w:rsidP="00DA07A9">
      <w:pPr>
        <w:pStyle w:val="ONUMFS"/>
        <w:numPr>
          <w:ilvl w:val="0"/>
          <w:numId w:val="0"/>
        </w:numPr>
        <w:tabs>
          <w:tab w:val="left" w:pos="567"/>
        </w:tabs>
        <w:ind w:left="1134" w:hanging="1134"/>
        <w:rPr>
          <w:lang w:val="fr-FR"/>
        </w:rPr>
      </w:pPr>
      <w:r w:rsidRPr="00CE3172">
        <w:rPr>
          <w:lang w:val="fr-FR"/>
        </w:rPr>
        <w:tab/>
        <w:t>ii)</w:t>
      </w:r>
      <w:r w:rsidRPr="00CE3172">
        <w:rPr>
          <w:lang w:val="fr-FR"/>
        </w:rPr>
        <w:tab/>
      </w:r>
      <w:r w:rsidR="00DA07A9" w:rsidRPr="00CE3172">
        <w:rPr>
          <w:lang w:val="fr-FR"/>
        </w:rPr>
        <w:t xml:space="preserve">classification </w:t>
      </w:r>
      <w:r w:rsidRPr="00CE3172">
        <w:rPr>
          <w:lang w:val="fr-FR"/>
        </w:rPr>
        <w:t>internationale des brevets (CIB)</w:t>
      </w:r>
    </w:p>
    <w:p w14:paraId="370B891A" w14:textId="732E19C6" w:rsidR="008C1458" w:rsidRPr="00CE3172" w:rsidRDefault="008C1458" w:rsidP="00DA07A9">
      <w:pPr>
        <w:pStyle w:val="ONUMFS"/>
        <w:numPr>
          <w:ilvl w:val="0"/>
          <w:numId w:val="0"/>
        </w:numPr>
        <w:tabs>
          <w:tab w:val="left" w:pos="567"/>
        </w:tabs>
        <w:ind w:left="1134" w:hanging="1134"/>
        <w:rPr>
          <w:lang w:val="fr-FR"/>
        </w:rPr>
      </w:pPr>
      <w:r w:rsidRPr="00CE3172">
        <w:rPr>
          <w:lang w:val="fr-FR"/>
        </w:rPr>
        <w:tab/>
        <w:t>iii)</w:t>
      </w:r>
      <w:r w:rsidRPr="00CE3172">
        <w:rPr>
          <w:lang w:val="fr-FR"/>
        </w:rPr>
        <w:tab/>
      </w:r>
      <w:r w:rsidR="00DA07A9" w:rsidRPr="00CE3172">
        <w:rPr>
          <w:lang w:val="fr-FR"/>
        </w:rPr>
        <w:t xml:space="preserve">bases </w:t>
      </w:r>
      <w:r w:rsidRPr="00CE3172">
        <w:rPr>
          <w:lang w:val="fr-FR"/>
        </w:rPr>
        <w:t>de données consultées</w:t>
      </w:r>
    </w:p>
    <w:p w14:paraId="50978389" w14:textId="3F65F060" w:rsidR="008C1458" w:rsidRPr="00CE3172" w:rsidRDefault="008C1458" w:rsidP="00DA07A9">
      <w:pPr>
        <w:pStyle w:val="ONUMFS"/>
        <w:numPr>
          <w:ilvl w:val="0"/>
          <w:numId w:val="0"/>
        </w:numPr>
        <w:tabs>
          <w:tab w:val="left" w:pos="567"/>
        </w:tabs>
        <w:ind w:left="1134" w:hanging="1134"/>
        <w:rPr>
          <w:lang w:val="fr-FR"/>
        </w:rPr>
      </w:pPr>
      <w:r w:rsidRPr="00CE3172">
        <w:rPr>
          <w:lang w:val="fr-FR"/>
        </w:rPr>
        <w:lastRenderedPageBreak/>
        <w:tab/>
        <w:t>iv)</w:t>
      </w:r>
      <w:r w:rsidRPr="00CE3172">
        <w:rPr>
          <w:lang w:val="fr-FR"/>
        </w:rPr>
        <w:tab/>
      </w:r>
      <w:r w:rsidR="00DA07A9" w:rsidRPr="00CE3172">
        <w:rPr>
          <w:lang w:val="fr-FR"/>
        </w:rPr>
        <w:t xml:space="preserve">mots </w:t>
      </w:r>
      <w:r w:rsidRPr="00CE3172">
        <w:rPr>
          <w:lang w:val="fr-FR"/>
        </w:rPr>
        <w:t>clés utilisés</w:t>
      </w:r>
    </w:p>
    <w:p w14:paraId="5F9DF77C" w14:textId="24F0455F" w:rsidR="008C1458" w:rsidRPr="00CE3172" w:rsidRDefault="008C1458" w:rsidP="00DA07A9">
      <w:pPr>
        <w:pStyle w:val="ONUMFS"/>
        <w:numPr>
          <w:ilvl w:val="0"/>
          <w:numId w:val="0"/>
        </w:numPr>
        <w:tabs>
          <w:tab w:val="left" w:pos="567"/>
        </w:tabs>
        <w:ind w:left="1134" w:hanging="1134"/>
        <w:rPr>
          <w:lang w:val="fr-FR"/>
        </w:rPr>
      </w:pPr>
      <w:r w:rsidRPr="00CE3172">
        <w:rPr>
          <w:lang w:val="fr-FR"/>
        </w:rPr>
        <w:tab/>
        <w:t>v)</w:t>
      </w:r>
      <w:r w:rsidRPr="00CE3172">
        <w:rPr>
          <w:lang w:val="fr-FR"/>
        </w:rPr>
        <w:tab/>
      </w:r>
      <w:r w:rsidR="00DA07A9" w:rsidRPr="00CE3172">
        <w:rPr>
          <w:lang w:val="fr-FR"/>
        </w:rPr>
        <w:t xml:space="preserve">liste </w:t>
      </w:r>
      <w:r w:rsidRPr="00CE3172">
        <w:rPr>
          <w:lang w:val="fr-FR"/>
        </w:rPr>
        <w:t>des documents considérés avec indication des passages pertinents</w:t>
      </w:r>
    </w:p>
    <w:p w14:paraId="4A2C2C49" w14:textId="605095EC" w:rsidR="008C1458" w:rsidRPr="00CE3172" w:rsidRDefault="008C1458" w:rsidP="00DA07A9">
      <w:pPr>
        <w:pStyle w:val="ONUMFS"/>
        <w:numPr>
          <w:ilvl w:val="0"/>
          <w:numId w:val="0"/>
        </w:numPr>
        <w:tabs>
          <w:tab w:val="left" w:pos="567"/>
        </w:tabs>
        <w:ind w:left="1134" w:hanging="1134"/>
        <w:rPr>
          <w:lang w:val="fr-FR"/>
        </w:rPr>
      </w:pPr>
      <w:r w:rsidRPr="00CE3172">
        <w:rPr>
          <w:lang w:val="fr-FR"/>
        </w:rPr>
        <w:tab/>
        <w:t>vi)</w:t>
      </w:r>
      <w:r w:rsidRPr="00CE3172">
        <w:rPr>
          <w:lang w:val="fr-FR"/>
        </w:rPr>
        <w:tab/>
      </w:r>
      <w:r w:rsidR="00DA07A9" w:rsidRPr="00CE3172">
        <w:rPr>
          <w:lang w:val="fr-FR"/>
        </w:rPr>
        <w:t xml:space="preserve">membre </w:t>
      </w:r>
      <w:r w:rsidRPr="00CE3172">
        <w:rPr>
          <w:lang w:val="fr-FR"/>
        </w:rPr>
        <w:t>de la famille : membre de la famille de brevets et date de publication</w:t>
      </w:r>
    </w:p>
    <w:p w14:paraId="1BABB700" w14:textId="3312EA29" w:rsidR="008C1458" w:rsidRPr="00CE3172" w:rsidRDefault="008C1458" w:rsidP="00DA07A9">
      <w:pPr>
        <w:pStyle w:val="ONUMFS"/>
        <w:numPr>
          <w:ilvl w:val="0"/>
          <w:numId w:val="0"/>
        </w:numPr>
        <w:tabs>
          <w:tab w:val="left" w:pos="567"/>
        </w:tabs>
        <w:ind w:left="1134" w:hanging="1134"/>
        <w:rPr>
          <w:lang w:val="fr-FR"/>
        </w:rPr>
      </w:pPr>
      <w:r w:rsidRPr="00CE3172">
        <w:rPr>
          <w:lang w:val="fr-FR"/>
        </w:rPr>
        <w:tab/>
        <w:t>vii)</w:t>
      </w:r>
      <w:r w:rsidRPr="00CE3172">
        <w:rPr>
          <w:lang w:val="fr-FR"/>
        </w:rPr>
        <w:tab/>
      </w:r>
      <w:r w:rsidR="00DA07A9" w:rsidRPr="00CE3172">
        <w:rPr>
          <w:lang w:val="fr-FR"/>
        </w:rPr>
        <w:t xml:space="preserve">stratégie </w:t>
      </w:r>
      <w:r w:rsidRPr="00CE3172">
        <w:rPr>
          <w:lang w:val="fr-FR"/>
        </w:rPr>
        <w:t>de recherche : chaîne(s) de recherche, domaine(s) de recherche, bases de données de recherche, nombre d’occurrences et nombre de documents consultés</w:t>
      </w:r>
    </w:p>
    <w:p w14:paraId="2598439C" w14:textId="62951D18" w:rsidR="008C1458" w:rsidRPr="00CE3172" w:rsidRDefault="008C1458" w:rsidP="00DA07A9">
      <w:pPr>
        <w:pStyle w:val="ONUMFS"/>
        <w:numPr>
          <w:ilvl w:val="0"/>
          <w:numId w:val="0"/>
        </w:numPr>
        <w:tabs>
          <w:tab w:val="left" w:pos="567"/>
        </w:tabs>
        <w:ind w:left="1134" w:hanging="1134"/>
        <w:rPr>
          <w:lang w:val="fr-FR"/>
        </w:rPr>
      </w:pPr>
      <w:r w:rsidRPr="00CE3172">
        <w:rPr>
          <w:lang w:val="fr-FR"/>
        </w:rPr>
        <w:tab/>
        <w:t>viii)</w:t>
      </w:r>
      <w:r w:rsidRPr="00CE3172">
        <w:rPr>
          <w:lang w:val="fr-FR"/>
        </w:rPr>
        <w:tab/>
      </w:r>
      <w:r w:rsidR="00DA07A9" w:rsidRPr="00CE3172">
        <w:rPr>
          <w:lang w:val="fr-FR"/>
        </w:rPr>
        <w:t xml:space="preserve">opinion </w:t>
      </w:r>
      <w:r w:rsidRPr="00CE3172">
        <w:rPr>
          <w:lang w:val="fr-FR"/>
        </w:rPr>
        <w:t>écrite sur la brevetabilité à la lumière du rapport de recherche</w:t>
      </w:r>
    </w:p>
    <w:p w14:paraId="5D666B85" w14:textId="07636595" w:rsidR="008C1458" w:rsidRPr="00CE3172" w:rsidRDefault="008C1458" w:rsidP="00DA07A9">
      <w:pPr>
        <w:pStyle w:val="ONUMFS"/>
        <w:numPr>
          <w:ilvl w:val="0"/>
          <w:numId w:val="0"/>
        </w:numPr>
        <w:tabs>
          <w:tab w:val="left" w:pos="567"/>
        </w:tabs>
        <w:ind w:left="1134" w:hanging="1134"/>
        <w:rPr>
          <w:lang w:val="fr-FR"/>
        </w:rPr>
      </w:pPr>
      <w:r w:rsidRPr="00CE3172">
        <w:rPr>
          <w:lang w:val="fr-FR"/>
        </w:rPr>
        <w:tab/>
        <w:t>ix)</w:t>
      </w:r>
      <w:r w:rsidRPr="00CE3172">
        <w:rPr>
          <w:lang w:val="fr-FR"/>
        </w:rPr>
        <w:tab/>
      </w:r>
      <w:r w:rsidR="00DA07A9" w:rsidRPr="00CE3172">
        <w:rPr>
          <w:lang w:val="fr-FR"/>
        </w:rPr>
        <w:t xml:space="preserve">nom </w:t>
      </w:r>
      <w:r w:rsidRPr="00CE3172">
        <w:rPr>
          <w:lang w:val="fr-FR"/>
        </w:rPr>
        <w:t>de l’examinateur et date d’achèvement du rapport</w:t>
      </w:r>
    </w:p>
    <w:p w14:paraId="3D37C1D5" w14:textId="66E86ABE" w:rsidR="008C1458" w:rsidRPr="00CE3172" w:rsidRDefault="008C1458" w:rsidP="00DA07A9">
      <w:pPr>
        <w:pStyle w:val="ONUMFS"/>
        <w:numPr>
          <w:ilvl w:val="0"/>
          <w:numId w:val="0"/>
        </w:numPr>
        <w:rPr>
          <w:lang w:val="fr-FR"/>
        </w:rPr>
      </w:pPr>
      <w:r w:rsidRPr="00CE3172">
        <w:rPr>
          <w:lang w:val="fr-FR"/>
        </w:rPr>
        <w:t xml:space="preserve">En cas d’absence d’unité </w:t>
      </w:r>
      <w:r w:rsidR="00DA07A9">
        <w:rPr>
          <w:lang w:val="fr-FR"/>
        </w:rPr>
        <w:t>de l’invention</w:t>
      </w:r>
      <w:r w:rsidRPr="00CE3172">
        <w:rPr>
          <w:lang w:val="fr-FR"/>
        </w:rPr>
        <w:t xml:space="preserve"> et de clarté des revendications ou de limitation de la recherche, ces questions seront communiquées lors de l’examen de forme.</w:t>
      </w:r>
    </w:p>
    <w:p w14:paraId="1F13CD2A" w14:textId="77777777" w:rsidR="008C1458" w:rsidRPr="00CE3172" w:rsidRDefault="008C1458" w:rsidP="00DA07A9">
      <w:pPr>
        <w:rPr>
          <w:lang w:val="fr-FR"/>
        </w:rPr>
      </w:pPr>
    </w:p>
    <w:p w14:paraId="55B2945B" w14:textId="77777777" w:rsidR="008C1458" w:rsidRPr="00CE3172" w:rsidRDefault="008C1458" w:rsidP="00DA07A9">
      <w:pPr>
        <w:keepNext/>
        <w:jc w:val="center"/>
        <w:rPr>
          <w:i/>
          <w:szCs w:val="22"/>
          <w:lang w:val="fr-FR"/>
        </w:rPr>
      </w:pPr>
      <w:r w:rsidRPr="00CE3172">
        <w:rPr>
          <w:i/>
          <w:szCs w:val="22"/>
          <w:lang w:val="fr-FR"/>
        </w:rPr>
        <w:t>Schéma 4</w:t>
      </w:r>
    </w:p>
    <w:p w14:paraId="3EF24791" w14:textId="77777777" w:rsidR="008C1458" w:rsidRPr="00CE3172" w:rsidRDefault="008C1458" w:rsidP="00DA07A9">
      <w:pPr>
        <w:keepNext/>
        <w:shd w:val="clear" w:color="auto" w:fill="D9D9D9" w:themeFill="background1" w:themeFillShade="D9"/>
        <w:jc w:val="center"/>
        <w:rPr>
          <w:i/>
          <w:szCs w:val="22"/>
          <w:lang w:val="fr-FR"/>
        </w:rPr>
      </w:pPr>
      <w:r w:rsidRPr="00CE3172">
        <w:rPr>
          <w:i/>
          <w:szCs w:val="22"/>
          <w:lang w:val="fr-FR"/>
        </w:rPr>
        <w:t>Processus d’exécution des tâches de l’IPAS (capture d’écran de l’interface)</w:t>
      </w:r>
    </w:p>
    <w:p w14:paraId="6FB05DB7" w14:textId="77777777" w:rsidR="008C1458" w:rsidRPr="00CE3172" w:rsidRDefault="008C1458" w:rsidP="00DA07A9">
      <w:pPr>
        <w:rPr>
          <w:lang w:val="fr-FR"/>
        </w:rPr>
      </w:pPr>
    </w:p>
    <w:p w14:paraId="5C081FBA" w14:textId="77777777" w:rsidR="008C1458" w:rsidRPr="00CE3172" w:rsidRDefault="008C1458" w:rsidP="00DA07A9">
      <w:pPr>
        <w:jc w:val="center"/>
        <w:rPr>
          <w:szCs w:val="22"/>
          <w:lang w:val="fr-FR"/>
        </w:rPr>
      </w:pPr>
      <w:r w:rsidRPr="00CE3172">
        <w:rPr>
          <w:noProof/>
          <w:szCs w:val="22"/>
          <w:lang w:val="en-US" w:eastAsia="en-US"/>
        </w:rPr>
        <w:drawing>
          <wp:inline distT="0" distB="0" distL="0" distR="0" wp14:anchorId="3C0F12F4" wp14:editId="2956E772">
            <wp:extent cx="5924550" cy="4119304"/>
            <wp:effectExtent l="19050" t="19050" r="19050" b="146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929346" cy="4122638"/>
                    </a:xfrm>
                    <a:prstGeom prst="rect">
                      <a:avLst/>
                    </a:prstGeom>
                    <a:noFill/>
                    <a:ln w="9525">
                      <a:solidFill>
                        <a:schemeClr val="tx1"/>
                      </a:solidFill>
                      <a:miter lim="800000"/>
                      <a:headEnd/>
                      <a:tailEnd/>
                    </a:ln>
                  </pic:spPr>
                </pic:pic>
              </a:graphicData>
            </a:graphic>
          </wp:inline>
        </w:drawing>
      </w:r>
    </w:p>
    <w:p w14:paraId="3EB61224" w14:textId="77777777" w:rsidR="008C1458" w:rsidRPr="00CE3172" w:rsidRDefault="008C1458" w:rsidP="00DA07A9">
      <w:pPr>
        <w:pStyle w:val="Heading1"/>
        <w:rPr>
          <w:lang w:val="fr-FR"/>
        </w:rPr>
      </w:pPr>
      <w:r w:rsidRPr="00CE3172">
        <w:rPr>
          <w:lang w:val="fr-FR"/>
        </w:rPr>
        <w:lastRenderedPageBreak/>
        <w:t>8.</w:t>
      </w:r>
      <w:r w:rsidRPr="00CE3172">
        <w:rPr>
          <w:lang w:val="fr-FR"/>
        </w:rPr>
        <w:tab/>
        <w:t>Évaluation interne</w:t>
      </w:r>
    </w:p>
    <w:p w14:paraId="69E2B44F" w14:textId="77777777" w:rsidR="008C1458" w:rsidRPr="00CE3172" w:rsidRDefault="008C1458" w:rsidP="00DA07A9">
      <w:pPr>
        <w:keepNext/>
        <w:rPr>
          <w:lang w:val="fr-FR"/>
        </w:rPr>
      </w:pPr>
    </w:p>
    <w:p w14:paraId="392C349C" w14:textId="77777777" w:rsidR="008C1458" w:rsidRPr="00CE3172" w:rsidRDefault="008C1458" w:rsidP="00DA07A9">
      <w:pPr>
        <w:pStyle w:val="GuidanceNumbered"/>
        <w:spacing w:line="240" w:lineRule="auto"/>
        <w:ind w:left="0" w:firstLine="0"/>
      </w:pPr>
      <w:r w:rsidRPr="00CE3172">
        <w:t>21.22</w:t>
      </w:r>
      <w:r w:rsidRPr="00CE3172">
        <w:tab/>
        <w:t>Note explicative : l’administration doit faire rapport sur ses propres dispositions en matière d’évaluation interne.  Ces évaluations déterminent la mesure dans laquelle elle a établi un système de gestion de la qualité fondé sur le modèle du chapitre 21 et la mesure dans laquelle elle se conforme aux exigences de ce système et aux directives concernant la recherche et l’examen.  Les évaluations doivent être objectives et transparentes pour montrer si ces exigences et ces directives sont ou non appliquées de manière cohérente et efficace, et elles doivent être effectuées une fois au moins par an.  S’agissant du paragraphe 21.08 de ce modèle, l’administration peut, si elle le souhaite, fournir sous cette rubrique, des informations supplémentaires sur ses dispositions en matière d’évaluation interne.</w:t>
      </w:r>
    </w:p>
    <w:p w14:paraId="6FEB0C73" w14:textId="1FD5418D" w:rsidR="008C1458" w:rsidRPr="00CE3172" w:rsidRDefault="008C1458" w:rsidP="00DA07A9">
      <w:pPr>
        <w:pStyle w:val="Guidance"/>
        <w:keepNext/>
        <w:keepLines/>
        <w:spacing w:line="240" w:lineRule="auto"/>
      </w:pPr>
      <w:r w:rsidRPr="00CE3172">
        <w:t>21.23</w:t>
      </w:r>
      <w:r w:rsidR="00BC3CD7">
        <w:noBreakHyphen/>
      </w:r>
      <w:r w:rsidRPr="00CE3172">
        <w:t>21.25</w:t>
      </w:r>
      <w:r w:rsidRPr="00CE3172">
        <w:tab/>
        <w:t>Ces dispositions sont communiquées conformément à ce modèle dans la section 1 ci</w:t>
      </w:r>
      <w:r w:rsidR="00BC3CD7">
        <w:noBreakHyphen/>
      </w:r>
      <w:r w:rsidRPr="00CE3172">
        <w:t xml:space="preserve">dessus </w:t>
      </w:r>
      <w:r w:rsidRPr="00CE3172">
        <w:rPr>
          <w:rFonts w:cs="Arial"/>
        </w:rPr>
        <w:t>(</w:t>
      </w:r>
      <w:r w:rsidRPr="00CE3172">
        <w:t>21.04 à 21.09).  L’administration peut, si elle le souhaite, fournir des informations supplémentaires sur d’autres apports à ses évaluations internes, conformément à la présente section.</w:t>
      </w:r>
    </w:p>
    <w:p w14:paraId="2749986E" w14:textId="77777777" w:rsidR="008C1458" w:rsidRPr="00CE3172" w:rsidRDefault="008C1458" w:rsidP="00DA07A9">
      <w:pPr>
        <w:pStyle w:val="ONUMFS"/>
        <w:numPr>
          <w:ilvl w:val="0"/>
          <w:numId w:val="0"/>
        </w:numPr>
        <w:rPr>
          <w:lang w:val="fr-FR"/>
        </w:rPr>
      </w:pPr>
      <w:r w:rsidRPr="00CE3172">
        <w:rPr>
          <w:lang w:val="fr-FR"/>
        </w:rPr>
        <w:t>Des évaluations internes de la qualité sont réalisées deux fois par an (audit effectif et vérification), conformément aux prescriptions de la norme ISO 9001:2008.</w:t>
      </w:r>
    </w:p>
    <w:p w14:paraId="4D698927" w14:textId="77777777" w:rsidR="008C1458" w:rsidRPr="00CE3172" w:rsidRDefault="008C1458" w:rsidP="00DA07A9">
      <w:pPr>
        <w:pStyle w:val="ONUMFS"/>
        <w:numPr>
          <w:ilvl w:val="0"/>
          <w:numId w:val="0"/>
        </w:numPr>
        <w:rPr>
          <w:lang w:val="fr-FR"/>
        </w:rPr>
      </w:pPr>
      <w:r w:rsidRPr="00CE3172">
        <w:rPr>
          <w:lang w:val="fr-FR"/>
        </w:rPr>
        <w:t>En outre, le système de contrôle de la qualité des brevets du Bureau des brevets impose un contrôle qualité mensuel de tous les rapports de recherche et d’examen afin de garantir la conformité des pratiques de recherche et d’examen avec les normes existantes.</w:t>
      </w:r>
    </w:p>
    <w:p w14:paraId="64BF8B29" w14:textId="77777777" w:rsidR="008C1458" w:rsidRPr="00CE3172" w:rsidRDefault="008C1458" w:rsidP="00DA07A9">
      <w:pPr>
        <w:pStyle w:val="Heading1"/>
        <w:rPr>
          <w:lang w:val="fr-FR"/>
        </w:rPr>
      </w:pPr>
      <w:r w:rsidRPr="00CE3172">
        <w:rPr>
          <w:lang w:val="fr-FR"/>
        </w:rPr>
        <w:t>9.</w:t>
      </w:r>
      <w:r w:rsidRPr="00CE3172">
        <w:rPr>
          <w:lang w:val="fr-FR"/>
        </w:rPr>
        <w:tab/>
        <w:t>Dispositions prises par les administrations pour faire rapport à la Réunion des administrations internationales</w:t>
      </w:r>
    </w:p>
    <w:p w14:paraId="234A969D" w14:textId="77777777" w:rsidR="008C1458" w:rsidRPr="00CE3172" w:rsidRDefault="008C1458" w:rsidP="00DA07A9">
      <w:pPr>
        <w:keepNext/>
        <w:rPr>
          <w:lang w:val="fr-FR"/>
        </w:rPr>
      </w:pPr>
    </w:p>
    <w:p w14:paraId="7F80BC07" w14:textId="0A70FCE0" w:rsidR="008C1458" w:rsidRPr="00CE3172" w:rsidRDefault="008C1458" w:rsidP="00DA07A9">
      <w:pPr>
        <w:pStyle w:val="GuidanceNumbered"/>
        <w:spacing w:line="240" w:lineRule="auto"/>
        <w:ind w:left="0" w:firstLine="0"/>
      </w:pPr>
      <w:r w:rsidRPr="00CE3172">
        <w:t>21.26</w:t>
      </w:r>
      <w:r w:rsidRPr="00CE3172">
        <w:tab/>
        <w:t>Les modalités de présentation de rapports définies dans le chapitre 21 comprennent deux phases : le rapport initial à établir en vertu du paragraphe 21.26.a) et les rapports annuels supplémentaires visés au paragraphe 21.26.b).  À la deuxième réunion informelle du sous</w:t>
      </w:r>
      <w:r w:rsidR="00BC3CD7">
        <w:noBreakHyphen/>
      </w:r>
      <w:r w:rsidRPr="00CE3172">
        <w:t>groupe chargé de la qualité, tenue à Canberra les 6 et 7 février 2012, le sous</w:t>
      </w:r>
      <w:r w:rsidR="00BC3CD7">
        <w:noBreakHyphen/>
      </w:r>
      <w:r w:rsidRPr="00CE3172">
        <w:t>groupe a recommandé qu’au lieu de soumettre des rapports complets tous les cinq ans et des mises à jour successives les autres années, les administrations présentent chaque année un rapport complet faisant clairement apparaître les différences par rapport à celui de l’année précédente, par exemple avec la fonction “changements apparents” ou tout autre moyen de mise en évidence des différences.  Le modèle pour les rapports annuels supplémentaires n’est donc plus utilisé.</w:t>
      </w:r>
    </w:p>
    <w:p w14:paraId="08BA6530" w14:textId="77777777" w:rsidR="008C1458" w:rsidRPr="00CE3172" w:rsidRDefault="008C1458" w:rsidP="00DA07A9">
      <w:pPr>
        <w:pStyle w:val="ONUMFS"/>
        <w:numPr>
          <w:ilvl w:val="0"/>
          <w:numId w:val="0"/>
        </w:numPr>
        <w:rPr>
          <w:lang w:val="fr-FR"/>
        </w:rPr>
      </w:pPr>
      <w:r w:rsidRPr="00CE3172">
        <w:rPr>
          <w:lang w:val="fr-FR"/>
        </w:rPr>
        <w:t>L’IPOPHL soumettra les rapports au format prescrit et dans les délais voulus, conformément aux dispositions du chapitre 21.</w:t>
      </w:r>
    </w:p>
    <w:p w14:paraId="71C893AA" w14:textId="77777777" w:rsidR="008C1458" w:rsidRPr="00CE3172" w:rsidRDefault="008C1458" w:rsidP="00DA07A9">
      <w:pPr>
        <w:rPr>
          <w:lang w:val="fr-FR"/>
        </w:rPr>
      </w:pPr>
    </w:p>
    <w:p w14:paraId="36D5C78F" w14:textId="77777777" w:rsidR="008C1458" w:rsidRPr="00CE3172" w:rsidRDefault="008C1458" w:rsidP="00DA07A9">
      <w:pPr>
        <w:rPr>
          <w:lang w:val="fr-FR"/>
        </w:rPr>
      </w:pPr>
    </w:p>
    <w:p w14:paraId="42559AE1" w14:textId="77777777" w:rsidR="008C1458" w:rsidRPr="00CE3172" w:rsidRDefault="008C1458" w:rsidP="00DA07A9">
      <w:pPr>
        <w:pStyle w:val="Endofdocument-Annex"/>
        <w:rPr>
          <w:lang w:val="fr-FR"/>
        </w:rPr>
      </w:pPr>
      <w:r w:rsidRPr="00CE3172">
        <w:rPr>
          <w:lang w:val="fr-FR"/>
        </w:rPr>
        <w:t>[L’appendice 2 suit]</w:t>
      </w:r>
    </w:p>
    <w:p w14:paraId="69239316" w14:textId="77777777" w:rsidR="008C1458" w:rsidRPr="00CE3172" w:rsidRDefault="008C1458" w:rsidP="00DA07A9">
      <w:pPr>
        <w:rPr>
          <w:lang w:val="fr-FR"/>
        </w:rPr>
      </w:pPr>
      <w:r w:rsidRPr="00CE3172">
        <w:rPr>
          <w:lang w:val="fr-FR"/>
        </w:rPr>
        <w:br w:type="page"/>
      </w:r>
    </w:p>
    <w:p w14:paraId="14CE9BAC" w14:textId="77777777" w:rsidR="008C1458" w:rsidRPr="00CE3172" w:rsidRDefault="008C1458" w:rsidP="00DA07A9">
      <w:pPr>
        <w:jc w:val="center"/>
        <w:rPr>
          <w:lang w:val="fr-FR"/>
        </w:rPr>
      </w:pPr>
      <w:r w:rsidRPr="00CE3172">
        <w:rPr>
          <w:lang w:val="fr-FR"/>
        </w:rPr>
        <w:lastRenderedPageBreak/>
        <w:t>APPENDICE 2</w:t>
      </w:r>
    </w:p>
    <w:p w14:paraId="5536BF71" w14:textId="77777777" w:rsidR="008C1458" w:rsidRPr="00CE3172" w:rsidRDefault="008C1458" w:rsidP="00DA07A9">
      <w:pPr>
        <w:jc w:val="center"/>
        <w:rPr>
          <w:lang w:val="fr-FR"/>
        </w:rPr>
      </w:pPr>
    </w:p>
    <w:p w14:paraId="305B4777" w14:textId="77777777" w:rsidR="008C1458" w:rsidRPr="00CE3172" w:rsidRDefault="008C1458" w:rsidP="00DA07A9">
      <w:pPr>
        <w:jc w:val="center"/>
        <w:rPr>
          <w:caps/>
          <w:lang w:val="fr-FR"/>
        </w:rPr>
      </w:pPr>
    </w:p>
    <w:p w14:paraId="38D16BE9" w14:textId="77777777" w:rsidR="008C1458" w:rsidRPr="00CE3172" w:rsidRDefault="008C1458" w:rsidP="00DA07A9">
      <w:pPr>
        <w:jc w:val="center"/>
        <w:rPr>
          <w:caps/>
          <w:lang w:val="fr-FR"/>
        </w:rPr>
      </w:pPr>
      <w:r w:rsidRPr="00CE3172">
        <w:rPr>
          <w:caps/>
          <w:lang w:val="fr-FR"/>
        </w:rPr>
        <w:t>RAPPORT D’IP Australia SUR</w:t>
      </w:r>
    </w:p>
    <w:p w14:paraId="55258EA7" w14:textId="77777777" w:rsidR="008C1458" w:rsidRPr="00CE3172" w:rsidRDefault="008C1458" w:rsidP="00DA07A9">
      <w:pPr>
        <w:jc w:val="center"/>
        <w:rPr>
          <w:caps/>
          <w:lang w:val="fr-FR"/>
        </w:rPr>
      </w:pPr>
      <w:r w:rsidRPr="00CE3172">
        <w:rPr>
          <w:caps/>
          <w:lang w:val="fr-FR"/>
        </w:rPr>
        <w:t>L’OFFICE DE propriété intellectuelle DES</w:t>
      </w:r>
    </w:p>
    <w:p w14:paraId="1CDE81AC" w14:textId="77777777" w:rsidR="008C1458" w:rsidRPr="00CE3172" w:rsidRDefault="008C1458" w:rsidP="00DA07A9">
      <w:pPr>
        <w:jc w:val="center"/>
        <w:rPr>
          <w:caps/>
          <w:lang w:val="fr-FR"/>
        </w:rPr>
      </w:pPr>
      <w:r w:rsidRPr="00CE3172">
        <w:rPr>
          <w:caps/>
          <w:lang w:val="fr-FR"/>
        </w:rPr>
        <w:t>Philippines</w:t>
      </w:r>
    </w:p>
    <w:p w14:paraId="1F2177A2" w14:textId="77777777" w:rsidR="008C1458" w:rsidRPr="00CE3172" w:rsidRDefault="008C1458" w:rsidP="00DA07A9">
      <w:pPr>
        <w:jc w:val="center"/>
        <w:rPr>
          <w:caps/>
          <w:lang w:val="fr-FR"/>
        </w:rPr>
      </w:pPr>
    </w:p>
    <w:p w14:paraId="61F734A7" w14:textId="77777777" w:rsidR="008C1458" w:rsidRPr="00CE3172" w:rsidRDefault="008C1458" w:rsidP="00DA07A9">
      <w:pPr>
        <w:jc w:val="center"/>
        <w:rPr>
          <w:caps/>
          <w:lang w:val="fr-FR"/>
        </w:rPr>
      </w:pPr>
      <w:r w:rsidRPr="00CE3172">
        <w:rPr>
          <w:caps/>
          <w:lang w:val="fr-FR"/>
        </w:rPr>
        <w:t>ÉVALUATION DES CAPACITÉS EN MATIÈRE DE RECHERCHE INTERNATIONALE ET D’eXAMEN international</w:t>
      </w:r>
    </w:p>
    <w:p w14:paraId="63ABCA59" w14:textId="77777777" w:rsidR="008C1458" w:rsidRPr="00CE3172" w:rsidRDefault="008C1458" w:rsidP="00DA07A9">
      <w:pPr>
        <w:rPr>
          <w:lang w:val="fr-FR"/>
        </w:rPr>
      </w:pPr>
    </w:p>
    <w:p w14:paraId="507EB6CF" w14:textId="77777777" w:rsidR="008C1458" w:rsidRPr="00CE3172" w:rsidRDefault="008C1458" w:rsidP="00DA07A9">
      <w:pPr>
        <w:pStyle w:val="Heading1"/>
        <w:rPr>
          <w:lang w:val="fr-FR"/>
        </w:rPr>
      </w:pPr>
      <w:r w:rsidRPr="00CE3172">
        <w:rPr>
          <w:lang w:val="fr-FR"/>
        </w:rPr>
        <w:t>informations générales</w:t>
      </w:r>
    </w:p>
    <w:p w14:paraId="2838146B" w14:textId="77777777" w:rsidR="008C1458" w:rsidRPr="00CE3172" w:rsidRDefault="008C1458" w:rsidP="00DA07A9">
      <w:pPr>
        <w:rPr>
          <w:lang w:val="fr-FR"/>
        </w:rPr>
      </w:pPr>
    </w:p>
    <w:p w14:paraId="0A7411F5" w14:textId="06C356A9" w:rsidR="008C1458" w:rsidRPr="008C1458" w:rsidRDefault="008C1458" w:rsidP="00DA07A9">
      <w:pPr>
        <w:pStyle w:val="ONUMFS"/>
        <w:numPr>
          <w:ilvl w:val="0"/>
          <w:numId w:val="42"/>
        </w:numPr>
        <w:rPr>
          <w:lang w:val="fr-FR"/>
        </w:rPr>
      </w:pPr>
      <w:r w:rsidRPr="008C1458">
        <w:rPr>
          <w:lang w:val="fr-FR"/>
        </w:rPr>
        <w:t>En 2015, l’IPOPHL a sollicité l’assistance d’IP </w:t>
      </w:r>
      <w:proofErr w:type="spellStart"/>
      <w:r w:rsidRPr="008C1458">
        <w:rPr>
          <w:lang w:val="fr-FR"/>
        </w:rPr>
        <w:t>Australia</w:t>
      </w:r>
      <w:proofErr w:type="spellEnd"/>
      <w:r w:rsidRPr="008C1458">
        <w:rPr>
          <w:lang w:val="fr-FR"/>
        </w:rPr>
        <w:t xml:space="preserve"> dans l’optique de présenter sa candidature en tant qu’administration chargée de la recherche internationale et de l’examen préliminaire international selon le PCT.  IP </w:t>
      </w:r>
      <w:proofErr w:type="spellStart"/>
      <w:r w:rsidRPr="008C1458">
        <w:rPr>
          <w:lang w:val="fr-FR"/>
        </w:rPr>
        <w:t>Australia</w:t>
      </w:r>
      <w:proofErr w:type="spellEnd"/>
      <w:r w:rsidRPr="008C1458">
        <w:rPr>
          <w:lang w:val="fr-FR"/>
        </w:rPr>
        <w:t xml:space="preserve"> a ensuite accepté de faire partie des administrations internationales compétentes chargées de déterminer si l’IPOPHL pouvait devenir une administration chargée de la recherche internationale et de l’examen préliminaire international.</w:t>
      </w:r>
    </w:p>
    <w:p w14:paraId="21E1A99D" w14:textId="77777777" w:rsidR="008C1458" w:rsidRPr="00CE3172" w:rsidRDefault="008C1458" w:rsidP="00DA07A9">
      <w:pPr>
        <w:pStyle w:val="ONUMFS"/>
        <w:numPr>
          <w:ilvl w:val="0"/>
          <w:numId w:val="6"/>
        </w:numPr>
        <w:rPr>
          <w:lang w:val="fr-FR"/>
        </w:rPr>
      </w:pPr>
      <w:r w:rsidRPr="00CE3172">
        <w:rPr>
          <w:lang w:val="fr-FR"/>
        </w:rPr>
        <w:t>Dans le cadre de ce processus, en décembre 2016, une délégation de l’IPOPHL s’est rendue dans les locaux d’IP </w:t>
      </w:r>
      <w:proofErr w:type="spellStart"/>
      <w:r w:rsidRPr="00CE3172">
        <w:rPr>
          <w:lang w:val="fr-FR"/>
        </w:rPr>
        <w:t>Australia</w:t>
      </w:r>
      <w:proofErr w:type="spellEnd"/>
      <w:r w:rsidRPr="00CE3172">
        <w:rPr>
          <w:lang w:val="fr-FR"/>
        </w:rPr>
        <w:t xml:space="preserve"> à Canberra (Australie) en vue d’un atelier sur les activités d’une administration chargée de la recherche internationale.  Chaque office a présenté sa structure d’examen, ses systèmes informatiques et ses systèmes qualité.  Suite à ces discussions et à un premier examen de la candidature de l’IPOPHL, deux agents d’IP </w:t>
      </w:r>
      <w:proofErr w:type="spellStart"/>
      <w:r w:rsidRPr="00CE3172">
        <w:rPr>
          <w:lang w:val="fr-FR"/>
        </w:rPr>
        <w:t>Australia</w:t>
      </w:r>
      <w:proofErr w:type="spellEnd"/>
      <w:r w:rsidRPr="00CE3172">
        <w:rPr>
          <w:lang w:val="fr-FR"/>
        </w:rPr>
        <w:t xml:space="preserve"> se sont rendus dans les locaux de l’IPOPHL les 27 et 28 février 2017 afin de faire une étude préliminaire du fonctionnement actuel de l’IPOPHL et de ses possibilités.</w:t>
      </w:r>
    </w:p>
    <w:p w14:paraId="6934BC0E" w14:textId="77777777" w:rsidR="008C1458" w:rsidRPr="00CE3172" w:rsidRDefault="008C1458" w:rsidP="00DA07A9">
      <w:pPr>
        <w:pStyle w:val="ONUMFS"/>
        <w:numPr>
          <w:ilvl w:val="0"/>
          <w:numId w:val="6"/>
        </w:numPr>
        <w:rPr>
          <w:lang w:val="fr-FR"/>
        </w:rPr>
      </w:pPr>
      <w:r w:rsidRPr="00CE3172">
        <w:rPr>
          <w:lang w:val="fr-FR"/>
        </w:rPr>
        <w:t>Les conclusions de l’évaluation et de la visite figurent dans le présent rapport.</w:t>
      </w:r>
    </w:p>
    <w:p w14:paraId="271F64FE" w14:textId="77777777" w:rsidR="008C1458" w:rsidRPr="00CE3172" w:rsidRDefault="008C1458" w:rsidP="00DA07A9">
      <w:pPr>
        <w:pStyle w:val="Heading1"/>
        <w:rPr>
          <w:lang w:val="fr-FR"/>
        </w:rPr>
      </w:pPr>
      <w:r w:rsidRPr="00CE3172">
        <w:rPr>
          <w:lang w:val="fr-FR"/>
        </w:rPr>
        <w:t>RENSEIGNEMENTS GéNérAUX SUR L’IPOPHL</w:t>
      </w:r>
    </w:p>
    <w:p w14:paraId="7A721A12" w14:textId="77777777" w:rsidR="008C1458" w:rsidRPr="00CE3172" w:rsidRDefault="008C1458" w:rsidP="00DA07A9">
      <w:pPr>
        <w:rPr>
          <w:lang w:val="fr-FR"/>
        </w:rPr>
      </w:pPr>
    </w:p>
    <w:p w14:paraId="065F0E6B" w14:textId="7B711A5F" w:rsidR="008C1458" w:rsidRPr="00CE3172" w:rsidRDefault="008C1458" w:rsidP="00DA07A9">
      <w:pPr>
        <w:pStyle w:val="ONUMFS"/>
        <w:numPr>
          <w:ilvl w:val="0"/>
          <w:numId w:val="6"/>
        </w:numPr>
        <w:rPr>
          <w:lang w:val="fr-FR"/>
        </w:rPr>
      </w:pPr>
      <w:r w:rsidRPr="00CE3172">
        <w:rPr>
          <w:lang w:val="fr-FR"/>
        </w:rPr>
        <w:t>L’IPOPHL est situé dans le district de Bonifacio Global City dans la région de la Grande Manille.  L’</w:t>
      </w:r>
      <w:r w:rsidR="00BB28AA" w:rsidRPr="00CE3172">
        <w:rPr>
          <w:lang w:val="fr-FR"/>
        </w:rPr>
        <w:t>office</w:t>
      </w:r>
      <w:r w:rsidRPr="00CE3172">
        <w:rPr>
          <w:lang w:val="fr-FR"/>
        </w:rPr>
        <w:t xml:space="preserve"> compte sept bureaux, dont le Bureau des brevets, lui</w:t>
      </w:r>
      <w:r w:rsidR="00BC3CD7">
        <w:rPr>
          <w:lang w:val="fr-FR"/>
        </w:rPr>
        <w:noBreakHyphen/>
      </w:r>
      <w:r w:rsidRPr="00CE3172">
        <w:rPr>
          <w:lang w:val="fr-FR"/>
        </w:rPr>
        <w:t>même divisé en 10 divisions d’examen chargées de différentes technologies.  Outre le bureau à Manille, l’IPOPHL compte 13 annexes dans toutes les Philippines dont la mission est de mener des activités de sensibilisation et d’offrir des services techniques et consultatifs aux déposants.</w:t>
      </w:r>
    </w:p>
    <w:p w14:paraId="07B8C550" w14:textId="4ECF6CDA" w:rsidR="008C1458" w:rsidRPr="00CE3172" w:rsidRDefault="008C1458" w:rsidP="00DA07A9">
      <w:pPr>
        <w:pStyle w:val="ONUMFS"/>
        <w:numPr>
          <w:ilvl w:val="0"/>
          <w:numId w:val="6"/>
        </w:numPr>
        <w:rPr>
          <w:lang w:val="fr-FR"/>
        </w:rPr>
      </w:pPr>
      <w:r w:rsidRPr="00CE3172">
        <w:rPr>
          <w:lang w:val="fr-FR"/>
        </w:rPr>
        <w:t>L’IPOPHL a reçu 3098 demandes en 2016, dont 92% émanaient de déposants étrangers (dépôts par des non</w:t>
      </w:r>
      <w:r w:rsidR="00BC3CD7">
        <w:rPr>
          <w:lang w:val="fr-FR"/>
        </w:rPr>
        <w:noBreakHyphen/>
      </w:r>
      <w:r w:rsidRPr="00CE3172">
        <w:rPr>
          <w:lang w:val="fr-FR"/>
        </w:rPr>
        <w:t>résidents).  En tant qu’office récepteur, l’IPOPHL a reçu en moyenne 18 demandes selon le PCT au cours des trois dernières années.  L’IPOPHL et le Gouvernement philippin ont œuvré pour promouvoir la propriété intellectuelle et fournir des incitations afin d’encourager l’utilisation du système du PCT.  L’IPOPHL estime que cette politique de développement, conjuguée à une nomination en tant qu’administration du PCT, permettra de cultiver et d’encourager l’innovation aux Philippines et, à terme, d’accroître le nombre de dépôts par des résidents philippins.</w:t>
      </w:r>
    </w:p>
    <w:p w14:paraId="56764881" w14:textId="77777777" w:rsidR="008C1458" w:rsidRPr="00CE3172" w:rsidRDefault="008C1458" w:rsidP="00DA07A9">
      <w:pPr>
        <w:pStyle w:val="ONUMFS"/>
        <w:numPr>
          <w:ilvl w:val="0"/>
          <w:numId w:val="6"/>
        </w:numPr>
        <w:rPr>
          <w:lang w:val="fr-FR"/>
        </w:rPr>
      </w:pPr>
      <w:r w:rsidRPr="00CE3172">
        <w:rPr>
          <w:lang w:val="fr-FR"/>
        </w:rPr>
        <w:t>Les opérations informatiques de l’IPOPHL reposent essentiellement sur le système d’automatisation en matière de propriété intellectuelle (IPAS) développé par l’OMPI.  La gestion et l’exécution des tâches liées aux activités de l’IPOPHL s’articuleront en majorité autour de l’IPAS.  L’IPOPHL a mis en place un dispositif de dépôt électronique pour les modèles ou dessins industriels et les modèles d’utilité et a indiqué qu’il était en voie de faire de même pour les brevets.</w:t>
      </w:r>
    </w:p>
    <w:p w14:paraId="12C870C8" w14:textId="77777777" w:rsidR="008C1458" w:rsidRPr="00CE3172" w:rsidRDefault="008C1458" w:rsidP="00DA07A9">
      <w:pPr>
        <w:pStyle w:val="Heading1"/>
        <w:rPr>
          <w:lang w:val="fr-FR"/>
        </w:rPr>
      </w:pPr>
      <w:r w:rsidRPr="00CE3172">
        <w:rPr>
          <w:lang w:val="fr-FR"/>
        </w:rPr>
        <w:lastRenderedPageBreak/>
        <w:t>ÉVALUATION au regard des exigences de la règle 36.1 du règlement d’exécution du pct</w:t>
      </w:r>
    </w:p>
    <w:p w14:paraId="2E9B5C0F" w14:textId="77777777" w:rsidR="008C1458" w:rsidRPr="00CE3172" w:rsidRDefault="008C1458" w:rsidP="00DA07A9">
      <w:pPr>
        <w:rPr>
          <w:lang w:val="fr-FR"/>
        </w:rPr>
      </w:pPr>
    </w:p>
    <w:p w14:paraId="19277628" w14:textId="77777777" w:rsidR="008C1458" w:rsidRPr="00CE3172" w:rsidRDefault="008C1458" w:rsidP="00DA07A9">
      <w:pPr>
        <w:pStyle w:val="ONUMFS"/>
        <w:numPr>
          <w:ilvl w:val="0"/>
          <w:numId w:val="0"/>
        </w:numPr>
        <w:rPr>
          <w:b/>
          <w:lang w:val="fr-FR"/>
        </w:rPr>
      </w:pPr>
      <w:r w:rsidRPr="00CE3172">
        <w:rPr>
          <w:b/>
          <w:lang w:val="fr-FR"/>
        </w:rPr>
        <w:t>i)</w:t>
      </w:r>
      <w:r w:rsidRPr="00CE3172">
        <w:rPr>
          <w:b/>
          <w:lang w:val="fr-FR"/>
        </w:rPr>
        <w:tab/>
        <w:t>l’office national ou l’organisation intergouvernementale doit avoir au moins cent employés à plein temps possédant des qualifications techniques suffisantes pour procéder aux recherches;</w:t>
      </w:r>
    </w:p>
    <w:p w14:paraId="19EC93AE" w14:textId="77777777" w:rsidR="008C1458" w:rsidRPr="00CE3172" w:rsidRDefault="008C1458" w:rsidP="00DA07A9">
      <w:pPr>
        <w:pStyle w:val="ONUMFS"/>
        <w:numPr>
          <w:ilvl w:val="0"/>
          <w:numId w:val="6"/>
        </w:numPr>
        <w:rPr>
          <w:lang w:val="fr-FR"/>
        </w:rPr>
      </w:pPr>
      <w:r w:rsidRPr="00CE3172">
        <w:rPr>
          <w:lang w:val="fr-FR"/>
        </w:rPr>
        <w:t>À la date de la visite, l’IPOPHL comptait 87 employés possédant des qualifications techniques suffisantes pour procéder aux recherches, et 13 employés supplémentaires devaient prendre leurs fonctions le 2 mars 2017;  12 autres personnes devaient être recrutées d’ici la fin mars 2017, ce qui porterait le total des effectifs à 112.</w:t>
      </w:r>
    </w:p>
    <w:p w14:paraId="23EA4810" w14:textId="77777777" w:rsidR="008C1458" w:rsidRPr="00CE3172" w:rsidRDefault="008C1458" w:rsidP="00DA07A9">
      <w:pPr>
        <w:pStyle w:val="ONUMFS"/>
        <w:numPr>
          <w:ilvl w:val="0"/>
          <w:numId w:val="6"/>
        </w:numPr>
        <w:rPr>
          <w:lang w:val="fr-FR"/>
        </w:rPr>
      </w:pPr>
      <w:r w:rsidRPr="00CE3172">
        <w:rPr>
          <w:lang w:val="fr-FR"/>
        </w:rPr>
        <w:t xml:space="preserve">L’IPOPHL dispose d’un programme de </w:t>
      </w:r>
      <w:proofErr w:type="gramStart"/>
      <w:r w:rsidRPr="00CE3172">
        <w:rPr>
          <w:lang w:val="fr-FR"/>
        </w:rPr>
        <w:t>formation structuré</w:t>
      </w:r>
      <w:proofErr w:type="gramEnd"/>
      <w:r w:rsidRPr="00CE3172">
        <w:rPr>
          <w:lang w:val="fr-FR"/>
        </w:rPr>
        <w:t xml:space="preserve"> et tous les travaux suivant la formation sont supervisés.  Le dernier groupe d’examinateurs devrait achever la première phase de la formation d’ici juin 2017 et serait ensuite en mesure de mener des recherches et des examens dans le cadre d’une supervision appropriée.</w:t>
      </w:r>
    </w:p>
    <w:p w14:paraId="6DDB5D16" w14:textId="77777777" w:rsidR="008C1458" w:rsidRPr="00CE3172" w:rsidRDefault="008C1458" w:rsidP="00DA07A9">
      <w:pPr>
        <w:pStyle w:val="ONUMFS"/>
        <w:numPr>
          <w:ilvl w:val="0"/>
          <w:numId w:val="6"/>
        </w:numPr>
        <w:rPr>
          <w:lang w:val="fr-FR"/>
        </w:rPr>
      </w:pPr>
      <w:r w:rsidRPr="00CE3172">
        <w:rPr>
          <w:lang w:val="fr-FR"/>
        </w:rPr>
        <w:t>Le programme de formation est étayé par un processus de recrutement rigoureux destiné à garantir la qualité des personnes engagées.  L’IPOPHL a indiqué que, dans chaque nouvelle promotion, deux personnes en moyenne ne parviennent pas à garder leur emploi après la formation et l’évaluation.  Cette élimination naturelle des effectifs indique aussi qu’un haut niveau de qualité est exigé des candidats à un poste d’examinateur.</w:t>
      </w:r>
    </w:p>
    <w:p w14:paraId="138EF594" w14:textId="77777777" w:rsidR="008C1458" w:rsidRPr="00CE3172" w:rsidRDefault="008C1458" w:rsidP="00DA07A9">
      <w:pPr>
        <w:pStyle w:val="ONUMFS"/>
        <w:numPr>
          <w:ilvl w:val="0"/>
          <w:numId w:val="0"/>
        </w:numPr>
        <w:rPr>
          <w:b/>
          <w:lang w:val="fr-FR"/>
        </w:rPr>
      </w:pPr>
      <w:r w:rsidRPr="00CE3172">
        <w:rPr>
          <w:b/>
          <w:lang w:val="fr-FR"/>
        </w:rPr>
        <w:t>ii)</w:t>
      </w:r>
      <w:r w:rsidRPr="00CE3172">
        <w:rPr>
          <w:b/>
          <w:lang w:val="fr-FR"/>
        </w:rPr>
        <w:tab/>
        <w:t>cet office ou cette organisation doit avoir en sa possession au moins la documentation minimale de la règle 34, ou avoir accès à cette documentation minimale, laquelle doit être disposée d’une manière adéquate aux fins de la recherche et se présenter sur papier, sur microforme ou sur un support électronique;</w:t>
      </w:r>
    </w:p>
    <w:p w14:paraId="6E6FE77C" w14:textId="226B2D4B" w:rsidR="008C1458" w:rsidRPr="00CE3172" w:rsidRDefault="008C1458" w:rsidP="00DA07A9">
      <w:pPr>
        <w:pStyle w:val="ONUMFS"/>
        <w:numPr>
          <w:ilvl w:val="0"/>
          <w:numId w:val="6"/>
        </w:numPr>
        <w:rPr>
          <w:lang w:val="fr-FR"/>
        </w:rPr>
      </w:pPr>
      <w:r w:rsidRPr="00CE3172">
        <w:rPr>
          <w:lang w:val="fr-FR"/>
        </w:rPr>
        <w:t>Les examinateurs de l’IPOPHL utilisent des outils de recherche privés comme Thomson Innovation et WIPS Global, ainsi que des bases de données publiques (par exemple : USPTO, J</w:t>
      </w:r>
      <w:r w:rsidR="00BC3CD7">
        <w:rPr>
          <w:lang w:val="fr-FR"/>
        </w:rPr>
        <w:noBreakHyphen/>
      </w:r>
      <w:r w:rsidRPr="00CE3172">
        <w:rPr>
          <w:lang w:val="fr-FR"/>
        </w:rPr>
        <w:t xml:space="preserve">PLATPAT, AUSPAT, </w:t>
      </w:r>
      <w:proofErr w:type="spellStart"/>
      <w:r w:rsidRPr="00CE3172">
        <w:rPr>
          <w:lang w:val="fr-FR"/>
        </w:rPr>
        <w:t>Espacenet</w:t>
      </w:r>
      <w:proofErr w:type="spellEnd"/>
      <w:r w:rsidRPr="00CE3172">
        <w:rPr>
          <w:lang w:val="fr-FR"/>
        </w:rPr>
        <w:t>, Google Patents, OPSIN, NCBI, EMBL</w:t>
      </w:r>
      <w:r w:rsidR="00BC3CD7">
        <w:rPr>
          <w:lang w:val="fr-FR"/>
        </w:rPr>
        <w:noBreakHyphen/>
      </w:r>
      <w:r w:rsidRPr="00CE3172">
        <w:rPr>
          <w:lang w:val="fr-FR"/>
        </w:rPr>
        <w:t>EBI, LENS et PATENTSCOPE).</w:t>
      </w:r>
    </w:p>
    <w:p w14:paraId="56106D24" w14:textId="7EC21887" w:rsidR="008C1458" w:rsidRPr="00CE3172" w:rsidRDefault="008C1458" w:rsidP="00DA07A9">
      <w:pPr>
        <w:pStyle w:val="ONUMFS"/>
        <w:numPr>
          <w:ilvl w:val="0"/>
          <w:numId w:val="6"/>
        </w:numPr>
        <w:rPr>
          <w:lang w:val="fr-FR"/>
        </w:rPr>
      </w:pPr>
      <w:r w:rsidRPr="00CE3172">
        <w:rPr>
          <w:lang w:val="fr-FR"/>
        </w:rPr>
        <w:t>Les abonnements actuels semblent satisfaire aux exigences en matière de documentation minimale.  En outre, l’</w:t>
      </w:r>
      <w:r w:rsidR="00BB28AA" w:rsidRPr="00CE3172">
        <w:rPr>
          <w:lang w:val="fr-FR"/>
        </w:rPr>
        <w:t>office</w:t>
      </w:r>
      <w:r w:rsidRPr="00CE3172">
        <w:rPr>
          <w:lang w:val="fr-FR"/>
        </w:rPr>
        <w:t xml:space="preserve"> envisage de s’abonner très prochainement aux bases de données </w:t>
      </w:r>
      <w:proofErr w:type="spellStart"/>
      <w:r w:rsidRPr="00CE3172">
        <w:rPr>
          <w:lang w:val="fr-FR"/>
        </w:rPr>
        <w:t>EPOQUENet</w:t>
      </w:r>
      <w:proofErr w:type="spellEnd"/>
      <w:r w:rsidRPr="00CE3172">
        <w:rPr>
          <w:lang w:val="fr-FR"/>
        </w:rPr>
        <w:t>, STN et IEEE, la formation requise étant prévue plus tard dans l’année.  Ces abonnements permettront à l’</w:t>
      </w:r>
      <w:r w:rsidR="00BB28AA" w:rsidRPr="00CE3172">
        <w:rPr>
          <w:lang w:val="fr-FR"/>
        </w:rPr>
        <w:t>office</w:t>
      </w:r>
      <w:r w:rsidRPr="00CE3172">
        <w:rPr>
          <w:lang w:val="fr-FR"/>
        </w:rPr>
        <w:t xml:space="preserve"> d’accéder à certaines bases de données de recherche très reconnues et de renforcer la portée et la qualité de ses recherches.</w:t>
      </w:r>
    </w:p>
    <w:p w14:paraId="4F37E9E6" w14:textId="77777777" w:rsidR="008C1458" w:rsidRPr="00CE3172" w:rsidRDefault="008C1458" w:rsidP="00DA07A9">
      <w:pPr>
        <w:pStyle w:val="ONUMFS"/>
        <w:numPr>
          <w:ilvl w:val="0"/>
          <w:numId w:val="6"/>
        </w:numPr>
        <w:rPr>
          <w:lang w:val="fr-FR"/>
        </w:rPr>
      </w:pPr>
      <w:r w:rsidRPr="00CE3172">
        <w:rPr>
          <w:lang w:val="fr-FR"/>
        </w:rPr>
        <w:t>Avant la visite, l’IPOPHL avait envoyé huit recherches portant sur différentes technologies.  Ces documents consignaient notamment en détail les stratégies de recherche utilisées, notamment classement CIB et mots clés, ce qui permettait de voir comment les outils et bases de données de recherche susmentionnés avaient été utilisés.  Lors de la visite, les examinateurs de l’IPOPHL nous ont fait une démonstration de recherche dans le domaine de la mécanique et de la chimie.  L’IPOPHL a aussi adopté une pratique consistant à faire intervenir une équipe de trois personnes pour chaque recherche afin d’élaborer différentes stratégies, ce qui présente l’avantage de réduire les risques d’erreur ou d’imprécision dans les stratégies de recherche, et de favoriser l’échange et l’apprentissage entre examinateurs.  Des discussions menées et de la qualité des travaux constatée, il ressort que les examinateurs de l’IPOPHL ont les compétences et les connaissances requises pour mener des recherches internationales et des examens internationaux.</w:t>
      </w:r>
    </w:p>
    <w:p w14:paraId="2F150502" w14:textId="77777777" w:rsidR="008C1458" w:rsidRPr="00CE3172" w:rsidRDefault="008C1458" w:rsidP="000C2BE0">
      <w:pPr>
        <w:pStyle w:val="ONUMFS"/>
        <w:keepLines/>
        <w:numPr>
          <w:ilvl w:val="0"/>
          <w:numId w:val="0"/>
        </w:numPr>
        <w:rPr>
          <w:b/>
          <w:lang w:val="fr-FR"/>
        </w:rPr>
      </w:pPr>
      <w:r w:rsidRPr="00CE3172">
        <w:rPr>
          <w:b/>
          <w:lang w:val="fr-FR"/>
        </w:rPr>
        <w:lastRenderedPageBreak/>
        <w:t>iii)</w:t>
      </w:r>
      <w:r w:rsidRPr="00CE3172">
        <w:rPr>
          <w:b/>
          <w:lang w:val="fr-FR"/>
        </w:rPr>
        <w:tab/>
        <w:t>cet office ou cette organisation doit disposer d’un personnel capable de procéder à la recherche dans les domaines techniques sur lesquels la recherche doit porter et possédant les connaissances linguistiques nécessaires à la compréhension au moins des langues dans lesquelles la documentation minimale de la règle 34 est rédigée ou traduite;</w:t>
      </w:r>
    </w:p>
    <w:p w14:paraId="546DD925" w14:textId="77777777" w:rsidR="008C1458" w:rsidRPr="00CE3172" w:rsidRDefault="008C1458" w:rsidP="00DA07A9">
      <w:pPr>
        <w:pStyle w:val="ONUMFS"/>
        <w:numPr>
          <w:ilvl w:val="0"/>
          <w:numId w:val="6"/>
        </w:numPr>
        <w:rPr>
          <w:lang w:val="fr-FR"/>
        </w:rPr>
      </w:pPr>
      <w:r w:rsidRPr="00CE3172">
        <w:rPr>
          <w:lang w:val="fr-FR"/>
        </w:rPr>
        <w:t>L’IPOPHL s’assure que ses examinateurs possèdent les compétences techniques et linguistiques nécessaires au moment du recrutement.  Ils doivent être titulaires d’un diplôme de licence au minimum en ingénierie ou en sciences (axées sur une technologie pertinente) et doivent avoir réussi l’examen de carrière de la Commission de la fonction publique.  Tous les cours à l’université sont en anglais;  les examinateurs ont donc la maîtrise de cette langue.  Certains examinateurs ont également une bonne connaissance d’autres langues pertinentes.</w:t>
      </w:r>
    </w:p>
    <w:p w14:paraId="15303BDB" w14:textId="77777777" w:rsidR="008C1458" w:rsidRPr="00CE3172" w:rsidRDefault="008C1458" w:rsidP="00DA07A9">
      <w:pPr>
        <w:pStyle w:val="ONUMFS"/>
        <w:numPr>
          <w:ilvl w:val="0"/>
          <w:numId w:val="6"/>
        </w:numPr>
        <w:rPr>
          <w:lang w:val="fr-FR"/>
        </w:rPr>
      </w:pPr>
      <w:r w:rsidRPr="00CE3172">
        <w:rPr>
          <w:lang w:val="fr-FR"/>
        </w:rPr>
        <w:t>Un certain nombre d’employés de l’IPOPHL ont participé au programme régional de formation à l’examen des brevets d’IP </w:t>
      </w:r>
      <w:proofErr w:type="spellStart"/>
      <w:r w:rsidRPr="00CE3172">
        <w:rPr>
          <w:lang w:val="fr-FR"/>
        </w:rPr>
        <w:t>Australia</w:t>
      </w:r>
      <w:proofErr w:type="spellEnd"/>
      <w:r w:rsidRPr="00CE3172">
        <w:rPr>
          <w:lang w:val="fr-FR"/>
        </w:rPr>
        <w:t xml:space="preserve"> (RPET), qui est centré sur la recherche et l’examen selon le PCT.  Plusieurs diplômés du programme ont mis au point un programme de formation structuré spécialement destiné aux examinateurs philippins, dans un format proche du RPET.</w:t>
      </w:r>
    </w:p>
    <w:p w14:paraId="76750B1C" w14:textId="3EC7F71B" w:rsidR="008C1458" w:rsidRPr="00CE3172" w:rsidRDefault="008C1458" w:rsidP="00DA07A9">
      <w:pPr>
        <w:pStyle w:val="ONUMFS"/>
        <w:numPr>
          <w:ilvl w:val="0"/>
          <w:numId w:val="6"/>
        </w:numPr>
        <w:rPr>
          <w:lang w:val="fr-FR"/>
        </w:rPr>
      </w:pPr>
      <w:r w:rsidRPr="00CE3172">
        <w:rPr>
          <w:lang w:val="fr-FR"/>
        </w:rPr>
        <w:t>Il est à noter que le programme de formation en trois phases couvre tous les aspects de l’examen.  D’autres activités de perfectionnement sont menées afin de soutenir les examinateurs dans leurs études de troisième cycle.  L’IPOPHL a également mis en place un Master interne en bio</w:t>
      </w:r>
      <w:r w:rsidR="00BC3CD7">
        <w:rPr>
          <w:lang w:val="fr-FR"/>
        </w:rPr>
        <w:noBreakHyphen/>
      </w:r>
      <w:r w:rsidRPr="00CE3172">
        <w:rPr>
          <w:lang w:val="fr-FR"/>
        </w:rPr>
        <w:t>ingénierie à l’intention des examinateurs expérimentés.</w:t>
      </w:r>
    </w:p>
    <w:p w14:paraId="0338271D" w14:textId="77777777" w:rsidR="008C1458" w:rsidRPr="00CE3172" w:rsidRDefault="008C1458" w:rsidP="00DA07A9">
      <w:pPr>
        <w:pStyle w:val="ONUMFS"/>
        <w:numPr>
          <w:ilvl w:val="0"/>
          <w:numId w:val="0"/>
        </w:numPr>
        <w:rPr>
          <w:b/>
          <w:lang w:val="fr-FR"/>
        </w:rPr>
      </w:pPr>
      <w:r w:rsidRPr="00CE3172">
        <w:rPr>
          <w:b/>
          <w:lang w:val="fr-FR"/>
        </w:rPr>
        <w:t>iv)</w:t>
      </w:r>
      <w:r w:rsidRPr="00CE3172">
        <w:rPr>
          <w:b/>
          <w:lang w:val="fr-FR"/>
        </w:rPr>
        <w:tab/>
        <w:t>cet office ou cette organisation doit disposer d’un système de gestion de la qualité et de dispositions internes en matière d’évaluation conformément aux règles communes de la recherche internationale;</w:t>
      </w:r>
    </w:p>
    <w:p w14:paraId="1C413344" w14:textId="77777777" w:rsidR="008C1458" w:rsidRPr="00CE3172" w:rsidRDefault="008C1458" w:rsidP="00DA07A9">
      <w:pPr>
        <w:pStyle w:val="ONUMFS"/>
        <w:numPr>
          <w:ilvl w:val="0"/>
          <w:numId w:val="6"/>
        </w:numPr>
        <w:rPr>
          <w:lang w:val="fr-FR"/>
        </w:rPr>
      </w:pPr>
      <w:r w:rsidRPr="00CE3172">
        <w:rPr>
          <w:lang w:val="fr-FR"/>
        </w:rPr>
        <w:t>L’IPOPHL a obtenu la certification ISO 9001:2008 qui porte sur la procédure de délivrance des brevets, des modèles d’utilité et des modèles ou dessins industriels, et se prépare à passer à la norme ISO 9001:2015.</w:t>
      </w:r>
    </w:p>
    <w:p w14:paraId="0C58863C" w14:textId="25D02695" w:rsidR="008C1458" w:rsidRPr="00CE3172" w:rsidRDefault="008C1458" w:rsidP="00DA07A9">
      <w:pPr>
        <w:pStyle w:val="ONUMFS"/>
        <w:numPr>
          <w:ilvl w:val="0"/>
          <w:numId w:val="6"/>
        </w:numPr>
        <w:rPr>
          <w:lang w:val="fr-FR"/>
        </w:rPr>
      </w:pPr>
      <w:r w:rsidRPr="00CE3172">
        <w:rPr>
          <w:lang w:val="fr-FR"/>
        </w:rPr>
        <w:t>Lors de la visite, il a été possible d’évaluer les systèmes qualité de l’IPOPHL.  L’</w:t>
      </w:r>
      <w:r w:rsidR="00BB28AA" w:rsidRPr="00CE3172">
        <w:rPr>
          <w:lang w:val="fr-FR"/>
        </w:rPr>
        <w:t>office</w:t>
      </w:r>
      <w:r w:rsidRPr="00CE3172">
        <w:rPr>
          <w:lang w:val="fr-FR"/>
        </w:rPr>
        <w:t xml:space="preserve"> a mis en place un ensemble de normes permettant d’évaluer la qualité des travaux liés à l’examen.  La qualité de tous les travaux des examinateurs est évaluée par les personnes qui les supervisent.  Une évaluation externe supplémentaire est également effectuée.  L’IPOPHL a mis au point un système indépendant de contrôle de la qualité, qui examine, après sélection aléatoire, les travaux des examinateurs.  Un échantillon des travaux effectués par chaque examinateur est évalué par des évaluateurs chargés de la qualité.</w:t>
      </w:r>
    </w:p>
    <w:p w14:paraId="3B225DB3" w14:textId="77777777" w:rsidR="008C1458" w:rsidRPr="00CE3172" w:rsidRDefault="008C1458" w:rsidP="00DA07A9">
      <w:pPr>
        <w:pStyle w:val="ONUMFS"/>
        <w:numPr>
          <w:ilvl w:val="0"/>
          <w:numId w:val="6"/>
        </w:numPr>
        <w:rPr>
          <w:lang w:val="fr-FR"/>
        </w:rPr>
      </w:pPr>
      <w:r w:rsidRPr="00CE3172">
        <w:rPr>
          <w:lang w:val="fr-FR"/>
        </w:rPr>
        <w:t>Selon IP </w:t>
      </w:r>
      <w:proofErr w:type="spellStart"/>
      <w:r w:rsidRPr="00CE3172">
        <w:rPr>
          <w:lang w:val="fr-FR"/>
        </w:rPr>
        <w:t>Australia</w:t>
      </w:r>
      <w:proofErr w:type="spellEnd"/>
      <w:r w:rsidRPr="00CE3172">
        <w:rPr>
          <w:lang w:val="fr-FR"/>
        </w:rPr>
        <w:t>, le système qualité de l’IPOPHL est conforme aux règles communes de la recherche internationale et satisfait à la présente exigence.</w:t>
      </w:r>
    </w:p>
    <w:p w14:paraId="307174D2" w14:textId="77777777" w:rsidR="008C1458" w:rsidRPr="00CE3172" w:rsidRDefault="008C1458" w:rsidP="00DA07A9">
      <w:pPr>
        <w:pStyle w:val="Heading1"/>
        <w:rPr>
          <w:lang w:val="fr-FR"/>
        </w:rPr>
      </w:pPr>
      <w:r w:rsidRPr="00CE3172">
        <w:rPr>
          <w:lang w:val="fr-FR"/>
        </w:rPr>
        <w:t>Conclusion</w:t>
      </w:r>
    </w:p>
    <w:p w14:paraId="0B9B5922" w14:textId="77777777" w:rsidR="008C1458" w:rsidRPr="00CE3172" w:rsidRDefault="008C1458" w:rsidP="00DA07A9">
      <w:pPr>
        <w:rPr>
          <w:lang w:val="fr-FR"/>
        </w:rPr>
      </w:pPr>
    </w:p>
    <w:p w14:paraId="61B733B5" w14:textId="77777777" w:rsidR="008C1458" w:rsidRPr="00CE3172" w:rsidRDefault="008C1458" w:rsidP="00DA07A9">
      <w:pPr>
        <w:pStyle w:val="ONUMFS"/>
        <w:numPr>
          <w:ilvl w:val="0"/>
          <w:numId w:val="6"/>
        </w:numPr>
        <w:rPr>
          <w:lang w:val="fr-FR"/>
        </w:rPr>
      </w:pPr>
      <w:r w:rsidRPr="00CE3172">
        <w:rPr>
          <w:lang w:val="fr-FR"/>
        </w:rPr>
        <w:t>Les conclusions d’IP </w:t>
      </w:r>
      <w:proofErr w:type="spellStart"/>
      <w:r w:rsidRPr="00CE3172">
        <w:rPr>
          <w:lang w:val="fr-FR"/>
        </w:rPr>
        <w:t>Australia</w:t>
      </w:r>
      <w:proofErr w:type="spellEnd"/>
      <w:r w:rsidRPr="00CE3172">
        <w:rPr>
          <w:lang w:val="fr-FR"/>
        </w:rPr>
        <w:t xml:space="preserve"> sont fondées sur l’observation et les informations disponibles à la date de l’évaluation.</w:t>
      </w:r>
    </w:p>
    <w:p w14:paraId="4C479619" w14:textId="77777777" w:rsidR="008C1458" w:rsidRPr="00CE3172" w:rsidRDefault="008C1458" w:rsidP="00DA07A9">
      <w:pPr>
        <w:pStyle w:val="ONUMFS"/>
        <w:numPr>
          <w:ilvl w:val="0"/>
          <w:numId w:val="6"/>
        </w:numPr>
        <w:rPr>
          <w:lang w:val="fr-FR"/>
        </w:rPr>
      </w:pPr>
      <w:r w:rsidRPr="00CE3172">
        <w:rPr>
          <w:lang w:val="fr-FR"/>
        </w:rPr>
        <w:t>L’IPOPHL satisfait aux exigences minimales des règles 36 et 63 du règlement d’exécution du PCT en ce qui concerne la documentation minimale, les compétences techniques et linguistiques du personnel et le système de gestion de la qualité.</w:t>
      </w:r>
    </w:p>
    <w:p w14:paraId="715613C5" w14:textId="77777777" w:rsidR="008C1458" w:rsidRPr="00CE3172" w:rsidRDefault="008C1458" w:rsidP="00DA07A9">
      <w:pPr>
        <w:pStyle w:val="ONUMFS"/>
        <w:numPr>
          <w:ilvl w:val="0"/>
          <w:numId w:val="6"/>
        </w:numPr>
        <w:rPr>
          <w:lang w:val="fr-FR"/>
        </w:rPr>
      </w:pPr>
      <w:r w:rsidRPr="00CE3172">
        <w:rPr>
          <w:lang w:val="fr-FR"/>
        </w:rPr>
        <w:t>Il convient de noter que l’IPOPHL procède à l’heure actuelle à des recrutements et qu’il devrait satisfaire au critère concernant les effectifs chargés de l’examen d’ici la fin mars 2017.</w:t>
      </w:r>
    </w:p>
    <w:p w14:paraId="0E4172D7" w14:textId="77777777" w:rsidR="008C1458" w:rsidRPr="00CE3172" w:rsidRDefault="008C1458" w:rsidP="00DA07A9">
      <w:pPr>
        <w:pStyle w:val="ONUMFS"/>
        <w:numPr>
          <w:ilvl w:val="0"/>
          <w:numId w:val="6"/>
        </w:numPr>
        <w:rPr>
          <w:lang w:val="fr-FR"/>
        </w:rPr>
      </w:pPr>
      <w:r w:rsidRPr="00CE3172">
        <w:rPr>
          <w:lang w:val="fr-FR"/>
        </w:rPr>
        <w:lastRenderedPageBreak/>
        <w:t>Sur cette base, IP </w:t>
      </w:r>
      <w:proofErr w:type="spellStart"/>
      <w:r w:rsidRPr="00CE3172">
        <w:rPr>
          <w:lang w:val="fr-FR"/>
        </w:rPr>
        <w:t>Australia</w:t>
      </w:r>
      <w:proofErr w:type="spellEnd"/>
      <w:r w:rsidRPr="00CE3172">
        <w:rPr>
          <w:lang w:val="fr-FR"/>
        </w:rPr>
        <w:t xml:space="preserve"> estime que l’IPOPHL satisfait aux conditions requises pour être nommé en qualité d’administration chargée de la recherche internationale et de l’examen préliminaire international.</w:t>
      </w:r>
    </w:p>
    <w:p w14:paraId="7FDF68C2" w14:textId="26A8BD3B" w:rsidR="008C1458" w:rsidRPr="00CE3172" w:rsidRDefault="008C1458" w:rsidP="00DA07A9">
      <w:pPr>
        <w:pStyle w:val="ONUMFS"/>
        <w:numPr>
          <w:ilvl w:val="0"/>
          <w:numId w:val="6"/>
        </w:numPr>
        <w:rPr>
          <w:lang w:val="fr-FR"/>
        </w:rPr>
      </w:pPr>
      <w:r w:rsidRPr="00CE3172">
        <w:rPr>
          <w:lang w:val="fr-FR"/>
        </w:rPr>
        <w:t>Il convient également de noter que la demande de nomination de l’IPOPHL en qualité d’administration chargée de la recherche internationale et de l’examen préliminaire international est un élément essentiel des politiques destinées à promouvoir l’innovation et la prospérité aux Philippines.  Cela permettra en retour d’accroître l’utilisation du système international des brevets dans la région de l’Association des nations de l’Asie du Sud</w:t>
      </w:r>
      <w:r w:rsidR="00BC3CD7">
        <w:rPr>
          <w:lang w:val="fr-FR"/>
        </w:rPr>
        <w:noBreakHyphen/>
      </w:r>
      <w:r w:rsidRPr="00CE3172">
        <w:rPr>
          <w:lang w:val="fr-FR"/>
        </w:rPr>
        <w:t>Est (ASEAN) et d’ajouter potentiellement de la valeur au réseau des administrations existantes.</w:t>
      </w:r>
    </w:p>
    <w:p w14:paraId="38C2E5B2" w14:textId="77777777" w:rsidR="008C1458" w:rsidRPr="00CE3172" w:rsidRDefault="008C1458" w:rsidP="00DA07A9">
      <w:pPr>
        <w:pStyle w:val="ONUMFS"/>
        <w:numPr>
          <w:ilvl w:val="0"/>
          <w:numId w:val="6"/>
        </w:numPr>
        <w:rPr>
          <w:lang w:val="fr-FR"/>
        </w:rPr>
      </w:pPr>
      <w:r w:rsidRPr="00CE3172">
        <w:rPr>
          <w:lang w:val="fr-FR"/>
        </w:rPr>
        <w:t>Dans le cadre de la coopération de longue date entre les deux organismes, si la candidature de l’IPOPHL aboutit favorablement, IP </w:t>
      </w:r>
      <w:proofErr w:type="spellStart"/>
      <w:r w:rsidRPr="00CE3172">
        <w:rPr>
          <w:lang w:val="fr-FR"/>
        </w:rPr>
        <w:t>Australia</w:t>
      </w:r>
      <w:proofErr w:type="spellEnd"/>
      <w:r w:rsidRPr="00CE3172">
        <w:rPr>
          <w:lang w:val="fr-FR"/>
        </w:rPr>
        <w:t xml:space="preserve"> est disposé à aider de nouveau l’IPOPHL dans tout effort requis pour devenir une administration chargée de la recherche internationale et de l’examen préliminaire international.</w:t>
      </w:r>
    </w:p>
    <w:p w14:paraId="27F2A3E0" w14:textId="77777777" w:rsidR="008C1458" w:rsidRPr="00CE3172" w:rsidRDefault="008C1458" w:rsidP="00DA07A9">
      <w:pPr>
        <w:rPr>
          <w:lang w:val="fr-FR"/>
        </w:rPr>
      </w:pPr>
    </w:p>
    <w:p w14:paraId="2285836C" w14:textId="77777777" w:rsidR="008C1458" w:rsidRPr="00CE3172" w:rsidRDefault="008C1458" w:rsidP="00DA07A9">
      <w:pPr>
        <w:rPr>
          <w:lang w:val="fr-FR"/>
        </w:rPr>
      </w:pPr>
    </w:p>
    <w:p w14:paraId="770F7ECD" w14:textId="77777777" w:rsidR="008C1458" w:rsidRPr="00CE3172" w:rsidRDefault="008C1458" w:rsidP="00DA07A9">
      <w:pPr>
        <w:pStyle w:val="Endofdocument-Annex"/>
        <w:tabs>
          <w:tab w:val="left" w:pos="8457"/>
        </w:tabs>
        <w:rPr>
          <w:lang w:val="fr-FR"/>
        </w:rPr>
      </w:pPr>
      <w:r w:rsidRPr="00CE3172">
        <w:rPr>
          <w:lang w:val="fr-FR"/>
        </w:rPr>
        <w:t>[L’appendice 3 suit]</w:t>
      </w:r>
    </w:p>
    <w:p w14:paraId="288083FF" w14:textId="77777777" w:rsidR="008C1458" w:rsidRPr="00CE3172" w:rsidRDefault="008C1458" w:rsidP="00DA07A9">
      <w:pPr>
        <w:rPr>
          <w:lang w:val="fr-FR"/>
        </w:rPr>
      </w:pPr>
    </w:p>
    <w:p w14:paraId="65549B56" w14:textId="77777777" w:rsidR="008C1458" w:rsidRPr="00CE3172" w:rsidRDefault="008C1458" w:rsidP="00DA07A9">
      <w:pPr>
        <w:rPr>
          <w:lang w:val="fr-FR"/>
        </w:rPr>
      </w:pPr>
      <w:r w:rsidRPr="00CE3172">
        <w:rPr>
          <w:lang w:val="fr-FR"/>
        </w:rPr>
        <w:br w:type="page"/>
      </w:r>
    </w:p>
    <w:p w14:paraId="79D819F1" w14:textId="77777777" w:rsidR="008C1458" w:rsidRPr="00CE3172" w:rsidRDefault="008C1458" w:rsidP="00DA07A9">
      <w:pPr>
        <w:jc w:val="center"/>
        <w:rPr>
          <w:lang w:val="fr-FR"/>
        </w:rPr>
      </w:pPr>
      <w:r w:rsidRPr="00CE3172">
        <w:rPr>
          <w:lang w:val="fr-FR"/>
        </w:rPr>
        <w:lastRenderedPageBreak/>
        <w:t>APPENDICE 3</w:t>
      </w:r>
    </w:p>
    <w:p w14:paraId="72681B5F" w14:textId="77777777" w:rsidR="008C1458" w:rsidRPr="00CE3172" w:rsidRDefault="008C1458" w:rsidP="00DA07A9">
      <w:pPr>
        <w:rPr>
          <w:lang w:val="fr-FR"/>
        </w:rPr>
      </w:pPr>
    </w:p>
    <w:p w14:paraId="1EEF1036" w14:textId="77777777" w:rsidR="008C1458" w:rsidRPr="00CE3172" w:rsidRDefault="008C1458" w:rsidP="00DA07A9">
      <w:pPr>
        <w:jc w:val="center"/>
        <w:rPr>
          <w:lang w:val="fr-FR"/>
        </w:rPr>
      </w:pPr>
      <w:r w:rsidRPr="00CE3172">
        <w:rPr>
          <w:lang w:val="fr-FR"/>
        </w:rPr>
        <w:t>RAPPORT DE L’OFFICE DES BREVETS DU JAPON (JPO)</w:t>
      </w:r>
    </w:p>
    <w:p w14:paraId="544DB577" w14:textId="77777777" w:rsidR="008C1458" w:rsidRPr="00CE3172" w:rsidRDefault="008C1458" w:rsidP="00DA07A9">
      <w:pPr>
        <w:rPr>
          <w:lang w:val="fr-FR"/>
        </w:rPr>
      </w:pPr>
    </w:p>
    <w:p w14:paraId="44378BDE" w14:textId="77777777" w:rsidR="008C1458" w:rsidRPr="00CE3172" w:rsidRDefault="008C1458" w:rsidP="00DA07A9">
      <w:pPr>
        <w:pStyle w:val="Heading1"/>
        <w:rPr>
          <w:lang w:val="fr-FR"/>
        </w:rPr>
      </w:pPr>
      <w:r w:rsidRPr="00CE3172">
        <w:rPr>
          <w:lang w:val="fr-FR"/>
        </w:rPr>
        <w:t>I.</w:t>
      </w:r>
      <w:r w:rsidRPr="00CE3172">
        <w:rPr>
          <w:lang w:val="fr-FR"/>
        </w:rPr>
        <w:tab/>
        <w:t>INTRODUCTION</w:t>
      </w:r>
    </w:p>
    <w:p w14:paraId="21FDA43C" w14:textId="77777777" w:rsidR="008C1458" w:rsidRPr="00CE3172" w:rsidRDefault="008C1458" w:rsidP="00DA07A9">
      <w:pPr>
        <w:rPr>
          <w:lang w:val="fr-FR"/>
        </w:rPr>
      </w:pPr>
    </w:p>
    <w:p w14:paraId="1A924A72" w14:textId="176FCD34" w:rsidR="008C1458" w:rsidRPr="00DA07A9" w:rsidRDefault="008C1458" w:rsidP="00DA07A9">
      <w:pPr>
        <w:pStyle w:val="ONUMFS"/>
        <w:numPr>
          <w:ilvl w:val="0"/>
          <w:numId w:val="43"/>
        </w:numPr>
        <w:rPr>
          <w:lang w:val="fr-FR"/>
        </w:rPr>
      </w:pPr>
      <w:r w:rsidRPr="00DA07A9">
        <w:rPr>
          <w:lang w:val="fr-FR"/>
        </w:rPr>
        <w:t>À sa quarante</w:t>
      </w:r>
      <w:r w:rsidR="00BC3CD7" w:rsidRPr="00DA07A9">
        <w:rPr>
          <w:lang w:val="fr-FR"/>
        </w:rPr>
        <w:noBreakHyphen/>
      </w:r>
      <w:r w:rsidRPr="00DA07A9">
        <w:rPr>
          <w:lang w:val="fr-FR"/>
        </w:rPr>
        <w:t>sixième session (27</w:t>
      </w:r>
      <w:r w:rsidRPr="00DA07A9">
        <w:rPr>
          <w:vertAlign w:val="superscript"/>
          <w:lang w:val="fr-FR"/>
        </w:rPr>
        <w:t>e</w:t>
      </w:r>
      <w:r w:rsidRPr="00DA07A9">
        <w:rPr>
          <w:lang w:val="fr-FR"/>
        </w:rPr>
        <w:t> session extraordinaire), qui s’est tenue du 22 au 30 septembre 2014, l’Assemblée de l’Union du PCT a adopté un accord selon lequel “tout office national ou organisation intergouvernementale […] candidat à la nomination est vivement encouragé à demander l’assistance d’une ou plusieurs administrations internationales existantes avant de présenter sa candidature formelle, afin de déterminer plus précisément dans quelle mesure il remplit les critères”.  (PCT/A/46/6, paragraphe 25 a)).</w:t>
      </w:r>
    </w:p>
    <w:p w14:paraId="793EB72D" w14:textId="37FDF934" w:rsidR="008C1458" w:rsidRPr="00CE3172" w:rsidRDefault="008C1458" w:rsidP="00DA07A9">
      <w:pPr>
        <w:pStyle w:val="ONUMFS"/>
        <w:numPr>
          <w:ilvl w:val="0"/>
          <w:numId w:val="6"/>
        </w:numPr>
        <w:rPr>
          <w:lang w:val="fr-FR"/>
        </w:rPr>
      </w:pPr>
      <w:r w:rsidRPr="00CE3172">
        <w:rPr>
          <w:lang w:val="fr-FR"/>
        </w:rPr>
        <w:t>Au titre du programme de travail annuel 2016 sur la coopération bilatérale, qui relève de l’accord de coopération dans le domaine de la propriété intellectuelle entre l</w:t>
      </w:r>
      <w:r w:rsidR="00BB28AA">
        <w:rPr>
          <w:lang w:val="fr-FR"/>
        </w:rPr>
        <w:t>e </w:t>
      </w:r>
      <w:r w:rsidRPr="00CE3172">
        <w:rPr>
          <w:lang w:val="fr-FR"/>
        </w:rPr>
        <w:t xml:space="preserve">JPO et l’IPOPHL, les deux offices ont confirmé que </w:t>
      </w:r>
      <w:r w:rsidR="00BB28AA">
        <w:rPr>
          <w:lang w:val="fr-FR"/>
        </w:rPr>
        <w:t xml:space="preserve">le JPO </w:t>
      </w:r>
      <w:r w:rsidRPr="00CE3172">
        <w:rPr>
          <w:lang w:val="fr-FR"/>
        </w:rPr>
        <w:t>appuierait l’IPOPHL dans ses préparatifs visant sa nomination en qualité d’administration chargée de la recherche internationale et de l’examen préliminaire international selon le PCT.</w:t>
      </w:r>
    </w:p>
    <w:p w14:paraId="7606294A" w14:textId="63F0D9D2" w:rsidR="008C1458" w:rsidRPr="00CE3172" w:rsidRDefault="008C1458" w:rsidP="00DA07A9">
      <w:pPr>
        <w:pStyle w:val="ONUMFS"/>
        <w:numPr>
          <w:ilvl w:val="0"/>
          <w:numId w:val="6"/>
        </w:numPr>
        <w:rPr>
          <w:lang w:val="fr-FR"/>
        </w:rPr>
      </w:pPr>
      <w:r w:rsidRPr="00CE3172">
        <w:rPr>
          <w:lang w:val="fr-FR"/>
        </w:rPr>
        <w:t>L</w:t>
      </w:r>
      <w:r w:rsidR="00BB28AA">
        <w:rPr>
          <w:lang w:val="fr-FR"/>
        </w:rPr>
        <w:t>e JPO</w:t>
      </w:r>
      <w:r w:rsidRPr="00CE3172">
        <w:rPr>
          <w:lang w:val="fr-FR"/>
        </w:rPr>
        <w:t xml:space="preserve"> a évalué dans quelle mesure l’IPOPHL remplissait les conditions requises pour être nommé en qualité d’administration chargée de la recherche internationale et de l’examen préliminaire international conformément aux règles pertinentes du PCT.  Les 21 et 22 février 2017, deux agents d</w:t>
      </w:r>
      <w:r w:rsidR="00BB28AA">
        <w:rPr>
          <w:lang w:val="fr-FR"/>
        </w:rPr>
        <w:t xml:space="preserve">u JPO </w:t>
      </w:r>
      <w:r w:rsidRPr="00CE3172">
        <w:rPr>
          <w:lang w:val="fr-FR"/>
        </w:rPr>
        <w:t>ont effectué une mission auprès de l’IPOPHL afin de mieux évaluer dans quelle mesure l’IPOPHL était prêt à opérer en qualité d’administration chargée de la recherche internationale et de l’examen préliminaire international.  Les paragraphes ci</w:t>
      </w:r>
      <w:r w:rsidR="00BC3CD7">
        <w:rPr>
          <w:lang w:val="fr-FR"/>
        </w:rPr>
        <w:noBreakHyphen/>
      </w:r>
      <w:r w:rsidRPr="00CE3172">
        <w:rPr>
          <w:lang w:val="fr-FR"/>
        </w:rPr>
        <w:t>après résument les conclusions de cet échange et de cette mission.</w:t>
      </w:r>
    </w:p>
    <w:p w14:paraId="656AE3F5" w14:textId="77777777" w:rsidR="008C1458" w:rsidRPr="00CE3172" w:rsidRDefault="008C1458" w:rsidP="00DA07A9">
      <w:pPr>
        <w:pStyle w:val="Heading1"/>
        <w:rPr>
          <w:lang w:val="fr-FR"/>
        </w:rPr>
      </w:pPr>
      <w:r w:rsidRPr="00CE3172">
        <w:rPr>
          <w:lang w:val="fr-FR"/>
        </w:rPr>
        <w:t>II.</w:t>
      </w:r>
      <w:r w:rsidRPr="00CE3172">
        <w:rPr>
          <w:lang w:val="fr-FR"/>
        </w:rPr>
        <w:tab/>
        <w:t>RÈGLES 36.1 i) iii) ET 63.1 i) iii)</w:t>
      </w:r>
    </w:p>
    <w:p w14:paraId="50B81362" w14:textId="77777777" w:rsidR="008C1458" w:rsidRPr="00CE3172" w:rsidRDefault="008C1458" w:rsidP="00DA07A9">
      <w:pPr>
        <w:rPr>
          <w:lang w:val="fr-FR"/>
        </w:rPr>
      </w:pPr>
    </w:p>
    <w:p w14:paraId="40CC673A" w14:textId="00F80B10" w:rsidR="008C1458" w:rsidRPr="00CE3172" w:rsidRDefault="008C1458" w:rsidP="00DA07A9">
      <w:pPr>
        <w:pStyle w:val="ONUMFS"/>
        <w:numPr>
          <w:ilvl w:val="0"/>
          <w:numId w:val="6"/>
        </w:numPr>
        <w:rPr>
          <w:lang w:val="fr-FR"/>
        </w:rPr>
      </w:pPr>
      <w:r w:rsidRPr="00CE3172">
        <w:rPr>
          <w:lang w:val="fr-FR"/>
        </w:rPr>
        <w:t>À la date de la mission d’évaluation, l’IPOPHL employait 87 examinateurs de brevets capables de mener des travaux de recherche et d’examen.  L’IPOPHL a par la suite indiqué que l’</w:t>
      </w:r>
      <w:r w:rsidR="00BB28AA" w:rsidRPr="00CE3172">
        <w:rPr>
          <w:lang w:val="fr-FR"/>
        </w:rPr>
        <w:t>office</w:t>
      </w:r>
      <w:r w:rsidRPr="00CE3172">
        <w:rPr>
          <w:lang w:val="fr-FR"/>
        </w:rPr>
        <w:t xml:space="preserve"> avait embauché 13 examinateurs supplémentaires au cours de la première semaine de mars 2017 et qu’il en embaucherait 12 autres d’ici la fin du même mois;  tous ces examinateurs avaient commencé ou commenceraient les programmes de formation dès la fin du recrutement.</w:t>
      </w:r>
    </w:p>
    <w:p w14:paraId="7CA0E0A0" w14:textId="77777777" w:rsidR="008C1458" w:rsidRPr="00CE3172" w:rsidRDefault="008C1458" w:rsidP="00DA07A9">
      <w:pPr>
        <w:pStyle w:val="ONUMFS"/>
        <w:numPr>
          <w:ilvl w:val="0"/>
          <w:numId w:val="6"/>
        </w:numPr>
        <w:rPr>
          <w:lang w:val="fr-FR"/>
        </w:rPr>
      </w:pPr>
      <w:r w:rsidRPr="00CE3172">
        <w:rPr>
          <w:lang w:val="fr-FR"/>
        </w:rPr>
        <w:t>L’IPOPHL explique en partie le niveau de qualifications de ses examinateurs de la manière suivante :</w:t>
      </w:r>
    </w:p>
    <w:p w14:paraId="42D6620C" w14:textId="77777777" w:rsidR="008C1458" w:rsidRPr="00CE3172" w:rsidRDefault="008C1458" w:rsidP="00DA07A9">
      <w:pPr>
        <w:pStyle w:val="ONUMFS"/>
        <w:numPr>
          <w:ilvl w:val="0"/>
          <w:numId w:val="0"/>
        </w:numPr>
        <w:ind w:left="567"/>
        <w:rPr>
          <w:lang w:val="fr-FR"/>
        </w:rPr>
      </w:pPr>
      <w:r w:rsidRPr="00CE3172">
        <w:rPr>
          <w:lang w:val="fr-FR"/>
        </w:rPr>
        <w:t>“Comme l’exige la Commission de la fonction publique des Philippines, tout examinateur doit être titulaire d’un diplôme d’ingénieur, d’un diplôme en sciences naturelles ou médicales ou dans un domaine scientifique connexe, et, si le diplôme l’exige, il doit avoir réussi l’examen professionnel requis pour obtenir un permis d’exercice, comme l’exige la Commission de réglementation professionnelle.</w:t>
      </w:r>
    </w:p>
    <w:p w14:paraId="357C2CDE" w14:textId="77777777" w:rsidR="008C1458" w:rsidRPr="00CE3172" w:rsidRDefault="008C1458" w:rsidP="00DA07A9">
      <w:pPr>
        <w:pStyle w:val="ONUMFS"/>
        <w:numPr>
          <w:ilvl w:val="0"/>
          <w:numId w:val="0"/>
        </w:numPr>
        <w:ind w:left="567"/>
        <w:rPr>
          <w:lang w:val="fr-FR"/>
        </w:rPr>
      </w:pPr>
      <w:r w:rsidRPr="00CE3172">
        <w:rPr>
          <w:lang w:val="fr-FR"/>
        </w:rPr>
        <w:t>“Tous les examinateurs qui font des recherches et des examens concernant les brevets possèdent soit un diplôme en sciences soit un diplôme d’ingénieur, ou les deux, qui les dotent des compétences techniques et des capacités d’analyse nécessaires pour faire des recherches et des examens et établir des rapports qui soient fiables, précis et conformes aux normes internationales.</w:t>
      </w:r>
    </w:p>
    <w:p w14:paraId="77D21790" w14:textId="4307D0B7" w:rsidR="008C1458" w:rsidRPr="00CE3172" w:rsidRDefault="008C1458" w:rsidP="00DA07A9">
      <w:pPr>
        <w:pStyle w:val="ONUMFS"/>
        <w:numPr>
          <w:ilvl w:val="0"/>
          <w:numId w:val="0"/>
        </w:numPr>
        <w:ind w:left="567"/>
        <w:rPr>
          <w:lang w:val="fr-FR"/>
        </w:rPr>
      </w:pPr>
      <w:r w:rsidRPr="00CE3172">
        <w:rPr>
          <w:lang w:val="fr-FR"/>
        </w:rPr>
        <w:t xml:space="preserve">“Soucieux d’assurer un service de qualité absolue, l’IPOPHL encourage activement ses examinateurs à poursuivre des études supérieures.  À l’heure actuelle, 54% des examinateurs sont titulaires d’un diplôme de Master ou y sont admissibles.  L’IPOPHL a également conclu des partenariats avec de grands établissements dans le domaine des </w:t>
      </w:r>
      <w:r w:rsidRPr="00CE3172">
        <w:rPr>
          <w:lang w:val="fr-FR"/>
        </w:rPr>
        <w:lastRenderedPageBreak/>
        <w:t>sciences et de l’ingénierie qui proposent des programmes de troisième cycle spécialement conçus pour apprendre à traiter l’afflux de demandes de brevet dans des domaines technologiques hautement spécialisés.  À l’heure actuelle, 15 scientifiques et ingénieurs suivent le programme de Master en bio</w:t>
      </w:r>
      <w:r w:rsidR="00BC3CD7">
        <w:rPr>
          <w:lang w:val="fr-FR"/>
        </w:rPr>
        <w:noBreakHyphen/>
      </w:r>
      <w:r w:rsidRPr="00CE3172">
        <w:rPr>
          <w:lang w:val="fr-FR"/>
        </w:rPr>
        <w:t>ingénierie dans le cadre du partenariat susmentionné”.</w:t>
      </w:r>
    </w:p>
    <w:p w14:paraId="51DEE420" w14:textId="0621D860" w:rsidR="008C1458" w:rsidRPr="00CE3172" w:rsidRDefault="008C1458" w:rsidP="00DA07A9">
      <w:pPr>
        <w:pStyle w:val="ONUMFS"/>
        <w:numPr>
          <w:ilvl w:val="0"/>
          <w:numId w:val="6"/>
        </w:numPr>
        <w:rPr>
          <w:lang w:val="fr-FR"/>
        </w:rPr>
      </w:pPr>
      <w:r w:rsidRPr="00CE3172">
        <w:rPr>
          <w:lang w:val="fr-FR"/>
        </w:rPr>
        <w:t>L’IPOPHL propose plusieurs programmes de formation à l’intention de ses examinateurs de brevets.  Les programmes de formation destinés aux nouveaux examinateurs portent sur différents sujets intéressant leurs travaux de recherche et d’examen de fond en matière de brevets.  Ces programmes couvrent les trois phases ci</w:t>
      </w:r>
      <w:r w:rsidR="00BC3CD7">
        <w:rPr>
          <w:lang w:val="fr-FR"/>
        </w:rPr>
        <w:noBreakHyphen/>
      </w:r>
      <w:r w:rsidRPr="00CE3172">
        <w:rPr>
          <w:lang w:val="fr-FR"/>
        </w:rPr>
        <w:t xml:space="preserve">après : I) concepts fondamentaux et apprentissages appliqués (4 mois), II) formations axées sur la technologie (6 mois), et III) formations complémentaires (dans chaque domaine technique).  À la fin de chacune de ces trois phases, une évaluation finale est réalisée, et tout participant qui ne parvient pas à justifier des aptitudes et compétences suffisantes n’est pas </w:t>
      </w:r>
      <w:proofErr w:type="gramStart"/>
      <w:r w:rsidRPr="00CE3172">
        <w:rPr>
          <w:lang w:val="fr-FR"/>
        </w:rPr>
        <w:t>autorisé</w:t>
      </w:r>
      <w:proofErr w:type="gramEnd"/>
      <w:r w:rsidRPr="00CE3172">
        <w:rPr>
          <w:lang w:val="fr-FR"/>
        </w:rPr>
        <w:t xml:space="preserve"> à aller plus loin.</w:t>
      </w:r>
    </w:p>
    <w:p w14:paraId="6EE2805B" w14:textId="77777777" w:rsidR="008C1458" w:rsidRPr="00CE3172" w:rsidRDefault="008C1458" w:rsidP="00DA07A9">
      <w:pPr>
        <w:pStyle w:val="ONUMFS"/>
        <w:numPr>
          <w:ilvl w:val="0"/>
          <w:numId w:val="6"/>
        </w:numPr>
        <w:rPr>
          <w:lang w:val="fr-FR"/>
        </w:rPr>
      </w:pPr>
      <w:r w:rsidRPr="00CE3172">
        <w:rPr>
          <w:lang w:val="fr-FR"/>
        </w:rPr>
        <w:t>L’IPOPHL indique que, à la fin de la phase I), “les participants devraient posséder des connaissances de base sur la législation et la réglementation en matière de brevets, les pratiques et les procédures d’examen;  être dotés de compétences en matière d’examen des brevets;  réaliser des recherches et des examens de fond sur des cas concrets”.  S’agissant des 25</w:t>
      </w:r>
      <w:r>
        <w:rPr>
          <w:lang w:val="fr-FR"/>
        </w:rPr>
        <w:t> </w:t>
      </w:r>
      <w:r w:rsidRPr="00CE3172">
        <w:rPr>
          <w:lang w:val="fr-FR"/>
        </w:rPr>
        <w:t>nouveaux employés qui devraient être recrutés en mars 2017, ils auront achevé la formation de la phase I) d’ici la fin juillet 2017.</w:t>
      </w:r>
    </w:p>
    <w:p w14:paraId="02631002" w14:textId="4A77D75A" w:rsidR="008C1458" w:rsidRPr="00CE3172" w:rsidRDefault="008C1458" w:rsidP="00DA07A9">
      <w:pPr>
        <w:pStyle w:val="ONUMFS"/>
        <w:numPr>
          <w:ilvl w:val="0"/>
          <w:numId w:val="6"/>
        </w:numPr>
        <w:rPr>
          <w:lang w:val="fr-FR"/>
        </w:rPr>
      </w:pPr>
      <w:r w:rsidRPr="00CE3172">
        <w:rPr>
          <w:lang w:val="fr-FR"/>
        </w:rPr>
        <w:t>Outre les programmes de formation continue destinés aux examinateurs de brevets, plusieurs types d’activités de formation sont disponibles (séminaires, ateliers, formations à distance et visites d’usine).  Les sujets traités au cours de ces activités concernent notamment la recherche et l’examen en matière de brevets, la législation, les pratiques et les procédures relatives aux brevets, ainsi que la gestion de la qualité.  Les partenaires de la coopération bilatérale, notamment l</w:t>
      </w:r>
      <w:r w:rsidR="00BB28AA">
        <w:rPr>
          <w:lang w:val="fr-FR"/>
        </w:rPr>
        <w:t>e JPO</w:t>
      </w:r>
      <w:r w:rsidRPr="00CE3172">
        <w:rPr>
          <w:lang w:val="fr-FR"/>
        </w:rPr>
        <w:t xml:space="preserve">, ont également assuré des activités de </w:t>
      </w:r>
      <w:r w:rsidRPr="00CE3172">
        <w:rPr>
          <w:snapToGrid w:val="0"/>
          <w:kern w:val="22"/>
          <w:lang w:val="fr-FR"/>
        </w:rPr>
        <w:t>renforcement des capacités</w:t>
      </w:r>
      <w:r w:rsidRPr="00CE3172">
        <w:rPr>
          <w:lang w:val="fr-FR"/>
        </w:rPr>
        <w:t xml:space="preserve"> auprès de l’</w:t>
      </w:r>
      <w:r w:rsidR="00BB28AA" w:rsidRPr="00CE3172">
        <w:rPr>
          <w:lang w:val="fr-FR"/>
        </w:rPr>
        <w:t>office</w:t>
      </w:r>
      <w:r w:rsidRPr="00CE3172">
        <w:rPr>
          <w:lang w:val="fr-FR"/>
        </w:rPr>
        <w:t>.</w:t>
      </w:r>
    </w:p>
    <w:p w14:paraId="2D69D440" w14:textId="77777777" w:rsidR="008C1458" w:rsidRPr="00CE3172" w:rsidRDefault="008C1458" w:rsidP="00DA07A9">
      <w:pPr>
        <w:pStyle w:val="ONUMFS"/>
        <w:numPr>
          <w:ilvl w:val="0"/>
          <w:numId w:val="6"/>
        </w:numPr>
        <w:rPr>
          <w:lang w:val="fr-FR"/>
        </w:rPr>
      </w:pPr>
      <w:r w:rsidRPr="00CE3172">
        <w:rPr>
          <w:lang w:val="fr-FR"/>
        </w:rPr>
        <w:t>S’agissant des connaissances linguistiques, tous les examinateurs actuels de l’IPOPHL utilisent principalement l’anglais dans leurs travaux de recherche et d’examen.  Ils peuvent le faire en philippin également.  Outre l’anglais et le philippin, langues que tous les examinateurs de l’IPOPHL maîtrisent, certains examinateurs de brevets ont des connaissances de base dans d’autres langues comme le japonais, le mandarin, l’allemand, l’espagnol et le français.</w:t>
      </w:r>
    </w:p>
    <w:p w14:paraId="50006595" w14:textId="77777777" w:rsidR="008C1458" w:rsidRPr="00CE3172" w:rsidRDefault="008C1458" w:rsidP="00DA07A9">
      <w:pPr>
        <w:pStyle w:val="ONUMFS"/>
        <w:numPr>
          <w:ilvl w:val="0"/>
          <w:numId w:val="6"/>
        </w:numPr>
        <w:rPr>
          <w:lang w:val="fr-FR"/>
        </w:rPr>
      </w:pPr>
      <w:r w:rsidRPr="00CE3172">
        <w:rPr>
          <w:lang w:val="fr-FR"/>
        </w:rPr>
        <w:t>Des outils de traduction en ligne sont mis à la disposition des examinateurs de l’IPOPHL afin de les aider à effectuer des recherches dans les éléments antérieurs de l’état de la technique et à les comprendre.</w:t>
      </w:r>
    </w:p>
    <w:p w14:paraId="3A45D6CD" w14:textId="77777777" w:rsidR="008C1458" w:rsidRPr="00CE3172" w:rsidRDefault="008C1458" w:rsidP="00DA07A9">
      <w:pPr>
        <w:pStyle w:val="Heading1"/>
        <w:rPr>
          <w:lang w:val="fr-FR"/>
        </w:rPr>
      </w:pPr>
      <w:r w:rsidRPr="00CE3172">
        <w:rPr>
          <w:lang w:val="fr-FR"/>
        </w:rPr>
        <w:t>III.</w:t>
      </w:r>
      <w:r w:rsidRPr="00CE3172">
        <w:rPr>
          <w:lang w:val="fr-FR"/>
        </w:rPr>
        <w:tab/>
        <w:t>RèGLES 36.1 ii) ET 63.1 ii)</w:t>
      </w:r>
    </w:p>
    <w:p w14:paraId="244E4FDD" w14:textId="77777777" w:rsidR="008C1458" w:rsidRPr="00CE3172" w:rsidRDefault="008C1458" w:rsidP="00DA07A9">
      <w:pPr>
        <w:rPr>
          <w:lang w:val="fr-FR"/>
        </w:rPr>
      </w:pPr>
    </w:p>
    <w:p w14:paraId="6B5A9F82" w14:textId="77777777" w:rsidR="008C1458" w:rsidRPr="00CE3172" w:rsidRDefault="008C1458" w:rsidP="00DA07A9">
      <w:pPr>
        <w:pStyle w:val="ONUMFS"/>
        <w:numPr>
          <w:ilvl w:val="0"/>
          <w:numId w:val="6"/>
        </w:numPr>
        <w:rPr>
          <w:lang w:val="fr-FR"/>
        </w:rPr>
      </w:pPr>
      <w:r w:rsidRPr="00CE3172">
        <w:rPr>
          <w:lang w:val="fr-FR"/>
        </w:rPr>
        <w:t>Les examinateurs de l’IPOPHL ont actuellement accès aux bases de données suivantes :</w:t>
      </w:r>
    </w:p>
    <w:p w14:paraId="0EA63058" w14:textId="77777777" w:rsidR="008C1458" w:rsidRPr="00CE3172" w:rsidRDefault="008C1458" w:rsidP="00DA07A9">
      <w:pPr>
        <w:pStyle w:val="ONUMFS"/>
        <w:numPr>
          <w:ilvl w:val="1"/>
          <w:numId w:val="6"/>
        </w:numPr>
        <w:ind w:left="1134" w:hanging="567"/>
        <w:rPr>
          <w:lang w:val="fr-FR"/>
        </w:rPr>
      </w:pPr>
      <w:r w:rsidRPr="00CE3172">
        <w:rPr>
          <w:lang w:val="fr-FR"/>
        </w:rPr>
        <w:t>Bases de données commerciales (Thomson Innovation et WIPS Global)</w:t>
      </w:r>
    </w:p>
    <w:p w14:paraId="18996C06" w14:textId="77777777" w:rsidR="008C1458" w:rsidRPr="00CE3172" w:rsidRDefault="008C1458" w:rsidP="00DA07A9">
      <w:pPr>
        <w:pStyle w:val="ONUMFS"/>
        <w:numPr>
          <w:ilvl w:val="1"/>
          <w:numId w:val="6"/>
        </w:numPr>
        <w:ind w:left="1134" w:hanging="567"/>
        <w:rPr>
          <w:lang w:val="fr-FR"/>
        </w:rPr>
      </w:pPr>
      <w:r w:rsidRPr="00CE3172">
        <w:rPr>
          <w:lang w:val="fr-FR"/>
        </w:rPr>
        <w:t>Bases de données internes (bibliothèque numérique de propriété intellectuelle (IPDL) et système d’automatisation en matière de propriété intellectuelle (IPAS))</w:t>
      </w:r>
    </w:p>
    <w:p w14:paraId="50D1E3AB" w14:textId="77777777" w:rsidR="008C1458" w:rsidRPr="00CE3172" w:rsidRDefault="008C1458" w:rsidP="00DA07A9">
      <w:pPr>
        <w:pStyle w:val="ONUMFS"/>
        <w:numPr>
          <w:ilvl w:val="1"/>
          <w:numId w:val="6"/>
        </w:numPr>
        <w:ind w:left="1134" w:hanging="567"/>
        <w:rPr>
          <w:lang w:val="fr-FR"/>
        </w:rPr>
      </w:pPr>
      <w:r w:rsidRPr="00CE3172">
        <w:rPr>
          <w:lang w:val="fr-FR"/>
        </w:rPr>
        <w:t xml:space="preserve">Bases de données publiques (base de données de l’USPTO, </w:t>
      </w:r>
      <w:proofErr w:type="spellStart"/>
      <w:r w:rsidRPr="00CE3172">
        <w:rPr>
          <w:lang w:val="fr-FR"/>
        </w:rPr>
        <w:t>Espacenet</w:t>
      </w:r>
      <w:proofErr w:type="spellEnd"/>
      <w:r w:rsidRPr="00CE3172">
        <w:rPr>
          <w:lang w:val="fr-FR"/>
        </w:rPr>
        <w:t>, Patent Lens (</w:t>
      </w:r>
      <w:proofErr w:type="spellStart"/>
      <w:r w:rsidRPr="00CE3172">
        <w:rPr>
          <w:lang w:val="fr-FR"/>
        </w:rPr>
        <w:t>TheLens</w:t>
      </w:r>
      <w:proofErr w:type="spellEnd"/>
      <w:r w:rsidRPr="00CE3172">
        <w:rPr>
          <w:lang w:val="fr-FR"/>
        </w:rPr>
        <w:t xml:space="preserve">), </w:t>
      </w:r>
      <w:proofErr w:type="spellStart"/>
      <w:r w:rsidRPr="00CE3172">
        <w:rPr>
          <w:lang w:val="fr-FR"/>
        </w:rPr>
        <w:t>PubMed</w:t>
      </w:r>
      <w:proofErr w:type="spellEnd"/>
      <w:r w:rsidRPr="00CE3172">
        <w:rPr>
          <w:lang w:val="fr-FR"/>
        </w:rPr>
        <w:t xml:space="preserve">, </w:t>
      </w:r>
      <w:proofErr w:type="spellStart"/>
      <w:r w:rsidRPr="00CE3172">
        <w:rPr>
          <w:lang w:val="fr-FR"/>
        </w:rPr>
        <w:t>PubChem</w:t>
      </w:r>
      <w:proofErr w:type="spellEnd"/>
      <w:r w:rsidRPr="00CE3172">
        <w:rPr>
          <w:lang w:val="fr-FR"/>
        </w:rPr>
        <w:t xml:space="preserve">, </w:t>
      </w:r>
      <w:proofErr w:type="spellStart"/>
      <w:r w:rsidRPr="00CE3172">
        <w:rPr>
          <w:lang w:val="fr-FR"/>
        </w:rPr>
        <w:t>MedLinePlus</w:t>
      </w:r>
      <w:proofErr w:type="spellEnd"/>
      <w:r w:rsidRPr="00CE3172">
        <w:rPr>
          <w:lang w:val="fr-FR"/>
        </w:rPr>
        <w:t>, 3GPP, P</w:t>
      </w:r>
      <w:r>
        <w:rPr>
          <w:lang w:val="fr-FR"/>
        </w:rPr>
        <w:t>ATENTSCOPE</w:t>
      </w:r>
      <w:r w:rsidRPr="00CE3172">
        <w:rPr>
          <w:lang w:val="fr-FR"/>
        </w:rPr>
        <w:t xml:space="preserve">, </w:t>
      </w:r>
      <w:proofErr w:type="spellStart"/>
      <w:r w:rsidRPr="00CE3172">
        <w:rPr>
          <w:lang w:val="fr-FR"/>
        </w:rPr>
        <w:t>JPlatPat</w:t>
      </w:r>
      <w:proofErr w:type="spellEnd"/>
      <w:r w:rsidRPr="00CE3172">
        <w:rPr>
          <w:lang w:val="fr-FR"/>
        </w:rPr>
        <w:t>, WIPO Case, AIPN et bases de données sur les brevets d’autres offices de la propriété intellectuelle).</w:t>
      </w:r>
    </w:p>
    <w:p w14:paraId="1F17E786" w14:textId="16B22EC6" w:rsidR="008C1458" w:rsidRPr="00CE3172" w:rsidRDefault="008C1458" w:rsidP="00DA07A9">
      <w:pPr>
        <w:pStyle w:val="ONUMFS"/>
        <w:numPr>
          <w:ilvl w:val="0"/>
          <w:numId w:val="6"/>
        </w:numPr>
        <w:rPr>
          <w:lang w:val="fr-FR"/>
        </w:rPr>
      </w:pPr>
      <w:r w:rsidRPr="00CE3172">
        <w:rPr>
          <w:lang w:val="fr-FR"/>
        </w:rPr>
        <w:t xml:space="preserve">À la date de l’évaluation, l’IPOPHL prenait des mesures pour accéder à </w:t>
      </w:r>
      <w:proofErr w:type="spellStart"/>
      <w:r w:rsidRPr="00CE3172">
        <w:rPr>
          <w:lang w:val="fr-FR"/>
        </w:rPr>
        <w:t>EPOQUENet</w:t>
      </w:r>
      <w:proofErr w:type="spellEnd"/>
      <w:r w:rsidRPr="00CE3172">
        <w:rPr>
          <w:lang w:val="fr-FR"/>
        </w:rPr>
        <w:t>.  L’</w:t>
      </w:r>
      <w:r w:rsidR="00BB28AA">
        <w:rPr>
          <w:lang w:val="fr-FR"/>
        </w:rPr>
        <w:t>IPOPHL a indiqué aux agents du JPO</w:t>
      </w:r>
      <w:r w:rsidRPr="00CE3172">
        <w:rPr>
          <w:lang w:val="fr-FR"/>
        </w:rPr>
        <w:t xml:space="preserve"> que la base de données </w:t>
      </w:r>
      <w:proofErr w:type="spellStart"/>
      <w:r w:rsidRPr="00CE3172">
        <w:rPr>
          <w:lang w:val="fr-FR"/>
        </w:rPr>
        <w:t>EPOQUENet</w:t>
      </w:r>
      <w:proofErr w:type="spellEnd"/>
      <w:r w:rsidRPr="00CE3172">
        <w:rPr>
          <w:lang w:val="fr-FR"/>
        </w:rPr>
        <w:t xml:space="preserve">, et d’autres </w:t>
      </w:r>
      <w:r w:rsidRPr="00CE3172">
        <w:rPr>
          <w:lang w:val="fr-FR"/>
        </w:rPr>
        <w:lastRenderedPageBreak/>
        <w:t>bases de données commerciales comme IEEE et STN, seraient mises à la disposition des examinateurs d’ici le troisième trimestre de 2017, et que grâce à ces dispositions, l’IPOPHL serait en mesure d’accéder à la documentation minimale des règles 36.1 ii) et 63.1 ii).</w:t>
      </w:r>
    </w:p>
    <w:p w14:paraId="7319AF55" w14:textId="77777777" w:rsidR="008C1458" w:rsidRPr="00CE3172" w:rsidRDefault="008C1458" w:rsidP="00DA07A9">
      <w:pPr>
        <w:pStyle w:val="ONUMFS"/>
        <w:numPr>
          <w:ilvl w:val="0"/>
          <w:numId w:val="6"/>
        </w:numPr>
        <w:rPr>
          <w:lang w:val="fr-FR"/>
        </w:rPr>
      </w:pPr>
      <w:r w:rsidRPr="00CE3172">
        <w:rPr>
          <w:lang w:val="fr-FR"/>
        </w:rPr>
        <w:t>Le système informatique de l’IPOPHL est composé du système d’automatisation en matière de propriété intellectuelle (IPAS), qui a été adapté à ses utilisateurs en coopération avec l’OMPI, et qui couvre la majorité des procédures internes relatives aux demandes d’enregistrement de brevet, notamment la recherche et l’examen pour ce qui est des documents de brevet nationaux, et d’autres systèmes internes.</w:t>
      </w:r>
    </w:p>
    <w:p w14:paraId="3B683DCD" w14:textId="77777777" w:rsidR="008C1458" w:rsidRPr="00CE3172" w:rsidRDefault="008C1458" w:rsidP="00DA07A9">
      <w:pPr>
        <w:pStyle w:val="Heading1"/>
        <w:rPr>
          <w:lang w:val="fr-FR"/>
        </w:rPr>
      </w:pPr>
      <w:r w:rsidRPr="00CE3172">
        <w:rPr>
          <w:lang w:val="fr-FR"/>
        </w:rPr>
        <w:t>IV.</w:t>
      </w:r>
      <w:r w:rsidRPr="00CE3172">
        <w:rPr>
          <w:lang w:val="fr-FR"/>
        </w:rPr>
        <w:tab/>
        <w:t>RèGLES 36.1 iv) et 63.1 iv)</w:t>
      </w:r>
    </w:p>
    <w:p w14:paraId="2917A6EF" w14:textId="77777777" w:rsidR="008C1458" w:rsidRPr="00CE3172" w:rsidRDefault="008C1458" w:rsidP="00DA07A9">
      <w:pPr>
        <w:rPr>
          <w:lang w:val="fr-FR"/>
        </w:rPr>
      </w:pPr>
    </w:p>
    <w:p w14:paraId="0B6BE0EA" w14:textId="4F2875B6" w:rsidR="008C1458" w:rsidRPr="00CE3172" w:rsidRDefault="008C1458" w:rsidP="00DA07A9">
      <w:pPr>
        <w:pStyle w:val="ONUMFS"/>
        <w:numPr>
          <w:ilvl w:val="0"/>
          <w:numId w:val="6"/>
        </w:numPr>
        <w:rPr>
          <w:lang w:val="fr-FR"/>
        </w:rPr>
      </w:pPr>
      <w:r w:rsidRPr="00CE3172">
        <w:rPr>
          <w:lang w:val="fr-FR"/>
        </w:rPr>
        <w:t>S’agissant des travaux de recherche et d’examen nationaux, l’IPOPHL a mis en place un système de gestion de la qualité, qui est fondamentalement conforme au chapitre 21 des directives concernant la recherche internationale et l’examen préliminaire international selon le PCT, en mettant l’accent sur la question du respect des délais.  L’</w:t>
      </w:r>
      <w:r w:rsidR="00531628" w:rsidRPr="00CE3172">
        <w:rPr>
          <w:lang w:val="fr-FR"/>
        </w:rPr>
        <w:t>office</w:t>
      </w:r>
      <w:r w:rsidRPr="00CE3172">
        <w:rPr>
          <w:lang w:val="fr-FR"/>
        </w:rPr>
        <w:t xml:space="preserve"> a également mis à jour sa certification ISO 9001:2008.</w:t>
      </w:r>
    </w:p>
    <w:p w14:paraId="44A02C6D" w14:textId="77777777" w:rsidR="008C1458" w:rsidRPr="00CE3172" w:rsidRDefault="008C1458" w:rsidP="00DA07A9">
      <w:pPr>
        <w:pStyle w:val="ONUMFS"/>
        <w:numPr>
          <w:ilvl w:val="0"/>
          <w:numId w:val="6"/>
        </w:numPr>
        <w:rPr>
          <w:lang w:val="fr-FR"/>
        </w:rPr>
      </w:pPr>
      <w:r w:rsidRPr="00CE3172">
        <w:rPr>
          <w:lang w:val="fr-FR"/>
        </w:rPr>
        <w:t>[Encadrement et politique] L’IPOPHL a créé la division de gestion de la qualité, qui opère le système de gestion de la qualité.  Il a élaboré sa politique en matière de qualité, qui a été distribuée aux membres du personnel pertinents.</w:t>
      </w:r>
    </w:p>
    <w:p w14:paraId="4FD52D02" w14:textId="6C4E9ABD" w:rsidR="008C1458" w:rsidRPr="00CE3172" w:rsidRDefault="008C1458" w:rsidP="00DA07A9">
      <w:pPr>
        <w:pStyle w:val="ONUMFS"/>
        <w:numPr>
          <w:ilvl w:val="0"/>
          <w:numId w:val="6"/>
        </w:numPr>
        <w:rPr>
          <w:lang w:val="fr-FR"/>
        </w:rPr>
      </w:pPr>
      <w:r w:rsidRPr="00CE3172">
        <w:rPr>
          <w:lang w:val="fr-FR"/>
        </w:rPr>
        <w:t>[Ressources] Voir les paragraphes 4 à 13 ci</w:t>
      </w:r>
      <w:r w:rsidR="00BC3CD7">
        <w:rPr>
          <w:lang w:val="fr-FR"/>
        </w:rPr>
        <w:noBreakHyphen/>
      </w:r>
      <w:r w:rsidRPr="00CE3172">
        <w:rPr>
          <w:lang w:val="fr-FR"/>
        </w:rPr>
        <w:t>dessus.</w:t>
      </w:r>
    </w:p>
    <w:p w14:paraId="402C96A5" w14:textId="1377A805" w:rsidR="008C1458" w:rsidRPr="00CE3172" w:rsidRDefault="008C1458" w:rsidP="00DA07A9">
      <w:pPr>
        <w:pStyle w:val="ONUMFS"/>
        <w:numPr>
          <w:ilvl w:val="0"/>
          <w:numId w:val="6"/>
        </w:numPr>
        <w:rPr>
          <w:lang w:val="fr-FR"/>
        </w:rPr>
      </w:pPr>
      <w:r w:rsidRPr="00CE3172">
        <w:rPr>
          <w:lang w:val="fr-FR"/>
        </w:rPr>
        <w:t>[Gestion de la charge de travail administratif] Les retards accumulés au niveau de l’examen ont été corrigés grâce aux “programmes de réduction des retards” que l’</w:t>
      </w:r>
      <w:r w:rsidR="00531628" w:rsidRPr="00CE3172">
        <w:rPr>
          <w:lang w:val="fr-FR"/>
        </w:rPr>
        <w:t>office</w:t>
      </w:r>
      <w:r w:rsidRPr="00CE3172">
        <w:rPr>
          <w:lang w:val="fr-FR"/>
        </w:rPr>
        <w:t xml:space="preserve"> mène depuis 2014.  En conséquence, les retards accumulés n’ont cessé d’être réduits.  En ce qui concerne le respect des délais, l’IPOPHL fait en sorte de publier des rapports de recherche tous les six mois à compter de la date de dépôt des demandes locales.</w:t>
      </w:r>
    </w:p>
    <w:p w14:paraId="099C0785" w14:textId="77777777" w:rsidR="008C1458" w:rsidRPr="00CE3172" w:rsidRDefault="008C1458" w:rsidP="00DA07A9">
      <w:pPr>
        <w:pStyle w:val="ONUMFS"/>
        <w:numPr>
          <w:ilvl w:val="0"/>
          <w:numId w:val="6"/>
        </w:numPr>
        <w:rPr>
          <w:lang w:val="fr-FR"/>
        </w:rPr>
      </w:pPr>
      <w:r w:rsidRPr="00CE3172">
        <w:rPr>
          <w:lang w:val="fr-FR"/>
        </w:rPr>
        <w:t>[Assurance qualité] Les rapports d’examen sont contrôlés en cours de processus par les chefs de division et les chefs de division adjoints.  En outre, des évaluations aléatoires sont réalisées par des évaluateurs chargés de la qualité.  En vue d’améliorer la qualité, des observations fondées sur les résultats de l’évaluation de la qualité sont adressées aux examinateurs concernés par le biais du comité de gestion de la qualité et des chefs de division.</w:t>
      </w:r>
    </w:p>
    <w:p w14:paraId="41D9290C" w14:textId="77777777" w:rsidR="008C1458" w:rsidRPr="00CE3172" w:rsidRDefault="008C1458" w:rsidP="00DA07A9">
      <w:pPr>
        <w:pStyle w:val="ONUMFS"/>
        <w:numPr>
          <w:ilvl w:val="0"/>
          <w:numId w:val="6"/>
        </w:numPr>
        <w:rPr>
          <w:lang w:val="fr-FR"/>
        </w:rPr>
      </w:pPr>
      <w:r w:rsidRPr="00CE3172">
        <w:rPr>
          <w:lang w:val="fr-FR"/>
        </w:rPr>
        <w:t>[Communication] L’IPOPHL réalise une enquête de satisfaction de la clientèle afin d’améliorer son service.  Les réponses à l’enquête sont regroupées dans un rapport, qui présente une analyse et des propositions d’amélioration.</w:t>
      </w:r>
    </w:p>
    <w:p w14:paraId="43087FE2" w14:textId="77777777" w:rsidR="008C1458" w:rsidRPr="00CE3172" w:rsidRDefault="008C1458" w:rsidP="00DA07A9">
      <w:pPr>
        <w:pStyle w:val="ONUMFS"/>
        <w:numPr>
          <w:ilvl w:val="0"/>
          <w:numId w:val="6"/>
        </w:numPr>
        <w:rPr>
          <w:lang w:val="fr-FR"/>
        </w:rPr>
      </w:pPr>
      <w:r w:rsidRPr="00CE3172">
        <w:rPr>
          <w:lang w:val="fr-FR"/>
        </w:rPr>
        <w:t>[Documentation] Le Manuel sur la qualité, qui énonce les principes fondamentaux du système de gestion de la qualité, a été élaboré et distribué au personnel concerné.  Le Conservateur des documents et des dossiers, l’Unité de gestion des dossiers du Bureau des brevets et la Division des ressources humaines gèrent des dossiers comme les audits menés dans le cadre du système de gestion de la qualité et les travaux de recherche et d’examen effectués pour chaque demande.</w:t>
      </w:r>
    </w:p>
    <w:p w14:paraId="381EE8BA" w14:textId="03541C41" w:rsidR="008C1458" w:rsidRPr="00CE3172" w:rsidRDefault="008C1458" w:rsidP="00DA07A9">
      <w:pPr>
        <w:pStyle w:val="ONUMFS"/>
        <w:numPr>
          <w:ilvl w:val="0"/>
          <w:numId w:val="6"/>
        </w:numPr>
        <w:rPr>
          <w:lang w:val="fr-FR"/>
        </w:rPr>
      </w:pPr>
      <w:r w:rsidRPr="00CE3172">
        <w:rPr>
          <w:lang w:val="fr-FR"/>
        </w:rPr>
        <w:t>[Documentation liée aux procédures de recherche] Les résultats des recherches menées par les examinateurs compétents sont dûment consignés dans la base de données interne de l’</w:t>
      </w:r>
      <w:r w:rsidR="00531628" w:rsidRPr="00CE3172">
        <w:rPr>
          <w:lang w:val="fr-FR"/>
        </w:rPr>
        <w:t>office</w:t>
      </w:r>
      <w:r w:rsidRPr="00CE3172">
        <w:rPr>
          <w:lang w:val="fr-FR"/>
        </w:rPr>
        <w:t xml:space="preserve"> sous forme de rapports contenant des mots clés et d’autres éléments choisis par les examinateurs, les noms des bases de données utilisées, le nombre d’occurrences et le nombre de documents consultés.</w:t>
      </w:r>
    </w:p>
    <w:p w14:paraId="14D3096E" w14:textId="77777777" w:rsidR="008C1458" w:rsidRPr="00CE3172" w:rsidRDefault="008C1458" w:rsidP="00DA07A9">
      <w:pPr>
        <w:pStyle w:val="ONUMFS"/>
        <w:numPr>
          <w:ilvl w:val="0"/>
          <w:numId w:val="6"/>
        </w:numPr>
        <w:rPr>
          <w:lang w:val="fr-FR"/>
        </w:rPr>
      </w:pPr>
      <w:r w:rsidRPr="00CE3172">
        <w:rPr>
          <w:lang w:val="fr-FR"/>
        </w:rPr>
        <w:t>[Évaluation interne] Des audits internes de la qualité, notamment un audit interne dans le cadre du système de gestion de la qualité, sont réalisés chaque année.</w:t>
      </w:r>
    </w:p>
    <w:p w14:paraId="7F1D7CFA" w14:textId="77777777" w:rsidR="008C1458" w:rsidRPr="00CE3172" w:rsidRDefault="008C1458" w:rsidP="00DA07A9">
      <w:pPr>
        <w:pStyle w:val="Heading1"/>
        <w:rPr>
          <w:lang w:val="fr-FR"/>
        </w:rPr>
      </w:pPr>
      <w:r w:rsidRPr="00CE3172">
        <w:rPr>
          <w:lang w:val="fr-FR"/>
        </w:rPr>
        <w:lastRenderedPageBreak/>
        <w:t>V.</w:t>
      </w:r>
      <w:r w:rsidRPr="00CE3172">
        <w:rPr>
          <w:lang w:val="fr-FR"/>
        </w:rPr>
        <w:tab/>
        <w:t>CONCLUSION</w:t>
      </w:r>
    </w:p>
    <w:p w14:paraId="29506F9E" w14:textId="77777777" w:rsidR="008C1458" w:rsidRPr="00CE3172" w:rsidRDefault="008C1458" w:rsidP="00DA07A9">
      <w:pPr>
        <w:rPr>
          <w:lang w:val="fr-FR"/>
        </w:rPr>
      </w:pPr>
    </w:p>
    <w:p w14:paraId="0DD6D05A" w14:textId="10502048" w:rsidR="008C1458" w:rsidRPr="00CE3172" w:rsidRDefault="008C1458" w:rsidP="00DA07A9">
      <w:pPr>
        <w:pStyle w:val="ONUMFS"/>
        <w:numPr>
          <w:ilvl w:val="0"/>
          <w:numId w:val="6"/>
        </w:numPr>
        <w:rPr>
          <w:lang w:val="fr-FR"/>
        </w:rPr>
      </w:pPr>
      <w:r w:rsidRPr="00CE3172">
        <w:rPr>
          <w:lang w:val="fr-FR"/>
        </w:rPr>
        <w:t>Sur la base des informations communiquées par l’IPOPHL et des éléments constatés sur place lors de la mission auprès de l’</w:t>
      </w:r>
      <w:r w:rsidR="00531628" w:rsidRPr="00CE3172">
        <w:rPr>
          <w:lang w:val="fr-FR"/>
        </w:rPr>
        <w:t>office</w:t>
      </w:r>
      <w:r w:rsidRPr="00CE3172">
        <w:rPr>
          <w:lang w:val="fr-FR"/>
        </w:rPr>
        <w:t xml:space="preserve">, </w:t>
      </w:r>
      <w:r w:rsidR="00531628">
        <w:rPr>
          <w:lang w:val="fr-FR"/>
        </w:rPr>
        <w:t xml:space="preserve">le JPO </w:t>
      </w:r>
      <w:r w:rsidRPr="00CE3172">
        <w:rPr>
          <w:lang w:val="fr-FR"/>
        </w:rPr>
        <w:t>a conclu que l’IPOPHL serait en mesure de satisfaire aux exigences des règles 36.1 et 63.1 afin d’être nommé en qualité d’administration chargée de la recherche internationale et de l’examen préliminaire international d’ici la prochaine session de l’Assemblée de l’Union du PCT prévue en octobre 2017, sous réserve que les examinateurs supplémentaires qui devaient être embauchés en mars 2017 acquièrent les compétences suffisantes pour mener des recherches, comme indiqué au paragraphe 7, et que l’</w:t>
      </w:r>
      <w:r w:rsidR="00531628" w:rsidRPr="00CE3172">
        <w:rPr>
          <w:lang w:val="fr-FR"/>
        </w:rPr>
        <w:t>office</w:t>
      </w:r>
      <w:r w:rsidRPr="00CE3172">
        <w:rPr>
          <w:lang w:val="fr-FR"/>
        </w:rPr>
        <w:t xml:space="preserve"> s’abonne aux bases de données utiles de littérature non</w:t>
      </w:r>
      <w:r w:rsidR="00BC3CD7">
        <w:rPr>
          <w:lang w:val="fr-FR"/>
        </w:rPr>
        <w:noBreakHyphen/>
      </w:r>
      <w:r w:rsidRPr="00CE3172">
        <w:rPr>
          <w:lang w:val="fr-FR"/>
        </w:rPr>
        <w:t>brevet, conformément à ce qui est prévu actuellement et indiqué au paragraphe 12.</w:t>
      </w:r>
    </w:p>
    <w:p w14:paraId="0503B8E8" w14:textId="77777777" w:rsidR="008C1458" w:rsidRPr="00CE3172" w:rsidRDefault="008C1458" w:rsidP="00DA07A9">
      <w:pPr>
        <w:rPr>
          <w:lang w:val="fr-FR"/>
        </w:rPr>
      </w:pPr>
    </w:p>
    <w:p w14:paraId="7AD95633" w14:textId="77777777" w:rsidR="008C1458" w:rsidRPr="00CE3172" w:rsidRDefault="008C1458" w:rsidP="00DA07A9">
      <w:pPr>
        <w:rPr>
          <w:lang w:val="fr-FR"/>
        </w:rPr>
      </w:pPr>
    </w:p>
    <w:p w14:paraId="7ECCCC06" w14:textId="77777777" w:rsidR="008C1458" w:rsidRPr="00623A85" w:rsidRDefault="008C1458" w:rsidP="00DA07A9">
      <w:pPr>
        <w:pStyle w:val="Endofdocument-Annex"/>
        <w:rPr>
          <w:lang w:val="fr-FR"/>
        </w:rPr>
      </w:pPr>
      <w:r w:rsidRPr="00CE3172">
        <w:rPr>
          <w:lang w:val="fr-FR"/>
        </w:rPr>
        <w:t>[Fin de l’annexe et du document]</w:t>
      </w:r>
    </w:p>
    <w:p w14:paraId="2FE40F07" w14:textId="2A26CE00" w:rsidR="008C1458" w:rsidRPr="004118AE" w:rsidRDefault="008C1458" w:rsidP="00DA07A9"/>
    <w:sectPr w:rsidR="008C1458" w:rsidRPr="004118AE" w:rsidSect="00C96354">
      <w:headerReference w:type="default" r:id="rId19"/>
      <w:headerReference w:type="first" r:id="rId2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AAAAB" w14:textId="77777777" w:rsidR="00C96354" w:rsidRDefault="00C96354">
      <w:r>
        <w:separator/>
      </w:r>
    </w:p>
  </w:endnote>
  <w:endnote w:type="continuationSeparator" w:id="0">
    <w:p w14:paraId="0585912D" w14:textId="77777777" w:rsidR="00C96354" w:rsidRDefault="00C96354" w:rsidP="003B38C1">
      <w:r>
        <w:separator/>
      </w:r>
    </w:p>
    <w:p w14:paraId="701F2185" w14:textId="77777777" w:rsidR="00C96354" w:rsidRPr="00F94A20" w:rsidRDefault="00C96354" w:rsidP="003B38C1">
      <w:pPr>
        <w:spacing w:after="60"/>
        <w:rPr>
          <w:sz w:val="17"/>
          <w:lang w:val="en-US"/>
        </w:rPr>
      </w:pPr>
      <w:r w:rsidRPr="00F94A20">
        <w:rPr>
          <w:sz w:val="17"/>
          <w:lang w:val="en-US"/>
        </w:rPr>
        <w:t>[Endnote continued from previous page]</w:t>
      </w:r>
    </w:p>
  </w:endnote>
  <w:endnote w:type="continuationNotice" w:id="1">
    <w:p w14:paraId="78596BC1" w14:textId="77777777" w:rsidR="00C96354" w:rsidRPr="00F94A20" w:rsidRDefault="00C96354" w:rsidP="003B38C1">
      <w:pPr>
        <w:spacing w:before="60"/>
        <w:jc w:val="right"/>
        <w:rPr>
          <w:sz w:val="17"/>
          <w:szCs w:val="17"/>
          <w:lang w:val="en-US"/>
        </w:rPr>
      </w:pPr>
      <w:r w:rsidRPr="00F94A2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4DF8E" w14:textId="77777777" w:rsidR="00C96354" w:rsidRDefault="00C96354">
      <w:r>
        <w:separator/>
      </w:r>
    </w:p>
  </w:footnote>
  <w:footnote w:type="continuationSeparator" w:id="0">
    <w:p w14:paraId="4DC68507" w14:textId="77777777" w:rsidR="00C96354" w:rsidRDefault="00C96354" w:rsidP="008B60B2">
      <w:r>
        <w:separator/>
      </w:r>
    </w:p>
    <w:p w14:paraId="53EA3967" w14:textId="77777777" w:rsidR="00C96354" w:rsidRPr="00F94A20" w:rsidRDefault="00C96354" w:rsidP="008B60B2">
      <w:pPr>
        <w:spacing w:after="60"/>
        <w:rPr>
          <w:sz w:val="17"/>
          <w:szCs w:val="17"/>
          <w:lang w:val="en-US"/>
        </w:rPr>
      </w:pPr>
      <w:r w:rsidRPr="00F94A20">
        <w:rPr>
          <w:sz w:val="17"/>
          <w:szCs w:val="17"/>
          <w:lang w:val="en-US"/>
        </w:rPr>
        <w:t>[Footnote continued from previous page]</w:t>
      </w:r>
    </w:p>
  </w:footnote>
  <w:footnote w:type="continuationNotice" w:id="1">
    <w:p w14:paraId="01288DDF" w14:textId="77777777" w:rsidR="00C96354" w:rsidRPr="00F94A20" w:rsidRDefault="00C96354" w:rsidP="008B60B2">
      <w:pPr>
        <w:spacing w:before="60"/>
        <w:jc w:val="right"/>
        <w:rPr>
          <w:sz w:val="17"/>
          <w:szCs w:val="17"/>
          <w:lang w:val="en-US"/>
        </w:rPr>
      </w:pPr>
      <w:r w:rsidRPr="00F94A20">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6450" w14:textId="77777777" w:rsidR="00C96354" w:rsidRDefault="00C96354" w:rsidP="00477D6B">
    <w:pPr>
      <w:jc w:val="right"/>
    </w:pPr>
    <w:bookmarkStart w:id="5" w:name="Code2"/>
    <w:bookmarkEnd w:id="5"/>
    <w:r>
      <w:t xml:space="preserve">PCT/CTC/30/2 </w:t>
    </w:r>
    <w:proofErr w:type="spellStart"/>
    <w:r>
      <w:t>Rev</w:t>
    </w:r>
    <w:proofErr w:type="spellEnd"/>
    <w:r>
      <w:t>.</w:t>
    </w:r>
  </w:p>
  <w:p w14:paraId="4FD14B45" w14:textId="77777777" w:rsidR="00C96354" w:rsidRDefault="00C96354" w:rsidP="00477D6B">
    <w:pPr>
      <w:jc w:val="right"/>
    </w:pPr>
    <w:proofErr w:type="gramStart"/>
    <w:r>
      <w:t>page</w:t>
    </w:r>
    <w:proofErr w:type="gramEnd"/>
    <w:r>
      <w:t xml:space="preserve"> </w:t>
    </w:r>
    <w:r>
      <w:fldChar w:fldCharType="begin"/>
    </w:r>
    <w:r>
      <w:instrText xml:space="preserve"> PAGE  \* MERGEFORMAT </w:instrText>
    </w:r>
    <w:r>
      <w:fldChar w:fldCharType="separate"/>
    </w:r>
    <w:r w:rsidR="00F94A20">
      <w:rPr>
        <w:noProof/>
      </w:rPr>
      <w:t>2</w:t>
    </w:r>
    <w:r>
      <w:fldChar w:fldCharType="end"/>
    </w:r>
  </w:p>
  <w:p w14:paraId="2B4179B9" w14:textId="77777777" w:rsidR="00C96354" w:rsidRDefault="00C9635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3E1B6" w14:textId="77777777" w:rsidR="00C96354" w:rsidRDefault="00C96354" w:rsidP="00477D6B">
    <w:pPr>
      <w:jc w:val="right"/>
    </w:pPr>
    <w:r>
      <w:t xml:space="preserve">PCT/CTC/30/2 </w:t>
    </w:r>
    <w:proofErr w:type="spellStart"/>
    <w:r>
      <w:t>Rev</w:t>
    </w:r>
    <w:proofErr w:type="spellEnd"/>
    <w:r>
      <w:t>.</w:t>
    </w:r>
  </w:p>
  <w:p w14:paraId="1A26B5B2" w14:textId="38BD2A2C" w:rsidR="00C96354" w:rsidRDefault="00C96354" w:rsidP="00477D6B">
    <w:pPr>
      <w:jc w:val="right"/>
    </w:pPr>
    <w:r>
      <w:t xml:space="preserve">Annexe, page </w:t>
    </w:r>
    <w:r>
      <w:fldChar w:fldCharType="begin"/>
    </w:r>
    <w:r>
      <w:instrText xml:space="preserve"> PAGE  \* MERGEFORMAT </w:instrText>
    </w:r>
    <w:r>
      <w:fldChar w:fldCharType="separate"/>
    </w:r>
    <w:r w:rsidR="00F94A20">
      <w:rPr>
        <w:noProof/>
      </w:rPr>
      <w:t>15</w:t>
    </w:r>
    <w:r>
      <w:fldChar w:fldCharType="end"/>
    </w:r>
  </w:p>
  <w:p w14:paraId="5A153871" w14:textId="77777777" w:rsidR="00C96354" w:rsidRDefault="00C9635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CA24" w14:textId="77777777" w:rsidR="00C96354" w:rsidRPr="00AA5F79" w:rsidRDefault="00C96354" w:rsidP="005F3FE3">
    <w:pPr>
      <w:jc w:val="right"/>
    </w:pPr>
    <w:r w:rsidRPr="00AA5F79">
      <w:t>PCT/CTC/30</w:t>
    </w:r>
    <w:r>
      <w:t xml:space="preserve">/2 </w:t>
    </w:r>
    <w:proofErr w:type="spellStart"/>
    <w:r>
      <w:t>Rev</w:t>
    </w:r>
    <w:proofErr w:type="spellEnd"/>
    <w:r>
      <w:t>.</w:t>
    </w:r>
  </w:p>
  <w:p w14:paraId="1CDC705E" w14:textId="77777777" w:rsidR="00C96354" w:rsidRPr="00AA5F79" w:rsidRDefault="00C96354" w:rsidP="005F3FE3">
    <w:pPr>
      <w:jc w:val="right"/>
    </w:pPr>
    <w:r>
      <w:t>ANNEXE</w:t>
    </w:r>
  </w:p>
  <w:p w14:paraId="4FCF7CD8" w14:textId="77777777" w:rsidR="00C96354" w:rsidRPr="00731778" w:rsidRDefault="00C96354" w:rsidP="005F3FE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9BADD" w14:textId="77777777" w:rsidR="00C96354" w:rsidRPr="00AA5F79" w:rsidRDefault="00C96354" w:rsidP="00C96354">
    <w:pPr>
      <w:jc w:val="right"/>
      <w:rPr>
        <w:lang w:val="fr-FR"/>
      </w:rPr>
    </w:pPr>
    <w:r w:rsidRPr="00AA5F79">
      <w:rPr>
        <w:lang w:val="fr-FR"/>
      </w:rPr>
      <w:t>PCT/CTC/30</w:t>
    </w:r>
    <w:r>
      <w:rPr>
        <w:lang w:val="fr-FR"/>
      </w:rPr>
      <w:t xml:space="preserve">/2 </w:t>
    </w:r>
    <w:proofErr w:type="spellStart"/>
    <w:r>
      <w:rPr>
        <w:lang w:val="fr-FR"/>
      </w:rPr>
      <w:t>Rev</w:t>
    </w:r>
    <w:proofErr w:type="spellEnd"/>
    <w:r>
      <w:rPr>
        <w:lang w:val="fr-FR"/>
      </w:rPr>
      <w:t>.</w:t>
    </w:r>
  </w:p>
  <w:p w14:paraId="58825779" w14:textId="77777777" w:rsidR="00C96354" w:rsidRPr="00AA5F79" w:rsidRDefault="00C96354" w:rsidP="00C96354">
    <w:pPr>
      <w:jc w:val="right"/>
      <w:rPr>
        <w:lang w:val="fr-FR"/>
      </w:rPr>
    </w:pPr>
    <w:r w:rsidRPr="00AA5F79">
      <w:rPr>
        <w:lang w:val="fr-FR"/>
      </w:rPr>
      <w:t>Annex</w:t>
    </w:r>
    <w:r>
      <w:rPr>
        <w:lang w:val="fr-FR"/>
      </w:rPr>
      <w:t>e</w:t>
    </w:r>
    <w:r w:rsidRPr="00AA5F79">
      <w:rPr>
        <w:lang w:val="fr-FR"/>
      </w:rPr>
      <w:t xml:space="preserve">, page </w:t>
    </w:r>
    <w:r>
      <w:fldChar w:fldCharType="begin"/>
    </w:r>
    <w:r w:rsidRPr="00AA5F79">
      <w:rPr>
        <w:lang w:val="fr-FR"/>
      </w:rPr>
      <w:instrText xml:space="preserve"> PAGE  \* MERGEFORMAT </w:instrText>
    </w:r>
    <w:r>
      <w:fldChar w:fldCharType="separate"/>
    </w:r>
    <w:r w:rsidR="00F94A20">
      <w:rPr>
        <w:noProof/>
        <w:lang w:val="fr-FR"/>
      </w:rPr>
      <w:t>47</w:t>
    </w:r>
    <w:r>
      <w:fldChar w:fldCharType="end"/>
    </w:r>
  </w:p>
  <w:p w14:paraId="1B6296B9" w14:textId="77777777" w:rsidR="00C96354" w:rsidRPr="00007D79" w:rsidRDefault="00C96354" w:rsidP="00C96354">
    <w:pPr>
      <w:pStyle w:val="Heade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F2528" w14:textId="77777777" w:rsidR="00C96354" w:rsidRPr="00AA5F79" w:rsidRDefault="00C96354" w:rsidP="00C96354">
    <w:pPr>
      <w:jc w:val="right"/>
      <w:rPr>
        <w:lang w:val="fr-FR"/>
      </w:rPr>
    </w:pPr>
    <w:r w:rsidRPr="00AA5F79">
      <w:rPr>
        <w:lang w:val="fr-FR"/>
      </w:rPr>
      <w:t>PCT/CTC/30</w:t>
    </w:r>
    <w:r>
      <w:rPr>
        <w:lang w:val="fr-FR"/>
      </w:rPr>
      <w:t xml:space="preserve">/2 </w:t>
    </w:r>
    <w:proofErr w:type="spellStart"/>
    <w:r>
      <w:rPr>
        <w:lang w:val="fr-FR"/>
      </w:rPr>
      <w:t>Rev</w:t>
    </w:r>
    <w:proofErr w:type="spellEnd"/>
    <w:r>
      <w:rPr>
        <w:lang w:val="fr-FR"/>
      </w:rPr>
      <w:t>.</w:t>
    </w:r>
  </w:p>
  <w:p w14:paraId="3BC13D62" w14:textId="77777777" w:rsidR="00C96354" w:rsidRPr="00AA5F79" w:rsidRDefault="00C96354" w:rsidP="00C96354">
    <w:pPr>
      <w:jc w:val="right"/>
      <w:rPr>
        <w:lang w:val="fr-FR"/>
      </w:rPr>
    </w:pPr>
    <w:r w:rsidRPr="00AA5F79">
      <w:rPr>
        <w:lang w:val="fr-FR"/>
      </w:rPr>
      <w:t>Annex</w:t>
    </w:r>
    <w:r>
      <w:rPr>
        <w:lang w:val="fr-FR"/>
      </w:rPr>
      <w:t>e</w:t>
    </w:r>
    <w:r w:rsidRPr="00AA5F79">
      <w:rPr>
        <w:lang w:val="fr-FR"/>
      </w:rPr>
      <w:t xml:space="preserve">, page </w:t>
    </w:r>
    <w:r>
      <w:fldChar w:fldCharType="begin"/>
    </w:r>
    <w:r w:rsidRPr="00AA5F79">
      <w:rPr>
        <w:lang w:val="fr-FR"/>
      </w:rPr>
      <w:instrText xml:space="preserve"> PAGE  \* MERGEFORMAT </w:instrText>
    </w:r>
    <w:r>
      <w:fldChar w:fldCharType="separate"/>
    </w:r>
    <w:r w:rsidR="00F94A20">
      <w:rPr>
        <w:noProof/>
        <w:lang w:val="fr-FR"/>
      </w:rPr>
      <w:t>16</w:t>
    </w:r>
    <w:r>
      <w:fldChar w:fldCharType="end"/>
    </w:r>
  </w:p>
  <w:p w14:paraId="7F5CA7DF" w14:textId="77777777" w:rsidR="00C96354" w:rsidRPr="00007D79" w:rsidRDefault="00C96354" w:rsidP="00C96354">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5DA525"/>
    <w:multiLevelType w:val="hybridMultilevel"/>
    <w:tmpl w:val="29399B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06E64C38"/>
    <w:multiLevelType w:val="hybridMultilevel"/>
    <w:tmpl w:val="EFF8A7DE"/>
    <w:lvl w:ilvl="0" w:tplc="93A6F1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D2651"/>
    <w:multiLevelType w:val="hybridMultilevel"/>
    <w:tmpl w:val="2A3CA1BC"/>
    <w:lvl w:ilvl="0" w:tplc="A12494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9A05D9"/>
    <w:multiLevelType w:val="hybridMultilevel"/>
    <w:tmpl w:val="222C3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1B507F12"/>
    <w:multiLevelType w:val="hybridMultilevel"/>
    <w:tmpl w:val="7E842EE6"/>
    <w:lvl w:ilvl="0" w:tplc="59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B6232"/>
    <w:multiLevelType w:val="hybridMultilevel"/>
    <w:tmpl w:val="CFDA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9745717"/>
    <w:multiLevelType w:val="hybridMultilevel"/>
    <w:tmpl w:val="2A8290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B215E43"/>
    <w:multiLevelType w:val="hybridMultilevel"/>
    <w:tmpl w:val="DDA0E2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B3766B"/>
    <w:multiLevelType w:val="hybridMultilevel"/>
    <w:tmpl w:val="92A8DE2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3A9F3623"/>
    <w:multiLevelType w:val="hybridMultilevel"/>
    <w:tmpl w:val="572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2B0867"/>
    <w:multiLevelType w:val="hybridMultilevel"/>
    <w:tmpl w:val="ECE2449E"/>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492319FD"/>
    <w:multiLevelType w:val="hybridMultilevel"/>
    <w:tmpl w:val="222C61B2"/>
    <w:lvl w:ilvl="0" w:tplc="FEF2579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910BED"/>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abstractNum w:abstractNumId="25">
    <w:nsid w:val="62274164"/>
    <w:multiLevelType w:val="hybridMultilevel"/>
    <w:tmpl w:val="C2A2468A"/>
    <w:lvl w:ilvl="0" w:tplc="34090001">
      <w:start w:val="1"/>
      <w:numFmt w:val="bullet"/>
      <w:lvlText w:val=""/>
      <w:lvlJc w:val="left"/>
      <w:pPr>
        <w:ind w:left="1350" w:hanging="360"/>
      </w:pPr>
      <w:rPr>
        <w:rFonts w:ascii="Symbol" w:hAnsi="Symbol" w:hint="default"/>
      </w:rPr>
    </w:lvl>
    <w:lvl w:ilvl="1" w:tplc="34090003" w:tentative="1">
      <w:start w:val="1"/>
      <w:numFmt w:val="bullet"/>
      <w:lvlText w:val="o"/>
      <w:lvlJc w:val="left"/>
      <w:pPr>
        <w:ind w:left="2070" w:hanging="360"/>
      </w:pPr>
      <w:rPr>
        <w:rFonts w:ascii="Courier New" w:hAnsi="Courier New" w:cs="Courier New" w:hint="default"/>
      </w:rPr>
    </w:lvl>
    <w:lvl w:ilvl="2" w:tplc="34090005" w:tentative="1">
      <w:start w:val="1"/>
      <w:numFmt w:val="bullet"/>
      <w:lvlText w:val=""/>
      <w:lvlJc w:val="left"/>
      <w:pPr>
        <w:ind w:left="2790" w:hanging="360"/>
      </w:pPr>
      <w:rPr>
        <w:rFonts w:ascii="Wingdings" w:hAnsi="Wingdings" w:hint="default"/>
      </w:rPr>
    </w:lvl>
    <w:lvl w:ilvl="3" w:tplc="34090001" w:tentative="1">
      <w:start w:val="1"/>
      <w:numFmt w:val="bullet"/>
      <w:lvlText w:val=""/>
      <w:lvlJc w:val="left"/>
      <w:pPr>
        <w:ind w:left="3510" w:hanging="360"/>
      </w:pPr>
      <w:rPr>
        <w:rFonts w:ascii="Symbol" w:hAnsi="Symbol" w:hint="default"/>
      </w:rPr>
    </w:lvl>
    <w:lvl w:ilvl="4" w:tplc="34090003" w:tentative="1">
      <w:start w:val="1"/>
      <w:numFmt w:val="bullet"/>
      <w:lvlText w:val="o"/>
      <w:lvlJc w:val="left"/>
      <w:pPr>
        <w:ind w:left="4230" w:hanging="360"/>
      </w:pPr>
      <w:rPr>
        <w:rFonts w:ascii="Courier New" w:hAnsi="Courier New" w:cs="Courier New" w:hint="default"/>
      </w:rPr>
    </w:lvl>
    <w:lvl w:ilvl="5" w:tplc="34090005" w:tentative="1">
      <w:start w:val="1"/>
      <w:numFmt w:val="bullet"/>
      <w:lvlText w:val=""/>
      <w:lvlJc w:val="left"/>
      <w:pPr>
        <w:ind w:left="4950" w:hanging="360"/>
      </w:pPr>
      <w:rPr>
        <w:rFonts w:ascii="Wingdings" w:hAnsi="Wingdings" w:hint="default"/>
      </w:rPr>
    </w:lvl>
    <w:lvl w:ilvl="6" w:tplc="34090001" w:tentative="1">
      <w:start w:val="1"/>
      <w:numFmt w:val="bullet"/>
      <w:lvlText w:val=""/>
      <w:lvlJc w:val="left"/>
      <w:pPr>
        <w:ind w:left="5670" w:hanging="360"/>
      </w:pPr>
      <w:rPr>
        <w:rFonts w:ascii="Symbol" w:hAnsi="Symbol" w:hint="default"/>
      </w:rPr>
    </w:lvl>
    <w:lvl w:ilvl="7" w:tplc="34090003" w:tentative="1">
      <w:start w:val="1"/>
      <w:numFmt w:val="bullet"/>
      <w:lvlText w:val="o"/>
      <w:lvlJc w:val="left"/>
      <w:pPr>
        <w:ind w:left="6390" w:hanging="360"/>
      </w:pPr>
      <w:rPr>
        <w:rFonts w:ascii="Courier New" w:hAnsi="Courier New" w:cs="Courier New" w:hint="default"/>
      </w:rPr>
    </w:lvl>
    <w:lvl w:ilvl="8" w:tplc="34090005" w:tentative="1">
      <w:start w:val="1"/>
      <w:numFmt w:val="bullet"/>
      <w:lvlText w:val=""/>
      <w:lvlJc w:val="left"/>
      <w:pPr>
        <w:ind w:left="7110" w:hanging="360"/>
      </w:pPr>
      <w:rPr>
        <w:rFonts w:ascii="Wingdings" w:hAnsi="Wingdings" w:hint="default"/>
      </w:rPr>
    </w:lvl>
  </w:abstractNum>
  <w:abstractNum w:abstractNumId="26">
    <w:nsid w:val="65634CDC"/>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abstractNum w:abstractNumId="27">
    <w:nsid w:val="6DA05989"/>
    <w:multiLevelType w:val="hybridMultilevel"/>
    <w:tmpl w:val="F822F956"/>
    <w:lvl w:ilvl="0" w:tplc="16D2EDFC">
      <w:start w:val="1"/>
      <w:numFmt w:val="lowerRoman"/>
      <w:lvlText w:val="%1)"/>
      <w:lvlJc w:val="left"/>
      <w:pPr>
        <w:ind w:left="1080" w:hanging="72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EA0354A"/>
    <w:multiLevelType w:val="hybridMultilevel"/>
    <w:tmpl w:val="425E8F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2200EC6"/>
    <w:multiLevelType w:val="hybridMultilevel"/>
    <w:tmpl w:val="E4A63526"/>
    <w:lvl w:ilvl="0" w:tplc="5EC66C14">
      <w:start w:val="1"/>
      <w:numFmt w:val="lowerRoman"/>
      <w:lvlText w:val="%1)"/>
      <w:lvlJc w:val="left"/>
      <w:pPr>
        <w:ind w:left="1080" w:hanging="72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EDA390B"/>
    <w:multiLevelType w:val="hybridMultilevel"/>
    <w:tmpl w:val="E4147C4E"/>
    <w:lvl w:ilvl="0" w:tplc="F4D08E4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
  </w:num>
  <w:num w:numId="4">
    <w:abstractNumId w:val="23"/>
  </w:num>
  <w:num w:numId="5">
    <w:abstractNumId w:val="8"/>
  </w:num>
  <w:num w:numId="6">
    <w:abstractNumId w:val="15"/>
  </w:num>
  <w:num w:numId="7">
    <w:abstractNumId w:val="24"/>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5"/>
  </w:num>
  <w:num w:numId="19">
    <w:abstractNumId w:val="13"/>
  </w:num>
  <w:num w:numId="20">
    <w:abstractNumId w:val="9"/>
  </w:num>
  <w:num w:numId="21">
    <w:abstractNumId w:val="14"/>
  </w:num>
  <w:num w:numId="22">
    <w:abstractNumId w:val="12"/>
  </w:num>
  <w:num w:numId="23">
    <w:abstractNumId w:val="22"/>
  </w:num>
  <w:num w:numId="24">
    <w:abstractNumId w:val="0"/>
  </w:num>
  <w:num w:numId="25">
    <w:abstractNumId w:val="16"/>
  </w:num>
  <w:num w:numId="26">
    <w:abstractNumId w:val="1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8"/>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0"/>
  </w:num>
  <w:num w:numId="37">
    <w:abstractNumId w:val="10"/>
  </w:num>
  <w:num w:numId="38">
    <w:abstractNumId w:val="29"/>
  </w:num>
  <w:num w:numId="39">
    <w:abstractNumId w:val="18"/>
  </w:num>
  <w:num w:numId="40">
    <w:abstractNumId w:val="21"/>
  </w:num>
  <w:num w:numId="41">
    <w:abstractNumId w:val="2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5B94"/>
    <w:rsid w:val="0000773A"/>
    <w:rsid w:val="00010A05"/>
    <w:rsid w:val="00011582"/>
    <w:rsid w:val="00014A0D"/>
    <w:rsid w:val="000220F5"/>
    <w:rsid w:val="0003059F"/>
    <w:rsid w:val="00030715"/>
    <w:rsid w:val="00030A94"/>
    <w:rsid w:val="00032A8D"/>
    <w:rsid w:val="00033251"/>
    <w:rsid w:val="0003608F"/>
    <w:rsid w:val="00037D02"/>
    <w:rsid w:val="00040974"/>
    <w:rsid w:val="00042528"/>
    <w:rsid w:val="0004294A"/>
    <w:rsid w:val="00042BAB"/>
    <w:rsid w:val="00043CAA"/>
    <w:rsid w:val="000441FC"/>
    <w:rsid w:val="0004460F"/>
    <w:rsid w:val="0004620E"/>
    <w:rsid w:val="000470C9"/>
    <w:rsid w:val="0004758A"/>
    <w:rsid w:val="00051F1C"/>
    <w:rsid w:val="00057F9A"/>
    <w:rsid w:val="00061F27"/>
    <w:rsid w:val="0006549C"/>
    <w:rsid w:val="00070166"/>
    <w:rsid w:val="000723E6"/>
    <w:rsid w:val="00072591"/>
    <w:rsid w:val="00072CA2"/>
    <w:rsid w:val="00073B31"/>
    <w:rsid w:val="00075432"/>
    <w:rsid w:val="00075D80"/>
    <w:rsid w:val="00076C36"/>
    <w:rsid w:val="00077C04"/>
    <w:rsid w:val="00080586"/>
    <w:rsid w:val="00083F83"/>
    <w:rsid w:val="0008567C"/>
    <w:rsid w:val="00085DF9"/>
    <w:rsid w:val="00091D03"/>
    <w:rsid w:val="00093319"/>
    <w:rsid w:val="00093501"/>
    <w:rsid w:val="000968ED"/>
    <w:rsid w:val="000970D4"/>
    <w:rsid w:val="00097C6D"/>
    <w:rsid w:val="000A3CE1"/>
    <w:rsid w:val="000A4D2B"/>
    <w:rsid w:val="000A4FAA"/>
    <w:rsid w:val="000A519A"/>
    <w:rsid w:val="000A51EA"/>
    <w:rsid w:val="000A5697"/>
    <w:rsid w:val="000A798A"/>
    <w:rsid w:val="000B4A54"/>
    <w:rsid w:val="000B4AB5"/>
    <w:rsid w:val="000C02B4"/>
    <w:rsid w:val="000C23E9"/>
    <w:rsid w:val="000C23F2"/>
    <w:rsid w:val="000C259C"/>
    <w:rsid w:val="000C2BE0"/>
    <w:rsid w:val="000C4DA9"/>
    <w:rsid w:val="000C6164"/>
    <w:rsid w:val="000D5BF0"/>
    <w:rsid w:val="000E11A2"/>
    <w:rsid w:val="000E2CA1"/>
    <w:rsid w:val="000E3B3F"/>
    <w:rsid w:val="000E554A"/>
    <w:rsid w:val="000F116F"/>
    <w:rsid w:val="000F1C12"/>
    <w:rsid w:val="000F318D"/>
    <w:rsid w:val="000F5E56"/>
    <w:rsid w:val="000F6058"/>
    <w:rsid w:val="00100FD1"/>
    <w:rsid w:val="00102649"/>
    <w:rsid w:val="001030D3"/>
    <w:rsid w:val="0010620D"/>
    <w:rsid w:val="0010673D"/>
    <w:rsid w:val="00107C16"/>
    <w:rsid w:val="00110FEA"/>
    <w:rsid w:val="0011244F"/>
    <w:rsid w:val="00112DCF"/>
    <w:rsid w:val="00117EB3"/>
    <w:rsid w:val="001221F9"/>
    <w:rsid w:val="00123218"/>
    <w:rsid w:val="001278E3"/>
    <w:rsid w:val="0013051F"/>
    <w:rsid w:val="00135605"/>
    <w:rsid w:val="001359B5"/>
    <w:rsid w:val="001362EE"/>
    <w:rsid w:val="0013689D"/>
    <w:rsid w:val="001409FF"/>
    <w:rsid w:val="001465B5"/>
    <w:rsid w:val="00151F0B"/>
    <w:rsid w:val="001627C9"/>
    <w:rsid w:val="001647E2"/>
    <w:rsid w:val="001648D0"/>
    <w:rsid w:val="0016513C"/>
    <w:rsid w:val="001652BF"/>
    <w:rsid w:val="00171416"/>
    <w:rsid w:val="001722B2"/>
    <w:rsid w:val="00175B3C"/>
    <w:rsid w:val="00175ECB"/>
    <w:rsid w:val="00176A66"/>
    <w:rsid w:val="001815F2"/>
    <w:rsid w:val="001832A6"/>
    <w:rsid w:val="00184944"/>
    <w:rsid w:val="00187062"/>
    <w:rsid w:val="00187345"/>
    <w:rsid w:val="00194388"/>
    <w:rsid w:val="00195C9D"/>
    <w:rsid w:val="00196FB9"/>
    <w:rsid w:val="001A122F"/>
    <w:rsid w:val="001A3EB4"/>
    <w:rsid w:val="001A6D14"/>
    <w:rsid w:val="001B298F"/>
    <w:rsid w:val="001B52D5"/>
    <w:rsid w:val="001B61D4"/>
    <w:rsid w:val="001C1360"/>
    <w:rsid w:val="001C2509"/>
    <w:rsid w:val="001C44B8"/>
    <w:rsid w:val="001C4C2E"/>
    <w:rsid w:val="001C7A5E"/>
    <w:rsid w:val="001D454E"/>
    <w:rsid w:val="001D4E29"/>
    <w:rsid w:val="001D4FEC"/>
    <w:rsid w:val="001E0EF5"/>
    <w:rsid w:val="001E3B0C"/>
    <w:rsid w:val="001E433D"/>
    <w:rsid w:val="001E4EB6"/>
    <w:rsid w:val="001F23CD"/>
    <w:rsid w:val="001F29C6"/>
    <w:rsid w:val="001F3EA4"/>
    <w:rsid w:val="001F4B9F"/>
    <w:rsid w:val="002019D3"/>
    <w:rsid w:val="00201D29"/>
    <w:rsid w:val="002032F9"/>
    <w:rsid w:val="00207BD8"/>
    <w:rsid w:val="00211088"/>
    <w:rsid w:val="00211250"/>
    <w:rsid w:val="0021158F"/>
    <w:rsid w:val="0021217E"/>
    <w:rsid w:val="00213D0E"/>
    <w:rsid w:val="00215F05"/>
    <w:rsid w:val="00217516"/>
    <w:rsid w:val="00220ADD"/>
    <w:rsid w:val="00221BB4"/>
    <w:rsid w:val="00224B19"/>
    <w:rsid w:val="002264E4"/>
    <w:rsid w:val="002307BB"/>
    <w:rsid w:val="00230989"/>
    <w:rsid w:val="002310CC"/>
    <w:rsid w:val="00232AA8"/>
    <w:rsid w:val="002333E8"/>
    <w:rsid w:val="00233B73"/>
    <w:rsid w:val="00241594"/>
    <w:rsid w:val="00247E77"/>
    <w:rsid w:val="00252C23"/>
    <w:rsid w:val="00253D70"/>
    <w:rsid w:val="00257B9C"/>
    <w:rsid w:val="00260360"/>
    <w:rsid w:val="002634C4"/>
    <w:rsid w:val="002673A0"/>
    <w:rsid w:val="00270C92"/>
    <w:rsid w:val="002728C2"/>
    <w:rsid w:val="00272B88"/>
    <w:rsid w:val="00274F74"/>
    <w:rsid w:val="00275D73"/>
    <w:rsid w:val="00277E72"/>
    <w:rsid w:val="00282A1B"/>
    <w:rsid w:val="0028371B"/>
    <w:rsid w:val="002865A5"/>
    <w:rsid w:val="00290269"/>
    <w:rsid w:val="0029066E"/>
    <w:rsid w:val="002924AD"/>
    <w:rsid w:val="002928D3"/>
    <w:rsid w:val="00292AF7"/>
    <w:rsid w:val="00292B7F"/>
    <w:rsid w:val="002930C1"/>
    <w:rsid w:val="002937A8"/>
    <w:rsid w:val="002A19B2"/>
    <w:rsid w:val="002A6A43"/>
    <w:rsid w:val="002A7FEB"/>
    <w:rsid w:val="002B2ADC"/>
    <w:rsid w:val="002C0C50"/>
    <w:rsid w:val="002C31F5"/>
    <w:rsid w:val="002D3562"/>
    <w:rsid w:val="002E2252"/>
    <w:rsid w:val="002F1FE6"/>
    <w:rsid w:val="002F3036"/>
    <w:rsid w:val="002F4E68"/>
    <w:rsid w:val="00305EC9"/>
    <w:rsid w:val="003102D7"/>
    <w:rsid w:val="00310E09"/>
    <w:rsid w:val="00312F7F"/>
    <w:rsid w:val="00314710"/>
    <w:rsid w:val="003166D7"/>
    <w:rsid w:val="00317F4D"/>
    <w:rsid w:val="00320BD6"/>
    <w:rsid w:val="003212C2"/>
    <w:rsid w:val="003305A5"/>
    <w:rsid w:val="00333654"/>
    <w:rsid w:val="00345C94"/>
    <w:rsid w:val="00347E3E"/>
    <w:rsid w:val="0035027E"/>
    <w:rsid w:val="003507E9"/>
    <w:rsid w:val="003520C8"/>
    <w:rsid w:val="003538AE"/>
    <w:rsid w:val="00354E42"/>
    <w:rsid w:val="00357B47"/>
    <w:rsid w:val="0036071C"/>
    <w:rsid w:val="00361450"/>
    <w:rsid w:val="00361792"/>
    <w:rsid w:val="00361B8E"/>
    <w:rsid w:val="003627CA"/>
    <w:rsid w:val="003637BE"/>
    <w:rsid w:val="003640E6"/>
    <w:rsid w:val="003642DC"/>
    <w:rsid w:val="0036492A"/>
    <w:rsid w:val="003663A6"/>
    <w:rsid w:val="00366D73"/>
    <w:rsid w:val="003670AB"/>
    <w:rsid w:val="003673CF"/>
    <w:rsid w:val="003702DE"/>
    <w:rsid w:val="0037052C"/>
    <w:rsid w:val="003710E8"/>
    <w:rsid w:val="00375E56"/>
    <w:rsid w:val="00381D9C"/>
    <w:rsid w:val="003845C1"/>
    <w:rsid w:val="0038696D"/>
    <w:rsid w:val="00391FD1"/>
    <w:rsid w:val="003920D9"/>
    <w:rsid w:val="00395E6F"/>
    <w:rsid w:val="00397189"/>
    <w:rsid w:val="003A3B8C"/>
    <w:rsid w:val="003A6F89"/>
    <w:rsid w:val="003A76E1"/>
    <w:rsid w:val="003B0564"/>
    <w:rsid w:val="003B139D"/>
    <w:rsid w:val="003B1640"/>
    <w:rsid w:val="003B1E71"/>
    <w:rsid w:val="003B3463"/>
    <w:rsid w:val="003B38C1"/>
    <w:rsid w:val="003C2260"/>
    <w:rsid w:val="003C2E09"/>
    <w:rsid w:val="003C6BB6"/>
    <w:rsid w:val="003D1997"/>
    <w:rsid w:val="003D6081"/>
    <w:rsid w:val="003D7AB3"/>
    <w:rsid w:val="003E0D15"/>
    <w:rsid w:val="003E1B21"/>
    <w:rsid w:val="003E2AF1"/>
    <w:rsid w:val="003E581F"/>
    <w:rsid w:val="003F0ED9"/>
    <w:rsid w:val="00401505"/>
    <w:rsid w:val="004028E6"/>
    <w:rsid w:val="004053B2"/>
    <w:rsid w:val="00405523"/>
    <w:rsid w:val="00405861"/>
    <w:rsid w:val="004066F3"/>
    <w:rsid w:val="00410949"/>
    <w:rsid w:val="00411721"/>
    <w:rsid w:val="004118AE"/>
    <w:rsid w:val="004131DF"/>
    <w:rsid w:val="00416165"/>
    <w:rsid w:val="00416187"/>
    <w:rsid w:val="0041671B"/>
    <w:rsid w:val="00421D86"/>
    <w:rsid w:val="00421E21"/>
    <w:rsid w:val="00422903"/>
    <w:rsid w:val="00423E3E"/>
    <w:rsid w:val="00425DB0"/>
    <w:rsid w:val="004274C1"/>
    <w:rsid w:val="00427AF4"/>
    <w:rsid w:val="00431144"/>
    <w:rsid w:val="004342DD"/>
    <w:rsid w:val="00435040"/>
    <w:rsid w:val="004352E9"/>
    <w:rsid w:val="004418D6"/>
    <w:rsid w:val="00441EC9"/>
    <w:rsid w:val="00442A9D"/>
    <w:rsid w:val="00443DD3"/>
    <w:rsid w:val="00447CCB"/>
    <w:rsid w:val="00453FDB"/>
    <w:rsid w:val="004562EA"/>
    <w:rsid w:val="00456653"/>
    <w:rsid w:val="00463BA2"/>
    <w:rsid w:val="0046424F"/>
    <w:rsid w:val="004647DA"/>
    <w:rsid w:val="00472429"/>
    <w:rsid w:val="00473A55"/>
    <w:rsid w:val="00474062"/>
    <w:rsid w:val="0047651D"/>
    <w:rsid w:val="004775FA"/>
    <w:rsid w:val="00477D6B"/>
    <w:rsid w:val="00480FDE"/>
    <w:rsid w:val="00482034"/>
    <w:rsid w:val="00483D66"/>
    <w:rsid w:val="004857F8"/>
    <w:rsid w:val="00485902"/>
    <w:rsid w:val="00486ED1"/>
    <w:rsid w:val="00496DD1"/>
    <w:rsid w:val="0049798F"/>
    <w:rsid w:val="004A1743"/>
    <w:rsid w:val="004A360A"/>
    <w:rsid w:val="004A5A8E"/>
    <w:rsid w:val="004A7ACE"/>
    <w:rsid w:val="004B3D85"/>
    <w:rsid w:val="004B67B8"/>
    <w:rsid w:val="004C3639"/>
    <w:rsid w:val="004C5C7D"/>
    <w:rsid w:val="004C64C5"/>
    <w:rsid w:val="004C7BE6"/>
    <w:rsid w:val="004C7C3B"/>
    <w:rsid w:val="004D052A"/>
    <w:rsid w:val="004D7D08"/>
    <w:rsid w:val="004E34D3"/>
    <w:rsid w:val="004E5E6F"/>
    <w:rsid w:val="004E6324"/>
    <w:rsid w:val="004E74DB"/>
    <w:rsid w:val="004F37D1"/>
    <w:rsid w:val="004F438C"/>
    <w:rsid w:val="004F5D9A"/>
    <w:rsid w:val="004F6304"/>
    <w:rsid w:val="004F74E6"/>
    <w:rsid w:val="0050186B"/>
    <w:rsid w:val="005019FF"/>
    <w:rsid w:val="005057D0"/>
    <w:rsid w:val="005065EE"/>
    <w:rsid w:val="00506B32"/>
    <w:rsid w:val="00510361"/>
    <w:rsid w:val="00514DF5"/>
    <w:rsid w:val="00515E04"/>
    <w:rsid w:val="0051794F"/>
    <w:rsid w:val="00520F44"/>
    <w:rsid w:val="00521386"/>
    <w:rsid w:val="0052597A"/>
    <w:rsid w:val="0053057A"/>
    <w:rsid w:val="00531628"/>
    <w:rsid w:val="00534B03"/>
    <w:rsid w:val="005458BC"/>
    <w:rsid w:val="0054673C"/>
    <w:rsid w:val="00546AD3"/>
    <w:rsid w:val="00547591"/>
    <w:rsid w:val="00551AF6"/>
    <w:rsid w:val="00552E21"/>
    <w:rsid w:val="00552F24"/>
    <w:rsid w:val="00552F2D"/>
    <w:rsid w:val="0055313D"/>
    <w:rsid w:val="005543FD"/>
    <w:rsid w:val="0056061D"/>
    <w:rsid w:val="00560A29"/>
    <w:rsid w:val="0056317F"/>
    <w:rsid w:val="0056456B"/>
    <w:rsid w:val="0057050A"/>
    <w:rsid w:val="0057398B"/>
    <w:rsid w:val="005739C3"/>
    <w:rsid w:val="00574A0F"/>
    <w:rsid w:val="00577E99"/>
    <w:rsid w:val="00582A3D"/>
    <w:rsid w:val="0058578A"/>
    <w:rsid w:val="0059439F"/>
    <w:rsid w:val="00594C71"/>
    <w:rsid w:val="00597578"/>
    <w:rsid w:val="005A11EA"/>
    <w:rsid w:val="005A40B2"/>
    <w:rsid w:val="005A5527"/>
    <w:rsid w:val="005A6B4A"/>
    <w:rsid w:val="005B0315"/>
    <w:rsid w:val="005B0C2C"/>
    <w:rsid w:val="005B2F44"/>
    <w:rsid w:val="005B3167"/>
    <w:rsid w:val="005B41C8"/>
    <w:rsid w:val="005B4EDE"/>
    <w:rsid w:val="005B5812"/>
    <w:rsid w:val="005B74F1"/>
    <w:rsid w:val="005B767C"/>
    <w:rsid w:val="005C3434"/>
    <w:rsid w:val="005C40A3"/>
    <w:rsid w:val="005C5CFF"/>
    <w:rsid w:val="005C6649"/>
    <w:rsid w:val="005C6D81"/>
    <w:rsid w:val="005D2561"/>
    <w:rsid w:val="005D5771"/>
    <w:rsid w:val="005E4EA6"/>
    <w:rsid w:val="005F1689"/>
    <w:rsid w:val="005F3FE3"/>
    <w:rsid w:val="005F5096"/>
    <w:rsid w:val="005F6034"/>
    <w:rsid w:val="005F698D"/>
    <w:rsid w:val="00602795"/>
    <w:rsid w:val="00605827"/>
    <w:rsid w:val="00607177"/>
    <w:rsid w:val="0060764A"/>
    <w:rsid w:val="006109F4"/>
    <w:rsid w:val="00620F7F"/>
    <w:rsid w:val="006214C6"/>
    <w:rsid w:val="0062210F"/>
    <w:rsid w:val="00625FEF"/>
    <w:rsid w:val="00633034"/>
    <w:rsid w:val="00633255"/>
    <w:rsid w:val="00635C1F"/>
    <w:rsid w:val="00642332"/>
    <w:rsid w:val="00643D92"/>
    <w:rsid w:val="00645F37"/>
    <w:rsid w:val="00646050"/>
    <w:rsid w:val="00646742"/>
    <w:rsid w:val="00647C29"/>
    <w:rsid w:val="00654865"/>
    <w:rsid w:val="00656F69"/>
    <w:rsid w:val="00661D9E"/>
    <w:rsid w:val="00662F00"/>
    <w:rsid w:val="00664CE1"/>
    <w:rsid w:val="0066574A"/>
    <w:rsid w:val="006668A6"/>
    <w:rsid w:val="00666EDB"/>
    <w:rsid w:val="00666EE6"/>
    <w:rsid w:val="006713CA"/>
    <w:rsid w:val="00672F78"/>
    <w:rsid w:val="00675770"/>
    <w:rsid w:val="00676C5C"/>
    <w:rsid w:val="00681E28"/>
    <w:rsid w:val="00682614"/>
    <w:rsid w:val="006828AC"/>
    <w:rsid w:val="006833C6"/>
    <w:rsid w:val="00683F92"/>
    <w:rsid w:val="0068660C"/>
    <w:rsid w:val="00691B87"/>
    <w:rsid w:val="00691F11"/>
    <w:rsid w:val="00692777"/>
    <w:rsid w:val="00693052"/>
    <w:rsid w:val="006A193D"/>
    <w:rsid w:val="006A33AF"/>
    <w:rsid w:val="006A78DE"/>
    <w:rsid w:val="006A7C6B"/>
    <w:rsid w:val="006B0AB1"/>
    <w:rsid w:val="006B0DD3"/>
    <w:rsid w:val="006B353F"/>
    <w:rsid w:val="006B744E"/>
    <w:rsid w:val="006B78EA"/>
    <w:rsid w:val="006C4207"/>
    <w:rsid w:val="006C7878"/>
    <w:rsid w:val="006D383F"/>
    <w:rsid w:val="006D7CB2"/>
    <w:rsid w:val="006D7F53"/>
    <w:rsid w:val="006E065A"/>
    <w:rsid w:val="006E0833"/>
    <w:rsid w:val="006E34FD"/>
    <w:rsid w:val="006E514A"/>
    <w:rsid w:val="006E62E5"/>
    <w:rsid w:val="006E7502"/>
    <w:rsid w:val="006F17AA"/>
    <w:rsid w:val="006F2B36"/>
    <w:rsid w:val="006F2F47"/>
    <w:rsid w:val="006F7F12"/>
    <w:rsid w:val="006F7F91"/>
    <w:rsid w:val="0070428F"/>
    <w:rsid w:val="007076EE"/>
    <w:rsid w:val="00710A2F"/>
    <w:rsid w:val="007121D4"/>
    <w:rsid w:val="00712BCF"/>
    <w:rsid w:val="00714DDF"/>
    <w:rsid w:val="00716734"/>
    <w:rsid w:val="00721515"/>
    <w:rsid w:val="00722000"/>
    <w:rsid w:val="00722A70"/>
    <w:rsid w:val="00723CE0"/>
    <w:rsid w:val="00723E55"/>
    <w:rsid w:val="007242B6"/>
    <w:rsid w:val="00726FB6"/>
    <w:rsid w:val="00731778"/>
    <w:rsid w:val="00733577"/>
    <w:rsid w:val="00736EFD"/>
    <w:rsid w:val="00737494"/>
    <w:rsid w:val="00747428"/>
    <w:rsid w:val="007477B4"/>
    <w:rsid w:val="0075407D"/>
    <w:rsid w:val="0075685D"/>
    <w:rsid w:val="0076386B"/>
    <w:rsid w:val="0076487A"/>
    <w:rsid w:val="007737BE"/>
    <w:rsid w:val="0077387E"/>
    <w:rsid w:val="00776992"/>
    <w:rsid w:val="00776BB7"/>
    <w:rsid w:val="00780FCE"/>
    <w:rsid w:val="007846AD"/>
    <w:rsid w:val="007856C2"/>
    <w:rsid w:val="0078650C"/>
    <w:rsid w:val="00786B79"/>
    <w:rsid w:val="00792B6B"/>
    <w:rsid w:val="00792F86"/>
    <w:rsid w:val="00794632"/>
    <w:rsid w:val="007A0848"/>
    <w:rsid w:val="007A25BA"/>
    <w:rsid w:val="007A317D"/>
    <w:rsid w:val="007A4FEC"/>
    <w:rsid w:val="007A502A"/>
    <w:rsid w:val="007A6CF8"/>
    <w:rsid w:val="007A7152"/>
    <w:rsid w:val="007B293D"/>
    <w:rsid w:val="007B307B"/>
    <w:rsid w:val="007B58BD"/>
    <w:rsid w:val="007C1C0F"/>
    <w:rsid w:val="007C2F3B"/>
    <w:rsid w:val="007C3663"/>
    <w:rsid w:val="007C481A"/>
    <w:rsid w:val="007C7311"/>
    <w:rsid w:val="007C7706"/>
    <w:rsid w:val="007D1613"/>
    <w:rsid w:val="007D3046"/>
    <w:rsid w:val="007D3C32"/>
    <w:rsid w:val="007D402F"/>
    <w:rsid w:val="007D51E6"/>
    <w:rsid w:val="007D577C"/>
    <w:rsid w:val="007D6944"/>
    <w:rsid w:val="007D6BB1"/>
    <w:rsid w:val="007E062E"/>
    <w:rsid w:val="007E30EC"/>
    <w:rsid w:val="007E34F2"/>
    <w:rsid w:val="007E4C0E"/>
    <w:rsid w:val="007E7C41"/>
    <w:rsid w:val="007F57A6"/>
    <w:rsid w:val="007F7CCC"/>
    <w:rsid w:val="00800D3C"/>
    <w:rsid w:val="00801104"/>
    <w:rsid w:val="00805F46"/>
    <w:rsid w:val="0081046C"/>
    <w:rsid w:val="008153C0"/>
    <w:rsid w:val="008156CE"/>
    <w:rsid w:val="00822A65"/>
    <w:rsid w:val="00827409"/>
    <w:rsid w:val="00827C1D"/>
    <w:rsid w:val="008303F5"/>
    <w:rsid w:val="0083159A"/>
    <w:rsid w:val="0083574C"/>
    <w:rsid w:val="008359DF"/>
    <w:rsid w:val="00837953"/>
    <w:rsid w:val="00847E7C"/>
    <w:rsid w:val="00852467"/>
    <w:rsid w:val="0086586B"/>
    <w:rsid w:val="00867349"/>
    <w:rsid w:val="00871F80"/>
    <w:rsid w:val="00872565"/>
    <w:rsid w:val="00872D5A"/>
    <w:rsid w:val="00872D64"/>
    <w:rsid w:val="00875996"/>
    <w:rsid w:val="00883953"/>
    <w:rsid w:val="00895968"/>
    <w:rsid w:val="008A2D6E"/>
    <w:rsid w:val="008B03BB"/>
    <w:rsid w:val="008B2CC1"/>
    <w:rsid w:val="008B4E3E"/>
    <w:rsid w:val="008B50A2"/>
    <w:rsid w:val="008B60B2"/>
    <w:rsid w:val="008C097B"/>
    <w:rsid w:val="008C1458"/>
    <w:rsid w:val="008C18FD"/>
    <w:rsid w:val="008D05D0"/>
    <w:rsid w:val="008D234B"/>
    <w:rsid w:val="008D59A2"/>
    <w:rsid w:val="008D5FDF"/>
    <w:rsid w:val="008E0C57"/>
    <w:rsid w:val="008E355F"/>
    <w:rsid w:val="008E62F9"/>
    <w:rsid w:val="008E7550"/>
    <w:rsid w:val="008F00B2"/>
    <w:rsid w:val="008F0AF6"/>
    <w:rsid w:val="008F0B8C"/>
    <w:rsid w:val="008F2613"/>
    <w:rsid w:val="008F73FC"/>
    <w:rsid w:val="008F7E52"/>
    <w:rsid w:val="009002D1"/>
    <w:rsid w:val="00904D53"/>
    <w:rsid w:val="00906442"/>
    <w:rsid w:val="0090731E"/>
    <w:rsid w:val="00907B91"/>
    <w:rsid w:val="0091144E"/>
    <w:rsid w:val="00912FBE"/>
    <w:rsid w:val="009136B4"/>
    <w:rsid w:val="009159C5"/>
    <w:rsid w:val="00916EE2"/>
    <w:rsid w:val="009226D2"/>
    <w:rsid w:val="00924E30"/>
    <w:rsid w:val="00931173"/>
    <w:rsid w:val="00931AC5"/>
    <w:rsid w:val="00931DD0"/>
    <w:rsid w:val="0093248F"/>
    <w:rsid w:val="0093387A"/>
    <w:rsid w:val="00935DFE"/>
    <w:rsid w:val="00935E44"/>
    <w:rsid w:val="00943FD9"/>
    <w:rsid w:val="00946B22"/>
    <w:rsid w:val="00946B3C"/>
    <w:rsid w:val="009476F9"/>
    <w:rsid w:val="00947F5F"/>
    <w:rsid w:val="00950BFB"/>
    <w:rsid w:val="009514A3"/>
    <w:rsid w:val="00951648"/>
    <w:rsid w:val="009516F3"/>
    <w:rsid w:val="00951BDD"/>
    <w:rsid w:val="00955707"/>
    <w:rsid w:val="00957346"/>
    <w:rsid w:val="00957754"/>
    <w:rsid w:val="0095777F"/>
    <w:rsid w:val="00957C62"/>
    <w:rsid w:val="0096012F"/>
    <w:rsid w:val="00966A22"/>
    <w:rsid w:val="0096722F"/>
    <w:rsid w:val="00967A4E"/>
    <w:rsid w:val="00972219"/>
    <w:rsid w:val="009722D2"/>
    <w:rsid w:val="00977BE2"/>
    <w:rsid w:val="009801DF"/>
    <w:rsid w:val="0098082C"/>
    <w:rsid w:val="00980843"/>
    <w:rsid w:val="009816C5"/>
    <w:rsid w:val="00981E43"/>
    <w:rsid w:val="009833C8"/>
    <w:rsid w:val="00983CEB"/>
    <w:rsid w:val="009861A9"/>
    <w:rsid w:val="009938D2"/>
    <w:rsid w:val="00993B2D"/>
    <w:rsid w:val="0099471F"/>
    <w:rsid w:val="009957CB"/>
    <w:rsid w:val="009B032E"/>
    <w:rsid w:val="009B06BA"/>
    <w:rsid w:val="009B3531"/>
    <w:rsid w:val="009B3C93"/>
    <w:rsid w:val="009B43AA"/>
    <w:rsid w:val="009B6023"/>
    <w:rsid w:val="009C0BAA"/>
    <w:rsid w:val="009C0D88"/>
    <w:rsid w:val="009C2F3C"/>
    <w:rsid w:val="009C57A0"/>
    <w:rsid w:val="009C5FE5"/>
    <w:rsid w:val="009C62BD"/>
    <w:rsid w:val="009D01D8"/>
    <w:rsid w:val="009D10F7"/>
    <w:rsid w:val="009D24EE"/>
    <w:rsid w:val="009D4D67"/>
    <w:rsid w:val="009E218C"/>
    <w:rsid w:val="009E2791"/>
    <w:rsid w:val="009E3F6F"/>
    <w:rsid w:val="009E7CC2"/>
    <w:rsid w:val="009F420E"/>
    <w:rsid w:val="009F499F"/>
    <w:rsid w:val="00A0551C"/>
    <w:rsid w:val="00A12A08"/>
    <w:rsid w:val="00A12B7B"/>
    <w:rsid w:val="00A131B0"/>
    <w:rsid w:val="00A15D47"/>
    <w:rsid w:val="00A2004C"/>
    <w:rsid w:val="00A22EB7"/>
    <w:rsid w:val="00A31137"/>
    <w:rsid w:val="00A316D4"/>
    <w:rsid w:val="00A316DE"/>
    <w:rsid w:val="00A347B6"/>
    <w:rsid w:val="00A36BF7"/>
    <w:rsid w:val="00A42DAF"/>
    <w:rsid w:val="00A44935"/>
    <w:rsid w:val="00A4537B"/>
    <w:rsid w:val="00A454FC"/>
    <w:rsid w:val="00A45BD8"/>
    <w:rsid w:val="00A46886"/>
    <w:rsid w:val="00A51E72"/>
    <w:rsid w:val="00A54186"/>
    <w:rsid w:val="00A548A5"/>
    <w:rsid w:val="00A57DC9"/>
    <w:rsid w:val="00A625B4"/>
    <w:rsid w:val="00A63745"/>
    <w:rsid w:val="00A63DD6"/>
    <w:rsid w:val="00A64BA0"/>
    <w:rsid w:val="00A674A9"/>
    <w:rsid w:val="00A70E10"/>
    <w:rsid w:val="00A72AD3"/>
    <w:rsid w:val="00A73BBF"/>
    <w:rsid w:val="00A775EA"/>
    <w:rsid w:val="00A7760F"/>
    <w:rsid w:val="00A8046D"/>
    <w:rsid w:val="00A82F5D"/>
    <w:rsid w:val="00A869B7"/>
    <w:rsid w:val="00A92372"/>
    <w:rsid w:val="00A931EB"/>
    <w:rsid w:val="00A93FC2"/>
    <w:rsid w:val="00AA1CC9"/>
    <w:rsid w:val="00AA1EED"/>
    <w:rsid w:val="00AA26CD"/>
    <w:rsid w:val="00AA42FF"/>
    <w:rsid w:val="00AA4AF2"/>
    <w:rsid w:val="00AA5F79"/>
    <w:rsid w:val="00AB46E8"/>
    <w:rsid w:val="00AB749A"/>
    <w:rsid w:val="00AB75C2"/>
    <w:rsid w:val="00AC03E3"/>
    <w:rsid w:val="00AC205C"/>
    <w:rsid w:val="00AC48BD"/>
    <w:rsid w:val="00AC5151"/>
    <w:rsid w:val="00AC6FC2"/>
    <w:rsid w:val="00AD3613"/>
    <w:rsid w:val="00AD4C1A"/>
    <w:rsid w:val="00AE09E2"/>
    <w:rsid w:val="00AE1BEC"/>
    <w:rsid w:val="00AE1FC6"/>
    <w:rsid w:val="00AE5D32"/>
    <w:rsid w:val="00AE6E8D"/>
    <w:rsid w:val="00AF089D"/>
    <w:rsid w:val="00AF0A6B"/>
    <w:rsid w:val="00AF0F4D"/>
    <w:rsid w:val="00AF2015"/>
    <w:rsid w:val="00AF3654"/>
    <w:rsid w:val="00AF6D4E"/>
    <w:rsid w:val="00AF71B3"/>
    <w:rsid w:val="00B00E4F"/>
    <w:rsid w:val="00B04EB3"/>
    <w:rsid w:val="00B04F58"/>
    <w:rsid w:val="00B057B3"/>
    <w:rsid w:val="00B05A69"/>
    <w:rsid w:val="00B07006"/>
    <w:rsid w:val="00B115D5"/>
    <w:rsid w:val="00B15AE1"/>
    <w:rsid w:val="00B15E35"/>
    <w:rsid w:val="00B17553"/>
    <w:rsid w:val="00B20712"/>
    <w:rsid w:val="00B24847"/>
    <w:rsid w:val="00B25682"/>
    <w:rsid w:val="00B258E3"/>
    <w:rsid w:val="00B259FB"/>
    <w:rsid w:val="00B30B4C"/>
    <w:rsid w:val="00B3300E"/>
    <w:rsid w:val="00B33ED9"/>
    <w:rsid w:val="00B3560F"/>
    <w:rsid w:val="00B37A62"/>
    <w:rsid w:val="00B4216E"/>
    <w:rsid w:val="00B4275F"/>
    <w:rsid w:val="00B46BC5"/>
    <w:rsid w:val="00B47641"/>
    <w:rsid w:val="00B50E74"/>
    <w:rsid w:val="00B55F82"/>
    <w:rsid w:val="00B56B70"/>
    <w:rsid w:val="00B60940"/>
    <w:rsid w:val="00B60F3F"/>
    <w:rsid w:val="00B6318A"/>
    <w:rsid w:val="00B63379"/>
    <w:rsid w:val="00B63EEB"/>
    <w:rsid w:val="00B71CEE"/>
    <w:rsid w:val="00B74610"/>
    <w:rsid w:val="00B752CD"/>
    <w:rsid w:val="00B75889"/>
    <w:rsid w:val="00B77D6A"/>
    <w:rsid w:val="00B81715"/>
    <w:rsid w:val="00B82620"/>
    <w:rsid w:val="00B82AED"/>
    <w:rsid w:val="00B86063"/>
    <w:rsid w:val="00B868E5"/>
    <w:rsid w:val="00B921B6"/>
    <w:rsid w:val="00B95202"/>
    <w:rsid w:val="00B9555C"/>
    <w:rsid w:val="00B95B03"/>
    <w:rsid w:val="00B96A11"/>
    <w:rsid w:val="00B9734B"/>
    <w:rsid w:val="00BA1AD1"/>
    <w:rsid w:val="00BA30E2"/>
    <w:rsid w:val="00BA39F6"/>
    <w:rsid w:val="00BA6449"/>
    <w:rsid w:val="00BB01DE"/>
    <w:rsid w:val="00BB28AA"/>
    <w:rsid w:val="00BC1DC7"/>
    <w:rsid w:val="00BC3CD7"/>
    <w:rsid w:val="00BC4375"/>
    <w:rsid w:val="00BD078D"/>
    <w:rsid w:val="00BD1E48"/>
    <w:rsid w:val="00BD309E"/>
    <w:rsid w:val="00BD7A96"/>
    <w:rsid w:val="00BE4961"/>
    <w:rsid w:val="00BF0392"/>
    <w:rsid w:val="00BF1AE6"/>
    <w:rsid w:val="00BF4C01"/>
    <w:rsid w:val="00C01F95"/>
    <w:rsid w:val="00C07AA5"/>
    <w:rsid w:val="00C10F28"/>
    <w:rsid w:val="00C11BFE"/>
    <w:rsid w:val="00C135CC"/>
    <w:rsid w:val="00C15472"/>
    <w:rsid w:val="00C164DD"/>
    <w:rsid w:val="00C16B9D"/>
    <w:rsid w:val="00C17BED"/>
    <w:rsid w:val="00C21C0E"/>
    <w:rsid w:val="00C245E4"/>
    <w:rsid w:val="00C26D4A"/>
    <w:rsid w:val="00C301AD"/>
    <w:rsid w:val="00C33DFC"/>
    <w:rsid w:val="00C35CD6"/>
    <w:rsid w:val="00C37090"/>
    <w:rsid w:val="00C37C03"/>
    <w:rsid w:val="00C42D06"/>
    <w:rsid w:val="00C44A62"/>
    <w:rsid w:val="00C46DD0"/>
    <w:rsid w:val="00C5068F"/>
    <w:rsid w:val="00C50A07"/>
    <w:rsid w:val="00C53ACC"/>
    <w:rsid w:val="00C56398"/>
    <w:rsid w:val="00C563F1"/>
    <w:rsid w:val="00C650A4"/>
    <w:rsid w:val="00C657B8"/>
    <w:rsid w:val="00C70FF2"/>
    <w:rsid w:val="00C720FD"/>
    <w:rsid w:val="00C73EB9"/>
    <w:rsid w:val="00C747B0"/>
    <w:rsid w:val="00C75CA5"/>
    <w:rsid w:val="00C8116F"/>
    <w:rsid w:val="00C8490D"/>
    <w:rsid w:val="00C86E08"/>
    <w:rsid w:val="00C953A8"/>
    <w:rsid w:val="00C95C9F"/>
    <w:rsid w:val="00C96354"/>
    <w:rsid w:val="00C9694C"/>
    <w:rsid w:val="00C97FB6"/>
    <w:rsid w:val="00CA1491"/>
    <w:rsid w:val="00CA4D45"/>
    <w:rsid w:val="00CA7666"/>
    <w:rsid w:val="00CB2621"/>
    <w:rsid w:val="00CB294E"/>
    <w:rsid w:val="00CB41DB"/>
    <w:rsid w:val="00CB6114"/>
    <w:rsid w:val="00CC2CE6"/>
    <w:rsid w:val="00CC5CD3"/>
    <w:rsid w:val="00CD04F1"/>
    <w:rsid w:val="00CD0DA8"/>
    <w:rsid w:val="00CE1E17"/>
    <w:rsid w:val="00CE2671"/>
    <w:rsid w:val="00CE44B3"/>
    <w:rsid w:val="00CE4603"/>
    <w:rsid w:val="00CE47E1"/>
    <w:rsid w:val="00CE7BC1"/>
    <w:rsid w:val="00CE7DB5"/>
    <w:rsid w:val="00CF296B"/>
    <w:rsid w:val="00CF31F7"/>
    <w:rsid w:val="00D0091F"/>
    <w:rsid w:val="00D021D5"/>
    <w:rsid w:val="00D122E0"/>
    <w:rsid w:val="00D14A08"/>
    <w:rsid w:val="00D179F9"/>
    <w:rsid w:val="00D20E8B"/>
    <w:rsid w:val="00D22D8B"/>
    <w:rsid w:val="00D25ABA"/>
    <w:rsid w:val="00D26E87"/>
    <w:rsid w:val="00D271D1"/>
    <w:rsid w:val="00D27451"/>
    <w:rsid w:val="00D30D72"/>
    <w:rsid w:val="00D35A65"/>
    <w:rsid w:val="00D4458E"/>
    <w:rsid w:val="00D45252"/>
    <w:rsid w:val="00D45D16"/>
    <w:rsid w:val="00D51E66"/>
    <w:rsid w:val="00D5250D"/>
    <w:rsid w:val="00D5382D"/>
    <w:rsid w:val="00D549AE"/>
    <w:rsid w:val="00D55013"/>
    <w:rsid w:val="00D55ADE"/>
    <w:rsid w:val="00D60E02"/>
    <w:rsid w:val="00D62DE0"/>
    <w:rsid w:val="00D65099"/>
    <w:rsid w:val="00D6718D"/>
    <w:rsid w:val="00D7047A"/>
    <w:rsid w:val="00D71B4D"/>
    <w:rsid w:val="00D80D43"/>
    <w:rsid w:val="00D810A6"/>
    <w:rsid w:val="00D8447B"/>
    <w:rsid w:val="00D86D8B"/>
    <w:rsid w:val="00D873AD"/>
    <w:rsid w:val="00D91102"/>
    <w:rsid w:val="00D93D55"/>
    <w:rsid w:val="00D95228"/>
    <w:rsid w:val="00D97878"/>
    <w:rsid w:val="00DA0278"/>
    <w:rsid w:val="00DA07A9"/>
    <w:rsid w:val="00DB17BC"/>
    <w:rsid w:val="00DB18C5"/>
    <w:rsid w:val="00DB2323"/>
    <w:rsid w:val="00DB5576"/>
    <w:rsid w:val="00DB682F"/>
    <w:rsid w:val="00DC2896"/>
    <w:rsid w:val="00DC2C80"/>
    <w:rsid w:val="00DC68EA"/>
    <w:rsid w:val="00DD07F8"/>
    <w:rsid w:val="00DD43AE"/>
    <w:rsid w:val="00DD60F3"/>
    <w:rsid w:val="00DE0307"/>
    <w:rsid w:val="00DE1070"/>
    <w:rsid w:val="00DE1866"/>
    <w:rsid w:val="00DE189E"/>
    <w:rsid w:val="00DE417F"/>
    <w:rsid w:val="00DE6B29"/>
    <w:rsid w:val="00DE703B"/>
    <w:rsid w:val="00DF07E7"/>
    <w:rsid w:val="00DF2265"/>
    <w:rsid w:val="00DF411E"/>
    <w:rsid w:val="00DF7EA8"/>
    <w:rsid w:val="00E00466"/>
    <w:rsid w:val="00E03DD4"/>
    <w:rsid w:val="00E05B45"/>
    <w:rsid w:val="00E06ABF"/>
    <w:rsid w:val="00E06DFF"/>
    <w:rsid w:val="00E11789"/>
    <w:rsid w:val="00E11D8E"/>
    <w:rsid w:val="00E148BE"/>
    <w:rsid w:val="00E15015"/>
    <w:rsid w:val="00E15981"/>
    <w:rsid w:val="00E16AC9"/>
    <w:rsid w:val="00E1789C"/>
    <w:rsid w:val="00E17C3F"/>
    <w:rsid w:val="00E17D95"/>
    <w:rsid w:val="00E22570"/>
    <w:rsid w:val="00E23566"/>
    <w:rsid w:val="00E265F2"/>
    <w:rsid w:val="00E30546"/>
    <w:rsid w:val="00E3303A"/>
    <w:rsid w:val="00E335FE"/>
    <w:rsid w:val="00E3483A"/>
    <w:rsid w:val="00E376D8"/>
    <w:rsid w:val="00E40BBF"/>
    <w:rsid w:val="00E51818"/>
    <w:rsid w:val="00E53251"/>
    <w:rsid w:val="00E563C7"/>
    <w:rsid w:val="00E56A36"/>
    <w:rsid w:val="00E57978"/>
    <w:rsid w:val="00E6030E"/>
    <w:rsid w:val="00E61911"/>
    <w:rsid w:val="00E6434A"/>
    <w:rsid w:val="00E65CB6"/>
    <w:rsid w:val="00E6781B"/>
    <w:rsid w:val="00E737AF"/>
    <w:rsid w:val="00E8018D"/>
    <w:rsid w:val="00E81C31"/>
    <w:rsid w:val="00E822C6"/>
    <w:rsid w:val="00E82D0C"/>
    <w:rsid w:val="00E90184"/>
    <w:rsid w:val="00E93146"/>
    <w:rsid w:val="00E95D4B"/>
    <w:rsid w:val="00EA18F7"/>
    <w:rsid w:val="00EA4160"/>
    <w:rsid w:val="00EA51B4"/>
    <w:rsid w:val="00EA6037"/>
    <w:rsid w:val="00EB46F7"/>
    <w:rsid w:val="00EB5D34"/>
    <w:rsid w:val="00EC1BEF"/>
    <w:rsid w:val="00EC2428"/>
    <w:rsid w:val="00EC4602"/>
    <w:rsid w:val="00EC4786"/>
    <w:rsid w:val="00EC4E49"/>
    <w:rsid w:val="00ED13DB"/>
    <w:rsid w:val="00ED77FB"/>
    <w:rsid w:val="00EE1151"/>
    <w:rsid w:val="00EE45FA"/>
    <w:rsid w:val="00EE620E"/>
    <w:rsid w:val="00EF2FC6"/>
    <w:rsid w:val="00EF387A"/>
    <w:rsid w:val="00EF6DDA"/>
    <w:rsid w:val="00EF73C2"/>
    <w:rsid w:val="00F02BF7"/>
    <w:rsid w:val="00F03367"/>
    <w:rsid w:val="00F03CB2"/>
    <w:rsid w:val="00F0611B"/>
    <w:rsid w:val="00F07FF6"/>
    <w:rsid w:val="00F2035D"/>
    <w:rsid w:val="00F241A3"/>
    <w:rsid w:val="00F277D4"/>
    <w:rsid w:val="00F279B7"/>
    <w:rsid w:val="00F300E6"/>
    <w:rsid w:val="00F32E58"/>
    <w:rsid w:val="00F339A9"/>
    <w:rsid w:val="00F352E3"/>
    <w:rsid w:val="00F35888"/>
    <w:rsid w:val="00F36683"/>
    <w:rsid w:val="00F375E7"/>
    <w:rsid w:val="00F42394"/>
    <w:rsid w:val="00F42821"/>
    <w:rsid w:val="00F428AC"/>
    <w:rsid w:val="00F43EA6"/>
    <w:rsid w:val="00F5714D"/>
    <w:rsid w:val="00F60B95"/>
    <w:rsid w:val="00F66152"/>
    <w:rsid w:val="00F667C2"/>
    <w:rsid w:val="00F71364"/>
    <w:rsid w:val="00F71C67"/>
    <w:rsid w:val="00F7566D"/>
    <w:rsid w:val="00F75A36"/>
    <w:rsid w:val="00F7655C"/>
    <w:rsid w:val="00F76C35"/>
    <w:rsid w:val="00F7764D"/>
    <w:rsid w:val="00F77A13"/>
    <w:rsid w:val="00F80685"/>
    <w:rsid w:val="00F80D92"/>
    <w:rsid w:val="00F84364"/>
    <w:rsid w:val="00F9412E"/>
    <w:rsid w:val="00F94A20"/>
    <w:rsid w:val="00F94BE8"/>
    <w:rsid w:val="00F950DB"/>
    <w:rsid w:val="00F96DC5"/>
    <w:rsid w:val="00F970C8"/>
    <w:rsid w:val="00FA0006"/>
    <w:rsid w:val="00FA338C"/>
    <w:rsid w:val="00FA3C39"/>
    <w:rsid w:val="00FA4CE0"/>
    <w:rsid w:val="00FA661C"/>
    <w:rsid w:val="00FB1485"/>
    <w:rsid w:val="00FB447F"/>
    <w:rsid w:val="00FB4B01"/>
    <w:rsid w:val="00FC10F5"/>
    <w:rsid w:val="00FC2AD3"/>
    <w:rsid w:val="00FC744C"/>
    <w:rsid w:val="00FD0638"/>
    <w:rsid w:val="00FD06A7"/>
    <w:rsid w:val="00FD521B"/>
    <w:rsid w:val="00FE3886"/>
    <w:rsid w:val="00FE3A28"/>
    <w:rsid w:val="00FE4F9E"/>
    <w:rsid w:val="00FE52A8"/>
    <w:rsid w:val="00FE5F45"/>
    <w:rsid w:val="00FE62B5"/>
    <w:rsid w:val="00FE6F72"/>
    <w:rsid w:val="00FF0350"/>
    <w:rsid w:val="00FF0584"/>
    <w:rsid w:val="00FF2149"/>
    <w:rsid w:val="00FF2C48"/>
    <w:rsid w:val="00FF33D9"/>
    <w:rsid w:val="00FF47D7"/>
    <w:rsid w:val="00FF57A0"/>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B8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page number" w:uiPriority="99"/>
    <w:lsdException w:name="macro"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AE"/>
    <w:rPr>
      <w:rFonts w:ascii="Arial" w:eastAsia="SimSun" w:hAnsi="Arial" w:cs="Arial"/>
      <w:sz w:val="22"/>
      <w:lang w:val="fr-CH" w:eastAsia="zh-CN"/>
    </w:rPr>
  </w:style>
  <w:style w:type="paragraph" w:styleId="Heading1">
    <w:name w:val="heading 1"/>
    <w:basedOn w:val="Normal"/>
    <w:next w:val="Normal"/>
    <w:link w:val="Heading1Char"/>
    <w:qFormat/>
    <w:rsid w:val="00C44A62"/>
    <w:pPr>
      <w:keepNext/>
      <w:spacing w:before="240" w:after="60"/>
      <w:ind w:left="567" w:hanging="567"/>
      <w:outlineLvl w:val="0"/>
    </w:pPr>
    <w:rPr>
      <w:b/>
      <w:bCs/>
      <w:caps/>
      <w:kern w:val="32"/>
      <w:szCs w:val="32"/>
    </w:rPr>
  </w:style>
  <w:style w:type="paragraph" w:styleId="Heading2">
    <w:name w:val="heading 2"/>
    <w:basedOn w:val="Normal"/>
    <w:next w:val="Normal"/>
    <w:link w:val="Heading2Char"/>
    <w:qFormat/>
    <w:rsid w:val="004118AE"/>
    <w:pPr>
      <w:keepNext/>
      <w:spacing w:before="240" w:after="60"/>
      <w:outlineLvl w:val="1"/>
    </w:pPr>
    <w:rPr>
      <w:bCs/>
      <w:iCs/>
      <w:caps/>
      <w:szCs w:val="28"/>
    </w:rPr>
  </w:style>
  <w:style w:type="paragraph" w:styleId="Heading3">
    <w:name w:val="heading 3"/>
    <w:basedOn w:val="Normal"/>
    <w:next w:val="Normal"/>
    <w:link w:val="Heading3Char"/>
    <w:qFormat/>
    <w:rsid w:val="004118AE"/>
    <w:pPr>
      <w:keepNext/>
      <w:spacing w:before="240" w:after="60"/>
      <w:outlineLvl w:val="2"/>
    </w:pPr>
    <w:rPr>
      <w:bCs/>
      <w:szCs w:val="26"/>
      <w:u w:val="single"/>
    </w:rPr>
  </w:style>
  <w:style w:type="paragraph" w:styleId="Heading4">
    <w:name w:val="heading 4"/>
    <w:basedOn w:val="Normal"/>
    <w:next w:val="Normal"/>
    <w:link w:val="Heading4Char"/>
    <w:qFormat/>
    <w:rsid w:val="004118A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6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4118AE"/>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4118AE"/>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4118AE"/>
    <w:rPr>
      <w:rFonts w:ascii="Arial" w:eastAsia="SimSun" w:hAnsi="Arial" w:cs="Arial"/>
      <w:bCs/>
      <w:i/>
      <w:sz w:val="22"/>
      <w:szCs w:val="28"/>
      <w:lang w:val="fr-CH" w:eastAsia="zh-CN"/>
    </w:rPr>
  </w:style>
  <w:style w:type="paragraph" w:customStyle="1" w:styleId="Endofdocument-Annex">
    <w:name w:val="[End of document - Annex]"/>
    <w:basedOn w:val="Normal"/>
    <w:rsid w:val="004118AE"/>
    <w:pPr>
      <w:ind w:left="5534"/>
    </w:pPr>
    <w:rPr>
      <w:lang w:val="en-US"/>
    </w:rPr>
  </w:style>
  <w:style w:type="paragraph" w:styleId="BodyText">
    <w:name w:val="Body Text"/>
    <w:basedOn w:val="Normal"/>
    <w:link w:val="BodyTextChar"/>
    <w:rsid w:val="004118AE"/>
    <w:pPr>
      <w:spacing w:after="220"/>
    </w:pPr>
  </w:style>
  <w:style w:type="character" w:customStyle="1" w:styleId="BodyTextChar">
    <w:name w:val="Body Text Char"/>
    <w:basedOn w:val="DefaultParagraphFont"/>
    <w:link w:val="BodyText"/>
    <w:rsid w:val="004118AE"/>
    <w:rPr>
      <w:rFonts w:ascii="Arial" w:eastAsia="SimSun" w:hAnsi="Arial" w:cs="Arial"/>
      <w:sz w:val="22"/>
      <w:lang w:val="fr-CH" w:eastAsia="zh-CN"/>
    </w:rPr>
  </w:style>
  <w:style w:type="paragraph" w:styleId="Caption">
    <w:name w:val="caption"/>
    <w:basedOn w:val="Normal"/>
    <w:next w:val="Normal"/>
    <w:qFormat/>
    <w:rsid w:val="004118AE"/>
    <w:rPr>
      <w:b/>
      <w:bCs/>
      <w:sz w:val="18"/>
    </w:rPr>
  </w:style>
  <w:style w:type="paragraph" w:styleId="CommentText">
    <w:name w:val="annotation text"/>
    <w:basedOn w:val="Normal"/>
    <w:link w:val="CommentTextChar"/>
    <w:semiHidden/>
    <w:rsid w:val="004118AE"/>
    <w:rPr>
      <w:sz w:val="18"/>
    </w:rPr>
  </w:style>
  <w:style w:type="character" w:customStyle="1" w:styleId="CommentTextChar1">
    <w:name w:val="Comment Text Char1"/>
    <w:basedOn w:val="DefaultParagraphFont"/>
    <w:uiPriority w:val="99"/>
    <w:semiHidden/>
    <w:rsid w:val="00110FEA"/>
    <w:rPr>
      <w:rFonts w:ascii="Arial" w:eastAsia="SimSun" w:hAnsi="Arial" w:cs="Arial"/>
      <w:sz w:val="18"/>
      <w:lang w:eastAsia="zh-CN"/>
    </w:rPr>
  </w:style>
  <w:style w:type="paragraph" w:styleId="EndnoteText">
    <w:name w:val="endnote text"/>
    <w:basedOn w:val="Normal"/>
    <w:link w:val="EndnoteTextChar"/>
    <w:semiHidden/>
    <w:rsid w:val="004118AE"/>
    <w:rPr>
      <w:sz w:val="18"/>
    </w:rPr>
  </w:style>
  <w:style w:type="character" w:customStyle="1" w:styleId="EndnoteTextChar">
    <w:name w:val="Endnote Text Char"/>
    <w:basedOn w:val="DefaultParagraphFont"/>
    <w:link w:val="EndnoteText"/>
    <w:semiHidden/>
    <w:rsid w:val="004118AE"/>
    <w:rPr>
      <w:rFonts w:ascii="Arial" w:eastAsia="SimSun" w:hAnsi="Arial" w:cs="Arial"/>
      <w:sz w:val="18"/>
      <w:lang w:val="fr-CH" w:eastAsia="zh-CN"/>
    </w:rPr>
  </w:style>
  <w:style w:type="paragraph" w:styleId="Footer">
    <w:name w:val="footer"/>
    <w:basedOn w:val="Normal"/>
    <w:link w:val="FooterChar"/>
    <w:rsid w:val="004118AE"/>
    <w:pPr>
      <w:tabs>
        <w:tab w:val="center" w:pos="4320"/>
        <w:tab w:val="right" w:pos="8640"/>
      </w:tabs>
    </w:pPr>
  </w:style>
  <w:style w:type="character" w:customStyle="1" w:styleId="FooterChar">
    <w:name w:val="Footer Char"/>
    <w:basedOn w:val="DefaultParagraphFont"/>
    <w:link w:val="Footer"/>
    <w:rsid w:val="004118AE"/>
    <w:rPr>
      <w:rFonts w:ascii="Arial" w:eastAsia="SimSun" w:hAnsi="Arial" w:cs="Arial"/>
      <w:sz w:val="22"/>
      <w:lang w:val="fr-CH" w:eastAsia="zh-CN"/>
    </w:rPr>
  </w:style>
  <w:style w:type="paragraph" w:styleId="FootnoteText">
    <w:name w:val="footnote text"/>
    <w:basedOn w:val="Normal"/>
    <w:link w:val="FootnoteTextChar"/>
    <w:semiHidden/>
    <w:rsid w:val="004118AE"/>
    <w:rPr>
      <w:sz w:val="18"/>
    </w:rPr>
  </w:style>
  <w:style w:type="character" w:customStyle="1" w:styleId="FootnoteTextChar">
    <w:name w:val="Footnote Text Char"/>
    <w:basedOn w:val="DefaultParagraphFont"/>
    <w:link w:val="FootnoteText"/>
    <w:semiHidden/>
    <w:rsid w:val="004118AE"/>
    <w:rPr>
      <w:rFonts w:ascii="Arial" w:eastAsia="SimSun" w:hAnsi="Arial" w:cs="Arial"/>
      <w:sz w:val="18"/>
      <w:lang w:val="fr-CH" w:eastAsia="zh-CN"/>
    </w:rPr>
  </w:style>
  <w:style w:type="paragraph" w:styleId="Header">
    <w:name w:val="header"/>
    <w:basedOn w:val="Normal"/>
    <w:link w:val="HeaderChar"/>
    <w:rsid w:val="004118AE"/>
    <w:pPr>
      <w:tabs>
        <w:tab w:val="center" w:pos="4536"/>
        <w:tab w:val="right" w:pos="9072"/>
      </w:tabs>
    </w:pPr>
  </w:style>
  <w:style w:type="character" w:customStyle="1" w:styleId="HeaderChar">
    <w:name w:val="Header Char"/>
    <w:basedOn w:val="DefaultParagraphFont"/>
    <w:link w:val="Header"/>
    <w:rsid w:val="004118AE"/>
    <w:rPr>
      <w:rFonts w:ascii="Arial" w:eastAsia="SimSun" w:hAnsi="Arial" w:cs="Arial"/>
      <w:sz w:val="22"/>
      <w:lang w:val="fr-CH" w:eastAsia="zh-CN"/>
    </w:rPr>
  </w:style>
  <w:style w:type="paragraph" w:styleId="ListNumber">
    <w:name w:val="List Number"/>
    <w:basedOn w:val="Normal"/>
    <w:semiHidden/>
    <w:rsid w:val="004118AE"/>
    <w:pPr>
      <w:numPr>
        <w:numId w:val="31"/>
      </w:numPr>
    </w:pPr>
  </w:style>
  <w:style w:type="paragraph" w:customStyle="1" w:styleId="ONUME">
    <w:name w:val="ONUM E"/>
    <w:basedOn w:val="BodyText"/>
    <w:link w:val="ONUMEChar"/>
    <w:rsid w:val="004118AE"/>
    <w:pPr>
      <w:numPr>
        <w:numId w:val="32"/>
      </w:numPr>
    </w:pPr>
  </w:style>
  <w:style w:type="character" w:customStyle="1" w:styleId="ONUMEChar">
    <w:name w:val="ONUM E Char"/>
    <w:basedOn w:val="DefaultParagraphFont"/>
    <w:link w:val="ONUME"/>
    <w:locked/>
    <w:rsid w:val="005C40A3"/>
    <w:rPr>
      <w:rFonts w:ascii="Arial" w:eastAsia="SimSun" w:hAnsi="Arial" w:cs="Arial"/>
      <w:sz w:val="22"/>
      <w:lang w:val="fr-CH" w:eastAsia="zh-CN"/>
    </w:rPr>
  </w:style>
  <w:style w:type="paragraph" w:customStyle="1" w:styleId="ONUMFS">
    <w:name w:val="ONUM FS"/>
    <w:basedOn w:val="BodyText"/>
    <w:rsid w:val="004118AE"/>
    <w:pPr>
      <w:numPr>
        <w:numId w:val="33"/>
      </w:numPr>
    </w:pPr>
  </w:style>
  <w:style w:type="paragraph" w:styleId="Salutation">
    <w:name w:val="Salutation"/>
    <w:basedOn w:val="Normal"/>
    <w:next w:val="Normal"/>
    <w:link w:val="SalutationChar"/>
    <w:semiHidden/>
    <w:rsid w:val="004118AE"/>
  </w:style>
  <w:style w:type="character" w:customStyle="1" w:styleId="SalutationChar">
    <w:name w:val="Salutation Char"/>
    <w:basedOn w:val="DefaultParagraphFont"/>
    <w:link w:val="Salutation"/>
    <w:semiHidden/>
    <w:rsid w:val="004118AE"/>
    <w:rPr>
      <w:rFonts w:ascii="Arial" w:eastAsia="SimSun" w:hAnsi="Arial" w:cs="Arial"/>
      <w:sz w:val="22"/>
      <w:lang w:val="fr-CH" w:eastAsia="zh-CN"/>
    </w:rPr>
  </w:style>
  <w:style w:type="paragraph" w:styleId="Signature">
    <w:name w:val="Signature"/>
    <w:basedOn w:val="Normal"/>
    <w:link w:val="SignatureChar"/>
    <w:semiHidden/>
    <w:rsid w:val="004118AE"/>
    <w:pPr>
      <w:ind w:left="5250"/>
    </w:pPr>
  </w:style>
  <w:style w:type="character" w:customStyle="1" w:styleId="SignatureChar">
    <w:name w:val="Signature Char"/>
    <w:basedOn w:val="DefaultParagraphFont"/>
    <w:link w:val="Signature"/>
    <w:semiHidden/>
    <w:rsid w:val="004118AE"/>
    <w:rPr>
      <w:rFonts w:ascii="Arial" w:eastAsia="SimSun" w:hAnsi="Arial" w:cs="Arial"/>
      <w:sz w:val="22"/>
      <w:lang w:val="fr-CH" w:eastAsia="zh-CN"/>
    </w:rPr>
  </w:style>
  <w:style w:type="paragraph" w:styleId="BalloonText">
    <w:name w:val="Balloon Text"/>
    <w:basedOn w:val="Normal"/>
    <w:link w:val="BalloonTextChar"/>
    <w:uiPriority w:val="99"/>
    <w:rsid w:val="00C650A4"/>
    <w:rPr>
      <w:rFonts w:ascii="Tahoma" w:hAnsi="Tahoma" w:cs="Tahoma"/>
      <w:sz w:val="16"/>
      <w:szCs w:val="16"/>
    </w:rPr>
  </w:style>
  <w:style w:type="character" w:customStyle="1" w:styleId="BalloonTextChar">
    <w:name w:val="Balloon Text Char"/>
    <w:basedOn w:val="DefaultParagraphFont"/>
    <w:link w:val="BalloonText"/>
    <w:uiPriority w:val="99"/>
    <w:rsid w:val="00C650A4"/>
    <w:rPr>
      <w:rFonts w:ascii="Tahoma" w:eastAsia="SimSun" w:hAnsi="Tahoma" w:cs="Tahoma"/>
      <w:sz w:val="16"/>
      <w:szCs w:val="16"/>
      <w:lang w:eastAsia="zh-CN"/>
    </w:rPr>
  </w:style>
  <w:style w:type="paragraph" w:styleId="ListParagraph">
    <w:name w:val="List Paragraph"/>
    <w:basedOn w:val="Normal"/>
    <w:uiPriority w:val="34"/>
    <w:qFormat/>
    <w:rsid w:val="004118AE"/>
    <w:pPr>
      <w:ind w:left="720"/>
      <w:contextualSpacing/>
    </w:pPr>
  </w:style>
  <w:style w:type="character" w:styleId="FootnoteReference">
    <w:name w:val="footnote reference"/>
    <w:basedOn w:val="DefaultParagraphFont"/>
    <w:uiPriority w:val="99"/>
    <w:unhideWhenUsed/>
    <w:rsid w:val="00110FEA"/>
    <w:rPr>
      <w:vertAlign w:val="superscript"/>
    </w:rPr>
  </w:style>
  <w:style w:type="paragraph" w:customStyle="1" w:styleId="Default">
    <w:name w:val="Default"/>
    <w:rsid w:val="00110FEA"/>
    <w:pPr>
      <w:autoSpaceDE w:val="0"/>
      <w:autoSpaceDN w:val="0"/>
      <w:adjustRightInd w:val="0"/>
    </w:pPr>
    <w:rPr>
      <w:rFonts w:ascii="Arial" w:eastAsiaTheme="minorEastAsia" w:hAnsi="Arial" w:cs="Arial"/>
      <w:color w:val="000000"/>
      <w:sz w:val="24"/>
      <w:szCs w:val="24"/>
      <w:lang w:val="en-GB" w:eastAsia="en-GB"/>
    </w:rPr>
  </w:style>
  <w:style w:type="character" w:styleId="Strong">
    <w:name w:val="Strong"/>
    <w:basedOn w:val="DefaultParagraphFont"/>
    <w:uiPriority w:val="22"/>
    <w:qFormat/>
    <w:rsid w:val="00110FEA"/>
    <w:rPr>
      <w:b/>
      <w:bCs/>
    </w:rPr>
  </w:style>
  <w:style w:type="paragraph" w:customStyle="1" w:styleId="font8">
    <w:name w:val="font_8"/>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customStyle="1" w:styleId="color23">
    <w:name w:val="color_23"/>
    <w:basedOn w:val="DefaultParagraphFont"/>
    <w:rsid w:val="00110FEA"/>
  </w:style>
  <w:style w:type="character" w:customStyle="1" w:styleId="apple-converted-space">
    <w:name w:val="apple-converted-space"/>
    <w:basedOn w:val="DefaultParagraphFont"/>
    <w:rsid w:val="00110FEA"/>
  </w:style>
  <w:style w:type="character" w:customStyle="1" w:styleId="color2">
    <w:name w:val="color_2"/>
    <w:basedOn w:val="DefaultParagraphFont"/>
    <w:rsid w:val="00110FEA"/>
  </w:style>
  <w:style w:type="table" w:styleId="TableGrid">
    <w:name w:val="Table Grid"/>
    <w:basedOn w:val="TableNormal"/>
    <w:uiPriority w:val="59"/>
    <w:rsid w:val="00110FEA"/>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FEA"/>
    <w:rPr>
      <w:color w:val="0000FF"/>
      <w:u w:val="single"/>
    </w:rPr>
  </w:style>
  <w:style w:type="character" w:customStyle="1" w:styleId="ref">
    <w:name w:val="ref"/>
    <w:basedOn w:val="DefaultParagraphFont"/>
    <w:rsid w:val="00110FEA"/>
  </w:style>
  <w:style w:type="character" w:customStyle="1" w:styleId="Title1">
    <w:name w:val="Title1"/>
    <w:basedOn w:val="DefaultParagraphFont"/>
    <w:rsid w:val="00110FEA"/>
  </w:style>
  <w:style w:type="character" w:styleId="Emphasis">
    <w:name w:val="Emphasis"/>
    <w:basedOn w:val="DefaultParagraphFont"/>
    <w:uiPriority w:val="20"/>
    <w:qFormat/>
    <w:rsid w:val="00110FEA"/>
    <w:rPr>
      <w:i/>
      <w:iCs/>
    </w:rPr>
  </w:style>
  <w:style w:type="paragraph" w:customStyle="1" w:styleId="m-1896040102311549777default">
    <w:name w:val="m_-1896040102311549777default"/>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7A25BA"/>
    <w:pPr>
      <w:widowControl w:val="0"/>
      <w:suppressLineNumbers/>
      <w:suppressAutoHyphens/>
    </w:pPr>
    <w:rPr>
      <w:rFonts w:cs="Mangal"/>
      <w:kern w:val="1"/>
      <w:szCs w:val="24"/>
      <w:lang w:bidi="hi-IN"/>
    </w:rPr>
  </w:style>
  <w:style w:type="paragraph" w:customStyle="1" w:styleId="text1">
    <w:name w:val="text1"/>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styleId="CommentReference">
    <w:name w:val="annotation reference"/>
    <w:basedOn w:val="DefaultParagraphFont"/>
    <w:uiPriority w:val="99"/>
    <w:unhideWhenUsed/>
    <w:rsid w:val="00110FEA"/>
    <w:rPr>
      <w:sz w:val="16"/>
      <w:szCs w:val="16"/>
    </w:rPr>
  </w:style>
  <w:style w:type="character" w:customStyle="1" w:styleId="CommentTextChar">
    <w:name w:val="Comment Text Char"/>
    <w:basedOn w:val="DefaultParagraphFont"/>
    <w:link w:val="CommentText"/>
    <w:semiHidden/>
    <w:rsid w:val="004118AE"/>
    <w:rPr>
      <w:rFonts w:ascii="Arial" w:eastAsia="SimSun" w:hAnsi="Arial" w:cs="Arial"/>
      <w:sz w:val="18"/>
      <w:lang w:val="fr-CH" w:eastAsia="zh-CN"/>
    </w:rPr>
  </w:style>
  <w:style w:type="paragraph" w:styleId="CommentSubject">
    <w:name w:val="annotation subject"/>
    <w:basedOn w:val="CommentText"/>
    <w:next w:val="CommentText"/>
    <w:link w:val="CommentSubjectChar"/>
    <w:uiPriority w:val="99"/>
    <w:unhideWhenUsed/>
    <w:rsid w:val="00110FEA"/>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1"/>
    <w:link w:val="CommentSubject"/>
    <w:uiPriority w:val="99"/>
    <w:rsid w:val="00110FEA"/>
    <w:rPr>
      <w:rFonts w:asciiTheme="minorHAnsi" w:eastAsiaTheme="minorEastAsia" w:hAnsiTheme="minorHAnsi" w:cstheme="minorBidi"/>
      <w:b/>
      <w:bCs/>
      <w:sz w:val="18"/>
      <w:lang w:val="en-GB" w:eastAsia="en-GB"/>
    </w:rPr>
  </w:style>
  <w:style w:type="paragraph" w:customStyle="1" w:styleId="Guidance">
    <w:name w:val="Guidance"/>
    <w:basedOn w:val="Normal"/>
    <w:uiPriority w:val="99"/>
    <w:rsid w:val="00F76C35"/>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uiPriority w:val="99"/>
    <w:rsid w:val="00F76C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F76C35"/>
    <w:rPr>
      <w:rFonts w:ascii="Courier New" w:hAnsi="Courier New"/>
      <w:sz w:val="16"/>
    </w:rPr>
  </w:style>
  <w:style w:type="character" w:styleId="PageNumber">
    <w:name w:val="page number"/>
    <w:basedOn w:val="DefaultParagraphFont"/>
    <w:uiPriority w:val="99"/>
    <w:rsid w:val="00F76C35"/>
    <w:rPr>
      <w:rFonts w:cs="Times New Roman"/>
    </w:rPr>
  </w:style>
  <w:style w:type="paragraph" w:customStyle="1" w:styleId="GuidanceNumbered">
    <w:name w:val="Guidance Numbered"/>
    <w:basedOn w:val="Guidance"/>
    <w:uiPriority w:val="99"/>
    <w:rsid w:val="00F76C35"/>
    <w:pPr>
      <w:keepNext/>
      <w:keepLines/>
      <w:ind w:left="567" w:hanging="567"/>
    </w:pPr>
    <w:rPr>
      <w:rFonts w:eastAsia="SimSun"/>
    </w:rPr>
  </w:style>
  <w:style w:type="paragraph" w:customStyle="1" w:styleId="GuidanceNumbereda">
    <w:name w:val="Guidance Numbered (a)"/>
    <w:basedOn w:val="GuidanceNumbered"/>
    <w:uiPriority w:val="99"/>
    <w:rsid w:val="00F76C35"/>
    <w:pPr>
      <w:tabs>
        <w:tab w:val="left" w:pos="567"/>
      </w:tabs>
      <w:ind w:left="1134" w:hanging="1134"/>
    </w:pPr>
  </w:style>
  <w:style w:type="paragraph" w:customStyle="1" w:styleId="GuidanceNumberedai">
    <w:name w:val="Guidance Numbered (a)(i)"/>
    <w:basedOn w:val="GuidanceNumbereda"/>
    <w:uiPriority w:val="99"/>
    <w:rsid w:val="00F76C35"/>
    <w:pPr>
      <w:tabs>
        <w:tab w:val="clear" w:pos="567"/>
        <w:tab w:val="left" w:pos="1134"/>
      </w:tabs>
      <w:ind w:left="1701" w:hanging="1701"/>
    </w:pPr>
  </w:style>
  <w:style w:type="paragraph" w:styleId="NormalWeb">
    <w:name w:val="Normal (Web)"/>
    <w:basedOn w:val="Normal"/>
    <w:uiPriority w:val="99"/>
    <w:rsid w:val="00F76C35"/>
    <w:pPr>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CM103">
    <w:name w:val="CM103"/>
    <w:basedOn w:val="Default"/>
    <w:next w:val="Default"/>
    <w:uiPriority w:val="99"/>
    <w:rsid w:val="00F76C35"/>
    <w:rPr>
      <w:rFonts w:eastAsiaTheme="minorHAnsi"/>
      <w:color w:val="auto"/>
      <w:lang w:val="en-PH" w:eastAsia="en-US"/>
    </w:rPr>
  </w:style>
  <w:style w:type="paragraph" w:customStyle="1" w:styleId="CM13">
    <w:name w:val="CM13"/>
    <w:basedOn w:val="Default"/>
    <w:next w:val="Default"/>
    <w:uiPriority w:val="99"/>
    <w:rsid w:val="00F76C35"/>
    <w:pPr>
      <w:spacing w:line="253" w:lineRule="atLeast"/>
    </w:pPr>
    <w:rPr>
      <w:rFonts w:eastAsiaTheme="minorHAnsi"/>
      <w:color w:val="auto"/>
      <w:lang w:val="en-PH" w:eastAsia="en-US"/>
    </w:rPr>
  </w:style>
  <w:style w:type="paragraph" w:customStyle="1" w:styleId="Meetingplacedate">
    <w:name w:val="Meeting place &amp; date"/>
    <w:basedOn w:val="Normal"/>
    <w:next w:val="Normal"/>
    <w:rsid w:val="004118A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118AE"/>
    <w:pPr>
      <w:spacing w:line="336" w:lineRule="exact"/>
      <w:ind w:left="1021"/>
    </w:pPr>
    <w:rPr>
      <w:rFonts w:eastAsia="Times New Roman" w:cs="Times New Roman"/>
      <w:b/>
      <w:sz w:val="28"/>
      <w:lang w:val="fr-FR" w:eastAsia="en-US"/>
    </w:rPr>
  </w:style>
  <w:style w:type="paragraph" w:styleId="Revision">
    <w:name w:val="Revision"/>
    <w:hidden/>
    <w:uiPriority w:val="99"/>
    <w:semiHidden/>
    <w:rsid w:val="008C1458"/>
    <w:rPr>
      <w:rFonts w:ascii="Arial" w:eastAsia="SimSun" w:hAnsi="Arial" w:cs="Arial"/>
      <w:sz w:val="22"/>
      <w:lang w:eastAsia="zh-CN"/>
    </w:rPr>
  </w:style>
  <w:style w:type="character" w:customStyle="1" w:styleId="Mention">
    <w:name w:val="Mention"/>
    <w:basedOn w:val="DefaultParagraphFont"/>
    <w:uiPriority w:val="99"/>
    <w:semiHidden/>
    <w:unhideWhenUsed/>
    <w:rsid w:val="008C145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page number" w:uiPriority="99"/>
    <w:lsdException w:name="macro"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AE"/>
    <w:rPr>
      <w:rFonts w:ascii="Arial" w:eastAsia="SimSun" w:hAnsi="Arial" w:cs="Arial"/>
      <w:sz w:val="22"/>
      <w:lang w:val="fr-CH" w:eastAsia="zh-CN"/>
    </w:rPr>
  </w:style>
  <w:style w:type="paragraph" w:styleId="Heading1">
    <w:name w:val="heading 1"/>
    <w:basedOn w:val="Normal"/>
    <w:next w:val="Normal"/>
    <w:link w:val="Heading1Char"/>
    <w:qFormat/>
    <w:rsid w:val="00C44A62"/>
    <w:pPr>
      <w:keepNext/>
      <w:spacing w:before="240" w:after="60"/>
      <w:ind w:left="567" w:hanging="567"/>
      <w:outlineLvl w:val="0"/>
    </w:pPr>
    <w:rPr>
      <w:b/>
      <w:bCs/>
      <w:caps/>
      <w:kern w:val="32"/>
      <w:szCs w:val="32"/>
    </w:rPr>
  </w:style>
  <w:style w:type="paragraph" w:styleId="Heading2">
    <w:name w:val="heading 2"/>
    <w:basedOn w:val="Normal"/>
    <w:next w:val="Normal"/>
    <w:link w:val="Heading2Char"/>
    <w:qFormat/>
    <w:rsid w:val="004118AE"/>
    <w:pPr>
      <w:keepNext/>
      <w:spacing w:before="240" w:after="60"/>
      <w:outlineLvl w:val="1"/>
    </w:pPr>
    <w:rPr>
      <w:bCs/>
      <w:iCs/>
      <w:caps/>
      <w:szCs w:val="28"/>
    </w:rPr>
  </w:style>
  <w:style w:type="paragraph" w:styleId="Heading3">
    <w:name w:val="heading 3"/>
    <w:basedOn w:val="Normal"/>
    <w:next w:val="Normal"/>
    <w:link w:val="Heading3Char"/>
    <w:qFormat/>
    <w:rsid w:val="004118AE"/>
    <w:pPr>
      <w:keepNext/>
      <w:spacing w:before="240" w:after="60"/>
      <w:outlineLvl w:val="2"/>
    </w:pPr>
    <w:rPr>
      <w:bCs/>
      <w:szCs w:val="26"/>
      <w:u w:val="single"/>
    </w:rPr>
  </w:style>
  <w:style w:type="paragraph" w:styleId="Heading4">
    <w:name w:val="heading 4"/>
    <w:basedOn w:val="Normal"/>
    <w:next w:val="Normal"/>
    <w:link w:val="Heading4Char"/>
    <w:qFormat/>
    <w:rsid w:val="004118A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6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4118AE"/>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4118AE"/>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4118AE"/>
    <w:rPr>
      <w:rFonts w:ascii="Arial" w:eastAsia="SimSun" w:hAnsi="Arial" w:cs="Arial"/>
      <w:bCs/>
      <w:i/>
      <w:sz w:val="22"/>
      <w:szCs w:val="28"/>
      <w:lang w:val="fr-CH" w:eastAsia="zh-CN"/>
    </w:rPr>
  </w:style>
  <w:style w:type="paragraph" w:customStyle="1" w:styleId="Endofdocument-Annex">
    <w:name w:val="[End of document - Annex]"/>
    <w:basedOn w:val="Normal"/>
    <w:rsid w:val="004118AE"/>
    <w:pPr>
      <w:ind w:left="5534"/>
    </w:pPr>
    <w:rPr>
      <w:lang w:val="en-US"/>
    </w:rPr>
  </w:style>
  <w:style w:type="paragraph" w:styleId="BodyText">
    <w:name w:val="Body Text"/>
    <w:basedOn w:val="Normal"/>
    <w:link w:val="BodyTextChar"/>
    <w:rsid w:val="004118AE"/>
    <w:pPr>
      <w:spacing w:after="220"/>
    </w:pPr>
  </w:style>
  <w:style w:type="character" w:customStyle="1" w:styleId="BodyTextChar">
    <w:name w:val="Body Text Char"/>
    <w:basedOn w:val="DefaultParagraphFont"/>
    <w:link w:val="BodyText"/>
    <w:rsid w:val="004118AE"/>
    <w:rPr>
      <w:rFonts w:ascii="Arial" w:eastAsia="SimSun" w:hAnsi="Arial" w:cs="Arial"/>
      <w:sz w:val="22"/>
      <w:lang w:val="fr-CH" w:eastAsia="zh-CN"/>
    </w:rPr>
  </w:style>
  <w:style w:type="paragraph" w:styleId="Caption">
    <w:name w:val="caption"/>
    <w:basedOn w:val="Normal"/>
    <w:next w:val="Normal"/>
    <w:qFormat/>
    <w:rsid w:val="004118AE"/>
    <w:rPr>
      <w:b/>
      <w:bCs/>
      <w:sz w:val="18"/>
    </w:rPr>
  </w:style>
  <w:style w:type="paragraph" w:styleId="CommentText">
    <w:name w:val="annotation text"/>
    <w:basedOn w:val="Normal"/>
    <w:link w:val="CommentTextChar"/>
    <w:semiHidden/>
    <w:rsid w:val="004118AE"/>
    <w:rPr>
      <w:sz w:val="18"/>
    </w:rPr>
  </w:style>
  <w:style w:type="character" w:customStyle="1" w:styleId="CommentTextChar1">
    <w:name w:val="Comment Text Char1"/>
    <w:basedOn w:val="DefaultParagraphFont"/>
    <w:uiPriority w:val="99"/>
    <w:semiHidden/>
    <w:rsid w:val="00110FEA"/>
    <w:rPr>
      <w:rFonts w:ascii="Arial" w:eastAsia="SimSun" w:hAnsi="Arial" w:cs="Arial"/>
      <w:sz w:val="18"/>
      <w:lang w:eastAsia="zh-CN"/>
    </w:rPr>
  </w:style>
  <w:style w:type="paragraph" w:styleId="EndnoteText">
    <w:name w:val="endnote text"/>
    <w:basedOn w:val="Normal"/>
    <w:link w:val="EndnoteTextChar"/>
    <w:semiHidden/>
    <w:rsid w:val="004118AE"/>
    <w:rPr>
      <w:sz w:val="18"/>
    </w:rPr>
  </w:style>
  <w:style w:type="character" w:customStyle="1" w:styleId="EndnoteTextChar">
    <w:name w:val="Endnote Text Char"/>
    <w:basedOn w:val="DefaultParagraphFont"/>
    <w:link w:val="EndnoteText"/>
    <w:semiHidden/>
    <w:rsid w:val="004118AE"/>
    <w:rPr>
      <w:rFonts w:ascii="Arial" w:eastAsia="SimSun" w:hAnsi="Arial" w:cs="Arial"/>
      <w:sz w:val="18"/>
      <w:lang w:val="fr-CH" w:eastAsia="zh-CN"/>
    </w:rPr>
  </w:style>
  <w:style w:type="paragraph" w:styleId="Footer">
    <w:name w:val="footer"/>
    <w:basedOn w:val="Normal"/>
    <w:link w:val="FooterChar"/>
    <w:rsid w:val="004118AE"/>
    <w:pPr>
      <w:tabs>
        <w:tab w:val="center" w:pos="4320"/>
        <w:tab w:val="right" w:pos="8640"/>
      </w:tabs>
    </w:pPr>
  </w:style>
  <w:style w:type="character" w:customStyle="1" w:styleId="FooterChar">
    <w:name w:val="Footer Char"/>
    <w:basedOn w:val="DefaultParagraphFont"/>
    <w:link w:val="Footer"/>
    <w:rsid w:val="004118AE"/>
    <w:rPr>
      <w:rFonts w:ascii="Arial" w:eastAsia="SimSun" w:hAnsi="Arial" w:cs="Arial"/>
      <w:sz w:val="22"/>
      <w:lang w:val="fr-CH" w:eastAsia="zh-CN"/>
    </w:rPr>
  </w:style>
  <w:style w:type="paragraph" w:styleId="FootnoteText">
    <w:name w:val="footnote text"/>
    <w:basedOn w:val="Normal"/>
    <w:link w:val="FootnoteTextChar"/>
    <w:semiHidden/>
    <w:rsid w:val="004118AE"/>
    <w:rPr>
      <w:sz w:val="18"/>
    </w:rPr>
  </w:style>
  <w:style w:type="character" w:customStyle="1" w:styleId="FootnoteTextChar">
    <w:name w:val="Footnote Text Char"/>
    <w:basedOn w:val="DefaultParagraphFont"/>
    <w:link w:val="FootnoteText"/>
    <w:semiHidden/>
    <w:rsid w:val="004118AE"/>
    <w:rPr>
      <w:rFonts w:ascii="Arial" w:eastAsia="SimSun" w:hAnsi="Arial" w:cs="Arial"/>
      <w:sz w:val="18"/>
      <w:lang w:val="fr-CH" w:eastAsia="zh-CN"/>
    </w:rPr>
  </w:style>
  <w:style w:type="paragraph" w:styleId="Header">
    <w:name w:val="header"/>
    <w:basedOn w:val="Normal"/>
    <w:link w:val="HeaderChar"/>
    <w:rsid w:val="004118AE"/>
    <w:pPr>
      <w:tabs>
        <w:tab w:val="center" w:pos="4536"/>
        <w:tab w:val="right" w:pos="9072"/>
      </w:tabs>
    </w:pPr>
  </w:style>
  <w:style w:type="character" w:customStyle="1" w:styleId="HeaderChar">
    <w:name w:val="Header Char"/>
    <w:basedOn w:val="DefaultParagraphFont"/>
    <w:link w:val="Header"/>
    <w:rsid w:val="004118AE"/>
    <w:rPr>
      <w:rFonts w:ascii="Arial" w:eastAsia="SimSun" w:hAnsi="Arial" w:cs="Arial"/>
      <w:sz w:val="22"/>
      <w:lang w:val="fr-CH" w:eastAsia="zh-CN"/>
    </w:rPr>
  </w:style>
  <w:style w:type="paragraph" w:styleId="ListNumber">
    <w:name w:val="List Number"/>
    <w:basedOn w:val="Normal"/>
    <w:semiHidden/>
    <w:rsid w:val="004118AE"/>
    <w:pPr>
      <w:numPr>
        <w:numId w:val="31"/>
      </w:numPr>
    </w:pPr>
  </w:style>
  <w:style w:type="paragraph" w:customStyle="1" w:styleId="ONUME">
    <w:name w:val="ONUM E"/>
    <w:basedOn w:val="BodyText"/>
    <w:link w:val="ONUMEChar"/>
    <w:rsid w:val="004118AE"/>
    <w:pPr>
      <w:numPr>
        <w:numId w:val="32"/>
      </w:numPr>
    </w:pPr>
  </w:style>
  <w:style w:type="character" w:customStyle="1" w:styleId="ONUMEChar">
    <w:name w:val="ONUM E Char"/>
    <w:basedOn w:val="DefaultParagraphFont"/>
    <w:link w:val="ONUME"/>
    <w:locked/>
    <w:rsid w:val="005C40A3"/>
    <w:rPr>
      <w:rFonts w:ascii="Arial" w:eastAsia="SimSun" w:hAnsi="Arial" w:cs="Arial"/>
      <w:sz w:val="22"/>
      <w:lang w:val="fr-CH" w:eastAsia="zh-CN"/>
    </w:rPr>
  </w:style>
  <w:style w:type="paragraph" w:customStyle="1" w:styleId="ONUMFS">
    <w:name w:val="ONUM FS"/>
    <w:basedOn w:val="BodyText"/>
    <w:rsid w:val="004118AE"/>
    <w:pPr>
      <w:numPr>
        <w:numId w:val="33"/>
      </w:numPr>
    </w:pPr>
  </w:style>
  <w:style w:type="paragraph" w:styleId="Salutation">
    <w:name w:val="Salutation"/>
    <w:basedOn w:val="Normal"/>
    <w:next w:val="Normal"/>
    <w:link w:val="SalutationChar"/>
    <w:semiHidden/>
    <w:rsid w:val="004118AE"/>
  </w:style>
  <w:style w:type="character" w:customStyle="1" w:styleId="SalutationChar">
    <w:name w:val="Salutation Char"/>
    <w:basedOn w:val="DefaultParagraphFont"/>
    <w:link w:val="Salutation"/>
    <w:semiHidden/>
    <w:rsid w:val="004118AE"/>
    <w:rPr>
      <w:rFonts w:ascii="Arial" w:eastAsia="SimSun" w:hAnsi="Arial" w:cs="Arial"/>
      <w:sz w:val="22"/>
      <w:lang w:val="fr-CH" w:eastAsia="zh-CN"/>
    </w:rPr>
  </w:style>
  <w:style w:type="paragraph" w:styleId="Signature">
    <w:name w:val="Signature"/>
    <w:basedOn w:val="Normal"/>
    <w:link w:val="SignatureChar"/>
    <w:semiHidden/>
    <w:rsid w:val="004118AE"/>
    <w:pPr>
      <w:ind w:left="5250"/>
    </w:pPr>
  </w:style>
  <w:style w:type="character" w:customStyle="1" w:styleId="SignatureChar">
    <w:name w:val="Signature Char"/>
    <w:basedOn w:val="DefaultParagraphFont"/>
    <w:link w:val="Signature"/>
    <w:semiHidden/>
    <w:rsid w:val="004118AE"/>
    <w:rPr>
      <w:rFonts w:ascii="Arial" w:eastAsia="SimSun" w:hAnsi="Arial" w:cs="Arial"/>
      <w:sz w:val="22"/>
      <w:lang w:val="fr-CH" w:eastAsia="zh-CN"/>
    </w:rPr>
  </w:style>
  <w:style w:type="paragraph" w:styleId="BalloonText">
    <w:name w:val="Balloon Text"/>
    <w:basedOn w:val="Normal"/>
    <w:link w:val="BalloonTextChar"/>
    <w:uiPriority w:val="99"/>
    <w:rsid w:val="00C650A4"/>
    <w:rPr>
      <w:rFonts w:ascii="Tahoma" w:hAnsi="Tahoma" w:cs="Tahoma"/>
      <w:sz w:val="16"/>
      <w:szCs w:val="16"/>
    </w:rPr>
  </w:style>
  <w:style w:type="character" w:customStyle="1" w:styleId="BalloonTextChar">
    <w:name w:val="Balloon Text Char"/>
    <w:basedOn w:val="DefaultParagraphFont"/>
    <w:link w:val="BalloonText"/>
    <w:uiPriority w:val="99"/>
    <w:rsid w:val="00C650A4"/>
    <w:rPr>
      <w:rFonts w:ascii="Tahoma" w:eastAsia="SimSun" w:hAnsi="Tahoma" w:cs="Tahoma"/>
      <w:sz w:val="16"/>
      <w:szCs w:val="16"/>
      <w:lang w:eastAsia="zh-CN"/>
    </w:rPr>
  </w:style>
  <w:style w:type="paragraph" w:styleId="ListParagraph">
    <w:name w:val="List Paragraph"/>
    <w:basedOn w:val="Normal"/>
    <w:uiPriority w:val="34"/>
    <w:qFormat/>
    <w:rsid w:val="004118AE"/>
    <w:pPr>
      <w:ind w:left="720"/>
      <w:contextualSpacing/>
    </w:pPr>
  </w:style>
  <w:style w:type="character" w:styleId="FootnoteReference">
    <w:name w:val="footnote reference"/>
    <w:basedOn w:val="DefaultParagraphFont"/>
    <w:uiPriority w:val="99"/>
    <w:unhideWhenUsed/>
    <w:rsid w:val="00110FEA"/>
    <w:rPr>
      <w:vertAlign w:val="superscript"/>
    </w:rPr>
  </w:style>
  <w:style w:type="paragraph" w:customStyle="1" w:styleId="Default">
    <w:name w:val="Default"/>
    <w:rsid w:val="00110FEA"/>
    <w:pPr>
      <w:autoSpaceDE w:val="0"/>
      <w:autoSpaceDN w:val="0"/>
      <w:adjustRightInd w:val="0"/>
    </w:pPr>
    <w:rPr>
      <w:rFonts w:ascii="Arial" w:eastAsiaTheme="minorEastAsia" w:hAnsi="Arial" w:cs="Arial"/>
      <w:color w:val="000000"/>
      <w:sz w:val="24"/>
      <w:szCs w:val="24"/>
      <w:lang w:val="en-GB" w:eastAsia="en-GB"/>
    </w:rPr>
  </w:style>
  <w:style w:type="character" w:styleId="Strong">
    <w:name w:val="Strong"/>
    <w:basedOn w:val="DefaultParagraphFont"/>
    <w:uiPriority w:val="22"/>
    <w:qFormat/>
    <w:rsid w:val="00110FEA"/>
    <w:rPr>
      <w:b/>
      <w:bCs/>
    </w:rPr>
  </w:style>
  <w:style w:type="paragraph" w:customStyle="1" w:styleId="font8">
    <w:name w:val="font_8"/>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customStyle="1" w:styleId="color23">
    <w:name w:val="color_23"/>
    <w:basedOn w:val="DefaultParagraphFont"/>
    <w:rsid w:val="00110FEA"/>
  </w:style>
  <w:style w:type="character" w:customStyle="1" w:styleId="apple-converted-space">
    <w:name w:val="apple-converted-space"/>
    <w:basedOn w:val="DefaultParagraphFont"/>
    <w:rsid w:val="00110FEA"/>
  </w:style>
  <w:style w:type="character" w:customStyle="1" w:styleId="color2">
    <w:name w:val="color_2"/>
    <w:basedOn w:val="DefaultParagraphFont"/>
    <w:rsid w:val="00110FEA"/>
  </w:style>
  <w:style w:type="table" w:styleId="TableGrid">
    <w:name w:val="Table Grid"/>
    <w:basedOn w:val="TableNormal"/>
    <w:uiPriority w:val="59"/>
    <w:rsid w:val="00110FEA"/>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FEA"/>
    <w:rPr>
      <w:color w:val="0000FF"/>
      <w:u w:val="single"/>
    </w:rPr>
  </w:style>
  <w:style w:type="character" w:customStyle="1" w:styleId="ref">
    <w:name w:val="ref"/>
    <w:basedOn w:val="DefaultParagraphFont"/>
    <w:rsid w:val="00110FEA"/>
  </w:style>
  <w:style w:type="character" w:customStyle="1" w:styleId="Title1">
    <w:name w:val="Title1"/>
    <w:basedOn w:val="DefaultParagraphFont"/>
    <w:rsid w:val="00110FEA"/>
  </w:style>
  <w:style w:type="character" w:styleId="Emphasis">
    <w:name w:val="Emphasis"/>
    <w:basedOn w:val="DefaultParagraphFont"/>
    <w:uiPriority w:val="20"/>
    <w:qFormat/>
    <w:rsid w:val="00110FEA"/>
    <w:rPr>
      <w:i/>
      <w:iCs/>
    </w:rPr>
  </w:style>
  <w:style w:type="paragraph" w:customStyle="1" w:styleId="m-1896040102311549777default">
    <w:name w:val="m_-1896040102311549777default"/>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7A25BA"/>
    <w:pPr>
      <w:widowControl w:val="0"/>
      <w:suppressLineNumbers/>
      <w:suppressAutoHyphens/>
    </w:pPr>
    <w:rPr>
      <w:rFonts w:cs="Mangal"/>
      <w:kern w:val="1"/>
      <w:szCs w:val="24"/>
      <w:lang w:bidi="hi-IN"/>
    </w:rPr>
  </w:style>
  <w:style w:type="paragraph" w:customStyle="1" w:styleId="text1">
    <w:name w:val="text1"/>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styleId="CommentReference">
    <w:name w:val="annotation reference"/>
    <w:basedOn w:val="DefaultParagraphFont"/>
    <w:uiPriority w:val="99"/>
    <w:unhideWhenUsed/>
    <w:rsid w:val="00110FEA"/>
    <w:rPr>
      <w:sz w:val="16"/>
      <w:szCs w:val="16"/>
    </w:rPr>
  </w:style>
  <w:style w:type="character" w:customStyle="1" w:styleId="CommentTextChar">
    <w:name w:val="Comment Text Char"/>
    <w:basedOn w:val="DefaultParagraphFont"/>
    <w:link w:val="CommentText"/>
    <w:semiHidden/>
    <w:rsid w:val="004118AE"/>
    <w:rPr>
      <w:rFonts w:ascii="Arial" w:eastAsia="SimSun" w:hAnsi="Arial" w:cs="Arial"/>
      <w:sz w:val="18"/>
      <w:lang w:val="fr-CH" w:eastAsia="zh-CN"/>
    </w:rPr>
  </w:style>
  <w:style w:type="paragraph" w:styleId="CommentSubject">
    <w:name w:val="annotation subject"/>
    <w:basedOn w:val="CommentText"/>
    <w:next w:val="CommentText"/>
    <w:link w:val="CommentSubjectChar"/>
    <w:uiPriority w:val="99"/>
    <w:unhideWhenUsed/>
    <w:rsid w:val="00110FEA"/>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1"/>
    <w:link w:val="CommentSubject"/>
    <w:uiPriority w:val="99"/>
    <w:rsid w:val="00110FEA"/>
    <w:rPr>
      <w:rFonts w:asciiTheme="minorHAnsi" w:eastAsiaTheme="minorEastAsia" w:hAnsiTheme="minorHAnsi" w:cstheme="minorBidi"/>
      <w:b/>
      <w:bCs/>
      <w:sz w:val="18"/>
      <w:lang w:val="en-GB" w:eastAsia="en-GB"/>
    </w:rPr>
  </w:style>
  <w:style w:type="paragraph" w:customStyle="1" w:styleId="Guidance">
    <w:name w:val="Guidance"/>
    <w:basedOn w:val="Normal"/>
    <w:uiPriority w:val="99"/>
    <w:rsid w:val="00F76C35"/>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uiPriority w:val="99"/>
    <w:rsid w:val="00F76C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F76C35"/>
    <w:rPr>
      <w:rFonts w:ascii="Courier New" w:hAnsi="Courier New"/>
      <w:sz w:val="16"/>
    </w:rPr>
  </w:style>
  <w:style w:type="character" w:styleId="PageNumber">
    <w:name w:val="page number"/>
    <w:basedOn w:val="DefaultParagraphFont"/>
    <w:uiPriority w:val="99"/>
    <w:rsid w:val="00F76C35"/>
    <w:rPr>
      <w:rFonts w:cs="Times New Roman"/>
    </w:rPr>
  </w:style>
  <w:style w:type="paragraph" w:customStyle="1" w:styleId="GuidanceNumbered">
    <w:name w:val="Guidance Numbered"/>
    <w:basedOn w:val="Guidance"/>
    <w:uiPriority w:val="99"/>
    <w:rsid w:val="00F76C35"/>
    <w:pPr>
      <w:keepNext/>
      <w:keepLines/>
      <w:ind w:left="567" w:hanging="567"/>
    </w:pPr>
    <w:rPr>
      <w:rFonts w:eastAsia="SimSun"/>
    </w:rPr>
  </w:style>
  <w:style w:type="paragraph" w:customStyle="1" w:styleId="GuidanceNumbereda">
    <w:name w:val="Guidance Numbered (a)"/>
    <w:basedOn w:val="GuidanceNumbered"/>
    <w:uiPriority w:val="99"/>
    <w:rsid w:val="00F76C35"/>
    <w:pPr>
      <w:tabs>
        <w:tab w:val="left" w:pos="567"/>
      </w:tabs>
      <w:ind w:left="1134" w:hanging="1134"/>
    </w:pPr>
  </w:style>
  <w:style w:type="paragraph" w:customStyle="1" w:styleId="GuidanceNumberedai">
    <w:name w:val="Guidance Numbered (a)(i)"/>
    <w:basedOn w:val="GuidanceNumbereda"/>
    <w:uiPriority w:val="99"/>
    <w:rsid w:val="00F76C35"/>
    <w:pPr>
      <w:tabs>
        <w:tab w:val="clear" w:pos="567"/>
        <w:tab w:val="left" w:pos="1134"/>
      </w:tabs>
      <w:ind w:left="1701" w:hanging="1701"/>
    </w:pPr>
  </w:style>
  <w:style w:type="paragraph" w:styleId="NormalWeb">
    <w:name w:val="Normal (Web)"/>
    <w:basedOn w:val="Normal"/>
    <w:uiPriority w:val="99"/>
    <w:rsid w:val="00F76C35"/>
    <w:pPr>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CM103">
    <w:name w:val="CM103"/>
    <w:basedOn w:val="Default"/>
    <w:next w:val="Default"/>
    <w:uiPriority w:val="99"/>
    <w:rsid w:val="00F76C35"/>
    <w:rPr>
      <w:rFonts w:eastAsiaTheme="minorHAnsi"/>
      <w:color w:val="auto"/>
      <w:lang w:val="en-PH" w:eastAsia="en-US"/>
    </w:rPr>
  </w:style>
  <w:style w:type="paragraph" w:customStyle="1" w:styleId="CM13">
    <w:name w:val="CM13"/>
    <w:basedOn w:val="Default"/>
    <w:next w:val="Default"/>
    <w:uiPriority w:val="99"/>
    <w:rsid w:val="00F76C35"/>
    <w:pPr>
      <w:spacing w:line="253" w:lineRule="atLeast"/>
    </w:pPr>
    <w:rPr>
      <w:rFonts w:eastAsiaTheme="minorHAnsi"/>
      <w:color w:val="auto"/>
      <w:lang w:val="en-PH" w:eastAsia="en-US"/>
    </w:rPr>
  </w:style>
  <w:style w:type="paragraph" w:customStyle="1" w:styleId="Meetingplacedate">
    <w:name w:val="Meeting place &amp; date"/>
    <w:basedOn w:val="Normal"/>
    <w:next w:val="Normal"/>
    <w:rsid w:val="004118A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118AE"/>
    <w:pPr>
      <w:spacing w:line="336" w:lineRule="exact"/>
      <w:ind w:left="1021"/>
    </w:pPr>
    <w:rPr>
      <w:rFonts w:eastAsia="Times New Roman" w:cs="Times New Roman"/>
      <w:b/>
      <w:sz w:val="28"/>
      <w:lang w:val="fr-FR" w:eastAsia="en-US"/>
    </w:rPr>
  </w:style>
  <w:style w:type="paragraph" w:styleId="Revision">
    <w:name w:val="Revision"/>
    <w:hidden/>
    <w:uiPriority w:val="99"/>
    <w:semiHidden/>
    <w:rsid w:val="008C1458"/>
    <w:rPr>
      <w:rFonts w:ascii="Arial" w:eastAsia="SimSun" w:hAnsi="Arial" w:cs="Arial"/>
      <w:sz w:val="22"/>
      <w:lang w:eastAsia="zh-CN"/>
    </w:rPr>
  </w:style>
  <w:style w:type="character" w:customStyle="1" w:styleId="Mention">
    <w:name w:val="Mention"/>
    <w:basedOn w:val="DefaultParagraphFont"/>
    <w:uiPriority w:val="99"/>
    <w:semiHidden/>
    <w:unhideWhenUsed/>
    <w:rsid w:val="008C145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ronilemmavi.remoquillo@ipophil.gov.ph"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merito.carag@ipophil.gov.ph" TargetMode="Externa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DD85-AB1F-475C-A6A4-3A727ABA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21478</Words>
  <Characters>122426</Characters>
  <Application>Microsoft Office Word</Application>
  <DocSecurity>0</DocSecurity>
  <Lines>1020</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PCT/CTC/30/2 Rev.</vt:lpstr>
      <vt:lpstr>PCT/CTC/30/2 Rev.</vt:lpstr>
    </vt:vector>
  </TitlesOfParts>
  <Company>WIPO</Company>
  <LinksUpToDate>false</LinksUpToDate>
  <CharactersWithSpaces>143617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 Rev.</dc:title>
  <dc:subject>Appointment of the Intellectual Property Office of the Philippines as an International Searching and Preliminary Examining Authority Under the PCT</dc:subject>
  <dc:creator>MARLOW Thomas</dc:creator>
  <cp:lastModifiedBy>MARLOW Thomas</cp:lastModifiedBy>
  <cp:revision>3</cp:revision>
  <cp:lastPrinted>2017-04-06T09:00:00Z</cp:lastPrinted>
  <dcterms:created xsi:type="dcterms:W3CDTF">2017-04-06T10:09:00Z</dcterms:created>
  <dcterms:modified xsi:type="dcterms:W3CDTF">2017-04-06T10:12:00Z</dcterms:modified>
</cp:coreProperties>
</file>