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77E1D" w:rsidRPr="0013141F" w:rsidTr="00F05C2D">
        <w:tc>
          <w:tcPr>
            <w:tcW w:w="4513" w:type="dxa"/>
            <w:tcBorders>
              <w:bottom w:val="single" w:sz="4" w:space="0" w:color="auto"/>
            </w:tcBorders>
            <w:tcMar>
              <w:bottom w:w="170" w:type="dxa"/>
            </w:tcMar>
          </w:tcPr>
          <w:p w:rsidR="00677E1D" w:rsidRPr="0013141F" w:rsidRDefault="00677E1D" w:rsidP="00F05C2D">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677E1D" w:rsidRPr="0013141F" w:rsidRDefault="00677E1D" w:rsidP="00F05C2D">
            <w:pPr>
              <w:rPr>
                <w:lang w:val="fr-FR"/>
              </w:rPr>
            </w:pPr>
            <w:r w:rsidRPr="0013141F">
              <w:rPr>
                <w:noProof/>
                <w:lang w:eastAsia="en-US"/>
              </w:rPr>
              <w:drawing>
                <wp:inline distT="0" distB="0" distL="0" distR="0" wp14:anchorId="2F784C5D" wp14:editId="3516537E">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77E1D" w:rsidRPr="0013141F" w:rsidRDefault="00677E1D" w:rsidP="00F05C2D">
            <w:pPr>
              <w:jc w:val="right"/>
              <w:rPr>
                <w:lang w:val="fr-FR"/>
              </w:rPr>
            </w:pPr>
            <w:r w:rsidRPr="0013141F">
              <w:rPr>
                <w:b/>
                <w:sz w:val="40"/>
                <w:szCs w:val="40"/>
                <w:lang w:val="fr-FR"/>
              </w:rPr>
              <w:t>F</w:t>
            </w:r>
          </w:p>
        </w:tc>
      </w:tr>
      <w:tr w:rsidR="00677E1D" w:rsidRPr="0013141F" w:rsidTr="00F05C2D">
        <w:trPr>
          <w:trHeight w:hRule="exact" w:val="357"/>
        </w:trPr>
        <w:tc>
          <w:tcPr>
            <w:tcW w:w="9356" w:type="dxa"/>
            <w:gridSpan w:val="3"/>
            <w:tcBorders>
              <w:top w:val="single" w:sz="4" w:space="0" w:color="auto"/>
            </w:tcBorders>
            <w:tcMar>
              <w:top w:w="170" w:type="dxa"/>
              <w:left w:w="0" w:type="dxa"/>
              <w:right w:w="0" w:type="dxa"/>
            </w:tcMar>
            <w:vAlign w:val="bottom"/>
          </w:tcPr>
          <w:p w:rsidR="00677E1D" w:rsidRPr="0013141F" w:rsidRDefault="00677E1D" w:rsidP="00F05C2D">
            <w:pPr>
              <w:jc w:val="right"/>
              <w:rPr>
                <w:rFonts w:ascii="Arial Black" w:hAnsi="Arial Black"/>
                <w:caps/>
                <w:sz w:val="15"/>
                <w:lang w:val="fr-FR"/>
              </w:rPr>
            </w:pPr>
            <w:r w:rsidRPr="0013141F">
              <w:rPr>
                <w:rFonts w:ascii="Arial Black" w:hAnsi="Arial Black"/>
                <w:caps/>
                <w:sz w:val="15"/>
                <w:lang w:val="fr-FR"/>
              </w:rPr>
              <w:t>PCT/CTC/30/</w:t>
            </w:r>
            <w:bookmarkStart w:id="2" w:name="Code"/>
            <w:bookmarkEnd w:id="2"/>
            <w:r w:rsidRPr="0013141F">
              <w:rPr>
                <w:rFonts w:ascii="Arial Black" w:hAnsi="Arial Black"/>
                <w:caps/>
                <w:sz w:val="15"/>
                <w:lang w:val="fr-FR"/>
              </w:rPr>
              <w:t>5</w:t>
            </w:r>
          </w:p>
        </w:tc>
      </w:tr>
      <w:tr w:rsidR="00677E1D" w:rsidRPr="0013141F" w:rsidTr="00F05C2D">
        <w:trPr>
          <w:trHeight w:hRule="exact" w:val="170"/>
        </w:trPr>
        <w:tc>
          <w:tcPr>
            <w:tcW w:w="9356" w:type="dxa"/>
            <w:gridSpan w:val="3"/>
            <w:noWrap/>
            <w:tcMar>
              <w:left w:w="0" w:type="dxa"/>
              <w:right w:w="0" w:type="dxa"/>
            </w:tcMar>
            <w:vAlign w:val="bottom"/>
          </w:tcPr>
          <w:p w:rsidR="00677E1D" w:rsidRPr="0013141F" w:rsidRDefault="00677E1D" w:rsidP="00F05C2D">
            <w:pPr>
              <w:jc w:val="right"/>
              <w:rPr>
                <w:rFonts w:ascii="Arial Black" w:hAnsi="Arial Black"/>
                <w:caps/>
                <w:sz w:val="15"/>
                <w:lang w:val="fr-FR"/>
              </w:rPr>
            </w:pPr>
            <w:r w:rsidRPr="0013141F">
              <w:rPr>
                <w:rFonts w:ascii="Arial Black" w:hAnsi="Arial Black"/>
                <w:caps/>
                <w:sz w:val="15"/>
                <w:lang w:val="fr-FR"/>
              </w:rPr>
              <w:t xml:space="preserve">ORIGINAL : </w:t>
            </w:r>
            <w:bookmarkStart w:id="3" w:name="Original"/>
            <w:bookmarkEnd w:id="3"/>
            <w:r w:rsidRPr="0013141F">
              <w:rPr>
                <w:rFonts w:ascii="Arial Black" w:hAnsi="Arial Black"/>
                <w:caps/>
                <w:sz w:val="15"/>
                <w:lang w:val="fr-FR"/>
              </w:rPr>
              <w:t>anglais</w:t>
            </w:r>
          </w:p>
        </w:tc>
      </w:tr>
      <w:tr w:rsidR="00677E1D" w:rsidRPr="0013141F" w:rsidTr="00F05C2D">
        <w:trPr>
          <w:trHeight w:hRule="exact" w:val="198"/>
        </w:trPr>
        <w:tc>
          <w:tcPr>
            <w:tcW w:w="9356" w:type="dxa"/>
            <w:gridSpan w:val="3"/>
            <w:tcMar>
              <w:left w:w="0" w:type="dxa"/>
              <w:right w:w="0" w:type="dxa"/>
            </w:tcMar>
            <w:vAlign w:val="bottom"/>
          </w:tcPr>
          <w:p w:rsidR="00677E1D" w:rsidRPr="0013141F" w:rsidRDefault="00677E1D" w:rsidP="00F05C2D">
            <w:pPr>
              <w:jc w:val="right"/>
              <w:rPr>
                <w:rFonts w:ascii="Arial Black" w:hAnsi="Arial Black"/>
                <w:caps/>
                <w:sz w:val="15"/>
                <w:lang w:val="fr-FR"/>
              </w:rPr>
            </w:pPr>
            <w:r w:rsidRPr="0013141F">
              <w:rPr>
                <w:rFonts w:ascii="Arial Black" w:hAnsi="Arial Black"/>
                <w:caps/>
                <w:sz w:val="15"/>
                <w:lang w:val="fr-FR"/>
              </w:rPr>
              <w:t xml:space="preserve">DATE : </w:t>
            </w:r>
            <w:bookmarkStart w:id="4" w:name="Date"/>
            <w:bookmarkEnd w:id="4"/>
            <w:r w:rsidRPr="0013141F">
              <w:rPr>
                <w:rFonts w:ascii="Arial Black" w:hAnsi="Arial Black"/>
                <w:caps/>
                <w:sz w:val="15"/>
                <w:lang w:val="fr-FR"/>
              </w:rPr>
              <w:t>16 mars 2017</w:t>
            </w:r>
          </w:p>
        </w:tc>
      </w:tr>
    </w:tbl>
    <w:p w:rsidR="00677E1D" w:rsidRPr="0013141F" w:rsidRDefault="00677E1D" w:rsidP="00677E1D">
      <w:pPr>
        <w:rPr>
          <w:lang w:val="fr-FR"/>
        </w:rPr>
      </w:pPr>
    </w:p>
    <w:p w:rsidR="00677E1D" w:rsidRPr="0013141F" w:rsidRDefault="00677E1D" w:rsidP="00677E1D">
      <w:pPr>
        <w:rPr>
          <w:lang w:val="fr-FR"/>
        </w:rPr>
      </w:pPr>
    </w:p>
    <w:p w:rsidR="00677E1D" w:rsidRPr="0013141F" w:rsidRDefault="00677E1D" w:rsidP="00677E1D">
      <w:pPr>
        <w:rPr>
          <w:lang w:val="fr-FR"/>
        </w:rPr>
      </w:pPr>
    </w:p>
    <w:p w:rsidR="00677E1D" w:rsidRPr="0013141F" w:rsidRDefault="00677E1D" w:rsidP="00677E1D">
      <w:pPr>
        <w:rPr>
          <w:lang w:val="fr-FR"/>
        </w:rPr>
      </w:pPr>
    </w:p>
    <w:p w:rsidR="00677E1D" w:rsidRPr="0013141F" w:rsidRDefault="00677E1D" w:rsidP="00677E1D">
      <w:pPr>
        <w:rPr>
          <w:lang w:val="fr-FR"/>
        </w:rPr>
      </w:pPr>
    </w:p>
    <w:p w:rsidR="00677E1D" w:rsidRPr="0013141F" w:rsidRDefault="00677E1D" w:rsidP="00677E1D">
      <w:pPr>
        <w:rPr>
          <w:b/>
          <w:sz w:val="28"/>
          <w:szCs w:val="28"/>
          <w:lang w:val="fr-FR"/>
        </w:rPr>
      </w:pPr>
      <w:r w:rsidRPr="0013141F">
        <w:rPr>
          <w:b/>
          <w:sz w:val="28"/>
          <w:szCs w:val="28"/>
          <w:lang w:val="fr-FR"/>
        </w:rPr>
        <w:t>Traité de coopération en matière de brevets (PCT)</w:t>
      </w:r>
    </w:p>
    <w:p w:rsidR="00677E1D" w:rsidRPr="0013141F" w:rsidRDefault="00677E1D" w:rsidP="00677E1D">
      <w:pPr>
        <w:rPr>
          <w:b/>
          <w:sz w:val="28"/>
          <w:szCs w:val="28"/>
          <w:lang w:val="fr-FR"/>
        </w:rPr>
      </w:pPr>
      <w:r w:rsidRPr="0013141F">
        <w:rPr>
          <w:b/>
          <w:sz w:val="28"/>
          <w:szCs w:val="28"/>
          <w:lang w:val="fr-FR"/>
        </w:rPr>
        <w:t>Comité de coopération technique</w:t>
      </w:r>
    </w:p>
    <w:p w:rsidR="00677E1D" w:rsidRPr="0013141F" w:rsidRDefault="00677E1D" w:rsidP="00677E1D">
      <w:pPr>
        <w:rPr>
          <w:lang w:val="fr-FR"/>
        </w:rPr>
      </w:pPr>
    </w:p>
    <w:p w:rsidR="00677E1D" w:rsidRPr="0013141F" w:rsidRDefault="00677E1D" w:rsidP="00677E1D">
      <w:pPr>
        <w:rPr>
          <w:lang w:val="fr-FR"/>
        </w:rPr>
      </w:pPr>
    </w:p>
    <w:p w:rsidR="00677E1D" w:rsidRPr="0013141F" w:rsidRDefault="00677E1D" w:rsidP="00677E1D">
      <w:pPr>
        <w:rPr>
          <w:b/>
          <w:sz w:val="24"/>
          <w:szCs w:val="24"/>
          <w:lang w:val="fr-FR"/>
        </w:rPr>
      </w:pPr>
      <w:r w:rsidRPr="0013141F">
        <w:rPr>
          <w:b/>
          <w:sz w:val="24"/>
          <w:szCs w:val="24"/>
          <w:lang w:val="fr-FR"/>
        </w:rPr>
        <w:t>Trentième session</w:t>
      </w:r>
    </w:p>
    <w:p w:rsidR="00677E1D" w:rsidRPr="0013141F" w:rsidRDefault="00677E1D" w:rsidP="00677E1D">
      <w:pPr>
        <w:rPr>
          <w:b/>
          <w:sz w:val="24"/>
          <w:szCs w:val="24"/>
          <w:lang w:val="fr-FR"/>
        </w:rPr>
      </w:pPr>
      <w:r w:rsidRPr="0013141F">
        <w:rPr>
          <w:b/>
          <w:sz w:val="24"/>
          <w:szCs w:val="24"/>
          <w:lang w:val="fr-FR"/>
        </w:rPr>
        <w:t>Genève, 8 – 12 mai 2017</w:t>
      </w:r>
    </w:p>
    <w:p w:rsidR="00677E1D" w:rsidRPr="0013141F" w:rsidRDefault="00677E1D" w:rsidP="00677E1D">
      <w:pPr>
        <w:rPr>
          <w:lang w:val="fr-FR"/>
        </w:rPr>
      </w:pPr>
    </w:p>
    <w:p w:rsidR="00677E1D" w:rsidRPr="0013141F" w:rsidRDefault="00677E1D" w:rsidP="00677E1D">
      <w:pPr>
        <w:rPr>
          <w:lang w:val="fr-FR"/>
        </w:rPr>
      </w:pPr>
    </w:p>
    <w:p w:rsidR="00677E1D" w:rsidRPr="0013141F" w:rsidRDefault="00677E1D" w:rsidP="00677E1D">
      <w:pPr>
        <w:rPr>
          <w:lang w:val="fr-FR"/>
        </w:rPr>
      </w:pPr>
    </w:p>
    <w:p w:rsidR="00156949" w:rsidRPr="00BF726C" w:rsidRDefault="005C4003" w:rsidP="00BF726C">
      <w:pPr>
        <w:rPr>
          <w:caps/>
          <w:sz w:val="24"/>
          <w:lang w:val="fr-FR"/>
        </w:rPr>
      </w:pPr>
      <w:r w:rsidRPr="00BF726C">
        <w:rPr>
          <w:caps/>
          <w:sz w:val="24"/>
          <w:lang w:val="fr-FR"/>
        </w:rPr>
        <w:t>Prolongation de la nomination de l</w:t>
      </w:r>
      <w:r w:rsidR="00677E1D" w:rsidRPr="00BF726C">
        <w:rPr>
          <w:caps/>
          <w:sz w:val="24"/>
          <w:lang w:val="fr-FR"/>
        </w:rPr>
        <w:t>’</w:t>
      </w:r>
      <w:r w:rsidRPr="00BF726C">
        <w:rPr>
          <w:caps/>
          <w:sz w:val="24"/>
          <w:lang w:val="fr-FR"/>
        </w:rPr>
        <w:t>Institut national de la propriété industrielle du Brésil en qualité d</w:t>
      </w:r>
      <w:r w:rsidR="00677E1D" w:rsidRPr="00BF726C">
        <w:rPr>
          <w:caps/>
          <w:sz w:val="24"/>
          <w:lang w:val="fr-FR"/>
        </w:rPr>
        <w:t>’</w:t>
      </w:r>
      <w:r w:rsidRPr="00BF726C">
        <w:rPr>
          <w:caps/>
          <w:sz w:val="24"/>
          <w:lang w:val="fr-FR"/>
        </w:rPr>
        <w:t>administration chargée de la recherche internationale et de l</w:t>
      </w:r>
      <w:r w:rsidR="00677E1D" w:rsidRPr="00BF726C">
        <w:rPr>
          <w:caps/>
          <w:sz w:val="24"/>
          <w:lang w:val="fr-FR"/>
        </w:rPr>
        <w:t>’</w:t>
      </w:r>
      <w:r w:rsidRPr="00BF726C">
        <w:rPr>
          <w:caps/>
          <w:sz w:val="24"/>
          <w:lang w:val="fr-FR"/>
        </w:rPr>
        <w:t>examen préliminaire international selon</w:t>
      </w:r>
      <w:r w:rsidR="00677E1D" w:rsidRPr="00BF726C">
        <w:rPr>
          <w:caps/>
          <w:sz w:val="24"/>
          <w:lang w:val="fr-FR"/>
        </w:rPr>
        <w:t xml:space="preserve"> le PCT</w:t>
      </w:r>
    </w:p>
    <w:p w:rsidR="00156949" w:rsidRPr="00BF726C" w:rsidRDefault="00156949" w:rsidP="00BF726C">
      <w:pPr>
        <w:rPr>
          <w:lang w:val="fr-FR"/>
        </w:rPr>
      </w:pPr>
    </w:p>
    <w:p w:rsidR="00156949" w:rsidRPr="00BF726C" w:rsidRDefault="005C4003" w:rsidP="00BF726C">
      <w:pPr>
        <w:rPr>
          <w:i/>
          <w:lang w:val="fr-FR"/>
        </w:rPr>
      </w:pPr>
      <w:bookmarkStart w:id="5" w:name="Prepared"/>
      <w:bookmarkEnd w:id="5"/>
      <w:r w:rsidRPr="00BF726C">
        <w:rPr>
          <w:i/>
          <w:lang w:val="fr-FR"/>
        </w:rPr>
        <w:t>Document établi par le Bureau international</w:t>
      </w:r>
    </w:p>
    <w:p w:rsidR="00156949" w:rsidRPr="00BF726C" w:rsidRDefault="00156949" w:rsidP="00BF726C">
      <w:pPr>
        <w:rPr>
          <w:lang w:val="fr-FR"/>
        </w:rPr>
      </w:pPr>
    </w:p>
    <w:p w:rsidR="00ED120F" w:rsidRPr="00BF726C" w:rsidRDefault="00ED120F" w:rsidP="00BF726C">
      <w:pPr>
        <w:pStyle w:val="ONUMFS"/>
        <w:rPr>
          <w:lang w:val="fr-FR"/>
        </w:rPr>
      </w:pPr>
      <w:bookmarkStart w:id="6" w:name="_Ref447032909"/>
      <w:r w:rsidRPr="00BF726C">
        <w:rPr>
          <w:lang w:val="fr-FR"/>
        </w:rPr>
        <w:t xml:space="preserve">Toutes les administrations internationales existantes ont été nommées par l’Assemblée de l’Union du PCT pour une période s’achevant le 31 décembre 2017.  </w:t>
      </w:r>
      <w:bookmarkEnd w:id="6"/>
      <w:r w:rsidRPr="00BF726C">
        <w:rPr>
          <w:lang w:val="fr-FR"/>
        </w:rPr>
        <w:t>En 2017, l’assemblée devra donc prendre une décision en ce qui concerne la prolongation de la nomination de chaque administration internationale existante qui souhaite demander une telle prolongation, après avoir sollicité l’avis du comit</w:t>
      </w:r>
      <w:r w:rsidR="00BF726C">
        <w:rPr>
          <w:lang w:val="fr-FR"/>
        </w:rPr>
        <w:t>é (voir les articles 16.3)e) et </w:t>
      </w:r>
      <w:r w:rsidRPr="00BF726C">
        <w:rPr>
          <w:lang w:val="fr-FR"/>
        </w:rPr>
        <w:t>32.3) du PCT).  On trouvera des informations concernant la procédure applicable et le rôle du comité dans le document PCT/CTC/30/INF/1.</w:t>
      </w:r>
    </w:p>
    <w:p w:rsidR="00156949" w:rsidRPr="00BF726C" w:rsidRDefault="005C4003" w:rsidP="00BF726C">
      <w:pPr>
        <w:pStyle w:val="ONUMFS"/>
        <w:rPr>
          <w:lang w:val="fr-FR"/>
        </w:rPr>
      </w:pPr>
      <w:r w:rsidRPr="00BF726C">
        <w:rPr>
          <w:lang w:val="fr-FR"/>
        </w:rPr>
        <w:t xml:space="preserve">Le </w:t>
      </w:r>
      <w:r w:rsidR="00677E1D" w:rsidRPr="00BF726C">
        <w:rPr>
          <w:lang w:val="fr-FR"/>
        </w:rPr>
        <w:t>8 mars 20</w:t>
      </w:r>
      <w:r w:rsidRPr="00BF726C">
        <w:rPr>
          <w:lang w:val="fr-FR"/>
        </w:rPr>
        <w:t>17, l</w:t>
      </w:r>
      <w:r w:rsidR="00677E1D" w:rsidRPr="00BF726C">
        <w:rPr>
          <w:lang w:val="fr-FR"/>
        </w:rPr>
        <w:t>’</w:t>
      </w:r>
      <w:r w:rsidRPr="00BF726C">
        <w:rPr>
          <w:lang w:val="fr-FR"/>
        </w:rPr>
        <w:t xml:space="preserve">Institut national de la propriété industrielle du Brésil a </w:t>
      </w:r>
      <w:r w:rsidR="00ED120F" w:rsidRPr="00BF726C">
        <w:rPr>
          <w:lang w:val="fr-FR"/>
        </w:rPr>
        <w:t>présenté</w:t>
      </w:r>
      <w:r w:rsidRPr="00BF726C">
        <w:rPr>
          <w:lang w:val="fr-FR"/>
        </w:rPr>
        <w:t xml:space="preserve"> une demande pour </w:t>
      </w:r>
      <w:r w:rsidR="00ED120F" w:rsidRPr="00BF726C">
        <w:rPr>
          <w:lang w:val="fr-FR"/>
        </w:rPr>
        <w:t>de prolongation de</w:t>
      </w:r>
      <w:r w:rsidRPr="00BF726C">
        <w:rPr>
          <w:lang w:val="fr-FR"/>
        </w:rPr>
        <w:t xml:space="preserve"> sa nomination en qualité d</w:t>
      </w:r>
      <w:r w:rsidR="00677E1D" w:rsidRPr="00BF726C">
        <w:rPr>
          <w:lang w:val="fr-FR"/>
        </w:rPr>
        <w:t>’</w:t>
      </w:r>
      <w:r w:rsidRPr="00BF726C">
        <w:rPr>
          <w:lang w:val="fr-FR"/>
        </w:rPr>
        <w:t xml:space="preserve">administration chargée de la recherche internationale et </w:t>
      </w:r>
      <w:r w:rsidR="00ED120F" w:rsidRPr="00BF726C">
        <w:rPr>
          <w:lang w:val="fr-FR"/>
        </w:rPr>
        <w:t xml:space="preserve">d’administration chargée </w:t>
      </w:r>
      <w:r w:rsidRPr="00BF726C">
        <w:rPr>
          <w:lang w:val="fr-FR"/>
        </w:rPr>
        <w:t>de l</w:t>
      </w:r>
      <w:r w:rsidR="00677E1D" w:rsidRPr="00BF726C">
        <w:rPr>
          <w:lang w:val="fr-FR"/>
        </w:rPr>
        <w:t>’</w:t>
      </w:r>
      <w:r w:rsidRPr="00BF726C">
        <w:rPr>
          <w:lang w:val="fr-FR"/>
        </w:rPr>
        <w:t>examen préliminaire international selon le </w:t>
      </w:r>
      <w:r w:rsidR="002034AB" w:rsidRPr="00BF726C">
        <w:rPr>
          <w:lang w:val="fr-FR"/>
        </w:rPr>
        <w:t>PCT.  Ce</w:t>
      </w:r>
      <w:r w:rsidRPr="00BF726C">
        <w:rPr>
          <w:lang w:val="fr-FR"/>
        </w:rPr>
        <w:t xml:space="preserve">tte demande est reproduite </w:t>
      </w:r>
      <w:r w:rsidR="00ED120F" w:rsidRPr="00BF726C">
        <w:rPr>
          <w:lang w:val="fr-FR"/>
        </w:rPr>
        <w:t>à</w:t>
      </w:r>
      <w:r w:rsidRPr="00BF726C">
        <w:rPr>
          <w:lang w:val="fr-FR"/>
        </w:rPr>
        <w:t xml:space="preserve"> l</w:t>
      </w:r>
      <w:r w:rsidR="00677E1D" w:rsidRPr="00BF726C">
        <w:rPr>
          <w:lang w:val="fr-FR"/>
        </w:rPr>
        <w:t>’</w:t>
      </w:r>
      <w:r w:rsidRPr="00BF726C">
        <w:rPr>
          <w:lang w:val="fr-FR"/>
        </w:rPr>
        <w:t>annexe du présent document.</w:t>
      </w:r>
    </w:p>
    <w:p w:rsidR="00156949" w:rsidRPr="00BF726C" w:rsidRDefault="005C4003" w:rsidP="00BF726C">
      <w:pPr>
        <w:pStyle w:val="ONUMFS"/>
        <w:ind w:left="5533"/>
        <w:rPr>
          <w:i/>
          <w:lang w:val="fr-FR"/>
        </w:rPr>
      </w:pPr>
      <w:r w:rsidRPr="00BF726C">
        <w:rPr>
          <w:i/>
          <w:lang w:val="fr-FR"/>
        </w:rPr>
        <w:t>Le comité est invité à faire part de son avis sur cette question.</w:t>
      </w:r>
    </w:p>
    <w:p w:rsidR="00156949" w:rsidRPr="00BF726C" w:rsidRDefault="00156949" w:rsidP="00BF726C"/>
    <w:p w:rsidR="009B5DE4" w:rsidRPr="00BF726C" w:rsidRDefault="009B5DE4" w:rsidP="00BF726C"/>
    <w:p w:rsidR="00AA5F79" w:rsidRPr="00BF726C" w:rsidRDefault="005C4003" w:rsidP="00BF726C">
      <w:pPr>
        <w:pStyle w:val="ONUME"/>
        <w:numPr>
          <w:ilvl w:val="0"/>
          <w:numId w:val="0"/>
        </w:numPr>
        <w:ind w:left="5533"/>
        <w:rPr>
          <w:lang w:val="fr-FR"/>
        </w:rPr>
        <w:sectPr w:rsidR="00AA5F79" w:rsidRPr="00BF726C" w:rsidSect="009B5DE4">
          <w:headerReference w:type="default" r:id="rId10"/>
          <w:endnotePr>
            <w:numFmt w:val="decimal"/>
          </w:endnotePr>
          <w:pgSz w:w="11907" w:h="16840" w:code="9"/>
          <w:pgMar w:top="567" w:right="1134" w:bottom="1418" w:left="1418" w:header="510" w:footer="1021" w:gutter="0"/>
          <w:cols w:space="720"/>
          <w:titlePg/>
          <w:docGrid w:linePitch="299"/>
        </w:sectPr>
      </w:pPr>
      <w:r w:rsidRPr="00BF726C">
        <w:rPr>
          <w:lang w:val="fr-FR"/>
        </w:rPr>
        <w:t>[L</w:t>
      </w:r>
      <w:r w:rsidR="00677E1D" w:rsidRPr="00BF726C">
        <w:rPr>
          <w:lang w:val="fr-FR"/>
        </w:rPr>
        <w:t>’</w:t>
      </w:r>
      <w:r w:rsidRPr="00BF726C">
        <w:rPr>
          <w:lang w:val="fr-FR"/>
        </w:rPr>
        <w:t>annexe suit]</w:t>
      </w:r>
    </w:p>
    <w:p w:rsidR="00156949" w:rsidRPr="00BF726C" w:rsidRDefault="005C4003" w:rsidP="00BF726C">
      <w:pPr>
        <w:pStyle w:val="ONUME"/>
        <w:numPr>
          <w:ilvl w:val="0"/>
          <w:numId w:val="0"/>
        </w:numPr>
        <w:jc w:val="center"/>
        <w:rPr>
          <w:caps/>
          <w:lang w:val="fr-FR"/>
        </w:rPr>
      </w:pPr>
      <w:r w:rsidRPr="00BF726C">
        <w:rPr>
          <w:caps/>
          <w:lang w:val="fr-FR"/>
        </w:rPr>
        <w:lastRenderedPageBreak/>
        <w:t xml:space="preserve">DEMANDE </w:t>
      </w:r>
      <w:r w:rsidR="00C6342D" w:rsidRPr="00BF726C">
        <w:rPr>
          <w:caps/>
          <w:lang w:val="fr-FR"/>
        </w:rPr>
        <w:t>de prolongation de la nomination de</w:t>
      </w:r>
      <w:r w:rsidRPr="00BF726C">
        <w:rPr>
          <w:caps/>
          <w:lang w:val="fr-FR"/>
        </w:rPr>
        <w:t xml:space="preserve"> l</w:t>
      </w:r>
      <w:r w:rsidR="00677E1D" w:rsidRPr="00BF726C">
        <w:rPr>
          <w:caps/>
          <w:lang w:val="fr-FR"/>
        </w:rPr>
        <w:t>’</w:t>
      </w:r>
      <w:r w:rsidRPr="00BF726C">
        <w:rPr>
          <w:caps/>
          <w:lang w:val="fr-FR"/>
        </w:rPr>
        <w:t>Institut national de la propriété industrielle du Brésil EN QUALITÉ d</w:t>
      </w:r>
      <w:r w:rsidR="00677E1D" w:rsidRPr="00BF726C">
        <w:rPr>
          <w:caps/>
          <w:lang w:val="fr-FR"/>
        </w:rPr>
        <w:t>’</w:t>
      </w:r>
      <w:r w:rsidRPr="00BF726C">
        <w:rPr>
          <w:caps/>
          <w:lang w:val="fr-FR"/>
        </w:rPr>
        <w:t>administration chargée de la recherche internationale et de l</w:t>
      </w:r>
      <w:r w:rsidR="00677E1D" w:rsidRPr="00BF726C">
        <w:rPr>
          <w:caps/>
          <w:lang w:val="fr-FR"/>
        </w:rPr>
        <w:t>’</w:t>
      </w:r>
      <w:r w:rsidRPr="00BF726C">
        <w:rPr>
          <w:caps/>
          <w:lang w:val="fr-FR"/>
        </w:rPr>
        <w:t>examen préliminaire international selon</w:t>
      </w:r>
      <w:r w:rsidR="00677E1D" w:rsidRPr="00BF726C">
        <w:rPr>
          <w:caps/>
          <w:lang w:val="fr-FR"/>
        </w:rPr>
        <w:t xml:space="preserve"> le PCT</w:t>
      </w:r>
    </w:p>
    <w:p w:rsidR="00156949" w:rsidRPr="00BF726C" w:rsidRDefault="00156949" w:rsidP="00BF726C">
      <w:pPr>
        <w:pStyle w:val="ONUME"/>
        <w:numPr>
          <w:ilvl w:val="0"/>
          <w:numId w:val="0"/>
        </w:numPr>
        <w:rPr>
          <w:lang w:val="fr-FR"/>
        </w:rPr>
      </w:pPr>
    </w:p>
    <w:p w:rsidR="00156949" w:rsidRPr="00BF726C" w:rsidRDefault="005C4003" w:rsidP="00BF726C">
      <w:pPr>
        <w:pStyle w:val="Heading1"/>
        <w:rPr>
          <w:lang w:val="fr-FR"/>
        </w:rPr>
      </w:pPr>
      <w:r w:rsidRPr="00BF726C">
        <w:rPr>
          <w:lang w:val="fr-FR"/>
        </w:rPr>
        <w:t xml:space="preserve">Demande de </w:t>
      </w:r>
      <w:r w:rsidR="00C6342D" w:rsidRPr="00BF726C">
        <w:rPr>
          <w:lang w:val="fr-FR"/>
        </w:rPr>
        <w:t>renouvellement</w:t>
      </w:r>
    </w:p>
    <w:p w:rsidR="00156949" w:rsidRPr="00BF726C" w:rsidRDefault="00F4498E" w:rsidP="00BF726C">
      <w:pPr>
        <w:rPr>
          <w:lang w:val="fr-FR"/>
        </w:rPr>
      </w:pPr>
      <w:r w:rsidRPr="00BF726C">
        <w:rPr>
          <w:lang w:val="fr-FR"/>
        </w:rPr>
        <w:t>L</w:t>
      </w:r>
      <w:r w:rsidR="00677E1D" w:rsidRPr="00BF726C">
        <w:rPr>
          <w:lang w:val="fr-FR"/>
        </w:rPr>
        <w:t>’</w:t>
      </w:r>
      <w:r w:rsidRPr="00BF726C">
        <w:rPr>
          <w:lang w:val="fr-FR"/>
        </w:rPr>
        <w:t>Institut national de la propriété industrielle du Brésil (</w:t>
      </w:r>
      <w:r w:rsidR="003A4004" w:rsidRPr="00BF726C">
        <w:rPr>
          <w:lang w:val="fr-FR"/>
        </w:rPr>
        <w:t>ci</w:t>
      </w:r>
      <w:r w:rsidR="009B5DE4" w:rsidRPr="00BF726C">
        <w:rPr>
          <w:lang w:val="fr-FR"/>
        </w:rPr>
        <w:noBreakHyphen/>
      </w:r>
      <w:r w:rsidR="003A4004" w:rsidRPr="00BF726C">
        <w:rPr>
          <w:lang w:val="fr-FR"/>
        </w:rPr>
        <w:t xml:space="preserve">après </w:t>
      </w:r>
      <w:r w:rsidR="00063D0F" w:rsidRPr="00BF726C">
        <w:rPr>
          <w:lang w:val="fr-FR"/>
        </w:rPr>
        <w:t>“</w:t>
      </w:r>
      <w:r w:rsidRPr="00BF726C">
        <w:rPr>
          <w:lang w:val="fr-FR"/>
        </w:rPr>
        <w:t>INPI</w:t>
      </w:r>
      <w:r w:rsidR="009B5DE4" w:rsidRPr="00BF726C">
        <w:rPr>
          <w:lang w:val="fr-FR"/>
        </w:rPr>
        <w:noBreakHyphen/>
      </w:r>
      <w:r w:rsidRPr="00BF726C">
        <w:rPr>
          <w:lang w:val="fr-FR"/>
        </w:rPr>
        <w:t>Br</w:t>
      </w:r>
      <w:r w:rsidR="00063D0F" w:rsidRPr="00BF726C">
        <w:rPr>
          <w:lang w:val="fr-FR"/>
        </w:rPr>
        <w:t>”</w:t>
      </w:r>
      <w:r w:rsidRPr="00BF726C">
        <w:rPr>
          <w:lang w:val="fr-FR"/>
        </w:rPr>
        <w:t>) a été nommé en qualité d</w:t>
      </w:r>
      <w:r w:rsidR="00677E1D" w:rsidRPr="00BF726C">
        <w:rPr>
          <w:lang w:val="fr-FR"/>
        </w:rPr>
        <w:t>’</w:t>
      </w:r>
      <w:r w:rsidRPr="00BF726C">
        <w:rPr>
          <w:lang w:val="fr-FR"/>
        </w:rPr>
        <w:t>administration chargée de la recherche internationale et de l</w:t>
      </w:r>
      <w:r w:rsidR="00677E1D" w:rsidRPr="00BF726C">
        <w:rPr>
          <w:lang w:val="fr-FR"/>
        </w:rPr>
        <w:t>’</w:t>
      </w:r>
      <w:r w:rsidRPr="00BF726C">
        <w:rPr>
          <w:lang w:val="fr-FR"/>
        </w:rPr>
        <w:t>examen préliminaire international selon</w:t>
      </w:r>
      <w:r w:rsidR="00677E1D" w:rsidRPr="00BF726C">
        <w:rPr>
          <w:lang w:val="fr-FR"/>
        </w:rPr>
        <w:t xml:space="preserve"> le PCT</w:t>
      </w:r>
      <w:r w:rsidRPr="00BF726C">
        <w:rPr>
          <w:lang w:val="fr-FR"/>
        </w:rPr>
        <w:t xml:space="preserve"> à la trente</w:t>
      </w:r>
      <w:r w:rsidR="009B5DE4" w:rsidRPr="00BF726C">
        <w:rPr>
          <w:lang w:val="fr-FR"/>
        </w:rPr>
        <w:noBreakHyphen/>
      </w:r>
      <w:r w:rsidRPr="00BF726C">
        <w:rPr>
          <w:lang w:val="fr-FR"/>
        </w:rPr>
        <w:t>six</w:t>
      </w:r>
      <w:r w:rsidR="00677E1D" w:rsidRPr="00BF726C">
        <w:rPr>
          <w:lang w:val="fr-FR"/>
        </w:rPr>
        <w:t>ième session</w:t>
      </w:r>
      <w:r w:rsidRPr="00BF726C">
        <w:rPr>
          <w:lang w:val="fr-FR"/>
        </w:rPr>
        <w:t xml:space="preserve"> de l</w:t>
      </w:r>
      <w:r w:rsidR="00677E1D" w:rsidRPr="00BF726C">
        <w:rPr>
          <w:lang w:val="fr-FR"/>
        </w:rPr>
        <w:t>’</w:t>
      </w:r>
      <w:r w:rsidRPr="00BF726C">
        <w:rPr>
          <w:lang w:val="fr-FR"/>
        </w:rPr>
        <w:t>Assemblée de l</w:t>
      </w:r>
      <w:r w:rsidR="00677E1D" w:rsidRPr="00BF726C">
        <w:rPr>
          <w:lang w:val="fr-FR"/>
        </w:rPr>
        <w:t>’</w:t>
      </w:r>
      <w:r w:rsidRPr="00BF726C">
        <w:rPr>
          <w:lang w:val="fr-FR"/>
        </w:rPr>
        <w:t>Union du PCT, en septembre</w:t>
      </w:r>
      <w:r w:rsidR="009B5DE4" w:rsidRPr="00BF726C">
        <w:rPr>
          <w:lang w:val="fr-FR"/>
        </w:rPr>
        <w:noBreakHyphen/>
      </w:r>
      <w:r w:rsidR="00677E1D" w:rsidRPr="00BF726C">
        <w:rPr>
          <w:lang w:val="fr-FR"/>
        </w:rPr>
        <w:t>octobre 20</w:t>
      </w:r>
      <w:r w:rsidRPr="00BF726C">
        <w:rPr>
          <w:lang w:val="fr-FR"/>
        </w:rPr>
        <w:t>07, session au cours de laquelle le portugais a été ajouté aux langues de publicati</w:t>
      </w:r>
      <w:r w:rsidR="002034AB" w:rsidRPr="00BF726C">
        <w:rPr>
          <w:lang w:val="fr-FR"/>
        </w:rPr>
        <w:t>on.  La</w:t>
      </w:r>
      <w:r w:rsidRPr="00BF726C">
        <w:rPr>
          <w:lang w:val="fr-FR"/>
        </w:rPr>
        <w:t xml:space="preserve"> nomination a effet jusqu</w:t>
      </w:r>
      <w:r w:rsidR="00677E1D" w:rsidRPr="00BF726C">
        <w:rPr>
          <w:lang w:val="fr-FR"/>
        </w:rPr>
        <w:t>’</w:t>
      </w:r>
      <w:r w:rsidRPr="00BF726C">
        <w:rPr>
          <w:lang w:val="fr-FR"/>
        </w:rPr>
        <w:t>au 3</w:t>
      </w:r>
      <w:r w:rsidR="00677E1D" w:rsidRPr="00BF726C">
        <w:rPr>
          <w:lang w:val="fr-FR"/>
        </w:rPr>
        <w:t>1 décembre 20</w:t>
      </w:r>
      <w:r w:rsidRPr="00BF726C">
        <w:rPr>
          <w:lang w:val="fr-FR"/>
        </w:rPr>
        <w:t>17.</w:t>
      </w:r>
      <w:r w:rsidR="0006103C" w:rsidRPr="00BF726C">
        <w:rPr>
          <w:lang w:val="fr-FR"/>
        </w:rPr>
        <w:t xml:space="preserve">  </w:t>
      </w:r>
      <w:r w:rsidR="000B23A4" w:rsidRPr="00BF726C">
        <w:rPr>
          <w:lang w:val="fr-FR"/>
        </w:rPr>
        <w:t>Cet institut a contribué efficacement à rendre le système</w:t>
      </w:r>
      <w:r w:rsidR="00677E1D" w:rsidRPr="00BF726C">
        <w:rPr>
          <w:lang w:val="fr-FR"/>
        </w:rPr>
        <w:t xml:space="preserve"> du PCT</w:t>
      </w:r>
      <w:r w:rsidR="000B23A4" w:rsidRPr="00BF726C">
        <w:rPr>
          <w:lang w:val="fr-FR"/>
        </w:rPr>
        <w:t xml:space="preserve"> plus accessible pour les déposants des régions Amérique latine et Caraïbes et, en particulier, pour les déposants rédigeant en portugais.</w:t>
      </w:r>
    </w:p>
    <w:p w:rsidR="00156949" w:rsidRPr="00BF726C" w:rsidRDefault="00156949" w:rsidP="00BF726C">
      <w:pPr>
        <w:rPr>
          <w:lang w:val="fr-FR"/>
        </w:rPr>
      </w:pPr>
    </w:p>
    <w:p w:rsidR="00156949" w:rsidRPr="00BF726C" w:rsidRDefault="00A67EB4" w:rsidP="00BF726C">
      <w:pPr>
        <w:rPr>
          <w:lang w:val="fr-FR"/>
        </w:rPr>
      </w:pPr>
      <w:r w:rsidRPr="00BF726C">
        <w:rPr>
          <w:lang w:val="fr-FR"/>
        </w:rPr>
        <w:t>L</w:t>
      </w:r>
      <w:r w:rsidR="00677E1D" w:rsidRPr="00BF726C">
        <w:rPr>
          <w:lang w:val="fr-FR"/>
        </w:rPr>
        <w:t>’</w:t>
      </w:r>
      <w:r w:rsidR="000B23A4" w:rsidRPr="00BF726C">
        <w:rPr>
          <w:lang w:val="fr-FR"/>
        </w:rPr>
        <w:t>INPI</w:t>
      </w:r>
      <w:r w:rsidR="009B5DE4" w:rsidRPr="00BF726C">
        <w:rPr>
          <w:lang w:val="fr-FR"/>
        </w:rPr>
        <w:noBreakHyphen/>
      </w:r>
      <w:r w:rsidR="000B23A4" w:rsidRPr="00BF726C">
        <w:rPr>
          <w:lang w:val="fr-FR"/>
        </w:rPr>
        <w:t>Br demande à présent la prolongation de sa nominati</w:t>
      </w:r>
      <w:r w:rsidR="002034AB" w:rsidRPr="00BF726C">
        <w:rPr>
          <w:lang w:val="fr-FR"/>
        </w:rPr>
        <w:t>on.  Co</w:t>
      </w:r>
      <w:r w:rsidR="000B23A4" w:rsidRPr="00BF726C">
        <w:rPr>
          <w:lang w:val="fr-FR"/>
        </w:rPr>
        <w:t xml:space="preserve">mme </w:t>
      </w:r>
      <w:r w:rsidR="002745B5" w:rsidRPr="00BF726C">
        <w:rPr>
          <w:lang w:val="fr-FR"/>
        </w:rPr>
        <w:t>cela est expliqué plus bas, celle</w:t>
      </w:r>
      <w:r w:rsidR="009B5DE4" w:rsidRPr="00BF726C">
        <w:rPr>
          <w:lang w:val="fr-FR"/>
        </w:rPr>
        <w:noBreakHyphen/>
      </w:r>
      <w:r w:rsidR="002745B5" w:rsidRPr="00BF726C">
        <w:rPr>
          <w:lang w:val="fr-FR"/>
        </w:rPr>
        <w:t>ci</w:t>
      </w:r>
      <w:r w:rsidR="000B23A4" w:rsidRPr="00BF726C">
        <w:rPr>
          <w:lang w:val="fr-FR"/>
        </w:rPr>
        <w:t xml:space="preserve"> renforcera</w:t>
      </w:r>
      <w:r w:rsidR="002745B5" w:rsidRPr="00BF726C">
        <w:rPr>
          <w:lang w:val="fr-FR"/>
        </w:rPr>
        <w:t>it</w:t>
      </w:r>
      <w:r w:rsidR="000B23A4" w:rsidRPr="00BF726C">
        <w:rPr>
          <w:lang w:val="fr-FR"/>
        </w:rPr>
        <w:t xml:space="preserve"> à la fois le système</w:t>
      </w:r>
      <w:r w:rsidR="00677E1D" w:rsidRPr="00BF726C">
        <w:rPr>
          <w:lang w:val="fr-FR"/>
        </w:rPr>
        <w:t xml:space="preserve"> du PCT</w:t>
      </w:r>
      <w:r w:rsidR="000B23A4" w:rsidRPr="00BF726C">
        <w:rPr>
          <w:lang w:val="fr-FR"/>
        </w:rPr>
        <w:t xml:space="preserve"> dans son ensemble et la capacité de l</w:t>
      </w:r>
      <w:r w:rsidR="00677E1D" w:rsidRPr="00BF726C">
        <w:rPr>
          <w:lang w:val="fr-FR"/>
        </w:rPr>
        <w:t>’</w:t>
      </w:r>
      <w:r w:rsidR="000B23A4" w:rsidRPr="00BF726C">
        <w:rPr>
          <w:lang w:val="fr-FR"/>
        </w:rPr>
        <w:t>INPI</w:t>
      </w:r>
      <w:r w:rsidR="009B5DE4" w:rsidRPr="00BF726C">
        <w:rPr>
          <w:lang w:val="fr-FR"/>
        </w:rPr>
        <w:noBreakHyphen/>
      </w:r>
      <w:r w:rsidR="000B23A4" w:rsidRPr="00BF726C">
        <w:rPr>
          <w:lang w:val="fr-FR"/>
        </w:rPr>
        <w:t>Br à favoriser l</w:t>
      </w:r>
      <w:r w:rsidR="00677E1D" w:rsidRPr="00BF726C">
        <w:rPr>
          <w:lang w:val="fr-FR"/>
        </w:rPr>
        <w:t>’</w:t>
      </w:r>
      <w:r w:rsidR="000B23A4" w:rsidRPr="00BF726C">
        <w:rPr>
          <w:lang w:val="fr-FR"/>
        </w:rPr>
        <w:t>innovation et la qualité des brevets au Brésil et dans la région.</w:t>
      </w:r>
    </w:p>
    <w:p w:rsidR="00156949" w:rsidRPr="00BF726C" w:rsidRDefault="000B23A4" w:rsidP="00BF726C">
      <w:pPr>
        <w:pStyle w:val="Heading1"/>
        <w:rPr>
          <w:lang w:val="fr-FR"/>
        </w:rPr>
      </w:pPr>
      <w:r w:rsidRPr="00BF726C">
        <w:rPr>
          <w:lang w:val="fr-FR"/>
        </w:rPr>
        <w:t>Informations générales</w:t>
      </w:r>
    </w:p>
    <w:p w:rsidR="00156949" w:rsidRPr="00BF726C" w:rsidRDefault="000B23A4" w:rsidP="00BF726C">
      <w:pPr>
        <w:rPr>
          <w:lang w:val="fr-FR"/>
        </w:rPr>
      </w:pPr>
      <w:r w:rsidRPr="00BF726C">
        <w:rPr>
          <w:lang w:val="fr-FR"/>
        </w:rPr>
        <w:t>L</w:t>
      </w:r>
      <w:r w:rsidR="00677E1D" w:rsidRPr="00BF726C">
        <w:rPr>
          <w:lang w:val="fr-FR"/>
        </w:rPr>
        <w:t>’</w:t>
      </w:r>
      <w:r w:rsidRPr="00BF726C">
        <w:rPr>
          <w:lang w:val="fr-FR"/>
        </w:rPr>
        <w:t>innovation et la propriété intellectuelle sont des concepts essentiels pour</w:t>
      </w:r>
      <w:r w:rsidR="00677E1D" w:rsidRPr="00BF726C">
        <w:rPr>
          <w:lang w:val="fr-FR"/>
        </w:rPr>
        <w:t xml:space="preserve"> le XXI</w:t>
      </w:r>
      <w:r w:rsidRPr="00BF726C">
        <w:rPr>
          <w:vertAlign w:val="superscript"/>
          <w:lang w:val="fr-FR"/>
        </w:rPr>
        <w:t>e</w:t>
      </w:r>
      <w:r w:rsidRPr="00BF726C">
        <w:rPr>
          <w:lang w:val="fr-FR"/>
        </w:rPr>
        <w:t> siècle</w:t>
      </w:r>
      <w:r w:rsidR="002745B5" w:rsidRPr="00BF726C">
        <w:rPr>
          <w:lang w:val="fr-FR"/>
        </w:rPr>
        <w:t>,</w:t>
      </w:r>
      <w:r w:rsidRPr="00BF726C">
        <w:rPr>
          <w:lang w:val="fr-FR"/>
        </w:rPr>
        <w:t xml:space="preserve"> dont la maîtrise permet aux pays de mieux s</w:t>
      </w:r>
      <w:r w:rsidR="00677E1D" w:rsidRPr="00BF726C">
        <w:rPr>
          <w:lang w:val="fr-FR"/>
        </w:rPr>
        <w:t>’</w:t>
      </w:r>
      <w:r w:rsidRPr="00BF726C">
        <w:rPr>
          <w:lang w:val="fr-FR"/>
        </w:rPr>
        <w:t>armer pour développer leur économie, leurs techniques et l</w:t>
      </w:r>
      <w:r w:rsidR="00677E1D" w:rsidRPr="00BF726C">
        <w:rPr>
          <w:lang w:val="fr-FR"/>
        </w:rPr>
        <w:t>’</w:t>
      </w:r>
      <w:r w:rsidRPr="00BF726C">
        <w:rPr>
          <w:lang w:val="fr-FR"/>
        </w:rPr>
        <w:t>ensemble de leurs sociét</w:t>
      </w:r>
      <w:r w:rsidR="002034AB" w:rsidRPr="00BF726C">
        <w:rPr>
          <w:lang w:val="fr-FR"/>
        </w:rPr>
        <w:t>és.  Le</w:t>
      </w:r>
      <w:r w:rsidRPr="00BF726C">
        <w:rPr>
          <w:lang w:val="fr-FR"/>
        </w:rPr>
        <w:t xml:space="preserve"> Gouvernement brésilien continue d</w:t>
      </w:r>
      <w:r w:rsidR="00677E1D" w:rsidRPr="00BF726C">
        <w:rPr>
          <w:lang w:val="fr-FR"/>
        </w:rPr>
        <w:t>’</w:t>
      </w:r>
      <w:r w:rsidRPr="00BF726C">
        <w:rPr>
          <w:lang w:val="fr-FR"/>
        </w:rPr>
        <w:t>investir pour améliorer les services offerts par son office des brevets et des marques, l</w:t>
      </w:r>
      <w:r w:rsidR="00677E1D" w:rsidRPr="00BF726C">
        <w:rPr>
          <w:lang w:val="fr-FR"/>
        </w:rPr>
        <w:t>’</w:t>
      </w:r>
      <w:r w:rsidRPr="00BF726C">
        <w:rPr>
          <w:lang w:val="fr-FR"/>
        </w:rPr>
        <w:t>INPI</w:t>
      </w:r>
      <w:r w:rsidR="009B5DE4" w:rsidRPr="00BF726C">
        <w:rPr>
          <w:lang w:val="fr-FR"/>
        </w:rPr>
        <w:noBreakHyphen/>
      </w:r>
      <w:r w:rsidRPr="00BF726C">
        <w:rPr>
          <w:lang w:val="fr-FR"/>
        </w:rPr>
        <w:t>Br.</w:t>
      </w:r>
      <w:r w:rsidR="0006103C" w:rsidRPr="00BF726C">
        <w:rPr>
          <w:lang w:val="fr-FR"/>
        </w:rPr>
        <w:t xml:space="preserve"> </w:t>
      </w:r>
      <w:r w:rsidR="00063D0F" w:rsidRPr="00BF726C">
        <w:rPr>
          <w:lang w:val="fr-FR"/>
        </w:rPr>
        <w:t xml:space="preserve"> </w:t>
      </w:r>
      <w:r w:rsidR="0098415E" w:rsidRPr="00BF726C">
        <w:rPr>
          <w:lang w:val="fr-FR"/>
        </w:rPr>
        <w:t>Cela souligne l</w:t>
      </w:r>
      <w:r w:rsidR="00677E1D" w:rsidRPr="00BF726C">
        <w:rPr>
          <w:lang w:val="fr-FR"/>
        </w:rPr>
        <w:t>’</w:t>
      </w:r>
      <w:r w:rsidR="0098415E" w:rsidRPr="00BF726C">
        <w:rPr>
          <w:lang w:val="fr-FR"/>
        </w:rPr>
        <w:t>importance que le Brésil attache à la protection et au respect des droits de propriété intellectuelle en tant que moyens de favoriser le développement social et économique tout en respectant l</w:t>
      </w:r>
      <w:r w:rsidR="00677E1D" w:rsidRPr="00BF726C">
        <w:rPr>
          <w:lang w:val="fr-FR"/>
        </w:rPr>
        <w:t>’</w:t>
      </w:r>
      <w:r w:rsidR="0098415E" w:rsidRPr="00BF726C">
        <w:rPr>
          <w:lang w:val="fr-FR"/>
        </w:rPr>
        <w:t xml:space="preserve">équilibre entre droits et obligations pour les </w:t>
      </w:r>
      <w:r w:rsidR="00A64FE9" w:rsidRPr="00BF726C">
        <w:rPr>
          <w:lang w:val="fr-FR"/>
        </w:rPr>
        <w:t>producteurs</w:t>
      </w:r>
      <w:r w:rsidR="0098415E" w:rsidRPr="00BF726C">
        <w:rPr>
          <w:lang w:val="fr-FR"/>
        </w:rPr>
        <w:t xml:space="preserve"> et les utilisateurs des technologies.</w:t>
      </w:r>
    </w:p>
    <w:p w:rsidR="00156949" w:rsidRPr="00BF726C" w:rsidRDefault="00156949" w:rsidP="00BF726C">
      <w:pPr>
        <w:rPr>
          <w:lang w:val="fr-FR"/>
        </w:rPr>
      </w:pPr>
    </w:p>
    <w:p w:rsidR="00156949" w:rsidRPr="00BF726C" w:rsidRDefault="002745B5" w:rsidP="00BF726C">
      <w:pPr>
        <w:rPr>
          <w:lang w:val="fr-FR"/>
        </w:rPr>
      </w:pPr>
      <w:r w:rsidRPr="00BF726C">
        <w:rPr>
          <w:lang w:val="fr-FR"/>
        </w:rPr>
        <w:t>L</w:t>
      </w:r>
      <w:r w:rsidR="00677E1D" w:rsidRPr="00BF726C">
        <w:rPr>
          <w:lang w:val="fr-FR"/>
        </w:rPr>
        <w:t>’</w:t>
      </w:r>
      <w:r w:rsidRPr="00BF726C">
        <w:rPr>
          <w:lang w:val="fr-FR"/>
        </w:rPr>
        <w:t>INPI</w:t>
      </w:r>
      <w:r w:rsidR="009B5DE4" w:rsidRPr="00BF726C">
        <w:rPr>
          <w:lang w:val="fr-FR"/>
        </w:rPr>
        <w:noBreakHyphen/>
      </w:r>
      <w:r w:rsidRPr="00BF726C">
        <w:rPr>
          <w:lang w:val="fr-FR"/>
        </w:rPr>
        <w:t xml:space="preserve">Br est un organisme fédéral créé </w:t>
      </w:r>
      <w:r w:rsidR="00677E1D" w:rsidRPr="00BF726C">
        <w:rPr>
          <w:lang w:val="fr-FR"/>
        </w:rPr>
        <w:t>en 1970</w:t>
      </w:r>
      <w:r w:rsidR="00D462CB" w:rsidRPr="00BF726C">
        <w:rPr>
          <w:lang w:val="fr-FR"/>
        </w:rPr>
        <w:t>, actuellement rattaché au Ministère de l</w:t>
      </w:r>
      <w:r w:rsidR="00677E1D" w:rsidRPr="00BF726C">
        <w:rPr>
          <w:lang w:val="fr-FR"/>
        </w:rPr>
        <w:t>’</w:t>
      </w:r>
      <w:r w:rsidR="00D462CB" w:rsidRPr="00BF726C">
        <w:rPr>
          <w:lang w:val="fr-FR"/>
        </w:rPr>
        <w:t>industrie, du commerce extérieur et des servic</w:t>
      </w:r>
      <w:r w:rsidR="002034AB" w:rsidRPr="00BF726C">
        <w:rPr>
          <w:lang w:val="fr-FR"/>
        </w:rPr>
        <w:t>es.  Au</w:t>
      </w:r>
      <w:r w:rsidR="00D462CB" w:rsidRPr="00BF726C">
        <w:rPr>
          <w:lang w:val="fr-FR"/>
        </w:rPr>
        <w:t xml:space="preserve">x termes de la </w:t>
      </w:r>
      <w:r w:rsidR="00063D0F" w:rsidRPr="00BF726C">
        <w:rPr>
          <w:lang w:val="fr-FR"/>
        </w:rPr>
        <w:t>loi</w:t>
      </w:r>
      <w:r w:rsidR="00D462CB" w:rsidRPr="00BF726C">
        <w:rPr>
          <w:lang w:val="fr-FR"/>
        </w:rPr>
        <w:t xml:space="preserve"> n° 9.279/96 sur la propriété industrielle, l</w:t>
      </w:r>
      <w:r w:rsidR="00677E1D" w:rsidRPr="00BF726C">
        <w:rPr>
          <w:lang w:val="fr-FR"/>
        </w:rPr>
        <w:t>’</w:t>
      </w:r>
      <w:r w:rsidR="00D462CB" w:rsidRPr="00BF726C">
        <w:rPr>
          <w:lang w:val="fr-FR"/>
        </w:rPr>
        <w:t>INPI</w:t>
      </w:r>
      <w:r w:rsidR="009B5DE4" w:rsidRPr="00BF726C">
        <w:rPr>
          <w:lang w:val="fr-FR"/>
        </w:rPr>
        <w:noBreakHyphen/>
      </w:r>
      <w:r w:rsidRPr="00BF726C">
        <w:rPr>
          <w:lang w:val="fr-FR"/>
        </w:rPr>
        <w:t>Br</w:t>
      </w:r>
      <w:r w:rsidR="00D462CB" w:rsidRPr="00BF726C">
        <w:rPr>
          <w:lang w:val="fr-FR"/>
        </w:rPr>
        <w:t xml:space="preserve"> a pour but principal de faire respecter les normes qui, au Brésil, régissent la propriété industrielle, en exerçant ses fonctions sociales, </w:t>
      </w:r>
      <w:r w:rsidR="003A4004" w:rsidRPr="00BF726C">
        <w:rPr>
          <w:lang w:val="fr-FR"/>
        </w:rPr>
        <w:t>économiques</w:t>
      </w:r>
      <w:r w:rsidR="00D462CB" w:rsidRPr="00BF726C">
        <w:rPr>
          <w:lang w:val="fr-FR"/>
        </w:rPr>
        <w:t>, juridiques et techniqu</w:t>
      </w:r>
      <w:r w:rsidR="002034AB" w:rsidRPr="00BF726C">
        <w:rPr>
          <w:lang w:val="fr-FR"/>
        </w:rPr>
        <w:t>es.  Il</w:t>
      </w:r>
      <w:r w:rsidR="00D462CB" w:rsidRPr="00BF726C">
        <w:rPr>
          <w:lang w:val="fr-FR"/>
        </w:rPr>
        <w:t xml:space="preserve"> </w:t>
      </w:r>
      <w:r w:rsidRPr="00BF726C">
        <w:rPr>
          <w:lang w:val="fr-FR"/>
        </w:rPr>
        <w:t xml:space="preserve">lui </w:t>
      </w:r>
      <w:r w:rsidR="00D462CB" w:rsidRPr="00BF726C">
        <w:rPr>
          <w:lang w:val="fr-FR"/>
        </w:rPr>
        <w:t>incombe également d</w:t>
      </w:r>
      <w:r w:rsidR="00677E1D" w:rsidRPr="00BF726C">
        <w:rPr>
          <w:lang w:val="fr-FR"/>
        </w:rPr>
        <w:t>’</w:t>
      </w:r>
      <w:r w:rsidR="00D462CB" w:rsidRPr="00BF726C">
        <w:rPr>
          <w:lang w:val="fr-FR"/>
        </w:rPr>
        <w:t>évaluer les coûts et les avantages de l</w:t>
      </w:r>
      <w:r w:rsidR="00677E1D" w:rsidRPr="00BF726C">
        <w:rPr>
          <w:lang w:val="fr-FR"/>
        </w:rPr>
        <w:t>’</w:t>
      </w:r>
      <w:r w:rsidR="00D462CB" w:rsidRPr="00BF726C">
        <w:rPr>
          <w:lang w:val="fr-FR"/>
        </w:rPr>
        <w:t>élaboration et de la ratification de conventions et de traités en rapport avec les questions de propriété industrielle.</w:t>
      </w:r>
    </w:p>
    <w:p w:rsidR="00156949" w:rsidRPr="00BF726C" w:rsidRDefault="00156949" w:rsidP="00BF726C">
      <w:pPr>
        <w:rPr>
          <w:lang w:val="fr-FR"/>
        </w:rPr>
      </w:pPr>
    </w:p>
    <w:p w:rsidR="00677E1D" w:rsidRPr="00BF726C" w:rsidRDefault="00D462CB" w:rsidP="00BF726C">
      <w:pPr>
        <w:rPr>
          <w:lang w:val="fr-FR"/>
        </w:rPr>
      </w:pPr>
      <w:r w:rsidRPr="00BF726C">
        <w:rPr>
          <w:lang w:val="fr-FR"/>
        </w:rPr>
        <w:t>L</w:t>
      </w:r>
      <w:r w:rsidR="00677E1D" w:rsidRPr="00BF726C">
        <w:rPr>
          <w:lang w:val="fr-FR"/>
        </w:rPr>
        <w:t>’</w:t>
      </w:r>
      <w:r w:rsidRPr="00BF726C">
        <w:rPr>
          <w:lang w:val="fr-FR"/>
        </w:rPr>
        <w:t>INPI</w:t>
      </w:r>
      <w:r w:rsidR="009B5DE4" w:rsidRPr="00BF726C">
        <w:rPr>
          <w:lang w:val="fr-FR"/>
        </w:rPr>
        <w:noBreakHyphen/>
      </w:r>
      <w:r w:rsidRPr="00BF726C">
        <w:rPr>
          <w:lang w:val="fr-FR"/>
        </w:rPr>
        <w:t>Br joue un rôle stratégique très pertinent, étant l</w:t>
      </w:r>
      <w:r w:rsidR="00677E1D" w:rsidRPr="00BF726C">
        <w:rPr>
          <w:lang w:val="fr-FR"/>
        </w:rPr>
        <w:t>’</w:t>
      </w:r>
      <w:r w:rsidRPr="00BF726C">
        <w:rPr>
          <w:lang w:val="fr-FR"/>
        </w:rPr>
        <w:t>une des principales parties prenantes dudit système brésilien d</w:t>
      </w:r>
      <w:r w:rsidR="00677E1D" w:rsidRPr="00BF726C">
        <w:rPr>
          <w:lang w:val="fr-FR"/>
        </w:rPr>
        <w:t>’</w:t>
      </w:r>
      <w:r w:rsidRPr="00BF726C">
        <w:rPr>
          <w:lang w:val="fr-FR"/>
        </w:rPr>
        <w:t>innovation</w:t>
      </w:r>
      <w:r w:rsidR="00063D0F" w:rsidRPr="00BF726C">
        <w:rPr>
          <w:lang w:val="fr-FR"/>
        </w:rPr>
        <w:t xml:space="preserve">; </w:t>
      </w:r>
      <w:r w:rsidRPr="00BF726C">
        <w:rPr>
          <w:lang w:val="fr-FR"/>
        </w:rPr>
        <w:t xml:space="preserve"> il </w:t>
      </w:r>
      <w:r w:rsidR="002745B5" w:rsidRPr="00BF726C">
        <w:rPr>
          <w:lang w:val="fr-FR"/>
        </w:rPr>
        <w:t>a des relations</w:t>
      </w:r>
      <w:r w:rsidRPr="00BF726C">
        <w:rPr>
          <w:lang w:val="fr-FR"/>
        </w:rPr>
        <w:t xml:space="preserve"> avec les milieux universitaires, les instituts </w:t>
      </w:r>
      <w:r w:rsidR="003A4004" w:rsidRPr="00BF726C">
        <w:rPr>
          <w:lang w:val="fr-FR"/>
        </w:rPr>
        <w:t xml:space="preserve">brésiliens et </w:t>
      </w:r>
      <w:r w:rsidRPr="00BF726C">
        <w:rPr>
          <w:lang w:val="fr-FR"/>
        </w:rPr>
        <w:t>étrangers de recherche publique et le secteur industri</w:t>
      </w:r>
      <w:r w:rsidR="002034AB" w:rsidRPr="00BF726C">
        <w:rPr>
          <w:lang w:val="fr-FR"/>
        </w:rPr>
        <w:t>el.  Il</w:t>
      </w:r>
      <w:r w:rsidR="00B2133A" w:rsidRPr="00BF726C">
        <w:rPr>
          <w:lang w:val="fr-FR"/>
        </w:rPr>
        <w:t xml:space="preserve"> convient de mentionner que l</w:t>
      </w:r>
      <w:r w:rsidR="00677E1D" w:rsidRPr="00BF726C">
        <w:rPr>
          <w:lang w:val="fr-FR"/>
        </w:rPr>
        <w:t>’</w:t>
      </w:r>
      <w:r w:rsidR="00B2133A" w:rsidRPr="00BF726C">
        <w:rPr>
          <w:lang w:val="fr-FR"/>
        </w:rPr>
        <w:t>INPI</w:t>
      </w:r>
      <w:r w:rsidR="009B5DE4" w:rsidRPr="00BF726C">
        <w:rPr>
          <w:lang w:val="fr-FR"/>
        </w:rPr>
        <w:noBreakHyphen/>
      </w:r>
      <w:r w:rsidR="002745B5" w:rsidRPr="00BF726C">
        <w:rPr>
          <w:lang w:val="fr-FR"/>
        </w:rPr>
        <w:t>Br</w:t>
      </w:r>
      <w:r w:rsidR="00B2133A" w:rsidRPr="00BF726C">
        <w:rPr>
          <w:lang w:val="fr-FR"/>
        </w:rPr>
        <w:t xml:space="preserve"> et le Ministère de l</w:t>
      </w:r>
      <w:r w:rsidR="00677E1D" w:rsidRPr="00BF726C">
        <w:rPr>
          <w:lang w:val="fr-FR"/>
        </w:rPr>
        <w:t>’</w:t>
      </w:r>
      <w:r w:rsidR="00B2133A" w:rsidRPr="00BF726C">
        <w:rPr>
          <w:lang w:val="fr-FR"/>
        </w:rPr>
        <w:t>industrie, du commerce extérieur et des services ont mis en place conjointement un projet visant à</w:t>
      </w:r>
      <w:r w:rsidR="00063D0F" w:rsidRPr="00BF726C">
        <w:rPr>
          <w:lang w:val="fr-FR"/>
        </w:rPr>
        <w:t> </w:t>
      </w:r>
      <w:r w:rsidR="00B2133A" w:rsidRPr="00BF726C">
        <w:rPr>
          <w:lang w:val="fr-FR"/>
        </w:rPr>
        <w:t>: a)</w:t>
      </w:r>
      <w:r w:rsidR="00063D0F" w:rsidRPr="00BF726C">
        <w:rPr>
          <w:lang w:val="fr-FR"/>
        </w:rPr>
        <w:t> </w:t>
      </w:r>
      <w:r w:rsidR="00B2133A" w:rsidRPr="00BF726C">
        <w:rPr>
          <w:lang w:val="fr-FR"/>
        </w:rPr>
        <w:t>réduire les temps d</w:t>
      </w:r>
      <w:r w:rsidR="00677E1D" w:rsidRPr="00BF726C">
        <w:rPr>
          <w:lang w:val="fr-FR"/>
        </w:rPr>
        <w:t>’</w:t>
      </w:r>
      <w:r w:rsidR="00B2133A" w:rsidRPr="00BF726C">
        <w:rPr>
          <w:lang w:val="fr-FR"/>
        </w:rPr>
        <w:t xml:space="preserve">attente dans le domaine des brevets; </w:t>
      </w:r>
      <w:r w:rsidR="00063D0F" w:rsidRPr="00BF726C">
        <w:rPr>
          <w:lang w:val="fr-FR"/>
        </w:rPr>
        <w:t xml:space="preserve"> </w:t>
      </w:r>
      <w:r w:rsidR="00B2133A" w:rsidRPr="00BF726C">
        <w:rPr>
          <w:lang w:val="fr-FR"/>
        </w:rPr>
        <w:t>b)</w:t>
      </w:r>
      <w:r w:rsidR="00063D0F" w:rsidRPr="00BF726C">
        <w:rPr>
          <w:lang w:val="fr-FR"/>
        </w:rPr>
        <w:t> </w:t>
      </w:r>
      <w:r w:rsidR="00B2133A" w:rsidRPr="00BF726C">
        <w:rPr>
          <w:lang w:val="fr-FR"/>
        </w:rPr>
        <w:t xml:space="preserve">perfectionner le cadre réglementaire; </w:t>
      </w:r>
      <w:r w:rsidR="00063D0F" w:rsidRPr="00BF726C">
        <w:rPr>
          <w:lang w:val="fr-FR"/>
        </w:rPr>
        <w:t xml:space="preserve"> </w:t>
      </w:r>
      <w:r w:rsidR="00B2133A" w:rsidRPr="00BF726C">
        <w:rPr>
          <w:lang w:val="fr-FR"/>
        </w:rPr>
        <w:t>c)</w:t>
      </w:r>
      <w:r w:rsidR="00063D0F" w:rsidRPr="00BF726C">
        <w:rPr>
          <w:lang w:val="fr-FR"/>
        </w:rPr>
        <w:t> </w:t>
      </w:r>
      <w:r w:rsidR="00A64FE9" w:rsidRPr="00BF726C">
        <w:rPr>
          <w:lang w:val="fr-FR"/>
        </w:rPr>
        <w:t>simplifier</w:t>
      </w:r>
      <w:r w:rsidR="00B2133A" w:rsidRPr="00BF726C">
        <w:rPr>
          <w:lang w:val="fr-FR"/>
        </w:rPr>
        <w:t xml:space="preserve"> et réduire la bureaucratie inutile sans </w:t>
      </w:r>
      <w:r w:rsidR="003A4004" w:rsidRPr="00BF726C">
        <w:rPr>
          <w:lang w:val="fr-FR"/>
        </w:rPr>
        <w:t>que</w:t>
      </w:r>
      <w:r w:rsidR="00B2133A" w:rsidRPr="00BF726C">
        <w:rPr>
          <w:lang w:val="fr-FR"/>
        </w:rPr>
        <w:t xml:space="preserve"> la qualité</w:t>
      </w:r>
      <w:r w:rsidR="003A4004" w:rsidRPr="00BF726C">
        <w:rPr>
          <w:lang w:val="fr-FR"/>
        </w:rPr>
        <w:t xml:space="preserve"> s</w:t>
      </w:r>
      <w:r w:rsidR="00677E1D" w:rsidRPr="00BF726C">
        <w:rPr>
          <w:lang w:val="fr-FR"/>
        </w:rPr>
        <w:t>’</w:t>
      </w:r>
      <w:r w:rsidR="003A4004" w:rsidRPr="00BF726C">
        <w:rPr>
          <w:lang w:val="fr-FR"/>
        </w:rPr>
        <w:t>en ressente</w:t>
      </w:r>
      <w:r w:rsidR="009B5DE4" w:rsidRPr="00BF726C">
        <w:rPr>
          <w:lang w:val="fr-FR"/>
        </w:rPr>
        <w:t>, et </w:t>
      </w:r>
      <w:r w:rsidR="00B2133A" w:rsidRPr="00BF726C">
        <w:rPr>
          <w:lang w:val="fr-FR"/>
        </w:rPr>
        <w:t>d)</w:t>
      </w:r>
      <w:r w:rsidR="00063D0F" w:rsidRPr="00BF726C">
        <w:rPr>
          <w:lang w:val="fr-FR"/>
        </w:rPr>
        <w:t> </w:t>
      </w:r>
      <w:r w:rsidR="003A4004" w:rsidRPr="00BF726C">
        <w:rPr>
          <w:lang w:val="fr-FR"/>
        </w:rPr>
        <w:t>rendre le</w:t>
      </w:r>
      <w:r w:rsidR="00B2133A" w:rsidRPr="00BF726C">
        <w:rPr>
          <w:lang w:val="fr-FR"/>
        </w:rPr>
        <w:t xml:space="preserve"> fonctionnement </w:t>
      </w:r>
      <w:r w:rsidR="003A4004" w:rsidRPr="00BF726C">
        <w:rPr>
          <w:lang w:val="fr-FR"/>
        </w:rPr>
        <w:t xml:space="preserve">plus efficace </w:t>
      </w:r>
      <w:r w:rsidR="00B2133A" w:rsidRPr="00BF726C">
        <w:rPr>
          <w:lang w:val="fr-FR"/>
        </w:rPr>
        <w:t xml:space="preserve">en travaillant sur la gestion des </w:t>
      </w:r>
      <w:r w:rsidR="00A64FE9" w:rsidRPr="00BF726C">
        <w:rPr>
          <w:lang w:val="fr-FR"/>
        </w:rPr>
        <w:t>ressources</w:t>
      </w:r>
      <w:r w:rsidR="00B2133A" w:rsidRPr="00BF726C">
        <w:rPr>
          <w:lang w:val="fr-FR"/>
        </w:rPr>
        <w:t xml:space="preserve"> humain</w:t>
      </w:r>
      <w:r w:rsidR="002034AB" w:rsidRPr="00BF726C">
        <w:rPr>
          <w:lang w:val="fr-FR"/>
        </w:rPr>
        <w:t>es.  Le</w:t>
      </w:r>
      <w:r w:rsidR="00B2133A" w:rsidRPr="00BF726C">
        <w:rPr>
          <w:lang w:val="fr-FR"/>
        </w:rPr>
        <w:t xml:space="preserve">s actions menées </w:t>
      </w:r>
      <w:r w:rsidR="002745B5" w:rsidRPr="00BF726C">
        <w:rPr>
          <w:lang w:val="fr-FR"/>
        </w:rPr>
        <w:t>dans cette optique</w:t>
      </w:r>
      <w:r w:rsidR="00B2133A" w:rsidRPr="00BF726C">
        <w:rPr>
          <w:lang w:val="fr-FR"/>
        </w:rPr>
        <w:t xml:space="preserve"> font l</w:t>
      </w:r>
      <w:r w:rsidR="00677E1D" w:rsidRPr="00BF726C">
        <w:rPr>
          <w:lang w:val="fr-FR"/>
        </w:rPr>
        <w:t>’</w:t>
      </w:r>
      <w:r w:rsidR="00B2133A" w:rsidRPr="00BF726C">
        <w:rPr>
          <w:lang w:val="fr-FR"/>
        </w:rPr>
        <w:t xml:space="preserve">objet de la </w:t>
      </w:r>
      <w:r w:rsidR="00310DF5" w:rsidRPr="00BF726C">
        <w:rPr>
          <w:lang w:val="fr-FR"/>
        </w:rPr>
        <w:t>rubrique</w:t>
      </w:r>
      <w:r w:rsidR="00B2133A" w:rsidRPr="00BF726C">
        <w:rPr>
          <w:lang w:val="fr-FR"/>
        </w:rPr>
        <w:t xml:space="preserve"> </w:t>
      </w:r>
      <w:r w:rsidR="00063D0F" w:rsidRPr="00BF726C">
        <w:rPr>
          <w:lang w:val="fr-FR"/>
        </w:rPr>
        <w:t>“</w:t>
      </w:r>
      <w:r w:rsidR="00B2133A" w:rsidRPr="00BF726C">
        <w:rPr>
          <w:lang w:val="fr-FR"/>
        </w:rPr>
        <w:t>Recherche de l</w:t>
      </w:r>
      <w:r w:rsidR="00677E1D" w:rsidRPr="00BF726C">
        <w:rPr>
          <w:lang w:val="fr-FR"/>
        </w:rPr>
        <w:t>’</w:t>
      </w:r>
      <w:r w:rsidR="00B2133A" w:rsidRPr="00BF726C">
        <w:rPr>
          <w:lang w:val="fr-FR"/>
        </w:rPr>
        <w:t>excellence dans la prestation de services</w:t>
      </w:r>
      <w:r w:rsidR="00063D0F" w:rsidRPr="00BF726C">
        <w:rPr>
          <w:lang w:val="fr-FR"/>
        </w:rPr>
        <w:t>”</w:t>
      </w:r>
      <w:r w:rsidR="00B2133A" w:rsidRPr="00BF726C">
        <w:rPr>
          <w:lang w:val="fr-FR"/>
        </w:rPr>
        <w:t>.</w:t>
      </w:r>
    </w:p>
    <w:p w:rsidR="00156949" w:rsidRPr="00BF726C" w:rsidRDefault="00156949" w:rsidP="00BF726C">
      <w:pPr>
        <w:rPr>
          <w:lang w:val="fr-FR"/>
        </w:rPr>
      </w:pPr>
    </w:p>
    <w:p w:rsidR="00156949" w:rsidRPr="00BF726C" w:rsidRDefault="00310DF5" w:rsidP="00BF726C">
      <w:pPr>
        <w:rPr>
          <w:lang w:val="fr-FR"/>
        </w:rPr>
      </w:pPr>
      <w:r w:rsidRPr="00BF726C">
        <w:rPr>
          <w:lang w:val="fr-FR"/>
        </w:rPr>
        <w:t>Depuis qu</w:t>
      </w:r>
      <w:r w:rsidR="00677E1D" w:rsidRPr="00BF726C">
        <w:rPr>
          <w:lang w:val="fr-FR"/>
        </w:rPr>
        <w:t>’</w:t>
      </w:r>
      <w:r w:rsidRPr="00BF726C">
        <w:rPr>
          <w:lang w:val="fr-FR"/>
        </w:rPr>
        <w:t>il</w:t>
      </w:r>
      <w:r w:rsidR="00B2133A" w:rsidRPr="00BF726C">
        <w:rPr>
          <w:lang w:val="fr-FR"/>
        </w:rPr>
        <w:t xml:space="preserve"> a commencé, </w:t>
      </w:r>
      <w:r w:rsidR="00677E1D" w:rsidRPr="00BF726C">
        <w:rPr>
          <w:lang w:val="fr-FR"/>
        </w:rPr>
        <w:t>en 2009</w:t>
      </w:r>
      <w:r w:rsidR="00B2133A" w:rsidRPr="00BF726C">
        <w:rPr>
          <w:lang w:val="fr-FR"/>
        </w:rPr>
        <w:t>, à agir en tant qu</w:t>
      </w:r>
      <w:r w:rsidR="00677E1D" w:rsidRPr="00BF726C">
        <w:rPr>
          <w:lang w:val="fr-FR"/>
        </w:rPr>
        <w:t>’</w:t>
      </w:r>
      <w:r w:rsidR="00B2133A" w:rsidRPr="00BF726C">
        <w:rPr>
          <w:lang w:val="fr-FR"/>
        </w:rPr>
        <w:t>administration chargée de la recherche internationale et de l</w:t>
      </w:r>
      <w:r w:rsidR="00677E1D" w:rsidRPr="00BF726C">
        <w:rPr>
          <w:lang w:val="fr-FR"/>
        </w:rPr>
        <w:t>’</w:t>
      </w:r>
      <w:r w:rsidR="00B2133A" w:rsidRPr="00BF726C">
        <w:rPr>
          <w:lang w:val="fr-FR"/>
        </w:rPr>
        <w:t>examen préliminaire international selon</w:t>
      </w:r>
      <w:r w:rsidR="00677E1D" w:rsidRPr="00BF726C">
        <w:rPr>
          <w:lang w:val="fr-FR"/>
        </w:rPr>
        <w:t xml:space="preserve"> le PCT</w:t>
      </w:r>
      <w:r w:rsidR="00B2133A" w:rsidRPr="00BF726C">
        <w:rPr>
          <w:lang w:val="fr-FR"/>
        </w:rPr>
        <w:t>, l</w:t>
      </w:r>
      <w:r w:rsidR="00677E1D" w:rsidRPr="00BF726C">
        <w:rPr>
          <w:lang w:val="fr-FR"/>
        </w:rPr>
        <w:t>’</w:t>
      </w:r>
      <w:r w:rsidR="00B2133A" w:rsidRPr="00BF726C">
        <w:rPr>
          <w:lang w:val="fr-FR"/>
        </w:rPr>
        <w:t>INPI</w:t>
      </w:r>
      <w:r w:rsidR="009B5DE4" w:rsidRPr="00BF726C">
        <w:rPr>
          <w:lang w:val="fr-FR"/>
        </w:rPr>
        <w:noBreakHyphen/>
      </w:r>
      <w:r w:rsidR="00B2133A" w:rsidRPr="00BF726C">
        <w:rPr>
          <w:lang w:val="fr-FR"/>
        </w:rPr>
        <w:t xml:space="preserve">Br a obtenu des résultats positifs et </w:t>
      </w:r>
      <w:r w:rsidRPr="00BF726C">
        <w:rPr>
          <w:lang w:val="fr-FR"/>
        </w:rPr>
        <w:t>il est disposé</w:t>
      </w:r>
      <w:r w:rsidR="00B2133A" w:rsidRPr="00BF726C">
        <w:rPr>
          <w:lang w:val="fr-FR"/>
        </w:rPr>
        <w:t xml:space="preserve"> à poursuivre ses activit</w:t>
      </w:r>
      <w:r w:rsidR="002034AB" w:rsidRPr="00BF726C">
        <w:rPr>
          <w:lang w:val="fr-FR"/>
        </w:rPr>
        <w:t>és.  Le</w:t>
      </w:r>
      <w:r w:rsidR="00AE7F7F" w:rsidRPr="00BF726C">
        <w:rPr>
          <w:lang w:val="fr-FR"/>
        </w:rPr>
        <w:t xml:space="preserve"> tableau</w:t>
      </w:r>
      <w:r w:rsidR="00063D0F" w:rsidRPr="00BF726C">
        <w:rPr>
          <w:lang w:val="fr-FR"/>
        </w:rPr>
        <w:t> </w:t>
      </w:r>
      <w:r w:rsidR="00AE7F7F" w:rsidRPr="00BF726C">
        <w:rPr>
          <w:lang w:val="fr-FR"/>
        </w:rPr>
        <w:t>1 ci</w:t>
      </w:r>
      <w:r w:rsidR="009B5DE4" w:rsidRPr="00BF726C">
        <w:rPr>
          <w:lang w:val="fr-FR"/>
        </w:rPr>
        <w:noBreakHyphen/>
      </w:r>
      <w:r w:rsidR="00AE7F7F" w:rsidRPr="00BF726C">
        <w:rPr>
          <w:lang w:val="fr-FR"/>
        </w:rPr>
        <w:t>après présente le nombre de demandes selon</w:t>
      </w:r>
      <w:r w:rsidR="00677E1D" w:rsidRPr="00BF726C">
        <w:rPr>
          <w:lang w:val="fr-FR"/>
        </w:rPr>
        <w:t xml:space="preserve"> le PCT</w:t>
      </w:r>
      <w:r w:rsidR="00AE7F7F" w:rsidRPr="00BF726C">
        <w:rPr>
          <w:lang w:val="fr-FR"/>
        </w:rPr>
        <w:t xml:space="preserve"> liées aux activités de l</w:t>
      </w:r>
      <w:r w:rsidR="00677E1D" w:rsidRPr="00BF726C">
        <w:rPr>
          <w:lang w:val="fr-FR"/>
        </w:rPr>
        <w:t>’</w:t>
      </w:r>
      <w:r w:rsidR="00AE7F7F" w:rsidRPr="00BF726C">
        <w:rPr>
          <w:lang w:val="fr-FR"/>
        </w:rPr>
        <w:t>INPI</w:t>
      </w:r>
      <w:r w:rsidR="009B5DE4" w:rsidRPr="00BF726C">
        <w:rPr>
          <w:lang w:val="fr-FR"/>
        </w:rPr>
        <w:noBreakHyphen/>
      </w:r>
      <w:r w:rsidR="00AE7F7F" w:rsidRPr="00BF726C">
        <w:rPr>
          <w:lang w:val="fr-FR"/>
        </w:rPr>
        <w:t>Br et le tableau</w:t>
      </w:r>
      <w:r w:rsidR="00063D0F" w:rsidRPr="00BF726C">
        <w:rPr>
          <w:lang w:val="fr-FR"/>
        </w:rPr>
        <w:t> </w:t>
      </w:r>
      <w:r w:rsidR="00AE7F7F" w:rsidRPr="00BF726C">
        <w:rPr>
          <w:lang w:val="fr-FR"/>
        </w:rPr>
        <w:t xml:space="preserve">2 </w:t>
      </w:r>
      <w:proofErr w:type="gramStart"/>
      <w:r w:rsidR="00AE7F7F" w:rsidRPr="00BF726C">
        <w:rPr>
          <w:lang w:val="fr-FR"/>
        </w:rPr>
        <w:t>classe</w:t>
      </w:r>
      <w:proofErr w:type="gramEnd"/>
      <w:r w:rsidR="00AE7F7F" w:rsidRPr="00BF726C">
        <w:rPr>
          <w:lang w:val="fr-FR"/>
        </w:rPr>
        <w:t xml:space="preserve"> les demandes par voie de dépôt.</w:t>
      </w:r>
    </w:p>
    <w:p w:rsidR="00156949" w:rsidRPr="00BF726C" w:rsidRDefault="00156949" w:rsidP="00BF726C">
      <w:pPr>
        <w:rPr>
          <w:lang w:val="fr-FR"/>
        </w:rPr>
      </w:pPr>
    </w:p>
    <w:p w:rsidR="0006103C" w:rsidRPr="00BF726C" w:rsidRDefault="00AE7F7F" w:rsidP="00BF726C">
      <w:pPr>
        <w:keepNext/>
        <w:rPr>
          <w:i/>
          <w:lang w:val="fr-FR"/>
        </w:rPr>
      </w:pPr>
      <w:r w:rsidRPr="00BF726C">
        <w:rPr>
          <w:i/>
          <w:lang w:val="fr-FR"/>
        </w:rPr>
        <w:t>Tableau</w:t>
      </w:r>
      <w:r w:rsidR="00063D0F" w:rsidRPr="00BF726C">
        <w:rPr>
          <w:i/>
          <w:lang w:val="fr-FR"/>
        </w:rPr>
        <w:t> </w:t>
      </w:r>
      <w:r w:rsidRPr="00BF726C">
        <w:rPr>
          <w:i/>
          <w:lang w:val="fr-FR"/>
        </w:rPr>
        <w:t>1</w:t>
      </w:r>
      <w:r w:rsidR="00063D0F" w:rsidRPr="00BF726C">
        <w:rPr>
          <w:i/>
          <w:lang w:val="fr-FR"/>
        </w:rPr>
        <w:t> </w:t>
      </w:r>
      <w:r w:rsidRPr="00BF726C">
        <w:rPr>
          <w:i/>
          <w:lang w:val="fr-FR"/>
        </w:rPr>
        <w:t>: Activités d</w:t>
      </w:r>
      <w:r w:rsidR="00A64FE9" w:rsidRPr="00BF726C">
        <w:rPr>
          <w:i/>
          <w:lang w:val="fr-FR"/>
        </w:rPr>
        <w:t>e l</w:t>
      </w:r>
      <w:r w:rsidR="00677E1D" w:rsidRPr="00BF726C">
        <w:rPr>
          <w:i/>
          <w:lang w:val="fr-FR"/>
        </w:rPr>
        <w:t>’</w:t>
      </w:r>
      <w:r w:rsidR="00A64FE9" w:rsidRPr="00BF726C">
        <w:rPr>
          <w:i/>
          <w:lang w:val="fr-FR"/>
        </w:rPr>
        <w:t>INPI</w:t>
      </w:r>
      <w:r w:rsidR="009B5DE4" w:rsidRPr="00BF726C">
        <w:rPr>
          <w:i/>
          <w:lang w:val="fr-FR"/>
        </w:rPr>
        <w:noBreakHyphen/>
      </w:r>
      <w:r w:rsidR="00A64FE9" w:rsidRPr="00BF726C">
        <w:rPr>
          <w:i/>
          <w:lang w:val="fr-FR"/>
        </w:rPr>
        <w:t xml:space="preserve">Br </w:t>
      </w:r>
      <w:r w:rsidR="00310DF5" w:rsidRPr="00BF726C">
        <w:rPr>
          <w:i/>
          <w:lang w:val="fr-FR"/>
        </w:rPr>
        <w:t>agissant</w:t>
      </w:r>
      <w:r w:rsidRPr="00BF726C">
        <w:rPr>
          <w:i/>
          <w:lang w:val="fr-FR"/>
        </w:rPr>
        <w:t xml:space="preserve"> en qu</w:t>
      </w:r>
      <w:r w:rsidR="00310DF5" w:rsidRPr="00BF726C">
        <w:rPr>
          <w:i/>
          <w:lang w:val="fr-FR"/>
        </w:rPr>
        <w:t>alité d</w:t>
      </w:r>
      <w:r w:rsidR="00677E1D" w:rsidRPr="00BF726C">
        <w:rPr>
          <w:i/>
          <w:lang w:val="fr-FR"/>
        </w:rPr>
        <w:t>’</w:t>
      </w:r>
      <w:r w:rsidRPr="00BF726C">
        <w:rPr>
          <w:i/>
          <w:lang w:val="fr-FR"/>
        </w:rPr>
        <w:t>office récepteur</w:t>
      </w:r>
      <w:r w:rsidR="009754E9" w:rsidRPr="00BF726C">
        <w:rPr>
          <w:i/>
          <w:lang w:val="fr-FR"/>
        </w:rPr>
        <w:t>,</w:t>
      </w:r>
      <w:r w:rsidR="00310DF5" w:rsidRPr="00BF726C">
        <w:rPr>
          <w:i/>
          <w:lang w:val="fr-FR"/>
        </w:rPr>
        <w:t xml:space="preserve"> </w:t>
      </w:r>
      <w:r w:rsidR="00C6342D" w:rsidRPr="00BF726C">
        <w:rPr>
          <w:i/>
          <w:lang w:val="fr-FR"/>
        </w:rPr>
        <w:t>d’</w:t>
      </w:r>
      <w:r w:rsidRPr="00BF726C">
        <w:rPr>
          <w:i/>
          <w:lang w:val="fr-FR"/>
        </w:rPr>
        <w:t xml:space="preserve">administration chargée de la recherche internationale et </w:t>
      </w:r>
      <w:r w:rsidR="00C6342D" w:rsidRPr="00BF726C">
        <w:rPr>
          <w:i/>
          <w:lang w:val="fr-FR"/>
        </w:rPr>
        <w:t>d’</w:t>
      </w:r>
      <w:r w:rsidR="009754E9" w:rsidRPr="00BF726C">
        <w:rPr>
          <w:i/>
          <w:lang w:val="fr-FR"/>
        </w:rPr>
        <w:t xml:space="preserve">administration chargée </w:t>
      </w:r>
      <w:r w:rsidRPr="00BF726C">
        <w:rPr>
          <w:i/>
          <w:lang w:val="fr-FR"/>
        </w:rPr>
        <w:t>de l</w:t>
      </w:r>
      <w:r w:rsidR="00677E1D" w:rsidRPr="00BF726C">
        <w:rPr>
          <w:i/>
          <w:lang w:val="fr-FR"/>
        </w:rPr>
        <w:t>’</w:t>
      </w:r>
      <w:r w:rsidRPr="00BF726C">
        <w:rPr>
          <w:i/>
          <w:lang w:val="fr-FR"/>
        </w:rPr>
        <w:t>examen préliminaire international</w:t>
      </w:r>
      <w:r w:rsidR="00310DF5" w:rsidRPr="00BF726C">
        <w:rPr>
          <w:i/>
          <w:lang w:val="fr-FR"/>
        </w:rPr>
        <w:t xml:space="preserve"> selon</w:t>
      </w:r>
      <w:r w:rsidR="00677E1D" w:rsidRPr="00BF726C">
        <w:rPr>
          <w:i/>
          <w:lang w:val="fr-FR"/>
        </w:rPr>
        <w:t xml:space="preserve"> le PCT</w:t>
      </w:r>
    </w:p>
    <w:tbl>
      <w:tblPr>
        <w:tblW w:w="4822" w:type="pct"/>
        <w:tblInd w:w="-15" w:type="dxa"/>
        <w:tblLayout w:type="fixed"/>
        <w:tblCellMar>
          <w:left w:w="0" w:type="dxa"/>
          <w:right w:w="0" w:type="dxa"/>
        </w:tblCellMar>
        <w:tblLook w:val="04A0" w:firstRow="1" w:lastRow="0" w:firstColumn="1" w:lastColumn="0" w:noHBand="0" w:noVBand="1"/>
      </w:tblPr>
      <w:tblGrid>
        <w:gridCol w:w="2070"/>
        <w:gridCol w:w="1067"/>
        <w:gridCol w:w="860"/>
        <w:gridCol w:w="860"/>
        <w:gridCol w:w="860"/>
        <w:gridCol w:w="860"/>
        <w:gridCol w:w="860"/>
        <w:gridCol w:w="860"/>
        <w:gridCol w:w="860"/>
      </w:tblGrid>
      <w:tr w:rsidR="00BF726C" w:rsidRPr="00BF726C" w:rsidTr="0064220B">
        <w:trPr>
          <w:cantSplit/>
          <w:trHeight w:val="288"/>
        </w:trPr>
        <w:tc>
          <w:tcPr>
            <w:tcW w:w="207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rPr>
                <w:b/>
                <w:sz w:val="20"/>
                <w:lang w:val="fr-FR" w:eastAsia="en-GB"/>
              </w:rPr>
            </w:pPr>
          </w:p>
        </w:tc>
        <w:tc>
          <w:tcPr>
            <w:tcW w:w="10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2009</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2010</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2011</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2012</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2013</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2014</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2015</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
                <w:bCs/>
                <w:sz w:val="20"/>
                <w:szCs w:val="24"/>
                <w:lang w:val="fr-FR" w:eastAsia="en-GB"/>
              </w:rPr>
            </w:pPr>
            <w:r w:rsidRPr="00BF726C">
              <w:rPr>
                <w:b/>
                <w:bCs/>
                <w:sz w:val="20"/>
                <w:szCs w:val="24"/>
                <w:lang w:val="fr-FR" w:eastAsia="en-GB"/>
              </w:rPr>
              <w:t>2016</w:t>
            </w:r>
          </w:p>
        </w:tc>
      </w:tr>
      <w:tr w:rsidR="00BF726C" w:rsidRPr="00BF726C" w:rsidTr="0064220B">
        <w:trPr>
          <w:cantSplit/>
          <w:trHeight w:val="288"/>
        </w:trPr>
        <w:tc>
          <w:tcPr>
            <w:tcW w:w="207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rPr>
                <w:b/>
                <w:sz w:val="20"/>
                <w:lang w:val="fr-FR" w:eastAsia="en-GB"/>
              </w:rPr>
            </w:pPr>
            <w:r w:rsidRPr="00BF726C">
              <w:rPr>
                <w:b/>
                <w:sz w:val="20"/>
                <w:lang w:val="fr-FR" w:eastAsia="en-GB"/>
              </w:rPr>
              <w:t>BR/office récepteur</w:t>
            </w:r>
          </w:p>
        </w:tc>
        <w:tc>
          <w:tcPr>
            <w:tcW w:w="10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442</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447</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519</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561</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617</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513</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481</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528</w:t>
            </w:r>
          </w:p>
        </w:tc>
      </w:tr>
      <w:tr w:rsidR="00BF726C" w:rsidRPr="00BF726C" w:rsidTr="0064220B">
        <w:trPr>
          <w:cantSplit/>
          <w:trHeight w:val="288"/>
        </w:trPr>
        <w:tc>
          <w:tcPr>
            <w:tcW w:w="207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rPr>
                <w:b/>
                <w:sz w:val="20"/>
                <w:lang w:val="fr-FR" w:eastAsia="en-GB"/>
              </w:rPr>
            </w:pPr>
            <w:r w:rsidRPr="00BF726C">
              <w:rPr>
                <w:b/>
                <w:sz w:val="20"/>
                <w:lang w:val="fr-FR" w:eastAsia="en-GB"/>
              </w:rPr>
              <w:t>BR/administration chargée de la recherche internationale</w:t>
            </w:r>
          </w:p>
        </w:tc>
        <w:tc>
          <w:tcPr>
            <w:tcW w:w="10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65*</w:t>
            </w:r>
            <w:r w:rsidRPr="00BF726C">
              <w:rPr>
                <w:rStyle w:val="FootnoteReference"/>
                <w:bCs/>
                <w:sz w:val="20"/>
                <w:szCs w:val="24"/>
                <w:lang w:val="fr-FR" w:eastAsia="en-GB"/>
              </w:rPr>
              <w:footnoteReference w:id="2"/>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331</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424</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424</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504</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444</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438</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433</w:t>
            </w:r>
          </w:p>
        </w:tc>
      </w:tr>
      <w:tr w:rsidR="00BF726C" w:rsidRPr="00BF726C" w:rsidTr="0064220B">
        <w:trPr>
          <w:cantSplit/>
          <w:trHeight w:val="288"/>
        </w:trPr>
        <w:tc>
          <w:tcPr>
            <w:tcW w:w="207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rPr>
                <w:b/>
                <w:sz w:val="20"/>
                <w:lang w:val="fr-FR" w:eastAsia="en-GB"/>
              </w:rPr>
            </w:pPr>
            <w:r w:rsidRPr="00BF726C">
              <w:rPr>
                <w:b/>
                <w:sz w:val="20"/>
                <w:lang w:val="fr-FR" w:eastAsia="en-GB"/>
              </w:rPr>
              <w:t>BR/administration chargée de l’examen préliminaire international</w:t>
            </w:r>
          </w:p>
        </w:tc>
        <w:tc>
          <w:tcPr>
            <w:tcW w:w="10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7*</w:t>
            </w:r>
            <w:r w:rsidRPr="00BF726C">
              <w:rPr>
                <w:rStyle w:val="FootnoteReference"/>
                <w:bCs/>
                <w:sz w:val="20"/>
                <w:szCs w:val="24"/>
                <w:lang w:val="fr-FR" w:eastAsia="en-GB"/>
              </w:rPr>
              <w:footnoteReference w:id="3"/>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15</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22</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48</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41</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51</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44</w:t>
            </w:r>
          </w:p>
        </w:tc>
        <w:tc>
          <w:tcPr>
            <w:tcW w:w="8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B5DE4" w:rsidRPr="00BF726C" w:rsidRDefault="009B5DE4" w:rsidP="00BF726C">
            <w:pPr>
              <w:keepNext/>
              <w:keepLines/>
              <w:spacing w:before="100" w:beforeAutospacing="1" w:after="100" w:afterAutospacing="1"/>
              <w:jc w:val="right"/>
              <w:rPr>
                <w:bCs/>
                <w:sz w:val="20"/>
                <w:szCs w:val="24"/>
                <w:lang w:val="fr-FR" w:eastAsia="en-GB"/>
              </w:rPr>
            </w:pPr>
            <w:r w:rsidRPr="00BF726C">
              <w:rPr>
                <w:bCs/>
                <w:sz w:val="20"/>
                <w:szCs w:val="24"/>
                <w:lang w:val="fr-FR" w:eastAsia="en-GB"/>
              </w:rPr>
              <w:t>46</w:t>
            </w:r>
          </w:p>
        </w:tc>
      </w:tr>
    </w:tbl>
    <w:p w:rsidR="0064220B" w:rsidRPr="00BF726C" w:rsidRDefault="0064220B" w:rsidP="00BF726C">
      <w:pPr>
        <w:tabs>
          <w:tab w:val="left" w:pos="10535"/>
          <w:tab w:val="left" w:pos="15831"/>
          <w:tab w:val="left" w:pos="16791"/>
          <w:tab w:val="left" w:pos="17751"/>
          <w:tab w:val="left" w:pos="18187"/>
          <w:tab w:val="left" w:pos="18694"/>
        </w:tabs>
        <w:ind w:left="-15"/>
        <w:rPr>
          <w:szCs w:val="24"/>
          <w:lang w:val="fr-FR"/>
        </w:rPr>
      </w:pPr>
    </w:p>
    <w:p w:rsidR="0064220B" w:rsidRPr="00BF726C" w:rsidRDefault="0064220B" w:rsidP="00BF726C">
      <w:pPr>
        <w:tabs>
          <w:tab w:val="left" w:pos="10535"/>
          <w:tab w:val="left" w:pos="15831"/>
          <w:tab w:val="left" w:pos="16791"/>
          <w:tab w:val="left" w:pos="17751"/>
          <w:tab w:val="left" w:pos="18187"/>
          <w:tab w:val="left" w:pos="18694"/>
        </w:tabs>
        <w:ind w:left="-15"/>
        <w:rPr>
          <w:sz w:val="20"/>
          <w:lang w:val="pt-BR"/>
        </w:rPr>
      </w:pPr>
      <w:r w:rsidRPr="00BF726C">
        <w:rPr>
          <w:szCs w:val="24"/>
          <w:lang w:val="fr-FR"/>
        </w:rPr>
        <w:t>Tableau 2 : Demandes, par voie de dépôt</w:t>
      </w:r>
    </w:p>
    <w:p w:rsidR="009B5DE4" w:rsidRPr="00BF726C" w:rsidRDefault="009B5DE4" w:rsidP="00BF726C">
      <w:pPr>
        <w:ind w:left="-142"/>
        <w:rPr>
          <w:noProof/>
          <w:sz w:val="20"/>
          <w:lang w:val="fr-FR" w:eastAsia="fr-FR"/>
        </w:rPr>
      </w:pPr>
      <w:r w:rsidRPr="00BF726C">
        <w:rPr>
          <w:noProof/>
          <w:lang w:eastAsia="en-US"/>
        </w:rPr>
        <w:drawing>
          <wp:inline distT="0" distB="0" distL="0" distR="0" wp14:anchorId="3A9D3193" wp14:editId="3B83A540">
            <wp:extent cx="4926330" cy="1616075"/>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6330" cy="1616075"/>
                    </a:xfrm>
                    <a:prstGeom prst="rect">
                      <a:avLst/>
                    </a:prstGeom>
                    <a:noFill/>
                    <a:ln>
                      <a:noFill/>
                    </a:ln>
                  </pic:spPr>
                </pic:pic>
              </a:graphicData>
            </a:graphic>
          </wp:inline>
        </w:drawing>
      </w:r>
    </w:p>
    <w:p w:rsidR="00156949" w:rsidRPr="00BF726C" w:rsidRDefault="007866FA" w:rsidP="00BF726C">
      <w:pPr>
        <w:rPr>
          <w:lang w:val="fr-FR"/>
        </w:rPr>
      </w:pPr>
      <w:r w:rsidRPr="00BF726C">
        <w:rPr>
          <w:lang w:val="fr-FR"/>
        </w:rPr>
        <w:t>Au moment où elle a nommé l</w:t>
      </w:r>
      <w:r w:rsidR="00677E1D" w:rsidRPr="00BF726C">
        <w:rPr>
          <w:lang w:val="fr-FR"/>
        </w:rPr>
        <w:t>’</w:t>
      </w:r>
      <w:r w:rsidRPr="00BF726C">
        <w:rPr>
          <w:lang w:val="fr-FR"/>
        </w:rPr>
        <w:t>INPI</w:t>
      </w:r>
      <w:r w:rsidR="009B5DE4" w:rsidRPr="00BF726C">
        <w:rPr>
          <w:lang w:val="fr-FR"/>
        </w:rPr>
        <w:noBreakHyphen/>
      </w:r>
      <w:r w:rsidRPr="00BF726C">
        <w:rPr>
          <w:lang w:val="fr-FR"/>
        </w:rPr>
        <w:t>Br administration chargée de la recherche internationale et de l</w:t>
      </w:r>
      <w:r w:rsidR="00677E1D" w:rsidRPr="00BF726C">
        <w:rPr>
          <w:lang w:val="fr-FR"/>
        </w:rPr>
        <w:t>’</w:t>
      </w:r>
      <w:r w:rsidRPr="00BF726C">
        <w:rPr>
          <w:lang w:val="fr-FR"/>
        </w:rPr>
        <w:t>examen préliminaire international, l</w:t>
      </w:r>
      <w:r w:rsidR="00677E1D" w:rsidRPr="00BF726C">
        <w:rPr>
          <w:lang w:val="fr-FR"/>
        </w:rPr>
        <w:t>’</w:t>
      </w:r>
      <w:r w:rsidRPr="00BF726C">
        <w:rPr>
          <w:lang w:val="fr-FR"/>
        </w:rPr>
        <w:t>Assemblée de l</w:t>
      </w:r>
      <w:r w:rsidR="00677E1D" w:rsidRPr="00BF726C">
        <w:rPr>
          <w:lang w:val="fr-FR"/>
        </w:rPr>
        <w:t>’</w:t>
      </w:r>
      <w:r w:rsidRPr="00BF726C">
        <w:rPr>
          <w:lang w:val="fr-FR"/>
        </w:rPr>
        <w:t>Union</w:t>
      </w:r>
      <w:r w:rsidR="00677E1D" w:rsidRPr="00BF726C">
        <w:rPr>
          <w:lang w:val="fr-FR"/>
        </w:rPr>
        <w:t xml:space="preserve"> du PCT</w:t>
      </w:r>
      <w:r w:rsidRPr="00BF726C">
        <w:rPr>
          <w:lang w:val="fr-FR"/>
        </w:rPr>
        <w:t xml:space="preserve"> a aussi approuvé une modification à la </w:t>
      </w:r>
      <w:r w:rsidR="00677E1D" w:rsidRPr="00BF726C">
        <w:rPr>
          <w:lang w:val="fr-FR"/>
        </w:rPr>
        <w:t>règle 4</w:t>
      </w:r>
      <w:r w:rsidRPr="00BF726C">
        <w:rPr>
          <w:lang w:val="fr-FR"/>
        </w:rPr>
        <w:t>8.3 du règlement d</w:t>
      </w:r>
      <w:r w:rsidR="00677E1D" w:rsidRPr="00BF726C">
        <w:rPr>
          <w:lang w:val="fr-FR"/>
        </w:rPr>
        <w:t>’</w:t>
      </w:r>
      <w:r w:rsidRPr="00BF726C">
        <w:rPr>
          <w:lang w:val="fr-FR"/>
        </w:rPr>
        <w:t>exécution</w:t>
      </w:r>
      <w:r w:rsidR="00677E1D" w:rsidRPr="00BF726C">
        <w:rPr>
          <w:lang w:val="fr-FR"/>
        </w:rPr>
        <w:t xml:space="preserve"> du PCT</w:t>
      </w:r>
      <w:r w:rsidRPr="00BF726C">
        <w:rPr>
          <w:lang w:val="fr-FR"/>
        </w:rPr>
        <w:t>, laquelle prévoyait l</w:t>
      </w:r>
      <w:r w:rsidR="00677E1D" w:rsidRPr="00BF726C">
        <w:rPr>
          <w:lang w:val="fr-FR"/>
        </w:rPr>
        <w:t>’</w:t>
      </w:r>
      <w:r w:rsidRPr="00BF726C">
        <w:rPr>
          <w:lang w:val="fr-FR"/>
        </w:rPr>
        <w:t>adjonction du portugais comme langue de publicati</w:t>
      </w:r>
      <w:r w:rsidR="002034AB" w:rsidRPr="00BF726C">
        <w:rPr>
          <w:lang w:val="fr-FR"/>
        </w:rPr>
        <w:t xml:space="preserve">on.  À </w:t>
      </w:r>
      <w:r w:rsidR="00B63BF1" w:rsidRPr="00BF726C">
        <w:rPr>
          <w:lang w:val="fr-FR"/>
        </w:rPr>
        <w:t xml:space="preserve">la suite de cette modification, les demandes déposées en portugais ont augmenté, passant de moins de 30 par an en </w:t>
      </w:r>
      <w:r w:rsidR="00310DF5" w:rsidRPr="00BF726C">
        <w:rPr>
          <w:lang w:val="fr-FR"/>
        </w:rPr>
        <w:t>moyenne</w:t>
      </w:r>
      <w:r w:rsidR="00B63BF1" w:rsidRPr="00BF726C">
        <w:rPr>
          <w:lang w:val="fr-FR"/>
        </w:rPr>
        <w:t xml:space="preserve"> à environ 500 par </w:t>
      </w:r>
      <w:r w:rsidR="002034AB" w:rsidRPr="00BF726C">
        <w:rPr>
          <w:lang w:val="fr-FR"/>
        </w:rPr>
        <w:t>an.  La</w:t>
      </w:r>
      <w:r w:rsidR="00B63BF1" w:rsidRPr="00BF726C">
        <w:rPr>
          <w:lang w:val="fr-FR"/>
        </w:rPr>
        <w:t xml:space="preserve"> plupart de ces demandes internationales font l</w:t>
      </w:r>
      <w:r w:rsidR="00677E1D" w:rsidRPr="00BF726C">
        <w:rPr>
          <w:lang w:val="fr-FR"/>
        </w:rPr>
        <w:t>’</w:t>
      </w:r>
      <w:r w:rsidR="00B63BF1" w:rsidRPr="00BF726C">
        <w:rPr>
          <w:lang w:val="fr-FR"/>
        </w:rPr>
        <w:t>objet d</w:t>
      </w:r>
      <w:r w:rsidR="00677E1D" w:rsidRPr="00BF726C">
        <w:rPr>
          <w:lang w:val="fr-FR"/>
        </w:rPr>
        <w:t>’</w:t>
      </w:r>
      <w:r w:rsidR="00B63BF1" w:rsidRPr="00BF726C">
        <w:rPr>
          <w:lang w:val="fr-FR"/>
        </w:rPr>
        <w:t>une recherche par l</w:t>
      </w:r>
      <w:r w:rsidR="00677E1D" w:rsidRPr="00BF726C">
        <w:rPr>
          <w:lang w:val="fr-FR"/>
        </w:rPr>
        <w:t>’</w:t>
      </w:r>
      <w:r w:rsidR="00B63BF1" w:rsidRPr="00BF726C">
        <w:rPr>
          <w:lang w:val="fr-FR"/>
        </w:rPr>
        <w:t>INPI</w:t>
      </w:r>
      <w:r w:rsidR="009B5DE4" w:rsidRPr="00BF726C">
        <w:rPr>
          <w:lang w:val="fr-FR"/>
        </w:rPr>
        <w:noBreakHyphen/>
      </w:r>
      <w:r w:rsidR="00B63BF1" w:rsidRPr="00BF726C">
        <w:rPr>
          <w:lang w:val="fr-FR"/>
        </w:rPr>
        <w:t>Br, qui est la seule administration chargée de la recherche internationale et de l</w:t>
      </w:r>
      <w:r w:rsidR="00677E1D" w:rsidRPr="00BF726C">
        <w:rPr>
          <w:lang w:val="fr-FR"/>
        </w:rPr>
        <w:t>’</w:t>
      </w:r>
      <w:r w:rsidR="00B63BF1" w:rsidRPr="00BF726C">
        <w:rPr>
          <w:lang w:val="fr-FR"/>
        </w:rPr>
        <w:t>examen préliminaire international en mesure de procéder à la recherche et à l</w:t>
      </w:r>
      <w:r w:rsidR="00677E1D" w:rsidRPr="00BF726C">
        <w:rPr>
          <w:lang w:val="fr-FR"/>
        </w:rPr>
        <w:t>’</w:t>
      </w:r>
      <w:r w:rsidR="00B63BF1" w:rsidRPr="00BF726C">
        <w:rPr>
          <w:lang w:val="fr-FR"/>
        </w:rPr>
        <w:t>examen pour ces demandes sans avoi</w:t>
      </w:r>
      <w:r w:rsidR="00A64FE9" w:rsidRPr="00BF726C">
        <w:rPr>
          <w:lang w:val="fr-FR"/>
        </w:rPr>
        <w:t>r besoin d</w:t>
      </w:r>
      <w:r w:rsidR="00677E1D" w:rsidRPr="00BF726C">
        <w:rPr>
          <w:lang w:val="fr-FR"/>
        </w:rPr>
        <w:t>’</w:t>
      </w:r>
      <w:r w:rsidR="00A64FE9" w:rsidRPr="00BF726C">
        <w:rPr>
          <w:lang w:val="fr-FR"/>
        </w:rPr>
        <w:t>une traduction aux fi</w:t>
      </w:r>
      <w:r w:rsidR="00B63BF1" w:rsidRPr="00BF726C">
        <w:rPr>
          <w:lang w:val="fr-FR"/>
        </w:rPr>
        <w:t>ns de la recherche internationa</w:t>
      </w:r>
      <w:r w:rsidR="002034AB" w:rsidRPr="00BF726C">
        <w:rPr>
          <w:lang w:val="fr-FR"/>
        </w:rPr>
        <w:t>le.  Ce</w:t>
      </w:r>
      <w:r w:rsidR="00156949" w:rsidRPr="00BF726C">
        <w:rPr>
          <w:lang w:val="fr-FR"/>
        </w:rPr>
        <w:t>la constitue un avantage considérable pour les déposants de la région et permet d</w:t>
      </w:r>
      <w:r w:rsidR="00677E1D" w:rsidRPr="00BF726C">
        <w:rPr>
          <w:lang w:val="fr-FR"/>
        </w:rPr>
        <w:t>’</w:t>
      </w:r>
      <w:r w:rsidR="00156949" w:rsidRPr="00BF726C">
        <w:rPr>
          <w:lang w:val="fr-FR"/>
        </w:rPr>
        <w:t>assurer un accès efficace au système</w:t>
      </w:r>
      <w:r w:rsidR="00677E1D" w:rsidRPr="00BF726C">
        <w:rPr>
          <w:lang w:val="fr-FR"/>
        </w:rPr>
        <w:t xml:space="preserve"> du PCT</w:t>
      </w:r>
      <w:r w:rsidR="00156949" w:rsidRPr="00BF726C">
        <w:rPr>
          <w:lang w:val="fr-FR"/>
        </w:rPr>
        <w:t>.</w:t>
      </w:r>
    </w:p>
    <w:p w:rsidR="00677E1D" w:rsidRPr="00BF726C" w:rsidRDefault="00156949" w:rsidP="00BF726C">
      <w:pPr>
        <w:pStyle w:val="Heading1"/>
        <w:rPr>
          <w:lang w:val="fr-FR"/>
        </w:rPr>
      </w:pPr>
      <w:r w:rsidRPr="00BF726C">
        <w:rPr>
          <w:lang w:val="fr-FR"/>
        </w:rPr>
        <w:t>Conformité avec les exigences minimales</w:t>
      </w:r>
    </w:p>
    <w:p w:rsidR="00156949" w:rsidRPr="00BF726C" w:rsidRDefault="00156949" w:rsidP="00BF726C">
      <w:pPr>
        <w:rPr>
          <w:lang w:val="fr-FR"/>
        </w:rPr>
      </w:pPr>
      <w:r w:rsidRPr="00BF726C">
        <w:rPr>
          <w:lang w:val="fr-FR"/>
        </w:rPr>
        <w:t>L</w:t>
      </w:r>
      <w:r w:rsidR="00677E1D" w:rsidRPr="00BF726C">
        <w:rPr>
          <w:lang w:val="fr-FR"/>
        </w:rPr>
        <w:t>’</w:t>
      </w:r>
      <w:r w:rsidRPr="00BF726C">
        <w:rPr>
          <w:lang w:val="fr-FR"/>
        </w:rPr>
        <w:t>INPI</w:t>
      </w:r>
      <w:r w:rsidR="009B5DE4" w:rsidRPr="00BF726C">
        <w:rPr>
          <w:lang w:val="fr-FR"/>
        </w:rPr>
        <w:noBreakHyphen/>
      </w:r>
      <w:r w:rsidRPr="00BF726C">
        <w:rPr>
          <w:lang w:val="fr-FR"/>
        </w:rPr>
        <w:t xml:space="preserve">Br est pleinement conforme aux exigences minimales applicables à la nomination inscrites dans les </w:t>
      </w:r>
      <w:r w:rsidR="00677E1D" w:rsidRPr="00BF726C">
        <w:rPr>
          <w:lang w:val="fr-FR"/>
        </w:rPr>
        <w:t>règles 3</w:t>
      </w:r>
      <w:r w:rsidR="009B5DE4" w:rsidRPr="00BF726C">
        <w:rPr>
          <w:lang w:val="fr-FR"/>
        </w:rPr>
        <w:t>6.1 et </w:t>
      </w:r>
      <w:r w:rsidRPr="00BF726C">
        <w:rPr>
          <w:lang w:val="fr-FR"/>
        </w:rPr>
        <w:t>63.1 du</w:t>
      </w:r>
      <w:r w:rsidR="00310DF5" w:rsidRPr="00BF726C">
        <w:rPr>
          <w:lang w:val="fr-FR"/>
        </w:rPr>
        <w:t xml:space="preserve"> règlement d</w:t>
      </w:r>
      <w:r w:rsidR="00677E1D" w:rsidRPr="00BF726C">
        <w:rPr>
          <w:lang w:val="fr-FR"/>
        </w:rPr>
        <w:t>’</w:t>
      </w:r>
      <w:r w:rsidR="00310DF5" w:rsidRPr="00BF726C">
        <w:rPr>
          <w:lang w:val="fr-FR"/>
        </w:rPr>
        <w:t>exécution</w:t>
      </w:r>
      <w:r w:rsidR="00677E1D" w:rsidRPr="00BF726C">
        <w:rPr>
          <w:lang w:val="fr-FR"/>
        </w:rPr>
        <w:t xml:space="preserve"> du </w:t>
      </w:r>
      <w:r w:rsidR="002034AB" w:rsidRPr="00BF726C">
        <w:rPr>
          <w:lang w:val="fr-FR"/>
        </w:rPr>
        <w:t>PCT.  Ce</w:t>
      </w:r>
      <w:r w:rsidRPr="00BF726C">
        <w:rPr>
          <w:lang w:val="fr-FR"/>
        </w:rPr>
        <w:t>s règles indiquent (dans le</w:t>
      </w:r>
      <w:r w:rsidR="00044086" w:rsidRPr="00BF726C">
        <w:rPr>
          <w:lang w:val="fr-FR"/>
        </w:rPr>
        <w:t>ur</w:t>
      </w:r>
      <w:r w:rsidRPr="00BF726C">
        <w:rPr>
          <w:lang w:val="fr-FR"/>
        </w:rPr>
        <w:t>s parties pertinentes) que</w:t>
      </w:r>
      <w:r w:rsidR="00063D0F" w:rsidRPr="00BF726C">
        <w:rPr>
          <w:lang w:val="fr-FR"/>
        </w:rPr>
        <w:t> </w:t>
      </w:r>
      <w:r w:rsidRPr="00BF726C">
        <w:rPr>
          <w:lang w:val="fr-FR"/>
        </w:rPr>
        <w:t>:</w:t>
      </w:r>
    </w:p>
    <w:p w:rsidR="00156949" w:rsidRPr="00BF726C" w:rsidRDefault="00156949" w:rsidP="00BF726C">
      <w:pPr>
        <w:tabs>
          <w:tab w:val="left" w:pos="567"/>
        </w:tabs>
        <w:ind w:left="1134" w:hanging="1134"/>
        <w:rPr>
          <w:lang w:val="fr-FR"/>
        </w:rPr>
      </w:pPr>
    </w:p>
    <w:p w:rsidR="00156949" w:rsidRPr="00BF726C" w:rsidRDefault="0006103C" w:rsidP="00BF726C">
      <w:pPr>
        <w:tabs>
          <w:tab w:val="left" w:pos="567"/>
        </w:tabs>
        <w:ind w:left="1134" w:hanging="1134"/>
        <w:rPr>
          <w:lang w:val="fr-FR"/>
        </w:rPr>
      </w:pPr>
      <w:r w:rsidRPr="00BF726C">
        <w:rPr>
          <w:lang w:val="fr-FR"/>
        </w:rPr>
        <w:tab/>
      </w:r>
      <w:r w:rsidR="00156949" w:rsidRPr="00BF726C">
        <w:rPr>
          <w:lang w:val="fr-FR"/>
        </w:rPr>
        <w:t>i)</w:t>
      </w:r>
      <w:r w:rsidR="00156949" w:rsidRPr="00BF726C">
        <w:rPr>
          <w:lang w:val="fr-FR"/>
        </w:rPr>
        <w:tab/>
        <w:t>l</w:t>
      </w:r>
      <w:r w:rsidR="00677E1D" w:rsidRPr="00BF726C">
        <w:rPr>
          <w:lang w:val="fr-FR"/>
        </w:rPr>
        <w:t>’</w:t>
      </w:r>
      <w:r w:rsidR="00156949" w:rsidRPr="00BF726C">
        <w:rPr>
          <w:lang w:val="fr-FR"/>
        </w:rPr>
        <w:t>office national ou l</w:t>
      </w:r>
      <w:r w:rsidR="00677E1D" w:rsidRPr="00BF726C">
        <w:rPr>
          <w:lang w:val="fr-FR"/>
        </w:rPr>
        <w:t>’</w:t>
      </w:r>
      <w:r w:rsidR="00156949" w:rsidRPr="00BF726C">
        <w:rPr>
          <w:lang w:val="fr-FR"/>
        </w:rPr>
        <w:t>organisation intergouvernementale doit avoir au moins cent employés à plein temps possédant des qualifications techniques suffisantes pour procéder aux recherches;</w:t>
      </w:r>
    </w:p>
    <w:p w:rsidR="00156949" w:rsidRPr="00BF726C" w:rsidRDefault="00156949" w:rsidP="00BF726C">
      <w:pPr>
        <w:tabs>
          <w:tab w:val="left" w:pos="567"/>
        </w:tabs>
        <w:ind w:left="1134" w:hanging="1134"/>
        <w:rPr>
          <w:lang w:val="fr-FR"/>
        </w:rPr>
      </w:pPr>
    </w:p>
    <w:p w:rsidR="00156949" w:rsidRPr="00BF726C" w:rsidRDefault="0006103C" w:rsidP="00BF726C">
      <w:pPr>
        <w:tabs>
          <w:tab w:val="left" w:pos="567"/>
        </w:tabs>
        <w:ind w:left="1134" w:hanging="1134"/>
        <w:rPr>
          <w:lang w:val="fr-FR"/>
        </w:rPr>
      </w:pPr>
      <w:r w:rsidRPr="00BF726C">
        <w:rPr>
          <w:lang w:val="fr-FR"/>
        </w:rPr>
        <w:tab/>
      </w:r>
      <w:r w:rsidR="00156949" w:rsidRPr="00BF726C">
        <w:rPr>
          <w:lang w:val="fr-FR"/>
        </w:rPr>
        <w:t>ii)</w:t>
      </w:r>
      <w:r w:rsidR="00156949" w:rsidRPr="00BF726C">
        <w:rPr>
          <w:lang w:val="fr-FR"/>
        </w:rPr>
        <w:tab/>
        <w:t xml:space="preserve">cet office ou cette organisation doit avoir en sa possession au moins la documentation minimale de la </w:t>
      </w:r>
      <w:r w:rsidR="00677E1D" w:rsidRPr="00BF726C">
        <w:rPr>
          <w:lang w:val="fr-FR"/>
        </w:rPr>
        <w:t>règle 3</w:t>
      </w:r>
      <w:r w:rsidR="00156949" w:rsidRPr="00BF726C">
        <w:rPr>
          <w:lang w:val="fr-FR"/>
        </w:rPr>
        <w:t>4, ou avoir accès à cette documentation minimale, laquelle doit être disposée d</w:t>
      </w:r>
      <w:r w:rsidR="00677E1D" w:rsidRPr="00BF726C">
        <w:rPr>
          <w:lang w:val="fr-FR"/>
        </w:rPr>
        <w:t>’</w:t>
      </w:r>
      <w:r w:rsidR="00156949" w:rsidRPr="00BF726C">
        <w:rPr>
          <w:lang w:val="fr-FR"/>
        </w:rPr>
        <w:t>une manière adéquate aux fins de la recherche et se présenter sur papier, sur microforme ou sur un support électronique;</w:t>
      </w:r>
    </w:p>
    <w:p w:rsidR="00156949" w:rsidRPr="00BF726C" w:rsidRDefault="00156949" w:rsidP="00BF726C">
      <w:pPr>
        <w:tabs>
          <w:tab w:val="left" w:pos="567"/>
        </w:tabs>
        <w:ind w:left="1134" w:hanging="1134"/>
        <w:rPr>
          <w:lang w:val="fr-FR"/>
        </w:rPr>
      </w:pPr>
    </w:p>
    <w:p w:rsidR="00156949" w:rsidRPr="00BF726C" w:rsidRDefault="0006103C" w:rsidP="00BF726C">
      <w:pPr>
        <w:tabs>
          <w:tab w:val="left" w:pos="567"/>
        </w:tabs>
        <w:ind w:left="1134" w:hanging="1134"/>
        <w:rPr>
          <w:lang w:val="fr-FR"/>
        </w:rPr>
      </w:pPr>
      <w:r w:rsidRPr="00BF726C">
        <w:rPr>
          <w:lang w:val="fr-FR"/>
        </w:rPr>
        <w:tab/>
      </w:r>
      <w:r w:rsidR="00156949" w:rsidRPr="00BF726C">
        <w:rPr>
          <w:lang w:val="fr-FR"/>
        </w:rPr>
        <w:t>iii)</w:t>
      </w:r>
      <w:r w:rsidR="00156949" w:rsidRPr="00BF726C">
        <w:rPr>
          <w:lang w:val="fr-FR"/>
        </w:rPr>
        <w:tab/>
        <w:t>cet office ou cette organisation doit disposer d</w:t>
      </w:r>
      <w:r w:rsidR="00677E1D" w:rsidRPr="00BF726C">
        <w:rPr>
          <w:lang w:val="fr-FR"/>
        </w:rPr>
        <w:t>’</w:t>
      </w:r>
      <w:r w:rsidR="00156949" w:rsidRPr="00BF726C">
        <w:rPr>
          <w:lang w:val="fr-FR"/>
        </w:rPr>
        <w:t xml:space="preserve">un personnel capable de procéder à la recherche dans les domaines techniques sur lesquels la recherche doit porter et possédant les connaissances linguistiques nécessaires à la compréhension au moins des langues dans lesquelles la documentation minimale de la </w:t>
      </w:r>
      <w:r w:rsidR="00677E1D" w:rsidRPr="00BF726C">
        <w:rPr>
          <w:lang w:val="fr-FR"/>
        </w:rPr>
        <w:t>règle 3</w:t>
      </w:r>
      <w:r w:rsidR="00156949" w:rsidRPr="00BF726C">
        <w:rPr>
          <w:lang w:val="fr-FR"/>
        </w:rPr>
        <w:t>4 est rédigée ou traduite;</w:t>
      </w:r>
    </w:p>
    <w:p w:rsidR="00156949" w:rsidRPr="00BF726C" w:rsidRDefault="00156949" w:rsidP="00BF726C">
      <w:pPr>
        <w:tabs>
          <w:tab w:val="left" w:pos="567"/>
        </w:tabs>
        <w:ind w:left="1134" w:hanging="1134"/>
        <w:rPr>
          <w:lang w:val="fr-FR"/>
        </w:rPr>
      </w:pPr>
    </w:p>
    <w:p w:rsidR="00156949" w:rsidRPr="00BF726C" w:rsidRDefault="0006103C" w:rsidP="00BF726C">
      <w:pPr>
        <w:tabs>
          <w:tab w:val="left" w:pos="567"/>
        </w:tabs>
        <w:ind w:left="1134" w:hanging="1134"/>
        <w:rPr>
          <w:lang w:val="fr-FR"/>
        </w:rPr>
      </w:pPr>
      <w:r w:rsidRPr="00BF726C">
        <w:rPr>
          <w:lang w:val="fr-FR"/>
        </w:rPr>
        <w:tab/>
      </w:r>
      <w:r w:rsidR="00156949" w:rsidRPr="00BF726C">
        <w:rPr>
          <w:lang w:val="fr-FR"/>
        </w:rPr>
        <w:t>iv)</w:t>
      </w:r>
      <w:r w:rsidR="00156949" w:rsidRPr="00BF726C">
        <w:rPr>
          <w:lang w:val="fr-FR"/>
        </w:rPr>
        <w:tab/>
        <w:t>cet office ou cette organisation doit disposer d</w:t>
      </w:r>
      <w:r w:rsidR="00677E1D" w:rsidRPr="00BF726C">
        <w:rPr>
          <w:lang w:val="fr-FR"/>
        </w:rPr>
        <w:t>’</w:t>
      </w:r>
      <w:r w:rsidR="00156949" w:rsidRPr="00BF726C">
        <w:rPr>
          <w:lang w:val="fr-FR"/>
        </w:rPr>
        <w:t>un système de gestion de la qualité et de dispositions internes en matière d</w:t>
      </w:r>
      <w:r w:rsidR="00677E1D" w:rsidRPr="00BF726C">
        <w:rPr>
          <w:lang w:val="fr-FR"/>
        </w:rPr>
        <w:t>’</w:t>
      </w:r>
      <w:r w:rsidR="00156949" w:rsidRPr="00BF726C">
        <w:rPr>
          <w:lang w:val="fr-FR"/>
        </w:rPr>
        <w:t>évaluation conformément aux règles communes de la recherche internationale.</w:t>
      </w:r>
    </w:p>
    <w:p w:rsidR="00156949" w:rsidRPr="00BF726C" w:rsidRDefault="00156949" w:rsidP="00BF726C">
      <w:pPr>
        <w:rPr>
          <w:lang w:val="fr-FR"/>
        </w:rPr>
      </w:pPr>
    </w:p>
    <w:p w:rsidR="00677E1D" w:rsidRPr="00BF726C" w:rsidRDefault="00BE40A7" w:rsidP="00BF726C">
      <w:pPr>
        <w:pStyle w:val="Heading3"/>
        <w:rPr>
          <w:lang w:val="fr-FR"/>
        </w:rPr>
      </w:pPr>
      <w:r w:rsidRPr="00BF726C">
        <w:rPr>
          <w:lang w:val="fr-FR"/>
        </w:rPr>
        <w:t>Politique en matière de ressources humaines axée sur ses fonctions d</w:t>
      </w:r>
      <w:r w:rsidR="00677E1D" w:rsidRPr="00BF726C">
        <w:rPr>
          <w:lang w:val="fr-FR"/>
        </w:rPr>
        <w:t>’</w:t>
      </w:r>
      <w:r w:rsidRPr="00BF726C">
        <w:rPr>
          <w:lang w:val="fr-FR"/>
        </w:rPr>
        <w:t>administration chargée de la recherche internationale et de l</w:t>
      </w:r>
      <w:r w:rsidR="00677E1D" w:rsidRPr="00BF726C">
        <w:rPr>
          <w:lang w:val="fr-FR"/>
        </w:rPr>
        <w:t>’</w:t>
      </w:r>
      <w:r w:rsidRPr="00BF726C">
        <w:rPr>
          <w:lang w:val="fr-FR"/>
        </w:rPr>
        <w:t>examen préliminaire international</w:t>
      </w:r>
    </w:p>
    <w:p w:rsidR="00677E1D" w:rsidRPr="00BF726C" w:rsidRDefault="00BE40A7" w:rsidP="00BF726C">
      <w:pPr>
        <w:rPr>
          <w:lang w:val="fr-FR"/>
        </w:rPr>
      </w:pPr>
      <w:r w:rsidRPr="00BF726C">
        <w:rPr>
          <w:lang w:val="fr-FR"/>
        </w:rPr>
        <w:t>En réponse à la demande accrue de droits de propriété intellectuelle, l</w:t>
      </w:r>
      <w:r w:rsidR="00677E1D" w:rsidRPr="00BF726C">
        <w:rPr>
          <w:lang w:val="fr-FR"/>
        </w:rPr>
        <w:t>’</w:t>
      </w:r>
      <w:r w:rsidRPr="00BF726C">
        <w:rPr>
          <w:lang w:val="fr-FR"/>
        </w:rPr>
        <w:t>INPI</w:t>
      </w:r>
      <w:r w:rsidR="009B5DE4" w:rsidRPr="00BF726C">
        <w:rPr>
          <w:lang w:val="fr-FR"/>
        </w:rPr>
        <w:noBreakHyphen/>
      </w:r>
      <w:r w:rsidRPr="00BF726C">
        <w:rPr>
          <w:lang w:val="fr-FR"/>
        </w:rPr>
        <w:t xml:space="preserve">Br a tiré </w:t>
      </w:r>
      <w:r w:rsidR="00044086" w:rsidRPr="00BF726C">
        <w:rPr>
          <w:lang w:val="fr-FR"/>
        </w:rPr>
        <w:t>parti</w:t>
      </w:r>
      <w:r w:rsidRPr="00BF726C">
        <w:rPr>
          <w:lang w:val="fr-FR"/>
        </w:rPr>
        <w:t xml:space="preserve"> des conditions nationales favorables pour bâtir un programme permanent</w:t>
      </w:r>
      <w:r w:rsidR="00044086" w:rsidRPr="00BF726C">
        <w:rPr>
          <w:lang w:val="fr-FR"/>
        </w:rPr>
        <w:t>,</w:t>
      </w:r>
      <w:r w:rsidRPr="00BF726C">
        <w:rPr>
          <w:lang w:val="fr-FR"/>
        </w:rPr>
        <w:t xml:space="preserve"> qui a permis de recruter de nouveaux examinateurs ces dernières années</w:t>
      </w:r>
      <w:r w:rsidR="00044086" w:rsidRPr="00BF726C">
        <w:rPr>
          <w:lang w:val="fr-FR"/>
        </w:rPr>
        <w:t>,</w:t>
      </w:r>
      <w:r w:rsidRPr="00BF726C">
        <w:rPr>
          <w:lang w:val="fr-FR"/>
        </w:rPr>
        <w:t xml:space="preserve"> et un programme de recherche d</w:t>
      </w:r>
      <w:r w:rsidR="00677E1D" w:rsidRPr="00BF726C">
        <w:rPr>
          <w:lang w:val="fr-FR"/>
        </w:rPr>
        <w:t>’</w:t>
      </w:r>
      <w:r w:rsidRPr="00BF726C">
        <w:rPr>
          <w:lang w:val="fr-FR"/>
        </w:rPr>
        <w:t>examinateurs potentie</w:t>
      </w:r>
      <w:r w:rsidR="002034AB" w:rsidRPr="00BF726C">
        <w:rPr>
          <w:lang w:val="fr-FR"/>
        </w:rPr>
        <w:t>ls.  En</w:t>
      </w:r>
      <w:r w:rsidRPr="00BF726C">
        <w:rPr>
          <w:lang w:val="fr-FR"/>
        </w:rPr>
        <w:t xml:space="preserve"> </w:t>
      </w:r>
      <w:r w:rsidR="00677E1D" w:rsidRPr="00BF726C">
        <w:rPr>
          <w:lang w:val="fr-FR"/>
        </w:rPr>
        <w:t>septembre 20</w:t>
      </w:r>
      <w:r w:rsidRPr="00BF726C">
        <w:rPr>
          <w:lang w:val="fr-FR"/>
        </w:rPr>
        <w:t>16, la Direction des brevets comptait 68</w:t>
      </w:r>
      <w:r w:rsidR="0095395D" w:rsidRPr="00BF726C">
        <w:rPr>
          <w:lang w:val="fr-FR"/>
        </w:rPr>
        <w:t> </w:t>
      </w:r>
      <w:r w:rsidRPr="00BF726C">
        <w:rPr>
          <w:lang w:val="fr-FR"/>
        </w:rPr>
        <w:t>examinateurs dans le domaine de la mécanique, 72</w:t>
      </w:r>
      <w:r w:rsidR="00044086" w:rsidRPr="00BF726C">
        <w:rPr>
          <w:lang w:val="fr-FR"/>
        </w:rPr>
        <w:t xml:space="preserve"> </w:t>
      </w:r>
      <w:r w:rsidRPr="00BF726C">
        <w:rPr>
          <w:lang w:val="fr-FR"/>
        </w:rPr>
        <w:t>dans les domaines de l</w:t>
      </w:r>
      <w:r w:rsidR="00677E1D" w:rsidRPr="00BF726C">
        <w:rPr>
          <w:lang w:val="fr-FR"/>
        </w:rPr>
        <w:t>’</w:t>
      </w:r>
      <w:r w:rsidRPr="00BF726C">
        <w:rPr>
          <w:lang w:val="fr-FR"/>
        </w:rPr>
        <w:t>élec</w:t>
      </w:r>
      <w:r w:rsidR="00044086" w:rsidRPr="00BF726C">
        <w:rPr>
          <w:lang w:val="fr-FR"/>
        </w:rPr>
        <w:t>tricité et de l</w:t>
      </w:r>
      <w:r w:rsidR="00677E1D" w:rsidRPr="00BF726C">
        <w:rPr>
          <w:lang w:val="fr-FR"/>
        </w:rPr>
        <w:t>’</w:t>
      </w:r>
      <w:r w:rsidR="00044086" w:rsidRPr="00BF726C">
        <w:rPr>
          <w:lang w:val="fr-FR"/>
        </w:rPr>
        <w:t>électronique, 61</w:t>
      </w:r>
      <w:r w:rsidRPr="00BF726C">
        <w:rPr>
          <w:lang w:val="fr-FR"/>
        </w:rPr>
        <w:t xml:space="preserve"> dans le domaine de la chimie et 59 dans le domaine de la biotechnologie, soit un total de 260</w:t>
      </w:r>
      <w:r w:rsidR="0095395D" w:rsidRPr="00BF726C">
        <w:rPr>
          <w:lang w:val="fr-FR"/>
        </w:rPr>
        <w:t> </w:t>
      </w:r>
      <w:r w:rsidRPr="00BF726C">
        <w:rPr>
          <w:lang w:val="fr-FR"/>
        </w:rPr>
        <w:t>examinateurs travaillant à plein tem</w:t>
      </w:r>
      <w:r w:rsidR="002034AB" w:rsidRPr="00BF726C">
        <w:rPr>
          <w:lang w:val="fr-FR"/>
        </w:rPr>
        <w:t>ps.  Qu</w:t>
      </w:r>
      <w:r w:rsidRPr="00BF726C">
        <w:rPr>
          <w:lang w:val="fr-FR"/>
        </w:rPr>
        <w:t>ant à leur niveau d</w:t>
      </w:r>
      <w:r w:rsidR="00677E1D" w:rsidRPr="00BF726C">
        <w:rPr>
          <w:lang w:val="fr-FR"/>
        </w:rPr>
        <w:t>’</w:t>
      </w:r>
      <w:r w:rsidRPr="00BF726C">
        <w:rPr>
          <w:lang w:val="fr-FR"/>
        </w:rPr>
        <w:t>études, il convient de souligner qu</w:t>
      </w:r>
      <w:r w:rsidR="00677E1D" w:rsidRPr="00BF726C">
        <w:rPr>
          <w:lang w:val="fr-FR"/>
        </w:rPr>
        <w:t>’</w:t>
      </w:r>
      <w:r w:rsidRPr="00BF726C">
        <w:rPr>
          <w:lang w:val="fr-FR"/>
        </w:rPr>
        <w:t>il</w:t>
      </w:r>
      <w:r w:rsidR="00446568" w:rsidRPr="00BF726C">
        <w:rPr>
          <w:lang w:val="fr-FR"/>
        </w:rPr>
        <w:t>s sont tous titulaires d</w:t>
      </w:r>
      <w:r w:rsidR="00677E1D" w:rsidRPr="00BF726C">
        <w:rPr>
          <w:lang w:val="fr-FR"/>
        </w:rPr>
        <w:t>’</w:t>
      </w:r>
      <w:r w:rsidR="00446568" w:rsidRPr="00BF726C">
        <w:rPr>
          <w:lang w:val="fr-FR"/>
        </w:rPr>
        <w:t>un m</w:t>
      </w:r>
      <w:r w:rsidRPr="00BF726C">
        <w:rPr>
          <w:lang w:val="fr-FR"/>
        </w:rPr>
        <w:t>aster, et que la grande majorité pos</w:t>
      </w:r>
      <w:r w:rsidR="00446568" w:rsidRPr="00BF726C">
        <w:rPr>
          <w:lang w:val="fr-FR"/>
        </w:rPr>
        <w:t>sè</w:t>
      </w:r>
      <w:r w:rsidRPr="00BF726C">
        <w:rPr>
          <w:lang w:val="fr-FR"/>
        </w:rPr>
        <w:t>d</w:t>
      </w:r>
      <w:r w:rsidR="00446568" w:rsidRPr="00BF726C">
        <w:rPr>
          <w:lang w:val="fr-FR"/>
        </w:rPr>
        <w:t>e</w:t>
      </w:r>
      <w:r w:rsidRPr="00BF726C">
        <w:rPr>
          <w:lang w:val="fr-FR"/>
        </w:rPr>
        <w:t xml:space="preserve"> un doctor</w:t>
      </w:r>
      <w:r w:rsidR="002034AB" w:rsidRPr="00BF726C">
        <w:rPr>
          <w:lang w:val="fr-FR"/>
        </w:rPr>
        <w:t>at.  En</w:t>
      </w:r>
      <w:r w:rsidRPr="00BF726C">
        <w:rPr>
          <w:lang w:val="fr-FR"/>
        </w:rPr>
        <w:t xml:space="preserve"> d</w:t>
      </w:r>
      <w:r w:rsidR="00677E1D" w:rsidRPr="00BF726C">
        <w:rPr>
          <w:lang w:val="fr-FR"/>
        </w:rPr>
        <w:t>’</w:t>
      </w:r>
      <w:r w:rsidRPr="00BF726C">
        <w:rPr>
          <w:lang w:val="fr-FR"/>
        </w:rPr>
        <w:t xml:space="preserve">autres termes, ils </w:t>
      </w:r>
      <w:r w:rsidR="00044086" w:rsidRPr="00BF726C">
        <w:rPr>
          <w:lang w:val="fr-FR"/>
        </w:rPr>
        <w:t>ont</w:t>
      </w:r>
      <w:r w:rsidRPr="00BF726C">
        <w:rPr>
          <w:lang w:val="fr-FR"/>
        </w:rPr>
        <w:t xml:space="preserve"> tous les qualifications techniques suffisantes pour procéder à des recherches et à des examens internationaux aux termes des </w:t>
      </w:r>
      <w:r w:rsidR="00677E1D" w:rsidRPr="00BF726C">
        <w:rPr>
          <w:lang w:val="fr-FR"/>
        </w:rPr>
        <w:t>règles 3</w:t>
      </w:r>
      <w:r w:rsidRPr="00BF726C">
        <w:rPr>
          <w:lang w:val="fr-FR"/>
        </w:rPr>
        <w:t xml:space="preserve">6.1.i) et 63.1.i) du </w:t>
      </w:r>
      <w:r w:rsidR="00044086" w:rsidRPr="00BF726C">
        <w:rPr>
          <w:lang w:val="fr-FR"/>
        </w:rPr>
        <w:t>règlement d</w:t>
      </w:r>
      <w:r w:rsidR="00677E1D" w:rsidRPr="00BF726C">
        <w:rPr>
          <w:lang w:val="fr-FR"/>
        </w:rPr>
        <w:t>’</w:t>
      </w:r>
      <w:r w:rsidR="00044086" w:rsidRPr="00BF726C">
        <w:rPr>
          <w:lang w:val="fr-FR"/>
        </w:rPr>
        <w:t>exécution</w:t>
      </w:r>
      <w:r w:rsidR="00677E1D" w:rsidRPr="00BF726C">
        <w:rPr>
          <w:lang w:val="fr-FR"/>
        </w:rPr>
        <w:t xml:space="preserve"> du PCT</w:t>
      </w:r>
      <w:r w:rsidRPr="00BF726C">
        <w:rPr>
          <w:lang w:val="fr-FR"/>
        </w:rPr>
        <w:t>.</w:t>
      </w:r>
    </w:p>
    <w:p w:rsidR="00156949" w:rsidRPr="00BF726C" w:rsidRDefault="00156949" w:rsidP="00BF726C">
      <w:pPr>
        <w:rPr>
          <w:lang w:val="fr-FR"/>
        </w:rPr>
      </w:pPr>
    </w:p>
    <w:p w:rsidR="00677E1D" w:rsidRPr="00BF726C" w:rsidRDefault="008E3E9B" w:rsidP="00BF726C">
      <w:pPr>
        <w:rPr>
          <w:lang w:val="fr-FR"/>
        </w:rPr>
      </w:pPr>
      <w:r w:rsidRPr="00BF726C">
        <w:rPr>
          <w:lang w:val="fr-FR"/>
        </w:rPr>
        <w:t>Le personnel chargé de l</w:t>
      </w:r>
      <w:r w:rsidR="00677E1D" w:rsidRPr="00BF726C">
        <w:rPr>
          <w:lang w:val="fr-FR"/>
        </w:rPr>
        <w:t>’</w:t>
      </w:r>
      <w:r w:rsidRPr="00BF726C">
        <w:rPr>
          <w:lang w:val="fr-FR"/>
        </w:rPr>
        <w:t>examen des brevets à l</w:t>
      </w:r>
      <w:r w:rsidR="00677E1D" w:rsidRPr="00BF726C">
        <w:rPr>
          <w:lang w:val="fr-FR"/>
        </w:rPr>
        <w:t>’</w:t>
      </w:r>
      <w:r w:rsidRPr="00BF726C">
        <w:rPr>
          <w:lang w:val="fr-FR"/>
        </w:rPr>
        <w:t>INPI</w:t>
      </w:r>
      <w:r w:rsidR="009B5DE4" w:rsidRPr="00BF726C">
        <w:rPr>
          <w:lang w:val="fr-FR"/>
        </w:rPr>
        <w:noBreakHyphen/>
      </w:r>
      <w:r w:rsidRPr="00BF726C">
        <w:rPr>
          <w:lang w:val="fr-FR"/>
        </w:rPr>
        <w:t>Br a certes augmenté notablement ces dernières années</w:t>
      </w:r>
      <w:r w:rsidR="00044086" w:rsidRPr="00BF726C">
        <w:rPr>
          <w:lang w:val="fr-FR"/>
        </w:rPr>
        <w:t>,</w:t>
      </w:r>
      <w:r w:rsidRPr="00BF726C">
        <w:rPr>
          <w:lang w:val="fr-FR"/>
        </w:rPr>
        <w:t xml:space="preserve"> mais l</w:t>
      </w:r>
      <w:r w:rsidR="00677E1D" w:rsidRPr="00BF726C">
        <w:rPr>
          <w:lang w:val="fr-FR"/>
        </w:rPr>
        <w:t>’</w:t>
      </w:r>
      <w:r w:rsidRPr="00BF726C">
        <w:rPr>
          <w:lang w:val="fr-FR"/>
        </w:rPr>
        <w:t>afflux continu de demandes de brevet et la détermination permanente de l</w:t>
      </w:r>
      <w:r w:rsidR="00677E1D" w:rsidRPr="00BF726C">
        <w:rPr>
          <w:lang w:val="fr-FR"/>
        </w:rPr>
        <w:t>’</w:t>
      </w:r>
      <w:r w:rsidRPr="00BF726C">
        <w:rPr>
          <w:lang w:val="fr-FR"/>
        </w:rPr>
        <w:t>INPI</w:t>
      </w:r>
      <w:r w:rsidR="009B5DE4" w:rsidRPr="00BF726C">
        <w:rPr>
          <w:lang w:val="fr-FR"/>
        </w:rPr>
        <w:noBreakHyphen/>
      </w:r>
      <w:r w:rsidRPr="00BF726C">
        <w:rPr>
          <w:lang w:val="fr-FR"/>
        </w:rPr>
        <w:t>Br à maintenir et à améliorer le niveau de services l</w:t>
      </w:r>
      <w:r w:rsidR="00677E1D" w:rsidRPr="00BF726C">
        <w:rPr>
          <w:lang w:val="fr-FR"/>
        </w:rPr>
        <w:t>’</w:t>
      </w:r>
      <w:r w:rsidRPr="00BF726C">
        <w:rPr>
          <w:lang w:val="fr-FR"/>
        </w:rPr>
        <w:t>ont obligé à procéder à un recrutement énergique de personnel supplémentai</w:t>
      </w:r>
      <w:r w:rsidR="002034AB" w:rsidRPr="00BF726C">
        <w:rPr>
          <w:lang w:val="fr-FR"/>
        </w:rPr>
        <w:t>re.  Au</w:t>
      </w:r>
      <w:r w:rsidRPr="00BF726C">
        <w:rPr>
          <w:lang w:val="fr-FR"/>
        </w:rPr>
        <w:t xml:space="preserve"> cours </w:t>
      </w:r>
      <w:r w:rsidR="00677E1D" w:rsidRPr="00BF726C">
        <w:rPr>
          <w:lang w:val="fr-FR"/>
        </w:rPr>
        <w:t>de 2016</w:t>
      </w:r>
      <w:r w:rsidRPr="00BF726C">
        <w:rPr>
          <w:lang w:val="fr-FR"/>
        </w:rPr>
        <w:t xml:space="preserve"> et 2017, l</w:t>
      </w:r>
      <w:r w:rsidR="00677E1D" w:rsidRPr="00BF726C">
        <w:rPr>
          <w:lang w:val="fr-FR"/>
        </w:rPr>
        <w:t>’</w:t>
      </w:r>
      <w:r w:rsidRPr="00BF726C">
        <w:rPr>
          <w:lang w:val="fr-FR"/>
        </w:rPr>
        <w:t>INPI</w:t>
      </w:r>
      <w:r w:rsidR="009B5DE4" w:rsidRPr="00BF726C">
        <w:rPr>
          <w:lang w:val="fr-FR"/>
        </w:rPr>
        <w:noBreakHyphen/>
      </w:r>
      <w:r w:rsidR="00BE7085" w:rsidRPr="00BF726C">
        <w:rPr>
          <w:lang w:val="fr-FR"/>
        </w:rPr>
        <w:t>Br</w:t>
      </w:r>
      <w:r w:rsidRPr="00BF726C">
        <w:rPr>
          <w:lang w:val="fr-FR"/>
        </w:rPr>
        <w:t xml:space="preserve"> a embauché 100</w:t>
      </w:r>
      <w:r w:rsidR="0095395D" w:rsidRPr="00BF726C">
        <w:rPr>
          <w:lang w:val="fr-FR"/>
        </w:rPr>
        <w:t> </w:t>
      </w:r>
      <w:r w:rsidRPr="00BF726C">
        <w:rPr>
          <w:lang w:val="fr-FR"/>
        </w:rPr>
        <w:t>nouveaux examinateurs de brevets, qui sont déjà en train d</w:t>
      </w:r>
      <w:r w:rsidR="00677E1D" w:rsidRPr="00BF726C">
        <w:rPr>
          <w:lang w:val="fr-FR"/>
        </w:rPr>
        <w:t>’</w:t>
      </w:r>
      <w:r w:rsidRPr="00BF726C">
        <w:rPr>
          <w:lang w:val="fr-FR"/>
        </w:rPr>
        <w:t>être formés.</w:t>
      </w:r>
    </w:p>
    <w:p w:rsidR="00156949" w:rsidRPr="00BF726C" w:rsidRDefault="00156949" w:rsidP="00BF726C">
      <w:pPr>
        <w:rPr>
          <w:lang w:val="fr-FR"/>
        </w:rPr>
      </w:pPr>
    </w:p>
    <w:p w:rsidR="00156949" w:rsidRPr="00BF726C" w:rsidRDefault="008E3E9B" w:rsidP="00BF726C">
      <w:pPr>
        <w:rPr>
          <w:lang w:val="fr-FR"/>
        </w:rPr>
      </w:pPr>
      <w:r w:rsidRPr="00BF726C">
        <w:rPr>
          <w:lang w:val="fr-FR"/>
        </w:rPr>
        <w:t>Les efforts déployés en matière de formation ne se limitent pas à l</w:t>
      </w:r>
      <w:r w:rsidR="00677E1D" w:rsidRPr="00BF726C">
        <w:rPr>
          <w:lang w:val="fr-FR"/>
        </w:rPr>
        <w:t>’</w:t>
      </w:r>
      <w:r w:rsidRPr="00BF726C">
        <w:rPr>
          <w:lang w:val="fr-FR"/>
        </w:rPr>
        <w:t>instruction de nouveaux examinateu</w:t>
      </w:r>
      <w:r w:rsidR="002034AB" w:rsidRPr="00BF726C">
        <w:rPr>
          <w:lang w:val="fr-FR"/>
        </w:rPr>
        <w:t>rs.  Le</w:t>
      </w:r>
      <w:r w:rsidRPr="00BF726C">
        <w:rPr>
          <w:lang w:val="fr-FR"/>
        </w:rPr>
        <w:t>s examinateurs chevronnés sont encouragés à se tenir au fait de l</w:t>
      </w:r>
      <w:r w:rsidR="00677E1D" w:rsidRPr="00BF726C">
        <w:rPr>
          <w:lang w:val="fr-FR"/>
        </w:rPr>
        <w:t>’</w:t>
      </w:r>
      <w:r w:rsidRPr="00BF726C">
        <w:rPr>
          <w:lang w:val="fr-FR"/>
        </w:rPr>
        <w:t>évolution des techniques dans leur domaine de spécialité, en étudiant des revues techniques, en assistant à des conférences et en prenant part à des rencontres techniques.</w:t>
      </w:r>
    </w:p>
    <w:p w:rsidR="00156949" w:rsidRPr="00BF726C" w:rsidRDefault="00156949" w:rsidP="00BF726C">
      <w:pPr>
        <w:rPr>
          <w:lang w:val="fr-FR"/>
        </w:rPr>
      </w:pPr>
    </w:p>
    <w:p w:rsidR="00677E1D" w:rsidRPr="00BF726C" w:rsidRDefault="008E3E9B" w:rsidP="00BF726C">
      <w:pPr>
        <w:rPr>
          <w:lang w:val="fr-FR"/>
        </w:rPr>
      </w:pPr>
      <w:r w:rsidRPr="00BF726C">
        <w:rPr>
          <w:lang w:val="fr-FR"/>
        </w:rPr>
        <w:t>Nos examinateurs possèdent aussi des connaissances approfondies en matière de langues étrangèr</w:t>
      </w:r>
      <w:r w:rsidR="002034AB" w:rsidRPr="00BF726C">
        <w:rPr>
          <w:lang w:val="fr-FR"/>
        </w:rPr>
        <w:t>es.  Un</w:t>
      </w:r>
      <w:r w:rsidRPr="00BF726C">
        <w:rPr>
          <w:lang w:val="fr-FR"/>
        </w:rPr>
        <w:t xml:space="preserve"> grand nombre d</w:t>
      </w:r>
      <w:r w:rsidR="00677E1D" w:rsidRPr="00BF726C">
        <w:rPr>
          <w:lang w:val="fr-FR"/>
        </w:rPr>
        <w:t>’</w:t>
      </w:r>
      <w:r w:rsidRPr="00BF726C">
        <w:rPr>
          <w:lang w:val="fr-FR"/>
        </w:rPr>
        <w:t>examinateurs peuvent travailler à la fois en anglais et en espagnol en plus du portugais.</w:t>
      </w:r>
    </w:p>
    <w:p w:rsidR="00156949" w:rsidRPr="00BF726C" w:rsidRDefault="00156949" w:rsidP="00BF726C">
      <w:pPr>
        <w:rPr>
          <w:lang w:val="fr-FR"/>
        </w:rPr>
      </w:pPr>
    </w:p>
    <w:p w:rsidR="00677E1D" w:rsidRPr="00BF726C" w:rsidRDefault="00C61E24" w:rsidP="00BF726C">
      <w:pPr>
        <w:rPr>
          <w:lang w:val="fr-FR"/>
        </w:rPr>
      </w:pPr>
      <w:r w:rsidRPr="00BF726C">
        <w:rPr>
          <w:lang w:val="fr-FR"/>
        </w:rPr>
        <w:t xml:space="preserve">En particulier, il convient de noter que, </w:t>
      </w:r>
      <w:r w:rsidR="00677E1D" w:rsidRPr="00BF726C">
        <w:rPr>
          <w:lang w:val="fr-FR"/>
        </w:rPr>
        <w:t>depuis 2010</w:t>
      </w:r>
      <w:r w:rsidRPr="00BF726C">
        <w:rPr>
          <w:lang w:val="fr-FR"/>
        </w:rPr>
        <w:t>, l</w:t>
      </w:r>
      <w:r w:rsidR="00677E1D" w:rsidRPr="00BF726C">
        <w:rPr>
          <w:lang w:val="fr-FR"/>
        </w:rPr>
        <w:t>’</w:t>
      </w:r>
      <w:r w:rsidRPr="00BF726C">
        <w:rPr>
          <w:lang w:val="fr-FR"/>
        </w:rPr>
        <w:t>INPI</w:t>
      </w:r>
      <w:r w:rsidR="009B5DE4" w:rsidRPr="00BF726C">
        <w:rPr>
          <w:lang w:val="fr-FR"/>
        </w:rPr>
        <w:noBreakHyphen/>
      </w:r>
      <w:r w:rsidRPr="00BF726C">
        <w:rPr>
          <w:lang w:val="fr-FR"/>
        </w:rPr>
        <w:t>Br a fourni à ses examinateurs une formation interne sur les questions relatives</w:t>
      </w:r>
      <w:r w:rsidR="00677E1D" w:rsidRPr="00BF726C">
        <w:rPr>
          <w:lang w:val="fr-FR"/>
        </w:rPr>
        <w:t xml:space="preserve"> au PCT</w:t>
      </w:r>
      <w:r w:rsidRPr="00BF726C">
        <w:rPr>
          <w:lang w:val="fr-FR"/>
        </w:rPr>
        <w:t xml:space="preserve">, </w:t>
      </w:r>
      <w:r w:rsidR="00044086" w:rsidRPr="00BF726C">
        <w:rPr>
          <w:lang w:val="fr-FR"/>
        </w:rPr>
        <w:t>laquelle portait sur</w:t>
      </w:r>
      <w:r w:rsidRPr="00BF726C">
        <w:rPr>
          <w:lang w:val="fr-FR"/>
        </w:rPr>
        <w:t xml:space="preserve"> les directives en matière de recherche et d</w:t>
      </w:r>
      <w:r w:rsidR="00677E1D" w:rsidRPr="00BF726C">
        <w:rPr>
          <w:lang w:val="fr-FR"/>
        </w:rPr>
        <w:t>’</w:t>
      </w:r>
      <w:r w:rsidRPr="00BF726C">
        <w:rPr>
          <w:lang w:val="fr-FR"/>
        </w:rPr>
        <w:t xml:space="preserve">examen ainsi que </w:t>
      </w:r>
      <w:r w:rsidR="00044086" w:rsidRPr="00BF726C">
        <w:rPr>
          <w:lang w:val="fr-FR"/>
        </w:rPr>
        <w:t xml:space="preserve">sur </w:t>
      </w:r>
      <w:r w:rsidRPr="00BF726C">
        <w:rPr>
          <w:lang w:val="fr-FR"/>
        </w:rPr>
        <w:t>la bonne utilisation des formulaires de l</w:t>
      </w:r>
      <w:r w:rsidR="00677E1D" w:rsidRPr="00BF726C">
        <w:rPr>
          <w:lang w:val="fr-FR"/>
        </w:rPr>
        <w:t>’</w:t>
      </w:r>
      <w:r w:rsidRPr="00BF726C">
        <w:rPr>
          <w:lang w:val="fr-FR"/>
        </w:rPr>
        <w:t>administration chargée de la recherche internationale et</w:t>
      </w:r>
      <w:r w:rsidR="00275A52" w:rsidRPr="00BF726C">
        <w:rPr>
          <w:lang w:val="fr-FR"/>
        </w:rPr>
        <w:t xml:space="preserve"> l</w:t>
      </w:r>
      <w:r w:rsidR="00677E1D" w:rsidRPr="00BF726C">
        <w:rPr>
          <w:lang w:val="fr-FR"/>
        </w:rPr>
        <w:t>’</w:t>
      </w:r>
      <w:r w:rsidR="00275A52" w:rsidRPr="00BF726C">
        <w:rPr>
          <w:lang w:val="fr-FR"/>
        </w:rPr>
        <w:t>administration chargée</w:t>
      </w:r>
      <w:r w:rsidRPr="00BF726C">
        <w:rPr>
          <w:lang w:val="fr-FR"/>
        </w:rPr>
        <w:t xml:space="preserve"> de l</w:t>
      </w:r>
      <w:r w:rsidR="00677E1D" w:rsidRPr="00BF726C">
        <w:rPr>
          <w:lang w:val="fr-FR"/>
        </w:rPr>
        <w:t>’</w:t>
      </w:r>
      <w:r w:rsidRPr="00BF726C">
        <w:rPr>
          <w:lang w:val="fr-FR"/>
        </w:rPr>
        <w:t xml:space="preserve">examen préliminaire international </w:t>
      </w:r>
      <w:r w:rsidR="00044086" w:rsidRPr="00BF726C">
        <w:rPr>
          <w:lang w:val="fr-FR"/>
        </w:rPr>
        <w:t>en comparaison avec les</w:t>
      </w:r>
      <w:r w:rsidRPr="00BF726C">
        <w:rPr>
          <w:lang w:val="fr-FR"/>
        </w:rPr>
        <w:t xml:space="preserve"> </w:t>
      </w:r>
      <w:r w:rsidR="00275A52" w:rsidRPr="00BF726C">
        <w:rPr>
          <w:lang w:val="fr-FR"/>
        </w:rPr>
        <w:t>procédures nationales</w:t>
      </w:r>
      <w:r w:rsidRPr="00BF726C">
        <w:rPr>
          <w:lang w:val="fr-FR"/>
        </w:rPr>
        <w:t xml:space="preserve"> de recherche et d</w:t>
      </w:r>
      <w:r w:rsidR="00677E1D" w:rsidRPr="00BF726C">
        <w:rPr>
          <w:lang w:val="fr-FR"/>
        </w:rPr>
        <w:t>’</w:t>
      </w:r>
      <w:r w:rsidRPr="00BF726C">
        <w:rPr>
          <w:lang w:val="fr-FR"/>
        </w:rPr>
        <w:t>examen.</w:t>
      </w:r>
    </w:p>
    <w:p w:rsidR="00156949" w:rsidRPr="00BF726C" w:rsidRDefault="00156949" w:rsidP="00BF726C">
      <w:pPr>
        <w:rPr>
          <w:lang w:val="fr-FR"/>
        </w:rPr>
      </w:pPr>
    </w:p>
    <w:p w:rsidR="00156949" w:rsidRPr="00BF726C" w:rsidRDefault="00C61E24" w:rsidP="00BF726C">
      <w:pPr>
        <w:rPr>
          <w:lang w:val="fr-FR"/>
        </w:rPr>
      </w:pPr>
      <w:r w:rsidRPr="00BF726C">
        <w:rPr>
          <w:lang w:val="fr-FR"/>
        </w:rPr>
        <w:t xml:space="preserve">Par exemple, </w:t>
      </w:r>
      <w:r w:rsidR="00677E1D" w:rsidRPr="00BF726C">
        <w:rPr>
          <w:lang w:val="fr-FR"/>
        </w:rPr>
        <w:t>en 2010</w:t>
      </w:r>
      <w:r w:rsidRPr="00BF726C">
        <w:rPr>
          <w:lang w:val="fr-FR"/>
        </w:rPr>
        <w:t>, l</w:t>
      </w:r>
      <w:r w:rsidR="00677E1D" w:rsidRPr="00BF726C">
        <w:rPr>
          <w:lang w:val="fr-FR"/>
        </w:rPr>
        <w:t>’</w:t>
      </w:r>
      <w:r w:rsidRPr="00BF726C">
        <w:rPr>
          <w:lang w:val="fr-FR"/>
        </w:rPr>
        <w:t>ensemble de nos 250</w:t>
      </w:r>
      <w:r w:rsidR="0095395D" w:rsidRPr="00BF726C">
        <w:rPr>
          <w:lang w:val="fr-FR"/>
        </w:rPr>
        <w:t> </w:t>
      </w:r>
      <w:r w:rsidRPr="00BF726C">
        <w:rPr>
          <w:lang w:val="fr-FR"/>
        </w:rPr>
        <w:t xml:space="preserve">examinateurs a reçu </w:t>
      </w:r>
      <w:r w:rsidR="00275A52" w:rsidRPr="00BF726C">
        <w:rPr>
          <w:lang w:val="fr-FR"/>
        </w:rPr>
        <w:t xml:space="preserve">une véritable </w:t>
      </w:r>
      <w:r w:rsidRPr="00BF726C">
        <w:rPr>
          <w:lang w:val="fr-FR"/>
        </w:rPr>
        <w:t>formati</w:t>
      </w:r>
      <w:r w:rsidR="00A64FE9" w:rsidRPr="00BF726C">
        <w:rPr>
          <w:lang w:val="fr-FR"/>
        </w:rPr>
        <w:t>on concernant tous les mo</w:t>
      </w:r>
      <w:r w:rsidRPr="00BF726C">
        <w:rPr>
          <w:lang w:val="fr-FR"/>
        </w:rPr>
        <w:t xml:space="preserve">dules </w:t>
      </w:r>
      <w:r w:rsidR="00A64FE9" w:rsidRPr="00BF726C">
        <w:rPr>
          <w:lang w:val="fr-FR"/>
        </w:rPr>
        <w:t>susmentionnés</w:t>
      </w:r>
      <w:r w:rsidRPr="00BF726C">
        <w:rPr>
          <w:lang w:val="fr-FR"/>
        </w:rPr>
        <w:t xml:space="preserve"> et</w:t>
      </w:r>
      <w:r w:rsidR="00044086" w:rsidRPr="00BF726C">
        <w:rPr>
          <w:lang w:val="fr-FR"/>
        </w:rPr>
        <w:t>,</w:t>
      </w:r>
      <w:r w:rsidRPr="00BF726C">
        <w:rPr>
          <w:lang w:val="fr-FR"/>
        </w:rPr>
        <w:t xml:space="preserve"> </w:t>
      </w:r>
      <w:r w:rsidR="00677E1D" w:rsidRPr="00BF726C">
        <w:rPr>
          <w:lang w:val="fr-FR"/>
        </w:rPr>
        <w:t>depuis 2011</w:t>
      </w:r>
      <w:r w:rsidRPr="00BF726C">
        <w:rPr>
          <w:lang w:val="fr-FR"/>
        </w:rPr>
        <w:t>, nos formations s</w:t>
      </w:r>
      <w:r w:rsidR="00275A52" w:rsidRPr="00BF726C">
        <w:rPr>
          <w:lang w:val="fr-FR"/>
        </w:rPr>
        <w:t>ont offertes sous la forme d</w:t>
      </w:r>
      <w:r w:rsidR="00677E1D" w:rsidRPr="00BF726C">
        <w:rPr>
          <w:lang w:val="fr-FR"/>
        </w:rPr>
        <w:t>’</w:t>
      </w:r>
      <w:r w:rsidR="00275A52" w:rsidRPr="00BF726C">
        <w:rPr>
          <w:lang w:val="fr-FR"/>
        </w:rPr>
        <w:t>un</w:t>
      </w:r>
      <w:r w:rsidRPr="00BF726C">
        <w:rPr>
          <w:lang w:val="fr-FR"/>
        </w:rPr>
        <w:t xml:space="preserve"> </w:t>
      </w:r>
      <w:r w:rsidR="00275A52" w:rsidRPr="00BF726C">
        <w:rPr>
          <w:lang w:val="fr-FR"/>
        </w:rPr>
        <w:t>cours</w:t>
      </w:r>
      <w:r w:rsidRPr="00BF726C">
        <w:rPr>
          <w:lang w:val="fr-FR"/>
        </w:rPr>
        <w:t xml:space="preserve"> de base pour les nouveaux examinateu</w:t>
      </w:r>
      <w:r w:rsidR="002034AB" w:rsidRPr="00BF726C">
        <w:rPr>
          <w:lang w:val="fr-FR"/>
        </w:rPr>
        <w:t>rs.  Le</w:t>
      </w:r>
      <w:r w:rsidR="00571288" w:rsidRPr="00BF726C">
        <w:rPr>
          <w:lang w:val="fr-FR"/>
        </w:rPr>
        <w:t xml:space="preserve">s examinateurs principaux participent à des formations suivies afin de se tenir informés des dernières nouveautés, et ils </w:t>
      </w:r>
      <w:r w:rsidR="00044086" w:rsidRPr="00BF726C">
        <w:rPr>
          <w:lang w:val="fr-FR"/>
        </w:rPr>
        <w:t xml:space="preserve">participent </w:t>
      </w:r>
      <w:r w:rsidR="00571288" w:rsidRPr="00BF726C">
        <w:rPr>
          <w:lang w:val="fr-FR"/>
        </w:rPr>
        <w:t>parfois à nos cours de remise à niveau</w:t>
      </w:r>
      <w:r w:rsidR="00044086" w:rsidRPr="00BF726C">
        <w:rPr>
          <w:lang w:val="fr-FR"/>
        </w:rPr>
        <w:t xml:space="preserve"> ou de recyclage</w:t>
      </w:r>
      <w:r w:rsidR="00571288" w:rsidRPr="00BF726C">
        <w:rPr>
          <w:lang w:val="fr-FR"/>
        </w:rPr>
        <w:t>.</w:t>
      </w:r>
    </w:p>
    <w:p w:rsidR="00156949" w:rsidRPr="00BF726C" w:rsidRDefault="00571288" w:rsidP="00BF726C">
      <w:pPr>
        <w:pStyle w:val="Heading3"/>
        <w:rPr>
          <w:lang w:val="fr-FR"/>
        </w:rPr>
      </w:pPr>
      <w:r w:rsidRPr="00BF726C">
        <w:rPr>
          <w:lang w:val="fr-FR"/>
        </w:rPr>
        <w:t>Informations technologiques et accès aux documents de brevet et à la littérature non</w:t>
      </w:r>
      <w:r w:rsidR="009B5DE4" w:rsidRPr="00BF726C">
        <w:rPr>
          <w:lang w:val="fr-FR"/>
        </w:rPr>
        <w:noBreakHyphen/>
      </w:r>
      <w:r w:rsidRPr="00BF726C">
        <w:rPr>
          <w:lang w:val="fr-FR"/>
        </w:rPr>
        <w:t>brevet</w:t>
      </w:r>
    </w:p>
    <w:p w:rsidR="00156949" w:rsidRPr="00BF726C" w:rsidRDefault="00571288" w:rsidP="00BF726C">
      <w:pPr>
        <w:rPr>
          <w:lang w:val="fr-FR"/>
        </w:rPr>
      </w:pPr>
      <w:r w:rsidRPr="00BF726C">
        <w:rPr>
          <w:lang w:val="fr-FR"/>
        </w:rPr>
        <w:t>L</w:t>
      </w:r>
      <w:r w:rsidR="00677E1D" w:rsidRPr="00BF726C">
        <w:rPr>
          <w:lang w:val="fr-FR"/>
        </w:rPr>
        <w:t>’</w:t>
      </w:r>
      <w:r w:rsidRPr="00BF726C">
        <w:rPr>
          <w:lang w:val="fr-FR"/>
        </w:rPr>
        <w:t>INPI</w:t>
      </w:r>
      <w:r w:rsidR="009B5DE4" w:rsidRPr="00BF726C">
        <w:rPr>
          <w:lang w:val="fr-FR"/>
        </w:rPr>
        <w:noBreakHyphen/>
      </w:r>
      <w:r w:rsidRPr="00BF726C">
        <w:rPr>
          <w:lang w:val="fr-FR"/>
        </w:rPr>
        <w:t>Br continue de développer ses solutions informatiques pour répondre aux besoins de ses procédures concernant les brevets au Brésil afin d</w:t>
      </w:r>
      <w:r w:rsidR="00677E1D" w:rsidRPr="00BF726C">
        <w:rPr>
          <w:lang w:val="fr-FR"/>
        </w:rPr>
        <w:t>’</w:t>
      </w:r>
      <w:r w:rsidRPr="00BF726C">
        <w:rPr>
          <w:lang w:val="fr-FR"/>
        </w:rPr>
        <w:t>améliorer l</w:t>
      </w:r>
      <w:r w:rsidR="00677E1D" w:rsidRPr="00BF726C">
        <w:rPr>
          <w:lang w:val="fr-FR"/>
        </w:rPr>
        <w:t>’</w:t>
      </w:r>
      <w:r w:rsidRPr="00BF726C">
        <w:rPr>
          <w:lang w:val="fr-FR"/>
        </w:rPr>
        <w:t>accès à l</w:t>
      </w:r>
      <w:r w:rsidR="00677E1D" w:rsidRPr="00BF726C">
        <w:rPr>
          <w:lang w:val="fr-FR"/>
        </w:rPr>
        <w:t>’</w:t>
      </w:r>
      <w:r w:rsidRPr="00BF726C">
        <w:rPr>
          <w:lang w:val="fr-FR"/>
        </w:rPr>
        <w:t>énorme volume de données dont il dispose sur les brevets et pour assurer de</w:t>
      </w:r>
      <w:r w:rsidR="00C928C4" w:rsidRPr="00BF726C">
        <w:rPr>
          <w:lang w:val="fr-FR"/>
        </w:rPr>
        <w:t xml:space="preserve"> meilleur</w:t>
      </w:r>
      <w:r w:rsidRPr="00BF726C">
        <w:rPr>
          <w:lang w:val="fr-FR"/>
        </w:rPr>
        <w:t>s gains de productivité dans la fourniture de produits et de services en matière de breve</w:t>
      </w:r>
      <w:r w:rsidR="002034AB" w:rsidRPr="00BF726C">
        <w:rPr>
          <w:lang w:val="fr-FR"/>
        </w:rPr>
        <w:t>ts.  Ce</w:t>
      </w:r>
      <w:r w:rsidR="00130C76" w:rsidRPr="00BF726C">
        <w:rPr>
          <w:lang w:val="fr-FR"/>
        </w:rPr>
        <w:t>tte démarche a été entreprise par le biais du portail CAPES</w:t>
      </w:r>
      <w:r w:rsidR="00130C76" w:rsidRPr="00BF726C">
        <w:rPr>
          <w:rStyle w:val="FootnoteReference"/>
          <w:lang w:val="fr-FR"/>
        </w:rPr>
        <w:footnoteReference w:id="4"/>
      </w:r>
      <w:r w:rsidR="00130C76" w:rsidRPr="00BF726C">
        <w:rPr>
          <w:lang w:val="fr-FR"/>
        </w:rPr>
        <w:t>, une</w:t>
      </w:r>
      <w:r w:rsidR="00C928C4" w:rsidRPr="00BF726C">
        <w:rPr>
          <w:lang w:val="fr-FR"/>
        </w:rPr>
        <w:t xml:space="preserve"> base de données nationale renomm</w:t>
      </w:r>
      <w:r w:rsidR="00130C76" w:rsidRPr="00BF726C">
        <w:rPr>
          <w:lang w:val="fr-FR"/>
        </w:rPr>
        <w:t>ée en lien avec la littérature non</w:t>
      </w:r>
      <w:r w:rsidR="009B5DE4" w:rsidRPr="00BF726C">
        <w:rPr>
          <w:lang w:val="fr-FR"/>
        </w:rPr>
        <w:noBreakHyphen/>
      </w:r>
      <w:r w:rsidR="00130C76" w:rsidRPr="00BF726C">
        <w:rPr>
          <w:lang w:val="fr-FR"/>
        </w:rPr>
        <w:t>brevet, et du système de base de données DIALOG</w:t>
      </w:r>
      <w:r w:rsidR="00130C76" w:rsidRPr="00BF726C">
        <w:rPr>
          <w:rStyle w:val="FootnoteReference"/>
          <w:lang w:val="fr-FR"/>
        </w:rPr>
        <w:footnoteReference w:id="5"/>
      </w:r>
      <w:r w:rsidR="00130C76" w:rsidRPr="00BF726C">
        <w:rPr>
          <w:lang w:val="fr-FR"/>
        </w:rPr>
        <w:t>.</w:t>
      </w:r>
    </w:p>
    <w:p w:rsidR="00156949" w:rsidRPr="00BF726C" w:rsidRDefault="00156949" w:rsidP="00BF726C">
      <w:pPr>
        <w:rPr>
          <w:lang w:val="fr-FR"/>
        </w:rPr>
      </w:pPr>
    </w:p>
    <w:p w:rsidR="00677E1D" w:rsidRPr="00BF726C" w:rsidRDefault="00012B31" w:rsidP="00BF726C">
      <w:pPr>
        <w:rPr>
          <w:lang w:val="fr-FR"/>
        </w:rPr>
      </w:pPr>
      <w:r w:rsidRPr="00BF726C">
        <w:rPr>
          <w:lang w:val="fr-FR"/>
        </w:rPr>
        <w:t>L</w:t>
      </w:r>
      <w:r w:rsidR="00677E1D" w:rsidRPr="00BF726C">
        <w:rPr>
          <w:lang w:val="fr-FR"/>
        </w:rPr>
        <w:t>’</w:t>
      </w:r>
      <w:r w:rsidRPr="00BF726C">
        <w:rPr>
          <w:lang w:val="fr-FR"/>
        </w:rPr>
        <w:t>engagement pris par l</w:t>
      </w:r>
      <w:r w:rsidR="00677E1D" w:rsidRPr="00BF726C">
        <w:rPr>
          <w:lang w:val="fr-FR"/>
        </w:rPr>
        <w:t>’</w:t>
      </w:r>
      <w:r w:rsidRPr="00BF726C">
        <w:rPr>
          <w:lang w:val="fr-FR"/>
        </w:rPr>
        <w:t>INPI</w:t>
      </w:r>
      <w:r w:rsidR="009B5DE4" w:rsidRPr="00BF726C">
        <w:rPr>
          <w:lang w:val="fr-FR"/>
        </w:rPr>
        <w:noBreakHyphen/>
      </w:r>
      <w:r w:rsidRPr="00BF726C">
        <w:rPr>
          <w:lang w:val="fr-FR"/>
        </w:rPr>
        <w:t xml:space="preserve">Br de </w:t>
      </w:r>
      <w:r w:rsidR="003313A1" w:rsidRPr="00BF726C">
        <w:rPr>
          <w:lang w:val="fr-FR"/>
        </w:rPr>
        <w:t>faire en sorte que les</w:t>
      </w:r>
      <w:r w:rsidRPr="00BF726C">
        <w:rPr>
          <w:lang w:val="fr-FR"/>
        </w:rPr>
        <w:t xml:space="preserve"> documents de brevet et à la littérature non</w:t>
      </w:r>
      <w:r w:rsidR="009B5DE4" w:rsidRPr="00BF726C">
        <w:rPr>
          <w:lang w:val="fr-FR"/>
        </w:rPr>
        <w:noBreakHyphen/>
      </w:r>
      <w:r w:rsidRPr="00BF726C">
        <w:rPr>
          <w:lang w:val="fr-FR"/>
        </w:rPr>
        <w:t>brevet</w:t>
      </w:r>
      <w:r w:rsidR="003313A1" w:rsidRPr="00BF726C">
        <w:rPr>
          <w:lang w:val="fr-FR"/>
        </w:rPr>
        <w:t xml:space="preserve"> restent très accessibles</w:t>
      </w:r>
      <w:r w:rsidRPr="00BF726C">
        <w:rPr>
          <w:lang w:val="fr-FR"/>
        </w:rPr>
        <w:t xml:space="preserve"> se manifeste, </w:t>
      </w:r>
      <w:r w:rsidR="00C928C4" w:rsidRPr="00BF726C">
        <w:rPr>
          <w:lang w:val="fr-FR"/>
        </w:rPr>
        <w:t>sans préjudice de l</w:t>
      </w:r>
      <w:r w:rsidR="00677E1D" w:rsidRPr="00BF726C">
        <w:rPr>
          <w:lang w:val="fr-FR"/>
        </w:rPr>
        <w:t>’</w:t>
      </w:r>
      <w:r w:rsidRPr="00BF726C">
        <w:rPr>
          <w:lang w:val="fr-FR"/>
        </w:rPr>
        <w:t>accord en cours avec l</w:t>
      </w:r>
      <w:r w:rsidR="00677E1D" w:rsidRPr="00BF726C">
        <w:rPr>
          <w:lang w:val="fr-FR"/>
        </w:rPr>
        <w:t>’</w:t>
      </w:r>
      <w:r w:rsidRPr="00BF726C">
        <w:rPr>
          <w:lang w:val="fr-FR"/>
        </w:rPr>
        <w:t>Office européen des brevets (OEB) pour le plein accès au système de base de données EPOQUE, par la récente décision d</w:t>
      </w:r>
      <w:r w:rsidR="00677E1D" w:rsidRPr="00BF726C">
        <w:rPr>
          <w:lang w:val="fr-FR"/>
        </w:rPr>
        <w:t>’</w:t>
      </w:r>
      <w:r w:rsidRPr="00BF726C">
        <w:rPr>
          <w:lang w:val="fr-FR"/>
        </w:rPr>
        <w:t xml:space="preserve">acquérir </w:t>
      </w:r>
      <w:r w:rsidR="003313A1" w:rsidRPr="00BF726C">
        <w:rPr>
          <w:lang w:val="fr-FR"/>
        </w:rPr>
        <w:t>certains</w:t>
      </w:r>
      <w:r w:rsidRPr="00BF726C">
        <w:rPr>
          <w:lang w:val="fr-FR"/>
        </w:rPr>
        <w:t xml:space="preserve"> des p</w:t>
      </w:r>
      <w:r w:rsidR="003313A1" w:rsidRPr="00BF726C">
        <w:rPr>
          <w:lang w:val="fr-FR"/>
        </w:rPr>
        <w:t xml:space="preserve">rincipaux outils disponibles, </w:t>
      </w:r>
      <w:r w:rsidRPr="00BF726C">
        <w:rPr>
          <w:lang w:val="fr-FR"/>
        </w:rPr>
        <w:t xml:space="preserve">IEEE </w:t>
      </w:r>
      <w:proofErr w:type="spellStart"/>
      <w:r w:rsidRPr="00BF726C">
        <w:rPr>
          <w:lang w:val="fr-FR"/>
        </w:rPr>
        <w:t>Xplore</w:t>
      </w:r>
      <w:proofErr w:type="spellEnd"/>
      <w:r w:rsidRPr="00BF726C">
        <w:rPr>
          <w:rStyle w:val="FootnoteReference"/>
          <w:lang w:val="fr-FR"/>
        </w:rPr>
        <w:footnoteReference w:id="6"/>
      </w:r>
      <w:r w:rsidR="003313A1" w:rsidRPr="00BF726C">
        <w:rPr>
          <w:lang w:val="fr-FR"/>
        </w:rPr>
        <w:t xml:space="preserve"> et Thomson Innovation</w:t>
      </w:r>
      <w:r w:rsidRPr="00BF726C">
        <w:rPr>
          <w:lang w:val="fr-FR"/>
        </w:rPr>
        <w:t>, lesquels permettront d</w:t>
      </w:r>
      <w:r w:rsidR="00677E1D" w:rsidRPr="00BF726C">
        <w:rPr>
          <w:lang w:val="fr-FR"/>
        </w:rPr>
        <w:t>’</w:t>
      </w:r>
      <w:r w:rsidRPr="00BF726C">
        <w:rPr>
          <w:lang w:val="fr-FR"/>
        </w:rPr>
        <w:t>accéder au Derwent World Patent Index (DWPI) et</w:t>
      </w:r>
      <w:r w:rsidR="00677E1D" w:rsidRPr="00BF726C">
        <w:rPr>
          <w:lang w:val="fr-FR"/>
        </w:rPr>
        <w:t xml:space="preserve"> au GEN</w:t>
      </w:r>
      <w:r w:rsidRPr="00BF726C">
        <w:rPr>
          <w:lang w:val="fr-FR"/>
        </w:rPr>
        <w:t>ESEQ</w:t>
      </w:r>
      <w:r w:rsidRPr="00BF726C">
        <w:rPr>
          <w:rStyle w:val="FootnoteReference"/>
          <w:lang w:val="fr-FR"/>
        </w:rPr>
        <w:footnoteReference w:id="7"/>
      </w:r>
      <w:r w:rsidRPr="00BF726C">
        <w:rPr>
          <w:lang w:val="fr-FR"/>
        </w:rPr>
        <w:t>.</w:t>
      </w:r>
      <w:r w:rsidR="0006103C" w:rsidRPr="00BF726C">
        <w:rPr>
          <w:lang w:val="fr-FR"/>
        </w:rPr>
        <w:t xml:space="preserve"> </w:t>
      </w:r>
      <w:r w:rsidR="00FC28E1" w:rsidRPr="00BF726C">
        <w:rPr>
          <w:lang w:val="fr-FR"/>
        </w:rPr>
        <w:t xml:space="preserve"> </w:t>
      </w:r>
      <w:r w:rsidR="00C928C4" w:rsidRPr="00BF726C">
        <w:rPr>
          <w:lang w:val="fr-FR"/>
        </w:rPr>
        <w:t>Grâce à c</w:t>
      </w:r>
      <w:r w:rsidRPr="00BF726C">
        <w:rPr>
          <w:lang w:val="fr-FR"/>
        </w:rPr>
        <w:t>es mesures, l</w:t>
      </w:r>
      <w:r w:rsidR="00677E1D" w:rsidRPr="00BF726C">
        <w:rPr>
          <w:lang w:val="fr-FR"/>
        </w:rPr>
        <w:t>’</w:t>
      </w:r>
      <w:r w:rsidRPr="00BF726C">
        <w:rPr>
          <w:lang w:val="fr-FR"/>
        </w:rPr>
        <w:t>INPI</w:t>
      </w:r>
      <w:r w:rsidR="009B5DE4" w:rsidRPr="00BF726C">
        <w:rPr>
          <w:lang w:val="fr-FR"/>
        </w:rPr>
        <w:noBreakHyphen/>
      </w:r>
      <w:r w:rsidRPr="00BF726C">
        <w:rPr>
          <w:lang w:val="fr-FR"/>
        </w:rPr>
        <w:t>Br garantit aux examinateurs brésiliens un accès à une quantité considérable de documents de brevet ainsi qu</w:t>
      </w:r>
      <w:r w:rsidR="00677E1D" w:rsidRPr="00BF726C">
        <w:rPr>
          <w:lang w:val="fr-FR"/>
        </w:rPr>
        <w:t>’</w:t>
      </w:r>
      <w:r w:rsidRPr="00BF726C">
        <w:rPr>
          <w:lang w:val="fr-FR"/>
        </w:rPr>
        <w:t>à un gros volume de littérature non</w:t>
      </w:r>
      <w:r w:rsidR="009B5DE4" w:rsidRPr="00BF726C">
        <w:rPr>
          <w:lang w:val="fr-FR"/>
        </w:rPr>
        <w:noBreakHyphen/>
      </w:r>
      <w:r w:rsidRPr="00BF726C">
        <w:rPr>
          <w:lang w:val="fr-FR"/>
        </w:rPr>
        <w:t>brev</w:t>
      </w:r>
      <w:r w:rsidR="002034AB" w:rsidRPr="00BF726C">
        <w:rPr>
          <w:lang w:val="fr-FR"/>
        </w:rPr>
        <w:t>et.  Le</w:t>
      </w:r>
      <w:r w:rsidR="00865E9D" w:rsidRPr="00BF726C">
        <w:rPr>
          <w:lang w:val="fr-FR"/>
        </w:rPr>
        <w:t>s examinateurs ont également accès à toute une série d</w:t>
      </w:r>
      <w:r w:rsidR="00677E1D" w:rsidRPr="00BF726C">
        <w:rPr>
          <w:lang w:val="fr-FR"/>
        </w:rPr>
        <w:t>’</w:t>
      </w:r>
      <w:r w:rsidR="00865E9D" w:rsidRPr="00BF726C">
        <w:rPr>
          <w:lang w:val="fr-FR"/>
        </w:rPr>
        <w:t>autres bases de données, sur papier et par le biais d</w:t>
      </w:r>
      <w:r w:rsidR="00677E1D" w:rsidRPr="00BF726C">
        <w:rPr>
          <w:lang w:val="fr-FR"/>
        </w:rPr>
        <w:t>’</w:t>
      </w:r>
      <w:r w:rsidR="00865E9D" w:rsidRPr="00BF726C">
        <w:rPr>
          <w:lang w:val="fr-FR"/>
        </w:rPr>
        <w:t>interfaces spécifiques, afin de pouvoir accéder à des collections spécialisées issues de la documentation minimale</w:t>
      </w:r>
      <w:r w:rsidR="00677E1D" w:rsidRPr="00BF726C">
        <w:rPr>
          <w:lang w:val="fr-FR"/>
        </w:rPr>
        <w:t xml:space="preserve"> du PCT</w:t>
      </w:r>
      <w:r w:rsidR="00865E9D" w:rsidRPr="00BF726C">
        <w:rPr>
          <w:lang w:val="fr-FR"/>
        </w:rPr>
        <w:t xml:space="preserve"> et d</w:t>
      </w:r>
      <w:r w:rsidR="00677E1D" w:rsidRPr="00BF726C">
        <w:rPr>
          <w:lang w:val="fr-FR"/>
        </w:rPr>
        <w:t>’</w:t>
      </w:r>
      <w:r w:rsidR="00865E9D" w:rsidRPr="00BF726C">
        <w:rPr>
          <w:lang w:val="fr-FR"/>
        </w:rPr>
        <w:t xml:space="preserve">autres sources pertinentes dans certains </w:t>
      </w:r>
      <w:r w:rsidR="00C928C4" w:rsidRPr="00BF726C">
        <w:rPr>
          <w:lang w:val="fr-FR"/>
        </w:rPr>
        <w:t>domaines techniques, notamment à d</w:t>
      </w:r>
      <w:r w:rsidR="00865E9D" w:rsidRPr="00BF726C">
        <w:rPr>
          <w:lang w:val="fr-FR"/>
        </w:rPr>
        <w:t xml:space="preserve">es bases de </w:t>
      </w:r>
      <w:r w:rsidR="00A64FE9" w:rsidRPr="00BF726C">
        <w:rPr>
          <w:lang w:val="fr-FR"/>
        </w:rPr>
        <w:t>données</w:t>
      </w:r>
      <w:r w:rsidR="00865E9D" w:rsidRPr="00BF726C">
        <w:rPr>
          <w:lang w:val="fr-FR"/>
        </w:rPr>
        <w:t xml:space="preserve"> relatives aux savoirs traditionnels.</w:t>
      </w:r>
    </w:p>
    <w:p w:rsidR="00156949" w:rsidRPr="00BF726C" w:rsidRDefault="00156949" w:rsidP="00BF726C">
      <w:pPr>
        <w:rPr>
          <w:lang w:val="fr-FR"/>
        </w:rPr>
      </w:pPr>
    </w:p>
    <w:p w:rsidR="00156949" w:rsidRPr="00BF726C" w:rsidRDefault="00A267F1" w:rsidP="00BF726C">
      <w:pPr>
        <w:rPr>
          <w:lang w:val="fr-FR"/>
        </w:rPr>
      </w:pPr>
      <w:r w:rsidRPr="00BF726C">
        <w:rPr>
          <w:lang w:val="fr-FR"/>
        </w:rPr>
        <w:t>Pour utiliser ces systèmes, l</w:t>
      </w:r>
      <w:r w:rsidR="00677E1D" w:rsidRPr="00BF726C">
        <w:rPr>
          <w:lang w:val="fr-FR"/>
        </w:rPr>
        <w:t>’</w:t>
      </w:r>
      <w:r w:rsidRPr="00BF726C">
        <w:rPr>
          <w:lang w:val="fr-FR"/>
        </w:rPr>
        <w:t>INPI</w:t>
      </w:r>
      <w:r w:rsidR="009B5DE4" w:rsidRPr="00BF726C">
        <w:rPr>
          <w:lang w:val="fr-FR"/>
        </w:rPr>
        <w:noBreakHyphen/>
      </w:r>
      <w:r w:rsidRPr="00BF726C">
        <w:rPr>
          <w:lang w:val="fr-FR"/>
        </w:rPr>
        <w:t>Br emploie des ordinateurs de bureau avec processeur Pentium</w:t>
      </w:r>
      <w:r w:rsidR="00EB38B5" w:rsidRPr="00BF726C">
        <w:rPr>
          <w:lang w:val="fr-FR"/>
        </w:rPr>
        <w:t>,</w:t>
      </w:r>
      <w:r w:rsidRPr="00BF726C">
        <w:rPr>
          <w:lang w:val="fr-FR"/>
        </w:rPr>
        <w:t xml:space="preserve"> équipés d</w:t>
      </w:r>
      <w:r w:rsidR="00677E1D" w:rsidRPr="00BF726C">
        <w:rPr>
          <w:lang w:val="fr-FR"/>
        </w:rPr>
        <w:t>’</w:t>
      </w:r>
      <w:r w:rsidRPr="00BF726C">
        <w:rPr>
          <w:lang w:val="fr-FR"/>
        </w:rPr>
        <w:t>un lecteur de CD/DVD</w:t>
      </w:r>
      <w:r w:rsidR="009B5DE4" w:rsidRPr="00BF726C">
        <w:rPr>
          <w:lang w:val="fr-FR"/>
        </w:rPr>
        <w:noBreakHyphen/>
      </w:r>
      <w:r w:rsidRPr="00BF726C">
        <w:rPr>
          <w:lang w:val="fr-FR"/>
        </w:rPr>
        <w:t>ROM et d</w:t>
      </w:r>
      <w:r w:rsidR="00677E1D" w:rsidRPr="00BF726C">
        <w:rPr>
          <w:lang w:val="fr-FR"/>
        </w:rPr>
        <w:t>’</w:t>
      </w:r>
      <w:r w:rsidRPr="00BF726C">
        <w:rPr>
          <w:lang w:val="fr-FR"/>
        </w:rPr>
        <w:t>un accès Internet à haut déb</w:t>
      </w:r>
      <w:r w:rsidR="002034AB" w:rsidRPr="00BF726C">
        <w:rPr>
          <w:lang w:val="fr-FR"/>
        </w:rPr>
        <w:t>it.  Le</w:t>
      </w:r>
      <w:r w:rsidRPr="00BF726C">
        <w:rPr>
          <w:lang w:val="fr-FR"/>
        </w:rPr>
        <w:t>s examinateurs peuvent ainsi accéder au système de base de données EPOQ</w:t>
      </w:r>
      <w:r w:rsidR="003313A1" w:rsidRPr="00BF726C">
        <w:rPr>
          <w:lang w:val="fr-FR"/>
        </w:rPr>
        <w:t xml:space="preserve">UE et ont donc les </w:t>
      </w:r>
      <w:r w:rsidR="003F63B7" w:rsidRPr="00BF726C">
        <w:rPr>
          <w:lang w:val="fr-FR"/>
        </w:rPr>
        <w:t>instruments nécessaires</w:t>
      </w:r>
      <w:r w:rsidRPr="00BF726C">
        <w:rPr>
          <w:lang w:val="fr-FR"/>
        </w:rPr>
        <w:t xml:space="preserve"> pour s</w:t>
      </w:r>
      <w:r w:rsidR="00677E1D" w:rsidRPr="00BF726C">
        <w:rPr>
          <w:lang w:val="fr-FR"/>
        </w:rPr>
        <w:t>’</w:t>
      </w:r>
      <w:r w:rsidRPr="00BF726C">
        <w:rPr>
          <w:lang w:val="fr-FR"/>
        </w:rPr>
        <w:t>acquitter de leurs fonctions en matière de recherche et d</w:t>
      </w:r>
      <w:r w:rsidR="00677E1D" w:rsidRPr="00BF726C">
        <w:rPr>
          <w:lang w:val="fr-FR"/>
        </w:rPr>
        <w:t>’</w:t>
      </w:r>
      <w:r w:rsidRPr="00BF726C">
        <w:rPr>
          <w:lang w:val="fr-FR"/>
        </w:rPr>
        <w:t>examen.</w:t>
      </w:r>
    </w:p>
    <w:p w:rsidR="00156949" w:rsidRPr="00BF726C" w:rsidRDefault="00156949" w:rsidP="00BF726C">
      <w:pPr>
        <w:rPr>
          <w:lang w:val="fr-FR"/>
        </w:rPr>
      </w:pPr>
    </w:p>
    <w:p w:rsidR="00677E1D" w:rsidRPr="00BF726C" w:rsidRDefault="00A267F1" w:rsidP="00BF726C">
      <w:pPr>
        <w:rPr>
          <w:lang w:val="fr-FR"/>
        </w:rPr>
      </w:pPr>
      <w:r w:rsidRPr="00BF726C">
        <w:rPr>
          <w:lang w:val="fr-FR"/>
        </w:rPr>
        <w:t>Com</w:t>
      </w:r>
      <w:r w:rsidR="003313A1" w:rsidRPr="00BF726C">
        <w:rPr>
          <w:lang w:val="fr-FR"/>
        </w:rPr>
        <w:t>m</w:t>
      </w:r>
      <w:r w:rsidRPr="00BF726C">
        <w:rPr>
          <w:lang w:val="fr-FR"/>
        </w:rPr>
        <w:t>e cela a été mentionné précédemment, les examinateurs de l</w:t>
      </w:r>
      <w:r w:rsidR="00677E1D" w:rsidRPr="00BF726C">
        <w:rPr>
          <w:lang w:val="fr-FR"/>
        </w:rPr>
        <w:t>’</w:t>
      </w:r>
      <w:r w:rsidRPr="00BF726C">
        <w:rPr>
          <w:lang w:val="fr-FR"/>
        </w:rPr>
        <w:t>INPI</w:t>
      </w:r>
      <w:r w:rsidR="009B5DE4" w:rsidRPr="00BF726C">
        <w:rPr>
          <w:lang w:val="fr-FR"/>
        </w:rPr>
        <w:noBreakHyphen/>
      </w:r>
      <w:r w:rsidRPr="00BF726C">
        <w:rPr>
          <w:lang w:val="fr-FR"/>
        </w:rPr>
        <w:t>Br ont d</w:t>
      </w:r>
      <w:r w:rsidR="00677E1D" w:rsidRPr="00BF726C">
        <w:rPr>
          <w:lang w:val="fr-FR"/>
        </w:rPr>
        <w:t>’</w:t>
      </w:r>
      <w:r w:rsidRPr="00BF726C">
        <w:rPr>
          <w:lang w:val="fr-FR"/>
        </w:rPr>
        <w:t>excellentes compétences linguistiqu</w:t>
      </w:r>
      <w:r w:rsidR="002034AB" w:rsidRPr="00BF726C">
        <w:rPr>
          <w:lang w:val="fr-FR"/>
        </w:rPr>
        <w:t>es.  En</w:t>
      </w:r>
      <w:r w:rsidR="00A4588A" w:rsidRPr="00BF726C">
        <w:rPr>
          <w:lang w:val="fr-FR"/>
        </w:rPr>
        <w:t xml:space="preserve"> outre, nombre d</w:t>
      </w:r>
      <w:r w:rsidR="00EB38B5" w:rsidRPr="00BF726C">
        <w:rPr>
          <w:lang w:val="fr-FR"/>
        </w:rPr>
        <w:t>es bases de données mises à leur</w:t>
      </w:r>
      <w:r w:rsidR="00A4588A" w:rsidRPr="00BF726C">
        <w:rPr>
          <w:lang w:val="fr-FR"/>
        </w:rPr>
        <w:t xml:space="preserve"> disposition proposent directement la recherche d</w:t>
      </w:r>
      <w:r w:rsidR="00677E1D" w:rsidRPr="00BF726C">
        <w:rPr>
          <w:lang w:val="fr-FR"/>
        </w:rPr>
        <w:t>’</w:t>
      </w:r>
      <w:r w:rsidR="00A4588A" w:rsidRPr="00BF726C">
        <w:rPr>
          <w:lang w:val="fr-FR"/>
        </w:rPr>
        <w:t>abrégés, la traduction automatique ou d</w:t>
      </w:r>
      <w:r w:rsidR="00677E1D" w:rsidRPr="00BF726C">
        <w:rPr>
          <w:lang w:val="fr-FR"/>
        </w:rPr>
        <w:t>’</w:t>
      </w:r>
      <w:r w:rsidR="00A4588A" w:rsidRPr="00BF726C">
        <w:rPr>
          <w:lang w:val="fr-FR"/>
        </w:rPr>
        <w:t>autres outils d</w:t>
      </w:r>
      <w:r w:rsidR="00677E1D" w:rsidRPr="00BF726C">
        <w:rPr>
          <w:lang w:val="fr-FR"/>
        </w:rPr>
        <w:t>’</w:t>
      </w:r>
      <w:r w:rsidR="00A4588A" w:rsidRPr="00BF726C">
        <w:rPr>
          <w:lang w:val="fr-FR"/>
        </w:rPr>
        <w:t>aide à la recherche de documents dans les langues que les examinateurs maîtrisent moins bi</w:t>
      </w:r>
      <w:r w:rsidR="002034AB" w:rsidRPr="00BF726C">
        <w:rPr>
          <w:lang w:val="fr-FR"/>
        </w:rPr>
        <w:t>en.  De</w:t>
      </w:r>
      <w:r w:rsidR="00A4588A" w:rsidRPr="00BF726C">
        <w:rPr>
          <w:lang w:val="fr-FR"/>
        </w:rPr>
        <w:t xml:space="preserve"> plus, les examinateurs ont accès à divers outils de traduction automatique pour les aider à comprendre les documents dans les cas où cela n</w:t>
      </w:r>
      <w:r w:rsidR="00677E1D" w:rsidRPr="00BF726C">
        <w:rPr>
          <w:lang w:val="fr-FR"/>
        </w:rPr>
        <w:t>’</w:t>
      </w:r>
      <w:r w:rsidR="00A4588A" w:rsidRPr="00BF726C">
        <w:rPr>
          <w:lang w:val="fr-FR"/>
        </w:rPr>
        <w:t>est pas directement intégré dans la base de données pertinente pour la recherche.</w:t>
      </w:r>
    </w:p>
    <w:p w:rsidR="00156949" w:rsidRPr="00BF726C" w:rsidRDefault="00156949" w:rsidP="00BF726C">
      <w:pPr>
        <w:rPr>
          <w:lang w:val="fr-FR"/>
        </w:rPr>
      </w:pPr>
    </w:p>
    <w:p w:rsidR="00156949" w:rsidRPr="00BF726C" w:rsidRDefault="00691E79" w:rsidP="00BF726C">
      <w:pPr>
        <w:rPr>
          <w:lang w:val="fr-FR"/>
        </w:rPr>
      </w:pPr>
      <w:r w:rsidRPr="00BF726C">
        <w:rPr>
          <w:lang w:val="fr-FR"/>
        </w:rPr>
        <w:t>À ce titre, l</w:t>
      </w:r>
      <w:r w:rsidR="00677E1D" w:rsidRPr="00BF726C">
        <w:rPr>
          <w:lang w:val="fr-FR"/>
        </w:rPr>
        <w:t>’</w:t>
      </w:r>
      <w:r w:rsidRPr="00BF726C">
        <w:rPr>
          <w:lang w:val="fr-FR"/>
        </w:rPr>
        <w:t>INPI</w:t>
      </w:r>
      <w:r w:rsidR="009B5DE4" w:rsidRPr="00BF726C">
        <w:rPr>
          <w:lang w:val="fr-FR"/>
        </w:rPr>
        <w:noBreakHyphen/>
      </w:r>
      <w:r w:rsidRPr="00BF726C">
        <w:rPr>
          <w:lang w:val="fr-FR"/>
        </w:rPr>
        <w:t xml:space="preserve">Br satisfait aux critères énoncés dans les </w:t>
      </w:r>
      <w:r w:rsidR="00677E1D" w:rsidRPr="00BF726C">
        <w:rPr>
          <w:lang w:val="fr-FR"/>
        </w:rPr>
        <w:t>règles 3</w:t>
      </w:r>
      <w:r w:rsidRPr="00BF726C">
        <w:rPr>
          <w:lang w:val="fr-FR"/>
        </w:rPr>
        <w:t>6.1.ii) et iii) et 63.1.ii) et iii)</w:t>
      </w:r>
      <w:r w:rsidR="00063D0F" w:rsidRPr="00BF726C">
        <w:rPr>
          <w:lang w:val="fr-FR"/>
        </w:rPr>
        <w:t> </w:t>
      </w:r>
      <w:r w:rsidRPr="00BF726C">
        <w:rPr>
          <w:lang w:val="fr-FR"/>
        </w:rPr>
        <w:t xml:space="preserve">du </w:t>
      </w:r>
      <w:r w:rsidR="00EB38B5" w:rsidRPr="00BF726C">
        <w:rPr>
          <w:lang w:val="fr-FR"/>
        </w:rPr>
        <w:t>règlement d</w:t>
      </w:r>
      <w:r w:rsidR="00677E1D" w:rsidRPr="00BF726C">
        <w:rPr>
          <w:lang w:val="fr-FR"/>
        </w:rPr>
        <w:t>’</w:t>
      </w:r>
      <w:r w:rsidR="00EB38B5" w:rsidRPr="00BF726C">
        <w:rPr>
          <w:lang w:val="fr-FR"/>
        </w:rPr>
        <w:t>exécution</w:t>
      </w:r>
      <w:r w:rsidR="00677E1D" w:rsidRPr="00BF726C">
        <w:rPr>
          <w:lang w:val="fr-FR"/>
        </w:rPr>
        <w:t xml:space="preserve"> du PCT</w:t>
      </w:r>
      <w:r w:rsidRPr="00BF726C">
        <w:rPr>
          <w:lang w:val="fr-FR"/>
        </w:rPr>
        <w:t>.</w:t>
      </w:r>
    </w:p>
    <w:p w:rsidR="00156949" w:rsidRPr="00BF726C" w:rsidRDefault="00691E79" w:rsidP="00BF726C">
      <w:pPr>
        <w:pStyle w:val="Heading3"/>
        <w:rPr>
          <w:lang w:val="fr-FR"/>
        </w:rPr>
      </w:pPr>
      <w:r w:rsidRPr="00BF726C">
        <w:rPr>
          <w:lang w:val="fr-FR"/>
        </w:rPr>
        <w:t>Recherche de l</w:t>
      </w:r>
      <w:r w:rsidR="00677E1D" w:rsidRPr="00BF726C">
        <w:rPr>
          <w:lang w:val="fr-FR"/>
        </w:rPr>
        <w:t>’</w:t>
      </w:r>
      <w:r w:rsidRPr="00BF726C">
        <w:rPr>
          <w:lang w:val="fr-FR"/>
        </w:rPr>
        <w:t>excellence et de la qualité dans la prestation de services</w:t>
      </w:r>
    </w:p>
    <w:p w:rsidR="00677E1D" w:rsidRPr="00BF726C" w:rsidRDefault="009110C9" w:rsidP="00BF726C">
      <w:pPr>
        <w:rPr>
          <w:lang w:val="fr-FR"/>
        </w:rPr>
      </w:pPr>
      <w:r w:rsidRPr="00BF726C">
        <w:rPr>
          <w:lang w:val="fr-FR"/>
        </w:rPr>
        <w:t>L</w:t>
      </w:r>
      <w:r w:rsidR="00677E1D" w:rsidRPr="00BF726C">
        <w:rPr>
          <w:lang w:val="fr-FR"/>
        </w:rPr>
        <w:t>’</w:t>
      </w:r>
      <w:r w:rsidRPr="00BF726C">
        <w:rPr>
          <w:lang w:val="fr-FR"/>
        </w:rPr>
        <w:t>INPI</w:t>
      </w:r>
      <w:r w:rsidR="009B5DE4" w:rsidRPr="00BF726C">
        <w:rPr>
          <w:lang w:val="fr-FR"/>
        </w:rPr>
        <w:noBreakHyphen/>
      </w:r>
      <w:r w:rsidRPr="00BF726C">
        <w:rPr>
          <w:lang w:val="fr-FR"/>
        </w:rPr>
        <w:t>Br est conscient qu</w:t>
      </w:r>
      <w:r w:rsidR="00677E1D" w:rsidRPr="00BF726C">
        <w:rPr>
          <w:lang w:val="fr-FR"/>
        </w:rPr>
        <w:t>’</w:t>
      </w:r>
      <w:r w:rsidRPr="00BF726C">
        <w:rPr>
          <w:lang w:val="fr-FR"/>
        </w:rPr>
        <w:t>il est de plus en plus important d</w:t>
      </w:r>
      <w:r w:rsidR="00677E1D" w:rsidRPr="00BF726C">
        <w:rPr>
          <w:lang w:val="fr-FR"/>
        </w:rPr>
        <w:t>’</w:t>
      </w:r>
      <w:r w:rsidRPr="00BF726C">
        <w:rPr>
          <w:lang w:val="fr-FR"/>
        </w:rPr>
        <w:t>entretenir et d</w:t>
      </w:r>
      <w:r w:rsidR="00677E1D" w:rsidRPr="00BF726C">
        <w:rPr>
          <w:lang w:val="fr-FR"/>
        </w:rPr>
        <w:t>’</w:t>
      </w:r>
      <w:r w:rsidRPr="00BF726C">
        <w:rPr>
          <w:lang w:val="fr-FR"/>
        </w:rPr>
        <w:t>approfondir la coopération internationale comme l</w:t>
      </w:r>
      <w:r w:rsidR="00677E1D" w:rsidRPr="00BF726C">
        <w:rPr>
          <w:lang w:val="fr-FR"/>
        </w:rPr>
        <w:t>’</w:t>
      </w:r>
      <w:r w:rsidRPr="00BF726C">
        <w:rPr>
          <w:lang w:val="fr-FR"/>
        </w:rPr>
        <w:t>un des premiers piliers de sa fonction d</w:t>
      </w:r>
      <w:r w:rsidR="00677E1D" w:rsidRPr="00BF726C">
        <w:rPr>
          <w:lang w:val="fr-FR"/>
        </w:rPr>
        <w:t>’</w:t>
      </w:r>
      <w:r w:rsidRPr="00BF726C">
        <w:rPr>
          <w:lang w:val="fr-FR"/>
        </w:rPr>
        <w:t>administration chargée de la recherche internationale et de l</w:t>
      </w:r>
      <w:r w:rsidR="00677E1D" w:rsidRPr="00BF726C">
        <w:rPr>
          <w:lang w:val="fr-FR"/>
        </w:rPr>
        <w:t>’</w:t>
      </w:r>
      <w:r w:rsidRPr="00BF726C">
        <w:rPr>
          <w:lang w:val="fr-FR"/>
        </w:rPr>
        <w:t>examen préliminaire internation</w:t>
      </w:r>
      <w:r w:rsidR="002034AB" w:rsidRPr="00BF726C">
        <w:rPr>
          <w:lang w:val="fr-FR"/>
        </w:rPr>
        <w:t>al.  Da</w:t>
      </w:r>
      <w:r w:rsidRPr="00BF726C">
        <w:rPr>
          <w:lang w:val="fr-FR"/>
        </w:rPr>
        <w:t>ns le cadre de sa mission visant à aider à accélérer le développement économique du Brésil, l</w:t>
      </w:r>
      <w:r w:rsidR="00677E1D" w:rsidRPr="00BF726C">
        <w:rPr>
          <w:lang w:val="fr-FR"/>
        </w:rPr>
        <w:t>’</w:t>
      </w:r>
      <w:r w:rsidRPr="00BF726C">
        <w:rPr>
          <w:lang w:val="fr-FR"/>
        </w:rPr>
        <w:t>INPI</w:t>
      </w:r>
      <w:r w:rsidR="009B5DE4" w:rsidRPr="00BF726C">
        <w:rPr>
          <w:lang w:val="fr-FR"/>
        </w:rPr>
        <w:noBreakHyphen/>
      </w:r>
      <w:r w:rsidRPr="00BF726C">
        <w:rPr>
          <w:lang w:val="fr-FR"/>
        </w:rPr>
        <w:t>Br se consac</w:t>
      </w:r>
      <w:r w:rsidR="00BE7085" w:rsidRPr="00BF726C">
        <w:rPr>
          <w:lang w:val="fr-FR"/>
        </w:rPr>
        <w:t>re à entretenir et approfondir d</w:t>
      </w:r>
      <w:r w:rsidRPr="00BF726C">
        <w:rPr>
          <w:lang w:val="fr-FR"/>
        </w:rPr>
        <w:t>es partenariats fructueux avec les parties prenantes les plus importantes du système d</w:t>
      </w:r>
      <w:r w:rsidR="00677E1D" w:rsidRPr="00BF726C">
        <w:rPr>
          <w:lang w:val="fr-FR"/>
        </w:rPr>
        <w:t>’</w:t>
      </w:r>
      <w:r w:rsidRPr="00BF726C">
        <w:rPr>
          <w:lang w:val="fr-FR"/>
        </w:rPr>
        <w:t>innovation brésilien et avec les offices de propriété intellectuelle ayant le plus grand nombre de demandes de brevet en attente au monde, afin d</w:t>
      </w:r>
      <w:r w:rsidR="00677E1D" w:rsidRPr="00BF726C">
        <w:rPr>
          <w:lang w:val="fr-FR"/>
        </w:rPr>
        <w:t>’</w:t>
      </w:r>
      <w:r w:rsidRPr="00BF726C">
        <w:rPr>
          <w:lang w:val="fr-FR"/>
        </w:rPr>
        <w:t>aider à améliorer la capacité des administrateurs de l</w:t>
      </w:r>
      <w:r w:rsidR="00677E1D" w:rsidRPr="00BF726C">
        <w:rPr>
          <w:lang w:val="fr-FR"/>
        </w:rPr>
        <w:t>’</w:t>
      </w:r>
      <w:r w:rsidRPr="00BF726C">
        <w:rPr>
          <w:lang w:val="fr-FR"/>
        </w:rPr>
        <w:t>office à agir en qualité d</w:t>
      </w:r>
      <w:r w:rsidR="00677E1D" w:rsidRPr="00BF726C">
        <w:rPr>
          <w:lang w:val="fr-FR"/>
        </w:rPr>
        <w:t>’</w:t>
      </w:r>
      <w:r w:rsidRPr="00BF726C">
        <w:rPr>
          <w:lang w:val="fr-FR"/>
        </w:rPr>
        <w:t>administration chargée de la recherche internationale et de l</w:t>
      </w:r>
      <w:r w:rsidR="00677E1D" w:rsidRPr="00BF726C">
        <w:rPr>
          <w:lang w:val="fr-FR"/>
        </w:rPr>
        <w:t>’</w:t>
      </w:r>
      <w:r w:rsidRPr="00BF726C">
        <w:rPr>
          <w:lang w:val="fr-FR"/>
        </w:rPr>
        <w:t>examen préliminaire internation</w:t>
      </w:r>
      <w:r w:rsidR="002034AB" w:rsidRPr="00BF726C">
        <w:rPr>
          <w:lang w:val="fr-FR"/>
        </w:rPr>
        <w:t>al.  L’o</w:t>
      </w:r>
      <w:r w:rsidRPr="00BF726C">
        <w:rPr>
          <w:lang w:val="fr-FR"/>
        </w:rPr>
        <w:t>bjectif est de mettre à disposition de son personnel technique la meilleure formation, les meilleur</w:t>
      </w:r>
      <w:r w:rsidR="0095395D" w:rsidRPr="00BF726C">
        <w:rPr>
          <w:lang w:val="fr-FR"/>
        </w:rPr>
        <w:t>es</w:t>
      </w:r>
      <w:r w:rsidRPr="00BF726C">
        <w:rPr>
          <w:lang w:val="fr-FR"/>
        </w:rPr>
        <w:t xml:space="preserve"> connaissances et les systèmes les plus à jour de recherche de brevets.</w:t>
      </w:r>
    </w:p>
    <w:p w:rsidR="00156949" w:rsidRPr="00BF726C" w:rsidRDefault="00156949" w:rsidP="00BF726C">
      <w:pPr>
        <w:rPr>
          <w:lang w:val="fr-FR"/>
        </w:rPr>
      </w:pPr>
    </w:p>
    <w:p w:rsidR="00156949" w:rsidRPr="00BF726C" w:rsidRDefault="009110C9" w:rsidP="00BF726C">
      <w:pPr>
        <w:rPr>
          <w:lang w:val="fr-FR"/>
        </w:rPr>
      </w:pPr>
      <w:r w:rsidRPr="00BF726C">
        <w:rPr>
          <w:lang w:val="fr-FR"/>
        </w:rPr>
        <w:t>La coopération internationale est pleinement comprise comme étant un outil essentiel pour l</w:t>
      </w:r>
      <w:r w:rsidR="00677E1D" w:rsidRPr="00BF726C">
        <w:rPr>
          <w:lang w:val="fr-FR"/>
        </w:rPr>
        <w:t>’</w:t>
      </w:r>
      <w:r w:rsidRPr="00BF726C">
        <w:rPr>
          <w:lang w:val="fr-FR"/>
        </w:rPr>
        <w:t>améliorati</w:t>
      </w:r>
      <w:r w:rsidR="002034AB" w:rsidRPr="00BF726C">
        <w:rPr>
          <w:lang w:val="fr-FR"/>
        </w:rPr>
        <w:t>on.  Da</w:t>
      </w:r>
      <w:r w:rsidRPr="00BF726C">
        <w:rPr>
          <w:lang w:val="fr-FR"/>
        </w:rPr>
        <w:t>ns ce contexte, l</w:t>
      </w:r>
      <w:r w:rsidR="00677E1D" w:rsidRPr="00BF726C">
        <w:rPr>
          <w:lang w:val="fr-FR"/>
        </w:rPr>
        <w:t>’</w:t>
      </w:r>
      <w:r w:rsidRPr="00BF726C">
        <w:rPr>
          <w:lang w:val="fr-FR"/>
        </w:rPr>
        <w:t>INPI</w:t>
      </w:r>
      <w:r w:rsidR="009B5DE4" w:rsidRPr="00BF726C">
        <w:rPr>
          <w:lang w:val="fr-FR"/>
        </w:rPr>
        <w:noBreakHyphen/>
      </w:r>
      <w:r w:rsidR="00BE7085" w:rsidRPr="00BF726C">
        <w:rPr>
          <w:lang w:val="fr-FR"/>
        </w:rPr>
        <w:t>Br</w:t>
      </w:r>
      <w:r w:rsidRPr="00BF726C">
        <w:rPr>
          <w:lang w:val="fr-FR"/>
        </w:rPr>
        <w:t xml:space="preserve"> est en train de mettre au point un nouvel accord technique avec l</w:t>
      </w:r>
      <w:r w:rsidR="00677E1D" w:rsidRPr="00BF726C">
        <w:rPr>
          <w:lang w:val="fr-FR"/>
        </w:rPr>
        <w:t>’</w:t>
      </w:r>
      <w:r w:rsidRPr="00BF726C">
        <w:rPr>
          <w:lang w:val="fr-FR"/>
        </w:rPr>
        <w:t>Organisation Mondiale de la Propriété Intellectuelle (OMPI) sur la base d</w:t>
      </w:r>
      <w:r w:rsidR="00677E1D" w:rsidRPr="00BF726C">
        <w:rPr>
          <w:lang w:val="fr-FR"/>
        </w:rPr>
        <w:t>’</w:t>
      </w:r>
      <w:r w:rsidRPr="00BF726C">
        <w:rPr>
          <w:lang w:val="fr-FR"/>
        </w:rPr>
        <w:t>un fonds fiduciaire, qui aura pour but de renforcer les capacités et d</w:t>
      </w:r>
      <w:r w:rsidR="00677E1D" w:rsidRPr="00BF726C">
        <w:rPr>
          <w:lang w:val="fr-FR"/>
        </w:rPr>
        <w:t>’</w:t>
      </w:r>
      <w:r w:rsidRPr="00BF726C">
        <w:rPr>
          <w:lang w:val="fr-FR"/>
        </w:rPr>
        <w:t>offrir des possibilités de formation à nos examinateu</w:t>
      </w:r>
      <w:r w:rsidR="002034AB" w:rsidRPr="00BF726C">
        <w:rPr>
          <w:lang w:val="fr-FR"/>
        </w:rPr>
        <w:t>rs.  D’a</w:t>
      </w:r>
      <w:r w:rsidR="00E158B0" w:rsidRPr="00BF726C">
        <w:rPr>
          <w:lang w:val="fr-FR"/>
        </w:rPr>
        <w:t>utres actions de coopération incluent les progrès réalisés dans les pays</w:t>
      </w:r>
      <w:r w:rsidR="00677E1D" w:rsidRPr="00BF726C">
        <w:rPr>
          <w:lang w:val="fr-FR"/>
        </w:rPr>
        <w:t xml:space="preserve"> du PRO</w:t>
      </w:r>
      <w:r w:rsidR="00E158B0" w:rsidRPr="00BF726C">
        <w:rPr>
          <w:lang w:val="fr-FR"/>
        </w:rPr>
        <w:t>SUR (projet rassemblant neuf</w:t>
      </w:r>
      <w:r w:rsidR="00063D0F" w:rsidRPr="00BF726C">
        <w:rPr>
          <w:lang w:val="fr-FR"/>
        </w:rPr>
        <w:t> </w:t>
      </w:r>
      <w:r w:rsidR="00E158B0" w:rsidRPr="00BF726C">
        <w:rPr>
          <w:lang w:val="fr-FR"/>
        </w:rPr>
        <w:t>offices de propriété intellectuelle d</w:t>
      </w:r>
      <w:r w:rsidR="00677E1D" w:rsidRPr="00BF726C">
        <w:rPr>
          <w:lang w:val="fr-FR"/>
        </w:rPr>
        <w:t>’</w:t>
      </w:r>
      <w:r w:rsidR="00E158B0" w:rsidRPr="00BF726C">
        <w:rPr>
          <w:lang w:val="fr-FR"/>
        </w:rPr>
        <w:t>Amérique du Sud) afin de mettre en place des initiatives, parmi lesquelles on peut citer le projet pilote de procédure accélérée d</w:t>
      </w:r>
      <w:r w:rsidR="00677E1D" w:rsidRPr="00BF726C">
        <w:rPr>
          <w:lang w:val="fr-FR"/>
        </w:rPr>
        <w:t>’</w:t>
      </w:r>
      <w:r w:rsidR="00E158B0" w:rsidRPr="00BF726C">
        <w:rPr>
          <w:lang w:val="fr-FR"/>
        </w:rPr>
        <w:t>examen de demandes de brevet.</w:t>
      </w:r>
      <w:r w:rsidR="0006103C" w:rsidRPr="00BF726C">
        <w:rPr>
          <w:lang w:val="fr-FR"/>
        </w:rPr>
        <w:t xml:space="preserve"> </w:t>
      </w:r>
      <w:r w:rsidR="00FC28E1" w:rsidRPr="00BF726C">
        <w:rPr>
          <w:lang w:val="fr-FR"/>
        </w:rPr>
        <w:t xml:space="preserve"> </w:t>
      </w:r>
      <w:r w:rsidR="00D90DC0" w:rsidRPr="00BF726C">
        <w:rPr>
          <w:lang w:val="fr-FR"/>
        </w:rPr>
        <w:t>L</w:t>
      </w:r>
      <w:r w:rsidR="00677E1D" w:rsidRPr="00BF726C">
        <w:rPr>
          <w:lang w:val="fr-FR"/>
        </w:rPr>
        <w:t>’</w:t>
      </w:r>
      <w:r w:rsidR="00D90DC0" w:rsidRPr="00BF726C">
        <w:rPr>
          <w:lang w:val="fr-FR"/>
        </w:rPr>
        <w:t>INPI</w:t>
      </w:r>
      <w:r w:rsidR="009B5DE4" w:rsidRPr="00BF726C">
        <w:rPr>
          <w:lang w:val="fr-FR"/>
        </w:rPr>
        <w:noBreakHyphen/>
      </w:r>
      <w:r w:rsidR="00BE7085" w:rsidRPr="00BF726C">
        <w:rPr>
          <w:lang w:val="fr-FR"/>
        </w:rPr>
        <w:t>Br</w:t>
      </w:r>
      <w:r w:rsidR="00D90DC0" w:rsidRPr="00BF726C">
        <w:rPr>
          <w:lang w:val="fr-FR"/>
        </w:rPr>
        <w:t xml:space="preserve"> considère que ce projet est très important</w:t>
      </w:r>
      <w:r w:rsidR="00BE7085" w:rsidRPr="00BF726C">
        <w:rPr>
          <w:lang w:val="fr-FR"/>
        </w:rPr>
        <w:t xml:space="preserve"> et</w:t>
      </w:r>
      <w:r w:rsidR="00D90DC0" w:rsidRPr="00BF726C">
        <w:rPr>
          <w:lang w:val="fr-FR"/>
        </w:rPr>
        <w:t xml:space="preserve"> qu</w:t>
      </w:r>
      <w:r w:rsidR="00677E1D" w:rsidRPr="00BF726C">
        <w:rPr>
          <w:lang w:val="fr-FR"/>
        </w:rPr>
        <w:t>’</w:t>
      </w:r>
      <w:r w:rsidR="00D90DC0" w:rsidRPr="00BF726C">
        <w:rPr>
          <w:lang w:val="fr-FR"/>
        </w:rPr>
        <w:t>i</w:t>
      </w:r>
      <w:r w:rsidR="00BE7085" w:rsidRPr="00BF726C">
        <w:rPr>
          <w:lang w:val="fr-FR"/>
        </w:rPr>
        <w:t>l</w:t>
      </w:r>
      <w:r w:rsidR="00D90DC0" w:rsidRPr="00BF726C">
        <w:rPr>
          <w:lang w:val="fr-FR"/>
        </w:rPr>
        <w:t xml:space="preserve"> devrait lui permettre de tenir dûment compte des résultats</w:t>
      </w:r>
      <w:r w:rsidR="00677E1D" w:rsidRPr="00BF726C">
        <w:rPr>
          <w:lang w:val="fr-FR"/>
        </w:rPr>
        <w:t xml:space="preserve"> du PCT</w:t>
      </w:r>
      <w:r w:rsidR="00D90DC0" w:rsidRPr="00BF726C">
        <w:rPr>
          <w:lang w:val="fr-FR"/>
        </w:rPr>
        <w:t xml:space="preserve">. </w:t>
      </w:r>
      <w:r w:rsidR="00063D0F" w:rsidRPr="00BF726C">
        <w:rPr>
          <w:lang w:val="fr-FR"/>
        </w:rPr>
        <w:t xml:space="preserve"> </w:t>
      </w:r>
      <w:r w:rsidR="00D90DC0" w:rsidRPr="00BF726C">
        <w:rPr>
          <w:lang w:val="fr-FR"/>
        </w:rPr>
        <w:t>D</w:t>
      </w:r>
      <w:r w:rsidR="00677E1D" w:rsidRPr="00BF726C">
        <w:rPr>
          <w:lang w:val="fr-FR"/>
        </w:rPr>
        <w:t>’</w:t>
      </w:r>
      <w:r w:rsidR="00D90DC0" w:rsidRPr="00BF726C">
        <w:rPr>
          <w:lang w:val="fr-FR"/>
        </w:rPr>
        <w:t>autres pilotes de procédures accélérées d</w:t>
      </w:r>
      <w:r w:rsidR="00677E1D" w:rsidRPr="00BF726C">
        <w:rPr>
          <w:lang w:val="fr-FR"/>
        </w:rPr>
        <w:t>’</w:t>
      </w:r>
      <w:r w:rsidR="00D90DC0" w:rsidRPr="00BF726C">
        <w:rPr>
          <w:lang w:val="fr-FR"/>
        </w:rPr>
        <w:t>examen de demandes de brevet en cours dans les offices de propriété intellectuelle de la</w:t>
      </w:r>
      <w:r w:rsidR="00C7263A" w:rsidRPr="00BF726C">
        <w:rPr>
          <w:lang w:val="fr-FR"/>
        </w:rPr>
        <w:t>dite</w:t>
      </w:r>
      <w:r w:rsidR="00D90DC0" w:rsidRPr="00BF726C">
        <w:rPr>
          <w:lang w:val="fr-FR"/>
        </w:rPr>
        <w:t xml:space="preserve"> coopération trilatérale (USPTO, OEB et JPO) présentent des perspectives similaires pour l</w:t>
      </w:r>
      <w:r w:rsidR="00677E1D" w:rsidRPr="00BF726C">
        <w:rPr>
          <w:lang w:val="fr-FR"/>
        </w:rPr>
        <w:t>’</w:t>
      </w:r>
      <w:r w:rsidR="00D90DC0" w:rsidRPr="00BF726C">
        <w:rPr>
          <w:lang w:val="fr-FR"/>
        </w:rPr>
        <w:t>INPI</w:t>
      </w:r>
      <w:r w:rsidR="009B5DE4" w:rsidRPr="00BF726C">
        <w:rPr>
          <w:lang w:val="fr-FR"/>
        </w:rPr>
        <w:noBreakHyphen/>
      </w:r>
      <w:r w:rsidR="00BE7085" w:rsidRPr="00BF726C">
        <w:rPr>
          <w:lang w:val="fr-FR"/>
        </w:rPr>
        <w:t>Br</w:t>
      </w:r>
      <w:r w:rsidR="00D90DC0" w:rsidRPr="00BF726C">
        <w:rPr>
          <w:lang w:val="fr-FR"/>
        </w:rPr>
        <w:t>, ouvert aux discussions au sujet des intérêts communs afin de partager des informations en temps réel au sujet d</w:t>
      </w:r>
      <w:r w:rsidR="00677E1D" w:rsidRPr="00BF726C">
        <w:rPr>
          <w:lang w:val="fr-FR"/>
        </w:rPr>
        <w:t>’</w:t>
      </w:r>
      <w:r w:rsidR="00D90DC0" w:rsidRPr="00BF726C">
        <w:rPr>
          <w:lang w:val="fr-FR"/>
        </w:rPr>
        <w:t>examens et de décisions finales concernant les demandes de brevet.</w:t>
      </w:r>
    </w:p>
    <w:p w:rsidR="00156949" w:rsidRPr="00BF726C" w:rsidRDefault="00156949" w:rsidP="00BF726C">
      <w:pPr>
        <w:rPr>
          <w:lang w:val="fr-FR"/>
        </w:rPr>
      </w:pPr>
    </w:p>
    <w:p w:rsidR="00156949" w:rsidRPr="00BF726C" w:rsidRDefault="00D90DC0" w:rsidP="00BF726C">
      <w:pPr>
        <w:rPr>
          <w:lang w:val="fr-FR"/>
        </w:rPr>
      </w:pPr>
      <w:r w:rsidRPr="00BF726C">
        <w:rPr>
          <w:lang w:val="fr-FR"/>
        </w:rPr>
        <w:t>L</w:t>
      </w:r>
      <w:r w:rsidR="00677E1D" w:rsidRPr="00BF726C">
        <w:rPr>
          <w:lang w:val="fr-FR"/>
        </w:rPr>
        <w:t>’</w:t>
      </w:r>
      <w:r w:rsidRPr="00BF726C">
        <w:rPr>
          <w:lang w:val="fr-FR"/>
        </w:rPr>
        <w:t>INPI</w:t>
      </w:r>
      <w:r w:rsidR="009B5DE4" w:rsidRPr="00BF726C">
        <w:rPr>
          <w:lang w:val="fr-FR"/>
        </w:rPr>
        <w:noBreakHyphen/>
      </w:r>
      <w:r w:rsidRPr="00BF726C">
        <w:rPr>
          <w:lang w:val="fr-FR"/>
        </w:rPr>
        <w:t xml:space="preserve">Br a mis en </w:t>
      </w:r>
      <w:r w:rsidR="00A64FE9" w:rsidRPr="00BF726C">
        <w:rPr>
          <w:lang w:val="fr-FR"/>
        </w:rPr>
        <w:t>œuvre</w:t>
      </w:r>
      <w:r w:rsidRPr="00BF726C">
        <w:rPr>
          <w:lang w:val="fr-FR"/>
        </w:rPr>
        <w:t xml:space="preserve"> une politique de système de gestion de la qualité fondé</w:t>
      </w:r>
      <w:r w:rsidR="00BE7085" w:rsidRPr="00BF726C">
        <w:rPr>
          <w:lang w:val="fr-FR"/>
        </w:rPr>
        <w:t>e</w:t>
      </w:r>
      <w:r w:rsidRPr="00BF726C">
        <w:rPr>
          <w:lang w:val="fr-FR"/>
        </w:rPr>
        <w:t xml:space="preserve"> sur les modèles les plus appropriés disponibles et conforme</w:t>
      </w:r>
      <w:r w:rsidR="00C7263A" w:rsidRPr="00BF726C">
        <w:rPr>
          <w:lang w:val="fr-FR"/>
        </w:rPr>
        <w:t>s</w:t>
      </w:r>
      <w:r w:rsidRPr="00BF726C">
        <w:rPr>
          <w:lang w:val="fr-FR"/>
        </w:rPr>
        <w:t xml:space="preserve"> au chapitre 21 des directives concernant la recherche internationale et l</w:t>
      </w:r>
      <w:r w:rsidR="00677E1D" w:rsidRPr="00BF726C">
        <w:rPr>
          <w:lang w:val="fr-FR"/>
        </w:rPr>
        <w:t>’</w:t>
      </w:r>
      <w:r w:rsidRPr="00BF726C">
        <w:rPr>
          <w:lang w:val="fr-FR"/>
        </w:rPr>
        <w:t xml:space="preserve">examen préliminaire international selon le PCT. </w:t>
      </w:r>
      <w:r w:rsidR="0006103C" w:rsidRPr="00BF726C">
        <w:rPr>
          <w:lang w:val="fr-FR"/>
        </w:rPr>
        <w:t xml:space="preserve"> </w:t>
      </w:r>
      <w:r w:rsidRPr="00BF726C">
        <w:rPr>
          <w:lang w:val="fr-FR"/>
        </w:rPr>
        <w:t xml:space="preserve">Ses rapports annuels concernant son système de gestion de la qualité </w:t>
      </w:r>
      <w:r w:rsidR="00677E1D" w:rsidRPr="00BF726C">
        <w:rPr>
          <w:lang w:val="fr-FR"/>
        </w:rPr>
        <w:t>depuis 2007</w:t>
      </w:r>
      <w:r w:rsidRPr="00BF726C">
        <w:rPr>
          <w:lang w:val="fr-FR"/>
        </w:rPr>
        <w:t xml:space="preserve"> sont disponibles sur le site</w:t>
      </w:r>
      <w:r w:rsidR="00063D0F" w:rsidRPr="00BF726C">
        <w:rPr>
          <w:lang w:val="fr-FR"/>
        </w:rPr>
        <w:t> </w:t>
      </w:r>
      <w:r w:rsidRPr="00BF726C">
        <w:rPr>
          <w:lang w:val="fr-FR"/>
        </w:rPr>
        <w:t>Web de l</w:t>
      </w:r>
      <w:r w:rsidR="00677E1D" w:rsidRPr="00BF726C">
        <w:rPr>
          <w:lang w:val="fr-FR"/>
        </w:rPr>
        <w:t>’</w:t>
      </w:r>
      <w:r w:rsidRPr="00BF726C">
        <w:rPr>
          <w:lang w:val="fr-FR"/>
        </w:rPr>
        <w:t>OMPI</w:t>
      </w:r>
      <w:r w:rsidR="00677E1D" w:rsidRPr="00BF726C">
        <w:rPr>
          <w:lang w:val="fr-FR"/>
        </w:rPr>
        <w:t> :</w:t>
      </w:r>
      <w:r w:rsidRPr="00BF726C">
        <w:rPr>
          <w:lang w:val="fr-FR"/>
        </w:rPr>
        <w:t xml:space="preserve"> http://www.wipo.int/pct/en/quality/authorities.ht</w:t>
      </w:r>
      <w:r w:rsidR="002034AB" w:rsidRPr="00BF726C">
        <w:rPr>
          <w:lang w:val="fr-FR"/>
        </w:rPr>
        <w:t xml:space="preserve">ml.  À </w:t>
      </w:r>
      <w:r w:rsidRPr="00BF726C">
        <w:rPr>
          <w:lang w:val="fr-FR"/>
        </w:rPr>
        <w:t>ce titre, on peut affirmer que l</w:t>
      </w:r>
      <w:r w:rsidR="00677E1D" w:rsidRPr="00BF726C">
        <w:rPr>
          <w:lang w:val="fr-FR"/>
        </w:rPr>
        <w:t>’</w:t>
      </w:r>
      <w:r w:rsidRPr="00BF726C">
        <w:rPr>
          <w:lang w:val="fr-FR"/>
        </w:rPr>
        <w:t>INPI</w:t>
      </w:r>
      <w:r w:rsidR="009B5DE4" w:rsidRPr="00BF726C">
        <w:rPr>
          <w:lang w:val="fr-FR"/>
        </w:rPr>
        <w:noBreakHyphen/>
      </w:r>
      <w:r w:rsidRPr="00BF726C">
        <w:rPr>
          <w:lang w:val="fr-FR"/>
        </w:rPr>
        <w:t xml:space="preserve">Br se conforme aux </w:t>
      </w:r>
      <w:r w:rsidR="00677E1D" w:rsidRPr="00BF726C">
        <w:rPr>
          <w:lang w:val="fr-FR"/>
        </w:rPr>
        <w:t>règles 3</w:t>
      </w:r>
      <w:r w:rsidRPr="00BF726C">
        <w:rPr>
          <w:lang w:val="fr-FR"/>
        </w:rPr>
        <w:t xml:space="preserve">6.1.iv) et 63.1.iv) du </w:t>
      </w:r>
      <w:r w:rsidR="00BE7085" w:rsidRPr="00BF726C">
        <w:rPr>
          <w:lang w:val="fr-FR"/>
        </w:rPr>
        <w:t>règlement d</w:t>
      </w:r>
      <w:r w:rsidR="00677E1D" w:rsidRPr="00BF726C">
        <w:rPr>
          <w:lang w:val="fr-FR"/>
        </w:rPr>
        <w:t>’</w:t>
      </w:r>
      <w:r w:rsidR="00BE7085" w:rsidRPr="00BF726C">
        <w:rPr>
          <w:lang w:val="fr-FR"/>
        </w:rPr>
        <w:t>exécution</w:t>
      </w:r>
      <w:r w:rsidR="00677E1D" w:rsidRPr="00BF726C">
        <w:rPr>
          <w:lang w:val="fr-FR"/>
        </w:rPr>
        <w:t xml:space="preserve"> du PCT</w:t>
      </w:r>
      <w:r w:rsidRPr="00BF726C">
        <w:rPr>
          <w:lang w:val="fr-FR"/>
        </w:rPr>
        <w:t>.</w:t>
      </w:r>
    </w:p>
    <w:p w:rsidR="00156949" w:rsidRPr="00BF726C" w:rsidRDefault="00156949" w:rsidP="00BF726C">
      <w:pPr>
        <w:rPr>
          <w:lang w:val="fr-FR"/>
        </w:rPr>
      </w:pPr>
    </w:p>
    <w:p w:rsidR="00156949" w:rsidRPr="00BF726C" w:rsidRDefault="0029201C" w:rsidP="00BF726C">
      <w:pPr>
        <w:rPr>
          <w:lang w:val="fr-FR"/>
        </w:rPr>
      </w:pPr>
      <w:r w:rsidRPr="00BF726C">
        <w:rPr>
          <w:lang w:val="fr-FR"/>
        </w:rPr>
        <w:t>Parmi les résultats obtenus depuis sa nomination, on peut citer un manuel pour les déposants, des échanges de données d</w:t>
      </w:r>
      <w:r w:rsidR="00677E1D" w:rsidRPr="00BF726C">
        <w:rPr>
          <w:lang w:val="fr-FR"/>
        </w:rPr>
        <w:t>’</w:t>
      </w:r>
      <w:r w:rsidRPr="00BF726C">
        <w:rPr>
          <w:lang w:val="fr-FR"/>
        </w:rPr>
        <w:t>expérience entre plusieurs offices de propriété intellectuelle dans le monde et la mise en application de bonnes pratiques dans le contexte de son système de gestion de la quali</w:t>
      </w:r>
      <w:r w:rsidR="002034AB" w:rsidRPr="00BF726C">
        <w:rPr>
          <w:lang w:val="fr-FR"/>
        </w:rPr>
        <w:t>té.  Pa</w:t>
      </w:r>
      <w:r w:rsidRPr="00BF726C">
        <w:rPr>
          <w:lang w:val="fr-FR"/>
        </w:rPr>
        <w:t>r ailleurs, d</w:t>
      </w:r>
      <w:r w:rsidR="00BE7085" w:rsidRPr="00BF726C">
        <w:rPr>
          <w:lang w:val="fr-FR"/>
        </w:rPr>
        <w:t>epuis sa nomination, l</w:t>
      </w:r>
      <w:r w:rsidR="00677E1D" w:rsidRPr="00BF726C">
        <w:rPr>
          <w:lang w:val="fr-FR"/>
        </w:rPr>
        <w:t>’</w:t>
      </w:r>
      <w:r w:rsidR="00BE7085" w:rsidRPr="00BF726C">
        <w:rPr>
          <w:lang w:val="fr-FR"/>
        </w:rPr>
        <w:t>INPI</w:t>
      </w:r>
      <w:r w:rsidR="009B5DE4" w:rsidRPr="00BF726C">
        <w:rPr>
          <w:lang w:val="fr-FR"/>
        </w:rPr>
        <w:noBreakHyphen/>
      </w:r>
      <w:r w:rsidR="00BE7085" w:rsidRPr="00BF726C">
        <w:rPr>
          <w:lang w:val="fr-FR"/>
        </w:rPr>
        <w:t>Br</w:t>
      </w:r>
      <w:r w:rsidRPr="00BF726C">
        <w:rPr>
          <w:lang w:val="fr-FR"/>
        </w:rPr>
        <w:t xml:space="preserve"> défend la nécessité d</w:t>
      </w:r>
      <w:r w:rsidR="00677E1D" w:rsidRPr="00BF726C">
        <w:rPr>
          <w:lang w:val="fr-FR"/>
        </w:rPr>
        <w:t>’</w:t>
      </w:r>
      <w:r w:rsidRPr="00BF726C">
        <w:rPr>
          <w:lang w:val="fr-FR"/>
        </w:rPr>
        <w:t>améliorer la qualité de la procédure internationale de recherche et d</w:t>
      </w:r>
      <w:r w:rsidR="00677E1D" w:rsidRPr="00BF726C">
        <w:rPr>
          <w:lang w:val="fr-FR"/>
        </w:rPr>
        <w:t>’</w:t>
      </w:r>
      <w:r w:rsidRPr="00BF726C">
        <w:rPr>
          <w:lang w:val="fr-FR"/>
        </w:rPr>
        <w:t>examen</w:t>
      </w:r>
      <w:r w:rsidR="00BE7085" w:rsidRPr="00BF726C">
        <w:rPr>
          <w:lang w:val="fr-FR"/>
        </w:rPr>
        <w:t xml:space="preserve"> et joue</w:t>
      </w:r>
      <w:r w:rsidRPr="00BF726C">
        <w:rPr>
          <w:lang w:val="fr-FR"/>
        </w:rPr>
        <w:t xml:space="preserve"> un rôle clé dans l</w:t>
      </w:r>
      <w:r w:rsidR="00677E1D" w:rsidRPr="00BF726C">
        <w:rPr>
          <w:lang w:val="fr-FR"/>
        </w:rPr>
        <w:t>’</w:t>
      </w:r>
      <w:r w:rsidRPr="00BF726C">
        <w:rPr>
          <w:lang w:val="fr-FR"/>
        </w:rPr>
        <w:t>appel à mettre en place un Sous</w:t>
      </w:r>
      <w:r w:rsidR="009B5DE4" w:rsidRPr="00BF726C">
        <w:rPr>
          <w:lang w:val="fr-FR"/>
        </w:rPr>
        <w:noBreakHyphen/>
      </w:r>
      <w:r w:rsidRPr="00BF726C">
        <w:rPr>
          <w:lang w:val="fr-FR"/>
        </w:rPr>
        <w:t>groupe de la Réunion des administrations internationales du PCT chargé de la qualité afin de soutenir cet objectif.</w:t>
      </w:r>
    </w:p>
    <w:p w:rsidR="00156949" w:rsidRPr="00BF726C" w:rsidRDefault="0029201C" w:rsidP="00BF726C">
      <w:pPr>
        <w:pStyle w:val="Heading1"/>
        <w:rPr>
          <w:lang w:val="fr-FR"/>
        </w:rPr>
      </w:pPr>
      <w:r w:rsidRPr="00BF726C">
        <w:rPr>
          <w:lang w:val="fr-FR"/>
        </w:rPr>
        <w:t>Conclusion</w:t>
      </w:r>
    </w:p>
    <w:p w:rsidR="00156949" w:rsidRPr="00BF726C" w:rsidRDefault="0029201C" w:rsidP="00BF726C">
      <w:pPr>
        <w:rPr>
          <w:lang w:val="fr-FR"/>
        </w:rPr>
      </w:pPr>
      <w:r w:rsidRPr="00BF726C">
        <w:rPr>
          <w:lang w:val="fr-FR"/>
        </w:rPr>
        <w:t>L</w:t>
      </w:r>
      <w:r w:rsidR="00677E1D" w:rsidRPr="00BF726C">
        <w:rPr>
          <w:lang w:val="fr-FR"/>
        </w:rPr>
        <w:t>’</w:t>
      </w:r>
      <w:r w:rsidRPr="00BF726C">
        <w:rPr>
          <w:lang w:val="fr-FR"/>
        </w:rPr>
        <w:t>INPI</w:t>
      </w:r>
      <w:r w:rsidR="009B5DE4" w:rsidRPr="00BF726C">
        <w:rPr>
          <w:lang w:val="fr-FR"/>
        </w:rPr>
        <w:noBreakHyphen/>
      </w:r>
      <w:r w:rsidRPr="00BF726C">
        <w:rPr>
          <w:lang w:val="fr-FR"/>
        </w:rPr>
        <w:t>Br a montré qu</w:t>
      </w:r>
      <w:r w:rsidR="00677E1D" w:rsidRPr="00BF726C">
        <w:rPr>
          <w:lang w:val="fr-FR"/>
        </w:rPr>
        <w:t>’</w:t>
      </w:r>
      <w:r w:rsidRPr="00BF726C">
        <w:rPr>
          <w:lang w:val="fr-FR"/>
        </w:rPr>
        <w:t>il remplit toujours les conditions pour être une administration chargée de la recherche internationale et de l</w:t>
      </w:r>
      <w:r w:rsidR="00677E1D" w:rsidRPr="00BF726C">
        <w:rPr>
          <w:lang w:val="fr-FR"/>
        </w:rPr>
        <w:t>’</w:t>
      </w:r>
      <w:r w:rsidRPr="00BF726C">
        <w:rPr>
          <w:lang w:val="fr-FR"/>
        </w:rPr>
        <w:t>examen préliminaire international selon le PCT compte tenu des atouts suivants</w:t>
      </w:r>
      <w:r w:rsidR="00677E1D" w:rsidRPr="00BF726C">
        <w:rPr>
          <w:lang w:val="fr-FR"/>
        </w:rPr>
        <w:t> :</w:t>
      </w:r>
    </w:p>
    <w:p w:rsidR="00156949" w:rsidRPr="00BF726C" w:rsidRDefault="00156949" w:rsidP="00BF726C">
      <w:pPr>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proofErr w:type="gramStart"/>
      <w:r w:rsidR="0029201C" w:rsidRPr="00BF726C">
        <w:rPr>
          <w:lang w:val="fr-FR"/>
        </w:rPr>
        <w:t>un</w:t>
      </w:r>
      <w:proofErr w:type="gramEnd"/>
      <w:r w:rsidR="0029201C" w:rsidRPr="00BF726C">
        <w:rPr>
          <w:lang w:val="fr-FR"/>
        </w:rPr>
        <w:t xml:space="preserve"> corps d</w:t>
      </w:r>
      <w:r w:rsidR="00677E1D" w:rsidRPr="00BF726C">
        <w:rPr>
          <w:lang w:val="fr-FR"/>
        </w:rPr>
        <w:t>’</w:t>
      </w:r>
      <w:r w:rsidR="0029201C" w:rsidRPr="00BF726C">
        <w:rPr>
          <w:lang w:val="fr-FR"/>
        </w:rPr>
        <w:t xml:space="preserve">examinateurs de brevets hautement qualifié, compétent et en augmentation dans toutes les disciplines, qui possède </w:t>
      </w:r>
      <w:r w:rsidR="00BE7085" w:rsidRPr="00BF726C">
        <w:rPr>
          <w:lang w:val="fr-FR"/>
        </w:rPr>
        <w:t>des compétences dans deux</w:t>
      </w:r>
      <w:r w:rsidR="00063D0F" w:rsidRPr="00BF726C">
        <w:rPr>
          <w:lang w:val="fr-FR"/>
        </w:rPr>
        <w:t> </w:t>
      </w:r>
      <w:r w:rsidR="00BE7085" w:rsidRPr="00BF726C">
        <w:rPr>
          <w:lang w:val="fr-FR"/>
        </w:rPr>
        <w:t>langues, voire davantage</w:t>
      </w:r>
      <w:r w:rsidR="0029201C" w:rsidRPr="00BF726C">
        <w:rPr>
          <w:lang w:val="fr-FR"/>
        </w:rPr>
        <w:t>;</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r w:rsidR="0029201C" w:rsidRPr="00BF726C">
        <w:rPr>
          <w:lang w:val="fr-FR"/>
        </w:rPr>
        <w:t>un projet de système de traitements des brevets automatisé, moderne et efficace s</w:t>
      </w:r>
      <w:r w:rsidR="00677E1D" w:rsidRPr="00BF726C">
        <w:rPr>
          <w:lang w:val="fr-FR"/>
        </w:rPr>
        <w:t>’</w:t>
      </w:r>
      <w:r w:rsidR="0029201C" w:rsidRPr="00BF726C">
        <w:rPr>
          <w:lang w:val="fr-FR"/>
        </w:rPr>
        <w:t>appuyant sur une infrastructure informatique très complète tournée vers l</w:t>
      </w:r>
      <w:r w:rsidR="00677E1D" w:rsidRPr="00BF726C">
        <w:rPr>
          <w:lang w:val="fr-FR"/>
        </w:rPr>
        <w:t>’</w:t>
      </w:r>
      <w:r w:rsidR="0029201C" w:rsidRPr="00BF726C">
        <w:rPr>
          <w:lang w:val="fr-FR"/>
        </w:rPr>
        <w:t>avenir;</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proofErr w:type="gramStart"/>
      <w:r w:rsidR="0029201C" w:rsidRPr="00BF726C">
        <w:rPr>
          <w:lang w:val="fr-FR"/>
        </w:rPr>
        <w:t>une</w:t>
      </w:r>
      <w:proofErr w:type="gramEnd"/>
      <w:r w:rsidR="0029201C" w:rsidRPr="00BF726C">
        <w:rPr>
          <w:lang w:val="fr-FR"/>
        </w:rPr>
        <w:t xml:space="preserve"> importante collection de documents de </w:t>
      </w:r>
      <w:r w:rsidR="00063D0F" w:rsidRPr="00BF726C">
        <w:rPr>
          <w:lang w:val="fr-FR"/>
        </w:rPr>
        <w:t>brevet</w:t>
      </w:r>
      <w:r w:rsidR="0029201C" w:rsidRPr="00BF726C">
        <w:rPr>
          <w:lang w:val="fr-FR"/>
        </w:rPr>
        <w:t xml:space="preserve"> et de ressources en ligne qui lui permet de répondre aux besoins minimum</w:t>
      </w:r>
      <w:r w:rsidR="0095395D" w:rsidRPr="00BF726C">
        <w:rPr>
          <w:lang w:val="fr-FR"/>
        </w:rPr>
        <w:t xml:space="preserve">s </w:t>
      </w:r>
      <w:r w:rsidR="0029201C" w:rsidRPr="00BF726C">
        <w:rPr>
          <w:lang w:val="fr-FR"/>
        </w:rPr>
        <w:t>en matière de documentation;</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proofErr w:type="gramStart"/>
      <w:r w:rsidR="0029201C" w:rsidRPr="00BF726C">
        <w:rPr>
          <w:lang w:val="fr-FR"/>
        </w:rPr>
        <w:t>une</w:t>
      </w:r>
      <w:proofErr w:type="gramEnd"/>
      <w:r w:rsidR="0029201C" w:rsidRPr="00BF726C">
        <w:rPr>
          <w:lang w:val="fr-FR"/>
        </w:rPr>
        <w:t xml:space="preserve"> détermination en tant qu</w:t>
      </w:r>
      <w:r w:rsidR="00677E1D" w:rsidRPr="00BF726C">
        <w:rPr>
          <w:lang w:val="fr-FR"/>
        </w:rPr>
        <w:t>’</w:t>
      </w:r>
      <w:r w:rsidR="0029201C" w:rsidRPr="00BF726C">
        <w:rPr>
          <w:lang w:val="fr-FR"/>
        </w:rPr>
        <w:t>institution à rechercher l</w:t>
      </w:r>
      <w:r w:rsidR="00677E1D" w:rsidRPr="00BF726C">
        <w:rPr>
          <w:lang w:val="fr-FR"/>
        </w:rPr>
        <w:t>’</w:t>
      </w:r>
      <w:r w:rsidR="0029201C" w:rsidRPr="00BF726C">
        <w:rPr>
          <w:lang w:val="fr-FR"/>
        </w:rPr>
        <w:t xml:space="preserve">excellence dans les relations avec les clients et la </w:t>
      </w:r>
      <w:r w:rsidR="00254054" w:rsidRPr="00BF726C">
        <w:rPr>
          <w:lang w:val="fr-FR"/>
        </w:rPr>
        <w:t>prestation</w:t>
      </w:r>
      <w:r w:rsidR="0029201C" w:rsidRPr="00BF726C">
        <w:rPr>
          <w:lang w:val="fr-FR"/>
        </w:rPr>
        <w:t xml:space="preserve"> de services; </w:t>
      </w:r>
      <w:r w:rsidR="00063D0F" w:rsidRPr="00BF726C">
        <w:rPr>
          <w:lang w:val="fr-FR"/>
        </w:rPr>
        <w:t xml:space="preserve"> </w:t>
      </w:r>
      <w:r w:rsidR="0029201C" w:rsidRPr="00BF726C">
        <w:rPr>
          <w:lang w:val="fr-FR"/>
        </w:rPr>
        <w:t>et</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proofErr w:type="gramStart"/>
      <w:r w:rsidR="0029201C" w:rsidRPr="00BF726C">
        <w:rPr>
          <w:lang w:val="fr-FR"/>
        </w:rPr>
        <w:t>une</w:t>
      </w:r>
      <w:proofErr w:type="gramEnd"/>
      <w:r w:rsidR="0029201C" w:rsidRPr="00BF726C">
        <w:rPr>
          <w:lang w:val="fr-FR"/>
        </w:rPr>
        <w:t xml:space="preserve"> capacité en matière d</w:t>
      </w:r>
      <w:r w:rsidR="00677E1D" w:rsidRPr="00BF726C">
        <w:rPr>
          <w:lang w:val="fr-FR"/>
        </w:rPr>
        <w:t>’</w:t>
      </w:r>
      <w:r w:rsidR="0029201C" w:rsidRPr="00BF726C">
        <w:rPr>
          <w:lang w:val="fr-FR"/>
        </w:rPr>
        <w:t>examen qui lui permettra de gérer le volume de travail international et qui peut, à terme, lui permettre d</w:t>
      </w:r>
      <w:r w:rsidR="00677E1D" w:rsidRPr="00BF726C">
        <w:rPr>
          <w:lang w:val="fr-FR"/>
        </w:rPr>
        <w:t>’</w:t>
      </w:r>
      <w:r w:rsidR="0029201C" w:rsidRPr="00BF726C">
        <w:rPr>
          <w:lang w:val="fr-FR"/>
        </w:rPr>
        <w:t>offrir ses services à des déposants passant par d</w:t>
      </w:r>
      <w:r w:rsidR="00677E1D" w:rsidRPr="00BF726C">
        <w:rPr>
          <w:lang w:val="fr-FR"/>
        </w:rPr>
        <w:t>’</w:t>
      </w:r>
      <w:r w:rsidR="0029201C" w:rsidRPr="00BF726C">
        <w:rPr>
          <w:lang w:val="fr-FR"/>
        </w:rPr>
        <w:t>autres offices récepteurs.</w:t>
      </w:r>
    </w:p>
    <w:p w:rsidR="00156949" w:rsidRPr="00BF726C" w:rsidRDefault="00156949" w:rsidP="00BF726C">
      <w:pPr>
        <w:rPr>
          <w:lang w:val="fr-FR"/>
        </w:rPr>
      </w:pPr>
    </w:p>
    <w:p w:rsidR="00156949" w:rsidRPr="00BF726C" w:rsidRDefault="00053CFA" w:rsidP="00BF726C">
      <w:pPr>
        <w:rPr>
          <w:lang w:val="fr-FR"/>
        </w:rPr>
      </w:pPr>
      <w:r w:rsidRPr="00BF726C">
        <w:rPr>
          <w:lang w:val="fr-FR"/>
        </w:rPr>
        <w:t>Outre cela, il est important de souligner que les activités de l</w:t>
      </w:r>
      <w:r w:rsidR="00677E1D" w:rsidRPr="00BF726C">
        <w:rPr>
          <w:lang w:val="fr-FR"/>
        </w:rPr>
        <w:t>’</w:t>
      </w:r>
      <w:r w:rsidRPr="00BF726C">
        <w:rPr>
          <w:lang w:val="fr-FR"/>
        </w:rPr>
        <w:t>INPI</w:t>
      </w:r>
      <w:r w:rsidR="009B5DE4" w:rsidRPr="00BF726C">
        <w:rPr>
          <w:lang w:val="fr-FR"/>
        </w:rPr>
        <w:noBreakHyphen/>
      </w:r>
      <w:r w:rsidRPr="00BF726C">
        <w:rPr>
          <w:lang w:val="fr-FR"/>
        </w:rPr>
        <w:t>Br en qualité d</w:t>
      </w:r>
      <w:r w:rsidR="00677E1D" w:rsidRPr="00BF726C">
        <w:rPr>
          <w:lang w:val="fr-FR"/>
        </w:rPr>
        <w:t>’</w:t>
      </w:r>
      <w:r w:rsidRPr="00BF726C">
        <w:rPr>
          <w:lang w:val="fr-FR"/>
        </w:rPr>
        <w:t>administration chargée de la recherche internationale et de l</w:t>
      </w:r>
      <w:r w:rsidR="00677E1D" w:rsidRPr="00BF726C">
        <w:rPr>
          <w:lang w:val="fr-FR"/>
        </w:rPr>
        <w:t>’</w:t>
      </w:r>
      <w:r w:rsidRPr="00BF726C">
        <w:rPr>
          <w:lang w:val="fr-FR"/>
        </w:rPr>
        <w:t>examen préliminaire international apportent les avantages suivants</w:t>
      </w:r>
      <w:r w:rsidR="00677E1D" w:rsidRPr="00BF726C">
        <w:rPr>
          <w:lang w:val="fr-FR"/>
        </w:rPr>
        <w:t> :</w:t>
      </w:r>
    </w:p>
    <w:p w:rsidR="00156949" w:rsidRPr="00BF726C" w:rsidRDefault="00156949" w:rsidP="00BF726C">
      <w:pPr>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r w:rsidR="00254054" w:rsidRPr="00BF726C">
        <w:rPr>
          <w:lang w:val="fr-FR"/>
        </w:rPr>
        <w:t>garantir</w:t>
      </w:r>
      <w:r w:rsidR="00053CFA" w:rsidRPr="00BF726C">
        <w:rPr>
          <w:lang w:val="fr-FR"/>
        </w:rPr>
        <w:t xml:space="preserve"> qu</w:t>
      </w:r>
      <w:r w:rsidR="00677E1D" w:rsidRPr="00BF726C">
        <w:rPr>
          <w:lang w:val="fr-FR"/>
        </w:rPr>
        <w:t>’</w:t>
      </w:r>
      <w:r w:rsidR="00053CFA" w:rsidRPr="00BF726C">
        <w:rPr>
          <w:lang w:val="fr-FR"/>
        </w:rPr>
        <w:t>il existe une administration chargée de la recherche internationale et de l</w:t>
      </w:r>
      <w:r w:rsidR="00677E1D" w:rsidRPr="00BF726C">
        <w:rPr>
          <w:lang w:val="fr-FR"/>
        </w:rPr>
        <w:t>’</w:t>
      </w:r>
      <w:r w:rsidR="00053CFA" w:rsidRPr="00BF726C">
        <w:rPr>
          <w:lang w:val="fr-FR"/>
        </w:rPr>
        <w:t>examen préliminaire international en mesure de procéder à la recherche et à l</w:t>
      </w:r>
      <w:r w:rsidR="00677E1D" w:rsidRPr="00BF726C">
        <w:rPr>
          <w:lang w:val="fr-FR"/>
        </w:rPr>
        <w:t>’</w:t>
      </w:r>
      <w:r w:rsidR="00053CFA" w:rsidRPr="00BF726C">
        <w:rPr>
          <w:lang w:val="fr-FR"/>
        </w:rPr>
        <w:t>examen des demandes internationales déposées en portugais;</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r w:rsidR="00254054" w:rsidRPr="00BF726C">
        <w:rPr>
          <w:lang w:val="fr-FR"/>
        </w:rPr>
        <w:t>f</w:t>
      </w:r>
      <w:r w:rsidR="00053CFA" w:rsidRPr="00BF726C">
        <w:rPr>
          <w:lang w:val="fr-FR"/>
        </w:rPr>
        <w:t>acilite</w:t>
      </w:r>
      <w:r w:rsidR="00254054" w:rsidRPr="00BF726C">
        <w:rPr>
          <w:lang w:val="fr-FR"/>
        </w:rPr>
        <w:t>r</w:t>
      </w:r>
      <w:r w:rsidR="00053CFA" w:rsidRPr="00BF726C">
        <w:rPr>
          <w:lang w:val="fr-FR"/>
        </w:rPr>
        <w:t xml:space="preserve"> le </w:t>
      </w:r>
      <w:r w:rsidR="00254054" w:rsidRPr="00BF726C">
        <w:rPr>
          <w:lang w:val="fr-FR"/>
        </w:rPr>
        <w:t>traitement</w:t>
      </w:r>
      <w:r w:rsidR="00053CFA" w:rsidRPr="00BF726C">
        <w:rPr>
          <w:lang w:val="fr-FR"/>
        </w:rPr>
        <w:t xml:space="preserve"> de</w:t>
      </w:r>
      <w:r w:rsidR="00254054" w:rsidRPr="00BF726C">
        <w:rPr>
          <w:lang w:val="fr-FR"/>
        </w:rPr>
        <w:t>s</w:t>
      </w:r>
      <w:r w:rsidR="00053CFA" w:rsidRPr="00BF726C">
        <w:rPr>
          <w:lang w:val="fr-FR"/>
        </w:rPr>
        <w:t xml:space="preserve"> demandes internationales </w:t>
      </w:r>
      <w:r w:rsidR="00254054" w:rsidRPr="00BF726C">
        <w:rPr>
          <w:lang w:val="fr-FR"/>
        </w:rPr>
        <w:t>selon</w:t>
      </w:r>
      <w:r w:rsidR="00677E1D" w:rsidRPr="00BF726C">
        <w:rPr>
          <w:lang w:val="fr-FR"/>
        </w:rPr>
        <w:t xml:space="preserve"> le PCT</w:t>
      </w:r>
      <w:r w:rsidR="00053CFA" w:rsidRPr="00BF726C">
        <w:rPr>
          <w:lang w:val="fr-FR"/>
        </w:rPr>
        <w:t xml:space="preserve"> </w:t>
      </w:r>
      <w:r w:rsidR="00254054" w:rsidRPr="00BF726C">
        <w:rPr>
          <w:lang w:val="fr-FR"/>
        </w:rPr>
        <w:t>des</w:t>
      </w:r>
      <w:r w:rsidR="00053CFA" w:rsidRPr="00BF726C">
        <w:rPr>
          <w:lang w:val="fr-FR"/>
        </w:rPr>
        <w:t xml:space="preserve"> déposants du Brésil et de la région</w:t>
      </w:r>
      <w:r w:rsidR="00254054" w:rsidRPr="00BF726C">
        <w:rPr>
          <w:lang w:val="fr-FR"/>
        </w:rPr>
        <w:t>,</w:t>
      </w:r>
      <w:r w:rsidR="00053CFA" w:rsidRPr="00BF726C">
        <w:rPr>
          <w:lang w:val="fr-FR"/>
        </w:rPr>
        <w:t xml:space="preserve"> leur permettant </w:t>
      </w:r>
      <w:r w:rsidR="00254054" w:rsidRPr="00BF726C">
        <w:rPr>
          <w:lang w:val="fr-FR"/>
        </w:rPr>
        <w:t xml:space="preserve">ainsi </w:t>
      </w:r>
      <w:r w:rsidR="00053CFA" w:rsidRPr="00BF726C">
        <w:rPr>
          <w:lang w:val="fr-FR"/>
        </w:rPr>
        <w:t>d</w:t>
      </w:r>
      <w:r w:rsidR="00677E1D" w:rsidRPr="00BF726C">
        <w:rPr>
          <w:lang w:val="fr-FR"/>
        </w:rPr>
        <w:t>’</w:t>
      </w:r>
      <w:r w:rsidR="00053CFA" w:rsidRPr="00BF726C">
        <w:rPr>
          <w:lang w:val="fr-FR"/>
        </w:rPr>
        <w:t>être plus productifs et concurrentiels dans le cadre de l</w:t>
      </w:r>
      <w:r w:rsidR="00677E1D" w:rsidRPr="00BF726C">
        <w:rPr>
          <w:lang w:val="fr-FR"/>
        </w:rPr>
        <w:t>’</w:t>
      </w:r>
      <w:r w:rsidR="00053CFA" w:rsidRPr="00BF726C">
        <w:rPr>
          <w:lang w:val="fr-FR"/>
        </w:rPr>
        <w:t>économie du savoir</w:t>
      </w:r>
      <w:r w:rsidR="00677E1D" w:rsidRPr="00BF726C">
        <w:rPr>
          <w:lang w:val="fr-FR"/>
        </w:rPr>
        <w:t>;</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r w:rsidR="00053CFA" w:rsidRPr="00BF726C">
        <w:rPr>
          <w:lang w:val="fr-FR"/>
        </w:rPr>
        <w:t>renforce</w:t>
      </w:r>
      <w:r w:rsidR="00254054" w:rsidRPr="00BF726C">
        <w:rPr>
          <w:lang w:val="fr-FR"/>
        </w:rPr>
        <w:t>r</w:t>
      </w:r>
      <w:r w:rsidR="00053CFA" w:rsidRPr="00BF726C">
        <w:rPr>
          <w:lang w:val="fr-FR"/>
        </w:rPr>
        <w:t xml:space="preserve"> la réputation internationale de l</w:t>
      </w:r>
      <w:r w:rsidR="00677E1D" w:rsidRPr="00BF726C">
        <w:rPr>
          <w:lang w:val="fr-FR"/>
        </w:rPr>
        <w:t>’</w:t>
      </w:r>
      <w:r w:rsidR="00053CFA" w:rsidRPr="00BF726C">
        <w:rPr>
          <w:lang w:val="fr-FR"/>
        </w:rPr>
        <w:t>institut en tant qu</w:t>
      </w:r>
      <w:r w:rsidR="00677E1D" w:rsidRPr="00BF726C">
        <w:rPr>
          <w:lang w:val="fr-FR"/>
        </w:rPr>
        <w:t>’</w:t>
      </w:r>
      <w:r w:rsidR="00053CFA" w:rsidRPr="00BF726C">
        <w:rPr>
          <w:lang w:val="fr-FR"/>
        </w:rPr>
        <w:t xml:space="preserve">office de la propriété intellectuelle de taille moyenne </w:t>
      </w:r>
      <w:r w:rsidR="00254054" w:rsidRPr="00BF726C">
        <w:rPr>
          <w:lang w:val="fr-FR"/>
        </w:rPr>
        <w:t>en prenant</w:t>
      </w:r>
      <w:r w:rsidR="00053CFA" w:rsidRPr="00BF726C">
        <w:rPr>
          <w:lang w:val="fr-FR"/>
        </w:rPr>
        <w:t xml:space="preserve"> en charge une part du volume de travail international;</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r w:rsidR="00053CFA" w:rsidRPr="00BF726C">
        <w:rPr>
          <w:lang w:val="fr-FR"/>
        </w:rPr>
        <w:t>confirme</w:t>
      </w:r>
      <w:r w:rsidR="00254054" w:rsidRPr="00BF726C">
        <w:rPr>
          <w:lang w:val="fr-FR"/>
        </w:rPr>
        <w:t>r</w:t>
      </w:r>
      <w:r w:rsidR="00053CFA" w:rsidRPr="00BF726C">
        <w:rPr>
          <w:lang w:val="fr-FR"/>
        </w:rPr>
        <w:t xml:space="preserve"> la détermination de </w:t>
      </w:r>
      <w:r w:rsidR="00254054" w:rsidRPr="00BF726C">
        <w:rPr>
          <w:lang w:val="fr-FR"/>
        </w:rPr>
        <w:t>l</w:t>
      </w:r>
      <w:r w:rsidR="00677E1D" w:rsidRPr="00BF726C">
        <w:rPr>
          <w:lang w:val="fr-FR"/>
        </w:rPr>
        <w:t>’</w:t>
      </w:r>
      <w:r w:rsidR="00254054" w:rsidRPr="00BF726C">
        <w:rPr>
          <w:lang w:val="fr-FR"/>
        </w:rPr>
        <w:t>INPI</w:t>
      </w:r>
      <w:r w:rsidRPr="00BF726C">
        <w:rPr>
          <w:lang w:val="fr-FR"/>
        </w:rPr>
        <w:noBreakHyphen/>
      </w:r>
      <w:r w:rsidR="00254054" w:rsidRPr="00BF726C">
        <w:rPr>
          <w:lang w:val="fr-FR"/>
        </w:rPr>
        <w:t>Br</w:t>
      </w:r>
      <w:r w:rsidR="00053CFA" w:rsidRPr="00BF726C">
        <w:rPr>
          <w:lang w:val="fr-FR"/>
        </w:rPr>
        <w:t xml:space="preserve"> à poursuivre la recherche de l</w:t>
      </w:r>
      <w:r w:rsidR="00677E1D" w:rsidRPr="00BF726C">
        <w:rPr>
          <w:lang w:val="fr-FR"/>
        </w:rPr>
        <w:t>’</w:t>
      </w:r>
      <w:r w:rsidR="00053CFA" w:rsidRPr="00BF726C">
        <w:rPr>
          <w:lang w:val="fr-FR"/>
        </w:rPr>
        <w:t>excellence dans le domaine des relations avec le client et dans celui des prestations de services;</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r w:rsidR="00053CFA" w:rsidRPr="00BF726C">
        <w:rPr>
          <w:lang w:val="fr-FR"/>
        </w:rPr>
        <w:t>améliore</w:t>
      </w:r>
      <w:r w:rsidR="00254054" w:rsidRPr="00BF726C">
        <w:rPr>
          <w:lang w:val="fr-FR"/>
        </w:rPr>
        <w:t>r</w:t>
      </w:r>
      <w:r w:rsidR="00053CFA" w:rsidRPr="00BF726C">
        <w:rPr>
          <w:lang w:val="fr-FR"/>
        </w:rPr>
        <w:t xml:space="preserve"> la qualité des recherches et des examens nationaux au Brésil grâce à une fréquentation accrue du système PCT et à l</w:t>
      </w:r>
      <w:r w:rsidR="00677E1D" w:rsidRPr="00BF726C">
        <w:rPr>
          <w:lang w:val="fr-FR"/>
        </w:rPr>
        <w:t>’</w:t>
      </w:r>
      <w:r w:rsidR="00053CFA" w:rsidRPr="00BF726C">
        <w:rPr>
          <w:lang w:val="fr-FR"/>
        </w:rPr>
        <w:t>accès à des outils de recherche supplémentaires</w:t>
      </w:r>
      <w:r w:rsidR="00677E1D" w:rsidRPr="00BF726C">
        <w:rPr>
          <w:lang w:val="fr-FR"/>
        </w:rPr>
        <w:t>;</w:t>
      </w:r>
      <w:r w:rsidR="00053CFA" w:rsidRPr="00BF726C">
        <w:rPr>
          <w:lang w:val="fr-FR"/>
        </w:rPr>
        <w:t xml:space="preserve"> </w:t>
      </w:r>
      <w:r w:rsidR="00063D0F" w:rsidRPr="00BF726C">
        <w:rPr>
          <w:lang w:val="fr-FR"/>
        </w:rPr>
        <w:t xml:space="preserve"> </w:t>
      </w:r>
      <w:r w:rsidR="00053CFA" w:rsidRPr="00BF726C">
        <w:rPr>
          <w:lang w:val="fr-FR"/>
        </w:rPr>
        <w:t>et</w:t>
      </w:r>
    </w:p>
    <w:p w:rsidR="00156949" w:rsidRPr="00BF726C" w:rsidRDefault="00156949" w:rsidP="00BF726C">
      <w:pPr>
        <w:ind w:left="567" w:hanging="567"/>
        <w:rPr>
          <w:lang w:val="fr-FR"/>
        </w:rPr>
      </w:pPr>
    </w:p>
    <w:p w:rsidR="00156949" w:rsidRPr="00BF726C" w:rsidRDefault="009B5DE4" w:rsidP="00BF726C">
      <w:pPr>
        <w:ind w:left="567" w:hanging="567"/>
        <w:rPr>
          <w:lang w:val="fr-FR"/>
        </w:rPr>
      </w:pPr>
      <w:r w:rsidRPr="00BF726C">
        <w:rPr>
          <w:lang w:val="fr-FR"/>
        </w:rPr>
        <w:noBreakHyphen/>
      </w:r>
      <w:r w:rsidRPr="00BF726C">
        <w:rPr>
          <w:lang w:val="fr-FR"/>
        </w:rPr>
        <w:tab/>
      </w:r>
      <w:r w:rsidR="00A64FE9" w:rsidRPr="00BF726C">
        <w:rPr>
          <w:lang w:val="fr-FR"/>
        </w:rPr>
        <w:t>accroît</w:t>
      </w:r>
      <w:r w:rsidR="00254054" w:rsidRPr="00BF726C">
        <w:rPr>
          <w:lang w:val="fr-FR"/>
        </w:rPr>
        <w:t>re</w:t>
      </w:r>
      <w:r w:rsidR="00A64FE9" w:rsidRPr="00BF726C">
        <w:rPr>
          <w:lang w:val="fr-FR"/>
        </w:rPr>
        <w:t xml:space="preserve"> la qualité et la portée de la formation que l</w:t>
      </w:r>
      <w:r w:rsidR="00677E1D" w:rsidRPr="00BF726C">
        <w:rPr>
          <w:lang w:val="fr-FR"/>
        </w:rPr>
        <w:t>’</w:t>
      </w:r>
      <w:r w:rsidR="00A64FE9" w:rsidRPr="00BF726C">
        <w:rPr>
          <w:lang w:val="fr-FR"/>
        </w:rPr>
        <w:t>office a été en mesure d</w:t>
      </w:r>
      <w:r w:rsidR="00677E1D" w:rsidRPr="00BF726C">
        <w:rPr>
          <w:lang w:val="fr-FR"/>
        </w:rPr>
        <w:t>’</w:t>
      </w:r>
      <w:r w:rsidR="00A64FE9" w:rsidRPr="00BF726C">
        <w:rPr>
          <w:lang w:val="fr-FR"/>
        </w:rPr>
        <w:t>offrir au cours des dernières années aux autres offices nationaux ainsi que l</w:t>
      </w:r>
      <w:r w:rsidR="00677E1D" w:rsidRPr="00BF726C">
        <w:rPr>
          <w:lang w:val="fr-FR"/>
        </w:rPr>
        <w:t>’</w:t>
      </w:r>
      <w:r w:rsidR="00A64FE9" w:rsidRPr="00BF726C">
        <w:rPr>
          <w:lang w:val="fr-FR"/>
        </w:rPr>
        <w:t xml:space="preserve">utilisation du </w:t>
      </w:r>
      <w:r w:rsidR="00254054" w:rsidRPr="00BF726C">
        <w:rPr>
          <w:lang w:val="fr-FR"/>
        </w:rPr>
        <w:t>s</w:t>
      </w:r>
      <w:r w:rsidR="00A64FE9" w:rsidRPr="00BF726C">
        <w:rPr>
          <w:lang w:val="fr-FR"/>
        </w:rPr>
        <w:t>ystème</w:t>
      </w:r>
      <w:r w:rsidR="00677E1D" w:rsidRPr="00BF726C">
        <w:rPr>
          <w:lang w:val="fr-FR"/>
        </w:rPr>
        <w:t xml:space="preserve"> du PCT</w:t>
      </w:r>
      <w:r w:rsidR="00A64FE9" w:rsidRPr="00BF726C">
        <w:rPr>
          <w:lang w:val="fr-FR"/>
        </w:rPr>
        <w:t xml:space="preserve"> dans la région.</w:t>
      </w:r>
    </w:p>
    <w:p w:rsidR="00156949" w:rsidRPr="00BF726C" w:rsidRDefault="00156949" w:rsidP="00BF726C">
      <w:pPr>
        <w:rPr>
          <w:lang w:val="fr-FR"/>
        </w:rPr>
      </w:pPr>
    </w:p>
    <w:p w:rsidR="00156949" w:rsidRPr="00BF726C" w:rsidRDefault="00156949" w:rsidP="00BF726C">
      <w:pPr>
        <w:rPr>
          <w:lang w:val="fr-FR"/>
        </w:rPr>
      </w:pPr>
    </w:p>
    <w:p w:rsidR="009B5DE4" w:rsidRPr="00BF726C" w:rsidRDefault="009B5DE4" w:rsidP="00BF726C">
      <w:pPr>
        <w:rPr>
          <w:lang w:val="fr-FR"/>
        </w:rPr>
      </w:pPr>
    </w:p>
    <w:p w:rsidR="00AA5F79" w:rsidRPr="00BF726C" w:rsidRDefault="00A64FE9" w:rsidP="00BF726C">
      <w:pPr>
        <w:pStyle w:val="Endofdocument-Annex"/>
        <w:rPr>
          <w:lang w:val="fr-FR"/>
        </w:rPr>
      </w:pPr>
      <w:r w:rsidRPr="00BF726C">
        <w:rPr>
          <w:lang w:val="fr-FR"/>
        </w:rPr>
        <w:t>[Fin de l</w:t>
      </w:r>
      <w:r w:rsidR="00677E1D" w:rsidRPr="00BF726C">
        <w:rPr>
          <w:lang w:val="fr-FR"/>
        </w:rPr>
        <w:t>’</w:t>
      </w:r>
      <w:r w:rsidRPr="00BF726C">
        <w:rPr>
          <w:lang w:val="fr-FR"/>
        </w:rPr>
        <w:t>annexe et du document]</w:t>
      </w:r>
    </w:p>
    <w:sectPr w:rsidR="00AA5F79" w:rsidRPr="00BF726C" w:rsidSect="009B5DE4">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DE4" w:rsidRPr="009B5DE4" w:rsidRDefault="009B5DE4" w:rsidP="009B5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 w:id="2">
    <w:p w:rsidR="009B5DE4" w:rsidRPr="00BF726C" w:rsidRDefault="009B5DE4" w:rsidP="00BF726C">
      <w:pPr>
        <w:pStyle w:val="FootnoteText"/>
      </w:pPr>
      <w:r w:rsidRPr="00BF726C">
        <w:rPr>
          <w:rStyle w:val="FootnoteReference"/>
        </w:rPr>
        <w:footnoteRef/>
      </w:r>
      <w:r w:rsidRPr="00BF726C">
        <w:t xml:space="preserve"> </w:t>
      </w:r>
      <w:r w:rsidRPr="00BF726C">
        <w:tab/>
      </w:r>
      <w:r w:rsidR="0064220B" w:rsidRPr="00BF726C">
        <w:rPr>
          <w:lang w:val="fr-FR"/>
        </w:rPr>
        <w:t>Les données relatives à l’office brésilien agissant en qualité d’administration chargée de la recherche internationale et à l’administration chargée de l’examen préliminaire international doivent être prises en considération à partir de la date de début des activités, en août 2009.</w:t>
      </w:r>
    </w:p>
  </w:footnote>
  <w:footnote w:id="3">
    <w:p w:rsidR="009B5DE4" w:rsidRPr="00BF726C" w:rsidRDefault="009B5DE4" w:rsidP="00BF726C">
      <w:pPr>
        <w:pStyle w:val="FootnoteText"/>
      </w:pPr>
      <w:r w:rsidRPr="00BF726C">
        <w:rPr>
          <w:rStyle w:val="FootnoteReference"/>
        </w:rPr>
        <w:footnoteRef/>
      </w:r>
      <w:r w:rsidRPr="00BF726C">
        <w:t xml:space="preserve"> </w:t>
      </w:r>
      <w:r w:rsidRPr="00BF726C">
        <w:tab/>
      </w:r>
      <w:proofErr w:type="gramStart"/>
      <w:r w:rsidRPr="00BF726C">
        <w:rPr>
          <w:i/>
        </w:rPr>
        <w:t>Idem.</w:t>
      </w:r>
      <w:proofErr w:type="gramEnd"/>
    </w:p>
  </w:footnote>
  <w:footnote w:id="4">
    <w:p w:rsidR="00130C76" w:rsidRPr="00BF726C" w:rsidRDefault="00130C76" w:rsidP="00BF726C">
      <w:pPr>
        <w:pStyle w:val="FootnoteText"/>
        <w:rPr>
          <w:lang w:val="fr-CH"/>
        </w:rPr>
      </w:pPr>
      <w:r w:rsidRPr="00BF726C">
        <w:rPr>
          <w:rStyle w:val="FootnoteReference"/>
        </w:rPr>
        <w:footnoteRef/>
      </w:r>
      <w:r w:rsidRPr="00BF726C">
        <w:t xml:space="preserve"> </w:t>
      </w:r>
      <w:r w:rsidRPr="00BF726C">
        <w:rPr>
          <w:lang w:val="fr-CH"/>
        </w:rPr>
        <w:tab/>
        <w:t>Pour plus de détails, voir www.capes.gov.br et www.periodicos.capes.gov.br.</w:t>
      </w:r>
    </w:p>
  </w:footnote>
  <w:footnote w:id="5">
    <w:p w:rsidR="00130C76" w:rsidRPr="00BF726C" w:rsidRDefault="00130C76" w:rsidP="00BF726C">
      <w:pPr>
        <w:pStyle w:val="FootnoteText"/>
        <w:rPr>
          <w:lang w:val="fr-CH"/>
        </w:rPr>
      </w:pPr>
      <w:r w:rsidRPr="00BF726C">
        <w:rPr>
          <w:rStyle w:val="FootnoteReference"/>
        </w:rPr>
        <w:footnoteRef/>
      </w:r>
      <w:r w:rsidRPr="00BF726C">
        <w:t xml:space="preserve"> </w:t>
      </w:r>
      <w:r w:rsidRPr="00BF726C">
        <w:rPr>
          <w:lang w:val="fr-CH"/>
        </w:rPr>
        <w:tab/>
        <w:t>DIALOG est un système de recherche documentaire en ligne mondial qui, dans le cas d</w:t>
      </w:r>
      <w:r w:rsidR="0088013F" w:rsidRPr="00BF726C">
        <w:rPr>
          <w:lang w:val="fr-CH"/>
        </w:rPr>
        <w:t>’</w:t>
      </w:r>
      <w:r w:rsidRPr="00BF726C">
        <w:rPr>
          <w:lang w:val="fr-CH"/>
        </w:rPr>
        <w:t>espèce, assure des services d</w:t>
      </w:r>
      <w:r w:rsidR="0088013F" w:rsidRPr="00BF726C">
        <w:rPr>
          <w:lang w:val="fr-CH"/>
        </w:rPr>
        <w:t>’</w:t>
      </w:r>
      <w:r w:rsidRPr="00BF726C">
        <w:rPr>
          <w:lang w:val="fr-CH"/>
        </w:rPr>
        <w:t>information en ligne dans le domaine de la propriété industrielle.</w:t>
      </w:r>
    </w:p>
  </w:footnote>
  <w:footnote w:id="6">
    <w:p w:rsidR="00012B31" w:rsidRPr="00BF726C" w:rsidRDefault="00012B31" w:rsidP="00BF726C">
      <w:pPr>
        <w:pStyle w:val="FootnoteText"/>
        <w:rPr>
          <w:lang w:val="fr-CH"/>
        </w:rPr>
      </w:pPr>
      <w:r w:rsidRPr="00BF726C">
        <w:rPr>
          <w:rStyle w:val="FootnoteReference"/>
        </w:rPr>
        <w:footnoteRef/>
      </w:r>
      <w:r w:rsidRPr="00BF726C">
        <w:t xml:space="preserve"> </w:t>
      </w:r>
      <w:r w:rsidRPr="00BF726C">
        <w:rPr>
          <w:lang w:val="fr-CH"/>
        </w:rPr>
        <w:tab/>
      </w:r>
      <w:r w:rsidR="00914D7C" w:rsidRPr="00BF726C">
        <w:rPr>
          <w:lang w:val="fr-CH"/>
        </w:rPr>
        <w:t xml:space="preserve">Avec plus de </w:t>
      </w:r>
      <w:r w:rsidR="0088013F" w:rsidRPr="00BF726C">
        <w:rPr>
          <w:lang w:val="fr-CH"/>
        </w:rPr>
        <w:t>4 million</w:t>
      </w:r>
      <w:r w:rsidR="00914D7C" w:rsidRPr="00BF726C">
        <w:rPr>
          <w:lang w:val="fr-CH"/>
        </w:rPr>
        <w:t>s de documents, l</w:t>
      </w:r>
      <w:r w:rsidR="0088013F" w:rsidRPr="00BF726C">
        <w:rPr>
          <w:lang w:val="fr-CH"/>
        </w:rPr>
        <w:t>’</w:t>
      </w:r>
      <w:r w:rsidR="00914D7C" w:rsidRPr="00BF726C">
        <w:rPr>
          <w:lang w:val="fr-CH"/>
        </w:rPr>
        <w:t xml:space="preserve">IEEE </w:t>
      </w:r>
      <w:proofErr w:type="spellStart"/>
      <w:r w:rsidR="00914D7C" w:rsidRPr="00BF726C">
        <w:rPr>
          <w:lang w:val="fr-CH"/>
        </w:rPr>
        <w:t>Xplore</w:t>
      </w:r>
      <w:proofErr w:type="spellEnd"/>
      <w:r w:rsidR="00914D7C" w:rsidRPr="00BF726C">
        <w:rPr>
          <w:lang w:val="fr-CH"/>
        </w:rPr>
        <w:t xml:space="preserve"> Digital Library est une ressource de poids pour découvrir et avoir accès à la documentation scientifique et technique publiée par l</w:t>
      </w:r>
      <w:r w:rsidR="0088013F" w:rsidRPr="00BF726C">
        <w:rPr>
          <w:lang w:val="fr-CH"/>
        </w:rPr>
        <w:t>’</w:t>
      </w:r>
      <w:r w:rsidR="00914D7C" w:rsidRPr="00BF726C">
        <w:rPr>
          <w:lang w:val="fr-CH"/>
        </w:rPr>
        <w:t>IEEE et ses partenaires de publication.</w:t>
      </w:r>
    </w:p>
  </w:footnote>
  <w:footnote w:id="7">
    <w:p w:rsidR="00012B31" w:rsidRPr="00BF726C" w:rsidRDefault="00012B31" w:rsidP="00BF726C">
      <w:pPr>
        <w:pStyle w:val="FootnoteText"/>
        <w:rPr>
          <w:lang w:val="fr-CH"/>
        </w:rPr>
      </w:pPr>
      <w:r w:rsidRPr="00BF726C">
        <w:rPr>
          <w:rStyle w:val="FootnoteReference"/>
        </w:rPr>
        <w:footnoteRef/>
      </w:r>
      <w:r w:rsidRPr="00BF726C">
        <w:t xml:space="preserve"> </w:t>
      </w:r>
      <w:r w:rsidRPr="00BF726C">
        <w:rPr>
          <w:lang w:val="fr-CH"/>
        </w:rPr>
        <w:tab/>
      </w:r>
      <w:r w:rsidR="0030174B" w:rsidRPr="00BF726C">
        <w:rPr>
          <w:lang w:val="fr-CH"/>
        </w:rPr>
        <w:t xml:space="preserve">GENESEQ™ est une base de données mondiale sur les brevets contenant des séquences, produite par Thomson Reuters; </w:t>
      </w:r>
      <w:r w:rsidR="00063D0F" w:rsidRPr="00BF726C">
        <w:rPr>
          <w:lang w:val="fr-CH"/>
        </w:rPr>
        <w:t xml:space="preserve"> </w:t>
      </w:r>
      <w:r w:rsidR="0030174B" w:rsidRPr="00BF726C">
        <w:rPr>
          <w:lang w:val="fr-CH"/>
        </w:rPr>
        <w:t>elle recense les séquences, d</w:t>
      </w:r>
      <w:r w:rsidR="0088013F" w:rsidRPr="00BF726C">
        <w:rPr>
          <w:lang w:val="fr-CH"/>
        </w:rPr>
        <w:t>’</w:t>
      </w:r>
      <w:r w:rsidR="0030174B" w:rsidRPr="00BF726C">
        <w:rPr>
          <w:lang w:val="fr-CH"/>
        </w:rPr>
        <w:t>ADN, d</w:t>
      </w:r>
      <w:r w:rsidR="0088013F" w:rsidRPr="00BF726C">
        <w:rPr>
          <w:lang w:val="fr-CH"/>
        </w:rPr>
        <w:t>’</w:t>
      </w:r>
      <w:r w:rsidR="0030174B" w:rsidRPr="00BF726C">
        <w:rPr>
          <w:lang w:val="fr-CH"/>
        </w:rPr>
        <w:t xml:space="preserve">ARN et de protéines </w:t>
      </w:r>
      <w:r w:rsidR="003F63B7" w:rsidRPr="00BF726C">
        <w:rPr>
          <w:lang w:val="fr-CH"/>
        </w:rPr>
        <w:t>répertoriés par</w:t>
      </w:r>
      <w:r w:rsidR="0030174B" w:rsidRPr="00BF726C">
        <w:rPr>
          <w:lang w:val="fr-CH"/>
        </w:rPr>
        <w:t xml:space="preserve"> 52</w:t>
      </w:r>
      <w:r w:rsidR="0095395D" w:rsidRPr="00BF726C">
        <w:rPr>
          <w:lang w:val="fr-CH"/>
        </w:rPr>
        <w:t> </w:t>
      </w:r>
      <w:r w:rsidR="0030174B" w:rsidRPr="00BF726C">
        <w:rPr>
          <w:lang w:val="fr-CH"/>
        </w:rPr>
        <w:t>offices de breve</w:t>
      </w:r>
      <w:r w:rsidR="00C928C4" w:rsidRPr="00BF726C">
        <w:rPr>
          <w:lang w:val="fr-CH"/>
        </w:rPr>
        <w:t>ts du monde entier, notamment de</w:t>
      </w:r>
      <w:r w:rsidR="0030174B" w:rsidRPr="00BF726C">
        <w:rPr>
          <w:lang w:val="fr-CH"/>
        </w:rPr>
        <w:t xml:space="preserve"> l</w:t>
      </w:r>
      <w:r w:rsidR="0088013F" w:rsidRPr="00BF726C">
        <w:rPr>
          <w:lang w:val="fr-CH"/>
        </w:rPr>
        <w:t>’</w:t>
      </w:r>
      <w:r w:rsidR="0030174B" w:rsidRPr="00BF726C">
        <w:rPr>
          <w:lang w:val="fr-CH"/>
        </w:rPr>
        <w:t>OMPI</w:t>
      </w:r>
      <w:r w:rsidR="00C928C4" w:rsidRPr="00BF726C">
        <w:rPr>
          <w:lang w:val="fr-CH"/>
        </w:rPr>
        <w:t xml:space="preserve"> agissant en qualité d</w:t>
      </w:r>
      <w:r w:rsidR="0088013F" w:rsidRPr="00BF726C">
        <w:rPr>
          <w:lang w:val="fr-CH"/>
        </w:rPr>
        <w:t>’</w:t>
      </w:r>
      <w:r w:rsidR="00C928C4" w:rsidRPr="00BF726C">
        <w:rPr>
          <w:lang w:val="fr-CH"/>
        </w:rPr>
        <w:t>office récepteur</w:t>
      </w:r>
      <w:r w:rsidR="0030174B" w:rsidRPr="00BF726C">
        <w:rPr>
          <w:lang w:val="fr-CH"/>
        </w:rPr>
        <w:t xml:space="preserve">, de </w:t>
      </w:r>
      <w:r w:rsidR="00C928C4" w:rsidRPr="00BF726C">
        <w:rPr>
          <w:lang w:val="fr-CH"/>
        </w:rPr>
        <w:t>l</w:t>
      </w:r>
      <w:r w:rsidR="0088013F" w:rsidRPr="00BF726C">
        <w:rPr>
          <w:lang w:val="fr-CH"/>
        </w:rPr>
        <w:t>’</w:t>
      </w:r>
      <w:r w:rsidR="00C928C4" w:rsidRPr="00BF726C">
        <w:rPr>
          <w:lang w:val="fr-CH"/>
        </w:rPr>
        <w:t>USPTO, de l</w:t>
      </w:r>
      <w:r w:rsidR="0088013F" w:rsidRPr="00BF726C">
        <w:rPr>
          <w:lang w:val="fr-CH"/>
        </w:rPr>
        <w:t>’</w:t>
      </w:r>
      <w:r w:rsidR="00C928C4" w:rsidRPr="00BF726C">
        <w:rPr>
          <w:lang w:val="fr-CH"/>
        </w:rPr>
        <w:t>OEB (Europe),</w:t>
      </w:r>
      <w:r w:rsidR="0088013F" w:rsidRPr="00BF726C">
        <w:rPr>
          <w:lang w:val="fr-CH"/>
        </w:rPr>
        <w:t xml:space="preserve"> du JPO</w:t>
      </w:r>
      <w:r w:rsidR="0030174B" w:rsidRPr="00BF726C">
        <w:rPr>
          <w:lang w:val="fr-CH"/>
        </w:rPr>
        <w:t xml:space="preserve"> </w:t>
      </w:r>
      <w:r w:rsidR="00C928C4" w:rsidRPr="00BF726C">
        <w:rPr>
          <w:lang w:val="fr-CH"/>
        </w:rPr>
        <w:t>(</w:t>
      </w:r>
      <w:r w:rsidR="0030174B" w:rsidRPr="00BF726C">
        <w:rPr>
          <w:lang w:val="fr-CH"/>
        </w:rPr>
        <w:t>Japon</w:t>
      </w:r>
      <w:r w:rsidR="00C928C4" w:rsidRPr="00BF726C">
        <w:rPr>
          <w:lang w:val="fr-CH"/>
        </w:rPr>
        <w:t>),</w:t>
      </w:r>
      <w:r w:rsidR="0088013F" w:rsidRPr="00BF726C">
        <w:rPr>
          <w:lang w:val="fr-CH"/>
        </w:rPr>
        <w:t xml:space="preserve"> du KIP</w:t>
      </w:r>
      <w:r w:rsidR="00C928C4" w:rsidRPr="00BF726C">
        <w:rPr>
          <w:lang w:val="fr-CH"/>
        </w:rPr>
        <w:t>O (Corée), d</w:t>
      </w:r>
      <w:r w:rsidR="0088013F" w:rsidRPr="00BF726C">
        <w:rPr>
          <w:lang w:val="fr-CH"/>
        </w:rPr>
        <w:t>’</w:t>
      </w:r>
      <w:r w:rsidR="00C928C4" w:rsidRPr="00BF726C">
        <w:rPr>
          <w:lang w:val="fr-CH"/>
        </w:rPr>
        <w:t xml:space="preserve">IP </w:t>
      </w:r>
      <w:proofErr w:type="spellStart"/>
      <w:r w:rsidR="00C928C4" w:rsidRPr="00BF726C">
        <w:rPr>
          <w:lang w:val="fr-CH"/>
        </w:rPr>
        <w:t>India</w:t>
      </w:r>
      <w:proofErr w:type="spellEnd"/>
      <w:r w:rsidR="00C928C4" w:rsidRPr="00BF726C">
        <w:rPr>
          <w:lang w:val="fr-CH"/>
        </w:rPr>
        <w:t xml:space="preserve"> (</w:t>
      </w:r>
      <w:r w:rsidR="0095395D" w:rsidRPr="00BF726C">
        <w:rPr>
          <w:lang w:val="fr-CH"/>
        </w:rPr>
        <w:t>I</w:t>
      </w:r>
      <w:r w:rsidR="00C928C4" w:rsidRPr="00BF726C">
        <w:rPr>
          <w:lang w:val="fr-CH"/>
        </w:rPr>
        <w:t>nde) et</w:t>
      </w:r>
      <w:r w:rsidR="0088013F" w:rsidRPr="00BF726C">
        <w:rPr>
          <w:lang w:val="fr-CH"/>
        </w:rPr>
        <w:t xml:space="preserve"> du SIP</w:t>
      </w:r>
      <w:r w:rsidR="00C928C4" w:rsidRPr="00BF726C">
        <w:rPr>
          <w:lang w:val="fr-CH"/>
        </w:rPr>
        <w:t>O</w:t>
      </w:r>
      <w:r w:rsidR="0030174B" w:rsidRPr="00BF726C">
        <w:rPr>
          <w:lang w:val="fr-CH"/>
        </w:rPr>
        <w:t xml:space="preserve"> </w:t>
      </w:r>
      <w:r w:rsidR="00C928C4" w:rsidRPr="00BF726C">
        <w:rPr>
          <w:lang w:val="fr-CH"/>
        </w:rPr>
        <w:t>(</w:t>
      </w:r>
      <w:r w:rsidR="0030174B" w:rsidRPr="00BF726C">
        <w:rPr>
          <w:lang w:val="fr-CH"/>
        </w:rPr>
        <w:t>Chine</w:t>
      </w:r>
      <w:r w:rsidR="00C928C4" w:rsidRPr="00BF726C">
        <w:rPr>
          <w:lang w:val="fr-CH"/>
        </w:rPr>
        <w:t>)</w:t>
      </w:r>
      <w:r w:rsidR="0030174B" w:rsidRPr="00BF726C">
        <w:rPr>
          <w:lang w:val="fr-CH"/>
        </w:rPr>
        <w:t>.</w:t>
      </w:r>
      <w:r w:rsidRPr="00BF726C">
        <w:rPr>
          <w:lang w:val="fr-CH"/>
        </w:rPr>
        <w:t xml:space="preserve"> </w:t>
      </w:r>
      <w:r w:rsidR="00063D0F" w:rsidRPr="00BF726C">
        <w:rPr>
          <w:lang w:val="fr-CH"/>
        </w:rPr>
        <w:t xml:space="preserve"> </w:t>
      </w:r>
      <w:r w:rsidR="0030174B" w:rsidRPr="00BF726C">
        <w:rPr>
          <w:lang w:val="fr-CH"/>
        </w:rPr>
        <w:t>La base de données contient des archives qui remontent jusqu</w:t>
      </w:r>
      <w:r w:rsidR="0088013F" w:rsidRPr="00BF726C">
        <w:rPr>
          <w:lang w:val="fr-CH"/>
        </w:rPr>
        <w:t>’</w:t>
      </w:r>
      <w:r w:rsidR="0030174B" w:rsidRPr="00BF726C">
        <w:rPr>
          <w:lang w:val="fr-CH"/>
        </w:rPr>
        <w:t xml:space="preserve">à 1981, et chaque dossier </w:t>
      </w:r>
      <w:r w:rsidR="00C7263A" w:rsidRPr="00BF726C">
        <w:rPr>
          <w:lang w:val="fr-CH"/>
        </w:rPr>
        <w:t>possède</w:t>
      </w:r>
      <w:r w:rsidR="0030174B" w:rsidRPr="00BF726C">
        <w:rPr>
          <w:lang w:val="fr-CH"/>
        </w:rPr>
        <w:t xml:space="preserve"> un</w:t>
      </w:r>
      <w:r w:rsidR="00C7263A" w:rsidRPr="00BF726C">
        <w:rPr>
          <w:lang w:val="fr-CH"/>
        </w:rPr>
        <w:t>e</w:t>
      </w:r>
      <w:r w:rsidR="0030174B" w:rsidRPr="00BF726C">
        <w:rPr>
          <w:lang w:val="fr-CH"/>
        </w:rPr>
        <w:t xml:space="preserve"> </w:t>
      </w:r>
      <w:r w:rsidR="00A64FE9" w:rsidRPr="00BF726C">
        <w:rPr>
          <w:lang w:val="fr-CH"/>
        </w:rPr>
        <w:t>terminologie</w:t>
      </w:r>
      <w:r w:rsidR="0030174B" w:rsidRPr="00BF726C">
        <w:rPr>
          <w:lang w:val="fr-CH"/>
        </w:rPr>
        <w:t xml:space="preserve"> normalisée et des données bibliographiques, des titres enrichis, des abrégés en anglais et des données sur les séquences saisies manuellement.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7" w:name="Code2"/>
    <w:bookmarkEnd w:id="7"/>
    <w:r>
      <w:t>PCT/CTC/30</w:t>
    </w:r>
    <w:r w:rsidR="0006103C">
      <w:t>/5</w:t>
    </w:r>
  </w:p>
  <w:p w:rsidR="00EC4E49" w:rsidRDefault="00EC4E49" w:rsidP="00477D6B">
    <w:pPr>
      <w:jc w:val="right"/>
    </w:pPr>
    <w:proofErr w:type="gramStart"/>
    <w:r>
      <w:t>page</w:t>
    </w:r>
    <w:proofErr w:type="gramEnd"/>
    <w:r w:rsidR="0095395D">
      <w:t> </w:t>
    </w:r>
    <w:r>
      <w:fldChar w:fldCharType="begin"/>
    </w:r>
    <w:r>
      <w:instrText xml:space="preserve"> PAGE  \* MERGEFORMAT </w:instrText>
    </w:r>
    <w:r>
      <w:fldChar w:fldCharType="separate"/>
    </w:r>
    <w:r w:rsidR="00BF726C">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06103C">
      <w:rPr>
        <w:lang w:val="fr-FR"/>
      </w:rPr>
      <w:t>/5</w:t>
    </w:r>
  </w:p>
  <w:p w:rsidR="00AA5F79" w:rsidRPr="00AA5F79" w:rsidRDefault="00AA5F79" w:rsidP="00477D6B">
    <w:pPr>
      <w:jc w:val="right"/>
      <w:rPr>
        <w:lang w:val="fr-FR"/>
      </w:rPr>
    </w:pPr>
    <w:r w:rsidRPr="00AA5F79">
      <w:rPr>
        <w:lang w:val="fr-FR"/>
      </w:rPr>
      <w:t>Annex</w:t>
    </w:r>
    <w:r w:rsidR="00A64FE9">
      <w:rPr>
        <w:lang w:val="fr-FR"/>
      </w:rPr>
      <w:t>e</w:t>
    </w:r>
    <w:r w:rsidRPr="00AA5F79">
      <w:rPr>
        <w:lang w:val="fr-FR"/>
      </w:rPr>
      <w:t>, page</w:t>
    </w:r>
    <w:r w:rsidR="009B5DE4">
      <w:rPr>
        <w:lang w:val="fr-FR"/>
      </w:rPr>
      <w:t> </w:t>
    </w:r>
    <w:r>
      <w:fldChar w:fldCharType="begin"/>
    </w:r>
    <w:r w:rsidRPr="00AA5F79">
      <w:rPr>
        <w:lang w:val="fr-FR"/>
      </w:rPr>
      <w:instrText xml:space="preserve"> PAGE  \* MERGEFORMAT </w:instrText>
    </w:r>
    <w:r>
      <w:fldChar w:fldCharType="separate"/>
    </w:r>
    <w:r w:rsidR="00C40D23">
      <w:rPr>
        <w:noProof/>
        <w:lang w:val="fr-FR"/>
      </w:rPr>
      <w:t>4</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06103C">
      <w:t>/5</w:t>
    </w:r>
  </w:p>
  <w:p w:rsidR="00AA5F79" w:rsidRDefault="00AA5F79" w:rsidP="00AA5F79">
    <w:pPr>
      <w:pStyle w:val="Header"/>
      <w:jc w:val="right"/>
    </w:pPr>
    <w:r>
      <w:t>ANNEX</w:t>
    </w:r>
    <w:r w:rsidR="00BF726C">
      <w:t>E</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3"/>
    <w:multiLevelType w:val="singleLevel"/>
    <w:tmpl w:val="00000003"/>
    <w:name w:val="WW8Num9"/>
    <w:lvl w:ilvl="0">
      <w:start w:val="1"/>
      <w:numFmt w:val="bullet"/>
      <w:lvlText w:val=""/>
      <w:lvlJc w:val="left"/>
      <w:pPr>
        <w:tabs>
          <w:tab w:val="num" w:pos="360"/>
        </w:tabs>
      </w:pPr>
      <w:rPr>
        <w:rFonts w:ascii="Symbol" w:hAnsi="Symbol"/>
      </w:rPr>
    </w:lvl>
  </w:abstractNum>
  <w:abstractNum w:abstractNumId="2">
    <w:nsid w:val="00000004"/>
    <w:multiLevelType w:val="singleLevel"/>
    <w:tmpl w:val="00000004"/>
    <w:name w:val="WW8Num10"/>
    <w:lvl w:ilvl="0">
      <w:start w:val="1"/>
      <w:numFmt w:val="bullet"/>
      <w:lvlText w:val=""/>
      <w:lvlJc w:val="left"/>
      <w:pPr>
        <w:tabs>
          <w:tab w:val="num" w:pos="360"/>
        </w:tabs>
      </w:pPr>
      <w:rPr>
        <w:rFonts w:ascii="Symbol" w:hAnsi="Symbol"/>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pStyle w:val="Level1"/>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432C30"/>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8"/>
  </w:num>
  <w:num w:numId="5">
    <w:abstractNumId w:val="3"/>
  </w:num>
  <w:num w:numId="6">
    <w:abstractNumId w:val="5"/>
  </w:num>
  <w:num w:numId="7">
    <w:abstractNumId w:val="1"/>
  </w:num>
  <w:num w:numId="8">
    <w:abstractNumId w:val="2"/>
  </w:num>
  <w:num w:numId="9">
    <w:abstractNumId w:val="1"/>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C650A4"/>
    <w:rsid w:val="00011582"/>
    <w:rsid w:val="00012B31"/>
    <w:rsid w:val="00043CAA"/>
    <w:rsid w:val="00044086"/>
    <w:rsid w:val="00053CFA"/>
    <w:rsid w:val="0006103C"/>
    <w:rsid w:val="00063D0F"/>
    <w:rsid w:val="00075432"/>
    <w:rsid w:val="000968ED"/>
    <w:rsid w:val="000B23A4"/>
    <w:rsid w:val="000F5E56"/>
    <w:rsid w:val="00130C76"/>
    <w:rsid w:val="0013141F"/>
    <w:rsid w:val="001362EE"/>
    <w:rsid w:val="00156949"/>
    <w:rsid w:val="001832A6"/>
    <w:rsid w:val="002034AB"/>
    <w:rsid w:val="0021217E"/>
    <w:rsid w:val="00254054"/>
    <w:rsid w:val="002634C4"/>
    <w:rsid w:val="002745B5"/>
    <w:rsid w:val="00275A52"/>
    <w:rsid w:val="0029201C"/>
    <w:rsid w:val="002928D3"/>
    <w:rsid w:val="002F1FE6"/>
    <w:rsid w:val="002F4E68"/>
    <w:rsid w:val="0030174B"/>
    <w:rsid w:val="00310DF5"/>
    <w:rsid w:val="00312F7F"/>
    <w:rsid w:val="00317252"/>
    <w:rsid w:val="003313A1"/>
    <w:rsid w:val="0035027E"/>
    <w:rsid w:val="00361450"/>
    <w:rsid w:val="003673CF"/>
    <w:rsid w:val="003845C1"/>
    <w:rsid w:val="003A4004"/>
    <w:rsid w:val="003A6F89"/>
    <w:rsid w:val="003B38C1"/>
    <w:rsid w:val="003F63B7"/>
    <w:rsid w:val="00423E3E"/>
    <w:rsid w:val="00427AF4"/>
    <w:rsid w:val="00446568"/>
    <w:rsid w:val="004647DA"/>
    <w:rsid w:val="00474062"/>
    <w:rsid w:val="00477D6B"/>
    <w:rsid w:val="004F74E6"/>
    <w:rsid w:val="005019FF"/>
    <w:rsid w:val="0053057A"/>
    <w:rsid w:val="00560A29"/>
    <w:rsid w:val="00571288"/>
    <w:rsid w:val="005C4003"/>
    <w:rsid w:val="005C40A3"/>
    <w:rsid w:val="005C6649"/>
    <w:rsid w:val="005F7712"/>
    <w:rsid w:val="00605827"/>
    <w:rsid w:val="0064220B"/>
    <w:rsid w:val="00646050"/>
    <w:rsid w:val="00665F7D"/>
    <w:rsid w:val="006713CA"/>
    <w:rsid w:val="00676C5C"/>
    <w:rsid w:val="00677E1D"/>
    <w:rsid w:val="00691E79"/>
    <w:rsid w:val="00752FD3"/>
    <w:rsid w:val="0078315A"/>
    <w:rsid w:val="007866FA"/>
    <w:rsid w:val="007D1613"/>
    <w:rsid w:val="007E4C0E"/>
    <w:rsid w:val="00837953"/>
    <w:rsid w:val="00865E9D"/>
    <w:rsid w:val="0088013F"/>
    <w:rsid w:val="008B2CC1"/>
    <w:rsid w:val="008B50A2"/>
    <w:rsid w:val="008B60B2"/>
    <w:rsid w:val="008E3E9B"/>
    <w:rsid w:val="0090731E"/>
    <w:rsid w:val="009110C9"/>
    <w:rsid w:val="00914D7C"/>
    <w:rsid w:val="00916EE2"/>
    <w:rsid w:val="0095395D"/>
    <w:rsid w:val="00966A22"/>
    <w:rsid w:val="0096722F"/>
    <w:rsid w:val="009754E9"/>
    <w:rsid w:val="00980843"/>
    <w:rsid w:val="0098415E"/>
    <w:rsid w:val="009B5DE4"/>
    <w:rsid w:val="009E2791"/>
    <w:rsid w:val="009E3F6F"/>
    <w:rsid w:val="009F499F"/>
    <w:rsid w:val="00A267F1"/>
    <w:rsid w:val="00A42DAF"/>
    <w:rsid w:val="00A4588A"/>
    <w:rsid w:val="00A45BD8"/>
    <w:rsid w:val="00A64FE9"/>
    <w:rsid w:val="00A67EB4"/>
    <w:rsid w:val="00A869B7"/>
    <w:rsid w:val="00A93FC2"/>
    <w:rsid w:val="00AA5F79"/>
    <w:rsid w:val="00AC205C"/>
    <w:rsid w:val="00AE7F7F"/>
    <w:rsid w:val="00AF0A6B"/>
    <w:rsid w:val="00B05A69"/>
    <w:rsid w:val="00B2133A"/>
    <w:rsid w:val="00B63BF1"/>
    <w:rsid w:val="00B9734B"/>
    <w:rsid w:val="00BA30E2"/>
    <w:rsid w:val="00BD078D"/>
    <w:rsid w:val="00BE40A7"/>
    <w:rsid w:val="00BE7085"/>
    <w:rsid w:val="00BF726C"/>
    <w:rsid w:val="00C11BFE"/>
    <w:rsid w:val="00C37C03"/>
    <w:rsid w:val="00C40D23"/>
    <w:rsid w:val="00C5068F"/>
    <w:rsid w:val="00C61E24"/>
    <w:rsid w:val="00C6342D"/>
    <w:rsid w:val="00C650A4"/>
    <w:rsid w:val="00C7263A"/>
    <w:rsid w:val="00C928C4"/>
    <w:rsid w:val="00CD04F1"/>
    <w:rsid w:val="00D45252"/>
    <w:rsid w:val="00D462CB"/>
    <w:rsid w:val="00D71B4D"/>
    <w:rsid w:val="00D85AF5"/>
    <w:rsid w:val="00D90DC0"/>
    <w:rsid w:val="00D93D55"/>
    <w:rsid w:val="00DC6AB3"/>
    <w:rsid w:val="00E15015"/>
    <w:rsid w:val="00E158B0"/>
    <w:rsid w:val="00E335FE"/>
    <w:rsid w:val="00E82D0C"/>
    <w:rsid w:val="00EB38B5"/>
    <w:rsid w:val="00EC4E49"/>
    <w:rsid w:val="00ED120F"/>
    <w:rsid w:val="00ED77FB"/>
    <w:rsid w:val="00EE45FA"/>
    <w:rsid w:val="00F4498E"/>
    <w:rsid w:val="00F66152"/>
    <w:rsid w:val="00FA4CE0"/>
    <w:rsid w:val="00FC28E1"/>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103C"/>
    <w:pPr>
      <w:keepNext/>
      <w:spacing w:before="240" w:after="180"/>
      <w:outlineLvl w:val="0"/>
    </w:pPr>
    <w:rPr>
      <w:rFonts w:ascii="Arial Bold" w:hAnsi="Arial Bold"/>
      <w:b/>
      <w:bC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317252"/>
    <w:pPr>
      <w:keepNext/>
      <w:spacing w:before="240" w:after="60"/>
      <w:outlineLvl w:val="2"/>
    </w:pPr>
    <w:rPr>
      <w:bCs/>
      <w:i/>
      <w:szCs w:val="26"/>
      <w:lang w:val="en-GB"/>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FootnoteReference">
    <w:name w:val="footnote reference"/>
    <w:rsid w:val="0006103C"/>
    <w:rPr>
      <w:vertAlign w:val="superscript"/>
    </w:rPr>
  </w:style>
  <w:style w:type="paragraph" w:customStyle="1" w:styleId="Level1">
    <w:name w:val="Level 1"/>
    <w:basedOn w:val="Normal"/>
    <w:rsid w:val="0006103C"/>
    <w:pPr>
      <w:widowControl w:val="0"/>
      <w:numPr>
        <w:numId w:val="1"/>
      </w:numPr>
      <w:suppressAutoHyphens/>
      <w:outlineLvl w:val="0"/>
    </w:pPr>
    <w:rPr>
      <w:rFonts w:ascii="Times New Roman" w:eastAsia="Times New Roman" w:hAnsi="Times New Roman" w:cs="Times New Roman"/>
      <w:sz w:val="24"/>
      <w:lang w:eastAsia="en-US"/>
    </w:rPr>
  </w:style>
  <w:style w:type="paragraph" w:customStyle="1" w:styleId="a">
    <w:name w:val="_"/>
    <w:basedOn w:val="Normal"/>
    <w:rsid w:val="0006103C"/>
    <w:pPr>
      <w:widowControl w:val="0"/>
      <w:suppressAutoHyphens/>
      <w:ind w:left="1080" w:hanging="360"/>
    </w:pPr>
    <w:rPr>
      <w:rFonts w:ascii="Times New Roman" w:eastAsia="Times New Roman" w:hAnsi="Times New Roman" w:cs="Times New Roman"/>
      <w:sz w:val="24"/>
      <w:lang w:eastAsia="en-US"/>
    </w:rPr>
  </w:style>
  <w:style w:type="paragraph" w:customStyle="1" w:styleId="Corpodotexto">
    <w:name w:val="Corpo do texto"/>
    <w:basedOn w:val="Normal"/>
    <w:rsid w:val="0006103C"/>
    <w:pPr>
      <w:widowControl w:val="0"/>
      <w:suppressAutoHyphens/>
      <w:spacing w:after="120" w:line="276" w:lineRule="auto"/>
    </w:pPr>
    <w:rPr>
      <w:rFonts w:ascii="Times New Roman" w:eastAsia="Arial Unicode MS" w:hAnsi="Times New Roman" w:cs="Tahoma"/>
      <w:sz w:val="24"/>
      <w:szCs w:val="24"/>
      <w:lang w:val="pt-BR" w:eastAsia="pt-BR"/>
    </w:rPr>
  </w:style>
  <w:style w:type="character" w:customStyle="1" w:styleId="Heading1Char">
    <w:name w:val="Heading 1 Char"/>
    <w:link w:val="Heading1"/>
    <w:rsid w:val="0006103C"/>
    <w:rPr>
      <w:rFonts w:ascii="Arial Bold" w:eastAsia="SimSun" w:hAnsi="Arial Bold" w:cs="Arial"/>
      <w:b/>
      <w:bCs/>
      <w:kern w:val="32"/>
      <w:sz w:val="22"/>
      <w:szCs w:val="32"/>
      <w:lang w:eastAsia="zh-CN"/>
    </w:rPr>
  </w:style>
  <w:style w:type="character" w:customStyle="1" w:styleId="FootnoteTextChar">
    <w:name w:val="Footnote Text Char"/>
    <w:link w:val="FootnoteText"/>
    <w:semiHidden/>
    <w:rsid w:val="0006103C"/>
    <w:rPr>
      <w:rFonts w:ascii="Arial" w:eastAsia="SimSun" w:hAnsi="Arial" w:cs="Arial"/>
      <w:sz w:val="18"/>
      <w:lang w:eastAsia="zh-CN"/>
    </w:rPr>
  </w:style>
  <w:style w:type="paragraph" w:styleId="ListParagraph">
    <w:name w:val="List Paragraph"/>
    <w:basedOn w:val="Normal"/>
    <w:uiPriority w:val="34"/>
    <w:qFormat/>
    <w:rsid w:val="0006103C"/>
    <w:pPr>
      <w:ind w:left="720"/>
    </w:pPr>
    <w:rPr>
      <w:rFonts w:ascii="Times New Roman" w:eastAsia="Times New Roman" w:hAnsi="Times New Roman" w:cs="Times New Roman"/>
      <w:sz w:val="24"/>
      <w:lang w:eastAsia="en-US"/>
    </w:rPr>
  </w:style>
  <w:style w:type="character" w:styleId="Hyperlink">
    <w:name w:val="Hyperlink"/>
    <w:basedOn w:val="DefaultParagraphFont"/>
    <w:rsid w:val="00DC6A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06103C"/>
    <w:pPr>
      <w:keepNext/>
      <w:spacing w:before="240" w:after="180"/>
      <w:outlineLvl w:val="0"/>
    </w:pPr>
    <w:rPr>
      <w:rFonts w:ascii="Arial Bold" w:hAnsi="Arial Bold"/>
      <w:b/>
      <w:bC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317252"/>
    <w:pPr>
      <w:keepNext/>
      <w:spacing w:before="240" w:after="60"/>
      <w:outlineLvl w:val="2"/>
    </w:pPr>
    <w:rPr>
      <w:bCs/>
      <w:i/>
      <w:szCs w:val="26"/>
      <w:lang w:val="en-GB"/>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FootnoteReference">
    <w:name w:val="footnote reference"/>
    <w:rsid w:val="0006103C"/>
    <w:rPr>
      <w:vertAlign w:val="superscript"/>
    </w:rPr>
  </w:style>
  <w:style w:type="paragraph" w:customStyle="1" w:styleId="Level1">
    <w:name w:val="Level 1"/>
    <w:basedOn w:val="Normal"/>
    <w:rsid w:val="0006103C"/>
    <w:pPr>
      <w:widowControl w:val="0"/>
      <w:numPr>
        <w:numId w:val="1"/>
      </w:numPr>
      <w:suppressAutoHyphens/>
      <w:outlineLvl w:val="0"/>
    </w:pPr>
    <w:rPr>
      <w:rFonts w:ascii="Times New Roman" w:eastAsia="Times New Roman" w:hAnsi="Times New Roman" w:cs="Times New Roman"/>
      <w:sz w:val="24"/>
      <w:lang w:eastAsia="en-US"/>
    </w:rPr>
  </w:style>
  <w:style w:type="paragraph" w:customStyle="1" w:styleId="a">
    <w:name w:val="_"/>
    <w:basedOn w:val="Normal"/>
    <w:rsid w:val="0006103C"/>
    <w:pPr>
      <w:widowControl w:val="0"/>
      <w:suppressAutoHyphens/>
      <w:ind w:left="1080" w:hanging="360"/>
    </w:pPr>
    <w:rPr>
      <w:rFonts w:ascii="Times New Roman" w:eastAsia="Times New Roman" w:hAnsi="Times New Roman" w:cs="Times New Roman"/>
      <w:sz w:val="24"/>
      <w:lang w:eastAsia="en-US"/>
    </w:rPr>
  </w:style>
  <w:style w:type="paragraph" w:customStyle="1" w:styleId="Corpodotexto">
    <w:name w:val="Corpo do texto"/>
    <w:basedOn w:val="Normal"/>
    <w:rsid w:val="0006103C"/>
    <w:pPr>
      <w:widowControl w:val="0"/>
      <w:suppressAutoHyphens/>
      <w:spacing w:after="120" w:line="276" w:lineRule="auto"/>
    </w:pPr>
    <w:rPr>
      <w:rFonts w:ascii="Times New Roman" w:eastAsia="Arial Unicode MS" w:hAnsi="Times New Roman" w:cs="Tahoma"/>
      <w:sz w:val="24"/>
      <w:szCs w:val="24"/>
      <w:lang w:val="pt-BR" w:eastAsia="pt-BR"/>
    </w:rPr>
  </w:style>
  <w:style w:type="character" w:customStyle="1" w:styleId="Heading1Char">
    <w:name w:val="Heading 1 Char"/>
    <w:link w:val="Heading1"/>
    <w:rsid w:val="0006103C"/>
    <w:rPr>
      <w:rFonts w:ascii="Arial Bold" w:eastAsia="SimSun" w:hAnsi="Arial Bold" w:cs="Arial"/>
      <w:b/>
      <w:bCs/>
      <w:kern w:val="32"/>
      <w:sz w:val="22"/>
      <w:szCs w:val="32"/>
      <w:lang w:eastAsia="zh-CN"/>
    </w:rPr>
  </w:style>
  <w:style w:type="character" w:customStyle="1" w:styleId="FootnoteTextChar">
    <w:name w:val="Footnote Text Char"/>
    <w:link w:val="FootnoteText"/>
    <w:semiHidden/>
    <w:rsid w:val="0006103C"/>
    <w:rPr>
      <w:rFonts w:ascii="Arial" w:eastAsia="SimSun" w:hAnsi="Arial" w:cs="Arial"/>
      <w:sz w:val="18"/>
      <w:lang w:eastAsia="zh-CN"/>
    </w:rPr>
  </w:style>
  <w:style w:type="paragraph" w:styleId="ListParagraph">
    <w:name w:val="List Paragraph"/>
    <w:basedOn w:val="Normal"/>
    <w:uiPriority w:val="34"/>
    <w:qFormat/>
    <w:rsid w:val="0006103C"/>
    <w:pPr>
      <w:ind w:left="720"/>
    </w:pPr>
    <w:rPr>
      <w:rFonts w:ascii="Times New Roman" w:eastAsia="Times New Roman" w:hAnsi="Times New Roman" w:cs="Times New Roman"/>
      <w:sz w:val="24"/>
      <w:lang w:eastAsia="en-US"/>
    </w:rPr>
  </w:style>
  <w:style w:type="character" w:styleId="Hyperlink">
    <w:name w:val="Hyperlink"/>
    <w:basedOn w:val="DefaultParagraphFont"/>
    <w:rsid w:val="00DC6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0ECF-6331-4E6D-9A22-C9726512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1</TotalTime>
  <Pages>7</Pages>
  <Words>2963</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PCT/CTC/30/5</vt:lpstr>
    </vt:vector>
  </TitlesOfParts>
  <Company>WIPO</Company>
  <LinksUpToDate>false</LinksUpToDate>
  <CharactersWithSpaces>19738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PCT/CTC/30/5</dc:title>
  <dc:subject>Extension of Appointment of the National Institute of Industrial Property of Brazil as an International Searching and Preliminary Examining Authority Under the PCT</dc:subject>
  <dc:creator>MARLOW Thomas</dc:creator>
  <cp:keywords>LC/ko</cp:keywords>
  <cp:lastModifiedBy>MARLOW Thomas</cp:lastModifiedBy>
  <cp:revision>2</cp:revision>
  <cp:lastPrinted>2017-03-24T12:29:00Z</cp:lastPrinted>
  <dcterms:created xsi:type="dcterms:W3CDTF">2017-03-27T13:30:00Z</dcterms:created>
  <dcterms:modified xsi:type="dcterms:W3CDTF">2017-03-27T13:30:00Z</dcterms:modified>
</cp:coreProperties>
</file>