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5151E" w:rsidRPr="00001599" w:rsidTr="0039012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5151E" w:rsidRPr="00001599" w:rsidRDefault="0025151E" w:rsidP="0039012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151E" w:rsidRPr="00001599" w:rsidRDefault="0025151E" w:rsidP="00390128">
            <w:pPr>
              <w:rPr>
                <w:lang w:val="fr-FR"/>
              </w:rPr>
            </w:pPr>
            <w:r w:rsidRPr="00001599">
              <w:rPr>
                <w:noProof/>
                <w:lang w:eastAsia="en-US"/>
              </w:rPr>
              <w:drawing>
                <wp:inline distT="0" distB="0" distL="0" distR="0" wp14:anchorId="7955766E" wp14:editId="5EAD565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151E" w:rsidRPr="00001599" w:rsidRDefault="0025151E" w:rsidP="00390128">
            <w:pPr>
              <w:jc w:val="right"/>
              <w:rPr>
                <w:lang w:val="fr-FR"/>
              </w:rPr>
            </w:pPr>
            <w:r w:rsidRPr="0000159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5151E" w:rsidRPr="00001599" w:rsidTr="0039012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5151E" w:rsidRPr="00001599" w:rsidRDefault="0025151E" w:rsidP="00841C9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01599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="00841C9B" w:rsidRPr="00001599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25151E" w:rsidRPr="00001599" w:rsidTr="003901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5151E" w:rsidRPr="00001599" w:rsidRDefault="0025151E" w:rsidP="003901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0159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73D89" w:rsidRPr="0000159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015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00159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5151E" w:rsidRPr="00001599" w:rsidTr="003901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5151E" w:rsidRPr="00001599" w:rsidRDefault="0025151E" w:rsidP="0039012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0159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73D89" w:rsidRPr="0000159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015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001599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73D89" w:rsidRPr="00001599">
              <w:rPr>
                <w:rFonts w:ascii="Arial Black" w:hAnsi="Arial Black"/>
                <w:caps/>
                <w:sz w:val="15"/>
                <w:lang w:val="fr-FR"/>
              </w:rPr>
              <w:t>6 mars 20</w:t>
            </w:r>
            <w:r w:rsidRPr="00001599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</w:tbl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b/>
          <w:sz w:val="28"/>
          <w:szCs w:val="28"/>
          <w:lang w:val="fr-FR"/>
        </w:rPr>
      </w:pPr>
      <w:r w:rsidRPr="00001599">
        <w:rPr>
          <w:b/>
          <w:sz w:val="28"/>
          <w:szCs w:val="28"/>
          <w:lang w:val="fr-FR"/>
        </w:rPr>
        <w:t>Traité de coopération en matière de brevets (PCT)</w:t>
      </w:r>
    </w:p>
    <w:p w:rsidR="0025151E" w:rsidRPr="00001599" w:rsidRDefault="0025151E" w:rsidP="0025151E">
      <w:pPr>
        <w:rPr>
          <w:b/>
          <w:sz w:val="28"/>
          <w:szCs w:val="28"/>
          <w:lang w:val="fr-FR"/>
        </w:rPr>
      </w:pPr>
      <w:r w:rsidRPr="00001599">
        <w:rPr>
          <w:b/>
          <w:sz w:val="28"/>
          <w:szCs w:val="28"/>
          <w:lang w:val="fr-FR"/>
        </w:rPr>
        <w:t>Comité de coopération technique</w:t>
      </w: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b/>
          <w:sz w:val="24"/>
          <w:szCs w:val="24"/>
          <w:lang w:val="fr-FR"/>
        </w:rPr>
      </w:pPr>
      <w:r w:rsidRPr="00001599">
        <w:rPr>
          <w:b/>
          <w:sz w:val="24"/>
          <w:szCs w:val="24"/>
          <w:lang w:val="fr-FR"/>
        </w:rPr>
        <w:t>Trent</w:t>
      </w:r>
      <w:r w:rsidR="00473D89" w:rsidRPr="00001599">
        <w:rPr>
          <w:b/>
          <w:sz w:val="24"/>
          <w:szCs w:val="24"/>
          <w:lang w:val="fr-FR"/>
        </w:rPr>
        <w:t>ième session</w:t>
      </w:r>
    </w:p>
    <w:p w:rsidR="0025151E" w:rsidRPr="00001599" w:rsidRDefault="0025151E" w:rsidP="0025151E">
      <w:pPr>
        <w:rPr>
          <w:b/>
          <w:sz w:val="24"/>
          <w:szCs w:val="24"/>
          <w:lang w:val="fr-FR"/>
        </w:rPr>
      </w:pPr>
      <w:r w:rsidRPr="00001599">
        <w:rPr>
          <w:b/>
          <w:sz w:val="24"/>
          <w:szCs w:val="24"/>
          <w:lang w:val="fr-FR"/>
        </w:rPr>
        <w:t>Genève, 8 – 1</w:t>
      </w:r>
      <w:r w:rsidR="00473D89" w:rsidRPr="00001599">
        <w:rPr>
          <w:b/>
          <w:sz w:val="24"/>
          <w:szCs w:val="24"/>
          <w:lang w:val="fr-FR"/>
        </w:rPr>
        <w:t>2 mai 20</w:t>
      </w:r>
      <w:r w:rsidRPr="00001599">
        <w:rPr>
          <w:b/>
          <w:sz w:val="24"/>
          <w:szCs w:val="24"/>
          <w:lang w:val="fr-FR"/>
        </w:rPr>
        <w:t>17</w:t>
      </w: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25151E" w:rsidRPr="00001599" w:rsidRDefault="0025151E" w:rsidP="0025151E">
      <w:pPr>
        <w:rPr>
          <w:lang w:val="fr-FR"/>
        </w:rPr>
      </w:pPr>
    </w:p>
    <w:p w:rsidR="008B2CC1" w:rsidRPr="00C70421" w:rsidRDefault="00390128" w:rsidP="00E93C4E">
      <w:pPr>
        <w:rPr>
          <w:caps/>
          <w:sz w:val="24"/>
          <w:lang w:val="fr-FR"/>
        </w:rPr>
      </w:pPr>
      <w:r w:rsidRPr="00C70421">
        <w:rPr>
          <w:caps/>
          <w:sz w:val="24"/>
          <w:lang w:val="fr-FR"/>
        </w:rPr>
        <w:t>Prolongation de la nomination</w:t>
      </w:r>
      <w:r w:rsidR="00C650A4" w:rsidRPr="00C70421">
        <w:rPr>
          <w:caps/>
          <w:sz w:val="24"/>
          <w:lang w:val="fr-FR"/>
        </w:rPr>
        <w:t xml:space="preserve"> </w:t>
      </w:r>
      <w:r w:rsidR="00583FBF" w:rsidRPr="00C70421">
        <w:rPr>
          <w:caps/>
          <w:sz w:val="24"/>
          <w:lang w:val="fr-FR"/>
        </w:rPr>
        <w:t>de l</w:t>
      </w:r>
      <w:r w:rsidR="00473D89" w:rsidRPr="00C70421">
        <w:rPr>
          <w:caps/>
          <w:sz w:val="24"/>
          <w:lang w:val="fr-FR"/>
        </w:rPr>
        <w:t>’</w:t>
      </w:r>
      <w:r w:rsidR="00001599">
        <w:rPr>
          <w:caps/>
          <w:sz w:val="24"/>
          <w:lang w:val="fr-FR"/>
        </w:rPr>
        <w:t>O</w:t>
      </w:r>
      <w:r w:rsidR="00583FBF" w:rsidRPr="00C70421">
        <w:rPr>
          <w:caps/>
          <w:sz w:val="24"/>
          <w:lang w:val="fr-FR"/>
        </w:rPr>
        <w:t>ffice de la propriété intellectuelle</w:t>
      </w:r>
      <w:r w:rsidR="00473D89" w:rsidRPr="00C70421">
        <w:rPr>
          <w:caps/>
          <w:sz w:val="24"/>
          <w:lang w:val="fr-FR"/>
        </w:rPr>
        <w:t xml:space="preserve"> du C</w:t>
      </w:r>
      <w:r w:rsidR="00001599">
        <w:rPr>
          <w:caps/>
          <w:sz w:val="24"/>
          <w:lang w:val="fr-FR"/>
        </w:rPr>
        <w:t>anada</w:t>
      </w:r>
      <w:r w:rsidR="003A68DD" w:rsidRPr="00C70421">
        <w:rPr>
          <w:caps/>
          <w:sz w:val="24"/>
          <w:lang w:val="fr-FR"/>
        </w:rPr>
        <w:t xml:space="preserve"> </w:t>
      </w:r>
      <w:r w:rsidRPr="00C70421">
        <w:rPr>
          <w:caps/>
          <w:sz w:val="24"/>
          <w:lang w:val="fr-FR"/>
        </w:rPr>
        <w:t>en qualité d</w:t>
      </w:r>
      <w:r w:rsidR="00473D89" w:rsidRPr="00C70421">
        <w:rPr>
          <w:caps/>
          <w:sz w:val="24"/>
          <w:lang w:val="fr-FR"/>
        </w:rPr>
        <w:t>’</w:t>
      </w:r>
      <w:r w:rsidR="00E93C4E">
        <w:rPr>
          <w:caps/>
          <w:sz w:val="24"/>
          <w:lang w:val="fr-FR"/>
        </w:rPr>
        <w:t>administration chargée de </w:t>
      </w:r>
      <w:r w:rsidR="00583FBF" w:rsidRPr="00C70421">
        <w:rPr>
          <w:caps/>
          <w:sz w:val="24"/>
          <w:lang w:val="fr-FR"/>
        </w:rPr>
        <w:t>la recherch</w:t>
      </w:r>
      <w:r w:rsidRPr="00C70421">
        <w:rPr>
          <w:caps/>
          <w:sz w:val="24"/>
          <w:lang w:val="fr-FR"/>
        </w:rPr>
        <w:t>e</w:t>
      </w:r>
      <w:r w:rsidR="00C37C03" w:rsidRPr="00C70421">
        <w:rPr>
          <w:caps/>
          <w:sz w:val="24"/>
          <w:lang w:val="fr-FR"/>
        </w:rPr>
        <w:t> International</w:t>
      </w:r>
      <w:r w:rsidR="00583FBF" w:rsidRPr="00C70421">
        <w:rPr>
          <w:caps/>
          <w:sz w:val="24"/>
          <w:lang w:val="fr-FR"/>
        </w:rPr>
        <w:t>e</w:t>
      </w:r>
      <w:r w:rsidR="00C37C03" w:rsidRPr="00C70421">
        <w:rPr>
          <w:caps/>
          <w:sz w:val="24"/>
          <w:lang w:val="fr-FR"/>
        </w:rPr>
        <w:t> </w:t>
      </w:r>
      <w:r w:rsidR="00583FBF" w:rsidRPr="00C70421">
        <w:rPr>
          <w:caps/>
          <w:sz w:val="24"/>
          <w:lang w:val="fr-FR"/>
        </w:rPr>
        <w:t>et de l</w:t>
      </w:r>
      <w:r w:rsidR="00473D89" w:rsidRPr="00C70421">
        <w:rPr>
          <w:caps/>
          <w:sz w:val="24"/>
          <w:lang w:val="fr-FR"/>
        </w:rPr>
        <w:t>’</w:t>
      </w:r>
      <w:r w:rsidR="00583FBF" w:rsidRPr="00C70421">
        <w:rPr>
          <w:caps/>
          <w:sz w:val="24"/>
          <w:lang w:val="fr-FR"/>
        </w:rPr>
        <w:t>examen préliminaire international</w:t>
      </w:r>
      <w:r w:rsidR="00C37C03" w:rsidRPr="00C70421">
        <w:rPr>
          <w:caps/>
          <w:sz w:val="24"/>
          <w:lang w:val="fr-FR"/>
        </w:rPr>
        <w:t xml:space="preserve"> </w:t>
      </w:r>
      <w:r w:rsidR="00583FBF" w:rsidRPr="00C70421">
        <w:rPr>
          <w:caps/>
          <w:sz w:val="24"/>
          <w:lang w:val="fr-FR"/>
        </w:rPr>
        <w:t>selon</w:t>
      </w:r>
      <w:r w:rsidR="00473D89" w:rsidRPr="00C70421">
        <w:rPr>
          <w:caps/>
          <w:sz w:val="24"/>
          <w:lang w:val="fr-FR"/>
        </w:rPr>
        <w:t xml:space="preserve"> le PCT</w:t>
      </w:r>
    </w:p>
    <w:p w:rsidR="008B2CC1" w:rsidRPr="00C70421" w:rsidRDefault="008B2CC1" w:rsidP="00E93C4E">
      <w:pPr>
        <w:rPr>
          <w:lang w:val="fr-FR"/>
        </w:rPr>
      </w:pPr>
    </w:p>
    <w:p w:rsidR="008B2CC1" w:rsidRPr="00C70421" w:rsidRDefault="00C650A4" w:rsidP="00E93C4E">
      <w:pPr>
        <w:rPr>
          <w:i/>
          <w:lang w:val="fr-FR"/>
        </w:rPr>
      </w:pPr>
      <w:bookmarkStart w:id="4" w:name="Prepared"/>
      <w:bookmarkEnd w:id="4"/>
      <w:r w:rsidRPr="00C70421">
        <w:rPr>
          <w:i/>
          <w:lang w:val="fr-FR"/>
        </w:rPr>
        <w:t xml:space="preserve">Document </w:t>
      </w:r>
      <w:r w:rsidR="00583FBF" w:rsidRPr="00C70421">
        <w:rPr>
          <w:i/>
          <w:lang w:val="fr-FR"/>
        </w:rPr>
        <w:t>établi par le</w:t>
      </w:r>
      <w:r w:rsidRPr="00C70421">
        <w:rPr>
          <w:i/>
          <w:lang w:val="fr-FR"/>
        </w:rPr>
        <w:t xml:space="preserve"> Bureau</w:t>
      </w:r>
      <w:r w:rsidR="00583FBF" w:rsidRPr="00C70421">
        <w:rPr>
          <w:i/>
          <w:lang w:val="fr-FR"/>
        </w:rPr>
        <w:t xml:space="preserve"> international</w:t>
      </w:r>
    </w:p>
    <w:p w:rsidR="00AC205C" w:rsidRPr="00C70421" w:rsidRDefault="00AC205C" w:rsidP="00E93C4E">
      <w:pPr>
        <w:rPr>
          <w:lang w:val="fr-FR"/>
        </w:rPr>
      </w:pPr>
    </w:p>
    <w:p w:rsidR="000F5E56" w:rsidRPr="00C70421" w:rsidRDefault="000F5E56" w:rsidP="00E93C4E">
      <w:pPr>
        <w:rPr>
          <w:lang w:val="fr-FR"/>
        </w:rPr>
      </w:pPr>
    </w:p>
    <w:p w:rsidR="002928D3" w:rsidRPr="00C70421" w:rsidRDefault="002928D3" w:rsidP="00E93C4E">
      <w:pPr>
        <w:rPr>
          <w:lang w:val="fr-FR"/>
        </w:rPr>
      </w:pPr>
    </w:p>
    <w:p w:rsidR="002928D3" w:rsidRPr="00C70421" w:rsidRDefault="002928D3" w:rsidP="00E93C4E">
      <w:pPr>
        <w:rPr>
          <w:lang w:val="fr-FR"/>
        </w:rPr>
      </w:pPr>
    </w:p>
    <w:p w:rsidR="005C40A3" w:rsidRPr="00C70421" w:rsidRDefault="002351FA" w:rsidP="00E93C4E">
      <w:pPr>
        <w:pStyle w:val="ONUMFS"/>
        <w:rPr>
          <w:lang w:val="fr-FR"/>
        </w:rPr>
      </w:pPr>
      <w:bookmarkStart w:id="5" w:name="_Ref447032909"/>
      <w:r w:rsidRPr="00C70421">
        <w:rPr>
          <w:lang w:val="fr-FR"/>
        </w:rPr>
        <w:t>Toutes les administrations internationales existantes ont été nommées par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Assemblée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Union</w:t>
      </w:r>
      <w:r w:rsidR="00473D89" w:rsidRPr="00C70421">
        <w:rPr>
          <w:lang w:val="fr-FR"/>
        </w:rPr>
        <w:t xml:space="preserve"> du PCT</w:t>
      </w:r>
      <w:r w:rsidR="005C40A3" w:rsidRPr="00C70421">
        <w:rPr>
          <w:lang w:val="fr-FR"/>
        </w:rPr>
        <w:t xml:space="preserve"> </w:t>
      </w:r>
      <w:r w:rsidRPr="00C70421">
        <w:rPr>
          <w:lang w:val="fr-FR"/>
        </w:rPr>
        <w:t>pour une période s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achevant le 31 décembre </w:t>
      </w:r>
      <w:r w:rsidR="005C40A3" w:rsidRPr="00C70421">
        <w:rPr>
          <w:lang w:val="fr-FR"/>
        </w:rPr>
        <w:t xml:space="preserve">2017.  </w:t>
      </w:r>
      <w:r w:rsidR="00473D89" w:rsidRPr="00C70421">
        <w:rPr>
          <w:lang w:val="fr-FR"/>
        </w:rPr>
        <w:t>En 2017</w:t>
      </w:r>
      <w:r w:rsidR="005C40A3" w:rsidRPr="00C70421">
        <w:rPr>
          <w:lang w:val="fr-FR"/>
        </w:rPr>
        <w:t xml:space="preserve">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assemblée devra donc prendre une décision en ce qui concerne la prolongation de la nomination de chaque administration internationale existante qui souhaite demander une telle prolongation, après avoir sollicité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avis du comité</w:t>
      </w:r>
      <w:r w:rsidR="00FD06A7" w:rsidRPr="00C70421">
        <w:rPr>
          <w:lang w:val="fr-FR"/>
        </w:rPr>
        <w:t xml:space="preserve"> </w:t>
      </w:r>
      <w:r w:rsidR="005C40A3" w:rsidRPr="00C70421">
        <w:rPr>
          <w:lang w:val="fr-FR"/>
        </w:rPr>
        <w:t>(</w:t>
      </w:r>
      <w:r w:rsidRPr="00C70421">
        <w:rPr>
          <w:lang w:val="fr-FR"/>
        </w:rPr>
        <w:t>voir les a</w:t>
      </w:r>
      <w:r w:rsidR="005C40A3" w:rsidRPr="00C70421">
        <w:rPr>
          <w:lang w:val="fr-FR"/>
        </w:rPr>
        <w:t>rticles 16</w:t>
      </w:r>
      <w:r w:rsidRPr="00C70421">
        <w:rPr>
          <w:lang w:val="fr-FR"/>
        </w:rPr>
        <w:t>.3)</w:t>
      </w:r>
      <w:r w:rsidR="005C40A3" w:rsidRPr="00C70421">
        <w:rPr>
          <w:lang w:val="fr-FR"/>
        </w:rPr>
        <w:t xml:space="preserve">e) </w:t>
      </w:r>
      <w:r w:rsidR="00001599">
        <w:rPr>
          <w:lang w:val="fr-FR"/>
        </w:rPr>
        <w:t>et </w:t>
      </w:r>
      <w:r w:rsidRPr="00C70421">
        <w:rPr>
          <w:lang w:val="fr-FR"/>
        </w:rPr>
        <w:t>32.</w:t>
      </w:r>
      <w:r w:rsidR="005C40A3" w:rsidRPr="00C70421">
        <w:rPr>
          <w:lang w:val="fr-FR"/>
        </w:rPr>
        <w:t>3)</w:t>
      </w:r>
      <w:r w:rsidR="00473D89" w:rsidRPr="00C70421">
        <w:rPr>
          <w:lang w:val="fr-FR"/>
        </w:rPr>
        <w:t xml:space="preserve"> du PCT</w:t>
      </w:r>
      <w:r w:rsidR="005C40A3" w:rsidRPr="00C70421">
        <w:rPr>
          <w:lang w:val="fr-FR"/>
        </w:rPr>
        <w:t>).</w:t>
      </w:r>
      <w:bookmarkEnd w:id="5"/>
      <w:r w:rsidR="0035027E" w:rsidRPr="00C70421">
        <w:rPr>
          <w:lang w:val="fr-FR"/>
        </w:rPr>
        <w:t xml:space="preserve">  </w:t>
      </w:r>
      <w:r w:rsidR="00313BA3" w:rsidRPr="00C70421">
        <w:rPr>
          <w:lang w:val="fr-FR"/>
        </w:rPr>
        <w:t xml:space="preserve">On trouvera des informations concernant la procédure applicable et le rôle du comité dans le document </w:t>
      </w:r>
      <w:r w:rsidR="0035027E" w:rsidRPr="00C70421">
        <w:rPr>
          <w:lang w:val="fr-FR"/>
        </w:rPr>
        <w:t>PCT/CTC/30/INF/1.</w:t>
      </w:r>
    </w:p>
    <w:p w:rsidR="005C40A3" w:rsidRPr="00C70421" w:rsidRDefault="00565A7F" w:rsidP="00E93C4E">
      <w:pPr>
        <w:pStyle w:val="ONUMFS"/>
        <w:rPr>
          <w:lang w:val="fr-FR"/>
        </w:rPr>
      </w:pPr>
      <w:r w:rsidRPr="00C70421">
        <w:rPr>
          <w:lang w:val="fr-FR"/>
        </w:rPr>
        <w:t>Le 8 mars </w:t>
      </w:r>
      <w:r w:rsidR="00AA5F79" w:rsidRPr="00C70421">
        <w:rPr>
          <w:lang w:val="fr-FR"/>
        </w:rPr>
        <w:t xml:space="preserve">2017,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Office de la propriété intellectuelle </w:t>
      </w:r>
      <w:r w:rsidR="003A68DD" w:rsidRPr="00C70421">
        <w:rPr>
          <w:lang w:val="fr-FR"/>
        </w:rPr>
        <w:t xml:space="preserve">du Canada </w:t>
      </w:r>
      <w:r w:rsidR="00313BA3" w:rsidRPr="00C70421">
        <w:rPr>
          <w:lang w:val="fr-FR"/>
        </w:rPr>
        <w:t xml:space="preserve">a présenté une demande de prolongation de sa nomination </w:t>
      </w:r>
      <w:r w:rsidR="00B14899" w:rsidRPr="00C70421">
        <w:rPr>
          <w:lang w:val="fr-FR"/>
        </w:rPr>
        <w:t>en qualité d</w:t>
      </w:r>
      <w:r w:rsidR="00473D89" w:rsidRPr="00C70421">
        <w:rPr>
          <w:lang w:val="fr-FR"/>
        </w:rPr>
        <w:t>’</w:t>
      </w:r>
      <w:r w:rsidR="00B14899" w:rsidRPr="00C70421">
        <w:rPr>
          <w:lang w:val="fr-FR"/>
        </w:rPr>
        <w:t>administration chargée de la recherche internationale</w:t>
      </w:r>
      <w:r w:rsidR="00AA5F79" w:rsidRPr="00C70421">
        <w:rPr>
          <w:lang w:val="fr-FR"/>
        </w:rPr>
        <w:t xml:space="preserve"> </w:t>
      </w:r>
      <w:r w:rsidR="00B14899" w:rsidRPr="00C70421">
        <w:rPr>
          <w:lang w:val="fr-FR"/>
        </w:rPr>
        <w:t>et d</w:t>
      </w:r>
      <w:r w:rsidR="00473D89" w:rsidRPr="00C70421">
        <w:rPr>
          <w:lang w:val="fr-FR"/>
        </w:rPr>
        <w:t>’</w:t>
      </w:r>
      <w:r w:rsidR="00B14899" w:rsidRPr="00C70421">
        <w:rPr>
          <w:lang w:val="fr-FR"/>
        </w:rPr>
        <w:t>administration chargée de l</w:t>
      </w:r>
      <w:r w:rsidR="00473D89" w:rsidRPr="00C70421">
        <w:rPr>
          <w:lang w:val="fr-FR"/>
        </w:rPr>
        <w:t>’</w:t>
      </w:r>
      <w:r w:rsidR="00B14899" w:rsidRPr="00C70421">
        <w:rPr>
          <w:lang w:val="fr-FR"/>
        </w:rPr>
        <w:t>examen préliminaire</w:t>
      </w:r>
      <w:r w:rsidR="00AA5F79" w:rsidRPr="00C70421">
        <w:rPr>
          <w:lang w:val="fr-FR"/>
        </w:rPr>
        <w:t xml:space="preserve"> </w:t>
      </w:r>
      <w:r w:rsidR="00B14899" w:rsidRPr="00C70421">
        <w:rPr>
          <w:lang w:val="fr-FR"/>
        </w:rPr>
        <w:t>i</w:t>
      </w:r>
      <w:r w:rsidR="00AA5F79" w:rsidRPr="00C70421">
        <w:rPr>
          <w:lang w:val="fr-FR"/>
        </w:rPr>
        <w:t xml:space="preserve">nternational </w:t>
      </w:r>
      <w:r w:rsidR="00B14899" w:rsidRPr="00C70421">
        <w:rPr>
          <w:lang w:val="fr-FR"/>
        </w:rPr>
        <w:t>selon</w:t>
      </w:r>
      <w:r w:rsidR="00473D89" w:rsidRPr="00C70421">
        <w:rPr>
          <w:lang w:val="fr-FR"/>
        </w:rPr>
        <w:t xml:space="preserve"> le </w:t>
      </w:r>
      <w:r w:rsidR="00C70421" w:rsidRPr="00C70421">
        <w:rPr>
          <w:lang w:val="fr-FR"/>
        </w:rPr>
        <w:t>PCT.  Ce</w:t>
      </w:r>
      <w:r w:rsidR="00313BA3" w:rsidRPr="00C70421">
        <w:rPr>
          <w:lang w:val="fr-FR"/>
        </w:rPr>
        <w:t>tte demande est reproduite à</w:t>
      </w:r>
      <w:r w:rsidR="008D747C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8D747C" w:rsidRPr="00C70421">
        <w:rPr>
          <w:lang w:val="fr-FR"/>
        </w:rPr>
        <w:t>a</w:t>
      </w:r>
      <w:r w:rsidR="00AA5F79" w:rsidRPr="00C70421">
        <w:rPr>
          <w:lang w:val="fr-FR"/>
        </w:rPr>
        <w:t>nnex</w:t>
      </w:r>
      <w:r w:rsidR="008D747C" w:rsidRPr="00C70421">
        <w:rPr>
          <w:lang w:val="fr-FR"/>
        </w:rPr>
        <w:t>e du présent</w:t>
      </w:r>
      <w:r w:rsidR="00AA5F79" w:rsidRPr="00C70421">
        <w:rPr>
          <w:lang w:val="fr-FR"/>
        </w:rPr>
        <w:t xml:space="preserve"> document.</w:t>
      </w:r>
    </w:p>
    <w:p w:rsidR="005C40A3" w:rsidRPr="00001599" w:rsidRDefault="008D747C" w:rsidP="00E93C4E">
      <w:pPr>
        <w:pStyle w:val="ONUMFS"/>
        <w:ind w:left="5533"/>
        <w:rPr>
          <w:i/>
          <w:lang w:val="fr-FR"/>
        </w:rPr>
      </w:pPr>
      <w:r w:rsidRPr="00001599">
        <w:rPr>
          <w:i/>
          <w:lang w:val="fr-FR"/>
        </w:rPr>
        <w:t>Le comité est invité à faire part de son avis sur cette question</w:t>
      </w:r>
      <w:r w:rsidR="00AA5F79" w:rsidRPr="00001599">
        <w:rPr>
          <w:i/>
          <w:lang w:val="fr-FR"/>
        </w:rPr>
        <w:t>.</w:t>
      </w:r>
    </w:p>
    <w:p w:rsidR="00AA5F79" w:rsidRPr="00F46AD3" w:rsidRDefault="00AA5F79" w:rsidP="00E93C4E">
      <w:pPr>
        <w:rPr>
          <w:lang w:val="fr-FR"/>
        </w:rPr>
      </w:pPr>
    </w:p>
    <w:p w:rsidR="00001599" w:rsidRPr="00F46AD3" w:rsidRDefault="00001599" w:rsidP="00E93C4E">
      <w:pPr>
        <w:rPr>
          <w:lang w:val="fr-FR"/>
        </w:rPr>
      </w:pPr>
    </w:p>
    <w:p w:rsidR="00AA5F79" w:rsidRPr="00C70421" w:rsidRDefault="00AA5F79" w:rsidP="00E93C4E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C70421" w:rsidSect="00F264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70421">
        <w:rPr>
          <w:lang w:val="fr-FR"/>
        </w:rPr>
        <w:t>[</w:t>
      </w:r>
      <w:r w:rsidR="008D747C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8D747C" w:rsidRPr="00C70421">
        <w:rPr>
          <w:lang w:val="fr-FR"/>
        </w:rPr>
        <w:t>a</w:t>
      </w:r>
      <w:r w:rsidRPr="00C70421">
        <w:rPr>
          <w:lang w:val="fr-FR"/>
        </w:rPr>
        <w:t>nnex</w:t>
      </w:r>
      <w:r w:rsidR="008D747C" w:rsidRPr="00C70421">
        <w:rPr>
          <w:lang w:val="fr-FR"/>
        </w:rPr>
        <w:t>e suit</w:t>
      </w:r>
      <w:r w:rsidRPr="00C70421">
        <w:rPr>
          <w:lang w:val="fr-FR"/>
        </w:rPr>
        <w:t>]</w:t>
      </w:r>
    </w:p>
    <w:p w:rsidR="00AA5F79" w:rsidRPr="00C70421" w:rsidRDefault="00001599" w:rsidP="00E93C4E">
      <w:pPr>
        <w:pStyle w:val="ONUME"/>
        <w:numPr>
          <w:ilvl w:val="0"/>
          <w:numId w:val="0"/>
        </w:numPr>
        <w:jc w:val="center"/>
        <w:rPr>
          <w:caps/>
          <w:lang w:val="fr-FR"/>
        </w:rPr>
      </w:pPr>
      <w:r>
        <w:rPr>
          <w:caps/>
          <w:lang w:val="fr-FR"/>
        </w:rPr>
        <w:lastRenderedPageBreak/>
        <w:t>D</w:t>
      </w:r>
      <w:r w:rsidR="00313BA3" w:rsidRPr="00C70421">
        <w:rPr>
          <w:caps/>
          <w:lang w:val="fr-FR"/>
        </w:rPr>
        <w:t xml:space="preserve">emande de prolongation de la nomination </w:t>
      </w:r>
      <w:r w:rsidR="008D747C" w:rsidRPr="00C70421">
        <w:rPr>
          <w:caps/>
          <w:lang w:val="fr-FR"/>
        </w:rPr>
        <w:t>de l</w:t>
      </w:r>
      <w:r w:rsidR="00473D89" w:rsidRPr="00C70421">
        <w:rPr>
          <w:caps/>
          <w:lang w:val="fr-FR"/>
        </w:rPr>
        <w:t>’</w:t>
      </w:r>
      <w:r w:rsidR="008D747C" w:rsidRPr="00C70421">
        <w:rPr>
          <w:caps/>
          <w:lang w:val="fr-FR"/>
        </w:rPr>
        <w:t>Office de la propriété intellectuelle</w:t>
      </w:r>
      <w:r w:rsidR="003A68DD" w:rsidRPr="00C70421">
        <w:rPr>
          <w:caps/>
          <w:lang w:val="fr-FR"/>
        </w:rPr>
        <w:t xml:space="preserve"> du Canada</w:t>
      </w:r>
      <w:r w:rsidR="00AA5F79" w:rsidRPr="00C70421">
        <w:rPr>
          <w:caps/>
          <w:lang w:val="fr-FR"/>
        </w:rPr>
        <w:t xml:space="preserve"> </w:t>
      </w:r>
      <w:r w:rsidR="008D747C" w:rsidRPr="00C70421">
        <w:rPr>
          <w:caps/>
          <w:lang w:val="fr-FR"/>
        </w:rPr>
        <w:t>en qualité d</w:t>
      </w:r>
      <w:r w:rsidR="00473D89" w:rsidRPr="00C70421">
        <w:rPr>
          <w:caps/>
          <w:lang w:val="fr-FR"/>
        </w:rPr>
        <w:t>’</w:t>
      </w:r>
      <w:r w:rsidR="008D747C" w:rsidRPr="00C70421">
        <w:rPr>
          <w:caps/>
          <w:lang w:val="fr-FR"/>
        </w:rPr>
        <w:t xml:space="preserve">administration chargée de la recherche </w:t>
      </w:r>
      <w:r w:rsidR="00C07DEB" w:rsidRPr="00C70421">
        <w:rPr>
          <w:caps/>
          <w:lang w:val="fr-FR"/>
        </w:rPr>
        <w:t xml:space="preserve">internationale </w:t>
      </w:r>
      <w:r w:rsidR="008D747C" w:rsidRPr="00C70421">
        <w:rPr>
          <w:caps/>
          <w:lang w:val="fr-FR"/>
        </w:rPr>
        <w:t>et de l</w:t>
      </w:r>
      <w:r w:rsidR="00473D89" w:rsidRPr="00C70421">
        <w:rPr>
          <w:caps/>
          <w:lang w:val="fr-FR"/>
        </w:rPr>
        <w:t>’</w:t>
      </w:r>
      <w:r w:rsidR="008D747C" w:rsidRPr="00C70421">
        <w:rPr>
          <w:caps/>
          <w:lang w:val="fr-FR"/>
        </w:rPr>
        <w:t>examen préliminaire</w:t>
      </w:r>
      <w:r w:rsidR="00C07DEB" w:rsidRPr="00C70421">
        <w:rPr>
          <w:caps/>
          <w:lang w:val="fr-FR"/>
        </w:rPr>
        <w:t xml:space="preserve"> international</w:t>
      </w:r>
      <w:r w:rsidR="008D747C" w:rsidRPr="00C70421">
        <w:rPr>
          <w:caps/>
          <w:lang w:val="fr-FR"/>
        </w:rPr>
        <w:t xml:space="preserve"> selon le</w:t>
      </w:r>
      <w:r w:rsidR="00011582" w:rsidRPr="00C70421">
        <w:rPr>
          <w:caps/>
          <w:lang w:val="fr-FR"/>
        </w:rPr>
        <w:t> </w:t>
      </w:r>
      <w:r w:rsidR="00AA5F79" w:rsidRPr="00C70421">
        <w:rPr>
          <w:caps/>
          <w:lang w:val="fr-FR"/>
        </w:rPr>
        <w:t>PCT</w:t>
      </w:r>
    </w:p>
    <w:p w:rsidR="00AA5F79" w:rsidRPr="00C70421" w:rsidRDefault="00AA5F79" w:rsidP="00E93C4E">
      <w:pPr>
        <w:pStyle w:val="ONUME"/>
        <w:numPr>
          <w:ilvl w:val="0"/>
          <w:numId w:val="0"/>
        </w:numPr>
        <w:rPr>
          <w:lang w:val="fr-FR"/>
        </w:rPr>
      </w:pPr>
    </w:p>
    <w:p w:rsidR="0050667A" w:rsidRPr="00C70421" w:rsidRDefault="0050667A" w:rsidP="00E93C4E">
      <w:pPr>
        <w:pStyle w:val="SectionHeading"/>
        <w:rPr>
          <w:lang w:val="fr-FR"/>
        </w:rPr>
      </w:pPr>
      <w:r w:rsidRPr="00C70421">
        <w:rPr>
          <w:lang w:val="fr-FR"/>
        </w:rPr>
        <w:t xml:space="preserve">1 – </w:t>
      </w:r>
      <w:r w:rsidR="00001599">
        <w:rPr>
          <w:lang w:val="fr-FR"/>
        </w:rPr>
        <w:t>I</w:t>
      </w:r>
      <w:r w:rsidR="003A68DD" w:rsidRPr="00C70421">
        <w:rPr>
          <w:lang w:val="fr-FR"/>
        </w:rPr>
        <w:t xml:space="preserve">nformations </w:t>
      </w:r>
      <w:r w:rsidR="00001599">
        <w:rPr>
          <w:lang w:val="fr-FR"/>
        </w:rPr>
        <w:t>g</w:t>
      </w:r>
      <w:r w:rsidR="003A68DD" w:rsidRPr="00C70421">
        <w:rPr>
          <w:lang w:val="fr-FR"/>
        </w:rPr>
        <w:t>éné</w:t>
      </w:r>
      <w:r w:rsidRPr="00C70421">
        <w:rPr>
          <w:lang w:val="fr-FR"/>
        </w:rPr>
        <w:t>ral</w:t>
      </w:r>
      <w:r w:rsidR="003A68DD" w:rsidRPr="00C70421">
        <w:rPr>
          <w:lang w:val="fr-FR"/>
        </w:rPr>
        <w:t>es</w:t>
      </w:r>
    </w:p>
    <w:p w:rsidR="00473D89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a.</w:t>
      </w:r>
      <w:r w:rsidRPr="00C70421">
        <w:rPr>
          <w:lang w:val="fr-FR"/>
        </w:rPr>
        <w:tab/>
      </w:r>
      <w:r w:rsidR="003A68DD" w:rsidRPr="00C70421">
        <w:rPr>
          <w:lang w:val="fr-FR"/>
        </w:rPr>
        <w:t>Nom de l</w:t>
      </w:r>
      <w:r w:rsidR="00473D89" w:rsidRPr="00C70421">
        <w:rPr>
          <w:lang w:val="fr-FR"/>
        </w:rPr>
        <w:t>’</w:t>
      </w:r>
      <w:r w:rsidR="003A68DD" w:rsidRPr="00C70421">
        <w:rPr>
          <w:lang w:val="fr-FR"/>
        </w:rPr>
        <w:t xml:space="preserve">office </w:t>
      </w:r>
      <w:r w:rsidR="00313BA3" w:rsidRPr="00C70421">
        <w:rPr>
          <w:lang w:val="fr-FR"/>
        </w:rPr>
        <w:t>ou de l</w:t>
      </w:r>
      <w:r w:rsidR="00473D89" w:rsidRPr="00C70421">
        <w:rPr>
          <w:lang w:val="fr-FR"/>
        </w:rPr>
        <w:t>’</w:t>
      </w:r>
      <w:r w:rsidR="00313BA3" w:rsidRPr="00C70421">
        <w:rPr>
          <w:lang w:val="fr-FR"/>
        </w:rPr>
        <w:t>organisation intergouvernementale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i</w:t>
      </w:r>
      <w:r w:rsidR="008B1AE0" w:rsidRPr="00C70421">
        <w:rPr>
          <w:lang w:val="fr-FR"/>
        </w:rPr>
        <w:t xml:space="preserve">.  </w:t>
      </w:r>
      <w:r w:rsidRPr="00C70421">
        <w:rPr>
          <w:lang w:val="fr-FR"/>
        </w:rPr>
        <w:t>N</w:t>
      </w:r>
      <w:r w:rsidR="00E91ED6" w:rsidRPr="00C70421">
        <w:rPr>
          <w:lang w:val="fr-FR"/>
        </w:rPr>
        <w:t>om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lang w:val="fr-FR"/>
        </w:rPr>
        <w:t xml:space="preserve">Office </w:t>
      </w:r>
      <w:r w:rsidR="003A68DD" w:rsidRPr="00C70421">
        <w:rPr>
          <w:lang w:val="fr-FR"/>
        </w:rPr>
        <w:t xml:space="preserve">de la propriété intellectuelle du Canada </w:t>
      </w:r>
      <w:r w:rsidRPr="00C70421">
        <w:rPr>
          <w:lang w:val="fr-FR"/>
        </w:rPr>
        <w:t>(</w:t>
      </w:r>
      <w:r w:rsidR="003A68DD" w:rsidRPr="00C70421">
        <w:rPr>
          <w:lang w:val="fr-FR"/>
        </w:rPr>
        <w:t>OPIC</w:t>
      </w:r>
      <w:r w:rsidRPr="00C70421">
        <w:rPr>
          <w:lang w:val="fr-FR"/>
        </w:rPr>
        <w:t>),</w:t>
      </w:r>
    </w:p>
    <w:p w:rsidR="0050667A" w:rsidRPr="00C70421" w:rsidRDefault="003A68DD" w:rsidP="00E93C4E">
      <w:pPr>
        <w:ind w:left="567"/>
        <w:rPr>
          <w:lang w:val="fr-FR"/>
        </w:rPr>
      </w:pPr>
      <w:proofErr w:type="gramStart"/>
      <w:r w:rsidRPr="00C70421">
        <w:rPr>
          <w:lang w:val="fr-FR"/>
        </w:rPr>
        <w:t>organisme</w:t>
      </w:r>
      <w:proofErr w:type="gramEnd"/>
      <w:r w:rsidRPr="00C70421">
        <w:rPr>
          <w:lang w:val="fr-FR"/>
        </w:rPr>
        <w:t xml:space="preserve"> de services spécial au sein</w:t>
      </w:r>
    </w:p>
    <w:p w:rsidR="0050667A" w:rsidRPr="00C70421" w:rsidRDefault="003A68DD" w:rsidP="00E93C4E">
      <w:pPr>
        <w:ind w:left="567"/>
        <w:rPr>
          <w:lang w:val="fr-FR"/>
        </w:rPr>
      </w:pPr>
      <w:proofErr w:type="gramStart"/>
      <w:r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Innovation</w:t>
      </w:r>
      <w:proofErr w:type="gramEnd"/>
      <w:r w:rsidR="0050667A" w:rsidRPr="00C70421">
        <w:rPr>
          <w:lang w:val="fr-FR"/>
        </w:rPr>
        <w:t>, Science</w:t>
      </w:r>
      <w:r w:rsidRPr="00C70421">
        <w:rPr>
          <w:lang w:val="fr-FR"/>
        </w:rPr>
        <w:t>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et Développement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économique du</w:t>
      </w:r>
      <w:r w:rsidR="0050667A" w:rsidRPr="00C70421">
        <w:rPr>
          <w:lang w:val="fr-FR"/>
        </w:rPr>
        <w:t xml:space="preserve"> Canada</w:t>
      </w: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lang w:val="fr-FR"/>
        </w:rPr>
        <w:t>Go</w:t>
      </w:r>
      <w:r w:rsidR="003A68DD" w:rsidRPr="00C70421">
        <w:rPr>
          <w:lang w:val="fr-FR"/>
        </w:rPr>
        <w:t>u</w:t>
      </w:r>
      <w:r w:rsidRPr="00C70421">
        <w:rPr>
          <w:lang w:val="fr-FR"/>
        </w:rPr>
        <w:t>vern</w:t>
      </w:r>
      <w:r w:rsidR="003A68DD" w:rsidRPr="00C70421">
        <w:rPr>
          <w:lang w:val="fr-FR"/>
        </w:rPr>
        <w:t>e</w:t>
      </w:r>
      <w:r w:rsidRPr="00C70421">
        <w:rPr>
          <w:lang w:val="fr-FR"/>
        </w:rPr>
        <w:t xml:space="preserve">ment </w:t>
      </w:r>
      <w:r w:rsidR="003A68DD" w:rsidRPr="00C70421">
        <w:rPr>
          <w:lang w:val="fr-FR"/>
        </w:rPr>
        <w:t>du</w:t>
      </w:r>
      <w:r w:rsidRPr="00C70421">
        <w:rPr>
          <w:lang w:val="fr-FR"/>
        </w:rPr>
        <w:t xml:space="preserve"> Canada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C70421" w:rsidP="00E93C4E">
      <w:pPr>
        <w:pStyle w:val="Subsection"/>
        <w:rPr>
          <w:lang w:val="fr-FR"/>
        </w:rPr>
      </w:pPr>
      <w:r w:rsidRPr="00C70421">
        <w:rPr>
          <w:lang w:val="fr-FR"/>
        </w:rPr>
        <w:t>ii.  Pe</w:t>
      </w:r>
      <w:r w:rsidR="00DD361A" w:rsidRPr="00C70421">
        <w:rPr>
          <w:lang w:val="fr-FR"/>
        </w:rPr>
        <w:t>rsonne à con</w:t>
      </w:r>
      <w:r w:rsidR="0050667A" w:rsidRPr="00C70421">
        <w:rPr>
          <w:lang w:val="fr-FR"/>
        </w:rPr>
        <w:t>tact</w:t>
      </w:r>
      <w:r w:rsidR="00DD361A" w:rsidRPr="00C70421">
        <w:rPr>
          <w:lang w:val="fr-FR"/>
        </w:rPr>
        <w:t>er</w:t>
      </w:r>
      <w:r w:rsidR="0050667A" w:rsidRPr="00C70421">
        <w:rPr>
          <w:lang w:val="fr-FR"/>
        </w:rPr>
        <w:t xml:space="preserve"> </w:t>
      </w:r>
      <w:r w:rsidR="00926132" w:rsidRPr="00C70421">
        <w:rPr>
          <w:lang w:val="fr-FR"/>
        </w:rPr>
        <w:t xml:space="preserve">concernant le </w:t>
      </w:r>
      <w:r w:rsidR="00DD361A" w:rsidRPr="00C70421">
        <w:rPr>
          <w:lang w:val="fr-FR"/>
        </w:rPr>
        <w:t>contenu du rapport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lang w:val="fr-FR"/>
        </w:rPr>
        <w:t>Elaine A.</w:t>
      </w:r>
      <w:r w:rsidR="00373B66" w:rsidRPr="00C70421">
        <w:rPr>
          <w:lang w:val="fr-FR"/>
        </w:rPr>
        <w:t> </w:t>
      </w:r>
      <w:r w:rsidRPr="00C70421">
        <w:rPr>
          <w:lang w:val="fr-FR"/>
        </w:rPr>
        <w:t xml:space="preserve">Hellyer, </w:t>
      </w:r>
      <w:proofErr w:type="spellStart"/>
      <w:r w:rsidR="00DD361A" w:rsidRPr="00C70421">
        <w:rPr>
          <w:lang w:val="fr-FR"/>
        </w:rPr>
        <w:t>ing</w:t>
      </w:r>
      <w:proofErr w:type="spellEnd"/>
      <w:r w:rsidR="00001599">
        <w:rPr>
          <w:lang w:val="fr-FR"/>
        </w:rPr>
        <w:t>.</w:t>
      </w:r>
    </w:p>
    <w:p w:rsidR="0050667A" w:rsidRPr="00C70421" w:rsidRDefault="00DD54E2" w:rsidP="00E93C4E">
      <w:pPr>
        <w:ind w:left="567"/>
        <w:rPr>
          <w:lang w:val="fr-FR"/>
        </w:rPr>
      </w:pPr>
      <w:r>
        <w:rPr>
          <w:lang w:val="fr-FR"/>
        </w:rPr>
        <w:t>Administratrice</w:t>
      </w:r>
      <w:r w:rsidR="006B2078" w:rsidRPr="00C70421">
        <w:rPr>
          <w:lang w:val="fr-FR"/>
        </w:rPr>
        <w:t xml:space="preserve"> </w:t>
      </w:r>
      <w:r w:rsidR="00DD361A" w:rsidRPr="00C70421">
        <w:rPr>
          <w:lang w:val="fr-FR"/>
        </w:rPr>
        <w:t>de programme</w:t>
      </w:r>
      <w:r w:rsidR="006B2078" w:rsidRPr="00C70421">
        <w:rPr>
          <w:lang w:val="fr-FR"/>
        </w:rPr>
        <w:t xml:space="preserve"> – i</w:t>
      </w:r>
      <w:r w:rsidR="0050667A" w:rsidRPr="00C70421">
        <w:rPr>
          <w:lang w:val="fr-FR"/>
        </w:rPr>
        <w:t>nternational (PCT</w:t>
      </w:r>
      <w:r w:rsidR="00001599">
        <w:rPr>
          <w:lang w:val="fr-FR"/>
        </w:rPr>
        <w:noBreakHyphen/>
      </w:r>
      <w:r w:rsidR="00926132" w:rsidRPr="00C70421">
        <w:rPr>
          <w:lang w:val="fr-FR"/>
        </w:rPr>
        <w:t>PPH</w:t>
      </w:r>
      <w:r w:rsidR="0050667A" w:rsidRPr="00C70421">
        <w:rPr>
          <w:lang w:val="fr-FR"/>
        </w:rPr>
        <w:t>)</w:t>
      </w:r>
    </w:p>
    <w:p w:rsidR="0050667A" w:rsidRPr="002A7406" w:rsidRDefault="00F46AD3" w:rsidP="00E93C4E">
      <w:pPr>
        <w:ind w:left="567"/>
      </w:pPr>
      <w:hyperlink r:id="rId16" w:history="1">
        <w:proofErr w:type="gramStart"/>
        <w:r w:rsidR="0050667A" w:rsidRPr="002A7406">
          <w:t>elaine.hellyer@canada.ca</w:t>
        </w:r>
      </w:hyperlink>
      <w:r w:rsidR="006B2078" w:rsidRPr="002A7406">
        <w:t xml:space="preserve"> / </w:t>
      </w:r>
      <w:proofErr w:type="spellStart"/>
      <w:r w:rsidR="006B2078" w:rsidRPr="002A7406">
        <w:t>té</w:t>
      </w:r>
      <w:r w:rsidR="0050667A" w:rsidRPr="002A7406">
        <w:t>l</w:t>
      </w:r>
      <w:proofErr w:type="spellEnd"/>
      <w:r w:rsidR="0036488B" w:rsidRPr="002A7406">
        <w:t>.</w:t>
      </w:r>
      <w:proofErr w:type="gramEnd"/>
      <w:r w:rsidR="0036488B" w:rsidRPr="002A7406">
        <w:t> </w:t>
      </w:r>
      <w:r w:rsidR="00473D89" w:rsidRPr="002A7406">
        <w:t>:</w:t>
      </w:r>
      <w:r w:rsidR="006B2078" w:rsidRPr="002A7406">
        <w:t xml:space="preserve"> 819</w:t>
      </w:r>
      <w:r w:rsidR="00001599" w:rsidRPr="002A7406">
        <w:noBreakHyphen/>
      </w:r>
      <w:r w:rsidR="006B2078" w:rsidRPr="002A7406">
        <w:t>635</w:t>
      </w:r>
      <w:r w:rsidR="00001599" w:rsidRPr="002A7406">
        <w:noBreakHyphen/>
      </w:r>
      <w:r w:rsidR="006B2078" w:rsidRPr="002A7406">
        <w:t xml:space="preserve">7725 / </w:t>
      </w:r>
      <w:proofErr w:type="gramStart"/>
      <w:r w:rsidR="006B2078" w:rsidRPr="002A7406">
        <w:t>TTY</w:t>
      </w:r>
      <w:r w:rsidR="00473D89" w:rsidRPr="002A7406">
        <w:t> :</w:t>
      </w:r>
      <w:proofErr w:type="gramEnd"/>
      <w:r w:rsidR="0050667A" w:rsidRPr="002A7406">
        <w:t xml:space="preserve"> 1</w:t>
      </w:r>
      <w:r w:rsidR="00001599" w:rsidRPr="002A7406">
        <w:noBreakHyphen/>
      </w:r>
      <w:r w:rsidR="0050667A" w:rsidRPr="002A7406">
        <w:t>866</w:t>
      </w:r>
      <w:r w:rsidR="00001599" w:rsidRPr="002A7406">
        <w:noBreakHyphen/>
      </w:r>
      <w:r w:rsidR="0050667A" w:rsidRPr="002A7406">
        <w:t>694</w:t>
      </w:r>
      <w:r w:rsidR="00001599" w:rsidRPr="002A7406">
        <w:noBreakHyphen/>
      </w:r>
      <w:r w:rsidR="0050667A" w:rsidRPr="002A7406">
        <w:t>8389</w:t>
      </w:r>
    </w:p>
    <w:p w:rsidR="0050667A" w:rsidRPr="002A7406" w:rsidRDefault="0050667A" w:rsidP="00E93C4E"/>
    <w:p w:rsidR="0050667A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b.</w:t>
      </w:r>
      <w:r w:rsidRPr="00C70421">
        <w:rPr>
          <w:lang w:val="fr-FR"/>
        </w:rPr>
        <w:tab/>
        <w:t xml:space="preserve">Date </w:t>
      </w:r>
      <w:r w:rsidR="00313BA3" w:rsidRPr="00C70421">
        <w:rPr>
          <w:lang w:val="fr-FR"/>
        </w:rPr>
        <w:t>à laquelle</w:t>
      </w:r>
      <w:r w:rsidR="006B2078" w:rsidRPr="00C70421">
        <w:rPr>
          <w:lang w:val="fr-FR"/>
        </w:rPr>
        <w:t xml:space="preserve"> le Directeur général</w:t>
      </w:r>
      <w:r w:rsidR="00313BA3" w:rsidRPr="00C70421">
        <w:rPr>
          <w:lang w:val="fr-FR"/>
        </w:rPr>
        <w:t xml:space="preserve"> a reçu la demande de renouvellement</w:t>
      </w:r>
      <w:r w:rsidR="00473D89" w:rsidRPr="00C70421">
        <w:rPr>
          <w:lang w:val="fr-FR"/>
        </w:rPr>
        <w:t> :</w:t>
      </w:r>
      <w:r w:rsidR="00001599">
        <w:rPr>
          <w:lang w:val="fr-FR"/>
        </w:rPr>
        <w:t xml:space="preserve"> </w:t>
      </w:r>
      <w:r w:rsidRPr="00C70421">
        <w:rPr>
          <w:lang w:val="fr-FR"/>
        </w:rPr>
        <w:t>8</w:t>
      </w:r>
      <w:r w:rsidR="006B2078" w:rsidRPr="00C70421">
        <w:rPr>
          <w:lang w:val="fr-FR"/>
        </w:rPr>
        <w:t> mars </w:t>
      </w:r>
      <w:r w:rsidRPr="00C70421">
        <w:rPr>
          <w:lang w:val="fr-FR"/>
        </w:rPr>
        <w:t>2017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c.</w:t>
      </w:r>
      <w:r w:rsidRPr="00C70421">
        <w:rPr>
          <w:lang w:val="fr-FR"/>
        </w:rPr>
        <w:tab/>
        <w:t xml:space="preserve">Session </w:t>
      </w:r>
      <w:r w:rsidR="006B2078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6B2078" w:rsidRPr="00C70421">
        <w:rPr>
          <w:lang w:val="fr-FR"/>
        </w:rPr>
        <w:t>assemblée</w:t>
      </w:r>
      <w:r w:rsidRPr="00C70421">
        <w:rPr>
          <w:lang w:val="fr-FR"/>
        </w:rPr>
        <w:t xml:space="preserve"> </w:t>
      </w:r>
      <w:r w:rsidR="0054705C" w:rsidRPr="00C70421">
        <w:rPr>
          <w:lang w:val="fr-FR"/>
        </w:rPr>
        <w:t xml:space="preserve">à laquelle </w:t>
      </w:r>
      <w:r w:rsidR="00313BA3" w:rsidRPr="00C70421">
        <w:rPr>
          <w:lang w:val="fr-FR"/>
        </w:rPr>
        <w:t>le renouvellement sera</w:t>
      </w:r>
      <w:r w:rsidR="0054705C" w:rsidRPr="00C70421">
        <w:rPr>
          <w:lang w:val="fr-FR"/>
        </w:rPr>
        <w:t xml:space="preserve"> </w:t>
      </w:r>
      <w:r w:rsidR="00313BA3" w:rsidRPr="00C70421">
        <w:rPr>
          <w:lang w:val="fr-FR"/>
        </w:rPr>
        <w:t>demandé</w:t>
      </w:r>
      <w:r w:rsidR="00473D89" w:rsidRPr="00C70421">
        <w:rPr>
          <w:lang w:val="fr-FR"/>
        </w:rPr>
        <w:t> :</w:t>
      </w:r>
    </w:p>
    <w:p w:rsidR="0050667A" w:rsidRPr="00C70421" w:rsidRDefault="005C4B2F" w:rsidP="00E93C4E">
      <w:pPr>
        <w:ind w:left="567"/>
        <w:rPr>
          <w:lang w:val="fr-FR"/>
        </w:rPr>
      </w:pPr>
      <w:r w:rsidRPr="00C70421">
        <w:rPr>
          <w:lang w:val="fr-FR"/>
        </w:rPr>
        <w:t>La prolongation</w:t>
      </w:r>
      <w:r w:rsidR="0054705C" w:rsidRPr="00C70421">
        <w:rPr>
          <w:lang w:val="fr-FR"/>
        </w:rPr>
        <w:t xml:space="preserve"> de la nomination de l</w:t>
      </w:r>
      <w:r w:rsidR="00473D89" w:rsidRPr="00C70421">
        <w:rPr>
          <w:lang w:val="fr-FR"/>
        </w:rPr>
        <w:t>’</w:t>
      </w:r>
      <w:r w:rsidR="0054705C" w:rsidRPr="00C70421">
        <w:rPr>
          <w:lang w:val="fr-FR"/>
        </w:rPr>
        <w:t>OPIC en qualité d</w:t>
      </w:r>
      <w:r w:rsidR="00473D89" w:rsidRPr="00C70421">
        <w:rPr>
          <w:lang w:val="fr-FR"/>
        </w:rPr>
        <w:t>’</w:t>
      </w:r>
      <w:r w:rsidR="0054705C" w:rsidRPr="00C70421">
        <w:rPr>
          <w:lang w:val="fr-FR"/>
        </w:rPr>
        <w:t>administration internationale</w:t>
      </w:r>
      <w:r w:rsidR="0050667A" w:rsidRPr="00C70421">
        <w:rPr>
          <w:lang w:val="fr-FR"/>
        </w:rPr>
        <w:t xml:space="preserve"> </w:t>
      </w:r>
      <w:r w:rsidR="0054705C" w:rsidRPr="00C70421">
        <w:rPr>
          <w:lang w:val="fr-FR"/>
        </w:rPr>
        <w:t>sera demandé</w:t>
      </w:r>
      <w:r w:rsidRPr="00C70421">
        <w:rPr>
          <w:lang w:val="fr-FR"/>
        </w:rPr>
        <w:t>e</w:t>
      </w:r>
      <w:r w:rsidR="0054705C" w:rsidRPr="00C70421">
        <w:rPr>
          <w:lang w:val="fr-FR"/>
        </w:rPr>
        <w:t xml:space="preserve"> à la quarante</w:t>
      </w:r>
      <w:r w:rsidR="00001599">
        <w:rPr>
          <w:lang w:val="fr-FR"/>
        </w:rPr>
        <w:noBreakHyphen/>
      </w:r>
      <w:r w:rsidR="0054705C" w:rsidRPr="00C70421">
        <w:rPr>
          <w:lang w:val="fr-FR"/>
        </w:rPr>
        <w:t>neuv</w:t>
      </w:r>
      <w:r w:rsidR="00473D89" w:rsidRPr="00C70421">
        <w:rPr>
          <w:lang w:val="fr-FR"/>
        </w:rPr>
        <w:t>ième session</w:t>
      </w:r>
      <w:r w:rsidR="0050667A" w:rsidRPr="00C70421">
        <w:rPr>
          <w:lang w:val="fr-FR"/>
        </w:rPr>
        <w:t xml:space="preserve"> (</w:t>
      </w:r>
      <w:r w:rsidR="0054705C" w:rsidRPr="00C70421">
        <w:rPr>
          <w:lang w:val="fr-FR"/>
        </w:rPr>
        <w:t>vingt</w:t>
      </w:r>
      <w:r w:rsidR="00473D89" w:rsidRPr="00C70421">
        <w:rPr>
          <w:lang w:val="fr-FR"/>
        </w:rPr>
        <w:t> et unième session</w:t>
      </w:r>
      <w:r w:rsidR="0054705C" w:rsidRPr="00C70421">
        <w:rPr>
          <w:lang w:val="fr-FR"/>
        </w:rPr>
        <w:t xml:space="preserve"> ordinaire</w:t>
      </w:r>
      <w:r w:rsidR="0050667A" w:rsidRPr="00C70421">
        <w:rPr>
          <w:lang w:val="fr-FR"/>
        </w:rPr>
        <w:t xml:space="preserve">) </w:t>
      </w:r>
      <w:r w:rsidR="0054705C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54705C" w:rsidRPr="00C70421">
        <w:rPr>
          <w:lang w:val="fr-FR"/>
        </w:rPr>
        <w:t>Assemblée de l</w:t>
      </w:r>
      <w:r w:rsidR="00473D89" w:rsidRPr="00C70421">
        <w:rPr>
          <w:lang w:val="fr-FR"/>
        </w:rPr>
        <w:t>’</w:t>
      </w:r>
      <w:r w:rsidR="0054705C" w:rsidRPr="00C70421">
        <w:rPr>
          <w:lang w:val="fr-FR"/>
        </w:rPr>
        <w:t>Union</w:t>
      </w:r>
      <w:r w:rsidR="00473D89" w:rsidRPr="00C70421">
        <w:rPr>
          <w:lang w:val="fr-FR"/>
        </w:rPr>
        <w:t xml:space="preserve"> du PCT</w:t>
      </w:r>
      <w:r w:rsidR="0050667A" w:rsidRPr="00C70421">
        <w:rPr>
          <w:lang w:val="fr-FR"/>
        </w:rPr>
        <w:t xml:space="preserve"> </w:t>
      </w:r>
      <w:r w:rsidR="00313BA3" w:rsidRPr="00C70421">
        <w:rPr>
          <w:lang w:val="fr-FR"/>
        </w:rPr>
        <w:t>(</w:t>
      </w:r>
      <w:r w:rsidR="0050667A" w:rsidRPr="00C70421">
        <w:rPr>
          <w:lang w:val="fr-FR"/>
        </w:rPr>
        <w:t>2017</w:t>
      </w:r>
      <w:r w:rsidR="00313BA3" w:rsidRPr="00C70421">
        <w:rPr>
          <w:lang w:val="fr-FR"/>
        </w:rPr>
        <w:t>)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d.</w:t>
      </w:r>
      <w:r w:rsidRPr="00C70421">
        <w:rPr>
          <w:lang w:val="fr-FR"/>
        </w:rPr>
        <w:tab/>
      </w:r>
      <w:r w:rsidR="0054705C" w:rsidRPr="00C70421">
        <w:rPr>
          <w:lang w:val="fr-FR"/>
        </w:rPr>
        <w:t xml:space="preserve">Date </w:t>
      </w:r>
      <w:r w:rsidR="00313BA3" w:rsidRPr="00C70421">
        <w:rPr>
          <w:lang w:val="fr-FR"/>
        </w:rPr>
        <w:t>à laquelle</w:t>
      </w:r>
      <w:r w:rsidR="000764E4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0764E4" w:rsidRPr="00C70421">
        <w:rPr>
          <w:lang w:val="fr-FR"/>
        </w:rPr>
        <w:t>office</w:t>
      </w:r>
      <w:r w:rsidR="00403F93" w:rsidRPr="00C70421">
        <w:rPr>
          <w:lang w:val="fr-FR"/>
        </w:rPr>
        <w:t> </w:t>
      </w:r>
      <w:r w:rsidR="00313BA3" w:rsidRPr="00C70421">
        <w:rPr>
          <w:lang w:val="fr-FR"/>
        </w:rPr>
        <w:t>pourrait commencer à agir en qualité d</w:t>
      </w:r>
      <w:r w:rsidR="00473D89" w:rsidRPr="00C70421">
        <w:rPr>
          <w:lang w:val="fr-FR"/>
        </w:rPr>
        <w:t>’</w:t>
      </w:r>
      <w:r w:rsidR="00313BA3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313BA3" w:rsidRPr="00C70421">
        <w:rPr>
          <w:lang w:val="fr-FR"/>
        </w:rPr>
        <w:t>examen préliminaire international</w:t>
      </w:r>
      <w:r w:rsidR="00473D89" w:rsidRPr="00C70421">
        <w:rPr>
          <w:lang w:val="fr-FR"/>
        </w:rPr>
        <w:t> :</w:t>
      </w:r>
    </w:p>
    <w:p w:rsidR="00473D89" w:rsidRPr="00C70421" w:rsidRDefault="007902EC" w:rsidP="00E93C4E">
      <w:pPr>
        <w:ind w:left="567"/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403F93" w:rsidRPr="00C70421">
        <w:rPr>
          <w:lang w:val="fr-FR"/>
        </w:rPr>
        <w:t xml:space="preserve">OPIC </w:t>
      </w:r>
      <w:r w:rsidRPr="00C70421">
        <w:rPr>
          <w:lang w:val="fr-FR"/>
        </w:rPr>
        <w:t xml:space="preserve">pourra commencer à agir </w:t>
      </w:r>
      <w:r w:rsidR="00403F93" w:rsidRPr="00C70421">
        <w:rPr>
          <w:lang w:val="fr-FR"/>
        </w:rPr>
        <w:t>en qualité d</w:t>
      </w:r>
      <w:r w:rsidR="00473D89" w:rsidRPr="00C70421">
        <w:rPr>
          <w:lang w:val="fr-FR"/>
        </w:rPr>
        <w:t>’</w:t>
      </w:r>
      <w:r w:rsidR="00403F93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403F93" w:rsidRPr="00C70421">
        <w:rPr>
          <w:lang w:val="fr-FR"/>
        </w:rPr>
        <w:t xml:space="preserve">examen préliminaire international </w:t>
      </w:r>
      <w:r w:rsidR="000764E4" w:rsidRPr="00C70421">
        <w:rPr>
          <w:lang w:val="fr-FR"/>
        </w:rPr>
        <w:t>le</w:t>
      </w:r>
      <w:r w:rsidR="00473D89" w:rsidRPr="00C70421">
        <w:rPr>
          <w:lang w:val="fr-FR"/>
        </w:rPr>
        <w:t xml:space="preserve"> 1</w:t>
      </w:r>
      <w:r w:rsidR="00473D89" w:rsidRPr="00C70421">
        <w:rPr>
          <w:vertAlign w:val="superscript"/>
          <w:lang w:val="fr-FR"/>
        </w:rPr>
        <w:t>er</w:t>
      </w:r>
      <w:r w:rsidR="00473D89" w:rsidRPr="00C70421">
        <w:rPr>
          <w:lang w:val="fr-FR"/>
        </w:rPr>
        <w:t> </w:t>
      </w:r>
      <w:r w:rsidR="00403F93" w:rsidRPr="00C70421">
        <w:rPr>
          <w:lang w:val="fr-FR"/>
        </w:rPr>
        <w:t>janvier </w:t>
      </w:r>
      <w:r w:rsidR="0050667A" w:rsidRPr="00C70421">
        <w:rPr>
          <w:lang w:val="fr-FR"/>
        </w:rPr>
        <w:t xml:space="preserve">2018, </w:t>
      </w:r>
      <w:r w:rsidRPr="00C70421">
        <w:rPr>
          <w:lang w:val="fr-FR"/>
        </w:rPr>
        <w:t xml:space="preserve">à la </w:t>
      </w:r>
      <w:r w:rsidR="0050667A" w:rsidRPr="00C70421">
        <w:rPr>
          <w:lang w:val="fr-FR"/>
        </w:rPr>
        <w:t xml:space="preserve">date </w:t>
      </w:r>
      <w:r w:rsidR="00403F93" w:rsidRPr="00C70421">
        <w:rPr>
          <w:lang w:val="fr-FR"/>
        </w:rPr>
        <w:t xml:space="preserve">de commencement </w:t>
      </w:r>
      <w:r w:rsidR="00D81F2A" w:rsidRPr="00C70421">
        <w:rPr>
          <w:lang w:val="fr-FR"/>
        </w:rPr>
        <w:t>du nouvel accord éventuel avec le Bureau</w:t>
      </w:r>
      <w:r w:rsidR="0050667A" w:rsidRPr="00C70421">
        <w:rPr>
          <w:lang w:val="fr-FR"/>
        </w:rPr>
        <w:t xml:space="preserve"> </w:t>
      </w:r>
      <w:r w:rsidR="00D81F2A" w:rsidRPr="00C70421">
        <w:rPr>
          <w:lang w:val="fr-FR"/>
        </w:rPr>
        <w:t>i</w:t>
      </w:r>
      <w:r w:rsidR="0050667A" w:rsidRPr="00C70421">
        <w:rPr>
          <w:lang w:val="fr-FR"/>
        </w:rPr>
        <w:t>nternational.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0667A" w:rsidP="00E93C4E">
      <w:pPr>
        <w:pStyle w:val="Subsection"/>
        <w:rPr>
          <w:lang w:val="fr-FR"/>
        </w:rPr>
      </w:pPr>
      <w:bookmarkStart w:id="7" w:name="OtherIAHelpAndAssessment"/>
      <w:bookmarkEnd w:id="7"/>
      <w:r w:rsidRPr="00C70421">
        <w:rPr>
          <w:lang w:val="fr-FR"/>
        </w:rPr>
        <w:t>e.</w:t>
      </w:r>
      <w:r w:rsidRPr="00C70421">
        <w:rPr>
          <w:lang w:val="fr-FR"/>
        </w:rPr>
        <w:tab/>
      </w:r>
      <w:r w:rsidR="00313BA3" w:rsidRPr="00C70421">
        <w:rPr>
          <w:lang w:val="fr-FR"/>
        </w:rPr>
        <w:t>A</w:t>
      </w:r>
      <w:r w:rsidR="005C4B2F" w:rsidRPr="00C70421">
        <w:rPr>
          <w:lang w:val="fr-FR"/>
        </w:rPr>
        <w:t xml:space="preserve">dministrations </w:t>
      </w:r>
      <w:r w:rsidR="00313BA3" w:rsidRPr="00C70421">
        <w:rPr>
          <w:lang w:val="fr-FR"/>
        </w:rPr>
        <w:t>actuellement chargées de la recherche internationale et de l</w:t>
      </w:r>
      <w:r w:rsidR="00473D89" w:rsidRPr="00C70421">
        <w:rPr>
          <w:lang w:val="fr-FR"/>
        </w:rPr>
        <w:t>’</w:t>
      </w:r>
      <w:r w:rsidR="00313BA3" w:rsidRPr="00C70421">
        <w:rPr>
          <w:lang w:val="fr-FR"/>
        </w:rPr>
        <w:t>examen préliminaire international qui prêtent leur concours à l</w:t>
      </w:r>
      <w:r w:rsidR="00473D89" w:rsidRPr="00C70421">
        <w:rPr>
          <w:lang w:val="fr-FR"/>
        </w:rPr>
        <w:t>’</w:t>
      </w:r>
      <w:r w:rsidR="00313BA3" w:rsidRPr="00C70421">
        <w:rPr>
          <w:lang w:val="fr-FR"/>
        </w:rPr>
        <w:t>évaluation de la mesure dans laquelle les</w:t>
      </w:r>
      <w:r w:rsidR="005A11EC" w:rsidRPr="00C70421">
        <w:rPr>
          <w:lang w:val="fr-FR"/>
        </w:rPr>
        <w:t xml:space="preserve"> critères</w:t>
      </w:r>
      <w:r w:rsidR="005C4B2F" w:rsidRPr="00C70421">
        <w:rPr>
          <w:lang w:val="fr-FR"/>
        </w:rPr>
        <w:t xml:space="preserve"> </w:t>
      </w:r>
      <w:r w:rsidR="005A11EC" w:rsidRPr="00C70421">
        <w:rPr>
          <w:lang w:val="fr-FR"/>
        </w:rPr>
        <w:t>sont</w:t>
      </w:r>
      <w:r w:rsidR="00313BA3" w:rsidRPr="00C70421">
        <w:rPr>
          <w:lang w:val="fr-FR"/>
        </w:rPr>
        <w:t xml:space="preserve"> remplis</w:t>
      </w:r>
      <w:r w:rsidR="00473D89" w:rsidRPr="00C70421">
        <w:rPr>
          <w:lang w:val="fr-FR"/>
        </w:rPr>
        <w:t> :</w:t>
      </w:r>
    </w:p>
    <w:p w:rsidR="00473D89" w:rsidRPr="00C70421" w:rsidRDefault="005C4B2F" w:rsidP="00E93C4E">
      <w:pPr>
        <w:ind w:left="567"/>
        <w:rPr>
          <w:lang w:val="fr-FR"/>
        </w:rPr>
      </w:pPr>
      <w:r w:rsidRPr="00C70421">
        <w:rPr>
          <w:lang w:val="fr-FR"/>
        </w:rPr>
        <w:t xml:space="preserve">Conformément aux </w:t>
      </w:r>
      <w:r w:rsidR="00DD54E2">
        <w:rPr>
          <w:lang w:val="fr-FR"/>
        </w:rPr>
        <w:t>p</w:t>
      </w:r>
      <w:r w:rsidRPr="00C70421">
        <w:rPr>
          <w:lang w:val="fr-FR"/>
        </w:rPr>
        <w:t xml:space="preserve">rocédures </w:t>
      </w:r>
      <w:r w:rsidR="00DD54E2">
        <w:rPr>
          <w:lang w:val="fr-FR"/>
        </w:rPr>
        <w:t>relatives à la</w:t>
      </w:r>
      <w:r w:rsidRPr="00C70421">
        <w:rPr>
          <w:lang w:val="fr-FR"/>
        </w:rPr>
        <w:t xml:space="preserve"> nomination des administrations internationales adoptées à la quarante</w:t>
      </w:r>
      <w:r w:rsidR="00001599">
        <w:rPr>
          <w:lang w:val="fr-FR"/>
        </w:rPr>
        <w:noBreakHyphen/>
      </w:r>
      <w:r w:rsidRPr="00C70421">
        <w:rPr>
          <w:lang w:val="fr-FR"/>
        </w:rPr>
        <w:t>six</w:t>
      </w:r>
      <w:r w:rsidR="00473D89" w:rsidRPr="00C70421">
        <w:rPr>
          <w:lang w:val="fr-FR"/>
        </w:rPr>
        <w:t>ième session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Assemblée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Union du PCT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="005A11EC" w:rsidRPr="00C70421">
        <w:rPr>
          <w:lang w:val="fr-FR"/>
        </w:rPr>
        <w:t>a obtenu</w:t>
      </w:r>
      <w:r w:rsidR="0050667A" w:rsidRPr="00C70421">
        <w:rPr>
          <w:lang w:val="fr-FR"/>
        </w:rPr>
        <w:t xml:space="preserve"> </w:t>
      </w:r>
      <w:r w:rsidR="005A11EC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344C3E" w:rsidRPr="00C70421">
        <w:rPr>
          <w:lang w:val="fr-FR"/>
        </w:rPr>
        <w:t>aide</w:t>
      </w:r>
      <w:r w:rsidR="0050667A" w:rsidRPr="00C70421">
        <w:rPr>
          <w:lang w:val="fr-FR"/>
        </w:rPr>
        <w:t xml:space="preserve"> </w:t>
      </w:r>
      <w:r w:rsidR="009F6A96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Office </w:t>
      </w:r>
      <w:r w:rsidR="009F6A96" w:rsidRPr="00C70421">
        <w:rPr>
          <w:lang w:val="fr-FR"/>
        </w:rPr>
        <w:t xml:space="preserve">australien des brevets </w:t>
      </w:r>
      <w:r w:rsidR="0050667A" w:rsidRPr="00C70421">
        <w:rPr>
          <w:lang w:val="fr-FR"/>
        </w:rPr>
        <w:t>(IP</w:t>
      </w:r>
      <w:r w:rsidR="00373B66" w:rsidRPr="00C70421">
        <w:rPr>
          <w:lang w:val="fr-FR"/>
        </w:rPr>
        <w:t> </w:t>
      </w:r>
      <w:proofErr w:type="spellStart"/>
      <w:r w:rsidR="0050667A" w:rsidRPr="00C70421">
        <w:rPr>
          <w:lang w:val="fr-FR"/>
        </w:rPr>
        <w:t>Australia</w:t>
      </w:r>
      <w:proofErr w:type="spellEnd"/>
      <w:r w:rsidR="0050667A" w:rsidRPr="00C70421">
        <w:rPr>
          <w:lang w:val="fr-FR"/>
        </w:rPr>
        <w:t xml:space="preserve">), </w:t>
      </w:r>
      <w:r w:rsidR="009F6A96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Office</w:t>
      </w:r>
      <w:r w:rsidR="009F6A96" w:rsidRPr="00C70421">
        <w:rPr>
          <w:lang w:val="fr-FR"/>
        </w:rPr>
        <w:t xml:space="preserve"> des brevets d</w:t>
      </w:r>
      <w:r w:rsidR="00473D89" w:rsidRPr="00C70421">
        <w:rPr>
          <w:lang w:val="fr-FR"/>
        </w:rPr>
        <w:t>’</w:t>
      </w:r>
      <w:r w:rsidR="009F6A96" w:rsidRPr="00C70421">
        <w:rPr>
          <w:lang w:val="fr-FR"/>
        </w:rPr>
        <w:t>Israël</w:t>
      </w:r>
      <w:r w:rsidR="0050667A" w:rsidRPr="00C70421">
        <w:rPr>
          <w:lang w:val="fr-FR"/>
        </w:rPr>
        <w:t xml:space="preserve"> (ILPO) </w:t>
      </w:r>
      <w:r w:rsidR="009F6A96" w:rsidRPr="00C70421">
        <w:rPr>
          <w:lang w:val="fr-FR"/>
        </w:rPr>
        <w:t>et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Office</w:t>
      </w:r>
      <w:r w:rsidR="009F6A96" w:rsidRPr="00C70421">
        <w:rPr>
          <w:lang w:val="fr-FR"/>
        </w:rPr>
        <w:t xml:space="preserve"> de la propriété intellectuelle du Royaume</w:t>
      </w:r>
      <w:r w:rsidR="00001599">
        <w:rPr>
          <w:lang w:val="fr-FR"/>
        </w:rPr>
        <w:noBreakHyphen/>
      </w:r>
      <w:r w:rsidR="009F6A96" w:rsidRPr="00C70421">
        <w:rPr>
          <w:lang w:val="fr-FR"/>
        </w:rPr>
        <w:t xml:space="preserve">Uni </w:t>
      </w:r>
      <w:r w:rsidR="0050667A" w:rsidRPr="00C70421">
        <w:rPr>
          <w:lang w:val="fr-FR"/>
        </w:rPr>
        <w:t>(UK</w:t>
      </w:r>
      <w:r w:rsidR="008229A2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IPO) </w:t>
      </w:r>
      <w:r w:rsidR="00344C3E" w:rsidRPr="00C70421">
        <w:rPr>
          <w:lang w:val="fr-FR"/>
        </w:rPr>
        <w:t>dans l</w:t>
      </w:r>
      <w:r w:rsidR="00473D89" w:rsidRPr="00C70421">
        <w:rPr>
          <w:lang w:val="fr-FR"/>
        </w:rPr>
        <w:t>’</w:t>
      </w:r>
      <w:r w:rsidR="00344C3E" w:rsidRPr="00C70421">
        <w:rPr>
          <w:lang w:val="fr-FR"/>
        </w:rPr>
        <w:t>évaluation de sa demande</w:t>
      </w:r>
      <w:r w:rsidR="008B1AE0" w:rsidRPr="00C70421">
        <w:rPr>
          <w:lang w:val="fr-FR"/>
        </w:rPr>
        <w:t xml:space="preserve">.  </w:t>
      </w:r>
      <w:r w:rsidR="009F6A96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9F6A96" w:rsidRPr="00C70421">
        <w:rPr>
          <w:lang w:val="fr-FR"/>
        </w:rPr>
        <w:t xml:space="preserve">OPIC a également </w:t>
      </w:r>
      <w:r w:rsidR="00344C3E" w:rsidRPr="00C70421">
        <w:rPr>
          <w:lang w:val="fr-FR"/>
        </w:rPr>
        <w:t>présenté</w:t>
      </w:r>
      <w:r w:rsidR="009F6A96" w:rsidRPr="00C70421">
        <w:rPr>
          <w:lang w:val="fr-FR"/>
        </w:rPr>
        <w:t xml:space="preserve"> un projet de sa </w:t>
      </w:r>
      <w:r w:rsidR="00344C3E" w:rsidRPr="00C70421">
        <w:rPr>
          <w:lang w:val="fr-FR"/>
        </w:rPr>
        <w:t>demande</w:t>
      </w:r>
      <w:r w:rsidR="009F6A96" w:rsidRPr="00C70421">
        <w:rPr>
          <w:lang w:val="fr-FR"/>
        </w:rPr>
        <w:t xml:space="preserve"> au Bureau international pour </w:t>
      </w:r>
      <w:r w:rsidR="00D660D4" w:rsidRPr="00C70421">
        <w:rPr>
          <w:lang w:val="fr-FR"/>
        </w:rPr>
        <w:t>exam</w:t>
      </w:r>
      <w:r w:rsidR="00C70421" w:rsidRPr="00C70421">
        <w:rPr>
          <w:lang w:val="fr-FR"/>
        </w:rPr>
        <w:t>en.  Da</w:t>
      </w:r>
      <w:r w:rsidR="00031F9E" w:rsidRPr="00C70421">
        <w:rPr>
          <w:lang w:val="fr-FR"/>
        </w:rPr>
        <w:t xml:space="preserve">ns sa </w:t>
      </w:r>
      <w:r w:rsidR="000E789C" w:rsidRPr="00C70421">
        <w:rPr>
          <w:lang w:val="fr-FR"/>
        </w:rPr>
        <w:t>demande officielle</w:t>
      </w:r>
      <w:r w:rsidR="00031F9E" w:rsidRPr="00C70421">
        <w:rPr>
          <w:lang w:val="fr-FR"/>
        </w:rPr>
        <w:t>, l</w:t>
      </w:r>
      <w:r w:rsidR="00473D89" w:rsidRPr="00C70421">
        <w:rPr>
          <w:lang w:val="fr-FR"/>
        </w:rPr>
        <w:t>’</w:t>
      </w:r>
      <w:r w:rsidR="009F6A96" w:rsidRPr="00C70421">
        <w:rPr>
          <w:lang w:val="fr-FR"/>
        </w:rPr>
        <w:t>OPIC a tenu compte de toutes les observations reçues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ind w:left="567"/>
        <w:rPr>
          <w:lang w:val="fr-FR"/>
        </w:rPr>
      </w:pP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lang w:val="fr-FR"/>
        </w:rPr>
        <w:t>IP</w:t>
      </w:r>
      <w:r w:rsidR="00373B66" w:rsidRPr="00C70421">
        <w:rPr>
          <w:lang w:val="fr-FR"/>
        </w:rPr>
        <w:t> </w:t>
      </w:r>
      <w:proofErr w:type="spellStart"/>
      <w:r w:rsidRPr="00C70421">
        <w:rPr>
          <w:lang w:val="fr-FR"/>
        </w:rPr>
        <w:t>Australia</w:t>
      </w:r>
      <w:proofErr w:type="spellEnd"/>
      <w:r w:rsidR="007B1125" w:rsidRPr="00C70421">
        <w:rPr>
          <w:lang w:val="fr-FR"/>
        </w:rPr>
        <w:t xml:space="preserve"> a </w:t>
      </w:r>
      <w:r w:rsidR="009B73CA" w:rsidRPr="00C70421">
        <w:rPr>
          <w:lang w:val="fr-FR"/>
        </w:rPr>
        <w:t>évalu</w:t>
      </w:r>
      <w:r w:rsidR="000E789C" w:rsidRPr="00C70421">
        <w:rPr>
          <w:lang w:val="fr-FR"/>
        </w:rPr>
        <w:t>é</w:t>
      </w:r>
      <w:r w:rsidR="007B1125" w:rsidRPr="00C70421">
        <w:rPr>
          <w:lang w:val="fr-FR"/>
        </w:rPr>
        <w:t xml:space="preserve"> le</w:t>
      </w:r>
      <w:r w:rsidR="00D718CD" w:rsidRPr="00C70421">
        <w:rPr>
          <w:lang w:val="fr-FR"/>
        </w:rPr>
        <w:t xml:space="preserve"> rapport </w:t>
      </w:r>
      <w:r w:rsidR="00473D89" w:rsidRPr="00C70421">
        <w:rPr>
          <w:lang w:val="fr-FR"/>
        </w:rPr>
        <w:t>de 2015</w:t>
      </w:r>
      <w:r w:rsidR="00D718CD" w:rsidRPr="00C70421">
        <w:rPr>
          <w:lang w:val="fr-FR"/>
        </w:rPr>
        <w:t xml:space="preserve"> </w:t>
      </w:r>
      <w:r w:rsidR="009B73CA" w:rsidRPr="00C70421">
        <w:rPr>
          <w:lang w:val="fr-FR"/>
        </w:rPr>
        <w:t>du</w:t>
      </w:r>
      <w:r w:rsidR="007B1125" w:rsidRPr="00C70421">
        <w:rPr>
          <w:lang w:val="fr-FR"/>
        </w:rPr>
        <w:t xml:space="preserve"> système de gestion de la qualité</w:t>
      </w:r>
      <w:r w:rsidR="00D718CD"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="00D718CD" w:rsidRPr="00C70421">
        <w:rPr>
          <w:lang w:val="fr-FR"/>
        </w:rPr>
        <w:t>OPIC</w:t>
      </w:r>
      <w:r w:rsidR="00210AB1" w:rsidRPr="00C70421">
        <w:rPr>
          <w:lang w:val="fr-FR"/>
        </w:rPr>
        <w:t xml:space="preserve"> durant</w:t>
      </w:r>
      <w:r w:rsidR="00D718CD" w:rsidRPr="00C70421">
        <w:rPr>
          <w:lang w:val="fr-FR"/>
        </w:rPr>
        <w:t xml:space="preserve"> </w:t>
      </w:r>
      <w:r w:rsidR="007B1125" w:rsidRPr="00C70421">
        <w:rPr>
          <w:lang w:val="fr-FR"/>
        </w:rPr>
        <w:t>la première phase d</w:t>
      </w:r>
      <w:r w:rsidR="00473D89" w:rsidRPr="00C70421">
        <w:rPr>
          <w:lang w:val="fr-FR"/>
        </w:rPr>
        <w:t>’</w:t>
      </w:r>
      <w:r w:rsidR="007B1125" w:rsidRPr="00C70421">
        <w:rPr>
          <w:lang w:val="fr-FR"/>
        </w:rPr>
        <w:t xml:space="preserve">un exercice pilote mené au cours de la session </w:t>
      </w:r>
      <w:r w:rsidR="00D718CD" w:rsidRPr="00C70421">
        <w:rPr>
          <w:lang w:val="fr-FR"/>
        </w:rPr>
        <w:t>du Sous</w:t>
      </w:r>
      <w:r w:rsidR="00001599">
        <w:rPr>
          <w:lang w:val="fr-FR"/>
        </w:rPr>
        <w:noBreakHyphen/>
      </w:r>
      <w:r w:rsidR="00D718CD" w:rsidRPr="00C70421">
        <w:rPr>
          <w:lang w:val="fr-FR"/>
        </w:rPr>
        <w:t>groupe chargé de la qualité</w:t>
      </w:r>
      <w:r w:rsidRPr="00C70421">
        <w:rPr>
          <w:lang w:val="fr-FR"/>
        </w:rPr>
        <w:t xml:space="preserve"> </w:t>
      </w:r>
      <w:r w:rsidR="00473D89" w:rsidRPr="00C70421">
        <w:rPr>
          <w:lang w:val="fr-FR"/>
        </w:rPr>
        <w:t>en 2017</w:t>
      </w:r>
      <w:r w:rsidRPr="00C70421">
        <w:rPr>
          <w:lang w:val="fr-FR"/>
        </w:rPr>
        <w:t xml:space="preserve"> </w:t>
      </w:r>
      <w:r w:rsidR="00D660D4" w:rsidRPr="00C70421">
        <w:rPr>
          <w:lang w:val="fr-FR"/>
        </w:rPr>
        <w:t>et a fait part de ses observatio</w:t>
      </w:r>
      <w:r w:rsidR="00C70421" w:rsidRPr="00C70421">
        <w:rPr>
          <w:lang w:val="fr-FR"/>
        </w:rPr>
        <w:t>ns.  La</w:t>
      </w:r>
      <w:r w:rsidRPr="00C70421">
        <w:rPr>
          <w:lang w:val="fr-FR"/>
        </w:rPr>
        <w:t xml:space="preserve"> </w:t>
      </w:r>
      <w:r w:rsidR="00D660D4" w:rsidRPr="00C70421">
        <w:rPr>
          <w:lang w:val="fr-FR"/>
        </w:rPr>
        <w:t xml:space="preserve">phase </w:t>
      </w:r>
      <w:r w:rsidRPr="00C70421">
        <w:rPr>
          <w:lang w:val="fr-FR"/>
        </w:rPr>
        <w:t>pilot</w:t>
      </w:r>
      <w:r w:rsidR="00D660D4" w:rsidRPr="00C70421">
        <w:rPr>
          <w:lang w:val="fr-FR"/>
        </w:rPr>
        <w:t>e</w:t>
      </w:r>
      <w:r w:rsidRPr="00C70421">
        <w:rPr>
          <w:lang w:val="fr-FR"/>
        </w:rPr>
        <w:t xml:space="preserve"> </w:t>
      </w:r>
      <w:r w:rsidR="009B73CA" w:rsidRPr="00C70421">
        <w:rPr>
          <w:lang w:val="fr-FR"/>
        </w:rPr>
        <w:t>du s</w:t>
      </w:r>
      <w:r w:rsidR="00D660D4" w:rsidRPr="00C70421">
        <w:rPr>
          <w:lang w:val="fr-FR"/>
        </w:rPr>
        <w:t>ous</w:t>
      </w:r>
      <w:r w:rsidR="00001599">
        <w:rPr>
          <w:lang w:val="fr-FR"/>
        </w:rPr>
        <w:noBreakHyphen/>
      </w:r>
      <w:r w:rsidR="00D660D4" w:rsidRPr="00C70421">
        <w:rPr>
          <w:lang w:val="fr-FR"/>
        </w:rPr>
        <w:t xml:space="preserve">groupe consistait à évaluer le rapport </w:t>
      </w:r>
      <w:r w:rsidR="009B73CA" w:rsidRPr="00C70421">
        <w:rPr>
          <w:lang w:val="fr-FR"/>
        </w:rPr>
        <w:t>du</w:t>
      </w:r>
      <w:r w:rsidR="00D660D4" w:rsidRPr="00C70421">
        <w:rPr>
          <w:lang w:val="fr-FR"/>
        </w:rPr>
        <w:t xml:space="preserve"> système de gestion de la qualité</w:t>
      </w:r>
      <w:r w:rsidRPr="00C70421">
        <w:rPr>
          <w:lang w:val="fr-FR"/>
        </w:rPr>
        <w:t xml:space="preserve"> </w:t>
      </w:r>
      <w:r w:rsidR="00D660D4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D660D4" w:rsidRPr="00C70421">
        <w:rPr>
          <w:lang w:val="fr-FR"/>
        </w:rPr>
        <w:t xml:space="preserve">un autre office volontaire participant à </w:t>
      </w:r>
      <w:r w:rsidR="00210AB1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210AB1" w:rsidRPr="00C70421">
        <w:rPr>
          <w:lang w:val="fr-FR"/>
        </w:rPr>
        <w:t>exercice et à</w:t>
      </w:r>
      <w:r w:rsidR="00D660D4" w:rsidRPr="00C70421">
        <w:rPr>
          <w:lang w:val="fr-FR"/>
        </w:rPr>
        <w:t xml:space="preserve"> voir </w:t>
      </w:r>
      <w:r w:rsidR="009B73CA" w:rsidRPr="00C70421">
        <w:rPr>
          <w:lang w:val="fr-FR"/>
        </w:rPr>
        <w:t>le</w:t>
      </w:r>
      <w:r w:rsidR="00D660D4" w:rsidRPr="00C70421">
        <w:rPr>
          <w:lang w:val="fr-FR"/>
        </w:rPr>
        <w:t xml:space="preserve"> rapport de</w:t>
      </w:r>
      <w:r w:rsidR="009B73CA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9B73CA" w:rsidRPr="00C70421">
        <w:rPr>
          <w:lang w:val="fr-FR"/>
        </w:rPr>
        <w:t xml:space="preserve">OPIC </w:t>
      </w:r>
      <w:r w:rsidR="00473D89" w:rsidRPr="00C70421">
        <w:rPr>
          <w:lang w:val="fr-FR"/>
        </w:rPr>
        <w:t>de 2016</w:t>
      </w:r>
      <w:r w:rsidR="00D660D4" w:rsidRPr="00C70421">
        <w:rPr>
          <w:lang w:val="fr-FR"/>
        </w:rPr>
        <w:t xml:space="preserve"> évalué en reto</w:t>
      </w:r>
      <w:r w:rsidR="00C70421" w:rsidRPr="00C70421">
        <w:rPr>
          <w:lang w:val="fr-FR"/>
        </w:rPr>
        <w:t>ur.  Un</w:t>
      </w:r>
      <w:r w:rsidR="004E6979" w:rsidRPr="00C70421">
        <w:rPr>
          <w:lang w:val="fr-FR"/>
        </w:rPr>
        <w:t xml:space="preserve"> récapitulatif des</w:t>
      </w:r>
      <w:r w:rsidR="00D660D4" w:rsidRPr="00C70421">
        <w:rPr>
          <w:lang w:val="fr-FR"/>
        </w:rPr>
        <w:t xml:space="preserve"> évaluations</w:t>
      </w:r>
      <w:r w:rsidR="004E6979" w:rsidRPr="00C70421">
        <w:rPr>
          <w:lang w:val="fr-FR"/>
        </w:rPr>
        <w:t xml:space="preserve"> </w:t>
      </w:r>
      <w:r w:rsidR="00D660D4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IP</w:t>
      </w:r>
      <w:r w:rsidR="00373B66" w:rsidRPr="00C70421">
        <w:rPr>
          <w:lang w:val="fr-FR"/>
        </w:rPr>
        <w:t> </w:t>
      </w:r>
      <w:proofErr w:type="spellStart"/>
      <w:r w:rsidRPr="00C70421">
        <w:rPr>
          <w:lang w:val="fr-FR"/>
        </w:rPr>
        <w:t>Australia</w:t>
      </w:r>
      <w:proofErr w:type="spellEnd"/>
      <w:r w:rsidRPr="00C70421">
        <w:rPr>
          <w:lang w:val="fr-FR"/>
        </w:rPr>
        <w:t xml:space="preserve"> </w:t>
      </w:r>
      <w:r w:rsidR="00D660D4" w:rsidRPr="00C70421">
        <w:rPr>
          <w:lang w:val="fr-FR"/>
        </w:rPr>
        <w:t>et de l</w:t>
      </w:r>
      <w:r w:rsidR="00473D89" w:rsidRPr="00C70421">
        <w:rPr>
          <w:lang w:val="fr-FR"/>
        </w:rPr>
        <w:t>’</w:t>
      </w:r>
      <w:r w:rsidR="00D660D4" w:rsidRPr="00C70421">
        <w:rPr>
          <w:lang w:val="fr-FR"/>
        </w:rPr>
        <w:t>Office autrichien des brevets</w:t>
      </w:r>
      <w:r w:rsidRPr="00C70421">
        <w:rPr>
          <w:lang w:val="fr-FR"/>
        </w:rPr>
        <w:t xml:space="preserve"> (APO) </w:t>
      </w:r>
      <w:r w:rsidR="00841C9B" w:rsidRPr="00C70421">
        <w:rPr>
          <w:lang w:val="fr-FR"/>
        </w:rPr>
        <w:t>figure à la rubrique</w:t>
      </w:r>
      <w:r w:rsidR="00001599">
        <w:rPr>
          <w:lang w:val="fr-FR"/>
        </w:rPr>
        <w:t> </w:t>
      </w:r>
      <w:r w:rsidR="00841C9B" w:rsidRPr="00C70421">
        <w:rPr>
          <w:lang w:val="fr-FR"/>
        </w:rPr>
        <w:t>9</w:t>
      </w:r>
      <w:r w:rsidRPr="00C70421">
        <w:rPr>
          <w:lang w:val="fr-FR"/>
        </w:rPr>
        <w:t>.</w:t>
      </w:r>
    </w:p>
    <w:p w:rsidR="0050667A" w:rsidRPr="00C70421" w:rsidRDefault="0050667A" w:rsidP="00E93C4E">
      <w:pPr>
        <w:ind w:left="567"/>
        <w:rPr>
          <w:lang w:val="fr-FR"/>
        </w:rPr>
      </w:pPr>
    </w:p>
    <w:p w:rsidR="0050667A" w:rsidRPr="00C70421" w:rsidRDefault="00210AB1" w:rsidP="00E93C4E">
      <w:pPr>
        <w:ind w:left="567"/>
        <w:rPr>
          <w:lang w:val="fr-FR"/>
        </w:rPr>
      </w:pPr>
      <w:r w:rsidRPr="00C70421">
        <w:rPr>
          <w:lang w:val="fr-FR"/>
        </w:rPr>
        <w:lastRenderedPageBreak/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cherche en permanence à s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améliorer</w:t>
      </w:r>
      <w:r w:rsidR="00EB5BFE" w:rsidRPr="00C70421">
        <w:rPr>
          <w:lang w:val="fr-FR"/>
        </w:rPr>
        <w:t xml:space="preserve"> pour que </w:t>
      </w:r>
      <w:r w:rsidR="009B73CA" w:rsidRPr="00C70421">
        <w:rPr>
          <w:lang w:val="fr-FR"/>
        </w:rPr>
        <w:t>se</w:t>
      </w:r>
      <w:r w:rsidR="00EB5BFE" w:rsidRPr="00C70421">
        <w:rPr>
          <w:lang w:val="fr-FR"/>
        </w:rPr>
        <w:t>s examinateurs puissent faire mieux que les exigences minimales requis</w:t>
      </w:r>
      <w:r w:rsidR="00C70421" w:rsidRPr="00C70421">
        <w:rPr>
          <w:lang w:val="fr-FR"/>
        </w:rPr>
        <w:t>es.  Ce</w:t>
      </w:r>
      <w:r w:rsidR="00EB5BFE" w:rsidRPr="00C70421">
        <w:rPr>
          <w:lang w:val="fr-FR"/>
        </w:rPr>
        <w:t>la est rendu possible notamment par les échanges</w:t>
      </w:r>
      <w:r w:rsidR="0050667A" w:rsidRPr="00C70421">
        <w:rPr>
          <w:lang w:val="fr-FR"/>
        </w:rPr>
        <w:t xml:space="preserve"> </w:t>
      </w:r>
      <w:r w:rsidR="00EB5BFE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information</w:t>
      </w:r>
      <w:r w:rsidR="00EB5BFE" w:rsidRPr="00C70421">
        <w:rPr>
          <w:lang w:val="fr-FR"/>
        </w:rPr>
        <w:t>s et d</w:t>
      </w:r>
      <w:r w:rsidR="00473D89" w:rsidRPr="00C70421">
        <w:rPr>
          <w:lang w:val="fr-FR"/>
        </w:rPr>
        <w:t>’</w:t>
      </w:r>
      <w:r w:rsidR="00EB5BFE" w:rsidRPr="00C70421">
        <w:rPr>
          <w:lang w:val="fr-FR"/>
        </w:rPr>
        <w:t>observations sur les bonnes pratiques avec d</w:t>
      </w:r>
      <w:r w:rsidR="00473D89" w:rsidRPr="00C70421">
        <w:rPr>
          <w:lang w:val="fr-FR"/>
        </w:rPr>
        <w:t>’</w:t>
      </w:r>
      <w:r w:rsidR="00022467" w:rsidRPr="00C70421">
        <w:rPr>
          <w:lang w:val="fr-FR"/>
        </w:rPr>
        <w:t>autre</w:t>
      </w:r>
      <w:r w:rsidR="00EB5BFE" w:rsidRPr="00C70421">
        <w:rPr>
          <w:lang w:val="fr-FR"/>
        </w:rPr>
        <w:t>s offices internationa</w:t>
      </w:r>
      <w:r w:rsidR="00C70421" w:rsidRPr="00C70421">
        <w:rPr>
          <w:lang w:val="fr-FR"/>
        </w:rPr>
        <w:t>ux.  Ce</w:t>
      </w:r>
      <w:r w:rsidR="006A0D29" w:rsidRPr="00C70421">
        <w:rPr>
          <w:lang w:val="fr-FR"/>
        </w:rPr>
        <w:t>s échanges permettent à l</w:t>
      </w:r>
      <w:r w:rsidR="00473D89" w:rsidRPr="00C70421">
        <w:rPr>
          <w:lang w:val="fr-FR"/>
        </w:rPr>
        <w:t>’</w:t>
      </w:r>
      <w:r w:rsidR="00EB5BFE" w:rsidRPr="00C70421">
        <w:rPr>
          <w:lang w:val="fr-FR"/>
        </w:rPr>
        <w:t xml:space="preserve">OPIC </w:t>
      </w:r>
      <w:r w:rsidR="006A0D29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6A0D29" w:rsidRPr="00C70421">
        <w:rPr>
          <w:lang w:val="fr-FR"/>
        </w:rPr>
        <w:t xml:space="preserve">avoir </w:t>
      </w:r>
      <w:r w:rsidR="00EB5BFE" w:rsidRPr="00C70421">
        <w:rPr>
          <w:lang w:val="fr-FR"/>
        </w:rPr>
        <w:t xml:space="preserve">ses propres critères de </w:t>
      </w:r>
      <w:r w:rsidR="006A0D29" w:rsidRPr="00C70421">
        <w:rPr>
          <w:lang w:val="fr-FR"/>
        </w:rPr>
        <w:t>référence</w:t>
      </w:r>
      <w:r w:rsidR="00EB5BFE" w:rsidRPr="00C70421">
        <w:rPr>
          <w:lang w:val="fr-FR"/>
        </w:rPr>
        <w:t xml:space="preserve"> </w:t>
      </w:r>
      <w:r w:rsidR="006A0D29" w:rsidRPr="00C70421">
        <w:rPr>
          <w:lang w:val="fr-FR"/>
        </w:rPr>
        <w:t>afin d</w:t>
      </w:r>
      <w:r w:rsidR="00473D89" w:rsidRPr="00C70421">
        <w:rPr>
          <w:lang w:val="fr-FR"/>
        </w:rPr>
        <w:t>’</w:t>
      </w:r>
      <w:r w:rsidR="00EB5BFE" w:rsidRPr="00C70421">
        <w:rPr>
          <w:lang w:val="fr-FR"/>
        </w:rPr>
        <w:t>auto</w:t>
      </w:r>
      <w:r w:rsidR="00001599">
        <w:rPr>
          <w:lang w:val="fr-FR"/>
        </w:rPr>
        <w:noBreakHyphen/>
      </w:r>
      <w:r w:rsidR="00EB5BFE" w:rsidRPr="00C70421">
        <w:rPr>
          <w:lang w:val="fr-FR"/>
        </w:rPr>
        <w:t xml:space="preserve">évaluer </w:t>
      </w:r>
      <w:r w:rsidR="006A0D29" w:rsidRPr="00C70421">
        <w:rPr>
          <w:lang w:val="fr-FR"/>
        </w:rPr>
        <w:t xml:space="preserve">dans quelle mesure </w:t>
      </w:r>
      <w:r w:rsidR="00022467" w:rsidRPr="00C70421">
        <w:rPr>
          <w:lang w:val="fr-FR"/>
        </w:rPr>
        <w:t>les</w:t>
      </w:r>
      <w:r w:rsidR="006A0D29" w:rsidRPr="00C70421">
        <w:rPr>
          <w:lang w:val="fr-FR"/>
        </w:rPr>
        <w:t xml:space="preserve"> critères </w:t>
      </w:r>
      <w:r w:rsidR="00022467" w:rsidRPr="00C70421">
        <w:rPr>
          <w:lang w:val="fr-FR"/>
        </w:rPr>
        <w:t>sont remplis</w:t>
      </w:r>
      <w:r w:rsidR="006A0D29" w:rsidRPr="00C70421">
        <w:rPr>
          <w:lang w:val="fr-FR"/>
        </w:rPr>
        <w:t xml:space="preserve">, voire </w:t>
      </w:r>
      <w:r w:rsidR="00022467" w:rsidRPr="00C70421">
        <w:rPr>
          <w:lang w:val="fr-FR"/>
        </w:rPr>
        <w:t>dépassés</w:t>
      </w:r>
      <w:r w:rsidR="0050667A" w:rsidRPr="00C70421">
        <w:rPr>
          <w:lang w:val="fr-FR"/>
        </w:rPr>
        <w:t xml:space="preserve">.  </w:t>
      </w:r>
      <w:r w:rsidR="006A0D29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6A0D29" w:rsidRPr="00C70421">
        <w:rPr>
          <w:lang w:val="fr-FR"/>
        </w:rPr>
        <w:t xml:space="preserve">OPIC </w:t>
      </w:r>
      <w:r w:rsidR="00C569C5" w:rsidRPr="00C70421">
        <w:rPr>
          <w:lang w:val="fr-FR"/>
        </w:rPr>
        <w:t>collabore</w:t>
      </w:r>
      <w:r w:rsidR="006A0D29" w:rsidRPr="00C70421">
        <w:rPr>
          <w:lang w:val="fr-FR"/>
        </w:rPr>
        <w:t xml:space="preserve"> également </w:t>
      </w:r>
      <w:r w:rsidR="00C569C5" w:rsidRPr="00C70421">
        <w:rPr>
          <w:lang w:val="fr-FR"/>
        </w:rPr>
        <w:t>avec le</w:t>
      </w:r>
      <w:r w:rsidR="006A0D29" w:rsidRPr="00C70421">
        <w:rPr>
          <w:lang w:val="fr-FR"/>
        </w:rPr>
        <w:t xml:space="preserve">s </w:t>
      </w:r>
      <w:r w:rsidR="00DD54E2">
        <w:rPr>
          <w:lang w:val="fr-FR"/>
        </w:rPr>
        <w:t>administration</w:t>
      </w:r>
      <w:r w:rsidR="006A0D29" w:rsidRPr="00C70421">
        <w:rPr>
          <w:lang w:val="fr-FR"/>
        </w:rPr>
        <w:t>s internationa</w:t>
      </w:r>
      <w:r w:rsidR="00DD54E2">
        <w:rPr>
          <w:lang w:val="fr-FR"/>
        </w:rPr>
        <w:t>les</w:t>
      </w:r>
      <w:r w:rsidR="00C569C5" w:rsidRPr="00C70421">
        <w:rPr>
          <w:lang w:val="fr-FR"/>
        </w:rPr>
        <w:t xml:space="preserve"> afin </w:t>
      </w:r>
      <w:r w:rsidR="00266575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266575" w:rsidRPr="00C70421">
        <w:rPr>
          <w:lang w:val="fr-FR"/>
        </w:rPr>
        <w:t>améliorer constamment</w:t>
      </w:r>
      <w:r w:rsidR="006A0D29" w:rsidRPr="00C70421">
        <w:rPr>
          <w:lang w:val="fr-FR"/>
        </w:rPr>
        <w:t xml:space="preserve"> </w:t>
      </w:r>
      <w:r w:rsidR="00266575" w:rsidRPr="00C70421">
        <w:rPr>
          <w:lang w:val="fr-FR"/>
        </w:rPr>
        <w:t xml:space="preserve">le </w:t>
      </w:r>
      <w:r w:rsidR="006A0D29" w:rsidRPr="00C70421">
        <w:rPr>
          <w:lang w:val="fr-FR"/>
        </w:rPr>
        <w:t>système</w:t>
      </w:r>
      <w:r w:rsidR="00473D89" w:rsidRPr="00C70421">
        <w:rPr>
          <w:lang w:val="fr-FR"/>
        </w:rPr>
        <w:t xml:space="preserve"> du PCT</w:t>
      </w:r>
      <w:r w:rsidR="00C569C5" w:rsidRPr="00C70421">
        <w:rPr>
          <w:lang w:val="fr-FR"/>
        </w:rPr>
        <w:t xml:space="preserve"> </w:t>
      </w:r>
      <w:r w:rsidR="00266575" w:rsidRPr="00C70421">
        <w:rPr>
          <w:lang w:val="fr-FR"/>
        </w:rPr>
        <w:t xml:space="preserve">dans son </w:t>
      </w:r>
      <w:r w:rsidR="00C569C5" w:rsidRPr="00C70421">
        <w:rPr>
          <w:lang w:val="fr-FR"/>
        </w:rPr>
        <w:t xml:space="preserve">ensemble </w:t>
      </w:r>
      <w:r w:rsidR="00266575" w:rsidRPr="00C70421">
        <w:rPr>
          <w:lang w:val="fr-FR"/>
        </w:rPr>
        <w:t>p</w:t>
      </w:r>
      <w:r w:rsidR="00C569C5" w:rsidRPr="00C70421">
        <w:rPr>
          <w:lang w:val="fr-FR"/>
        </w:rPr>
        <w:t>our tous ses États contractan</w:t>
      </w:r>
      <w:r w:rsidR="00C70421" w:rsidRPr="00C70421">
        <w:rPr>
          <w:lang w:val="fr-FR"/>
        </w:rPr>
        <w:t>ts.  Vo</w:t>
      </w:r>
      <w:r w:rsidR="00C569C5" w:rsidRPr="00C70421">
        <w:rPr>
          <w:lang w:val="fr-FR"/>
        </w:rPr>
        <w:t xml:space="preserve">ici quelques exemples </w:t>
      </w:r>
      <w:r w:rsidR="00B831D8" w:rsidRPr="00C70421">
        <w:rPr>
          <w:lang w:val="fr-FR"/>
        </w:rPr>
        <w:t xml:space="preserve">des </w:t>
      </w:r>
      <w:r w:rsidR="00C569C5" w:rsidRPr="00C70421">
        <w:rPr>
          <w:lang w:val="fr-FR"/>
        </w:rPr>
        <w:t>engagement</w:t>
      </w:r>
      <w:r w:rsidR="00B831D8" w:rsidRPr="00C70421">
        <w:rPr>
          <w:lang w:val="fr-FR"/>
        </w:rPr>
        <w:t>s</w:t>
      </w:r>
      <w:r w:rsidR="00C569C5"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="00C569C5" w:rsidRPr="00C70421">
        <w:rPr>
          <w:lang w:val="fr-FR"/>
        </w:rPr>
        <w:t>OPIC</w:t>
      </w:r>
      <w:r w:rsidR="00266575" w:rsidRPr="00C70421">
        <w:rPr>
          <w:lang w:val="fr-FR"/>
        </w:rPr>
        <w:t xml:space="preserve"> à cet égard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266575" w:rsidRPr="00C70421">
        <w:rPr>
          <w:lang w:val="fr-FR"/>
        </w:rPr>
        <w:t>réalisation d</w:t>
      </w:r>
      <w:r w:rsidR="00473D89" w:rsidRPr="00C70421">
        <w:rPr>
          <w:lang w:val="fr-FR"/>
        </w:rPr>
        <w:t>’</w:t>
      </w:r>
      <w:r w:rsidR="00FE506E" w:rsidRPr="00C70421">
        <w:rPr>
          <w:lang w:val="fr-FR"/>
        </w:rPr>
        <w:t xml:space="preserve">audits qualité </w:t>
      </w:r>
      <w:r w:rsidR="00266575" w:rsidRPr="00C70421">
        <w:rPr>
          <w:lang w:val="fr-FR"/>
        </w:rPr>
        <w:t xml:space="preserve">pour évaluer les examens dans la phase </w:t>
      </w:r>
      <w:r w:rsidR="00FE506E" w:rsidRPr="00C70421">
        <w:rPr>
          <w:lang w:val="fr-FR"/>
        </w:rPr>
        <w:t>national</w:t>
      </w:r>
      <w:r w:rsidR="00266575" w:rsidRPr="00C70421">
        <w:rPr>
          <w:lang w:val="fr-FR"/>
        </w:rPr>
        <w:t>e</w:t>
      </w:r>
      <w:r w:rsidRPr="00C70421">
        <w:rPr>
          <w:lang w:val="fr-FR"/>
        </w:rPr>
        <w:t xml:space="preserve"> </w:t>
      </w:r>
      <w:r w:rsidR="005D2B45" w:rsidRPr="00C70421">
        <w:rPr>
          <w:lang w:val="fr-FR"/>
        </w:rPr>
        <w:t>avec le</w:t>
      </w:r>
      <w:r w:rsidR="00DD54E2">
        <w:rPr>
          <w:lang w:val="fr-FR"/>
        </w:rPr>
        <w:t xml:space="preserve">s </w:t>
      </w:r>
      <w:r w:rsidR="00FE506E" w:rsidRPr="00C70421">
        <w:rPr>
          <w:lang w:val="fr-FR"/>
        </w:rPr>
        <w:t xml:space="preserve">offices </w:t>
      </w:r>
      <w:r w:rsidR="00DD54E2">
        <w:rPr>
          <w:lang w:val="fr-FR"/>
        </w:rPr>
        <w:t xml:space="preserve">du groupe </w:t>
      </w:r>
      <w:r w:rsidR="00FE506E" w:rsidRPr="00C70421">
        <w:rPr>
          <w:lang w:val="fr-FR"/>
        </w:rPr>
        <w:t xml:space="preserve">de </w:t>
      </w:r>
      <w:r w:rsidRPr="00C70421">
        <w:rPr>
          <w:lang w:val="fr-FR"/>
        </w:rPr>
        <w:t>Vancouver (UK</w:t>
      </w:r>
      <w:r w:rsidR="008229A2" w:rsidRPr="00C70421">
        <w:rPr>
          <w:lang w:val="fr-FR"/>
        </w:rPr>
        <w:t xml:space="preserve"> </w:t>
      </w:r>
      <w:r w:rsidRPr="00C70421">
        <w:rPr>
          <w:lang w:val="fr-FR"/>
        </w:rPr>
        <w:t>IP</w:t>
      </w:r>
      <w:r w:rsidR="00FE506E" w:rsidRPr="00C70421">
        <w:rPr>
          <w:lang w:val="fr-FR"/>
        </w:rPr>
        <w:t>O et</w:t>
      </w:r>
      <w:r w:rsidRPr="00C70421">
        <w:rPr>
          <w:lang w:val="fr-FR"/>
        </w:rPr>
        <w:t xml:space="preserve"> IP</w:t>
      </w:r>
      <w:r w:rsidR="00373B66" w:rsidRPr="00C70421">
        <w:rPr>
          <w:lang w:val="fr-FR"/>
        </w:rPr>
        <w:t> </w:t>
      </w:r>
      <w:proofErr w:type="spellStart"/>
      <w:r w:rsidRPr="00C70421">
        <w:rPr>
          <w:lang w:val="fr-FR"/>
        </w:rPr>
        <w:t>Australia</w:t>
      </w:r>
      <w:proofErr w:type="spellEnd"/>
      <w:r w:rsidRPr="00C70421">
        <w:rPr>
          <w:lang w:val="fr-FR"/>
        </w:rPr>
        <w:t>);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8229A2" w:rsidRPr="00C70421">
        <w:rPr>
          <w:lang w:val="fr-FR"/>
        </w:rPr>
        <w:t>publication des stratégies de recherche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8229A2" w:rsidRPr="00C70421">
        <w:rPr>
          <w:lang w:val="fr-FR"/>
        </w:rPr>
        <w:t>conclusion d</w:t>
      </w:r>
      <w:r w:rsidR="00473D89" w:rsidRPr="00C70421">
        <w:rPr>
          <w:lang w:val="fr-FR"/>
        </w:rPr>
        <w:t>’</w:t>
      </w:r>
      <w:r w:rsidR="008229A2" w:rsidRPr="00C70421">
        <w:rPr>
          <w:lang w:val="fr-FR"/>
        </w:rPr>
        <w:t xml:space="preserve">un </w:t>
      </w:r>
      <w:r w:rsidR="005D2B45" w:rsidRPr="00C70421">
        <w:rPr>
          <w:lang w:val="fr-FR"/>
        </w:rPr>
        <w:t xml:space="preserve">accord avec les autres offices du </w:t>
      </w:r>
      <w:r w:rsidR="00DD54E2">
        <w:rPr>
          <w:lang w:val="fr-FR"/>
        </w:rPr>
        <w:t>g</w:t>
      </w:r>
      <w:r w:rsidR="005D2B45" w:rsidRPr="00C70421">
        <w:rPr>
          <w:lang w:val="fr-FR"/>
        </w:rPr>
        <w:t>roupe de</w:t>
      </w:r>
      <w:r w:rsidRPr="00C70421">
        <w:rPr>
          <w:lang w:val="fr-FR"/>
        </w:rPr>
        <w:t xml:space="preserve"> Vancouver </w:t>
      </w:r>
      <w:r w:rsidR="005D2B45" w:rsidRPr="00C70421">
        <w:rPr>
          <w:lang w:val="fr-FR"/>
        </w:rPr>
        <w:t>(UK IPO et IP</w:t>
      </w:r>
      <w:r w:rsidR="00373B66" w:rsidRPr="00C70421">
        <w:rPr>
          <w:lang w:val="fr-FR"/>
        </w:rPr>
        <w:t> </w:t>
      </w:r>
      <w:proofErr w:type="spellStart"/>
      <w:r w:rsidR="005D2B45" w:rsidRPr="00C70421">
        <w:rPr>
          <w:lang w:val="fr-FR"/>
        </w:rPr>
        <w:t>Australia</w:t>
      </w:r>
      <w:proofErr w:type="spellEnd"/>
      <w:r w:rsidR="005D2B45" w:rsidRPr="00C70421">
        <w:rPr>
          <w:lang w:val="fr-FR"/>
        </w:rPr>
        <w:t xml:space="preserve">) </w:t>
      </w:r>
      <w:r w:rsidR="008229A2" w:rsidRPr="00C70421">
        <w:rPr>
          <w:lang w:val="fr-FR"/>
        </w:rPr>
        <w:t>vis</w:t>
      </w:r>
      <w:r w:rsidR="00D03E63" w:rsidRPr="00C70421">
        <w:rPr>
          <w:lang w:val="fr-FR"/>
        </w:rPr>
        <w:t xml:space="preserve">ant les contenus </w:t>
      </w:r>
      <w:r w:rsidR="008229A2" w:rsidRPr="00C70421">
        <w:rPr>
          <w:lang w:val="fr-FR"/>
        </w:rPr>
        <w:t>des</w:t>
      </w:r>
      <w:r w:rsidR="00D03E63" w:rsidRPr="00C70421">
        <w:rPr>
          <w:lang w:val="fr-FR"/>
        </w:rPr>
        <w:t xml:space="preserve"> stratégies de recherche </w:t>
      </w:r>
      <w:r w:rsidR="008229A2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8229A2" w:rsidRPr="00C70421">
        <w:rPr>
          <w:lang w:val="fr-FR"/>
        </w:rPr>
        <w:t xml:space="preserve">OPIC </w:t>
      </w:r>
      <w:r w:rsidR="00D03E63" w:rsidRPr="00C70421">
        <w:rPr>
          <w:lang w:val="fr-FR"/>
        </w:rPr>
        <w:t>et leur promotion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831D8" w:rsidRPr="00C70421">
        <w:rPr>
          <w:lang w:val="fr-FR"/>
        </w:rPr>
        <w:t>proposition</w:t>
      </w:r>
      <w:r w:rsidR="00D03E63" w:rsidRPr="00C70421">
        <w:rPr>
          <w:lang w:val="fr-FR"/>
        </w:rPr>
        <w:t xml:space="preserve"> visant à </w:t>
      </w:r>
      <w:r w:rsidR="008229A2" w:rsidRPr="00C70421">
        <w:rPr>
          <w:lang w:val="fr-FR"/>
        </w:rPr>
        <w:t xml:space="preserve">mettre en œuvre </w:t>
      </w:r>
      <w:r w:rsidR="00DD54E2">
        <w:rPr>
          <w:lang w:val="fr-FR"/>
        </w:rPr>
        <w:t>d</w:t>
      </w:r>
      <w:r w:rsidR="00D03E63" w:rsidRPr="00C70421">
        <w:rPr>
          <w:lang w:val="fr-FR"/>
        </w:rPr>
        <w:t xml:space="preserve">es clauses normalisées dans les </w:t>
      </w:r>
      <w:r w:rsidR="00DD54E2">
        <w:rPr>
          <w:lang w:val="fr-FR"/>
        </w:rPr>
        <w:t>résultat</w:t>
      </w:r>
      <w:r w:rsidR="008229A2" w:rsidRPr="00C70421">
        <w:rPr>
          <w:lang w:val="fr-FR"/>
        </w:rPr>
        <w:t>s</w:t>
      </w:r>
      <w:r w:rsidR="00DD54E2">
        <w:rPr>
          <w:lang w:val="fr-FR"/>
        </w:rPr>
        <w:t xml:space="preserve"> des travaux</w:t>
      </w:r>
      <w:r w:rsidR="008229A2" w:rsidRPr="00C70421">
        <w:rPr>
          <w:lang w:val="fr-FR"/>
        </w:rPr>
        <w:t xml:space="preserve"> internationaux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A864BA" w:rsidRPr="00C70421">
        <w:rPr>
          <w:lang w:val="fr-FR"/>
        </w:rPr>
        <w:t>gestion</w:t>
      </w:r>
      <w:r w:rsidR="005C4F47" w:rsidRPr="00C70421">
        <w:rPr>
          <w:lang w:val="fr-FR"/>
        </w:rPr>
        <w:t xml:space="preserve"> de la page </w:t>
      </w:r>
      <w:r w:rsidRPr="00C70421">
        <w:rPr>
          <w:lang w:val="fr-FR"/>
        </w:rPr>
        <w:t>wiki “</w:t>
      </w:r>
      <w:r w:rsidR="005C4F47" w:rsidRPr="00C70421">
        <w:rPr>
          <w:lang w:val="fr-FR"/>
        </w:rPr>
        <w:t>clauses normalisées</w:t>
      </w:r>
      <w:r w:rsidRPr="00C70421">
        <w:rPr>
          <w:lang w:val="fr-FR"/>
        </w:rPr>
        <w:t>”</w:t>
      </w:r>
      <w:r w:rsidR="008229A2" w:rsidRPr="00C70421">
        <w:rPr>
          <w:lang w:val="fr-FR"/>
        </w:rPr>
        <w:t xml:space="preserve"> du s</w:t>
      </w:r>
      <w:r w:rsidR="005C4F47" w:rsidRPr="00C70421">
        <w:rPr>
          <w:lang w:val="fr-FR"/>
        </w:rPr>
        <w:t>ous</w:t>
      </w:r>
      <w:r w:rsidR="00001599">
        <w:rPr>
          <w:lang w:val="fr-FR"/>
        </w:rPr>
        <w:noBreakHyphen/>
      </w:r>
      <w:r w:rsidR="005C4F47" w:rsidRPr="00C70421">
        <w:rPr>
          <w:lang w:val="fr-FR"/>
        </w:rPr>
        <w:t>groupe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831D8" w:rsidRPr="00C70421">
        <w:rPr>
          <w:lang w:val="fr-FR"/>
        </w:rPr>
        <w:t>à l</w:t>
      </w:r>
      <w:r w:rsidR="00473D89" w:rsidRPr="00C70421">
        <w:rPr>
          <w:lang w:val="fr-FR"/>
        </w:rPr>
        <w:t>’</w:t>
      </w:r>
      <w:r w:rsidR="00B831D8" w:rsidRPr="00C70421">
        <w:rPr>
          <w:lang w:val="fr-FR"/>
        </w:rPr>
        <w:t>origi</w:t>
      </w:r>
      <w:r w:rsidR="00A864BA" w:rsidRPr="00C70421">
        <w:rPr>
          <w:lang w:val="fr-FR"/>
        </w:rPr>
        <w:t>ne du programme de procédure accélérée d</w:t>
      </w:r>
      <w:r w:rsidR="00473D89" w:rsidRPr="00C70421">
        <w:rPr>
          <w:lang w:val="fr-FR"/>
        </w:rPr>
        <w:t>’</w:t>
      </w:r>
      <w:r w:rsidR="00A864BA" w:rsidRPr="00C70421">
        <w:rPr>
          <w:lang w:val="fr-FR"/>
        </w:rPr>
        <w:t>examen des demandes de brevet (</w:t>
      </w:r>
      <w:r w:rsidRPr="00C70421">
        <w:rPr>
          <w:lang w:val="fr-FR"/>
        </w:rPr>
        <w:t>PPH</w:t>
      </w:r>
      <w:r w:rsidR="00A864BA" w:rsidRPr="00C70421">
        <w:rPr>
          <w:lang w:val="fr-FR"/>
        </w:rPr>
        <w:t>)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 xml:space="preserve"> </w:t>
      </w:r>
      <w:r w:rsidR="00300974" w:rsidRPr="00C70421">
        <w:rPr>
          <w:lang w:val="fr-FR"/>
        </w:rPr>
        <w:t>au sein du s</w:t>
      </w:r>
      <w:r w:rsidR="00B831D8" w:rsidRPr="00C70421">
        <w:rPr>
          <w:lang w:val="fr-FR"/>
        </w:rPr>
        <w:t>ous</w:t>
      </w:r>
      <w:r w:rsidR="00001599">
        <w:rPr>
          <w:lang w:val="fr-FR"/>
        </w:rPr>
        <w:noBreakHyphen/>
      </w:r>
      <w:r w:rsidR="00B831D8" w:rsidRPr="00C70421">
        <w:rPr>
          <w:lang w:val="fr-FR"/>
        </w:rPr>
        <w:t>groupe avec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ILPO;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31A04" w:rsidRPr="00C70421">
        <w:rPr>
          <w:lang w:val="fr-FR"/>
        </w:rPr>
        <w:t>participation</w:t>
      </w:r>
      <w:r w:rsidR="00A864BA" w:rsidRPr="00C70421">
        <w:rPr>
          <w:lang w:val="fr-FR"/>
        </w:rPr>
        <w:t xml:space="preserve"> au programme PPH mondial (GPPH)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31A04" w:rsidRPr="00C70421">
        <w:rPr>
          <w:lang w:val="fr-FR"/>
        </w:rPr>
        <w:t xml:space="preserve">participation </w:t>
      </w:r>
      <w:r w:rsidR="00A864BA" w:rsidRPr="00C70421">
        <w:rPr>
          <w:lang w:val="fr-FR"/>
        </w:rPr>
        <w:t>aux programmes PPH bilatéraux avec le Mexique,</w:t>
      </w:r>
      <w:r w:rsidRPr="00C70421">
        <w:rPr>
          <w:lang w:val="fr-FR"/>
        </w:rPr>
        <w:t xml:space="preserve"> </w:t>
      </w:r>
      <w:r w:rsidR="00A864BA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86542B" w:rsidRPr="00C70421">
        <w:rPr>
          <w:lang w:val="fr-FR"/>
        </w:rPr>
        <w:t>Office européen des brevets</w:t>
      </w:r>
      <w:r w:rsidR="0031151E" w:rsidRPr="00C70421">
        <w:rPr>
          <w:lang w:val="fr-FR"/>
        </w:rPr>
        <w:t xml:space="preserve"> (OEB)</w:t>
      </w:r>
      <w:r w:rsidR="00A864BA" w:rsidRPr="00C70421">
        <w:rPr>
          <w:lang w:val="fr-FR"/>
        </w:rPr>
        <w:t xml:space="preserve"> et le</w:t>
      </w:r>
      <w:r w:rsidRPr="00C70421">
        <w:rPr>
          <w:lang w:val="fr-FR"/>
        </w:rPr>
        <w:t xml:space="preserve"> Chil</w:t>
      </w:r>
      <w:r w:rsidR="00A864BA" w:rsidRPr="00C70421">
        <w:rPr>
          <w:lang w:val="fr-FR"/>
        </w:rPr>
        <w:t>i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300974" w:rsidRPr="00C70421">
        <w:rPr>
          <w:lang w:val="fr-FR"/>
        </w:rPr>
        <w:t xml:space="preserve">accueil des </w:t>
      </w:r>
      <w:r w:rsidR="00DC5FC5" w:rsidRPr="00C70421">
        <w:rPr>
          <w:lang w:val="fr-FR"/>
        </w:rPr>
        <w:t>examinateurs de l</w:t>
      </w:r>
      <w:r w:rsidR="00473D89" w:rsidRPr="00C70421">
        <w:rPr>
          <w:lang w:val="fr-FR"/>
        </w:rPr>
        <w:t>’</w:t>
      </w:r>
      <w:r w:rsidR="00DC5FC5" w:rsidRPr="00C70421">
        <w:rPr>
          <w:lang w:val="fr-FR"/>
        </w:rPr>
        <w:t>Office des brevets du Japon</w:t>
      </w:r>
      <w:r w:rsidRPr="00C70421">
        <w:rPr>
          <w:lang w:val="fr-FR"/>
        </w:rPr>
        <w:t xml:space="preserve"> </w:t>
      </w:r>
      <w:r w:rsidR="00DC5FC5" w:rsidRPr="00C70421">
        <w:rPr>
          <w:lang w:val="fr-FR"/>
        </w:rPr>
        <w:t>en congé sabbatique</w:t>
      </w:r>
      <w:r w:rsidR="009A783C" w:rsidRPr="00C70421">
        <w:rPr>
          <w:lang w:val="fr-FR"/>
        </w:rPr>
        <w:t>, qui ont participé à des travaux de recherche sur les</w:t>
      </w:r>
      <w:r w:rsidR="00DC5FC5" w:rsidRPr="00C70421">
        <w:rPr>
          <w:lang w:val="fr-FR"/>
        </w:rPr>
        <w:t xml:space="preserve"> pratiques PPH de l</w:t>
      </w:r>
      <w:r w:rsidR="00473D89" w:rsidRPr="00C70421">
        <w:rPr>
          <w:lang w:val="fr-FR"/>
        </w:rPr>
        <w:t>’</w:t>
      </w:r>
      <w:r w:rsidR="00DC5FC5" w:rsidRPr="00C70421">
        <w:rPr>
          <w:lang w:val="fr-FR"/>
        </w:rPr>
        <w:t>OPIC</w:t>
      </w:r>
      <w:r w:rsidRPr="00C70421">
        <w:rPr>
          <w:lang w:val="fr-FR"/>
        </w:rPr>
        <w:t xml:space="preserve">, </w:t>
      </w:r>
      <w:r w:rsidR="00300974" w:rsidRPr="00C70421">
        <w:rPr>
          <w:lang w:val="fr-FR"/>
        </w:rPr>
        <w:t>les critères d</w:t>
      </w:r>
      <w:r w:rsidR="00473D89" w:rsidRPr="00C70421">
        <w:rPr>
          <w:lang w:val="fr-FR"/>
        </w:rPr>
        <w:t>’</w:t>
      </w:r>
      <w:r w:rsidR="00300974" w:rsidRPr="00C70421">
        <w:rPr>
          <w:lang w:val="fr-FR"/>
        </w:rPr>
        <w:t>utilité,</w:t>
      </w:r>
      <w:r w:rsidR="009A783C" w:rsidRPr="00C70421">
        <w:rPr>
          <w:lang w:val="fr-FR"/>
        </w:rPr>
        <w:t xml:space="preserve"> </w:t>
      </w:r>
      <w:r w:rsidR="00300974" w:rsidRPr="00C70421">
        <w:rPr>
          <w:lang w:val="fr-FR"/>
        </w:rPr>
        <w:t xml:space="preserve">les </w:t>
      </w:r>
      <w:r w:rsidR="009A783C" w:rsidRPr="00C70421">
        <w:rPr>
          <w:lang w:val="fr-FR"/>
        </w:rPr>
        <w:t xml:space="preserve">normes du Canada </w:t>
      </w:r>
      <w:r w:rsidR="00300974" w:rsidRPr="00C70421">
        <w:rPr>
          <w:lang w:val="fr-FR"/>
        </w:rPr>
        <w:t>visant à établir des</w:t>
      </w:r>
      <w:r w:rsidR="009A783C" w:rsidRPr="00C70421">
        <w:rPr>
          <w:lang w:val="fr-FR"/>
        </w:rPr>
        <w:t xml:space="preserve"> </w:t>
      </w:r>
      <w:r w:rsidR="00930C03" w:rsidRPr="00C70421">
        <w:rPr>
          <w:lang w:val="fr-FR"/>
        </w:rPr>
        <w:t>prévisions raisonnables</w:t>
      </w:r>
      <w:r w:rsidR="009A783C" w:rsidRPr="00C70421">
        <w:rPr>
          <w:lang w:val="fr-FR"/>
        </w:rPr>
        <w:t xml:space="preserve"> </w:t>
      </w:r>
      <w:r w:rsidR="00300974" w:rsidRPr="00C70421">
        <w:rPr>
          <w:lang w:val="fr-FR"/>
        </w:rPr>
        <w:t>s</w:t>
      </w:r>
      <w:r w:rsidR="00473D89" w:rsidRPr="00C70421">
        <w:rPr>
          <w:lang w:val="fr-FR"/>
        </w:rPr>
        <w:t>’</w:t>
      </w:r>
      <w:r w:rsidR="00300974" w:rsidRPr="00C70421">
        <w:rPr>
          <w:lang w:val="fr-FR"/>
        </w:rPr>
        <w:t>appuyant sur la jurisprudence, et le</w:t>
      </w:r>
      <w:r w:rsidR="009A783C" w:rsidRPr="00C70421">
        <w:rPr>
          <w:lang w:val="fr-FR"/>
        </w:rPr>
        <w:t xml:space="preserve"> système de contrôle qualité de l</w:t>
      </w:r>
      <w:r w:rsidR="00473D89" w:rsidRPr="00C70421">
        <w:rPr>
          <w:lang w:val="fr-FR"/>
        </w:rPr>
        <w:t>’</w:t>
      </w:r>
      <w:r w:rsidR="009A783C" w:rsidRPr="00C70421">
        <w:rPr>
          <w:lang w:val="fr-FR"/>
        </w:rPr>
        <w:t>OPIC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31151E" w:rsidRPr="00C70421">
        <w:rPr>
          <w:lang w:val="fr-FR"/>
        </w:rPr>
        <w:t>accueil des tables rondes semestrielles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 xml:space="preserve"> </w:t>
      </w:r>
      <w:r w:rsidR="00300974" w:rsidRPr="00C70421">
        <w:rPr>
          <w:lang w:val="fr-FR"/>
        </w:rPr>
        <w:t>auxquelles participe</w:t>
      </w:r>
      <w:r w:rsidR="0031151E" w:rsidRPr="00C70421">
        <w:rPr>
          <w:lang w:val="fr-FR"/>
        </w:rPr>
        <w:t>nt les représentants de l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>OMPI,</w:t>
      </w:r>
      <w:r w:rsidRPr="00C70421">
        <w:rPr>
          <w:lang w:val="fr-FR"/>
        </w:rPr>
        <w:t xml:space="preserve"> </w:t>
      </w:r>
      <w:r w:rsidR="0031151E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>OEB et de l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>Office</w:t>
      </w:r>
      <w:r w:rsidRPr="00C70421">
        <w:rPr>
          <w:lang w:val="fr-FR"/>
        </w:rPr>
        <w:t xml:space="preserve"> </w:t>
      </w:r>
      <w:r w:rsidR="0031151E" w:rsidRPr="00C70421">
        <w:rPr>
          <w:lang w:val="fr-FR"/>
        </w:rPr>
        <w:t>des brevets et des marques des États</w:t>
      </w:r>
      <w:r w:rsidR="00001599">
        <w:rPr>
          <w:lang w:val="fr-FR"/>
        </w:rPr>
        <w:noBreakHyphen/>
      </w:r>
      <w:r w:rsidR="0031151E" w:rsidRPr="00C70421">
        <w:rPr>
          <w:lang w:val="fr-FR"/>
        </w:rPr>
        <w:t>Unis d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>Amérique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31151E" w:rsidRPr="00C70421">
        <w:rPr>
          <w:lang w:val="fr-FR"/>
        </w:rPr>
        <w:t>organisation de débats sur la qualité en téléconférence avec l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>OEB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841C9B" w:rsidRPr="00C70421">
        <w:rPr>
          <w:lang w:val="fr-FR"/>
        </w:rPr>
        <w:t>échange</w:t>
      </w:r>
      <w:r w:rsidR="0031151E" w:rsidRPr="00C70421">
        <w:rPr>
          <w:lang w:val="fr-FR"/>
        </w:rPr>
        <w:t xml:space="preserve"> des meilleures pratiques </w:t>
      </w:r>
      <w:r w:rsidR="00841C9B" w:rsidRPr="00C70421">
        <w:rPr>
          <w:lang w:val="fr-FR"/>
        </w:rPr>
        <w:t>avec</w:t>
      </w:r>
      <w:r w:rsidR="0031151E" w:rsidRPr="00C70421">
        <w:rPr>
          <w:lang w:val="fr-FR"/>
        </w:rPr>
        <w:t xml:space="preserve"> les examinateurs d</w:t>
      </w:r>
      <w:r w:rsidR="00473D89" w:rsidRPr="00C70421">
        <w:rPr>
          <w:lang w:val="fr-FR"/>
        </w:rPr>
        <w:t>’</w:t>
      </w:r>
      <w:r w:rsidR="0031151E" w:rsidRPr="00C70421">
        <w:rPr>
          <w:lang w:val="fr-FR"/>
        </w:rPr>
        <w:t xml:space="preserve">autres pays et </w:t>
      </w:r>
      <w:r w:rsidR="00B31A04" w:rsidRPr="00C70421">
        <w:rPr>
          <w:lang w:val="fr-FR"/>
        </w:rPr>
        <w:t>régions</w:t>
      </w:r>
      <w:r w:rsidR="0031151E" w:rsidRPr="00C70421">
        <w:rPr>
          <w:lang w:val="fr-FR"/>
        </w:rPr>
        <w:t xml:space="preserve"> au cours des ateliers </w:t>
      </w:r>
      <w:r w:rsidR="00B31A04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D02DCA" w:rsidRPr="00C70421">
        <w:rPr>
          <w:lang w:val="fr-FR"/>
        </w:rPr>
        <w:t>OP</w:t>
      </w:r>
      <w:r w:rsidR="00B31A04" w:rsidRPr="00C70421">
        <w:rPr>
          <w:lang w:val="fr-FR"/>
        </w:rPr>
        <w:t>I</w:t>
      </w:r>
      <w:r w:rsidR="00D02DCA" w:rsidRPr="00C70421">
        <w:rPr>
          <w:lang w:val="fr-FR"/>
        </w:rPr>
        <w:t>C</w:t>
      </w:r>
      <w:r w:rsidR="00B31A04" w:rsidRPr="00C70421">
        <w:rPr>
          <w:lang w:val="fr-FR"/>
        </w:rPr>
        <w:t xml:space="preserve"> </w:t>
      </w:r>
      <w:r w:rsidR="0031151E" w:rsidRPr="00C70421">
        <w:rPr>
          <w:lang w:val="fr-FR"/>
        </w:rPr>
        <w:t>sur la législation canadienne en matière de brevets</w:t>
      </w:r>
      <w:r w:rsidR="00B31A04" w:rsidRPr="00C70421">
        <w:rPr>
          <w:lang w:val="fr-FR"/>
        </w:rPr>
        <w:t xml:space="preserve"> et l</w:t>
      </w:r>
      <w:r w:rsidR="00473D89" w:rsidRPr="00C70421">
        <w:rPr>
          <w:lang w:val="fr-FR"/>
        </w:rPr>
        <w:t>’</w:t>
      </w:r>
      <w:r w:rsidR="00B31A04" w:rsidRPr="00C70421">
        <w:rPr>
          <w:lang w:val="fr-FR"/>
        </w:rPr>
        <w:t>examen des brevets;  et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31A04" w:rsidRPr="00C70421">
        <w:rPr>
          <w:lang w:val="fr-FR"/>
        </w:rPr>
        <w:t>participations régulières à l</w:t>
      </w:r>
      <w:r w:rsidR="00473D89" w:rsidRPr="00C70421">
        <w:rPr>
          <w:lang w:val="fr-FR"/>
        </w:rPr>
        <w:t>’</w:t>
      </w:r>
      <w:r w:rsidR="00B31A04" w:rsidRPr="00C70421">
        <w:rPr>
          <w:lang w:val="fr-FR"/>
        </w:rPr>
        <w:t>ac</w:t>
      </w:r>
      <w:r w:rsidR="00300974" w:rsidRPr="00C70421">
        <w:rPr>
          <w:lang w:val="fr-FR"/>
        </w:rPr>
        <w:t>tualisation de la page wiki du s</w:t>
      </w:r>
      <w:r w:rsidR="00B31A04" w:rsidRPr="00C70421">
        <w:rPr>
          <w:lang w:val="fr-FR"/>
        </w:rPr>
        <w:t>ous</w:t>
      </w:r>
      <w:r w:rsidR="00001599">
        <w:rPr>
          <w:lang w:val="fr-FR"/>
        </w:rPr>
        <w:noBreakHyphen/>
      </w:r>
      <w:r w:rsidR="00B31A04" w:rsidRPr="00C70421">
        <w:rPr>
          <w:lang w:val="fr-FR"/>
        </w:rPr>
        <w:t>groupe</w:t>
      </w:r>
      <w:r w:rsidR="00805C95" w:rsidRPr="00C70421">
        <w:rPr>
          <w:lang w:val="fr-FR"/>
        </w:rPr>
        <w:t xml:space="preserve"> et réponse</w:t>
      </w:r>
      <w:r w:rsidR="00300974" w:rsidRPr="00C70421">
        <w:rPr>
          <w:lang w:val="fr-FR"/>
        </w:rPr>
        <w:t>s</w:t>
      </w:r>
      <w:r w:rsidR="00B31A04" w:rsidRPr="00C70421">
        <w:rPr>
          <w:lang w:val="fr-FR"/>
        </w:rPr>
        <w:t xml:space="preserve"> à toutes les circulaires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50667A" w:rsidP="00E93C4E">
      <w:pPr>
        <w:pStyle w:val="SectionHeading"/>
        <w:rPr>
          <w:rStyle w:val="InsertedText"/>
          <w:color w:val="auto"/>
          <w:u w:val="none"/>
          <w:lang w:val="fr-FR"/>
        </w:rPr>
      </w:pPr>
      <w:r w:rsidRPr="00C70421">
        <w:rPr>
          <w:rStyle w:val="InsertedText"/>
          <w:color w:val="auto"/>
          <w:u w:val="none"/>
          <w:lang w:val="fr-FR"/>
        </w:rPr>
        <w:t>2 –</w:t>
      </w:r>
      <w:r w:rsidR="00313BA3" w:rsidRPr="00C70421">
        <w:rPr>
          <w:rStyle w:val="InsertedText"/>
          <w:color w:val="auto"/>
          <w:u w:val="none"/>
          <w:lang w:val="fr-FR"/>
        </w:rPr>
        <w:t xml:space="preserve"> Crit</w:t>
      </w:r>
      <w:r w:rsidR="00001599">
        <w:rPr>
          <w:rStyle w:val="InsertedText"/>
          <w:color w:val="auto"/>
          <w:u w:val="none"/>
          <w:lang w:val="fr-FR"/>
        </w:rPr>
        <w:t>è</w:t>
      </w:r>
      <w:r w:rsidR="00313BA3" w:rsidRPr="00C70421">
        <w:rPr>
          <w:rStyle w:val="InsertedText"/>
          <w:color w:val="auto"/>
          <w:u w:val="none"/>
          <w:lang w:val="fr-FR"/>
        </w:rPr>
        <w:t>re</w:t>
      </w:r>
      <w:r w:rsidR="00DD54E2">
        <w:rPr>
          <w:rStyle w:val="InsertedText"/>
          <w:color w:val="auto"/>
          <w:u w:val="none"/>
          <w:lang w:val="fr-FR"/>
        </w:rPr>
        <w:t>s</w:t>
      </w:r>
      <w:r w:rsidR="00313BA3" w:rsidRPr="00C70421">
        <w:rPr>
          <w:rStyle w:val="InsertedText"/>
          <w:color w:val="auto"/>
          <w:u w:val="none"/>
          <w:lang w:val="fr-FR"/>
        </w:rPr>
        <w:t xml:space="preserve"> mat</w:t>
      </w:r>
      <w:r w:rsidR="00001599">
        <w:rPr>
          <w:rStyle w:val="InsertedText"/>
          <w:color w:val="auto"/>
          <w:u w:val="none"/>
          <w:lang w:val="fr-FR"/>
        </w:rPr>
        <w:t>ériel</w:t>
      </w:r>
      <w:r w:rsidR="00DD54E2">
        <w:rPr>
          <w:rStyle w:val="InsertedText"/>
          <w:color w:val="auto"/>
          <w:u w:val="none"/>
          <w:lang w:val="fr-FR"/>
        </w:rPr>
        <w:t>s</w:t>
      </w:r>
      <w:r w:rsidR="00473D89" w:rsidRPr="00C70421">
        <w:rPr>
          <w:rStyle w:val="InsertedText"/>
          <w:color w:val="auto"/>
          <w:u w:val="none"/>
          <w:lang w:val="fr-FR"/>
        </w:rPr>
        <w:t> :</w:t>
      </w:r>
      <w:r w:rsidRPr="00C70421">
        <w:rPr>
          <w:rStyle w:val="InsertedText"/>
          <w:color w:val="auto"/>
          <w:u w:val="none"/>
          <w:lang w:val="fr-FR"/>
        </w:rPr>
        <w:t xml:space="preserve"> </w:t>
      </w:r>
      <w:r w:rsidR="00805C95" w:rsidRPr="00C70421">
        <w:rPr>
          <w:rStyle w:val="InsertedText"/>
          <w:color w:val="auto"/>
          <w:u w:val="none"/>
          <w:lang w:val="fr-FR"/>
        </w:rPr>
        <w:t xml:space="preserve">exigences minimales </w:t>
      </w:r>
      <w:r w:rsidR="00313BA3" w:rsidRPr="00C70421">
        <w:rPr>
          <w:rStyle w:val="InsertedText"/>
          <w:color w:val="auto"/>
          <w:u w:val="none"/>
          <w:lang w:val="fr-FR"/>
        </w:rPr>
        <w:t xml:space="preserve">applicables à </w:t>
      </w:r>
      <w:r w:rsidR="00805C95" w:rsidRPr="00C70421">
        <w:rPr>
          <w:rStyle w:val="InsertedText"/>
          <w:color w:val="auto"/>
          <w:u w:val="none"/>
          <w:lang w:val="fr-FR"/>
        </w:rPr>
        <w:t xml:space="preserve">la </w:t>
      </w:r>
      <w:r w:rsidR="00313BA3" w:rsidRPr="00C70421">
        <w:rPr>
          <w:rStyle w:val="InsertedText"/>
          <w:color w:val="auto"/>
          <w:u w:val="none"/>
          <w:lang w:val="fr-FR"/>
        </w:rPr>
        <w:t>nomin</w:t>
      </w:r>
      <w:r w:rsidR="00805C95" w:rsidRPr="00C70421">
        <w:rPr>
          <w:rStyle w:val="InsertedText"/>
          <w:color w:val="auto"/>
          <w:u w:val="none"/>
          <w:lang w:val="fr-FR"/>
        </w:rPr>
        <w:t>ation</w:t>
      </w:r>
    </w:p>
    <w:p w:rsidR="0050667A" w:rsidRPr="00C70421" w:rsidRDefault="0050667A" w:rsidP="00E93C4E">
      <w:pPr>
        <w:rPr>
          <w:sz w:val="16"/>
          <w:szCs w:val="16"/>
          <w:lang w:val="fr-FR"/>
        </w:rPr>
      </w:pPr>
    </w:p>
    <w:p w:rsidR="0050667A" w:rsidRPr="00C70421" w:rsidRDefault="0050667A" w:rsidP="00E93C4E">
      <w:pPr>
        <w:pStyle w:val="SectionHeading"/>
        <w:spacing w:before="0"/>
        <w:rPr>
          <w:lang w:val="fr-FR"/>
        </w:rPr>
      </w:pPr>
      <w:r w:rsidRPr="00C70421">
        <w:rPr>
          <w:lang w:val="fr-FR"/>
        </w:rPr>
        <w:t xml:space="preserve">2.1 – </w:t>
      </w:r>
      <w:r w:rsidR="00001599">
        <w:rPr>
          <w:lang w:val="fr-FR"/>
        </w:rPr>
        <w:t>C</w:t>
      </w:r>
      <w:r w:rsidR="00313BA3" w:rsidRPr="00C70421">
        <w:rPr>
          <w:lang w:val="fr-FR"/>
        </w:rPr>
        <w:t>apacit</w:t>
      </w:r>
      <w:r w:rsidR="00001599">
        <w:rPr>
          <w:lang w:val="fr-FR"/>
        </w:rPr>
        <w:t>é</w:t>
      </w:r>
      <w:r w:rsidR="00313BA3" w:rsidRPr="00C70421">
        <w:rPr>
          <w:lang w:val="fr-FR"/>
        </w:rPr>
        <w:t xml:space="preserve"> en mati</w:t>
      </w:r>
      <w:r w:rsidR="00001599">
        <w:rPr>
          <w:lang w:val="fr-FR"/>
        </w:rPr>
        <w:t>è</w:t>
      </w:r>
      <w:r w:rsidR="00313BA3" w:rsidRPr="00C70421">
        <w:rPr>
          <w:lang w:val="fr-FR"/>
        </w:rPr>
        <w:t>re</w:t>
      </w:r>
      <w:r w:rsidR="00805C95" w:rsidRPr="00C70421">
        <w:rPr>
          <w:lang w:val="fr-FR"/>
        </w:rPr>
        <w:t xml:space="preserve"> de recherche et d</w:t>
      </w:r>
      <w:r w:rsidR="00473D89" w:rsidRPr="00C70421">
        <w:rPr>
          <w:lang w:val="fr-FR"/>
        </w:rPr>
        <w:t>’</w:t>
      </w:r>
      <w:r w:rsidR="00805C95" w:rsidRPr="00C70421">
        <w:rPr>
          <w:lang w:val="fr-FR"/>
        </w:rPr>
        <w:t>examen</w:t>
      </w:r>
    </w:p>
    <w:p w:rsidR="0050667A" w:rsidRPr="00C70421" w:rsidRDefault="00473D89" w:rsidP="00E93C4E">
      <w:pPr>
        <w:rPr>
          <w:b/>
          <w:i/>
          <w:lang w:val="fr-FR"/>
        </w:rPr>
      </w:pPr>
      <w:r w:rsidRPr="00C70421">
        <w:rPr>
          <w:b/>
          <w:i/>
          <w:lang w:val="fr-FR"/>
        </w:rPr>
        <w:t>Règles 3</w:t>
      </w:r>
      <w:r w:rsidR="00143EDF" w:rsidRPr="00C70421">
        <w:rPr>
          <w:b/>
          <w:i/>
          <w:lang w:val="fr-FR"/>
        </w:rPr>
        <w:t>6.1</w:t>
      </w:r>
      <w:r w:rsidR="00313BA3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 xml:space="preserve">i) </w:t>
      </w:r>
      <w:r w:rsidR="00143EDF" w:rsidRPr="00C70421">
        <w:rPr>
          <w:b/>
          <w:i/>
          <w:lang w:val="fr-FR"/>
        </w:rPr>
        <w:t>et 63.1</w:t>
      </w:r>
      <w:r w:rsidR="00313BA3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>i)</w:t>
      </w:r>
      <w:r w:rsidRPr="00C70421">
        <w:rPr>
          <w:b/>
          <w:i/>
          <w:lang w:val="fr-FR"/>
        </w:rPr>
        <w:t> :</w:t>
      </w:r>
      <w:r w:rsidR="0050667A" w:rsidRPr="00C70421">
        <w:rPr>
          <w:b/>
          <w:i/>
          <w:lang w:val="fr-FR"/>
        </w:rPr>
        <w:t xml:space="preserve"> </w:t>
      </w:r>
      <w:r w:rsidR="00143EDF" w:rsidRPr="00C70421">
        <w:rPr>
          <w:b/>
          <w:i/>
          <w:lang w:val="fr-FR"/>
        </w:rPr>
        <w:t>l</w:t>
      </w:r>
      <w:r w:rsidRPr="00C70421">
        <w:rPr>
          <w:b/>
          <w:i/>
          <w:lang w:val="fr-FR"/>
        </w:rPr>
        <w:t>’</w:t>
      </w:r>
      <w:r w:rsidR="00143EDF" w:rsidRPr="00C70421">
        <w:rPr>
          <w:b/>
          <w:i/>
          <w:lang w:val="fr-FR"/>
        </w:rPr>
        <w:t>office national ou l</w:t>
      </w:r>
      <w:r w:rsidRPr="00C70421">
        <w:rPr>
          <w:b/>
          <w:i/>
          <w:lang w:val="fr-FR"/>
        </w:rPr>
        <w:t>’</w:t>
      </w:r>
      <w:r w:rsidR="00143EDF" w:rsidRPr="00C70421">
        <w:rPr>
          <w:b/>
          <w:i/>
          <w:lang w:val="fr-FR"/>
        </w:rPr>
        <w:t xml:space="preserve">organisation intergouvernementale doit avoir au moins cent employés à plein temps possédant des qualifications techniques suffisantes pour procéder </w:t>
      </w:r>
      <w:r w:rsidR="00313BA3" w:rsidRPr="00C70421">
        <w:rPr>
          <w:b/>
          <w:i/>
          <w:lang w:val="fr-FR"/>
        </w:rPr>
        <w:t>à la recherche et à l</w:t>
      </w:r>
      <w:r w:rsidRPr="00C70421">
        <w:rPr>
          <w:b/>
          <w:i/>
          <w:lang w:val="fr-FR"/>
        </w:rPr>
        <w:t>’</w:t>
      </w:r>
      <w:r w:rsidR="00313BA3" w:rsidRPr="00C70421">
        <w:rPr>
          <w:b/>
          <w:i/>
          <w:lang w:val="fr-FR"/>
        </w:rPr>
        <w:t>examen</w:t>
      </w:r>
      <w:r w:rsidR="0050667A" w:rsidRPr="00C70421">
        <w:rPr>
          <w:b/>
          <w:i/>
          <w:lang w:val="fr-FR"/>
        </w:rPr>
        <w:t>.</w:t>
      </w:r>
    </w:p>
    <w:p w:rsidR="0050667A" w:rsidRPr="00C70421" w:rsidRDefault="0050667A" w:rsidP="00E93C4E">
      <w:pPr>
        <w:keepNext/>
        <w:keepLines/>
        <w:rPr>
          <w:b/>
          <w:bCs/>
          <w:szCs w:val="22"/>
          <w:lang w:val="fr-FR"/>
        </w:rPr>
      </w:pPr>
    </w:p>
    <w:p w:rsidR="00473D89" w:rsidRPr="00C70421" w:rsidRDefault="00143EDF" w:rsidP="00E93C4E">
      <w:pPr>
        <w:pStyle w:val="Subsection"/>
        <w:rPr>
          <w:lang w:val="fr-FR"/>
        </w:rPr>
      </w:pPr>
      <w:bookmarkStart w:id="8" w:name="PatentExaminerQualifications"/>
      <w:bookmarkEnd w:id="8"/>
      <w:r w:rsidRPr="00C70421">
        <w:rPr>
          <w:lang w:val="fr-FR"/>
        </w:rPr>
        <w:t xml:space="preserve">Employés qualifiés pour procéder </w:t>
      </w:r>
      <w:r w:rsidR="00313BA3" w:rsidRPr="00C70421">
        <w:rPr>
          <w:lang w:val="fr-FR"/>
        </w:rPr>
        <w:t xml:space="preserve">à la </w:t>
      </w:r>
      <w:r w:rsidR="00114AC9" w:rsidRPr="00C70421">
        <w:rPr>
          <w:lang w:val="fr-FR"/>
        </w:rPr>
        <w:t>r</w:t>
      </w:r>
      <w:r w:rsidRPr="00C70421">
        <w:rPr>
          <w:lang w:val="fr-FR"/>
        </w:rPr>
        <w:t>echerche et à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</w:t>
      </w:r>
      <w:r w:rsidR="00473D89" w:rsidRPr="00C70421">
        <w:rPr>
          <w:lang w:val="fr-FR"/>
        </w:rPr>
        <w:t> :</w:t>
      </w:r>
    </w:p>
    <w:p w:rsidR="0050667A" w:rsidRPr="00C70421" w:rsidRDefault="00143EDF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</w:t>
      </w:r>
      <w:r w:rsidR="00D02DCA" w:rsidRPr="00C70421">
        <w:rPr>
          <w:lang w:val="fr-FR"/>
        </w:rPr>
        <w:t>P</w:t>
      </w:r>
      <w:r w:rsidRPr="00C70421">
        <w:rPr>
          <w:lang w:val="fr-FR"/>
        </w:rPr>
        <w:t>I</w:t>
      </w:r>
      <w:r w:rsidR="00D02DCA" w:rsidRPr="00C70421">
        <w:rPr>
          <w:lang w:val="fr-FR"/>
        </w:rPr>
        <w:t>C</w:t>
      </w:r>
      <w:r w:rsidRPr="00C70421">
        <w:rPr>
          <w:lang w:val="fr-FR"/>
        </w:rPr>
        <w:t xml:space="preserve"> a mis en place des services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solides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constitués de</w:t>
      </w:r>
      <w:r w:rsidR="003B271D" w:rsidRPr="00C70421">
        <w:rPr>
          <w:lang w:val="fr-FR"/>
        </w:rPr>
        <w:t xml:space="preserve"> quatre</w:t>
      </w:r>
      <w:r w:rsidR="00373B66" w:rsidRPr="00C70421">
        <w:rPr>
          <w:lang w:val="fr-FR"/>
        </w:rPr>
        <w:t> </w:t>
      </w:r>
      <w:r w:rsidR="003B271D" w:rsidRPr="00C70421">
        <w:rPr>
          <w:lang w:val="fr-FR"/>
        </w:rPr>
        <w:t xml:space="preserve">divisions </w:t>
      </w:r>
      <w:r w:rsidR="00300974" w:rsidRPr="00C70421">
        <w:rPr>
          <w:lang w:val="fr-FR"/>
        </w:rPr>
        <w:t xml:space="preserve">dédiées aux </w:t>
      </w:r>
      <w:r w:rsidR="003B271D" w:rsidRPr="00C70421">
        <w:rPr>
          <w:lang w:val="fr-FR"/>
        </w:rPr>
        <w:t>technologi</w:t>
      </w:r>
      <w:r w:rsidR="00C70421" w:rsidRPr="00C70421">
        <w:rPr>
          <w:lang w:val="fr-FR"/>
        </w:rPr>
        <w:t>es.  Le</w:t>
      </w:r>
      <w:r w:rsidR="003B271D" w:rsidRPr="00C70421">
        <w:rPr>
          <w:lang w:val="fr-FR"/>
        </w:rPr>
        <w:t>s examinateurs de l</w:t>
      </w:r>
      <w:r w:rsidR="00473D89" w:rsidRPr="00C70421">
        <w:rPr>
          <w:lang w:val="fr-FR"/>
        </w:rPr>
        <w:t>’</w:t>
      </w:r>
      <w:r w:rsidR="00D02DCA" w:rsidRPr="00C70421">
        <w:rPr>
          <w:lang w:val="fr-FR"/>
        </w:rPr>
        <w:t>OP</w:t>
      </w:r>
      <w:r w:rsidR="003B271D" w:rsidRPr="00C70421">
        <w:rPr>
          <w:lang w:val="fr-FR"/>
        </w:rPr>
        <w:t>I</w:t>
      </w:r>
      <w:r w:rsidR="00D02DCA" w:rsidRPr="00C70421">
        <w:rPr>
          <w:lang w:val="fr-FR"/>
        </w:rPr>
        <w:t>C</w:t>
      </w:r>
      <w:r w:rsidR="003B271D" w:rsidRPr="00C70421">
        <w:rPr>
          <w:lang w:val="fr-FR"/>
        </w:rPr>
        <w:t xml:space="preserve"> </w:t>
      </w:r>
      <w:r w:rsidR="00300974" w:rsidRPr="00C70421">
        <w:rPr>
          <w:lang w:val="fr-FR"/>
        </w:rPr>
        <w:t xml:space="preserve">sont </w:t>
      </w:r>
      <w:r w:rsidR="004D36F7" w:rsidRPr="00C70421">
        <w:rPr>
          <w:lang w:val="fr-FR"/>
        </w:rPr>
        <w:t>soit d</w:t>
      </w:r>
      <w:r w:rsidR="0047603F" w:rsidRPr="00C70421">
        <w:rPr>
          <w:lang w:val="fr-FR"/>
        </w:rPr>
        <w:t>es examinateurs de</w:t>
      </w:r>
      <w:r w:rsidR="003B271D" w:rsidRPr="00C70421">
        <w:rPr>
          <w:lang w:val="fr-FR"/>
        </w:rPr>
        <w:t xml:space="preserve"> brevets</w:t>
      </w:r>
      <w:r w:rsidR="004D36F7" w:rsidRPr="00C70421">
        <w:rPr>
          <w:lang w:val="fr-FR"/>
        </w:rPr>
        <w:t>,</w:t>
      </w:r>
      <w:r w:rsidR="003B271D" w:rsidRPr="00C70421">
        <w:rPr>
          <w:lang w:val="fr-FR"/>
        </w:rPr>
        <w:t xml:space="preserve"> </w:t>
      </w:r>
      <w:r w:rsidR="004D36F7" w:rsidRPr="00C70421">
        <w:rPr>
          <w:lang w:val="fr-FR"/>
        </w:rPr>
        <w:t>soit d</w:t>
      </w:r>
      <w:r w:rsidR="0047603F" w:rsidRPr="00C70421">
        <w:rPr>
          <w:lang w:val="fr-FR"/>
        </w:rPr>
        <w:t>es</w:t>
      </w:r>
      <w:r w:rsidR="003B271D" w:rsidRPr="00C70421">
        <w:rPr>
          <w:lang w:val="fr-FR"/>
        </w:rPr>
        <w:t xml:space="preserve"> classifica</w:t>
      </w:r>
      <w:r w:rsidR="0047603F" w:rsidRPr="00C70421">
        <w:rPr>
          <w:lang w:val="fr-FR"/>
        </w:rPr>
        <w:t>teurs de brevets</w:t>
      </w:r>
      <w:r w:rsidR="003B271D" w:rsidRPr="00C70421">
        <w:rPr>
          <w:lang w:val="fr-FR"/>
        </w:rPr>
        <w:t xml:space="preserve">, </w:t>
      </w:r>
      <w:r w:rsidR="004D36F7" w:rsidRPr="00C70421">
        <w:rPr>
          <w:lang w:val="fr-FR"/>
        </w:rPr>
        <w:t>qui</w:t>
      </w:r>
      <w:r w:rsidR="003B271D" w:rsidRPr="00C70421">
        <w:rPr>
          <w:lang w:val="fr-FR"/>
        </w:rPr>
        <w:t xml:space="preserve"> tous</w:t>
      </w:r>
      <w:r w:rsidR="0047603F" w:rsidRPr="00C70421">
        <w:rPr>
          <w:lang w:val="fr-FR"/>
        </w:rPr>
        <w:t xml:space="preserve"> </w:t>
      </w:r>
      <w:r w:rsidR="003B271D" w:rsidRPr="00C70421">
        <w:rPr>
          <w:lang w:val="fr-FR"/>
        </w:rPr>
        <w:t>examinent les demandes national</w:t>
      </w:r>
      <w:r w:rsidR="004D36F7" w:rsidRPr="00C70421">
        <w:rPr>
          <w:lang w:val="fr-FR"/>
        </w:rPr>
        <w:t>es</w:t>
      </w:r>
      <w:r w:rsidR="003B271D" w:rsidRPr="00C70421">
        <w:rPr>
          <w:lang w:val="fr-FR"/>
        </w:rPr>
        <w:t xml:space="preserve"> et international</w:t>
      </w:r>
      <w:r w:rsidR="004D36F7" w:rsidRPr="00C70421">
        <w:rPr>
          <w:lang w:val="fr-FR"/>
        </w:rPr>
        <w:t>es</w:t>
      </w:r>
      <w:r w:rsidR="0050667A" w:rsidRPr="00C70421">
        <w:rPr>
          <w:lang w:val="fr-FR"/>
        </w:rPr>
        <w:t xml:space="preserve">.  </w:t>
      </w:r>
      <w:r w:rsidR="00D02DCA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D02DCA" w:rsidRPr="00C70421">
        <w:rPr>
          <w:lang w:val="fr-FR"/>
        </w:rPr>
        <w:t xml:space="preserve">OPIC souhaite effacer petit à petit </w:t>
      </w:r>
      <w:r w:rsidR="004D36F7" w:rsidRPr="00C70421">
        <w:rPr>
          <w:lang w:val="fr-FR"/>
        </w:rPr>
        <w:t>la</w:t>
      </w:r>
      <w:r w:rsidR="00D02DCA" w:rsidRPr="00C70421">
        <w:rPr>
          <w:lang w:val="fr-FR"/>
        </w:rPr>
        <w:t xml:space="preserve"> </w:t>
      </w:r>
      <w:r w:rsidR="004D36F7" w:rsidRPr="00C70421">
        <w:rPr>
          <w:lang w:val="fr-FR"/>
        </w:rPr>
        <w:t>distinction</w:t>
      </w:r>
      <w:r w:rsidR="00D02DCA" w:rsidRPr="00C70421">
        <w:rPr>
          <w:lang w:val="fr-FR"/>
        </w:rPr>
        <w:t xml:space="preserve"> </w:t>
      </w:r>
      <w:r w:rsidR="004D36F7" w:rsidRPr="00C70421">
        <w:rPr>
          <w:lang w:val="fr-FR"/>
        </w:rPr>
        <w:t>entre ces deux</w:t>
      </w:r>
      <w:r w:rsidR="00373B66" w:rsidRPr="00C70421">
        <w:rPr>
          <w:lang w:val="fr-FR"/>
        </w:rPr>
        <w:t> </w:t>
      </w:r>
      <w:r w:rsidR="004D36F7" w:rsidRPr="00C70421">
        <w:rPr>
          <w:lang w:val="fr-FR"/>
        </w:rPr>
        <w:t>catégories</w:t>
      </w:r>
      <w:r w:rsidR="00D02DCA" w:rsidRPr="00C70421">
        <w:rPr>
          <w:lang w:val="fr-FR"/>
        </w:rPr>
        <w:t xml:space="preserve"> et certains examinateurs</w:t>
      </w:r>
      <w:r w:rsidR="004D36F7" w:rsidRPr="00C70421">
        <w:rPr>
          <w:lang w:val="fr-FR"/>
        </w:rPr>
        <w:t xml:space="preserve"> de chacun</w:t>
      </w:r>
      <w:r w:rsidR="00F56089" w:rsidRPr="00C70421">
        <w:rPr>
          <w:lang w:val="fr-FR"/>
        </w:rPr>
        <w:t xml:space="preserve"> </w:t>
      </w:r>
      <w:r w:rsidR="004D36F7" w:rsidRPr="00C70421">
        <w:rPr>
          <w:lang w:val="fr-FR"/>
        </w:rPr>
        <w:t>des</w:t>
      </w:r>
      <w:r w:rsidR="00F56089" w:rsidRPr="00C70421">
        <w:rPr>
          <w:lang w:val="fr-FR"/>
        </w:rPr>
        <w:t xml:space="preserve"> </w:t>
      </w:r>
      <w:r w:rsidR="004D36F7" w:rsidRPr="00C70421">
        <w:rPr>
          <w:lang w:val="fr-FR"/>
        </w:rPr>
        <w:t>domaines ont commencé à se familiariser avec</w:t>
      </w:r>
      <w:r w:rsidR="00D02DCA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D02DCA" w:rsidRPr="00C70421">
        <w:rPr>
          <w:lang w:val="fr-FR"/>
        </w:rPr>
        <w:t>aut</w:t>
      </w:r>
      <w:r w:rsidR="00C70421" w:rsidRPr="00C70421">
        <w:rPr>
          <w:lang w:val="fr-FR"/>
        </w:rPr>
        <w:t>re.  Le</w:t>
      </w:r>
      <w:r w:rsidR="004D36F7" w:rsidRPr="00C70421">
        <w:rPr>
          <w:lang w:val="fr-FR"/>
        </w:rPr>
        <w:t>s nouveaux examinateurs recrut</w:t>
      </w:r>
      <w:r w:rsidR="00D02DCA" w:rsidRPr="00C70421">
        <w:rPr>
          <w:lang w:val="fr-FR"/>
        </w:rPr>
        <w:t>és sont chargés à la fois de l</w:t>
      </w:r>
      <w:r w:rsidR="00473D89" w:rsidRPr="00C70421">
        <w:rPr>
          <w:lang w:val="fr-FR"/>
        </w:rPr>
        <w:t>’</w:t>
      </w:r>
      <w:r w:rsidR="00D02DCA" w:rsidRPr="00C70421">
        <w:rPr>
          <w:lang w:val="fr-FR"/>
        </w:rPr>
        <w:t xml:space="preserve">examen des demandes et </w:t>
      </w:r>
      <w:r w:rsidR="004D36F7" w:rsidRPr="00C70421">
        <w:rPr>
          <w:lang w:val="fr-FR"/>
        </w:rPr>
        <w:t xml:space="preserve">de leur </w:t>
      </w:r>
      <w:r w:rsidR="006B3CED" w:rsidRPr="00C70421">
        <w:rPr>
          <w:lang w:val="fr-FR"/>
        </w:rPr>
        <w:t>class</w:t>
      </w:r>
      <w:r w:rsidR="00DD54E2">
        <w:rPr>
          <w:lang w:val="fr-FR"/>
        </w:rPr>
        <w:t>ement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BF495B" w:rsidP="00E93C4E">
      <w:pPr>
        <w:rPr>
          <w:lang w:val="fr-FR"/>
        </w:rPr>
      </w:pPr>
      <w:r w:rsidRPr="00C70421">
        <w:rPr>
          <w:lang w:val="fr-FR"/>
        </w:rPr>
        <w:lastRenderedPageBreak/>
        <w:t>L</w:t>
      </w:r>
      <w:r w:rsidR="00473D89" w:rsidRPr="00C70421">
        <w:rPr>
          <w:lang w:val="fr-FR"/>
        </w:rPr>
        <w:t>’</w:t>
      </w:r>
      <w:r w:rsidR="00D20E41" w:rsidRPr="00C70421">
        <w:rPr>
          <w:lang w:val="fr-FR"/>
        </w:rPr>
        <w:t xml:space="preserve">OPIC a été </w:t>
      </w:r>
      <w:r w:rsidR="0033088B" w:rsidRPr="00C70421">
        <w:rPr>
          <w:lang w:val="fr-FR"/>
        </w:rPr>
        <w:t>créé</w:t>
      </w:r>
      <w:r w:rsidRPr="00C70421">
        <w:rPr>
          <w:lang w:val="fr-FR"/>
        </w:rPr>
        <w:t xml:space="preserve"> en tant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organisme de services spécial (OSS)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entièrement financé </w:t>
      </w:r>
      <w:r w:rsidR="007A502B" w:rsidRPr="00C70421">
        <w:rPr>
          <w:lang w:val="fr-FR"/>
        </w:rPr>
        <w:t>par les droits</w:t>
      </w:r>
      <w:r w:rsidRPr="00C70421">
        <w:rPr>
          <w:lang w:val="fr-FR"/>
        </w:rPr>
        <w:t xml:space="preserve"> </w:t>
      </w:r>
      <w:r w:rsidR="00D20E41" w:rsidRPr="00C70421">
        <w:rPr>
          <w:lang w:val="fr-FR"/>
        </w:rPr>
        <w:t>exigés pour la prestation</w:t>
      </w:r>
      <w:r w:rsidR="007A502B" w:rsidRPr="00C70421">
        <w:rPr>
          <w:lang w:val="fr-FR"/>
        </w:rPr>
        <w:t xml:space="preserve"> de</w:t>
      </w:r>
      <w:r w:rsidR="00D20E41" w:rsidRPr="00C70421">
        <w:rPr>
          <w:lang w:val="fr-FR"/>
        </w:rPr>
        <w:t xml:space="preserve"> se</w:t>
      </w:r>
      <w:r w:rsidR="007A502B" w:rsidRPr="00C70421">
        <w:rPr>
          <w:lang w:val="fr-FR"/>
        </w:rPr>
        <w:t xml:space="preserve">s </w:t>
      </w:r>
      <w:r w:rsidRPr="00C70421">
        <w:rPr>
          <w:lang w:val="fr-FR"/>
        </w:rPr>
        <w:t>produits et servic</w:t>
      </w:r>
      <w:r w:rsidR="00C70421" w:rsidRPr="00C70421">
        <w:rPr>
          <w:lang w:val="fr-FR"/>
        </w:rPr>
        <w:t>es.  Ce</w:t>
      </w:r>
      <w:r w:rsidR="00D20E41" w:rsidRPr="00C70421">
        <w:rPr>
          <w:lang w:val="fr-FR"/>
        </w:rPr>
        <w:t>tte flexibilité</w:t>
      </w:r>
      <w:r w:rsidRPr="00C70421">
        <w:rPr>
          <w:lang w:val="fr-FR"/>
        </w:rPr>
        <w:t xml:space="preserve"> a permis </w:t>
      </w:r>
      <w:r w:rsidR="00D20E41" w:rsidRPr="00C70421">
        <w:rPr>
          <w:lang w:val="fr-FR"/>
        </w:rPr>
        <w:t>à l</w:t>
      </w:r>
      <w:r w:rsidR="00473D89" w:rsidRPr="00C70421">
        <w:rPr>
          <w:lang w:val="fr-FR"/>
        </w:rPr>
        <w:t>’</w:t>
      </w:r>
      <w:r w:rsidR="00D20E41" w:rsidRPr="00C70421">
        <w:rPr>
          <w:lang w:val="fr-FR"/>
        </w:rPr>
        <w:t xml:space="preserve">OPIC </w:t>
      </w:r>
      <w:r w:rsidRPr="00C70421">
        <w:rPr>
          <w:lang w:val="fr-FR"/>
        </w:rPr>
        <w:t xml:space="preserve">de se concentrer sur la </w:t>
      </w:r>
      <w:r w:rsidR="00D20E41" w:rsidRPr="00C70421">
        <w:rPr>
          <w:lang w:val="fr-FR"/>
        </w:rPr>
        <w:t>prestation</w:t>
      </w:r>
      <w:r w:rsidRPr="00C70421">
        <w:rPr>
          <w:lang w:val="fr-FR"/>
        </w:rPr>
        <w:t xml:space="preserve"> de</w:t>
      </w:r>
      <w:r w:rsidR="00D20E41" w:rsidRPr="00C70421">
        <w:rPr>
          <w:lang w:val="fr-FR"/>
        </w:rPr>
        <w:t>s</w:t>
      </w:r>
      <w:r w:rsidRPr="00C70421">
        <w:rPr>
          <w:lang w:val="fr-FR"/>
        </w:rPr>
        <w:t xml:space="preserve"> s</w:t>
      </w:r>
      <w:r w:rsidR="0050667A" w:rsidRPr="00C70421">
        <w:rPr>
          <w:lang w:val="fr-FR"/>
        </w:rPr>
        <w:t>ervice</w:t>
      </w:r>
      <w:r w:rsidRPr="00C70421">
        <w:rPr>
          <w:lang w:val="fr-FR"/>
        </w:rPr>
        <w:t xml:space="preserve">s </w:t>
      </w:r>
      <w:r w:rsidR="00D20E41" w:rsidRPr="00C70421">
        <w:rPr>
          <w:lang w:val="fr-FR"/>
        </w:rPr>
        <w:t>et</w:t>
      </w:r>
      <w:r w:rsidRPr="00C70421">
        <w:rPr>
          <w:lang w:val="fr-FR"/>
        </w:rPr>
        <w:t xml:space="preserve"> la qualité</w:t>
      </w:r>
      <w:r w:rsidR="00D20E41" w:rsidRPr="00C70421">
        <w:rPr>
          <w:lang w:val="fr-FR"/>
        </w:rPr>
        <w:t xml:space="preserve"> de ces derniers</w:t>
      </w:r>
      <w:r w:rsidR="0050667A" w:rsidRPr="00C70421">
        <w:rPr>
          <w:lang w:val="fr-FR"/>
        </w:rPr>
        <w:t xml:space="preserve">, </w:t>
      </w:r>
      <w:r w:rsidR="00D20E41" w:rsidRPr="00C70421">
        <w:rPr>
          <w:lang w:val="fr-FR"/>
        </w:rPr>
        <w:t>tout en prenant en considération les besoins toujours changeants des clients (dans le pays et à l</w:t>
      </w:r>
      <w:r w:rsidR="00473D89" w:rsidRPr="00C70421">
        <w:rPr>
          <w:lang w:val="fr-FR"/>
        </w:rPr>
        <w:t>’</w:t>
      </w:r>
      <w:r w:rsidR="00D20E41" w:rsidRPr="00C70421">
        <w:rPr>
          <w:lang w:val="fr-FR"/>
        </w:rPr>
        <w:t>étranger)</w:t>
      </w:r>
      <w:r w:rsidR="0050667A" w:rsidRPr="00C70421">
        <w:rPr>
          <w:lang w:val="fr-FR"/>
        </w:rPr>
        <w:t xml:space="preserve">. 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</w:t>
      </w:r>
      <w:r w:rsidR="008C0636" w:rsidRPr="00C70421">
        <w:rPr>
          <w:lang w:val="fr-FR"/>
        </w:rPr>
        <w:t>s</w:t>
      </w:r>
      <w:r w:rsidR="00473D89" w:rsidRPr="00C70421">
        <w:rPr>
          <w:lang w:val="fr-FR"/>
        </w:rPr>
        <w:t>’</w:t>
      </w:r>
      <w:r w:rsidR="008C0636" w:rsidRPr="00C70421">
        <w:rPr>
          <w:lang w:val="fr-FR"/>
        </w:rPr>
        <w:t>appuie sur un</w:t>
      </w:r>
      <w:r w:rsidRPr="00C70421">
        <w:rPr>
          <w:lang w:val="fr-FR"/>
        </w:rPr>
        <w:t xml:space="preserve"> modèle de prévisions</w:t>
      </w:r>
      <w:r w:rsidR="0050667A" w:rsidRPr="00C70421">
        <w:rPr>
          <w:lang w:val="fr-FR"/>
        </w:rPr>
        <w:t xml:space="preserve"> </w:t>
      </w:r>
      <w:r w:rsidR="0033088B" w:rsidRPr="00C70421">
        <w:rPr>
          <w:lang w:val="fr-FR"/>
        </w:rPr>
        <w:t>qui soutient</w:t>
      </w:r>
      <w:r w:rsidRPr="00C70421">
        <w:rPr>
          <w:lang w:val="fr-FR"/>
        </w:rPr>
        <w:t xml:space="preserve"> </w:t>
      </w:r>
      <w:r w:rsidR="008C0636" w:rsidRPr="00C70421">
        <w:rPr>
          <w:lang w:val="fr-FR"/>
        </w:rPr>
        <w:t xml:space="preserve">le processus de prise de décision de la </w:t>
      </w:r>
      <w:r w:rsidR="004E30E0">
        <w:rPr>
          <w:lang w:val="fr-FR"/>
        </w:rPr>
        <w:t>d</w:t>
      </w:r>
      <w:r w:rsidR="008C0636" w:rsidRPr="00C70421">
        <w:rPr>
          <w:lang w:val="fr-FR"/>
        </w:rPr>
        <w:t>irection afin de répondre aux besoins des ressources humaines</w:t>
      </w:r>
      <w:r w:rsidR="00AA2DE6" w:rsidRPr="00C70421">
        <w:rPr>
          <w:lang w:val="fr-FR"/>
        </w:rPr>
        <w:t xml:space="preserve"> et d</w:t>
      </w:r>
      <w:r w:rsidR="00473D89" w:rsidRPr="00C70421">
        <w:rPr>
          <w:lang w:val="fr-FR"/>
        </w:rPr>
        <w:t>’</w:t>
      </w:r>
      <w:r w:rsidR="008C0636" w:rsidRPr="00C70421">
        <w:rPr>
          <w:lang w:val="fr-FR"/>
        </w:rPr>
        <w:t>utiliser</w:t>
      </w:r>
      <w:r w:rsidR="00AA2DE6" w:rsidRPr="00C70421">
        <w:rPr>
          <w:lang w:val="fr-FR"/>
        </w:rPr>
        <w:t xml:space="preserve"> celles</w:t>
      </w:r>
      <w:r w:rsidR="00001599">
        <w:rPr>
          <w:lang w:val="fr-FR"/>
        </w:rPr>
        <w:noBreakHyphen/>
      </w:r>
      <w:r w:rsidR="00AA2DE6" w:rsidRPr="00C70421">
        <w:rPr>
          <w:lang w:val="fr-FR"/>
        </w:rPr>
        <w:t>ci</w:t>
      </w:r>
      <w:r w:rsidR="008C0636" w:rsidRPr="00C70421">
        <w:rPr>
          <w:lang w:val="fr-FR"/>
        </w:rPr>
        <w:t xml:space="preserve"> au mieux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992"/>
        <w:gridCol w:w="1134"/>
        <w:gridCol w:w="992"/>
        <w:gridCol w:w="1276"/>
        <w:gridCol w:w="1559"/>
      </w:tblGrid>
      <w:tr w:rsidR="0050667A" w:rsidRPr="00C70421" w:rsidTr="00001599">
        <w:trPr>
          <w:cantSplit/>
        </w:trPr>
        <w:tc>
          <w:tcPr>
            <w:tcW w:w="2552" w:type="dxa"/>
            <w:vMerge w:val="restart"/>
            <w:shd w:val="clear" w:color="auto" w:fill="auto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Domaine technique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N</w:t>
            </w:r>
            <w:r w:rsidR="00AA2DE6" w:rsidRPr="00C70421">
              <w:rPr>
                <w:lang w:val="fr-FR"/>
              </w:rPr>
              <w:t>ombre</w:t>
            </w:r>
          </w:p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(</w:t>
            </w:r>
            <w:r w:rsidR="00114AC9" w:rsidRPr="00C70421">
              <w:rPr>
                <w:lang w:val="fr-FR"/>
              </w:rPr>
              <w:t xml:space="preserve">équivalent </w:t>
            </w:r>
            <w:r w:rsidRPr="00C70421">
              <w:rPr>
                <w:lang w:val="fr-FR"/>
              </w:rPr>
              <w:t>plein</w:t>
            </w:r>
            <w:r w:rsidR="00114AC9" w:rsidRPr="00C70421">
              <w:rPr>
                <w:lang w:val="fr-FR"/>
              </w:rPr>
              <w:t xml:space="preserve"> temps</w:t>
            </w:r>
            <w:r w:rsidR="0050667A" w:rsidRPr="00C70421">
              <w:rPr>
                <w:lang w:val="fr-FR"/>
              </w:rPr>
              <w:t>)</w:t>
            </w:r>
          </w:p>
        </w:tc>
        <w:tc>
          <w:tcPr>
            <w:tcW w:w="4394" w:type="dxa"/>
            <w:gridSpan w:val="4"/>
          </w:tcPr>
          <w:p w:rsidR="0050667A" w:rsidRPr="00C70421" w:rsidRDefault="00114AC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E</w:t>
            </w:r>
            <w:r w:rsidR="00AA2DE6" w:rsidRPr="00C70421">
              <w:rPr>
                <w:lang w:val="fr-FR"/>
              </w:rPr>
              <w:t>xpérience moyenne en tant qu</w:t>
            </w:r>
            <w:r w:rsidR="00473D89" w:rsidRPr="00C70421">
              <w:rPr>
                <w:lang w:val="fr-FR"/>
              </w:rPr>
              <w:t>’</w:t>
            </w:r>
            <w:r w:rsidR="00AA2DE6" w:rsidRPr="00C70421">
              <w:rPr>
                <w:lang w:val="fr-FR"/>
              </w:rPr>
              <w:t>examinateur</w:t>
            </w:r>
            <w:r w:rsidRPr="00C70421">
              <w:rPr>
                <w:lang w:val="fr-FR"/>
              </w:rPr>
              <w:t>s (années)</w:t>
            </w:r>
          </w:p>
        </w:tc>
        <w:tc>
          <w:tcPr>
            <w:tcW w:w="1559" w:type="dxa"/>
            <w:vMerge w:val="restart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Répartition des</w:t>
            </w:r>
            <w:r w:rsidR="0050667A" w:rsidRPr="00C70421">
              <w:rPr>
                <w:lang w:val="fr-FR"/>
              </w:rPr>
              <w:t xml:space="preserve"> qualifications</w:t>
            </w:r>
          </w:p>
        </w:tc>
      </w:tr>
      <w:tr w:rsidR="00001599" w:rsidRPr="00C70421" w:rsidTr="00001599">
        <w:trPr>
          <w:cantSplit/>
        </w:trPr>
        <w:tc>
          <w:tcPr>
            <w:tcW w:w="2552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992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SG</w:t>
            </w:r>
            <w:r w:rsidR="00001599">
              <w:rPr>
                <w:lang w:val="fr-FR"/>
              </w:rPr>
              <w:noBreakHyphen/>
            </w:r>
            <w:r w:rsidRPr="00C70421">
              <w:rPr>
                <w:lang w:val="fr-FR"/>
              </w:rPr>
              <w:t>04</w:t>
            </w:r>
          </w:p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Niveau </w:t>
            </w:r>
            <w:r w:rsidR="00C47FAC" w:rsidRPr="00C70421">
              <w:rPr>
                <w:lang w:val="fr-FR"/>
              </w:rPr>
              <w:t>de travail</w:t>
            </w:r>
          </w:p>
        </w:tc>
        <w:tc>
          <w:tcPr>
            <w:tcW w:w="1134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SG</w:t>
            </w:r>
            <w:r w:rsidR="00001599">
              <w:rPr>
                <w:lang w:val="fr-FR"/>
              </w:rPr>
              <w:noBreakHyphen/>
            </w:r>
            <w:r w:rsidRPr="00C70421">
              <w:rPr>
                <w:lang w:val="fr-FR"/>
              </w:rPr>
              <w:t>05</w:t>
            </w:r>
          </w:p>
          <w:p w:rsidR="0050667A" w:rsidRPr="00C70421" w:rsidRDefault="00C47FAC" w:rsidP="00E93C4E">
            <w:pPr>
              <w:rPr>
                <w:lang w:val="fr-FR"/>
              </w:rPr>
            </w:pPr>
            <w:proofErr w:type="spellStart"/>
            <w:r w:rsidRPr="00C70421">
              <w:rPr>
                <w:lang w:val="fr-FR"/>
              </w:rPr>
              <w:t>Exami</w:t>
            </w:r>
            <w:r w:rsidR="00001599">
              <w:rPr>
                <w:lang w:val="fr-FR"/>
              </w:rPr>
              <w:t>-</w:t>
            </w:r>
            <w:r w:rsidRPr="00C70421">
              <w:rPr>
                <w:lang w:val="fr-FR"/>
              </w:rPr>
              <w:t>nateur</w:t>
            </w:r>
            <w:proofErr w:type="spellEnd"/>
            <w:r w:rsidRPr="00C70421">
              <w:rPr>
                <w:lang w:val="fr-FR"/>
              </w:rPr>
              <w:t xml:space="preserve"> de </w:t>
            </w:r>
            <w:proofErr w:type="gramStart"/>
            <w:r w:rsidRPr="00C70421">
              <w:rPr>
                <w:lang w:val="fr-FR"/>
              </w:rPr>
              <w:t>brevets principal</w:t>
            </w:r>
            <w:proofErr w:type="gramEnd"/>
          </w:p>
        </w:tc>
        <w:tc>
          <w:tcPr>
            <w:tcW w:w="992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SG</w:t>
            </w:r>
            <w:r w:rsidR="00001599">
              <w:rPr>
                <w:lang w:val="fr-FR"/>
              </w:rPr>
              <w:noBreakHyphen/>
            </w:r>
            <w:r w:rsidRPr="00C70421">
              <w:rPr>
                <w:lang w:val="fr-FR"/>
              </w:rPr>
              <w:t>06</w:t>
            </w:r>
          </w:p>
          <w:p w:rsidR="0050667A" w:rsidRPr="00C70421" w:rsidRDefault="00C47FAC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Chef de section</w:t>
            </w:r>
          </w:p>
        </w:tc>
        <w:tc>
          <w:tcPr>
            <w:tcW w:w="1276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Total</w:t>
            </w:r>
            <w:r w:rsidR="00AA2DE6" w:rsidRPr="00C70421">
              <w:rPr>
                <w:lang w:val="fr-FR"/>
              </w:rPr>
              <w:t>,</w:t>
            </w:r>
            <w:r w:rsidRPr="00C70421">
              <w:rPr>
                <w:lang w:val="fr-FR"/>
              </w:rPr>
              <w:t xml:space="preserve"> </w:t>
            </w:r>
            <w:r w:rsidR="00AA2DE6" w:rsidRPr="00C70421">
              <w:rPr>
                <w:lang w:val="fr-FR"/>
              </w:rPr>
              <w:t>tous niveaux confondus</w:t>
            </w:r>
          </w:p>
        </w:tc>
        <w:tc>
          <w:tcPr>
            <w:tcW w:w="1559" w:type="dxa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  <w:tr w:rsidR="00001599" w:rsidRPr="00C70421" w:rsidTr="00001599">
        <w:trPr>
          <w:cantSplit/>
        </w:trPr>
        <w:tc>
          <w:tcPr>
            <w:tcW w:w="2552" w:type="dxa"/>
            <w:shd w:val="clear" w:color="auto" w:fill="auto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Mécanique</w:t>
            </w:r>
          </w:p>
        </w:tc>
        <w:tc>
          <w:tcPr>
            <w:tcW w:w="14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100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1</w:t>
            </w:r>
          </w:p>
        </w:tc>
        <w:tc>
          <w:tcPr>
            <w:tcW w:w="1134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8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2</w:t>
            </w:r>
          </w:p>
        </w:tc>
        <w:tc>
          <w:tcPr>
            <w:tcW w:w="1276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3</w:t>
            </w:r>
          </w:p>
        </w:tc>
        <w:tc>
          <w:tcPr>
            <w:tcW w:w="1559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*</w:t>
            </w:r>
          </w:p>
        </w:tc>
      </w:tr>
      <w:tr w:rsidR="00001599" w:rsidRPr="00C70421" w:rsidTr="00001599">
        <w:trPr>
          <w:cantSplit/>
        </w:trPr>
        <w:tc>
          <w:tcPr>
            <w:tcW w:w="2552" w:type="dxa"/>
            <w:shd w:val="clear" w:color="auto" w:fill="auto"/>
          </w:tcPr>
          <w:p w:rsidR="0050667A" w:rsidRPr="00C70421" w:rsidRDefault="0036488B" w:rsidP="00E93C4E">
            <w:pPr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AA2DE6" w:rsidRPr="00C70421">
              <w:rPr>
                <w:lang w:val="fr-FR"/>
              </w:rPr>
              <w:t>lectricité</w:t>
            </w:r>
            <w:r w:rsidR="0050667A" w:rsidRPr="00C70421">
              <w:rPr>
                <w:lang w:val="fr-FR"/>
              </w:rPr>
              <w:t>/</w:t>
            </w:r>
            <w:r>
              <w:rPr>
                <w:lang w:val="fr-FR"/>
              </w:rPr>
              <w:t>É</w:t>
            </w:r>
            <w:r w:rsidR="0050667A" w:rsidRPr="00C70421">
              <w:rPr>
                <w:lang w:val="fr-FR"/>
              </w:rPr>
              <w:t>lectroni</w:t>
            </w:r>
            <w:r w:rsidR="00AA2DE6" w:rsidRPr="00C70421">
              <w:rPr>
                <w:lang w:val="fr-FR"/>
              </w:rPr>
              <w:t>que</w:t>
            </w:r>
          </w:p>
        </w:tc>
        <w:tc>
          <w:tcPr>
            <w:tcW w:w="14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112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7,</w:t>
            </w:r>
            <w:r w:rsidR="0050667A" w:rsidRPr="00C70421">
              <w:rPr>
                <w:lang w:val="fr-FR"/>
              </w:rPr>
              <w:t>3</w:t>
            </w:r>
          </w:p>
        </w:tc>
        <w:tc>
          <w:tcPr>
            <w:tcW w:w="1134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8,</w:t>
            </w:r>
            <w:r w:rsidR="0050667A" w:rsidRPr="00C70421">
              <w:rPr>
                <w:lang w:val="fr-FR"/>
              </w:rPr>
              <w:t>6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8,</w:t>
            </w:r>
            <w:r w:rsidR="0050667A" w:rsidRPr="00C70421">
              <w:rPr>
                <w:lang w:val="fr-FR"/>
              </w:rPr>
              <w:t>9</w:t>
            </w:r>
          </w:p>
        </w:tc>
        <w:tc>
          <w:tcPr>
            <w:tcW w:w="1276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7,</w:t>
            </w:r>
            <w:r w:rsidR="0050667A" w:rsidRPr="00C70421">
              <w:rPr>
                <w:lang w:val="fr-FR"/>
              </w:rPr>
              <w:t>6</w:t>
            </w:r>
          </w:p>
        </w:tc>
        <w:tc>
          <w:tcPr>
            <w:tcW w:w="1559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*</w:t>
            </w:r>
          </w:p>
        </w:tc>
      </w:tr>
      <w:tr w:rsidR="00001599" w:rsidRPr="00C70421" w:rsidTr="00001599">
        <w:trPr>
          <w:cantSplit/>
        </w:trPr>
        <w:tc>
          <w:tcPr>
            <w:tcW w:w="2552" w:type="dxa"/>
            <w:shd w:val="clear" w:color="auto" w:fill="auto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Chimie</w:t>
            </w:r>
          </w:p>
        </w:tc>
        <w:tc>
          <w:tcPr>
            <w:tcW w:w="14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118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2</w:t>
            </w:r>
          </w:p>
        </w:tc>
        <w:tc>
          <w:tcPr>
            <w:tcW w:w="1134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9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12,</w:t>
            </w:r>
            <w:r w:rsidR="0050667A" w:rsidRPr="00C70421">
              <w:rPr>
                <w:lang w:val="fr-FR"/>
              </w:rPr>
              <w:t>8</w:t>
            </w:r>
          </w:p>
        </w:tc>
        <w:tc>
          <w:tcPr>
            <w:tcW w:w="1276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7</w:t>
            </w:r>
          </w:p>
        </w:tc>
        <w:tc>
          <w:tcPr>
            <w:tcW w:w="1559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*</w:t>
            </w:r>
          </w:p>
        </w:tc>
      </w:tr>
      <w:tr w:rsidR="00001599" w:rsidRPr="00C70421" w:rsidTr="00001599">
        <w:trPr>
          <w:cantSplit/>
        </w:trPr>
        <w:tc>
          <w:tcPr>
            <w:tcW w:w="2552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Biotech</w:t>
            </w:r>
            <w:r w:rsidR="00C47FAC" w:rsidRPr="00C70421">
              <w:rPr>
                <w:lang w:val="fr-FR"/>
              </w:rPr>
              <w:t>nologie</w:t>
            </w:r>
          </w:p>
        </w:tc>
        <w:tc>
          <w:tcPr>
            <w:tcW w:w="14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68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8,</w:t>
            </w:r>
            <w:r w:rsidR="0050667A" w:rsidRPr="00C70421">
              <w:rPr>
                <w:lang w:val="fr-FR"/>
              </w:rPr>
              <w:t>9</w:t>
            </w:r>
          </w:p>
        </w:tc>
        <w:tc>
          <w:tcPr>
            <w:tcW w:w="1134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3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11,</w:t>
            </w:r>
            <w:r w:rsidR="0050667A" w:rsidRPr="00C70421">
              <w:rPr>
                <w:lang w:val="fr-FR"/>
              </w:rPr>
              <w:t>2</w:t>
            </w:r>
          </w:p>
        </w:tc>
        <w:tc>
          <w:tcPr>
            <w:tcW w:w="1276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1</w:t>
            </w:r>
          </w:p>
        </w:tc>
        <w:tc>
          <w:tcPr>
            <w:tcW w:w="1559" w:type="dxa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*</w:t>
            </w:r>
          </w:p>
        </w:tc>
      </w:tr>
      <w:tr w:rsidR="00001599" w:rsidRPr="00C70421" w:rsidTr="00001599">
        <w:trPr>
          <w:cantSplit/>
        </w:trPr>
        <w:tc>
          <w:tcPr>
            <w:tcW w:w="2552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398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8,</w:t>
            </w:r>
            <w:r w:rsidR="0050667A" w:rsidRPr="00C70421">
              <w:rPr>
                <w:lang w:val="fr-FR"/>
              </w:rPr>
              <w:t>6</w:t>
            </w:r>
          </w:p>
        </w:tc>
        <w:tc>
          <w:tcPr>
            <w:tcW w:w="1134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8</w:t>
            </w:r>
          </w:p>
        </w:tc>
        <w:tc>
          <w:tcPr>
            <w:tcW w:w="992" w:type="dxa"/>
          </w:tcPr>
          <w:p w:rsidR="0050667A" w:rsidRPr="00C70421" w:rsidRDefault="00AA2DE6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7</w:t>
            </w:r>
          </w:p>
        </w:tc>
        <w:tc>
          <w:tcPr>
            <w:tcW w:w="1276" w:type="dxa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559" w:type="dxa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</w:tbl>
    <w:p w:rsidR="0050667A" w:rsidRPr="00001599" w:rsidRDefault="0050667A" w:rsidP="00E93C4E">
      <w:pPr>
        <w:rPr>
          <w:rFonts w:ascii="Century Gothic" w:hAnsi="Century Gothic"/>
          <w:sz w:val="20"/>
          <w:lang w:val="fr-FR"/>
        </w:rPr>
      </w:pPr>
    </w:p>
    <w:p w:rsidR="0050667A" w:rsidRPr="00C70421" w:rsidRDefault="0050667A" w:rsidP="00E93C4E">
      <w:pPr>
        <w:rPr>
          <w:lang w:val="fr-FR"/>
        </w:rPr>
      </w:pPr>
      <w:r w:rsidRPr="00C70421">
        <w:rPr>
          <w:lang w:val="fr-FR"/>
        </w:rPr>
        <w:t>*</w:t>
      </w:r>
      <w:r w:rsidRPr="00C70421">
        <w:rPr>
          <w:lang w:val="fr-FR"/>
        </w:rPr>
        <w:tab/>
      </w:r>
      <w:r w:rsidR="0047603F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47603F" w:rsidRPr="00C70421">
        <w:rPr>
          <w:lang w:val="fr-FR"/>
        </w:rPr>
        <w:t xml:space="preserve">OPIC </w:t>
      </w:r>
      <w:r w:rsidR="0033088B" w:rsidRPr="00C70421">
        <w:rPr>
          <w:lang w:val="fr-FR"/>
        </w:rPr>
        <w:t xml:space="preserve">ne </w:t>
      </w:r>
      <w:r w:rsidR="006A2FCF" w:rsidRPr="00C70421">
        <w:rPr>
          <w:lang w:val="fr-FR"/>
        </w:rPr>
        <w:t>dispose pas d</w:t>
      </w:r>
      <w:r w:rsidR="00473D89" w:rsidRPr="00C70421">
        <w:rPr>
          <w:lang w:val="fr-FR"/>
        </w:rPr>
        <w:t>’</w:t>
      </w:r>
      <w:r w:rsidR="006A2FCF" w:rsidRPr="00C70421">
        <w:rPr>
          <w:lang w:val="fr-FR"/>
        </w:rPr>
        <w:t>une</w:t>
      </w:r>
      <w:r w:rsidR="0047603F" w:rsidRPr="00C70421">
        <w:rPr>
          <w:lang w:val="fr-FR"/>
        </w:rPr>
        <w:t xml:space="preserve"> liste indiquant le grade de chacun de</w:t>
      </w:r>
      <w:r w:rsidR="0033088B" w:rsidRPr="00C70421">
        <w:rPr>
          <w:lang w:val="fr-FR"/>
        </w:rPr>
        <w:t xml:space="preserve"> se</w:t>
      </w:r>
      <w:r w:rsidR="0047603F" w:rsidRPr="00C70421">
        <w:rPr>
          <w:lang w:val="fr-FR"/>
        </w:rPr>
        <w:t>s examinateu</w:t>
      </w:r>
      <w:r w:rsidR="00C70421" w:rsidRPr="00C70421">
        <w:rPr>
          <w:lang w:val="fr-FR"/>
        </w:rPr>
        <w:t>rs.  Né</w:t>
      </w:r>
      <w:r w:rsidR="0047603F" w:rsidRPr="00C70421">
        <w:rPr>
          <w:lang w:val="fr-FR"/>
        </w:rPr>
        <w:t xml:space="preserve">anmoins, </w:t>
      </w:r>
      <w:r w:rsidR="00B149F1" w:rsidRPr="00C70421">
        <w:rPr>
          <w:lang w:val="fr-FR"/>
        </w:rPr>
        <w:t>un minimum</w:t>
      </w:r>
      <w:r w:rsidR="0047603F" w:rsidRPr="00C70421">
        <w:rPr>
          <w:lang w:val="fr-FR"/>
        </w:rPr>
        <w:t xml:space="preserve"> de </w:t>
      </w:r>
      <w:r w:rsidR="00B149F1" w:rsidRPr="00C70421">
        <w:rPr>
          <w:lang w:val="fr-FR"/>
        </w:rPr>
        <w:t>compétence</w:t>
      </w:r>
      <w:r w:rsidR="0047603F" w:rsidRPr="00C70421">
        <w:rPr>
          <w:lang w:val="fr-FR"/>
        </w:rPr>
        <w:t>s</w:t>
      </w:r>
      <w:r w:rsidR="00B149F1" w:rsidRPr="00C70421">
        <w:rPr>
          <w:lang w:val="fr-FR"/>
        </w:rPr>
        <w:t xml:space="preserve"> est exigé </w:t>
      </w:r>
      <w:r w:rsidR="0033088B" w:rsidRPr="00C70421">
        <w:rPr>
          <w:lang w:val="fr-FR"/>
        </w:rPr>
        <w:t>lors du recrutement des</w:t>
      </w:r>
      <w:r w:rsidR="00B149F1" w:rsidRPr="00C70421">
        <w:rPr>
          <w:lang w:val="fr-FR"/>
        </w:rPr>
        <w:t xml:space="preserve"> candida</w:t>
      </w:r>
      <w:r w:rsidR="00C70421" w:rsidRPr="00C70421">
        <w:rPr>
          <w:lang w:val="fr-FR"/>
        </w:rPr>
        <w:t>ts.  Ce</w:t>
      </w:r>
      <w:r w:rsidR="0047603F" w:rsidRPr="00C70421">
        <w:rPr>
          <w:lang w:val="fr-FR"/>
        </w:rPr>
        <w:t xml:space="preserve">s </w:t>
      </w:r>
      <w:r w:rsidR="00B149F1" w:rsidRPr="00C70421">
        <w:rPr>
          <w:lang w:val="fr-FR"/>
        </w:rPr>
        <w:t>compétence</w:t>
      </w:r>
      <w:r w:rsidRPr="00C70421">
        <w:rPr>
          <w:lang w:val="fr-FR"/>
        </w:rPr>
        <w:t xml:space="preserve">s </w:t>
      </w:r>
      <w:r w:rsidR="0047603F" w:rsidRPr="00C70421">
        <w:rPr>
          <w:lang w:val="fr-FR"/>
        </w:rPr>
        <w:t>peuvent varier en fonction des domaines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47603F" w:rsidRPr="00C70421">
        <w:rPr>
          <w:lang w:val="fr-FR"/>
        </w:rPr>
        <w:t>mécanique</w:t>
      </w:r>
      <w:r w:rsidR="00473D89" w:rsidRPr="00C70421">
        <w:rPr>
          <w:lang w:val="fr-FR"/>
        </w:rPr>
        <w:t> :</w:t>
      </w:r>
      <w:r w:rsidR="008B1AE0" w:rsidRPr="00C70421">
        <w:rPr>
          <w:lang w:val="fr-FR"/>
        </w:rPr>
        <w:t xml:space="preserve"> </w:t>
      </w:r>
      <w:r w:rsidR="00DD54E2">
        <w:rPr>
          <w:lang w:val="fr-FR"/>
        </w:rPr>
        <w:t>licence</w:t>
      </w:r>
      <w:r w:rsidR="0047603F" w:rsidRPr="00C70421">
        <w:rPr>
          <w:lang w:val="fr-FR"/>
        </w:rPr>
        <w:t xml:space="preserve"> </w:t>
      </w:r>
      <w:r w:rsidR="006B60DE" w:rsidRPr="00C70421">
        <w:rPr>
          <w:lang w:val="fr-FR"/>
        </w:rPr>
        <w:t>universitaire</w:t>
      </w:r>
      <w:r w:rsidR="0033088B" w:rsidRPr="00C70421">
        <w:rPr>
          <w:lang w:val="fr-FR"/>
        </w:rPr>
        <w:t>,</w:t>
      </w:r>
      <w:r w:rsidR="006B60DE" w:rsidRPr="00C70421">
        <w:rPr>
          <w:lang w:val="fr-FR"/>
        </w:rPr>
        <w:t xml:space="preserve"> </w:t>
      </w:r>
      <w:r w:rsidR="00F56089" w:rsidRPr="00C70421">
        <w:rPr>
          <w:lang w:val="fr-FR"/>
        </w:rPr>
        <w:t xml:space="preserve">ou diplôme équivalent </w:t>
      </w:r>
      <w:r w:rsidR="006B60DE" w:rsidRPr="00C70421">
        <w:rPr>
          <w:lang w:val="fr-FR"/>
        </w:rPr>
        <w:t>d</w:t>
      </w:r>
      <w:r w:rsidR="006062E1" w:rsidRPr="00C70421">
        <w:rPr>
          <w:lang w:val="fr-FR"/>
        </w:rPr>
        <w:t>élivré par un établissement d</w:t>
      </w:r>
      <w:r w:rsidR="00473D89" w:rsidRPr="00C70421">
        <w:rPr>
          <w:lang w:val="fr-FR"/>
        </w:rPr>
        <w:t>’</w:t>
      </w:r>
      <w:r w:rsidR="006062E1" w:rsidRPr="00C70421">
        <w:rPr>
          <w:lang w:val="fr-FR"/>
        </w:rPr>
        <w:t>enseignement post</w:t>
      </w:r>
      <w:r w:rsidR="00001599">
        <w:rPr>
          <w:lang w:val="fr-FR"/>
        </w:rPr>
        <w:noBreakHyphen/>
      </w:r>
      <w:r w:rsidR="006062E1" w:rsidRPr="00C70421">
        <w:rPr>
          <w:lang w:val="fr-FR"/>
        </w:rPr>
        <w:t>secondaire</w:t>
      </w:r>
      <w:r w:rsidR="00F56089" w:rsidRPr="00C70421">
        <w:rPr>
          <w:lang w:val="fr-FR"/>
        </w:rPr>
        <w:t xml:space="preserve"> reconnu</w:t>
      </w:r>
      <w:r w:rsidR="0033088B" w:rsidRPr="00C70421">
        <w:rPr>
          <w:lang w:val="fr-FR"/>
        </w:rPr>
        <w:t>,</w:t>
      </w:r>
      <w:r w:rsidRPr="00C70421">
        <w:rPr>
          <w:lang w:val="fr-FR"/>
        </w:rPr>
        <w:t xml:space="preserve"> </w:t>
      </w:r>
      <w:r w:rsidR="00F56089" w:rsidRPr="00C70421">
        <w:rPr>
          <w:lang w:val="fr-FR"/>
        </w:rPr>
        <w:t>en génie mécanique</w:t>
      </w:r>
      <w:r w:rsidRPr="00C70421">
        <w:rPr>
          <w:lang w:val="fr-FR"/>
        </w:rPr>
        <w:t xml:space="preserve"> </w:t>
      </w:r>
      <w:r w:rsidR="00F56089" w:rsidRPr="00C70421">
        <w:rPr>
          <w:lang w:val="fr-FR"/>
        </w:rPr>
        <w:t>ou dans un domaine connexe</w:t>
      </w:r>
      <w:r w:rsidR="006B60DE" w:rsidRPr="00C70421">
        <w:rPr>
          <w:lang w:val="fr-FR"/>
        </w:rPr>
        <w:t>,</w:t>
      </w:r>
      <w:r w:rsidR="00F56089" w:rsidRPr="00C70421">
        <w:rPr>
          <w:lang w:val="fr-FR"/>
        </w:rPr>
        <w:t xml:space="preserve"> </w:t>
      </w:r>
      <w:r w:rsidR="0033088B" w:rsidRPr="00C70421">
        <w:rPr>
          <w:lang w:val="fr-FR"/>
        </w:rPr>
        <w:t>et</w:t>
      </w:r>
      <w:r w:rsidR="00F56089" w:rsidRPr="00C70421">
        <w:rPr>
          <w:lang w:val="fr-FR"/>
        </w:rPr>
        <w:t xml:space="preserve"> solides connaissances des principes de génie mécaniq</w:t>
      </w:r>
      <w:r w:rsidR="00C70421" w:rsidRPr="00C70421">
        <w:rPr>
          <w:lang w:val="fr-FR"/>
        </w:rPr>
        <w:t>ue.  Pa</w:t>
      </w:r>
      <w:r w:rsidR="00F56089" w:rsidRPr="00C70421">
        <w:rPr>
          <w:lang w:val="fr-FR"/>
        </w:rPr>
        <w:t>r exemple</w:t>
      </w:r>
      <w:r w:rsidRPr="00C70421">
        <w:rPr>
          <w:lang w:val="fr-FR"/>
        </w:rPr>
        <w:t xml:space="preserve">, </w:t>
      </w:r>
      <w:r w:rsidR="00F56089" w:rsidRPr="00C70421">
        <w:rPr>
          <w:lang w:val="fr-FR"/>
        </w:rPr>
        <w:t xml:space="preserve">diplôme en génie </w:t>
      </w:r>
      <w:r w:rsidR="006B60DE" w:rsidRPr="00C70421">
        <w:rPr>
          <w:lang w:val="fr-FR"/>
        </w:rPr>
        <w:t>civil,</w:t>
      </w:r>
      <w:r w:rsidR="00B149F1" w:rsidRPr="00C70421">
        <w:rPr>
          <w:lang w:val="fr-FR"/>
        </w:rPr>
        <w:t xml:space="preserve"> en</w:t>
      </w:r>
      <w:r w:rsidR="00F56089" w:rsidRPr="00C70421">
        <w:rPr>
          <w:lang w:val="fr-FR"/>
        </w:rPr>
        <w:t xml:space="preserve"> </w:t>
      </w:r>
      <w:r w:rsidR="006062E1" w:rsidRPr="00C70421">
        <w:rPr>
          <w:lang w:val="fr-FR"/>
        </w:rPr>
        <w:t xml:space="preserve">génie </w:t>
      </w:r>
      <w:r w:rsidR="00F56089" w:rsidRPr="00C70421">
        <w:rPr>
          <w:lang w:val="fr-FR"/>
        </w:rPr>
        <w:t>aérospatial,</w:t>
      </w:r>
      <w:r w:rsidR="006062E1" w:rsidRPr="00C70421">
        <w:rPr>
          <w:lang w:val="fr-FR"/>
        </w:rPr>
        <w:t xml:space="preserve"> </w:t>
      </w:r>
      <w:r w:rsidR="00B149F1" w:rsidRPr="00C70421">
        <w:rPr>
          <w:lang w:val="fr-FR"/>
        </w:rPr>
        <w:t xml:space="preserve">en </w:t>
      </w:r>
      <w:r w:rsidR="006062E1" w:rsidRPr="00C70421">
        <w:rPr>
          <w:lang w:val="fr-FR"/>
        </w:rPr>
        <w:t>génie</w:t>
      </w:r>
      <w:r w:rsidR="00F56089" w:rsidRPr="00C70421">
        <w:rPr>
          <w:lang w:val="fr-FR"/>
        </w:rPr>
        <w:t xml:space="preserve"> biomédical</w:t>
      </w:r>
      <w:r w:rsidR="006B60DE" w:rsidRPr="00C70421">
        <w:rPr>
          <w:lang w:val="fr-FR"/>
        </w:rPr>
        <w:t xml:space="preserve"> ou</w:t>
      </w:r>
      <w:r w:rsidR="006062E1" w:rsidRPr="00C70421">
        <w:rPr>
          <w:lang w:val="fr-FR"/>
        </w:rPr>
        <w:t xml:space="preserve"> </w:t>
      </w:r>
      <w:r w:rsidR="00B149F1" w:rsidRPr="00C70421">
        <w:rPr>
          <w:lang w:val="fr-FR"/>
        </w:rPr>
        <w:t xml:space="preserve">en </w:t>
      </w:r>
      <w:r w:rsidR="006062E1" w:rsidRPr="00C70421">
        <w:rPr>
          <w:lang w:val="fr-FR"/>
        </w:rPr>
        <w:t>génie</w:t>
      </w:r>
      <w:r w:rsidR="006B60DE" w:rsidRPr="00C70421">
        <w:rPr>
          <w:lang w:val="fr-FR"/>
        </w:rPr>
        <w:t xml:space="preserve"> minier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6B60DE" w:rsidRPr="00C70421">
        <w:rPr>
          <w:lang w:val="fr-FR"/>
        </w:rPr>
        <w:t>électrique/électronique</w:t>
      </w:r>
      <w:r w:rsidR="00473D89" w:rsidRPr="00C70421">
        <w:rPr>
          <w:lang w:val="fr-FR"/>
        </w:rPr>
        <w:t> :</w:t>
      </w:r>
      <w:r w:rsidRPr="00C70421">
        <w:rPr>
          <w:lang w:val="fr-FR"/>
        </w:rPr>
        <w:t xml:space="preserve"> </w:t>
      </w:r>
      <w:r w:rsidR="00DD54E2">
        <w:rPr>
          <w:lang w:val="fr-FR"/>
        </w:rPr>
        <w:t>diplôme</w:t>
      </w:r>
      <w:r w:rsidR="006B60DE"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="006B60DE" w:rsidRPr="00C70421">
        <w:rPr>
          <w:lang w:val="fr-FR"/>
        </w:rPr>
        <w:t>une université reconnue</w:t>
      </w:r>
      <w:r w:rsidRPr="00C70421">
        <w:rPr>
          <w:lang w:val="fr-FR"/>
        </w:rPr>
        <w:t xml:space="preserve"> </w:t>
      </w:r>
      <w:r w:rsidR="006B60DE" w:rsidRPr="00C70421">
        <w:rPr>
          <w:lang w:val="fr-FR"/>
        </w:rPr>
        <w:t>en génie électrique</w:t>
      </w:r>
      <w:r w:rsidRPr="00C70421">
        <w:rPr>
          <w:lang w:val="fr-FR"/>
        </w:rPr>
        <w:t>,</w:t>
      </w:r>
      <w:r w:rsidR="00B149F1" w:rsidRPr="00C70421">
        <w:rPr>
          <w:lang w:val="fr-FR"/>
        </w:rPr>
        <w:t xml:space="preserve"> en</w:t>
      </w:r>
      <w:r w:rsidR="006B60DE" w:rsidRPr="00C70421">
        <w:rPr>
          <w:lang w:val="fr-FR"/>
        </w:rPr>
        <w:t xml:space="preserve"> </w:t>
      </w:r>
      <w:r w:rsidR="006062E1" w:rsidRPr="00C70421">
        <w:rPr>
          <w:lang w:val="fr-FR"/>
        </w:rPr>
        <w:t xml:space="preserve">génie </w:t>
      </w:r>
      <w:r w:rsidR="006B60DE" w:rsidRPr="00C70421">
        <w:rPr>
          <w:lang w:val="fr-FR"/>
        </w:rPr>
        <w:t xml:space="preserve">informatique ou </w:t>
      </w:r>
      <w:r w:rsidR="00B149F1" w:rsidRPr="00C70421">
        <w:rPr>
          <w:lang w:val="fr-FR"/>
        </w:rPr>
        <w:t xml:space="preserve">en </w:t>
      </w:r>
      <w:r w:rsidR="006062E1" w:rsidRPr="00C70421">
        <w:rPr>
          <w:lang w:val="fr-FR"/>
        </w:rPr>
        <w:t xml:space="preserve">génie </w:t>
      </w:r>
      <w:r w:rsidR="006B60DE" w:rsidRPr="00C70421">
        <w:rPr>
          <w:lang w:val="fr-FR"/>
        </w:rPr>
        <w:t>logiciel</w:t>
      </w:r>
      <w:r w:rsidRPr="00C70421">
        <w:rPr>
          <w:lang w:val="fr-FR"/>
        </w:rPr>
        <w:t xml:space="preserve"> (</w:t>
      </w:r>
      <w:r w:rsidR="006B60DE" w:rsidRPr="00C70421">
        <w:rPr>
          <w:lang w:val="fr-FR"/>
        </w:rPr>
        <w:t>les diplômes en informatique ne sont pas acceptés</w:t>
      </w:r>
      <w:r w:rsidRPr="00C70421">
        <w:rPr>
          <w:lang w:val="fr-FR"/>
        </w:rPr>
        <w:t>);</w:t>
      </w:r>
    </w:p>
    <w:p w:rsidR="00473D89" w:rsidRPr="00C70421" w:rsidRDefault="0050667A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6B60DE" w:rsidRPr="00C70421">
        <w:rPr>
          <w:lang w:val="fr-FR"/>
        </w:rPr>
        <w:t>chimie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1701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6B60DE" w:rsidRPr="00C70421">
        <w:rPr>
          <w:lang w:val="fr-FR"/>
        </w:rPr>
        <w:t>chimie organique</w:t>
      </w:r>
      <w:r w:rsidR="00473D89" w:rsidRPr="00C70421">
        <w:rPr>
          <w:lang w:val="fr-FR"/>
        </w:rPr>
        <w:t> :</w:t>
      </w:r>
      <w:r w:rsidR="006B60DE" w:rsidRPr="00C70421">
        <w:rPr>
          <w:lang w:val="fr-FR"/>
        </w:rPr>
        <w:t xml:space="preserve"> </w:t>
      </w:r>
      <w:r w:rsidR="006062E1" w:rsidRPr="00C70421">
        <w:rPr>
          <w:lang w:val="fr-FR"/>
        </w:rPr>
        <w:t>baccalauréat spécialisé</w:t>
      </w:r>
      <w:r w:rsidR="0033088B" w:rsidRPr="00C70421">
        <w:rPr>
          <w:lang w:val="fr-FR"/>
        </w:rPr>
        <w:t>,</w:t>
      </w:r>
      <w:r w:rsidR="006062E1" w:rsidRPr="00C70421">
        <w:rPr>
          <w:lang w:val="fr-FR"/>
        </w:rPr>
        <w:t xml:space="preserve"> </w:t>
      </w:r>
      <w:r w:rsidR="0033088B" w:rsidRPr="00C70421">
        <w:rPr>
          <w:lang w:val="fr-FR"/>
        </w:rPr>
        <w:t>ou</w:t>
      </w:r>
      <w:r w:rsidR="006062E1" w:rsidRPr="00C70421">
        <w:rPr>
          <w:lang w:val="fr-FR"/>
        </w:rPr>
        <w:t xml:space="preserve"> diplôme équivalent délivré par un établissement d</w:t>
      </w:r>
      <w:r w:rsidR="00473D89" w:rsidRPr="00C70421">
        <w:rPr>
          <w:lang w:val="fr-FR"/>
        </w:rPr>
        <w:t>’</w:t>
      </w:r>
      <w:r w:rsidR="006062E1" w:rsidRPr="00C70421">
        <w:rPr>
          <w:lang w:val="fr-FR"/>
        </w:rPr>
        <w:t>enseignement post</w:t>
      </w:r>
      <w:r w:rsidR="00001599">
        <w:rPr>
          <w:lang w:val="fr-FR"/>
        </w:rPr>
        <w:noBreakHyphen/>
      </w:r>
      <w:r w:rsidR="006062E1" w:rsidRPr="00C70421">
        <w:rPr>
          <w:lang w:val="fr-FR"/>
        </w:rPr>
        <w:t>secondaire reconnu</w:t>
      </w:r>
      <w:r w:rsidR="0033088B" w:rsidRPr="00C70421">
        <w:rPr>
          <w:lang w:val="fr-FR"/>
        </w:rPr>
        <w:t>,</w:t>
      </w:r>
      <w:r w:rsidR="006062E1" w:rsidRPr="00C70421">
        <w:rPr>
          <w:lang w:val="fr-FR"/>
        </w:rPr>
        <w:t xml:space="preserve"> en chimie ou</w:t>
      </w:r>
      <w:r w:rsidRPr="00C70421">
        <w:rPr>
          <w:lang w:val="fr-FR"/>
        </w:rPr>
        <w:t xml:space="preserve"> </w:t>
      </w:r>
      <w:r w:rsidR="00B149F1" w:rsidRPr="00C70421">
        <w:rPr>
          <w:lang w:val="fr-FR"/>
        </w:rPr>
        <w:t>dans un autre</w:t>
      </w:r>
      <w:r w:rsidR="006062E1" w:rsidRPr="00C70421">
        <w:rPr>
          <w:lang w:val="fr-FR"/>
        </w:rPr>
        <w:t xml:space="preserve"> </w:t>
      </w:r>
      <w:r w:rsidR="00B149F1" w:rsidRPr="00C70421">
        <w:rPr>
          <w:lang w:val="fr-FR"/>
        </w:rPr>
        <w:t>domaine</w:t>
      </w:r>
      <w:r w:rsidR="006062E1" w:rsidRPr="00C70421">
        <w:rPr>
          <w:lang w:val="fr-FR"/>
        </w:rPr>
        <w:t xml:space="preserve"> en lien avec le poste</w:t>
      </w:r>
      <w:r w:rsidRPr="00C70421">
        <w:rPr>
          <w:lang w:val="fr-FR"/>
        </w:rPr>
        <w:t>;</w:t>
      </w:r>
    </w:p>
    <w:p w:rsidR="0050667A" w:rsidRPr="00C70421" w:rsidRDefault="0050667A" w:rsidP="00E93C4E">
      <w:pPr>
        <w:ind w:left="1701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6062E1" w:rsidRPr="00C70421">
        <w:rPr>
          <w:lang w:val="fr-FR"/>
        </w:rPr>
        <w:t>chimie générale</w:t>
      </w:r>
      <w:r w:rsidR="00473D89" w:rsidRPr="00C70421">
        <w:rPr>
          <w:lang w:val="fr-FR"/>
        </w:rPr>
        <w:t> :</w:t>
      </w:r>
      <w:r w:rsidR="006062E1" w:rsidRPr="00C70421">
        <w:rPr>
          <w:lang w:val="fr-FR"/>
        </w:rPr>
        <w:t xml:space="preserve"> </w:t>
      </w:r>
      <w:r w:rsidR="00FA7994" w:rsidRPr="00C70421">
        <w:rPr>
          <w:lang w:val="fr-FR"/>
        </w:rPr>
        <w:t xml:space="preserve">baccalauréat spécialisé, ou </w:t>
      </w:r>
      <w:r w:rsidR="00B149F1" w:rsidRPr="00C70421">
        <w:rPr>
          <w:lang w:val="fr-FR"/>
        </w:rPr>
        <w:t>diplôme équivalent</w:t>
      </w:r>
      <w:r w:rsidRPr="00C70421">
        <w:rPr>
          <w:lang w:val="fr-FR"/>
        </w:rPr>
        <w:t xml:space="preserve"> </w:t>
      </w:r>
      <w:r w:rsidR="00B149F1" w:rsidRPr="00C70421">
        <w:rPr>
          <w:lang w:val="fr-FR"/>
        </w:rPr>
        <w:t>délivré par une université reconnue</w:t>
      </w:r>
      <w:r w:rsidR="00FA7994" w:rsidRPr="00C70421">
        <w:rPr>
          <w:lang w:val="fr-FR"/>
        </w:rPr>
        <w:t>,</w:t>
      </w:r>
      <w:r w:rsidR="00B149F1" w:rsidRPr="00C70421">
        <w:rPr>
          <w:lang w:val="fr-FR"/>
        </w:rPr>
        <w:t xml:space="preserve"> en génie chimique, en chimie ou dans un autre domaine en lien avec le poste</w:t>
      </w:r>
      <w:r w:rsidRPr="00C70421">
        <w:rPr>
          <w:lang w:val="fr-FR"/>
        </w:rPr>
        <w:t xml:space="preserve">; </w:t>
      </w:r>
      <w:r w:rsidR="00373B66" w:rsidRPr="00C70421">
        <w:rPr>
          <w:lang w:val="fr-FR"/>
        </w:rPr>
        <w:t xml:space="preserve"> </w:t>
      </w:r>
      <w:r w:rsidR="00B149F1" w:rsidRPr="00C70421">
        <w:rPr>
          <w:lang w:val="fr-FR"/>
        </w:rPr>
        <w:t>et</w:t>
      </w:r>
    </w:p>
    <w:p w:rsidR="0050667A" w:rsidRPr="00C70421" w:rsidRDefault="0050667A" w:rsidP="00E93C4E">
      <w:pPr>
        <w:ind w:left="1701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149F1" w:rsidRPr="00C70421">
        <w:rPr>
          <w:lang w:val="fr-FR"/>
        </w:rPr>
        <w:t>biotechnologie</w:t>
      </w:r>
      <w:r w:rsidR="00473D89" w:rsidRPr="00C70421">
        <w:rPr>
          <w:lang w:val="fr-FR"/>
        </w:rPr>
        <w:t> :</w:t>
      </w:r>
      <w:r w:rsidR="008B1AE0" w:rsidRPr="00C70421">
        <w:rPr>
          <w:lang w:val="fr-FR"/>
        </w:rPr>
        <w:t xml:space="preserve"> </w:t>
      </w:r>
      <w:r w:rsidR="00FA7994" w:rsidRPr="00C70421">
        <w:rPr>
          <w:lang w:val="fr-FR"/>
        </w:rPr>
        <w:t xml:space="preserve">maîtrise ou </w:t>
      </w:r>
      <w:r w:rsidR="00B149F1" w:rsidRPr="00C70421">
        <w:rPr>
          <w:lang w:val="fr-FR"/>
        </w:rPr>
        <w:t>doctorat d</w:t>
      </w:r>
      <w:r w:rsidR="00473D89" w:rsidRPr="00C70421">
        <w:rPr>
          <w:lang w:val="fr-FR"/>
        </w:rPr>
        <w:t>’</w:t>
      </w:r>
      <w:r w:rsidR="00B149F1" w:rsidRPr="00C70421">
        <w:rPr>
          <w:lang w:val="fr-FR"/>
        </w:rPr>
        <w:t>une université reconnue</w:t>
      </w:r>
      <w:r w:rsidR="006A2FCF" w:rsidRPr="00C70421">
        <w:rPr>
          <w:lang w:val="fr-FR"/>
        </w:rPr>
        <w:t>,</w:t>
      </w:r>
      <w:r w:rsidRPr="00C70421">
        <w:rPr>
          <w:lang w:val="fr-FR"/>
        </w:rPr>
        <w:t xml:space="preserve"> </w:t>
      </w:r>
      <w:r w:rsidR="00B149F1" w:rsidRPr="00C70421">
        <w:rPr>
          <w:lang w:val="fr-FR"/>
        </w:rPr>
        <w:t>en biochimie ou en biologie moléculaire ou dans un autre domaine connexe</w:t>
      </w:r>
      <w:r w:rsidRPr="00C70421">
        <w:rPr>
          <w:lang w:val="fr-FR"/>
        </w:rPr>
        <w:t>.</w:t>
      </w:r>
    </w:p>
    <w:p w:rsidR="0050667A" w:rsidRPr="00C70421" w:rsidRDefault="00B149F1" w:rsidP="00E93C4E">
      <w:pPr>
        <w:rPr>
          <w:lang w:val="fr-FR"/>
        </w:rPr>
      </w:pPr>
      <w:r w:rsidRPr="00C70421">
        <w:rPr>
          <w:lang w:val="fr-FR"/>
        </w:rPr>
        <w:t>Pour les diplômes d</w:t>
      </w:r>
      <w:r w:rsidR="00FA7994" w:rsidRPr="00C70421">
        <w:rPr>
          <w:lang w:val="fr-FR"/>
        </w:rPr>
        <w:t>élivrés par d</w:t>
      </w:r>
      <w:r w:rsidRPr="00C70421">
        <w:rPr>
          <w:lang w:val="fr-FR"/>
        </w:rPr>
        <w:t>es établissements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enseignement </w:t>
      </w:r>
      <w:r w:rsidR="00FA7994" w:rsidRPr="00C70421">
        <w:rPr>
          <w:lang w:val="fr-FR"/>
        </w:rPr>
        <w:t>situés en de</w:t>
      </w:r>
      <w:r w:rsidR="00B87118" w:rsidRPr="00C70421">
        <w:rPr>
          <w:lang w:val="fr-FR"/>
        </w:rPr>
        <w:t>hors du Canada</w:t>
      </w:r>
      <w:r w:rsidRPr="00C70421">
        <w:rPr>
          <w:lang w:val="fr-FR"/>
        </w:rPr>
        <w:t>,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a recours aux services de deux</w:t>
      </w:r>
      <w:r w:rsidR="00373B66" w:rsidRPr="00C70421">
        <w:rPr>
          <w:lang w:val="fr-FR"/>
        </w:rPr>
        <w:t> </w:t>
      </w:r>
      <w:r w:rsidR="00C02F6C" w:rsidRPr="00C70421">
        <w:rPr>
          <w:lang w:val="fr-FR"/>
        </w:rPr>
        <w:t xml:space="preserve">organismes chargés </w:t>
      </w:r>
      <w:r w:rsidR="00DD54E2">
        <w:rPr>
          <w:lang w:val="fr-FR"/>
        </w:rPr>
        <w:t xml:space="preserve">d’établir </w:t>
      </w:r>
      <w:r w:rsidR="00FA7994" w:rsidRPr="00C70421">
        <w:rPr>
          <w:lang w:val="fr-FR"/>
        </w:rPr>
        <w:t>d</w:t>
      </w:r>
      <w:r w:rsidR="00C02F6C" w:rsidRPr="00C70421">
        <w:rPr>
          <w:lang w:val="fr-FR"/>
        </w:rPr>
        <w:t>es équivalenc</w:t>
      </w:r>
      <w:r w:rsidR="00C70421" w:rsidRPr="00C70421">
        <w:rPr>
          <w:lang w:val="fr-FR"/>
        </w:rPr>
        <w:t>es.  Ce</w:t>
      </w:r>
      <w:r w:rsidR="00C02F6C" w:rsidRPr="00C70421">
        <w:rPr>
          <w:lang w:val="fr-FR"/>
        </w:rPr>
        <w:t xml:space="preserve">s organismes </w:t>
      </w:r>
      <w:r w:rsidR="00B87118" w:rsidRPr="00C70421">
        <w:rPr>
          <w:lang w:val="fr-FR"/>
        </w:rPr>
        <w:t>comprennent</w:t>
      </w:r>
      <w:r w:rsidR="00C02F6C" w:rsidRPr="00C70421">
        <w:rPr>
          <w:lang w:val="fr-FR"/>
        </w:rPr>
        <w:t xml:space="preserve"> le</w:t>
      </w:r>
      <w:r w:rsidR="00B87118" w:rsidRPr="00C70421">
        <w:rPr>
          <w:lang w:val="fr-FR"/>
        </w:rPr>
        <w:t xml:space="preserve"> service d</w:t>
      </w:r>
      <w:r w:rsidR="00473D89" w:rsidRPr="00C70421">
        <w:rPr>
          <w:lang w:val="fr-FR"/>
        </w:rPr>
        <w:t>’</w:t>
      </w:r>
      <w:r w:rsidR="00B87118" w:rsidRPr="00C70421">
        <w:rPr>
          <w:lang w:val="fr-FR"/>
        </w:rPr>
        <w:t>évaluation des diplômes étrangers</w:t>
      </w:r>
      <w:r w:rsidR="00C02F6C" w:rsidRPr="00C70421">
        <w:rPr>
          <w:lang w:val="fr-FR"/>
        </w:rPr>
        <w:t xml:space="preserve"> </w:t>
      </w:r>
      <w:r w:rsidR="00B87118" w:rsidRPr="00C70421">
        <w:rPr>
          <w:lang w:val="fr-FR"/>
        </w:rPr>
        <w:t>du Comparative Education Service (</w:t>
      </w:r>
      <w:r w:rsidR="0050667A" w:rsidRPr="00C70421">
        <w:rPr>
          <w:lang w:val="fr-FR"/>
        </w:rPr>
        <w:t>CES)</w:t>
      </w:r>
      <w:r w:rsidR="00C02F6C"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="00B87118" w:rsidRPr="00C70421">
        <w:rPr>
          <w:lang w:val="fr-FR"/>
        </w:rPr>
        <w:t>Université de Toronto et le service d</w:t>
      </w:r>
      <w:r w:rsidR="00473D89" w:rsidRPr="00C70421">
        <w:rPr>
          <w:lang w:val="fr-FR"/>
        </w:rPr>
        <w:t>’</w:t>
      </w:r>
      <w:r w:rsidR="00B87118" w:rsidRPr="00C70421">
        <w:rPr>
          <w:lang w:val="fr-FR"/>
        </w:rPr>
        <w:t xml:space="preserve">évaluation des titres du </w:t>
      </w:r>
      <w:r w:rsidR="0050667A" w:rsidRPr="00C70421">
        <w:rPr>
          <w:lang w:val="fr-FR"/>
        </w:rPr>
        <w:t>World Education Services (WES).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B87118" w:rsidP="00E93C4E">
      <w:pPr>
        <w:rPr>
          <w:lang w:val="fr-FR"/>
        </w:rPr>
      </w:pPr>
      <w:r w:rsidRPr="00C70421">
        <w:rPr>
          <w:lang w:val="fr-FR"/>
        </w:rPr>
        <w:t>L</w:t>
      </w:r>
      <w:r w:rsidR="005850AA" w:rsidRPr="00C70421">
        <w:rPr>
          <w:lang w:val="fr-FR"/>
        </w:rPr>
        <w:t>e</w:t>
      </w:r>
      <w:r w:rsidR="0050667A" w:rsidRPr="00C70421">
        <w:rPr>
          <w:lang w:val="fr-FR"/>
        </w:rPr>
        <w:t xml:space="preserve"> </w:t>
      </w:r>
      <w:r w:rsidR="005850AA" w:rsidRPr="00C70421">
        <w:rPr>
          <w:lang w:val="fr-FR"/>
        </w:rPr>
        <w:t>personnel de soutien à l</w:t>
      </w:r>
      <w:r w:rsidR="00473D89" w:rsidRPr="00C70421">
        <w:rPr>
          <w:lang w:val="fr-FR"/>
        </w:rPr>
        <w:t>’</w:t>
      </w:r>
      <w:r w:rsidR="005850AA" w:rsidRPr="00C70421">
        <w:rPr>
          <w:lang w:val="fr-FR"/>
        </w:rPr>
        <w:t>examen</w:t>
      </w:r>
      <w:r w:rsidR="0050667A" w:rsidRPr="00C70421">
        <w:rPr>
          <w:lang w:val="fr-FR"/>
        </w:rPr>
        <w:t xml:space="preserve"> </w:t>
      </w:r>
      <w:r w:rsidR="005850AA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5850AA" w:rsidRPr="00C70421">
        <w:rPr>
          <w:lang w:val="fr-FR"/>
        </w:rPr>
        <w:t>OPIC est dédié à deux</w:t>
      </w:r>
      <w:r w:rsidR="00373B66" w:rsidRPr="00C70421">
        <w:rPr>
          <w:lang w:val="fr-FR"/>
        </w:rPr>
        <w:t> </w:t>
      </w:r>
      <w:r w:rsidR="005850AA" w:rsidRPr="00C70421">
        <w:rPr>
          <w:lang w:val="fr-FR"/>
        </w:rPr>
        <w:t>domaines</w:t>
      </w:r>
      <w:r w:rsidR="00473D89" w:rsidRPr="00C70421">
        <w:rPr>
          <w:lang w:val="fr-FR"/>
        </w:rPr>
        <w:t> :</w:t>
      </w:r>
      <w:r w:rsidR="005850AA" w:rsidRPr="00C70421">
        <w:rPr>
          <w:lang w:val="fr-FR"/>
        </w:rPr>
        <w:t xml:space="preserve"> le travail dans la phase </w:t>
      </w:r>
      <w:r w:rsidR="0050667A" w:rsidRPr="00C70421">
        <w:rPr>
          <w:lang w:val="fr-FR"/>
        </w:rPr>
        <w:t>national</w:t>
      </w:r>
      <w:r w:rsidR="007B7881" w:rsidRPr="00C70421">
        <w:rPr>
          <w:lang w:val="fr-FR"/>
        </w:rPr>
        <w:t>e</w:t>
      </w:r>
      <w:r w:rsidR="006A2FCF" w:rsidRPr="00C70421">
        <w:rPr>
          <w:lang w:val="fr-FR"/>
        </w:rPr>
        <w:t xml:space="preserve"> et le travail dans</w:t>
      </w:r>
      <w:r w:rsidR="008069C6" w:rsidRPr="00C70421">
        <w:rPr>
          <w:lang w:val="fr-FR"/>
        </w:rPr>
        <w:t xml:space="preserve"> la phase internationale, pour lequel les examinateurs reçoivent également</w:t>
      </w:r>
      <w:r w:rsidR="007B7881" w:rsidRPr="00C70421">
        <w:rPr>
          <w:lang w:val="fr-FR"/>
        </w:rPr>
        <w:t xml:space="preserve"> le soutien du personnel de </w:t>
      </w:r>
      <w:r w:rsidR="00FA7994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B7881" w:rsidRPr="00C70421">
        <w:rPr>
          <w:lang w:val="fr-FR"/>
        </w:rPr>
        <w:t>office récepte</w:t>
      </w:r>
      <w:r w:rsidR="00C70421" w:rsidRPr="00C70421">
        <w:rPr>
          <w:lang w:val="fr-FR"/>
        </w:rPr>
        <w:t>ur.  Da</w:t>
      </w:r>
      <w:r w:rsidR="00FA7994" w:rsidRPr="00C70421">
        <w:rPr>
          <w:lang w:val="fr-FR"/>
        </w:rPr>
        <w:t>ns la phase internationale, les examinateurs</w:t>
      </w:r>
      <w:r w:rsidR="008069C6" w:rsidRPr="00C70421">
        <w:rPr>
          <w:lang w:val="fr-FR"/>
        </w:rPr>
        <w:t xml:space="preserve"> </w:t>
      </w:r>
      <w:r w:rsidR="00FA7994" w:rsidRPr="00C70421">
        <w:rPr>
          <w:lang w:val="fr-FR"/>
        </w:rPr>
        <w:t xml:space="preserve">sont </w:t>
      </w:r>
      <w:r w:rsidR="008069C6" w:rsidRPr="00C70421">
        <w:rPr>
          <w:lang w:val="fr-FR"/>
        </w:rPr>
        <w:t>chargé</w:t>
      </w:r>
      <w:r w:rsidR="00FA7994" w:rsidRPr="00C70421">
        <w:rPr>
          <w:lang w:val="fr-FR"/>
        </w:rPr>
        <w:t>s</w:t>
      </w:r>
      <w:r w:rsidR="008069C6" w:rsidRPr="00C70421">
        <w:rPr>
          <w:lang w:val="fr-FR"/>
        </w:rPr>
        <w:t xml:space="preserve"> de s</w:t>
      </w:r>
      <w:r w:rsidR="00473D89" w:rsidRPr="00C70421">
        <w:rPr>
          <w:lang w:val="fr-FR"/>
        </w:rPr>
        <w:t>’</w:t>
      </w:r>
      <w:r w:rsidR="008069C6" w:rsidRPr="00C70421">
        <w:rPr>
          <w:lang w:val="fr-FR"/>
        </w:rPr>
        <w:t xml:space="preserve">assurer que </w:t>
      </w:r>
      <w:r w:rsidR="007B7881" w:rsidRPr="00C70421">
        <w:rPr>
          <w:lang w:val="fr-FR"/>
        </w:rPr>
        <w:t xml:space="preserve">les </w:t>
      </w:r>
      <w:r w:rsidR="00DD54E2">
        <w:rPr>
          <w:lang w:val="fr-FR"/>
        </w:rPr>
        <w:t>résultat</w:t>
      </w:r>
      <w:r w:rsidR="007B7881" w:rsidRPr="00C70421">
        <w:rPr>
          <w:lang w:val="fr-FR"/>
        </w:rPr>
        <w:t>s</w:t>
      </w:r>
      <w:r w:rsidR="00DD54E2">
        <w:rPr>
          <w:lang w:val="fr-FR"/>
        </w:rPr>
        <w:t xml:space="preserve"> des travaux</w:t>
      </w:r>
      <w:r w:rsidR="007B7881" w:rsidRPr="00C70421">
        <w:rPr>
          <w:lang w:val="fr-FR"/>
        </w:rPr>
        <w:t xml:space="preserve"> internationaux de l</w:t>
      </w:r>
      <w:r w:rsidR="00473D89" w:rsidRPr="00C70421">
        <w:rPr>
          <w:lang w:val="fr-FR"/>
        </w:rPr>
        <w:t>’</w:t>
      </w:r>
      <w:r w:rsidR="007B7881"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="008069C6" w:rsidRPr="00C70421">
        <w:rPr>
          <w:lang w:val="fr-FR"/>
        </w:rPr>
        <w:t>sont transmis à tem</w:t>
      </w:r>
      <w:r w:rsidR="00C70421" w:rsidRPr="00C70421">
        <w:rPr>
          <w:lang w:val="fr-FR"/>
        </w:rPr>
        <w:t>ps.  De</w:t>
      </w:r>
      <w:r w:rsidR="008069C6" w:rsidRPr="00C70421">
        <w:rPr>
          <w:lang w:val="fr-FR"/>
        </w:rPr>
        <w:t xml:space="preserve">s informations détaillées concernant le respect des délais sont fournies dans </w:t>
      </w:r>
      <w:r w:rsidR="00A46169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A46169" w:rsidRPr="00C70421">
        <w:rPr>
          <w:lang w:val="fr-FR"/>
        </w:rPr>
        <w:t>exposé le plus récent</w:t>
      </w:r>
      <w:r w:rsidR="00354444" w:rsidRPr="00C70421">
        <w:rPr>
          <w:lang w:val="fr-FR"/>
        </w:rPr>
        <w:t xml:space="preserve"> (</w:t>
      </w:r>
      <w:hyperlink r:id="rId17" w:history="1">
        <w:r w:rsidR="008069C6" w:rsidRPr="00C70421">
          <w:rPr>
            <w:rStyle w:val="Hyperlink"/>
            <w:lang w:val="fr-FR"/>
          </w:rPr>
          <w:t>statistiques</w:t>
        </w:r>
      </w:hyperlink>
      <w:r w:rsidR="008069C6" w:rsidRPr="00C70421">
        <w:rPr>
          <w:rStyle w:val="Hyperlink"/>
          <w:lang w:val="fr-FR"/>
        </w:rPr>
        <w:t xml:space="preserve"> concernant</w:t>
      </w:r>
      <w:r w:rsidR="00473D89" w:rsidRPr="00C70421">
        <w:rPr>
          <w:rStyle w:val="Hyperlink"/>
          <w:lang w:val="fr-FR"/>
        </w:rPr>
        <w:t xml:space="preserve"> le PCT</w:t>
      </w:r>
      <w:r w:rsidR="00354444" w:rsidRPr="00C70421">
        <w:rPr>
          <w:lang w:val="fr-FR"/>
        </w:rPr>
        <w:t xml:space="preserve">) </w:t>
      </w:r>
      <w:r w:rsidR="00A46169" w:rsidRPr="00C70421">
        <w:rPr>
          <w:lang w:val="fr-FR"/>
        </w:rPr>
        <w:t>présenté p</w:t>
      </w:r>
      <w:r w:rsidR="008069C6" w:rsidRPr="00C70421">
        <w:rPr>
          <w:lang w:val="fr-FR"/>
        </w:rPr>
        <w:t xml:space="preserve">ar le </w:t>
      </w:r>
      <w:r w:rsidR="008069C6" w:rsidRPr="00C70421">
        <w:rPr>
          <w:lang w:val="fr-FR"/>
        </w:rPr>
        <w:lastRenderedPageBreak/>
        <w:t xml:space="preserve">Bureau international au cours de la </w:t>
      </w:r>
      <w:r w:rsidR="00A46169" w:rsidRPr="00C70421">
        <w:rPr>
          <w:lang w:val="fr-FR"/>
        </w:rPr>
        <w:t>R</w:t>
      </w:r>
      <w:r w:rsidR="008069C6" w:rsidRPr="00C70421">
        <w:rPr>
          <w:lang w:val="fr-FR"/>
        </w:rPr>
        <w:t xml:space="preserve">éunion </w:t>
      </w:r>
      <w:r w:rsidR="00A46169" w:rsidRPr="00C70421">
        <w:rPr>
          <w:lang w:val="fr-FR"/>
        </w:rPr>
        <w:t>des administrations internationales instituées en vertu du PCT</w:t>
      </w:r>
      <w:r w:rsidR="00FA7994" w:rsidRPr="00C70421">
        <w:rPr>
          <w:lang w:val="fr-FR"/>
        </w:rPr>
        <w:t xml:space="preserve"> de </w:t>
      </w:r>
      <w:r w:rsidR="00A46169" w:rsidRPr="00C70421">
        <w:rPr>
          <w:lang w:val="fr-FR"/>
        </w:rPr>
        <w:t>février</w:t>
      </w:r>
      <w:r w:rsidR="00FA7994" w:rsidRPr="00C70421">
        <w:rPr>
          <w:lang w:val="fr-FR"/>
        </w:rPr>
        <w:t> </w:t>
      </w:r>
      <w:r w:rsidR="0050667A" w:rsidRPr="00C70421">
        <w:rPr>
          <w:lang w:val="fr-FR"/>
        </w:rPr>
        <w:t>2017.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Program</w:t>
      </w:r>
      <w:r w:rsidR="00A46169" w:rsidRPr="00C70421">
        <w:rPr>
          <w:lang w:val="fr-FR"/>
        </w:rPr>
        <w:t>me</w:t>
      </w:r>
      <w:r w:rsidRPr="00C70421">
        <w:rPr>
          <w:lang w:val="fr-FR"/>
        </w:rPr>
        <w:t>s</w:t>
      </w:r>
      <w:r w:rsidR="00A46169" w:rsidRPr="00C70421">
        <w:rPr>
          <w:lang w:val="fr-FR"/>
        </w:rPr>
        <w:t xml:space="preserve"> de formation</w:t>
      </w:r>
    </w:p>
    <w:p w:rsidR="0050667A" w:rsidRPr="00C70421" w:rsidRDefault="005157BC" w:rsidP="00E93C4E">
      <w:pPr>
        <w:rPr>
          <w:lang w:val="fr-FR"/>
        </w:rPr>
      </w:pPr>
      <w:r w:rsidRPr="00C70421">
        <w:rPr>
          <w:lang w:val="fr-FR"/>
        </w:rPr>
        <w:t>Le</w:t>
      </w:r>
      <w:r w:rsidR="00A46169" w:rsidRPr="00C70421">
        <w:rPr>
          <w:lang w:val="fr-FR"/>
        </w:rPr>
        <w:t xml:space="preserve"> chef du programme de formation est </w:t>
      </w:r>
      <w:r w:rsidRPr="00C70421">
        <w:rPr>
          <w:lang w:val="fr-FR"/>
        </w:rPr>
        <w:t>responsable</w:t>
      </w:r>
      <w:r w:rsidR="00A46169" w:rsidRPr="00C70421">
        <w:rPr>
          <w:lang w:val="fr-FR"/>
        </w:rPr>
        <w:t xml:space="preserve"> de tous les programmes de formation destinés aux examinateurs de breve</w:t>
      </w:r>
      <w:r w:rsidR="00C70421" w:rsidRPr="00C70421">
        <w:rPr>
          <w:lang w:val="fr-FR"/>
        </w:rPr>
        <w:t>ts.  Le</w:t>
      </w:r>
      <w:r w:rsidR="00A46169" w:rsidRPr="00C70421">
        <w:rPr>
          <w:lang w:val="fr-FR"/>
        </w:rPr>
        <w:t xml:space="preserve"> système </w:t>
      </w:r>
      <w:r w:rsidR="00B458CD" w:rsidRPr="00C70421">
        <w:rPr>
          <w:lang w:val="fr-FR"/>
        </w:rPr>
        <w:t>en place</w:t>
      </w:r>
      <w:r w:rsidR="00A46169" w:rsidRPr="00C70421">
        <w:rPr>
          <w:lang w:val="fr-FR"/>
        </w:rPr>
        <w:t xml:space="preserve"> pour la formation d</w:t>
      </w:r>
      <w:r w:rsidR="00473D89" w:rsidRPr="00C70421">
        <w:rPr>
          <w:lang w:val="fr-FR"/>
        </w:rPr>
        <w:t>’</w:t>
      </w:r>
      <w:r w:rsidR="00A46169" w:rsidRPr="00C70421">
        <w:rPr>
          <w:lang w:val="fr-FR"/>
        </w:rPr>
        <w:t>examinateur de brevets de l</w:t>
      </w:r>
      <w:r w:rsidR="00473D89" w:rsidRPr="00C70421">
        <w:rPr>
          <w:lang w:val="fr-FR"/>
        </w:rPr>
        <w:t>’</w:t>
      </w:r>
      <w:r w:rsidR="00A46169"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="00A46169" w:rsidRPr="00C70421">
        <w:rPr>
          <w:lang w:val="fr-FR"/>
        </w:rPr>
        <w:t>consiste en un programme de deux</w:t>
      </w:r>
      <w:r w:rsidR="00373B66" w:rsidRPr="00C70421">
        <w:rPr>
          <w:lang w:val="fr-FR"/>
        </w:rPr>
        <w:t> </w:t>
      </w:r>
      <w:r w:rsidR="00A46169" w:rsidRPr="00C70421">
        <w:rPr>
          <w:lang w:val="fr-FR"/>
        </w:rPr>
        <w:t>années d</w:t>
      </w:r>
      <w:r w:rsidR="00473D89" w:rsidRPr="00C70421">
        <w:rPr>
          <w:lang w:val="fr-FR"/>
        </w:rPr>
        <w:t>’</w:t>
      </w:r>
      <w:r w:rsidR="00A46169" w:rsidRPr="00C70421">
        <w:rPr>
          <w:lang w:val="fr-FR"/>
        </w:rPr>
        <w:t>apprentissage</w:t>
      </w:r>
      <w:r w:rsidR="0050667A" w:rsidRPr="00C70421">
        <w:rPr>
          <w:lang w:val="fr-FR"/>
        </w:rPr>
        <w:t xml:space="preserve"> </w:t>
      </w:r>
      <w:r w:rsidR="00A46169" w:rsidRPr="00C70421">
        <w:rPr>
          <w:lang w:val="fr-FR"/>
        </w:rPr>
        <w:t xml:space="preserve">au cours duquel </w:t>
      </w:r>
      <w:r w:rsidR="00EB6FD5" w:rsidRPr="00C70421">
        <w:rPr>
          <w:lang w:val="fr-FR"/>
        </w:rPr>
        <w:t>chaque</w:t>
      </w:r>
      <w:r w:rsidR="00B458CD" w:rsidRPr="00C70421">
        <w:rPr>
          <w:lang w:val="fr-FR"/>
        </w:rPr>
        <w:t xml:space="preserve"> nouvel</w:t>
      </w:r>
      <w:r w:rsidR="00EB6FD5" w:rsidRPr="00C70421">
        <w:rPr>
          <w:lang w:val="fr-FR"/>
        </w:rPr>
        <w:t xml:space="preserve"> </w:t>
      </w:r>
      <w:r w:rsidR="00A46169" w:rsidRPr="00C70421">
        <w:rPr>
          <w:lang w:val="fr-FR"/>
        </w:rPr>
        <w:t xml:space="preserve">examinateur </w:t>
      </w:r>
      <w:r w:rsidR="00EB6FD5" w:rsidRPr="00C70421">
        <w:rPr>
          <w:lang w:val="fr-FR"/>
        </w:rPr>
        <w:t>recruté</w:t>
      </w:r>
      <w:r w:rsidR="0050667A" w:rsidRPr="00C70421">
        <w:rPr>
          <w:lang w:val="fr-FR"/>
        </w:rPr>
        <w:t xml:space="preserve"> </w:t>
      </w:r>
      <w:r w:rsidR="00EB6FD5" w:rsidRPr="00C70421">
        <w:rPr>
          <w:lang w:val="fr-FR"/>
        </w:rPr>
        <w:t>reçoit une formation individuelle en cours d</w:t>
      </w:r>
      <w:r w:rsidR="00473D89" w:rsidRPr="00C70421">
        <w:rPr>
          <w:lang w:val="fr-FR"/>
        </w:rPr>
        <w:t>’</w:t>
      </w:r>
      <w:r w:rsidR="00EB6FD5" w:rsidRPr="00C70421">
        <w:rPr>
          <w:lang w:val="fr-FR"/>
        </w:rPr>
        <w:t>emploi avec un examinateur de brevets princip</w:t>
      </w:r>
      <w:r w:rsidR="00C70421" w:rsidRPr="00C70421">
        <w:rPr>
          <w:lang w:val="fr-FR"/>
        </w:rPr>
        <w:t>al.  Ce</w:t>
      </w:r>
      <w:r w:rsidR="00EB6FD5" w:rsidRPr="00C70421">
        <w:rPr>
          <w:lang w:val="fr-FR"/>
        </w:rPr>
        <w:t xml:space="preserve">t apprentissage est complété par une formation théorique dans divers domaines </w:t>
      </w:r>
      <w:r w:rsidR="00B458CD" w:rsidRPr="00C70421">
        <w:rPr>
          <w:lang w:val="fr-FR"/>
        </w:rPr>
        <w:t>liés au</w:t>
      </w:r>
      <w:r w:rsidR="00EB6FD5" w:rsidRPr="00C70421">
        <w:rPr>
          <w:lang w:val="fr-FR"/>
        </w:rPr>
        <w:t xml:space="preserve"> droit des brevets et</w:t>
      </w:r>
      <w:r w:rsidR="00B458CD" w:rsidRPr="00C70421">
        <w:rPr>
          <w:lang w:val="fr-FR"/>
        </w:rPr>
        <w:t xml:space="preserve"> à</w:t>
      </w:r>
      <w:r w:rsidR="00EB6FD5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EB6FD5" w:rsidRPr="00C70421">
        <w:rPr>
          <w:lang w:val="fr-FR"/>
        </w:rPr>
        <w:t>examen des brevets</w:t>
      </w:r>
      <w:r w:rsidR="0050667A" w:rsidRPr="00C70421">
        <w:rPr>
          <w:lang w:val="fr-FR"/>
        </w:rPr>
        <w:t xml:space="preserve">, </w:t>
      </w:r>
      <w:r w:rsidR="00EB6FD5" w:rsidRPr="00C70421">
        <w:rPr>
          <w:lang w:val="fr-FR"/>
        </w:rPr>
        <w:t>tels que</w:t>
      </w:r>
      <w:r w:rsidR="00473D89" w:rsidRPr="00C70421">
        <w:rPr>
          <w:lang w:val="fr-FR"/>
        </w:rPr>
        <w:t> :</w:t>
      </w:r>
      <w:r w:rsidR="008B1AE0" w:rsidRPr="00C70421">
        <w:rPr>
          <w:lang w:val="fr-FR"/>
        </w:rPr>
        <w:t xml:space="preserve"> </w:t>
      </w:r>
      <w:r w:rsidR="00EB6FD5" w:rsidRPr="00C70421">
        <w:rPr>
          <w:lang w:val="fr-FR"/>
        </w:rPr>
        <w:t>la loi sur les brevets et les règles sur les brevets du Canada</w:t>
      </w:r>
      <w:r w:rsidR="0050667A" w:rsidRPr="00C70421">
        <w:rPr>
          <w:lang w:val="fr-FR"/>
        </w:rPr>
        <w:t xml:space="preserve">, </w:t>
      </w:r>
      <w:r w:rsidR="00EB6FD5" w:rsidRPr="00C70421">
        <w:rPr>
          <w:lang w:val="fr-FR"/>
        </w:rPr>
        <w:t xml:space="preserve">la </w:t>
      </w:r>
      <w:r w:rsidR="0050667A" w:rsidRPr="00C70421">
        <w:rPr>
          <w:lang w:val="fr-FR"/>
        </w:rPr>
        <w:t xml:space="preserve">jurisprudence, </w:t>
      </w:r>
      <w:r w:rsidR="006B3CED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EB6FD5" w:rsidRPr="00C70421">
        <w:rPr>
          <w:lang w:val="fr-FR"/>
        </w:rPr>
        <w:t xml:space="preserve">examen quant à la forme et </w:t>
      </w:r>
      <w:r w:rsidR="006B3CED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EB6FD5" w:rsidRPr="00C70421">
        <w:rPr>
          <w:lang w:val="fr-FR"/>
        </w:rPr>
        <w:t xml:space="preserve">examen quant au fond, </w:t>
      </w:r>
      <w:r w:rsidR="006B3CED" w:rsidRPr="00C70421">
        <w:rPr>
          <w:lang w:val="fr-FR"/>
        </w:rPr>
        <w:t>la nouveauté, l</w:t>
      </w:r>
      <w:r w:rsidR="00473D89" w:rsidRPr="00C70421">
        <w:rPr>
          <w:lang w:val="fr-FR"/>
        </w:rPr>
        <w:t>’</w:t>
      </w:r>
      <w:r w:rsidR="006B3CED" w:rsidRPr="00C70421">
        <w:rPr>
          <w:lang w:val="fr-FR"/>
        </w:rPr>
        <w:t>activité inventive, la</w:t>
      </w:r>
      <w:r w:rsidR="00EB6FD5" w:rsidRPr="00C70421">
        <w:rPr>
          <w:lang w:val="fr-FR"/>
        </w:rPr>
        <w:t xml:space="preserve"> possibilité d</w:t>
      </w:r>
      <w:r w:rsidR="00473D89" w:rsidRPr="00C70421">
        <w:rPr>
          <w:lang w:val="fr-FR"/>
        </w:rPr>
        <w:t>’</w:t>
      </w:r>
      <w:r w:rsidR="00EB6FD5" w:rsidRPr="00C70421">
        <w:rPr>
          <w:lang w:val="fr-FR"/>
        </w:rPr>
        <w:t>application industrielle</w:t>
      </w:r>
      <w:r w:rsidR="0050667A" w:rsidRPr="00C70421">
        <w:rPr>
          <w:lang w:val="fr-FR"/>
        </w:rPr>
        <w:t>,</w:t>
      </w:r>
      <w:r w:rsidR="00B458CD" w:rsidRPr="00C70421">
        <w:rPr>
          <w:lang w:val="fr-FR"/>
        </w:rPr>
        <w:t xml:space="preserve"> le champ des objets brevetables,</w:t>
      </w:r>
      <w:r w:rsidR="0050667A" w:rsidRPr="00C70421">
        <w:rPr>
          <w:lang w:val="fr-FR"/>
        </w:rPr>
        <w:t xml:space="preserve"> </w:t>
      </w:r>
      <w:r w:rsidR="006B3CED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6B3CED" w:rsidRPr="00C70421">
        <w:rPr>
          <w:lang w:val="fr-FR"/>
        </w:rPr>
        <w:t>unité</w:t>
      </w:r>
      <w:r w:rsidR="0050667A" w:rsidRPr="00C70421">
        <w:rPr>
          <w:lang w:val="fr-FR"/>
        </w:rPr>
        <w:t xml:space="preserve">, </w:t>
      </w:r>
      <w:r w:rsidR="006B3CED" w:rsidRPr="00C70421">
        <w:rPr>
          <w:lang w:val="fr-FR"/>
        </w:rPr>
        <w:t xml:space="preserve">la </w:t>
      </w:r>
      <w:r w:rsidR="0050667A" w:rsidRPr="00C70421">
        <w:rPr>
          <w:lang w:val="fr-FR"/>
        </w:rPr>
        <w:t>clar</w:t>
      </w:r>
      <w:r w:rsidR="006B3CED" w:rsidRPr="00C70421">
        <w:rPr>
          <w:lang w:val="fr-FR"/>
        </w:rPr>
        <w:t>té</w:t>
      </w:r>
      <w:r w:rsidR="0050667A" w:rsidRPr="00C70421">
        <w:rPr>
          <w:lang w:val="fr-FR"/>
        </w:rPr>
        <w:t xml:space="preserve">, </w:t>
      </w:r>
      <w:r w:rsidR="006B3CED" w:rsidRPr="00C70421">
        <w:rPr>
          <w:lang w:val="fr-FR"/>
        </w:rPr>
        <w:t>les bases de données</w:t>
      </w:r>
      <w:r w:rsidR="0050667A" w:rsidRPr="00C70421">
        <w:rPr>
          <w:lang w:val="fr-FR"/>
        </w:rPr>
        <w:t xml:space="preserve"> (Questel </w:t>
      </w:r>
      <w:proofErr w:type="spellStart"/>
      <w:r w:rsidR="0050667A" w:rsidRPr="00C70421">
        <w:rPr>
          <w:lang w:val="fr-FR"/>
        </w:rPr>
        <w:t>Orbit</w:t>
      </w:r>
      <w:proofErr w:type="spellEnd"/>
      <w:r w:rsidR="0050667A" w:rsidRPr="00C70421">
        <w:rPr>
          <w:lang w:val="fr-FR"/>
        </w:rPr>
        <w:t xml:space="preserve">, etc.) </w:t>
      </w:r>
      <w:r w:rsidR="006B3CED" w:rsidRPr="00C70421">
        <w:rPr>
          <w:lang w:val="fr-FR"/>
        </w:rPr>
        <w:t>et les techniques de recherche</w:t>
      </w:r>
      <w:r w:rsidR="0050667A" w:rsidRPr="00C70421">
        <w:rPr>
          <w:lang w:val="fr-FR"/>
        </w:rPr>
        <w:t xml:space="preserve">, </w:t>
      </w:r>
      <w:r w:rsidR="006B3CED" w:rsidRPr="00C70421">
        <w:rPr>
          <w:lang w:val="fr-FR"/>
        </w:rPr>
        <w:t xml:space="preserve">les systèmes de </w:t>
      </w:r>
      <w:r w:rsidR="0050667A" w:rsidRPr="00C70421">
        <w:rPr>
          <w:lang w:val="fr-FR"/>
        </w:rPr>
        <w:t>class</w:t>
      </w:r>
      <w:r w:rsidR="00DD54E2">
        <w:rPr>
          <w:lang w:val="fr-FR"/>
        </w:rPr>
        <w:t>ement</w:t>
      </w:r>
      <w:r w:rsidR="0050667A" w:rsidRPr="00C70421">
        <w:rPr>
          <w:lang w:val="fr-FR"/>
        </w:rPr>
        <w:t xml:space="preserve"> (IPC, CPC), </w:t>
      </w:r>
      <w:r w:rsidR="006B3CED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6B3CED" w:rsidRPr="00C70421">
        <w:rPr>
          <w:lang w:val="fr-FR"/>
        </w:rPr>
        <w:t>instruction avancée des dossiers de brevet</w:t>
      </w:r>
      <w:r w:rsidR="0050667A" w:rsidRPr="00C70421">
        <w:rPr>
          <w:lang w:val="fr-FR"/>
        </w:rPr>
        <w:t xml:space="preserve">, </w:t>
      </w:r>
      <w:r w:rsidR="0059683F" w:rsidRPr="00C70421">
        <w:rPr>
          <w:lang w:val="fr-FR"/>
        </w:rPr>
        <w:t xml:space="preserve">les </w:t>
      </w:r>
      <w:r w:rsidR="0050667A" w:rsidRPr="00C70421">
        <w:rPr>
          <w:lang w:val="fr-FR"/>
        </w:rPr>
        <w:t>instructions</w:t>
      </w:r>
      <w:r w:rsidR="0059683F" w:rsidRPr="00C70421">
        <w:rPr>
          <w:lang w:val="fr-FR"/>
        </w:rPr>
        <w:t xml:space="preserve"> concernant le flux de travail et</w:t>
      </w:r>
      <w:r w:rsidR="0050667A" w:rsidRPr="00C70421">
        <w:rPr>
          <w:lang w:val="fr-FR"/>
        </w:rPr>
        <w:t xml:space="preserve"> </w:t>
      </w:r>
      <w:r w:rsidR="001B78C6" w:rsidRPr="00C70421">
        <w:rPr>
          <w:lang w:val="fr-FR"/>
        </w:rPr>
        <w:t>les processus de cartographie,</w:t>
      </w:r>
      <w:r w:rsidR="0050667A" w:rsidRPr="00C70421">
        <w:rPr>
          <w:lang w:val="fr-FR"/>
        </w:rPr>
        <w:t xml:space="preserve"> </w:t>
      </w:r>
      <w:r w:rsidR="0059683F" w:rsidRPr="00C70421">
        <w:rPr>
          <w:lang w:val="fr-FR"/>
        </w:rPr>
        <w:t>ainsi que tous les outils intern</w:t>
      </w:r>
      <w:r w:rsidR="00C70421" w:rsidRPr="00C70421">
        <w:rPr>
          <w:lang w:val="fr-FR"/>
        </w:rPr>
        <w:t>es.  La</w:t>
      </w:r>
      <w:r w:rsidR="0059683F" w:rsidRPr="00C70421">
        <w:rPr>
          <w:lang w:val="fr-FR"/>
        </w:rPr>
        <w:t xml:space="preserve"> formation comprend une semaine de formation</w:t>
      </w:r>
      <w:r w:rsidR="0050667A" w:rsidRPr="00C70421">
        <w:rPr>
          <w:lang w:val="fr-FR"/>
        </w:rPr>
        <w:t xml:space="preserve"> intensive </w:t>
      </w:r>
      <w:r w:rsidR="0059683F" w:rsidRPr="00C70421">
        <w:rPr>
          <w:lang w:val="fr-FR"/>
        </w:rPr>
        <w:t>lié</w:t>
      </w:r>
      <w:r w:rsidR="00B06433" w:rsidRPr="00C70421">
        <w:rPr>
          <w:lang w:val="fr-FR"/>
        </w:rPr>
        <w:t>e</w:t>
      </w:r>
      <w:r w:rsidR="0059683F" w:rsidRPr="00C70421">
        <w:rPr>
          <w:lang w:val="fr-FR"/>
        </w:rPr>
        <w:t xml:space="preserve"> </w:t>
      </w:r>
      <w:r w:rsidR="00B458CD" w:rsidRPr="00C70421">
        <w:rPr>
          <w:lang w:val="fr-FR"/>
        </w:rPr>
        <w:t>au travail de l</w:t>
      </w:r>
      <w:r w:rsidR="00473D89" w:rsidRPr="00C70421">
        <w:rPr>
          <w:lang w:val="fr-FR"/>
        </w:rPr>
        <w:t>’</w:t>
      </w:r>
      <w:r w:rsidR="00B458CD" w:rsidRPr="00C70421">
        <w:rPr>
          <w:lang w:val="fr-FR"/>
        </w:rPr>
        <w:t>administration chargée de</w:t>
      </w:r>
      <w:r w:rsidR="0059683F" w:rsidRPr="00C70421">
        <w:rPr>
          <w:lang w:val="fr-FR"/>
        </w:rPr>
        <w:t xml:space="preserve"> la recherche internationale </w:t>
      </w:r>
      <w:r w:rsidR="00B458CD" w:rsidRPr="00C70421">
        <w:rPr>
          <w:lang w:val="fr-FR"/>
        </w:rPr>
        <w:t>et de</w:t>
      </w:r>
      <w:r w:rsidR="0059683F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59683F" w:rsidRPr="00C70421">
        <w:rPr>
          <w:lang w:val="fr-FR"/>
        </w:rPr>
        <w:t>examen préliminaire international</w:t>
      </w:r>
      <w:r w:rsidR="00B458CD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59683F" w:rsidRPr="00C70421">
        <w:rPr>
          <w:lang w:val="fr-FR"/>
        </w:rPr>
        <w:t>qui permet d</w:t>
      </w:r>
      <w:r w:rsidR="00473D89" w:rsidRPr="00C70421">
        <w:rPr>
          <w:lang w:val="fr-FR"/>
        </w:rPr>
        <w:t>’</w:t>
      </w:r>
      <w:r w:rsidR="0059683F" w:rsidRPr="00C70421">
        <w:rPr>
          <w:lang w:val="fr-FR"/>
        </w:rPr>
        <w:t>expliquer certaines différences</w:t>
      </w:r>
      <w:r w:rsidR="00B06433" w:rsidRPr="00C70421">
        <w:rPr>
          <w:lang w:val="fr-FR"/>
        </w:rPr>
        <w:t xml:space="preserve"> existant</w:t>
      </w:r>
      <w:r w:rsidR="0059683F" w:rsidRPr="00C70421">
        <w:rPr>
          <w:lang w:val="fr-FR"/>
        </w:rPr>
        <w:t xml:space="preserve"> entre la pratique canadienne et ce qui est attendu dans le cadre du </w:t>
      </w:r>
      <w:r w:rsidR="00B06433" w:rsidRPr="00C70421">
        <w:rPr>
          <w:lang w:val="fr-FR"/>
        </w:rPr>
        <w:t>Traité de coopération en matière de breve</w:t>
      </w:r>
      <w:r w:rsidR="00C70421" w:rsidRPr="00C70421">
        <w:rPr>
          <w:lang w:val="fr-FR"/>
        </w:rPr>
        <w:t>ts.  Le</w:t>
      </w:r>
      <w:r w:rsidR="00A9237B" w:rsidRPr="00C70421">
        <w:rPr>
          <w:lang w:val="fr-FR"/>
        </w:rPr>
        <w:t>s examinateurs sont évalués sur leurs capacités à examiner les brevets et à travailler de manière autonome au cours des deux</w:t>
      </w:r>
      <w:r w:rsidR="00373B66" w:rsidRPr="00C70421">
        <w:rPr>
          <w:lang w:val="fr-FR"/>
        </w:rPr>
        <w:t> </w:t>
      </w:r>
      <w:r w:rsidR="00A9237B" w:rsidRPr="00C70421">
        <w:rPr>
          <w:lang w:val="fr-FR"/>
        </w:rPr>
        <w:t>années de formati</w:t>
      </w:r>
      <w:r w:rsidR="00C70421" w:rsidRPr="00C70421">
        <w:rPr>
          <w:lang w:val="fr-FR"/>
        </w:rPr>
        <w:t>on.  L’e</w:t>
      </w:r>
      <w:r w:rsidR="00A9237B" w:rsidRPr="00C70421">
        <w:rPr>
          <w:lang w:val="fr-FR"/>
        </w:rPr>
        <w:t>xaminateur en formation est en période probatoi</w:t>
      </w:r>
      <w:r w:rsidR="00C70421" w:rsidRPr="00C70421">
        <w:rPr>
          <w:lang w:val="fr-FR"/>
        </w:rPr>
        <w:t xml:space="preserve">re.  À </w:t>
      </w:r>
      <w:r w:rsidR="00A9237B" w:rsidRPr="00C70421">
        <w:rPr>
          <w:lang w:val="fr-FR"/>
        </w:rPr>
        <w:t xml:space="preserve">la fin de la formation, il </w:t>
      </w:r>
      <w:r w:rsidR="00D74989" w:rsidRPr="00C70421">
        <w:rPr>
          <w:lang w:val="fr-FR"/>
        </w:rPr>
        <w:t xml:space="preserve">doit </w:t>
      </w:r>
      <w:r w:rsidR="00A9237B" w:rsidRPr="00C70421">
        <w:rPr>
          <w:lang w:val="fr-FR"/>
        </w:rPr>
        <w:t>passe</w:t>
      </w:r>
      <w:r w:rsidR="00D74989" w:rsidRPr="00C70421">
        <w:rPr>
          <w:lang w:val="fr-FR"/>
        </w:rPr>
        <w:t>r</w:t>
      </w:r>
      <w:r w:rsidR="00A9237B" w:rsidRPr="00C70421">
        <w:rPr>
          <w:lang w:val="fr-FR"/>
        </w:rPr>
        <w:t xml:space="preserve"> une évaluation fina</w:t>
      </w:r>
      <w:r w:rsidR="00C70421" w:rsidRPr="00C70421">
        <w:rPr>
          <w:lang w:val="fr-FR"/>
        </w:rPr>
        <w:t>le.  Le</w:t>
      </w:r>
      <w:r w:rsidR="00A9237B" w:rsidRPr="00C70421">
        <w:rPr>
          <w:lang w:val="fr-FR"/>
        </w:rPr>
        <w:t>s examinateurs de l</w:t>
      </w:r>
      <w:r w:rsidR="00473D89" w:rsidRPr="00C70421">
        <w:rPr>
          <w:lang w:val="fr-FR"/>
        </w:rPr>
        <w:t>’</w:t>
      </w:r>
      <w:r w:rsidR="00A9237B" w:rsidRPr="00C70421">
        <w:rPr>
          <w:lang w:val="fr-FR"/>
        </w:rPr>
        <w:t>OPIC peuvent également suivre</w:t>
      </w:r>
      <w:r w:rsidR="00DD54E2">
        <w:rPr>
          <w:lang w:val="fr-FR"/>
        </w:rPr>
        <w:t xml:space="preserve"> des cours de langue ainsi que l</w:t>
      </w:r>
      <w:r w:rsidR="00A9237B" w:rsidRPr="00C70421">
        <w:rPr>
          <w:lang w:val="fr-FR"/>
        </w:rPr>
        <w:t>es cours à distance dispensés par l</w:t>
      </w:r>
      <w:r w:rsidR="00473D89" w:rsidRPr="00C70421">
        <w:rPr>
          <w:lang w:val="fr-FR"/>
        </w:rPr>
        <w:t>’</w:t>
      </w:r>
      <w:r w:rsidR="00A9237B" w:rsidRPr="00C70421">
        <w:rPr>
          <w:lang w:val="fr-FR"/>
        </w:rPr>
        <w:t>OMPI et l</w:t>
      </w:r>
      <w:r w:rsidR="00473D89" w:rsidRPr="00C70421">
        <w:rPr>
          <w:lang w:val="fr-FR"/>
        </w:rPr>
        <w:t>’</w:t>
      </w:r>
      <w:r w:rsidR="00A9237B" w:rsidRPr="00C70421">
        <w:rPr>
          <w:lang w:val="fr-FR"/>
        </w:rPr>
        <w:t>OEB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8438DE" w:rsidP="00E93C4E">
      <w:pPr>
        <w:rPr>
          <w:lang w:val="fr-FR"/>
        </w:rPr>
      </w:pPr>
      <w:r w:rsidRPr="00C70421">
        <w:rPr>
          <w:lang w:val="fr-FR"/>
        </w:rPr>
        <w:t xml:space="preserve">Les </w:t>
      </w:r>
      <w:r w:rsidR="006212BA" w:rsidRPr="00C70421">
        <w:rPr>
          <w:lang w:val="fr-FR"/>
        </w:rPr>
        <w:t xml:space="preserve">efforts déployés en matière de formation ne </w:t>
      </w:r>
      <w:r w:rsidR="00D74989" w:rsidRPr="00C70421">
        <w:rPr>
          <w:lang w:val="fr-FR"/>
        </w:rPr>
        <w:t>visent pas uniquement les</w:t>
      </w:r>
      <w:r w:rsidR="006212BA" w:rsidRPr="00C70421">
        <w:rPr>
          <w:lang w:val="fr-FR"/>
        </w:rPr>
        <w:t xml:space="preserve"> nouveaux examinateu</w:t>
      </w:r>
      <w:r w:rsidR="00C70421" w:rsidRPr="00C70421">
        <w:rPr>
          <w:lang w:val="fr-FR"/>
        </w:rPr>
        <w:t>rs.  Le</w:t>
      </w:r>
      <w:r w:rsidR="006212BA" w:rsidRPr="00C70421">
        <w:rPr>
          <w:lang w:val="fr-FR"/>
        </w:rPr>
        <w:t>s examinateurs chevronnés sont encouragés à se tenir au fait de l</w:t>
      </w:r>
      <w:r w:rsidR="00473D89" w:rsidRPr="00C70421">
        <w:rPr>
          <w:lang w:val="fr-FR"/>
        </w:rPr>
        <w:t>’</w:t>
      </w:r>
      <w:r w:rsidR="006212BA" w:rsidRPr="00C70421">
        <w:rPr>
          <w:lang w:val="fr-FR"/>
        </w:rPr>
        <w:t>évolution des techniques dans leur domaine de spécialité, en étudiant des revues techniques, en assistant à des conférences et en prenant part à des visites organisées</w:t>
      </w:r>
      <w:r w:rsidR="0050667A" w:rsidRPr="00C70421">
        <w:rPr>
          <w:lang w:val="fr-FR"/>
        </w:rPr>
        <w:t xml:space="preserve"> </w:t>
      </w:r>
      <w:r w:rsidR="00D74989" w:rsidRPr="00C70421">
        <w:rPr>
          <w:lang w:val="fr-FR"/>
        </w:rPr>
        <w:t>dans</w:t>
      </w:r>
      <w:r w:rsidR="006212BA" w:rsidRPr="00C70421">
        <w:rPr>
          <w:lang w:val="fr-FR"/>
        </w:rPr>
        <w:t xml:space="preserve"> des entreprises canadiennes du secteur industri</w:t>
      </w:r>
      <w:r w:rsidR="00C70421" w:rsidRPr="00C70421">
        <w:rPr>
          <w:lang w:val="fr-FR"/>
        </w:rPr>
        <w:t>el.  De</w:t>
      </w:r>
      <w:r w:rsidR="006212BA" w:rsidRPr="00C70421">
        <w:rPr>
          <w:lang w:val="fr-FR"/>
        </w:rPr>
        <w:t xml:space="preserve">s ateliers, des cours et des </w:t>
      </w:r>
      <w:r w:rsidR="00DD54E2">
        <w:rPr>
          <w:lang w:val="fr-FR"/>
        </w:rPr>
        <w:t>exposé</w:t>
      </w:r>
      <w:r w:rsidR="006212BA" w:rsidRPr="00C70421">
        <w:rPr>
          <w:lang w:val="fr-FR"/>
        </w:rPr>
        <w:t xml:space="preserve">s </w:t>
      </w:r>
      <w:r w:rsidR="00D74989" w:rsidRPr="00C70421">
        <w:rPr>
          <w:lang w:val="fr-FR"/>
        </w:rPr>
        <w:t>sur</w:t>
      </w:r>
      <w:r w:rsidR="006212BA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6212BA" w:rsidRPr="00C70421">
        <w:rPr>
          <w:lang w:val="fr-FR"/>
        </w:rPr>
        <w:t xml:space="preserve">examen, les brevets et les sujets en lien avec la propriété intellectuelle sont également dispensés plusieurs fois par an et </w:t>
      </w:r>
      <w:r w:rsidR="00D74989" w:rsidRPr="00C70421">
        <w:rPr>
          <w:lang w:val="fr-FR"/>
        </w:rPr>
        <w:t>sont obligatoires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EB6FD5" w:rsidP="00E93C4E">
      <w:pPr>
        <w:rPr>
          <w:lang w:val="fr-FR"/>
        </w:rPr>
      </w:pPr>
      <w:r w:rsidRPr="00C70421">
        <w:rPr>
          <w:lang w:val="fr-FR"/>
        </w:rPr>
        <w:t>Des informations détaillées sont fournies dans les deux</w:t>
      </w:r>
      <w:r w:rsidR="00373B66" w:rsidRPr="00C70421">
        <w:rPr>
          <w:lang w:val="fr-FR"/>
        </w:rPr>
        <w:t> </w:t>
      </w:r>
      <w:r w:rsidRPr="00C70421">
        <w:rPr>
          <w:lang w:val="fr-FR"/>
        </w:rPr>
        <w:t>ouvrages suivants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i/>
          <w:lang w:val="fr-FR"/>
        </w:rPr>
        <w:t xml:space="preserve">The Canadian Patent Examiner </w:t>
      </w:r>
      <w:proofErr w:type="spellStart"/>
      <w:r w:rsidRPr="00C70421">
        <w:rPr>
          <w:i/>
          <w:lang w:val="fr-FR"/>
        </w:rPr>
        <w:t>Continuous</w:t>
      </w:r>
      <w:proofErr w:type="spellEnd"/>
      <w:r w:rsidRPr="00C70421">
        <w:rPr>
          <w:i/>
          <w:lang w:val="fr-FR"/>
        </w:rPr>
        <w:t xml:space="preserve"> Training Program</w:t>
      </w:r>
      <w:r w:rsidRPr="00C70421">
        <w:rPr>
          <w:lang w:val="fr-FR"/>
        </w:rPr>
        <w:t xml:space="preserve">; </w:t>
      </w:r>
      <w:r w:rsidR="00354444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De </w:t>
      </w:r>
      <w:proofErr w:type="spellStart"/>
      <w:r w:rsidRPr="00C70421">
        <w:rPr>
          <w:lang w:val="fr-FR"/>
        </w:rPr>
        <w:t>Vleeschauwer</w:t>
      </w:r>
      <w:proofErr w:type="spellEnd"/>
      <w:r w:rsidRPr="00C70421">
        <w:rPr>
          <w:lang w:val="fr-FR"/>
        </w:rPr>
        <w:t>, M.</w:t>
      </w:r>
      <w:r w:rsidR="00373B66" w:rsidRPr="00C70421">
        <w:rPr>
          <w:lang w:val="fr-FR"/>
        </w:rPr>
        <w:t> </w:t>
      </w:r>
      <w:r w:rsidRPr="00C70421">
        <w:rPr>
          <w:lang w:val="fr-FR"/>
        </w:rPr>
        <w:t>World Patent Information, 39 (</w:t>
      </w:r>
      <w:r w:rsidR="006A2FCF" w:rsidRPr="00C70421">
        <w:rPr>
          <w:lang w:val="fr-FR"/>
        </w:rPr>
        <w:t>décembre</w:t>
      </w:r>
      <w:r w:rsidRPr="00C70421">
        <w:rPr>
          <w:lang w:val="fr-FR"/>
        </w:rPr>
        <w:t>) 2014, 73</w:t>
      </w:r>
      <w:r w:rsidR="00001599">
        <w:rPr>
          <w:lang w:val="fr-FR"/>
        </w:rPr>
        <w:noBreakHyphen/>
      </w:r>
      <w:r w:rsidRPr="00C70421">
        <w:rPr>
          <w:lang w:val="fr-FR"/>
        </w:rPr>
        <w:t xml:space="preserve">78; </w:t>
      </w:r>
      <w:r w:rsidR="00D74989" w:rsidRPr="00C70421">
        <w:rPr>
          <w:lang w:val="fr-FR"/>
        </w:rPr>
        <w:t xml:space="preserve"> </w:t>
      </w:r>
      <w:r w:rsidR="00EB6FD5" w:rsidRPr="00C70421">
        <w:rPr>
          <w:lang w:val="fr-FR"/>
        </w:rPr>
        <w:t>et</w:t>
      </w:r>
    </w:p>
    <w:p w:rsidR="0050667A" w:rsidRPr="00C70421" w:rsidRDefault="0050667A" w:rsidP="00E93C4E">
      <w:pPr>
        <w:ind w:left="567"/>
        <w:rPr>
          <w:lang w:val="fr-FR"/>
        </w:rPr>
      </w:pPr>
      <w:r w:rsidRPr="00C70421">
        <w:rPr>
          <w:i/>
          <w:lang w:val="fr-FR"/>
        </w:rPr>
        <w:t>The Canadian Patent Examiner Qualification Program</w:t>
      </w:r>
      <w:r w:rsidRPr="00C70421">
        <w:rPr>
          <w:lang w:val="fr-FR"/>
        </w:rPr>
        <w:t xml:space="preserve">; </w:t>
      </w:r>
      <w:r w:rsidR="00354444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De </w:t>
      </w:r>
      <w:proofErr w:type="spellStart"/>
      <w:r w:rsidRPr="00C70421">
        <w:rPr>
          <w:lang w:val="fr-FR"/>
        </w:rPr>
        <w:t>Vleeschauwer</w:t>
      </w:r>
      <w:proofErr w:type="spellEnd"/>
      <w:r w:rsidRPr="00C70421">
        <w:rPr>
          <w:lang w:val="fr-FR"/>
        </w:rPr>
        <w:t>, M.</w:t>
      </w:r>
      <w:r w:rsidR="00373B66" w:rsidRPr="00C70421">
        <w:rPr>
          <w:lang w:val="fr-FR"/>
        </w:rPr>
        <w:t> </w:t>
      </w:r>
      <w:r w:rsidRPr="00C70421">
        <w:rPr>
          <w:lang w:val="fr-FR"/>
        </w:rPr>
        <w:t>World Patent Information, 35(3), 2013, 224</w:t>
      </w:r>
      <w:r w:rsidR="00001599">
        <w:rPr>
          <w:lang w:val="fr-FR"/>
        </w:rPr>
        <w:noBreakHyphen/>
      </w:r>
      <w:r w:rsidRPr="00C70421">
        <w:rPr>
          <w:lang w:val="fr-FR"/>
        </w:rPr>
        <w:t>229.</w:t>
      </w:r>
    </w:p>
    <w:p w:rsidR="0050667A" w:rsidRPr="00C70421" w:rsidRDefault="0050667A" w:rsidP="00E93C4E">
      <w:pPr>
        <w:rPr>
          <w:lang w:val="fr-FR"/>
        </w:rPr>
      </w:pPr>
    </w:p>
    <w:p w:rsidR="00354444" w:rsidRPr="00C70421" w:rsidRDefault="00354444" w:rsidP="00E93C4E">
      <w:pPr>
        <w:rPr>
          <w:lang w:val="fr-FR"/>
        </w:rPr>
      </w:pPr>
    </w:p>
    <w:p w:rsidR="0050667A" w:rsidRPr="00C70421" w:rsidRDefault="00473D89" w:rsidP="00E93C4E">
      <w:pPr>
        <w:rPr>
          <w:b/>
          <w:i/>
          <w:lang w:val="fr-FR"/>
        </w:rPr>
      </w:pPr>
      <w:r w:rsidRPr="00C70421">
        <w:rPr>
          <w:b/>
          <w:i/>
          <w:lang w:val="fr-FR"/>
        </w:rPr>
        <w:t>Règles 3</w:t>
      </w:r>
      <w:r w:rsidR="006212BA" w:rsidRPr="00C70421">
        <w:rPr>
          <w:b/>
          <w:i/>
          <w:lang w:val="fr-FR"/>
        </w:rPr>
        <w:t>6.1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 xml:space="preserve">ii) </w:t>
      </w:r>
      <w:r w:rsidR="006212BA" w:rsidRPr="00C70421">
        <w:rPr>
          <w:b/>
          <w:i/>
          <w:lang w:val="fr-FR"/>
        </w:rPr>
        <w:t>et 63.1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>ii)</w:t>
      </w:r>
      <w:r w:rsidRPr="00C70421">
        <w:rPr>
          <w:b/>
          <w:i/>
          <w:lang w:val="fr-FR"/>
        </w:rPr>
        <w:t> :</w:t>
      </w:r>
      <w:r w:rsidR="00D74989" w:rsidRPr="00C70421">
        <w:rPr>
          <w:b/>
          <w:i/>
          <w:lang w:val="fr-FR"/>
        </w:rPr>
        <w:t xml:space="preserve"> </w:t>
      </w:r>
      <w:r w:rsidR="006212BA" w:rsidRPr="00C70421">
        <w:rPr>
          <w:b/>
          <w:i/>
          <w:lang w:val="fr-FR"/>
        </w:rPr>
        <w:t xml:space="preserve">cet office ou cette organisation doit avoir en sa possession au moins la documentation minimale de la </w:t>
      </w:r>
      <w:r w:rsidRPr="00C70421">
        <w:rPr>
          <w:b/>
          <w:i/>
          <w:lang w:val="fr-FR"/>
        </w:rPr>
        <w:t>règle 3</w:t>
      </w:r>
      <w:r w:rsidR="006212BA" w:rsidRPr="00C70421">
        <w:rPr>
          <w:b/>
          <w:i/>
          <w:lang w:val="fr-FR"/>
        </w:rPr>
        <w:t>4, ou avoir accès à cette documentation minimale, laquelle doit être disposée d</w:t>
      </w:r>
      <w:r w:rsidRPr="00C70421">
        <w:rPr>
          <w:b/>
          <w:i/>
          <w:lang w:val="fr-FR"/>
        </w:rPr>
        <w:t>’</w:t>
      </w:r>
      <w:r w:rsidR="006212BA" w:rsidRPr="00C70421">
        <w:rPr>
          <w:b/>
          <w:i/>
          <w:lang w:val="fr-FR"/>
        </w:rPr>
        <w:t>une manière adéquate aux fins de la recherche et se présenter sur papier, sur microforme ou sur un support électronique</w:t>
      </w:r>
      <w:r w:rsidR="0050667A" w:rsidRPr="00C70421">
        <w:rPr>
          <w:b/>
          <w:i/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6212BA" w:rsidP="00E93C4E">
      <w:pPr>
        <w:pStyle w:val="Subsection"/>
        <w:rPr>
          <w:lang w:val="fr-FR"/>
        </w:rPr>
      </w:pPr>
      <w:r w:rsidRPr="00C70421">
        <w:rPr>
          <w:lang w:val="fr-FR"/>
        </w:rPr>
        <w:t xml:space="preserve">Accès à la documentation minimale </w:t>
      </w:r>
      <w:r w:rsidR="00114AC9" w:rsidRPr="00C70421">
        <w:rPr>
          <w:lang w:val="fr-FR"/>
        </w:rPr>
        <w:t>aux fins de</w:t>
      </w:r>
      <w:r w:rsidR="00756729" w:rsidRPr="00C70421">
        <w:rPr>
          <w:lang w:val="fr-FR"/>
        </w:rPr>
        <w:t xml:space="preserve"> la</w:t>
      </w:r>
      <w:r w:rsidRPr="00C70421">
        <w:rPr>
          <w:lang w:val="fr-FR"/>
        </w:rPr>
        <w:t xml:space="preserve"> recherche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rPr>
          <w:lang w:val="fr-FR"/>
        </w:rPr>
      </w:pPr>
      <w:r w:rsidRPr="00C70421">
        <w:rPr>
          <w:lang w:val="fr-FR"/>
        </w:rPr>
        <w:t>(X)</w:t>
      </w:r>
      <w:r w:rsidRPr="00C70421">
        <w:rPr>
          <w:lang w:val="fr-FR"/>
        </w:rPr>
        <w:tab/>
      </w:r>
      <w:r w:rsidR="00756729" w:rsidRPr="00C70421">
        <w:rPr>
          <w:lang w:val="fr-FR"/>
        </w:rPr>
        <w:t>Accès sans restriction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756729" w:rsidP="00E93C4E">
      <w:pPr>
        <w:pStyle w:val="Subsection"/>
        <w:rPr>
          <w:lang w:val="fr-FR"/>
        </w:rPr>
      </w:pPr>
      <w:r w:rsidRPr="00C70421">
        <w:rPr>
          <w:lang w:val="fr-FR"/>
        </w:rPr>
        <w:t>Systèmes de recherche</w:t>
      </w:r>
      <w:r w:rsidR="00473D89" w:rsidRPr="00C70421">
        <w:rPr>
          <w:lang w:val="fr-FR"/>
        </w:rPr>
        <w:t> :</w:t>
      </w:r>
    </w:p>
    <w:p w:rsidR="0050667A" w:rsidRPr="00C70421" w:rsidRDefault="00756729" w:rsidP="00E93C4E">
      <w:pPr>
        <w:rPr>
          <w:lang w:val="fr-FR"/>
        </w:rPr>
      </w:pPr>
      <w:r w:rsidRPr="00C70421">
        <w:rPr>
          <w:lang w:val="fr-FR"/>
        </w:rPr>
        <w:t>Les examinateurs de brevets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</w:t>
      </w:r>
      <w:r w:rsidR="00D74989" w:rsidRPr="00C70421">
        <w:rPr>
          <w:lang w:val="fr-FR"/>
        </w:rPr>
        <w:t>disposent de</w:t>
      </w:r>
      <w:r w:rsidRPr="00C70421">
        <w:rPr>
          <w:lang w:val="fr-FR"/>
        </w:rPr>
        <w:t xml:space="preserve"> stations de travail modernes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et actualisées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dont deux</w:t>
      </w:r>
      <w:r w:rsidR="00373B66" w:rsidRPr="00C70421">
        <w:rPr>
          <w:lang w:val="fr-FR"/>
        </w:rPr>
        <w:t> </w:t>
      </w:r>
      <w:r w:rsidRPr="00C70421">
        <w:rPr>
          <w:lang w:val="fr-FR"/>
        </w:rPr>
        <w:t>moniteurs de</w:t>
      </w:r>
      <w:r w:rsidR="0050667A" w:rsidRPr="00C70421">
        <w:rPr>
          <w:lang w:val="fr-FR"/>
        </w:rPr>
        <w:t xml:space="preserve"> 21”</w:t>
      </w:r>
      <w:r w:rsidR="006A2FCF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et </w:t>
      </w:r>
      <w:r w:rsidR="006A2FCF" w:rsidRPr="00C70421">
        <w:rPr>
          <w:lang w:val="fr-FR"/>
        </w:rPr>
        <w:t xml:space="preserve">de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accès à Intern</w:t>
      </w:r>
      <w:r w:rsidR="00C70421" w:rsidRPr="00C70421">
        <w:rPr>
          <w:lang w:val="fr-FR"/>
        </w:rPr>
        <w:t>et.  Ce</w:t>
      </w:r>
      <w:r w:rsidR="00D74989" w:rsidRPr="00C70421">
        <w:rPr>
          <w:lang w:val="fr-FR"/>
        </w:rPr>
        <w:t>t environnement de travail</w:t>
      </w:r>
      <w:r w:rsidR="00A05B68" w:rsidRPr="00C70421">
        <w:rPr>
          <w:lang w:val="fr-FR"/>
        </w:rPr>
        <w:t xml:space="preserve"> permet aux examinateurs d</w:t>
      </w:r>
      <w:r w:rsidR="00473D89" w:rsidRPr="00C70421">
        <w:rPr>
          <w:lang w:val="fr-FR"/>
        </w:rPr>
        <w:t>’</w:t>
      </w:r>
      <w:r w:rsidR="006A2FCF" w:rsidRPr="00C70421">
        <w:rPr>
          <w:lang w:val="fr-FR"/>
        </w:rPr>
        <w:t xml:space="preserve">utiliser les </w:t>
      </w:r>
      <w:r w:rsidR="00A05B68" w:rsidRPr="00C70421">
        <w:rPr>
          <w:lang w:val="fr-FR"/>
        </w:rPr>
        <w:t>systèmes internes</w:t>
      </w:r>
      <w:r w:rsidR="0050667A" w:rsidRPr="00C70421">
        <w:rPr>
          <w:lang w:val="fr-FR"/>
        </w:rPr>
        <w:t xml:space="preserve"> </w:t>
      </w:r>
      <w:proofErr w:type="spellStart"/>
      <w:r w:rsidR="0050667A" w:rsidRPr="00C70421">
        <w:rPr>
          <w:lang w:val="fr-FR"/>
        </w:rPr>
        <w:t>TechSource</w:t>
      </w:r>
      <w:proofErr w:type="spellEnd"/>
      <w:r w:rsidR="0050667A" w:rsidRPr="00C70421">
        <w:rPr>
          <w:lang w:val="fr-FR"/>
        </w:rPr>
        <w:t xml:space="preserve"> </w:t>
      </w:r>
      <w:r w:rsidR="00A05B68" w:rsidRPr="00C70421">
        <w:rPr>
          <w:lang w:val="fr-FR"/>
        </w:rPr>
        <w:t>et</w:t>
      </w:r>
      <w:r w:rsidR="0050667A" w:rsidRPr="00C70421">
        <w:rPr>
          <w:lang w:val="fr-FR"/>
        </w:rPr>
        <w:t xml:space="preserve"> </w:t>
      </w:r>
      <w:proofErr w:type="spellStart"/>
      <w:r w:rsidR="0050667A" w:rsidRPr="00C70421">
        <w:rPr>
          <w:lang w:val="fr-FR"/>
        </w:rPr>
        <w:t>InterApp</w:t>
      </w:r>
      <w:proofErr w:type="spellEnd"/>
      <w:r w:rsidR="0050667A" w:rsidRPr="00C70421">
        <w:rPr>
          <w:lang w:val="fr-FR"/>
        </w:rPr>
        <w:t xml:space="preserve"> (</w:t>
      </w:r>
      <w:r w:rsidR="00D74989" w:rsidRPr="00C70421">
        <w:rPr>
          <w:lang w:val="fr-FR"/>
        </w:rPr>
        <w:t xml:space="preserve">des </w:t>
      </w:r>
      <w:r w:rsidR="0050667A" w:rsidRPr="00C70421">
        <w:rPr>
          <w:lang w:val="fr-FR"/>
        </w:rPr>
        <w:t>applications</w:t>
      </w:r>
      <w:r w:rsidR="0006149D"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>unité centrale servant à la gestion des demandes n</w:t>
      </w:r>
      <w:r w:rsidR="0050667A" w:rsidRPr="00C70421">
        <w:rPr>
          <w:lang w:val="fr-FR"/>
        </w:rPr>
        <w:t>ational</w:t>
      </w:r>
      <w:r w:rsidR="0006149D" w:rsidRPr="00C70421">
        <w:rPr>
          <w:lang w:val="fr-FR"/>
        </w:rPr>
        <w:t>es</w:t>
      </w:r>
      <w:r w:rsidR="0050667A" w:rsidRPr="00C70421">
        <w:rPr>
          <w:lang w:val="fr-FR"/>
        </w:rPr>
        <w:t xml:space="preserve"> </w:t>
      </w:r>
      <w:r w:rsidR="0006149D" w:rsidRPr="00C70421">
        <w:rPr>
          <w:lang w:val="fr-FR"/>
        </w:rPr>
        <w:t>et i</w:t>
      </w:r>
      <w:r w:rsidR="0050667A" w:rsidRPr="00C70421">
        <w:rPr>
          <w:lang w:val="fr-FR"/>
        </w:rPr>
        <w:t>nternati</w:t>
      </w:r>
      <w:r w:rsidR="00354444" w:rsidRPr="00C70421">
        <w:rPr>
          <w:lang w:val="fr-FR"/>
        </w:rPr>
        <w:t>onal</w:t>
      </w:r>
      <w:r w:rsidR="0006149D" w:rsidRPr="00C70421">
        <w:rPr>
          <w:lang w:val="fr-FR"/>
        </w:rPr>
        <w:t>es</w:t>
      </w:r>
      <w:r w:rsidR="00354444" w:rsidRPr="00C70421">
        <w:rPr>
          <w:lang w:val="fr-FR"/>
        </w:rPr>
        <w:t>, respect</w:t>
      </w:r>
      <w:r w:rsidR="0006149D" w:rsidRPr="00C70421">
        <w:rPr>
          <w:lang w:val="fr-FR"/>
        </w:rPr>
        <w:t>ivement, ainsi qu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>à la gestion du flux de travail et au stockage</w:t>
      </w:r>
      <w:r w:rsidR="0050667A" w:rsidRPr="00C70421">
        <w:rPr>
          <w:lang w:val="fr-FR"/>
        </w:rPr>
        <w:t xml:space="preserve"> </w:t>
      </w:r>
      <w:r w:rsidR="0006149D" w:rsidRPr="00C70421">
        <w:rPr>
          <w:lang w:val="fr-FR"/>
        </w:rPr>
        <w:t>des données concernant les brevets</w:t>
      </w:r>
      <w:r w:rsidR="0050667A" w:rsidRPr="00C70421">
        <w:rPr>
          <w:lang w:val="fr-FR"/>
        </w:rPr>
        <w:t xml:space="preserve">), </w:t>
      </w:r>
      <w:r w:rsidR="00A05B68" w:rsidRPr="00C70421">
        <w:rPr>
          <w:lang w:val="fr-FR"/>
        </w:rPr>
        <w:t>et</w:t>
      </w:r>
      <w:r w:rsidR="0050667A" w:rsidRPr="00C70421">
        <w:rPr>
          <w:lang w:val="fr-FR"/>
        </w:rPr>
        <w:t xml:space="preserve"> </w:t>
      </w:r>
      <w:r w:rsidR="00A05B68" w:rsidRPr="00C70421">
        <w:rPr>
          <w:lang w:val="fr-FR"/>
        </w:rPr>
        <w:t xml:space="preserve">leur donne les moyens de remplir leurs fonctions en matière de recherche et </w:t>
      </w:r>
      <w:r w:rsidR="00A05B68" w:rsidRPr="00C70421">
        <w:rPr>
          <w:lang w:val="fr-FR"/>
        </w:rPr>
        <w:lastRenderedPageBreak/>
        <w:t>d</w:t>
      </w:r>
      <w:r w:rsidR="00473D89" w:rsidRPr="00C70421">
        <w:rPr>
          <w:lang w:val="fr-FR"/>
        </w:rPr>
        <w:t>’</w:t>
      </w:r>
      <w:r w:rsidR="00A05B68" w:rsidRPr="00C70421">
        <w:rPr>
          <w:lang w:val="fr-FR"/>
        </w:rPr>
        <w:t>examen et d</w:t>
      </w:r>
      <w:r w:rsidR="00473D89" w:rsidRPr="00C70421">
        <w:rPr>
          <w:lang w:val="fr-FR"/>
        </w:rPr>
        <w:t>’</w:t>
      </w:r>
      <w:r w:rsidR="00A05B68" w:rsidRPr="00C70421">
        <w:rPr>
          <w:lang w:val="fr-FR"/>
        </w:rPr>
        <w:t xml:space="preserve">accéder à toute la </w:t>
      </w:r>
      <w:r w:rsidR="0050667A" w:rsidRPr="00C70421">
        <w:rPr>
          <w:lang w:val="fr-FR"/>
        </w:rPr>
        <w:t xml:space="preserve">documentation </w:t>
      </w:r>
      <w:r w:rsidR="00A05B68" w:rsidRPr="00C70421">
        <w:rPr>
          <w:lang w:val="fr-FR"/>
        </w:rPr>
        <w:t>pertinente nécessaire à la production des rapports nationaux et internationa</w:t>
      </w:r>
      <w:r w:rsidR="00C70421" w:rsidRPr="00C70421">
        <w:rPr>
          <w:lang w:val="fr-FR"/>
        </w:rPr>
        <w:t>ux.  Le</w:t>
      </w:r>
      <w:r w:rsidR="00A05B68" w:rsidRPr="00C70421">
        <w:rPr>
          <w:lang w:val="fr-FR"/>
        </w:rPr>
        <w:t xml:space="preserve">s examinateurs </w:t>
      </w:r>
      <w:r w:rsidR="0006149D" w:rsidRPr="00C70421">
        <w:rPr>
          <w:lang w:val="fr-FR"/>
        </w:rPr>
        <w:t>qui travaillent à distance</w:t>
      </w:r>
      <w:r w:rsidR="00A05B68" w:rsidRPr="00C70421">
        <w:rPr>
          <w:lang w:val="fr-FR"/>
        </w:rPr>
        <w:t xml:space="preserve"> reçoivent aussi un ordinateur portable et une</w:t>
      </w:r>
      <w:r w:rsidR="0050667A" w:rsidRPr="00C70421">
        <w:rPr>
          <w:lang w:val="fr-FR"/>
        </w:rPr>
        <w:t xml:space="preserve"> station</w:t>
      </w:r>
      <w:r w:rsidR="00A05B68"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="00A05B68" w:rsidRPr="00C70421">
        <w:rPr>
          <w:lang w:val="fr-FR"/>
        </w:rPr>
        <w:t xml:space="preserve">accueil </w:t>
      </w:r>
      <w:r w:rsidR="0006149D" w:rsidRPr="00C70421">
        <w:rPr>
          <w:lang w:val="fr-FR"/>
        </w:rPr>
        <w:t>afin de se connecter au réseau de l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 xml:space="preserve">office </w:t>
      </w:r>
      <w:r w:rsidR="0050667A" w:rsidRPr="00C70421">
        <w:rPr>
          <w:lang w:val="fr-FR"/>
        </w:rPr>
        <w:t>via</w:t>
      </w:r>
      <w:r w:rsidR="0006149D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 xml:space="preserve">accès à distance protégé du </w:t>
      </w:r>
      <w:r w:rsidR="00373B66" w:rsidRPr="00C70421">
        <w:rPr>
          <w:lang w:val="fr-FR"/>
        </w:rPr>
        <w:t>Gouvernement</w:t>
      </w:r>
      <w:r w:rsidR="0006149D" w:rsidRPr="00C70421">
        <w:rPr>
          <w:lang w:val="fr-FR"/>
        </w:rPr>
        <w:t xml:space="preserve"> du Canada</w:t>
      </w:r>
      <w:r w:rsidR="0050667A" w:rsidRPr="00C70421">
        <w:rPr>
          <w:lang w:val="fr-FR"/>
        </w:rPr>
        <w:t xml:space="preserve"> (</w:t>
      </w:r>
      <w:r w:rsidR="0006149D" w:rsidRPr="00C70421">
        <w:rPr>
          <w:lang w:val="fr-FR"/>
        </w:rPr>
        <w:t>un réseau virtuel privé</w:t>
      </w:r>
      <w:r w:rsidR="0050667A" w:rsidRPr="00C70421">
        <w:rPr>
          <w:lang w:val="fr-FR"/>
        </w:rPr>
        <w:t>).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6A2FCF" w:rsidP="00E93C4E">
      <w:pPr>
        <w:rPr>
          <w:lang w:val="fr-FR"/>
        </w:rPr>
      </w:pPr>
      <w:r w:rsidRPr="00C70421">
        <w:rPr>
          <w:lang w:val="fr-FR"/>
        </w:rPr>
        <w:t>Le système interne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DD54E2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proofErr w:type="spellStart"/>
      <w:r w:rsidR="0050667A" w:rsidRPr="00C70421">
        <w:rPr>
          <w:lang w:val="fr-FR"/>
        </w:rPr>
        <w:t>TechSource</w:t>
      </w:r>
      <w:proofErr w:type="spellEnd"/>
      <w:r w:rsidR="00DD54E2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D74989" w:rsidRPr="00C70421">
        <w:rPr>
          <w:lang w:val="fr-FR"/>
        </w:rPr>
        <w:t xml:space="preserve">comprend </w:t>
      </w:r>
      <w:r w:rsidR="0006149D" w:rsidRPr="00C70421">
        <w:rPr>
          <w:lang w:val="fr-FR"/>
        </w:rPr>
        <w:t>des données bibliographiques canadiennes (</w:t>
      </w:r>
      <w:r w:rsidR="00473D89" w:rsidRPr="00C70421">
        <w:rPr>
          <w:lang w:val="fr-FR"/>
        </w:rPr>
        <w:t>de 1869</w:t>
      </w:r>
      <w:r w:rsidR="007C0F8E" w:rsidRPr="00C70421">
        <w:rPr>
          <w:lang w:val="fr-FR"/>
        </w:rPr>
        <w:t xml:space="preserve"> </w:t>
      </w:r>
      <w:r w:rsidR="0006149D" w:rsidRPr="00C70421">
        <w:rPr>
          <w:lang w:val="fr-FR"/>
        </w:rPr>
        <w:t>à aujourd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>hui</w:t>
      </w:r>
      <w:r w:rsidR="0050667A" w:rsidRPr="00C70421">
        <w:rPr>
          <w:lang w:val="fr-FR"/>
        </w:rPr>
        <w:t xml:space="preserve">), </w:t>
      </w:r>
      <w:r w:rsidR="0006149D" w:rsidRPr="00C70421">
        <w:rPr>
          <w:lang w:val="fr-FR"/>
        </w:rPr>
        <w:t xml:space="preserve">des </w:t>
      </w:r>
      <w:r w:rsidR="0050667A" w:rsidRPr="00C70421">
        <w:rPr>
          <w:lang w:val="fr-FR"/>
        </w:rPr>
        <w:t>text</w:t>
      </w:r>
      <w:r w:rsidR="0006149D" w:rsidRPr="00C70421">
        <w:rPr>
          <w:lang w:val="fr-FR"/>
        </w:rPr>
        <w:t>es</w:t>
      </w:r>
      <w:r w:rsidR="0050667A" w:rsidRPr="00C70421">
        <w:rPr>
          <w:lang w:val="fr-FR"/>
        </w:rPr>
        <w:t xml:space="preserve"> (</w:t>
      </w:r>
      <w:r w:rsidR="0006149D" w:rsidRPr="00C70421">
        <w:rPr>
          <w:lang w:val="fr-FR"/>
        </w:rPr>
        <w:t>abrégés, revendications et descriptions de</w:t>
      </w:r>
      <w:r w:rsidR="0050667A" w:rsidRPr="00C70421">
        <w:rPr>
          <w:lang w:val="fr-FR"/>
        </w:rPr>
        <w:t xml:space="preserve"> </w:t>
      </w:r>
      <w:r w:rsidR="0006149D" w:rsidRPr="00C70421">
        <w:rPr>
          <w:lang w:val="fr-FR"/>
        </w:rPr>
        <w:t xml:space="preserve">documents de </w:t>
      </w:r>
      <w:r w:rsidR="00373B66" w:rsidRPr="00C70421">
        <w:rPr>
          <w:lang w:val="fr-FR"/>
        </w:rPr>
        <w:t>brevet</w:t>
      </w:r>
      <w:r w:rsidR="0006149D" w:rsidRPr="00C70421">
        <w:rPr>
          <w:lang w:val="fr-FR"/>
        </w:rPr>
        <w:t xml:space="preserve"> canadiens mis à la disposition du public, </w:t>
      </w:r>
      <w:r w:rsidR="00473D89" w:rsidRPr="00C70421">
        <w:rPr>
          <w:lang w:val="fr-FR"/>
        </w:rPr>
        <w:t>de 1978</w:t>
      </w:r>
      <w:r w:rsidR="007C0F8E" w:rsidRPr="00C70421">
        <w:rPr>
          <w:lang w:val="fr-FR"/>
        </w:rPr>
        <w:t xml:space="preserve"> </w:t>
      </w:r>
      <w:r w:rsidR="0006149D" w:rsidRPr="00C70421">
        <w:rPr>
          <w:lang w:val="fr-FR"/>
        </w:rPr>
        <w:t>à aujourd</w:t>
      </w:r>
      <w:r w:rsidR="00473D89" w:rsidRPr="00C70421">
        <w:rPr>
          <w:lang w:val="fr-FR"/>
        </w:rPr>
        <w:t>’</w:t>
      </w:r>
      <w:r w:rsidR="0006149D" w:rsidRPr="00C70421">
        <w:rPr>
          <w:lang w:val="fr-FR"/>
        </w:rPr>
        <w:t>hui</w:t>
      </w:r>
      <w:r w:rsidR="0050667A" w:rsidRPr="00C70421">
        <w:rPr>
          <w:lang w:val="fr-FR"/>
        </w:rPr>
        <w:t xml:space="preserve">) </w:t>
      </w:r>
      <w:r w:rsidR="006752DA" w:rsidRPr="00C70421">
        <w:rPr>
          <w:lang w:val="fr-FR"/>
        </w:rPr>
        <w:t>ainsi que des</w:t>
      </w:r>
      <w:r w:rsidR="0050667A" w:rsidRPr="00C70421">
        <w:rPr>
          <w:lang w:val="fr-FR"/>
        </w:rPr>
        <w:t xml:space="preserve"> images </w:t>
      </w:r>
      <w:r w:rsidR="006752DA" w:rsidRPr="00C70421">
        <w:rPr>
          <w:lang w:val="fr-FR"/>
        </w:rPr>
        <w:t xml:space="preserve">de documents de </w:t>
      </w:r>
      <w:r w:rsidR="00373B66" w:rsidRPr="00C70421">
        <w:rPr>
          <w:lang w:val="fr-FR"/>
        </w:rPr>
        <w:t>brevet</w:t>
      </w:r>
      <w:r w:rsidR="006752DA" w:rsidRPr="00C70421">
        <w:rPr>
          <w:lang w:val="fr-FR"/>
        </w:rPr>
        <w:t xml:space="preserve"> canadiens</w:t>
      </w:r>
      <w:r w:rsidR="0050667A" w:rsidRPr="00C70421">
        <w:rPr>
          <w:lang w:val="fr-FR"/>
        </w:rPr>
        <w:t xml:space="preserve"> (</w:t>
      </w:r>
      <w:r w:rsidR="00473D89" w:rsidRPr="00C70421">
        <w:rPr>
          <w:lang w:val="fr-FR"/>
        </w:rPr>
        <w:t>de 1869</w:t>
      </w:r>
      <w:r w:rsidR="006752DA" w:rsidRPr="00C70421">
        <w:rPr>
          <w:lang w:val="fr-FR"/>
        </w:rPr>
        <w:t xml:space="preserve"> à aujourd</w:t>
      </w:r>
      <w:r w:rsidR="00473D89" w:rsidRPr="00C70421">
        <w:rPr>
          <w:lang w:val="fr-FR"/>
        </w:rPr>
        <w:t>’</w:t>
      </w:r>
      <w:r w:rsidR="006752DA" w:rsidRPr="00C70421">
        <w:rPr>
          <w:lang w:val="fr-FR"/>
        </w:rPr>
        <w:t>hui</w:t>
      </w:r>
      <w:r w:rsidR="0050667A" w:rsidRPr="00C70421">
        <w:rPr>
          <w:lang w:val="fr-FR"/>
        </w:rPr>
        <w:t>).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6752DA" w:rsidP="00E93C4E">
      <w:pPr>
        <w:rPr>
          <w:lang w:val="fr-FR"/>
        </w:rPr>
      </w:pPr>
      <w:r w:rsidRPr="00C70421">
        <w:rPr>
          <w:lang w:val="fr-FR"/>
        </w:rPr>
        <w:t>À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externe</w:t>
      </w:r>
      <w:r w:rsidR="0050667A" w:rsidRPr="00C70421">
        <w:rPr>
          <w:lang w:val="fr-FR"/>
        </w:rPr>
        <w:t>,</w:t>
      </w:r>
      <w:r w:rsidRPr="00C70421">
        <w:rPr>
          <w:lang w:val="fr-FR"/>
        </w:rPr>
        <w:t xml:space="preserve"> les examinateurs peuvent consulter des bases de données et des moteurs de recherche accessibles au public et fonctionnant par abonneme</w:t>
      </w:r>
      <w:r w:rsidR="00C70421" w:rsidRPr="00C70421">
        <w:rPr>
          <w:lang w:val="fr-FR"/>
        </w:rPr>
        <w:t>nt.  En</w:t>
      </w:r>
      <w:r w:rsidRPr="00C70421">
        <w:rPr>
          <w:lang w:val="fr-FR"/>
        </w:rPr>
        <w:t xml:space="preserve"> voici une liste non </w:t>
      </w:r>
      <w:r w:rsidR="0050667A" w:rsidRPr="00C70421">
        <w:rPr>
          <w:lang w:val="fr-FR"/>
        </w:rPr>
        <w:t>exhaustive</w:t>
      </w:r>
      <w:r w:rsidR="00473D89" w:rsidRPr="00C70421">
        <w:rPr>
          <w:lang w:val="fr-FR"/>
        </w:rPr>
        <w:t> :</w:t>
      </w:r>
    </w:p>
    <w:p w:rsidR="0050667A" w:rsidRPr="00C70421" w:rsidRDefault="0050667A" w:rsidP="00E93C4E">
      <w:pPr>
        <w:rPr>
          <w:noProof/>
          <w:lang w:val="fr-FR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AGRICOLA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American Chemical Society (ACS)</w:t>
            </w:r>
          </w:p>
        </w:tc>
      </w:tr>
      <w:tr w:rsidR="0085063C" w:rsidRPr="00F46AD3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Base de donnée</w:t>
            </w:r>
            <w:r>
              <w:rPr>
                <w:noProof/>
                <w:lang w:val="fr-FR"/>
              </w:rPr>
              <w:t xml:space="preserve">s </w:t>
            </w:r>
            <w:r w:rsidRPr="00C70421">
              <w:rPr>
                <w:noProof/>
                <w:lang w:val="fr-FR"/>
              </w:rPr>
              <w:t>de la médecine traditionnelle chinoise</w:t>
            </w:r>
          </w:p>
        </w:tc>
      </w:tr>
      <w:tr w:rsidR="0085063C" w:rsidRPr="00F46AD3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Bibliothèque numérique des savoirs traditionnels de l’Inde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BIOSIS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ChemSpider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EBSCOhost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Elsevier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Genomequest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IEEE Xplore</w:t>
            </w:r>
          </w:p>
        </w:tc>
      </w:tr>
      <w:tr w:rsidR="0085063C" w:rsidRPr="00F46AD3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Index mondial des brevets Derwent (DWPI)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Interface ChEMBL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 xml:space="preserve">JSTOR </w:t>
            </w:r>
          </w:p>
        </w:tc>
      </w:tr>
      <w:tr w:rsidR="0085063C" w:rsidRPr="00F46AD3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Laboratoire européen de biologie moléculaire – Institut européen de bio</w:t>
            </w:r>
            <w:r>
              <w:rPr>
                <w:noProof/>
                <w:lang w:val="fr-FR"/>
              </w:rPr>
              <w:noBreakHyphen/>
              <w:t>i</w:t>
            </w:r>
            <w:r w:rsidRPr="00C70421">
              <w:rPr>
                <w:noProof/>
                <w:lang w:val="fr-FR"/>
              </w:rPr>
              <w:t>nformatique (EMBL</w:t>
            </w:r>
            <w:r>
              <w:rPr>
                <w:noProof/>
                <w:lang w:val="fr-FR"/>
              </w:rPr>
              <w:noBreakHyphen/>
            </w:r>
            <w:r w:rsidRPr="00C70421">
              <w:rPr>
                <w:noProof/>
                <w:lang w:val="fr-FR"/>
              </w:rPr>
              <w:t>EBI)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MEDLINE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Nature et Nature Biotechnology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PATENTSCOPE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PubAg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PubMed et PubMed Central Canada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Questel Orbit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Revue en ligne BioOne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F46AD3" w:rsidRDefault="0085063C" w:rsidP="00E93C4E">
            <w:pPr>
              <w:rPr>
                <w:noProof/>
                <w:lang w:val="en-US"/>
              </w:rPr>
            </w:pPr>
            <w:r w:rsidRPr="00F46AD3">
              <w:rPr>
                <w:noProof/>
                <w:lang w:val="en-US"/>
              </w:rPr>
              <w:t>Science and Technical Information Network (STN)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ScienceDirect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Scientific American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Springer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Wiley Online Library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WIPO CASE</w:t>
            </w:r>
          </w:p>
        </w:tc>
      </w:tr>
      <w:tr w:rsidR="0085063C" w:rsidRPr="00C70421" w:rsidTr="00354444">
        <w:tc>
          <w:tcPr>
            <w:tcW w:w="9571" w:type="dxa"/>
          </w:tcPr>
          <w:p w:rsidR="0085063C" w:rsidRPr="00C70421" w:rsidRDefault="0085063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World Patent Information</w:t>
            </w:r>
          </w:p>
        </w:tc>
      </w:tr>
      <w:tr w:rsidR="0050667A" w:rsidRPr="00F46AD3" w:rsidTr="00354444">
        <w:tc>
          <w:tcPr>
            <w:tcW w:w="9571" w:type="dxa"/>
          </w:tcPr>
          <w:p w:rsidR="0050667A" w:rsidRPr="00C70421" w:rsidRDefault="004F2DA2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Différentes bases de données relatives aux demandes nationales de chacun des offices internationaux</w:t>
            </w:r>
            <w:r w:rsidR="0050667A" w:rsidRPr="00C70421">
              <w:rPr>
                <w:noProof/>
                <w:lang w:val="fr-FR"/>
              </w:rPr>
              <w:t xml:space="preserve"> </w:t>
            </w:r>
            <w:r w:rsidRPr="00C70421">
              <w:rPr>
                <w:noProof/>
                <w:lang w:val="fr-FR"/>
              </w:rPr>
              <w:t>(par exe</w:t>
            </w:r>
            <w:r w:rsidR="0050667A" w:rsidRPr="00C70421">
              <w:rPr>
                <w:noProof/>
                <w:lang w:val="fr-FR"/>
              </w:rPr>
              <w:t>mple</w:t>
            </w:r>
            <w:r w:rsidRPr="00C70421">
              <w:rPr>
                <w:noProof/>
                <w:lang w:val="fr-FR"/>
              </w:rPr>
              <w:t>, l</w:t>
            </w:r>
            <w:r w:rsidR="00473D89" w:rsidRPr="00C70421">
              <w:rPr>
                <w:noProof/>
                <w:lang w:val="fr-FR"/>
              </w:rPr>
              <w:t>’</w:t>
            </w:r>
            <w:r w:rsidRPr="00C70421">
              <w:rPr>
                <w:noProof/>
                <w:lang w:val="fr-FR"/>
              </w:rPr>
              <w:t>Australie, le Japon, les États</w:t>
            </w:r>
            <w:r w:rsidR="00001599">
              <w:rPr>
                <w:noProof/>
                <w:lang w:val="fr-FR"/>
              </w:rPr>
              <w:noBreakHyphen/>
            </w:r>
            <w:r w:rsidRPr="00C70421">
              <w:rPr>
                <w:noProof/>
                <w:lang w:val="fr-FR"/>
              </w:rPr>
              <w:t>Unis</w:t>
            </w:r>
            <w:r w:rsidR="00373B66" w:rsidRPr="00C70421">
              <w:rPr>
                <w:noProof/>
                <w:lang w:val="fr-FR"/>
              </w:rPr>
              <w:t xml:space="preserve"> d’Amérique</w:t>
            </w:r>
            <w:r w:rsidRPr="00C70421">
              <w:rPr>
                <w:noProof/>
                <w:lang w:val="fr-FR"/>
              </w:rPr>
              <w:t xml:space="preserve">, la France, la </w:t>
            </w:r>
            <w:r w:rsidR="00373B66" w:rsidRPr="00C70421">
              <w:rPr>
                <w:noProof/>
                <w:lang w:val="fr-FR"/>
              </w:rPr>
              <w:t xml:space="preserve">République de </w:t>
            </w:r>
            <w:r w:rsidRPr="00C70421">
              <w:rPr>
                <w:noProof/>
                <w:lang w:val="fr-FR"/>
              </w:rPr>
              <w:t>Corée, la Turquie, l</w:t>
            </w:r>
            <w:r w:rsidR="00473D89" w:rsidRPr="00C70421">
              <w:rPr>
                <w:noProof/>
                <w:lang w:val="fr-FR"/>
              </w:rPr>
              <w:t>’</w:t>
            </w:r>
            <w:r w:rsidRPr="00C70421">
              <w:rPr>
                <w:noProof/>
                <w:lang w:val="fr-FR"/>
              </w:rPr>
              <w:t>OEB et le</w:t>
            </w:r>
            <w:r w:rsidR="0050667A" w:rsidRPr="00C70421">
              <w:rPr>
                <w:noProof/>
                <w:lang w:val="fr-FR"/>
              </w:rPr>
              <w:t xml:space="preserve"> D</w:t>
            </w:r>
            <w:r w:rsidR="004765E6">
              <w:rPr>
                <w:noProof/>
                <w:lang w:val="fr-FR"/>
              </w:rPr>
              <w:t>a</w:t>
            </w:r>
            <w:r w:rsidR="0050667A" w:rsidRPr="00C70421">
              <w:rPr>
                <w:noProof/>
                <w:lang w:val="fr-FR"/>
              </w:rPr>
              <w:t>n</w:t>
            </w:r>
            <w:r w:rsidR="004765E6">
              <w:rPr>
                <w:noProof/>
                <w:lang w:val="fr-FR"/>
              </w:rPr>
              <w:t>em</w:t>
            </w:r>
            <w:r w:rsidR="0050667A" w:rsidRPr="00C70421">
              <w:rPr>
                <w:noProof/>
                <w:lang w:val="fr-FR"/>
              </w:rPr>
              <w:t>ark)</w:t>
            </w:r>
          </w:p>
        </w:tc>
      </w:tr>
      <w:tr w:rsidR="0050667A" w:rsidRPr="00F46AD3" w:rsidTr="00354444">
        <w:tc>
          <w:tcPr>
            <w:tcW w:w="9571" w:type="dxa"/>
          </w:tcPr>
          <w:p w:rsidR="0050667A" w:rsidRPr="00C70421" w:rsidRDefault="007451BC" w:rsidP="00E93C4E">
            <w:pPr>
              <w:rPr>
                <w:noProof/>
                <w:lang w:val="fr-FR"/>
              </w:rPr>
            </w:pPr>
            <w:r w:rsidRPr="00C70421">
              <w:rPr>
                <w:noProof/>
                <w:lang w:val="fr-FR"/>
              </w:rPr>
              <w:t>Des</w:t>
            </w:r>
            <w:r w:rsidR="0050667A" w:rsidRPr="00C70421">
              <w:rPr>
                <w:noProof/>
                <w:lang w:val="fr-FR"/>
              </w:rPr>
              <w:t xml:space="preserve"> </w:t>
            </w:r>
            <w:r w:rsidR="00E72E02" w:rsidRPr="00C70421">
              <w:rPr>
                <w:noProof/>
                <w:lang w:val="fr-FR"/>
              </w:rPr>
              <w:t>bases de données de littérature non</w:t>
            </w:r>
            <w:r w:rsidR="00001599">
              <w:rPr>
                <w:noProof/>
                <w:lang w:val="fr-FR"/>
              </w:rPr>
              <w:noBreakHyphen/>
            </w:r>
            <w:r w:rsidR="00E72E02" w:rsidRPr="00C70421">
              <w:rPr>
                <w:noProof/>
                <w:lang w:val="fr-FR"/>
              </w:rPr>
              <w:t xml:space="preserve">brevet </w:t>
            </w:r>
            <w:r w:rsidRPr="00C70421">
              <w:rPr>
                <w:noProof/>
                <w:lang w:val="fr-FR"/>
              </w:rPr>
              <w:t>en accès direct</w:t>
            </w:r>
            <w:r w:rsidR="006A2FCF" w:rsidRPr="00C70421">
              <w:rPr>
                <w:noProof/>
                <w:lang w:val="fr-FR"/>
              </w:rPr>
              <w:t>,</w:t>
            </w:r>
            <w:r w:rsidRPr="00C70421">
              <w:rPr>
                <w:noProof/>
                <w:lang w:val="fr-FR"/>
              </w:rPr>
              <w:t xml:space="preserve"> comme </w:t>
            </w:r>
            <w:r w:rsidR="00C02CAB" w:rsidRPr="00C70421">
              <w:rPr>
                <w:noProof/>
                <w:lang w:val="fr-FR"/>
              </w:rPr>
              <w:t>la partie 4.2 du</w:t>
            </w:r>
            <w:r w:rsidR="0050667A" w:rsidRPr="00C70421">
              <w:rPr>
                <w:noProof/>
                <w:lang w:val="fr-FR"/>
              </w:rPr>
              <w:t xml:space="preserve"> “</w:t>
            </w:r>
            <w:r w:rsidR="00C02CAB" w:rsidRPr="00C70421">
              <w:rPr>
                <w:noProof/>
                <w:lang w:val="fr-FR"/>
              </w:rPr>
              <w:t>Manuel de l</w:t>
            </w:r>
            <w:r w:rsidR="00473D89" w:rsidRPr="00C70421">
              <w:rPr>
                <w:noProof/>
                <w:lang w:val="fr-FR"/>
              </w:rPr>
              <w:t>’</w:t>
            </w:r>
            <w:r w:rsidR="00C02CAB" w:rsidRPr="00C70421">
              <w:rPr>
                <w:noProof/>
                <w:lang w:val="fr-FR"/>
              </w:rPr>
              <w:t>OMPI sur l</w:t>
            </w:r>
            <w:r w:rsidR="00473D89" w:rsidRPr="00C70421">
              <w:rPr>
                <w:noProof/>
                <w:lang w:val="fr-FR"/>
              </w:rPr>
              <w:t>’</w:t>
            </w:r>
            <w:r w:rsidR="00C02CAB" w:rsidRPr="00C70421">
              <w:rPr>
                <w:noProof/>
                <w:lang w:val="fr-FR"/>
              </w:rPr>
              <w:t>information et la documentation en matière de propriété intellectuelle</w:t>
            </w:r>
            <w:r w:rsidR="0050667A" w:rsidRPr="00C70421">
              <w:rPr>
                <w:noProof/>
                <w:lang w:val="fr-FR"/>
              </w:rPr>
              <w:t>” (</w:t>
            </w:r>
            <w:r w:rsidR="00C02CAB" w:rsidRPr="00C70421">
              <w:rPr>
                <w:noProof/>
                <w:lang w:val="fr-FR"/>
              </w:rPr>
              <w:t>par exe</w:t>
            </w:r>
            <w:r w:rsidR="0050667A" w:rsidRPr="00C70421">
              <w:rPr>
                <w:noProof/>
                <w:lang w:val="fr-FR"/>
              </w:rPr>
              <w:t>mple</w:t>
            </w:r>
            <w:r w:rsidR="00473D89" w:rsidRPr="00C70421">
              <w:rPr>
                <w:noProof/>
                <w:lang w:val="fr-FR"/>
              </w:rPr>
              <w:t> :</w:t>
            </w:r>
            <w:r w:rsidR="008B1AE0" w:rsidRPr="00C70421">
              <w:rPr>
                <w:noProof/>
                <w:lang w:val="fr-FR"/>
              </w:rPr>
              <w:t xml:space="preserve"> </w:t>
            </w:r>
            <w:r w:rsidR="0050667A" w:rsidRPr="00C70421">
              <w:rPr>
                <w:noProof/>
                <w:lang w:val="fr-FR"/>
              </w:rPr>
              <w:t>“</w:t>
            </w:r>
            <w:hyperlink r:id="rId18" w:history="1">
              <w:r w:rsidR="0050667A" w:rsidRPr="00C70421">
                <w:rPr>
                  <w:rStyle w:val="Hyperlink"/>
                  <w:lang w:val="fr-FR"/>
                </w:rPr>
                <w:t>Science</w:t>
              </w:r>
            </w:hyperlink>
            <w:r w:rsidR="0050667A" w:rsidRPr="00C70421">
              <w:rPr>
                <w:noProof/>
                <w:lang w:val="fr-FR"/>
              </w:rPr>
              <w:t xml:space="preserve">”, </w:t>
            </w:r>
            <w:r w:rsidR="00C02CAB" w:rsidRPr="00C70421">
              <w:rPr>
                <w:noProof/>
                <w:lang w:val="fr-FR"/>
              </w:rPr>
              <w:t>Jouets</w:t>
            </w:r>
            <w:r w:rsidR="0050667A" w:rsidRPr="00C70421">
              <w:rPr>
                <w:noProof/>
                <w:lang w:val="fr-FR"/>
              </w:rPr>
              <w:t>, “</w:t>
            </w:r>
            <w:hyperlink r:id="rId19" w:history="1">
              <w:r w:rsidR="00C02CAB" w:rsidRPr="00C70421">
                <w:rPr>
                  <w:rStyle w:val="Hyperlink"/>
                  <w:lang w:val="fr-FR"/>
                </w:rPr>
                <w:t>Bioscience, Biotechnologie</w:t>
              </w:r>
              <w:r w:rsidR="0050667A" w:rsidRPr="00C70421">
                <w:rPr>
                  <w:rStyle w:val="Hyperlink"/>
                  <w:lang w:val="fr-FR"/>
                </w:rPr>
                <w:t xml:space="preserve"> </w:t>
              </w:r>
              <w:r w:rsidR="00C02CAB" w:rsidRPr="00C70421">
                <w:rPr>
                  <w:rStyle w:val="Hyperlink"/>
                  <w:lang w:val="fr-FR"/>
                </w:rPr>
                <w:t>et</w:t>
              </w:r>
              <w:r w:rsidR="0050667A" w:rsidRPr="00C70421">
                <w:rPr>
                  <w:rStyle w:val="Hyperlink"/>
                  <w:lang w:val="fr-FR"/>
                </w:rPr>
                <w:t xml:space="preserve"> Bioch</w:t>
              </w:r>
              <w:r w:rsidR="00C02CAB" w:rsidRPr="00C70421">
                <w:rPr>
                  <w:rStyle w:val="Hyperlink"/>
                  <w:lang w:val="fr-FR"/>
                </w:rPr>
                <w:t>imie</w:t>
              </w:r>
            </w:hyperlink>
            <w:r w:rsidR="0050667A" w:rsidRPr="00C70421">
              <w:rPr>
                <w:noProof/>
                <w:lang w:val="fr-FR"/>
              </w:rPr>
              <w:t>”)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A47571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met à </w:t>
      </w:r>
      <w:r w:rsidR="00C02CAB" w:rsidRPr="00C70421">
        <w:rPr>
          <w:lang w:val="fr-FR"/>
        </w:rPr>
        <w:t>disposition des examinateurs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outil de recherche “T</w:t>
      </w:r>
      <w:r w:rsidR="00C02CAB" w:rsidRPr="00C70421">
        <w:rPr>
          <w:lang w:val="fr-FR"/>
        </w:rPr>
        <w:t xml:space="preserve">he Library </w:t>
      </w:r>
      <w:proofErr w:type="spellStart"/>
      <w:r w:rsidR="00C02CAB" w:rsidRPr="00C70421">
        <w:rPr>
          <w:lang w:val="fr-FR"/>
        </w:rPr>
        <w:t>Discovery</w:t>
      </w:r>
      <w:proofErr w:type="spellEnd"/>
      <w:r w:rsidR="00C02CAB" w:rsidRPr="00C70421">
        <w:rPr>
          <w:lang w:val="fr-FR"/>
        </w:rPr>
        <w:t xml:space="preserve"> </w:t>
      </w:r>
      <w:proofErr w:type="spellStart"/>
      <w:r w:rsidR="00C02CAB" w:rsidRPr="00C70421">
        <w:rPr>
          <w:lang w:val="fr-FR"/>
        </w:rPr>
        <w:t>Tool</w:t>
      </w:r>
      <w:proofErr w:type="spellEnd"/>
      <w:r w:rsidR="00C02CAB" w:rsidRPr="00C70421">
        <w:rPr>
          <w:lang w:val="fr-FR"/>
        </w:rPr>
        <w:t>”</w:t>
      </w:r>
      <w:r w:rsidR="00B1366C" w:rsidRPr="00C70421">
        <w:rPr>
          <w:lang w:val="fr-FR"/>
        </w:rPr>
        <w:t>, qui donne</w:t>
      </w:r>
      <w:r w:rsidRPr="00C70421">
        <w:rPr>
          <w:lang w:val="fr-FR"/>
        </w:rPr>
        <w:t xml:space="preserve"> accès à des articles en texte intégral</w:t>
      </w:r>
      <w:r w:rsidR="0050667A" w:rsidRPr="00C70421">
        <w:rPr>
          <w:lang w:val="fr-FR"/>
        </w:rPr>
        <w:t xml:space="preserve"> </w:t>
      </w:r>
      <w:r w:rsidR="00B1366C" w:rsidRPr="00C70421">
        <w:rPr>
          <w:lang w:val="fr-FR"/>
        </w:rPr>
        <w:t>provenant de nombreuses sources</w:t>
      </w:r>
      <w:r w:rsidR="00DD54E2">
        <w:rPr>
          <w:lang w:val="fr-FR"/>
        </w:rPr>
        <w:t xml:space="preserve"> d’information</w:t>
      </w:r>
      <w:r w:rsidR="00B1366C" w:rsidRPr="00C70421">
        <w:rPr>
          <w:lang w:val="fr-FR"/>
        </w:rPr>
        <w:t xml:space="preserve"> et qui permet de commander rapidement des </w:t>
      </w:r>
      <w:r w:rsidR="0050667A" w:rsidRPr="00C70421">
        <w:rPr>
          <w:lang w:val="fr-FR"/>
        </w:rPr>
        <w:t>articles.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B1366C" w:rsidP="00E93C4E">
      <w:pPr>
        <w:rPr>
          <w:lang w:val="fr-FR"/>
        </w:rPr>
      </w:pPr>
      <w:r w:rsidRPr="00C70421">
        <w:rPr>
          <w:lang w:val="fr-FR"/>
        </w:rPr>
        <w:lastRenderedPageBreak/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tient à jour des </w:t>
      </w:r>
      <w:r w:rsidR="00473D89" w:rsidRPr="00C70421">
        <w:rPr>
          <w:lang w:val="fr-FR"/>
        </w:rPr>
        <w:t>pages W</w:t>
      </w:r>
      <w:r w:rsidRPr="00C70421">
        <w:rPr>
          <w:lang w:val="fr-FR"/>
        </w:rPr>
        <w:t>eb internes et un</w:t>
      </w:r>
      <w:r w:rsidR="0050667A" w:rsidRPr="00C70421">
        <w:rPr>
          <w:lang w:val="fr-FR"/>
        </w:rPr>
        <w:t xml:space="preserve"> wiki </w:t>
      </w:r>
      <w:r w:rsidRPr="00C70421">
        <w:rPr>
          <w:lang w:val="fr-FR"/>
        </w:rPr>
        <w:t xml:space="preserve">où les examinateurs peuvent ajouter des </w:t>
      </w:r>
      <w:r w:rsidR="0050667A" w:rsidRPr="00C70421">
        <w:rPr>
          <w:lang w:val="fr-FR"/>
        </w:rPr>
        <w:t xml:space="preserve">sites </w:t>
      </w:r>
      <w:r w:rsidRPr="00C70421">
        <w:rPr>
          <w:lang w:val="fr-FR"/>
        </w:rPr>
        <w:t xml:space="preserve">utiles </w:t>
      </w:r>
      <w:r w:rsidR="00C02CAB" w:rsidRPr="00C70421">
        <w:rPr>
          <w:lang w:val="fr-FR"/>
        </w:rPr>
        <w:t>pour les</w:t>
      </w:r>
      <w:r w:rsidRPr="00C70421">
        <w:rPr>
          <w:lang w:val="fr-FR"/>
        </w:rPr>
        <w:t xml:space="preserve"> recherch</w:t>
      </w:r>
      <w:r w:rsidR="00C70421" w:rsidRPr="00C70421">
        <w:rPr>
          <w:lang w:val="fr-FR"/>
        </w:rPr>
        <w:t>es.  Il</w:t>
      </w:r>
      <w:r w:rsidRPr="00C70421">
        <w:rPr>
          <w:lang w:val="fr-FR"/>
        </w:rPr>
        <w:t xml:space="preserve"> a également créé un atelier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de recherche </w:t>
      </w:r>
      <w:r w:rsidR="00C02CAB" w:rsidRPr="00C70421">
        <w:rPr>
          <w:lang w:val="fr-FR"/>
        </w:rPr>
        <w:t xml:space="preserve">collaborative, le </w:t>
      </w:r>
      <w:r w:rsidR="0050667A" w:rsidRPr="00C70421">
        <w:rPr>
          <w:lang w:val="fr-FR"/>
        </w:rPr>
        <w:t>“</w:t>
      </w:r>
      <w:proofErr w:type="spellStart"/>
      <w:r w:rsidR="0050667A" w:rsidRPr="00C70421">
        <w:rPr>
          <w:lang w:val="fr-FR"/>
        </w:rPr>
        <w:t>Search</w:t>
      </w:r>
      <w:proofErr w:type="spellEnd"/>
      <w:r w:rsidR="0050667A" w:rsidRPr="00C70421">
        <w:rPr>
          <w:lang w:val="fr-FR"/>
        </w:rPr>
        <w:t xml:space="preserve"> Collaboration Workshop”</w:t>
      </w:r>
      <w:r w:rsidR="00C02CAB" w:rsidRPr="00C70421">
        <w:rPr>
          <w:lang w:val="fr-FR"/>
        </w:rPr>
        <w:t>,</w:t>
      </w:r>
      <w:r w:rsidRPr="00C70421">
        <w:rPr>
          <w:lang w:val="fr-FR"/>
        </w:rPr>
        <w:t xml:space="preserve"> au sein de chaque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division afin de récolter et transmettre les meilleures pratiques en matière de recherche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354444" w:rsidRPr="00C70421" w:rsidRDefault="00354444" w:rsidP="00E93C4E">
      <w:pPr>
        <w:rPr>
          <w:lang w:val="fr-FR"/>
        </w:rPr>
      </w:pPr>
    </w:p>
    <w:p w:rsidR="0050667A" w:rsidRPr="00C70421" w:rsidRDefault="00473D89" w:rsidP="00E93C4E">
      <w:pPr>
        <w:rPr>
          <w:b/>
          <w:i/>
          <w:lang w:val="fr-FR"/>
        </w:rPr>
      </w:pPr>
      <w:r w:rsidRPr="00C70421">
        <w:rPr>
          <w:b/>
          <w:i/>
          <w:lang w:val="fr-FR"/>
        </w:rPr>
        <w:t>Règles 3</w:t>
      </w:r>
      <w:r w:rsidR="006B44CF" w:rsidRPr="00C70421">
        <w:rPr>
          <w:b/>
          <w:i/>
          <w:lang w:val="fr-FR"/>
        </w:rPr>
        <w:t>6.1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 xml:space="preserve">iii) </w:t>
      </w:r>
      <w:r w:rsidR="006B44CF" w:rsidRPr="00C70421">
        <w:rPr>
          <w:b/>
          <w:i/>
          <w:lang w:val="fr-FR"/>
        </w:rPr>
        <w:t>et</w:t>
      </w:r>
      <w:r w:rsidR="0050667A" w:rsidRPr="00C70421">
        <w:rPr>
          <w:b/>
          <w:i/>
          <w:lang w:val="fr-FR"/>
        </w:rPr>
        <w:t xml:space="preserve"> 63.1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>iii)</w:t>
      </w:r>
      <w:r w:rsidRPr="00C70421">
        <w:rPr>
          <w:b/>
          <w:i/>
          <w:lang w:val="fr-FR"/>
        </w:rPr>
        <w:t> :</w:t>
      </w:r>
      <w:r w:rsidR="0050667A" w:rsidRPr="00C70421">
        <w:rPr>
          <w:b/>
          <w:i/>
          <w:lang w:val="fr-FR"/>
        </w:rPr>
        <w:t xml:space="preserve"> </w:t>
      </w:r>
      <w:r w:rsidR="006B44CF" w:rsidRPr="00C70421">
        <w:rPr>
          <w:b/>
          <w:i/>
          <w:lang w:val="fr-FR"/>
        </w:rPr>
        <w:t>cet office ou cette organisation doit disposer d</w:t>
      </w:r>
      <w:r w:rsidRPr="00C70421">
        <w:rPr>
          <w:b/>
          <w:i/>
          <w:lang w:val="fr-FR"/>
        </w:rPr>
        <w:t>’</w:t>
      </w:r>
      <w:r w:rsidR="006B44CF" w:rsidRPr="00C70421">
        <w:rPr>
          <w:b/>
          <w:i/>
          <w:lang w:val="fr-FR"/>
        </w:rPr>
        <w:t>un personnel capable de procéder à la recherche</w:t>
      </w:r>
      <w:r w:rsidR="00114AC9" w:rsidRPr="00C70421">
        <w:rPr>
          <w:b/>
          <w:i/>
          <w:lang w:val="fr-FR"/>
        </w:rPr>
        <w:t xml:space="preserve"> et à l</w:t>
      </w:r>
      <w:r w:rsidRPr="00C70421">
        <w:rPr>
          <w:b/>
          <w:i/>
          <w:lang w:val="fr-FR"/>
        </w:rPr>
        <w:t>’</w:t>
      </w:r>
      <w:r w:rsidR="00114AC9" w:rsidRPr="00C70421">
        <w:rPr>
          <w:b/>
          <w:i/>
          <w:lang w:val="fr-FR"/>
        </w:rPr>
        <w:t>examen</w:t>
      </w:r>
      <w:r w:rsidR="006B44CF" w:rsidRPr="00C70421">
        <w:rPr>
          <w:b/>
          <w:i/>
          <w:lang w:val="fr-FR"/>
        </w:rPr>
        <w:t xml:space="preserve"> dans les domaines techniques sur lesquels la recherche doit porter et possédant les connaissances linguistiques nécessaires à la compréhension au moins des langues dans lesquelles la documentation minimale de la </w:t>
      </w:r>
      <w:r w:rsidRPr="00C70421">
        <w:rPr>
          <w:b/>
          <w:i/>
          <w:lang w:val="fr-FR"/>
        </w:rPr>
        <w:t>règle 3</w:t>
      </w:r>
      <w:r w:rsidR="006B44CF" w:rsidRPr="00C70421">
        <w:rPr>
          <w:b/>
          <w:i/>
          <w:lang w:val="fr-FR"/>
        </w:rPr>
        <w:t>4 est rédigée ou traduite</w:t>
      </w:r>
      <w:r w:rsidR="0050667A" w:rsidRPr="00C70421">
        <w:rPr>
          <w:b/>
          <w:i/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>Lang</w:t>
      </w:r>
      <w:r w:rsidR="006B44CF" w:rsidRPr="00C70421">
        <w:rPr>
          <w:lang w:val="fr-FR"/>
        </w:rPr>
        <w:t>u</w:t>
      </w:r>
      <w:r w:rsidR="00114AC9" w:rsidRPr="00C70421">
        <w:rPr>
          <w:lang w:val="fr-FR"/>
        </w:rPr>
        <w:t>e</w:t>
      </w:r>
      <w:r w:rsidRPr="00C70421">
        <w:rPr>
          <w:lang w:val="fr-FR"/>
        </w:rPr>
        <w:t xml:space="preserve">s </w:t>
      </w:r>
      <w:r w:rsidR="00B1366C" w:rsidRPr="00C70421">
        <w:rPr>
          <w:lang w:val="fr-FR"/>
        </w:rPr>
        <w:t>dans lesquelles les demandes</w:t>
      </w:r>
      <w:r w:rsidRPr="00C70421">
        <w:rPr>
          <w:lang w:val="fr-FR"/>
        </w:rPr>
        <w:t xml:space="preserve"> national</w:t>
      </w:r>
      <w:r w:rsidR="00B1366C" w:rsidRPr="00C70421">
        <w:rPr>
          <w:lang w:val="fr-FR"/>
        </w:rPr>
        <w:t>e</w:t>
      </w:r>
      <w:r w:rsidR="00114AC9" w:rsidRPr="00C70421">
        <w:rPr>
          <w:lang w:val="fr-FR"/>
        </w:rPr>
        <w:t>s</w:t>
      </w:r>
      <w:r w:rsidRPr="00C70421">
        <w:rPr>
          <w:lang w:val="fr-FR"/>
        </w:rPr>
        <w:t xml:space="preserve"> </w:t>
      </w:r>
      <w:r w:rsidR="00114AC9" w:rsidRPr="00C70421">
        <w:rPr>
          <w:lang w:val="fr-FR"/>
        </w:rPr>
        <w:t>peuvent être</w:t>
      </w:r>
      <w:r w:rsidR="00B1366C" w:rsidRPr="00C70421">
        <w:rPr>
          <w:lang w:val="fr-FR"/>
        </w:rPr>
        <w:t xml:space="preserve"> déposées et traitées</w:t>
      </w:r>
      <w:r w:rsidR="00473D89" w:rsidRPr="00C70421">
        <w:rPr>
          <w:lang w:val="fr-FR"/>
        </w:rPr>
        <w:t> :</w:t>
      </w:r>
    </w:p>
    <w:p w:rsidR="0050667A" w:rsidRPr="00C70421" w:rsidRDefault="00B1366C" w:rsidP="00E93C4E">
      <w:pPr>
        <w:rPr>
          <w:lang w:val="fr-FR"/>
        </w:rPr>
      </w:pPr>
      <w:r w:rsidRPr="00C70421">
        <w:rPr>
          <w:lang w:val="fr-FR"/>
        </w:rPr>
        <w:t>Les demandes i</w:t>
      </w:r>
      <w:r w:rsidR="0050667A" w:rsidRPr="00C70421">
        <w:rPr>
          <w:lang w:val="fr-FR"/>
        </w:rPr>
        <w:t>nternational</w:t>
      </w:r>
      <w:r w:rsidRPr="00C70421">
        <w:rPr>
          <w:lang w:val="fr-FR"/>
        </w:rPr>
        <w:t xml:space="preserve">es </w:t>
      </w:r>
      <w:r w:rsidR="0046022F" w:rsidRPr="00C70421">
        <w:rPr>
          <w:lang w:val="fr-FR"/>
        </w:rPr>
        <w:t xml:space="preserve">déposées auprès de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="0046022F" w:rsidRPr="00C70421">
        <w:rPr>
          <w:lang w:val="fr-FR"/>
        </w:rPr>
        <w:t>agissant en tant qu</w:t>
      </w:r>
      <w:r w:rsidR="00473D89" w:rsidRPr="00C70421">
        <w:rPr>
          <w:lang w:val="fr-FR"/>
        </w:rPr>
        <w:t>’</w:t>
      </w:r>
      <w:r w:rsidR="0046022F" w:rsidRPr="00C70421">
        <w:rPr>
          <w:lang w:val="fr-FR"/>
        </w:rPr>
        <w:t>administration internationale</w:t>
      </w:r>
      <w:r w:rsidR="0050667A" w:rsidRPr="00C70421">
        <w:rPr>
          <w:lang w:val="fr-FR"/>
        </w:rPr>
        <w:t xml:space="preserve"> </w:t>
      </w:r>
      <w:r w:rsidR="0046022F" w:rsidRPr="00C70421">
        <w:rPr>
          <w:lang w:val="fr-FR"/>
        </w:rPr>
        <w:t xml:space="preserve">peuvent être </w:t>
      </w:r>
      <w:r w:rsidR="00D31A73" w:rsidRPr="00C70421">
        <w:rPr>
          <w:lang w:val="fr-FR"/>
        </w:rPr>
        <w:t>fait</w:t>
      </w:r>
      <w:r w:rsidR="0046022F" w:rsidRPr="00C70421">
        <w:rPr>
          <w:lang w:val="fr-FR"/>
        </w:rPr>
        <w:t>es</w:t>
      </w:r>
      <w:r w:rsidR="0050667A" w:rsidRPr="00C70421">
        <w:rPr>
          <w:lang w:val="fr-FR"/>
        </w:rPr>
        <w:t xml:space="preserve"> </w:t>
      </w:r>
      <w:r w:rsidR="0046022F" w:rsidRPr="00C70421">
        <w:rPr>
          <w:lang w:val="fr-FR"/>
        </w:rPr>
        <w:t>en anglais et en français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46022F" w:rsidP="00E93C4E">
      <w:pPr>
        <w:pStyle w:val="Subsection"/>
        <w:rPr>
          <w:lang w:val="fr-FR"/>
        </w:rPr>
      </w:pPr>
      <w:r w:rsidRPr="00C70421">
        <w:rPr>
          <w:lang w:val="fr-FR"/>
        </w:rPr>
        <w:t>Autres langues maîtrisées par un grand nombre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examinateurs</w:t>
      </w:r>
      <w:r w:rsidR="00473D89" w:rsidRPr="00C70421">
        <w:rPr>
          <w:lang w:val="fr-FR"/>
        </w:rPr>
        <w:t> :</w:t>
      </w:r>
    </w:p>
    <w:p w:rsidR="0050667A" w:rsidRPr="00C70421" w:rsidRDefault="0046022F" w:rsidP="00E93C4E">
      <w:pPr>
        <w:rPr>
          <w:lang w:val="fr-FR"/>
        </w:rPr>
      </w:pPr>
      <w:r w:rsidRPr="00C70421">
        <w:rPr>
          <w:lang w:val="fr-FR"/>
        </w:rPr>
        <w:t>Les examinateurs de brevet</w:t>
      </w:r>
      <w:r w:rsidR="00C02CAB" w:rsidRPr="00C70421">
        <w:rPr>
          <w:lang w:val="fr-FR"/>
        </w:rPr>
        <w:t>s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maîtrisent également les langues </w:t>
      </w:r>
      <w:r w:rsidR="00D31A73" w:rsidRPr="00C70421">
        <w:rPr>
          <w:lang w:val="fr-FR"/>
        </w:rPr>
        <w:t>suivantes</w:t>
      </w:r>
      <w:r w:rsidR="00473D89" w:rsidRPr="00C70421">
        <w:rPr>
          <w:lang w:val="fr-FR"/>
        </w:rPr>
        <w:t> :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arabe</w:t>
      </w:r>
      <w:r w:rsidR="0050667A" w:rsidRPr="00C70421">
        <w:rPr>
          <w:lang w:val="fr-FR"/>
        </w:rPr>
        <w:t xml:space="preserve"> (3)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bosniaque</w:t>
      </w:r>
      <w:r w:rsidR="0050667A" w:rsidRPr="00C70421">
        <w:rPr>
          <w:lang w:val="fr-FR"/>
        </w:rPr>
        <w:t xml:space="preserve"> (4)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chinois</w:t>
      </w:r>
      <w:r w:rsidR="0050667A" w:rsidRPr="00C70421">
        <w:rPr>
          <w:lang w:val="fr-FR"/>
        </w:rPr>
        <w:t xml:space="preserve"> (11)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croate</w:t>
      </w:r>
      <w:r w:rsidR="0050667A" w:rsidRPr="00C70421">
        <w:rPr>
          <w:lang w:val="fr-FR"/>
        </w:rPr>
        <w:t xml:space="preserve"> (4)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néerlandais</w:t>
      </w:r>
      <w:r w:rsidR="0050667A" w:rsidRPr="00C70421">
        <w:rPr>
          <w:lang w:val="fr-FR"/>
        </w:rPr>
        <w:t>/</w:t>
      </w:r>
      <w:r w:rsidR="001B44E7" w:rsidRPr="00C70421">
        <w:rPr>
          <w:lang w:val="fr-FR"/>
        </w:rPr>
        <w:t>flamand</w:t>
      </w:r>
      <w:r w:rsidR="0050667A" w:rsidRPr="00C70421">
        <w:rPr>
          <w:lang w:val="fr-FR"/>
        </w:rPr>
        <w:t xml:space="preserve"> (1)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allemand</w:t>
      </w:r>
      <w:r w:rsidR="0050667A" w:rsidRPr="00C70421">
        <w:rPr>
          <w:lang w:val="fr-FR"/>
        </w:rPr>
        <w:t xml:space="preserve"> (4)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grec</w:t>
      </w:r>
      <w:r w:rsidR="0050667A" w:rsidRPr="00C70421">
        <w:rPr>
          <w:lang w:val="fr-FR"/>
        </w:rPr>
        <w:t xml:space="preserve"> (1)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h</w:t>
      </w:r>
      <w:r w:rsidR="0050667A" w:rsidRPr="00C70421">
        <w:rPr>
          <w:lang w:val="fr-FR"/>
        </w:rPr>
        <w:t>indi (3)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italie</w:t>
      </w:r>
      <w:r w:rsidR="0050667A" w:rsidRPr="00C70421">
        <w:rPr>
          <w:lang w:val="fr-FR"/>
        </w:rPr>
        <w:t>n (4)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japonais</w:t>
      </w:r>
      <w:r w:rsidR="0050667A" w:rsidRPr="00C70421">
        <w:rPr>
          <w:lang w:val="fr-FR"/>
        </w:rPr>
        <w:t xml:space="preserve"> (1)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monté</w:t>
      </w:r>
      <w:r w:rsidR="0050667A" w:rsidRPr="00C70421">
        <w:rPr>
          <w:lang w:val="fr-FR"/>
        </w:rPr>
        <w:t>n</w:t>
      </w:r>
      <w:r w:rsidR="001B44E7" w:rsidRPr="00C70421">
        <w:rPr>
          <w:lang w:val="fr-FR"/>
        </w:rPr>
        <w:t>é</w:t>
      </w:r>
      <w:r w:rsidR="0050667A" w:rsidRPr="00C70421">
        <w:rPr>
          <w:lang w:val="fr-FR"/>
        </w:rPr>
        <w:t>grin (2)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polonais</w:t>
      </w:r>
      <w:r w:rsidR="0050667A" w:rsidRPr="00C70421">
        <w:rPr>
          <w:lang w:val="fr-FR"/>
        </w:rPr>
        <w:t xml:space="preserve"> (6)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roumain</w:t>
      </w:r>
      <w:r w:rsidR="0050667A" w:rsidRPr="00C70421">
        <w:rPr>
          <w:lang w:val="fr-FR"/>
        </w:rPr>
        <w:t xml:space="preserve"> (3)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russe</w:t>
      </w:r>
      <w:r w:rsidR="0050667A" w:rsidRPr="00C70421">
        <w:rPr>
          <w:lang w:val="fr-FR"/>
        </w:rPr>
        <w:t xml:space="preserve"> (6)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s</w:t>
      </w:r>
      <w:r w:rsidR="0050667A" w:rsidRPr="00C70421">
        <w:rPr>
          <w:lang w:val="fr-FR"/>
        </w:rPr>
        <w:t>anskrit (1)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serbe</w:t>
      </w:r>
      <w:r w:rsidR="0050667A" w:rsidRPr="00C70421">
        <w:rPr>
          <w:lang w:val="fr-FR"/>
        </w:rPr>
        <w:t xml:space="preserve"> (4)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serbo</w:t>
      </w:r>
      <w:r w:rsidR="00001599">
        <w:rPr>
          <w:lang w:val="fr-FR"/>
        </w:rPr>
        <w:noBreakHyphen/>
      </w:r>
      <w:r w:rsidR="001B44E7" w:rsidRPr="00C70421">
        <w:rPr>
          <w:lang w:val="fr-FR"/>
        </w:rPr>
        <w:t>c</w:t>
      </w:r>
      <w:r w:rsidR="0050667A" w:rsidRPr="00C70421">
        <w:rPr>
          <w:lang w:val="fr-FR"/>
        </w:rPr>
        <w:t>roat</w:t>
      </w:r>
      <w:r w:rsidR="001B44E7" w:rsidRPr="00C70421">
        <w:rPr>
          <w:lang w:val="fr-FR"/>
        </w:rPr>
        <w:t>e</w:t>
      </w:r>
      <w:r w:rsidR="0050667A" w:rsidRPr="00C70421">
        <w:rPr>
          <w:lang w:val="fr-FR"/>
        </w:rPr>
        <w:t xml:space="preserve"> (3)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espagnol</w:t>
      </w:r>
      <w:r w:rsidR="0050667A" w:rsidRPr="00C70421">
        <w:rPr>
          <w:lang w:val="fr-FR"/>
        </w:rPr>
        <w:t xml:space="preserve"> (6) </w:t>
      </w:r>
      <w:r w:rsidR="001B44E7" w:rsidRPr="00C70421">
        <w:rPr>
          <w:lang w:val="fr-FR"/>
        </w:rPr>
        <w:t>et</w:t>
      </w:r>
    </w:p>
    <w:p w:rsidR="0050667A" w:rsidRPr="00C70421" w:rsidRDefault="0035444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B44E7" w:rsidRPr="00C70421">
        <w:rPr>
          <w:lang w:val="fr-FR"/>
        </w:rPr>
        <w:t>ou</w:t>
      </w:r>
      <w:r w:rsidR="00C02CAB" w:rsidRPr="00C70421">
        <w:rPr>
          <w:lang w:val="fr-FR"/>
        </w:rPr>
        <w:t>rd</w:t>
      </w:r>
      <w:r w:rsidR="006922AF">
        <w:rPr>
          <w:lang w:val="fr-FR"/>
        </w:rPr>
        <w:t>ou</w:t>
      </w:r>
      <w:r w:rsidR="00C02CAB" w:rsidRPr="00C70421">
        <w:rPr>
          <w:lang w:val="fr-FR"/>
        </w:rPr>
        <w:t xml:space="preserve"> (1)</w:t>
      </w:r>
    </w:p>
    <w:p w:rsidR="0050667A" w:rsidRPr="00C70421" w:rsidRDefault="0050667A" w:rsidP="00E93C4E">
      <w:pPr>
        <w:rPr>
          <w:highlight w:val="green"/>
          <w:lang w:val="fr-FR"/>
        </w:rPr>
      </w:pPr>
    </w:p>
    <w:p w:rsidR="00473D89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 xml:space="preserve">Services </w:t>
      </w:r>
      <w:r w:rsidR="00114AC9" w:rsidRPr="00C70421">
        <w:rPr>
          <w:szCs w:val="22"/>
          <w:lang w:val="fr-FR"/>
        </w:rPr>
        <w:t xml:space="preserve">proposés pour faciliter la recherche ou mieux </w:t>
      </w:r>
      <w:r w:rsidR="00D90163" w:rsidRPr="00C70421">
        <w:rPr>
          <w:lang w:val="fr-FR"/>
        </w:rPr>
        <w:t>comprendre l</w:t>
      </w:r>
      <w:r w:rsidR="00473D89" w:rsidRPr="00C70421">
        <w:rPr>
          <w:lang w:val="fr-FR"/>
        </w:rPr>
        <w:t>’</w:t>
      </w:r>
      <w:r w:rsidR="00D90163" w:rsidRPr="00C70421">
        <w:rPr>
          <w:lang w:val="fr-FR"/>
        </w:rPr>
        <w:t>état de la technique dans d</w:t>
      </w:r>
      <w:r w:rsidR="00473D89" w:rsidRPr="00C70421">
        <w:rPr>
          <w:lang w:val="fr-FR"/>
        </w:rPr>
        <w:t>’</w:t>
      </w:r>
      <w:r w:rsidR="00D90163" w:rsidRPr="00C70421">
        <w:rPr>
          <w:lang w:val="fr-FR"/>
        </w:rPr>
        <w:t>autres langues</w:t>
      </w:r>
      <w:r w:rsidR="00473D89" w:rsidRPr="00C70421">
        <w:rPr>
          <w:lang w:val="fr-FR"/>
        </w:rPr>
        <w:t> :</w:t>
      </w:r>
    </w:p>
    <w:p w:rsidR="00473D89" w:rsidRPr="00C70421" w:rsidRDefault="00EF2384" w:rsidP="00E93C4E">
      <w:pPr>
        <w:rPr>
          <w:lang w:val="fr-FR"/>
        </w:rPr>
      </w:pPr>
      <w:r w:rsidRPr="00C70421">
        <w:rPr>
          <w:lang w:val="fr-FR"/>
        </w:rPr>
        <w:t>Les examinateurs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ont accès aux ressources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ci</w:t>
      </w:r>
      <w:r w:rsidR="00001599">
        <w:rPr>
          <w:lang w:val="fr-FR"/>
        </w:rPr>
        <w:noBreakHyphen/>
      </w:r>
      <w:r w:rsidRPr="00C70421">
        <w:rPr>
          <w:lang w:val="fr-FR"/>
        </w:rPr>
        <w:t xml:space="preserve">après </w:t>
      </w:r>
      <w:r w:rsidR="00C02CAB" w:rsidRPr="00C70421">
        <w:rPr>
          <w:lang w:val="fr-FR"/>
        </w:rPr>
        <w:t>qui leur permette</w:t>
      </w:r>
      <w:r w:rsidRPr="00C70421">
        <w:rPr>
          <w:lang w:val="fr-FR"/>
        </w:rPr>
        <w:t>nt de rechercher et de comprendre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état de la technique dans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autres langues</w:t>
      </w:r>
      <w:r w:rsidR="00473D89" w:rsidRPr="00C70421">
        <w:rPr>
          <w:lang w:val="fr-FR"/>
        </w:rPr>
        <w:t> :</w:t>
      </w:r>
    </w:p>
    <w:p w:rsidR="0050667A" w:rsidRPr="00C70421" w:rsidRDefault="0035444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C02CAB" w:rsidRPr="00C70421">
        <w:rPr>
          <w:lang w:val="fr-FR"/>
        </w:rPr>
        <w:t>Le Bureau de la traduction des</w:t>
      </w:r>
      <w:r w:rsidR="0050667A" w:rsidRPr="00C70421">
        <w:rPr>
          <w:lang w:val="fr-FR"/>
        </w:rPr>
        <w:t xml:space="preserve"> </w:t>
      </w:r>
      <w:r w:rsidR="00EF2384" w:rsidRPr="00C70421">
        <w:rPr>
          <w:lang w:val="fr-FR"/>
        </w:rPr>
        <w:t>Services publi</w:t>
      </w:r>
      <w:r w:rsidR="00C02CAB" w:rsidRPr="00C70421">
        <w:rPr>
          <w:lang w:val="fr-FR"/>
        </w:rPr>
        <w:t>cs et Approvisionnement Canada</w:t>
      </w:r>
      <w:r w:rsidR="0050667A" w:rsidRPr="00C70421">
        <w:rPr>
          <w:lang w:val="fr-FR"/>
        </w:rPr>
        <w:t xml:space="preserve">, </w:t>
      </w:r>
      <w:r w:rsidR="00EF2384" w:rsidRPr="00C70421">
        <w:rPr>
          <w:lang w:val="fr-FR"/>
        </w:rPr>
        <w:t>qui fournit des services de traduction dans plus de</w:t>
      </w:r>
      <w:r w:rsidR="0050667A" w:rsidRPr="00C70421">
        <w:rPr>
          <w:lang w:val="fr-FR"/>
        </w:rPr>
        <w:t xml:space="preserve"> 100</w:t>
      </w:r>
      <w:r w:rsidR="00001599">
        <w:rPr>
          <w:lang w:val="fr-FR"/>
        </w:rPr>
        <w:t> </w:t>
      </w:r>
      <w:r w:rsidR="0050667A" w:rsidRPr="00C70421">
        <w:rPr>
          <w:lang w:val="fr-FR"/>
        </w:rPr>
        <w:t>langu</w:t>
      </w:r>
      <w:r w:rsidR="00EF2384" w:rsidRPr="00C70421">
        <w:rPr>
          <w:lang w:val="fr-FR"/>
        </w:rPr>
        <w:t>e</w:t>
      </w:r>
      <w:r w:rsidR="0050667A" w:rsidRPr="00C70421">
        <w:rPr>
          <w:lang w:val="fr-FR"/>
        </w:rPr>
        <w:t xml:space="preserve">s </w:t>
      </w:r>
      <w:r w:rsidR="006C05EC" w:rsidRPr="00C70421">
        <w:rPr>
          <w:lang w:val="fr-FR"/>
        </w:rPr>
        <w:t xml:space="preserve">et </w:t>
      </w:r>
      <w:r w:rsidR="0050667A" w:rsidRPr="00C70421">
        <w:rPr>
          <w:lang w:val="fr-FR"/>
        </w:rPr>
        <w:t>dialect</w:t>
      </w:r>
      <w:r w:rsidR="00EF2384" w:rsidRPr="00C70421">
        <w:rPr>
          <w:lang w:val="fr-FR"/>
        </w:rPr>
        <w:t>e</w:t>
      </w:r>
      <w:r w:rsidR="0050667A" w:rsidRPr="00C70421">
        <w:rPr>
          <w:lang w:val="fr-FR"/>
        </w:rPr>
        <w:t>s</w:t>
      </w:r>
    </w:p>
    <w:p w:rsidR="0050667A" w:rsidRPr="00F46AD3" w:rsidRDefault="00354444" w:rsidP="00E93C4E">
      <w:pPr>
        <w:ind w:left="567" w:hanging="567"/>
      </w:pPr>
      <w:r w:rsidRPr="00F46AD3">
        <w:t>–</w:t>
      </w:r>
      <w:r w:rsidRPr="00F46AD3">
        <w:tab/>
      </w:r>
      <w:r w:rsidR="0050667A" w:rsidRPr="00F46AD3">
        <w:t>WIPO Translate</w:t>
      </w:r>
    </w:p>
    <w:p w:rsidR="0050667A" w:rsidRPr="00F46AD3" w:rsidRDefault="00354444" w:rsidP="00E93C4E">
      <w:pPr>
        <w:ind w:left="567" w:hanging="567"/>
      </w:pPr>
      <w:r w:rsidRPr="00F46AD3">
        <w:t>–</w:t>
      </w:r>
      <w:r w:rsidRPr="00F46AD3">
        <w:tab/>
      </w:r>
      <w:r w:rsidR="0050667A" w:rsidRPr="00F46AD3">
        <w:t>WIPO Pearl</w:t>
      </w:r>
    </w:p>
    <w:p w:rsidR="0050667A" w:rsidRPr="00F46AD3" w:rsidRDefault="00354444" w:rsidP="00E93C4E">
      <w:pPr>
        <w:ind w:left="567" w:hanging="567"/>
      </w:pPr>
      <w:r w:rsidRPr="00F46AD3">
        <w:t>–</w:t>
      </w:r>
      <w:r w:rsidRPr="00F46AD3">
        <w:tab/>
      </w:r>
      <w:r w:rsidR="0050667A" w:rsidRPr="00F46AD3">
        <w:t>Google Translate</w:t>
      </w:r>
    </w:p>
    <w:p w:rsidR="0050667A" w:rsidRPr="00C70421" w:rsidRDefault="0035444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proofErr w:type="spellStart"/>
      <w:r w:rsidR="0050667A" w:rsidRPr="00C70421">
        <w:rPr>
          <w:lang w:val="fr-FR"/>
        </w:rPr>
        <w:t>Esp@cenet</w:t>
      </w:r>
      <w:proofErr w:type="spellEnd"/>
      <w:r w:rsidR="0050667A" w:rsidRPr="00C70421">
        <w:rPr>
          <w:lang w:val="fr-FR"/>
        </w:rPr>
        <w:t xml:space="preserve"> – Patent Translate (</w:t>
      </w:r>
      <w:r w:rsidR="00EF2384" w:rsidRPr="00C70421">
        <w:rPr>
          <w:lang w:val="fr-FR"/>
        </w:rPr>
        <w:t>utilise</w:t>
      </w:r>
      <w:r w:rsidR="0050667A" w:rsidRPr="00C70421">
        <w:rPr>
          <w:lang w:val="fr-FR"/>
        </w:rPr>
        <w:t xml:space="preserve"> Google Translate)</w:t>
      </w:r>
    </w:p>
    <w:p w:rsidR="0050667A" w:rsidRPr="00C70421" w:rsidRDefault="0035444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50667A" w:rsidRPr="00C70421">
        <w:rPr>
          <w:lang w:val="fr-FR"/>
        </w:rPr>
        <w:t xml:space="preserve">Questel </w:t>
      </w:r>
      <w:proofErr w:type="spellStart"/>
      <w:r w:rsidR="0050667A" w:rsidRPr="00C70421">
        <w:rPr>
          <w:lang w:val="fr-FR"/>
        </w:rPr>
        <w:t>Orbit</w:t>
      </w:r>
      <w:proofErr w:type="spellEnd"/>
      <w:r w:rsidR="0050667A" w:rsidRPr="00C70421">
        <w:rPr>
          <w:lang w:val="fr-FR"/>
        </w:rPr>
        <w:t xml:space="preserve"> – </w:t>
      </w:r>
      <w:r w:rsidR="006C05EC" w:rsidRPr="00C70421">
        <w:rPr>
          <w:lang w:val="fr-FR"/>
        </w:rPr>
        <w:t xml:space="preserve">fonction de traduction </w:t>
      </w:r>
      <w:r w:rsidR="0050667A" w:rsidRPr="00C70421">
        <w:rPr>
          <w:lang w:val="fr-FR"/>
        </w:rPr>
        <w:t>(u</w:t>
      </w:r>
      <w:r w:rsidR="00EF2384" w:rsidRPr="00C70421">
        <w:rPr>
          <w:lang w:val="fr-FR"/>
        </w:rPr>
        <w:t>tilise</w:t>
      </w:r>
      <w:r w:rsidR="0050667A" w:rsidRPr="00C70421">
        <w:rPr>
          <w:lang w:val="fr-FR"/>
        </w:rPr>
        <w:t xml:space="preserve"> Google Translate)</w:t>
      </w:r>
    </w:p>
    <w:p w:rsidR="0085063C" w:rsidRDefault="0085063C" w:rsidP="00E93C4E">
      <w:pPr>
        <w:rPr>
          <w:b/>
          <w:bCs/>
          <w:caps/>
          <w:kern w:val="32"/>
          <w:szCs w:val="32"/>
          <w:lang w:val="fr-FR"/>
        </w:rPr>
      </w:pPr>
    </w:p>
    <w:p w:rsidR="0050667A" w:rsidRPr="00C70421" w:rsidRDefault="0050667A" w:rsidP="00E93C4E">
      <w:pPr>
        <w:pStyle w:val="SectionHeading"/>
        <w:rPr>
          <w:lang w:val="fr-FR"/>
        </w:rPr>
      </w:pPr>
      <w:r w:rsidRPr="00C70421">
        <w:rPr>
          <w:lang w:val="fr-FR"/>
        </w:rPr>
        <w:lastRenderedPageBreak/>
        <w:t xml:space="preserve">2.2 – </w:t>
      </w:r>
      <w:r w:rsidR="0085063C">
        <w:rPr>
          <w:lang w:val="fr-FR"/>
        </w:rPr>
        <w:t>G</w:t>
      </w:r>
      <w:r w:rsidR="006C05EC" w:rsidRPr="00C70421">
        <w:rPr>
          <w:lang w:val="fr-FR"/>
        </w:rPr>
        <w:t>estion de la qualité</w:t>
      </w:r>
    </w:p>
    <w:p w:rsidR="0050667A" w:rsidRPr="00C70421" w:rsidRDefault="00473D89" w:rsidP="00E93C4E">
      <w:pPr>
        <w:rPr>
          <w:b/>
          <w:i/>
          <w:lang w:val="fr-FR"/>
        </w:rPr>
      </w:pPr>
      <w:r w:rsidRPr="00C70421">
        <w:rPr>
          <w:b/>
          <w:i/>
          <w:lang w:val="fr-FR"/>
        </w:rPr>
        <w:t>Règles 3</w:t>
      </w:r>
      <w:r w:rsidR="006C12CF" w:rsidRPr="00C70421">
        <w:rPr>
          <w:b/>
          <w:i/>
          <w:lang w:val="fr-FR"/>
        </w:rPr>
        <w:t>6.1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 xml:space="preserve">iv) </w:t>
      </w:r>
      <w:r w:rsidR="006C12CF" w:rsidRPr="00C70421">
        <w:rPr>
          <w:b/>
          <w:i/>
          <w:lang w:val="fr-FR"/>
        </w:rPr>
        <w:t>et 63.1</w:t>
      </w:r>
      <w:r w:rsidR="00114AC9" w:rsidRPr="00C70421">
        <w:rPr>
          <w:b/>
          <w:i/>
          <w:lang w:val="fr-FR"/>
        </w:rPr>
        <w:t>.</w:t>
      </w:r>
      <w:r w:rsidR="0050667A" w:rsidRPr="00C70421">
        <w:rPr>
          <w:b/>
          <w:i/>
          <w:lang w:val="fr-FR"/>
        </w:rPr>
        <w:t>iv)</w:t>
      </w:r>
      <w:r w:rsidRPr="00C70421">
        <w:rPr>
          <w:b/>
          <w:i/>
          <w:lang w:val="fr-FR"/>
        </w:rPr>
        <w:t> :</w:t>
      </w:r>
      <w:r w:rsidR="0050667A" w:rsidRPr="00C70421">
        <w:rPr>
          <w:b/>
          <w:i/>
          <w:lang w:val="fr-FR"/>
        </w:rPr>
        <w:t xml:space="preserve"> </w:t>
      </w:r>
      <w:r w:rsidR="006C12CF" w:rsidRPr="00C70421">
        <w:rPr>
          <w:b/>
          <w:i/>
          <w:lang w:val="fr-FR"/>
        </w:rPr>
        <w:t>cet office ou cette organisation doit disposer d</w:t>
      </w:r>
      <w:r w:rsidRPr="00C70421">
        <w:rPr>
          <w:b/>
          <w:i/>
          <w:lang w:val="fr-FR"/>
        </w:rPr>
        <w:t>’</w:t>
      </w:r>
      <w:r w:rsidR="006C12CF" w:rsidRPr="00C70421">
        <w:rPr>
          <w:b/>
          <w:i/>
          <w:lang w:val="fr-FR"/>
        </w:rPr>
        <w:t>un système de gestion de la qualité et de dispositions internes en matière d</w:t>
      </w:r>
      <w:r w:rsidRPr="00C70421">
        <w:rPr>
          <w:b/>
          <w:i/>
          <w:lang w:val="fr-FR"/>
        </w:rPr>
        <w:t>’</w:t>
      </w:r>
      <w:r w:rsidR="006C12CF" w:rsidRPr="00C70421">
        <w:rPr>
          <w:b/>
          <w:i/>
          <w:lang w:val="fr-FR"/>
        </w:rPr>
        <w:t>évaluation conformément aux règles communes de la recherche internationale</w:t>
      </w:r>
      <w:r w:rsidR="00675419" w:rsidRPr="00C70421">
        <w:rPr>
          <w:b/>
          <w:i/>
          <w:lang w:val="fr-FR"/>
        </w:rPr>
        <w:t>.</w:t>
      </w:r>
    </w:p>
    <w:p w:rsidR="0050667A" w:rsidRPr="00C70421" w:rsidRDefault="0050667A" w:rsidP="00E93C4E">
      <w:pPr>
        <w:rPr>
          <w:b/>
          <w:bCs/>
          <w:szCs w:val="22"/>
          <w:lang w:val="fr-FR"/>
        </w:rPr>
      </w:pPr>
    </w:p>
    <w:p w:rsidR="00473D89" w:rsidRPr="00C70421" w:rsidRDefault="00B373A2" w:rsidP="00E93C4E">
      <w:pPr>
        <w:pStyle w:val="Subsection"/>
        <w:rPr>
          <w:lang w:val="fr-FR"/>
        </w:rPr>
      </w:pPr>
      <w:r w:rsidRPr="00C70421">
        <w:rPr>
          <w:lang w:val="fr-FR"/>
        </w:rPr>
        <w:t>Système n</w:t>
      </w:r>
      <w:r w:rsidR="0050667A" w:rsidRPr="00C70421">
        <w:rPr>
          <w:lang w:val="fr-FR"/>
        </w:rPr>
        <w:t xml:space="preserve">ational </w:t>
      </w:r>
      <w:r w:rsidRPr="00C70421">
        <w:rPr>
          <w:lang w:val="fr-FR"/>
        </w:rPr>
        <w:t>et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i</w:t>
      </w:r>
      <w:r w:rsidR="0050667A" w:rsidRPr="00C70421">
        <w:rPr>
          <w:lang w:val="fr-FR"/>
        </w:rPr>
        <w:t>nternational</w:t>
      </w:r>
      <w:r w:rsidRPr="00C70421">
        <w:rPr>
          <w:lang w:val="fr-FR"/>
        </w:rPr>
        <w:t xml:space="preserve"> de gestion de la qualité</w:t>
      </w:r>
      <w:r w:rsidR="00473D89" w:rsidRPr="00C70421">
        <w:rPr>
          <w:lang w:val="fr-FR"/>
        </w:rPr>
        <w:t> :</w:t>
      </w:r>
    </w:p>
    <w:p w:rsidR="00473D89" w:rsidRPr="00C70421" w:rsidRDefault="008D094A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dispose</w:t>
      </w:r>
      <w:r w:rsidR="00B440B6" w:rsidRPr="00C70421">
        <w:rPr>
          <w:lang w:val="fr-FR"/>
        </w:rPr>
        <w:t xml:space="preserve"> d</w:t>
      </w:r>
      <w:r w:rsidR="00EF1A8D" w:rsidRPr="00C70421">
        <w:rPr>
          <w:lang w:val="fr-FR"/>
        </w:rPr>
        <w:t>e</w:t>
      </w:r>
      <w:r w:rsidR="00B440B6" w:rsidRPr="00C70421">
        <w:rPr>
          <w:lang w:val="fr-FR"/>
        </w:rPr>
        <w:t xml:space="preserve"> </w:t>
      </w:r>
      <w:r w:rsidR="00EF1A8D" w:rsidRPr="00C70421">
        <w:rPr>
          <w:lang w:val="fr-FR"/>
        </w:rPr>
        <w:t>deux</w:t>
      </w:r>
      <w:r w:rsidR="00373B66" w:rsidRPr="00C70421">
        <w:rPr>
          <w:lang w:val="fr-FR"/>
        </w:rPr>
        <w:t> </w:t>
      </w:r>
      <w:r w:rsidR="00B440B6" w:rsidRPr="00C70421">
        <w:rPr>
          <w:lang w:val="fr-FR"/>
        </w:rPr>
        <w:t>système</w:t>
      </w:r>
      <w:r w:rsidR="00EF1A8D" w:rsidRPr="00C70421">
        <w:rPr>
          <w:lang w:val="fr-FR"/>
        </w:rPr>
        <w:t>s</w:t>
      </w:r>
      <w:r w:rsidR="00B440B6" w:rsidRPr="00C70421">
        <w:rPr>
          <w:lang w:val="fr-FR"/>
        </w:rPr>
        <w:t xml:space="preserve"> de gestion de la qualité </w:t>
      </w:r>
      <w:r w:rsidR="00EF1A8D" w:rsidRPr="00C70421">
        <w:rPr>
          <w:lang w:val="fr-FR"/>
        </w:rPr>
        <w:t>officiels, l</w:t>
      </w:r>
      <w:r w:rsidR="00473D89" w:rsidRPr="00C70421">
        <w:rPr>
          <w:lang w:val="fr-FR"/>
        </w:rPr>
        <w:t>’</w:t>
      </w:r>
      <w:r w:rsidR="00EF1A8D" w:rsidRPr="00C70421">
        <w:rPr>
          <w:lang w:val="fr-FR"/>
        </w:rPr>
        <w:t>un international et l</w:t>
      </w:r>
      <w:r w:rsidR="00473D89" w:rsidRPr="00C70421">
        <w:rPr>
          <w:lang w:val="fr-FR"/>
        </w:rPr>
        <w:t>’</w:t>
      </w:r>
      <w:r w:rsidR="00EF1A8D" w:rsidRPr="00C70421">
        <w:rPr>
          <w:lang w:val="fr-FR"/>
        </w:rPr>
        <w:t xml:space="preserve">autre national, mis en place </w:t>
      </w:r>
      <w:r w:rsidR="00473D89" w:rsidRPr="00C70421">
        <w:rPr>
          <w:lang w:val="fr-FR"/>
        </w:rPr>
        <w:t>depuis 2007</w:t>
      </w:r>
      <w:r w:rsidR="00EF1A8D" w:rsidRPr="00C70421">
        <w:rPr>
          <w:lang w:val="fr-FR"/>
        </w:rPr>
        <w:t xml:space="preserve"> et</w:t>
      </w:r>
      <w:r w:rsidR="0050667A" w:rsidRPr="00C70421">
        <w:rPr>
          <w:lang w:val="fr-FR"/>
        </w:rPr>
        <w:t xml:space="preserve"> 2012</w:t>
      </w:r>
      <w:r w:rsidR="00EF1A8D" w:rsidRPr="00C70421">
        <w:rPr>
          <w:lang w:val="fr-FR"/>
        </w:rPr>
        <w:t xml:space="preserve"> respectiveme</w:t>
      </w:r>
      <w:r w:rsidR="00C70421" w:rsidRPr="00C70421">
        <w:rPr>
          <w:lang w:val="fr-FR"/>
        </w:rPr>
        <w:t>nt.  Av</w:t>
      </w:r>
      <w:r w:rsidR="00EF1A8D" w:rsidRPr="00C70421">
        <w:rPr>
          <w:lang w:val="fr-FR"/>
        </w:rPr>
        <w:t xml:space="preserve">ant cela, le contrôle </w:t>
      </w:r>
      <w:r w:rsidR="0050667A" w:rsidRPr="00C70421">
        <w:rPr>
          <w:lang w:val="fr-FR"/>
        </w:rPr>
        <w:t>qualit</w:t>
      </w:r>
      <w:r w:rsidR="00EF1A8D" w:rsidRPr="00C70421">
        <w:rPr>
          <w:lang w:val="fr-FR"/>
        </w:rPr>
        <w:t>é était réalisé par les chefs de section</w:t>
      </w:r>
      <w:r w:rsidR="0050667A" w:rsidRPr="00C70421">
        <w:rPr>
          <w:lang w:val="fr-FR"/>
        </w:rPr>
        <w:t xml:space="preserve"> </w:t>
      </w:r>
      <w:r w:rsidR="00EF1A8D" w:rsidRPr="00C70421">
        <w:rPr>
          <w:lang w:val="fr-FR"/>
        </w:rPr>
        <w:t>chargés de l</w:t>
      </w:r>
      <w:r w:rsidR="00473D89" w:rsidRPr="00C70421">
        <w:rPr>
          <w:lang w:val="fr-FR"/>
        </w:rPr>
        <w:t>’</w:t>
      </w:r>
      <w:r w:rsidR="00EF1A8D" w:rsidRPr="00C70421">
        <w:rPr>
          <w:lang w:val="fr-FR"/>
        </w:rPr>
        <w:t>examen, qui étaient tous d</w:t>
      </w:r>
      <w:r w:rsidR="00473D89" w:rsidRPr="00C70421">
        <w:rPr>
          <w:lang w:val="fr-FR"/>
        </w:rPr>
        <w:t>’</w:t>
      </w:r>
      <w:r w:rsidR="00441EBF" w:rsidRPr="00C70421">
        <w:rPr>
          <w:lang w:val="fr-FR"/>
        </w:rPr>
        <w:t>anciens examinateurs avec des décennies d</w:t>
      </w:r>
      <w:r w:rsidR="00473D89" w:rsidRPr="00C70421">
        <w:rPr>
          <w:lang w:val="fr-FR"/>
        </w:rPr>
        <w:t>’</w:t>
      </w:r>
      <w:r w:rsidR="00441EBF" w:rsidRPr="00C70421">
        <w:rPr>
          <w:lang w:val="fr-FR"/>
        </w:rPr>
        <w:t>expérience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441EBF" w:rsidP="00E93C4E">
      <w:pPr>
        <w:rPr>
          <w:lang w:val="fr-FR"/>
        </w:rPr>
      </w:pPr>
      <w:r w:rsidRPr="00C70421">
        <w:rPr>
          <w:lang w:val="fr-FR"/>
        </w:rPr>
        <w:t>Les rapports sur le système de gestion de la qualité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493F58" w:rsidRPr="00C70421">
        <w:rPr>
          <w:lang w:val="fr-FR"/>
        </w:rPr>
        <w:t>,</w:t>
      </w:r>
      <w:r w:rsidRPr="00C70421">
        <w:rPr>
          <w:lang w:val="fr-FR"/>
        </w:rPr>
        <w:t xml:space="preserve"> tels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énoncés dans le chapitre 21 des directives concernant la recherche internationale et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examen préliminaire international selon le PCT </w:t>
      </w:r>
      <w:r w:rsidR="0050667A" w:rsidRPr="00C70421">
        <w:rPr>
          <w:lang w:val="fr-FR"/>
        </w:rPr>
        <w:t>(</w:t>
      </w:r>
      <w:r w:rsidR="00493F58" w:rsidRPr="00C70421">
        <w:rPr>
          <w:lang w:val="fr-FR"/>
        </w:rPr>
        <w:t xml:space="preserve">voir la </w:t>
      </w:r>
      <w:r w:rsidR="00473D89" w:rsidRPr="00C70421">
        <w:rPr>
          <w:lang w:val="fr-FR"/>
        </w:rPr>
        <w:t>page I</w:t>
      </w:r>
      <w:r w:rsidR="00493F58" w:rsidRPr="00C70421">
        <w:rPr>
          <w:lang w:val="fr-FR"/>
        </w:rPr>
        <w:t>nternet</w:t>
      </w:r>
      <w:r w:rsidR="0050667A" w:rsidRPr="00C70421">
        <w:rPr>
          <w:lang w:val="fr-FR"/>
        </w:rPr>
        <w:t xml:space="preserve"> </w:t>
      </w:r>
      <w:r w:rsidR="00C70421" w:rsidRPr="00C70421">
        <w:rPr>
          <w:lang w:val="fr-FR"/>
        </w:rPr>
        <w:t>“</w:t>
      </w:r>
      <w:hyperlink r:id="rId20" w:history="1">
        <w:r w:rsidR="0050667A" w:rsidRPr="00C70421">
          <w:rPr>
            <w:rStyle w:val="Hyperlink"/>
            <w:lang w:val="fr-FR"/>
          </w:rPr>
          <w:t>PCT International Authority Quality Reports</w:t>
        </w:r>
      </w:hyperlink>
      <w:r w:rsidR="00493F58" w:rsidRPr="00C70421">
        <w:rPr>
          <w:rStyle w:val="Hyperlink"/>
          <w:lang w:val="fr-FR"/>
        </w:rPr>
        <w:t>”</w:t>
      </w:r>
      <w:r w:rsidR="00DD54E2" w:rsidRPr="00C70421">
        <w:rPr>
          <w:rStyle w:val="FootnoteReference"/>
          <w:lang w:val="fr-FR"/>
        </w:rPr>
        <w:footnoteReference w:id="2"/>
      </w:r>
      <w:r w:rsidR="0050667A" w:rsidRPr="00C70421">
        <w:rPr>
          <w:lang w:val="fr-FR"/>
        </w:rPr>
        <w:t>)</w:t>
      </w:r>
      <w:r w:rsidR="00493F58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493F58" w:rsidRPr="00C70421">
        <w:rPr>
          <w:lang w:val="fr-FR"/>
        </w:rPr>
        <w:t>décrivent le système de gestion de la qualité internationale de l</w:t>
      </w:r>
      <w:r w:rsidR="00473D89" w:rsidRPr="00C70421">
        <w:rPr>
          <w:lang w:val="fr-FR"/>
        </w:rPr>
        <w:t>’</w:t>
      </w:r>
      <w:r w:rsidR="00493F58" w:rsidRPr="00C70421">
        <w:rPr>
          <w:lang w:val="fr-FR"/>
        </w:rPr>
        <w:t>OPIC et présente</w:t>
      </w:r>
      <w:r w:rsidR="008D094A" w:rsidRPr="00C70421">
        <w:rPr>
          <w:lang w:val="fr-FR"/>
        </w:rPr>
        <w:t>nt</w:t>
      </w:r>
      <w:r w:rsidR="00493F58" w:rsidRPr="00C70421">
        <w:rPr>
          <w:lang w:val="fr-FR"/>
        </w:rPr>
        <w:t xml:space="preserve"> la manière dont l</w:t>
      </w:r>
      <w:r w:rsidR="00473D89" w:rsidRPr="00C70421">
        <w:rPr>
          <w:lang w:val="fr-FR"/>
        </w:rPr>
        <w:t>’</w:t>
      </w:r>
      <w:r w:rsidR="00493F58" w:rsidRPr="00C70421">
        <w:rPr>
          <w:lang w:val="fr-FR"/>
        </w:rPr>
        <w:t xml:space="preserve">OPIC </w:t>
      </w:r>
      <w:r w:rsidR="003D4AAA" w:rsidRPr="00C70421">
        <w:rPr>
          <w:lang w:val="fr-FR"/>
        </w:rPr>
        <w:t xml:space="preserve">respecte </w:t>
      </w:r>
      <w:r w:rsidR="00493F58" w:rsidRPr="00C70421">
        <w:rPr>
          <w:lang w:val="fr-FR"/>
        </w:rPr>
        <w:t>des normes de qualité</w:t>
      </w:r>
      <w:r w:rsidR="003D4AAA" w:rsidRPr="00C70421">
        <w:rPr>
          <w:lang w:val="fr-FR"/>
        </w:rPr>
        <w:t xml:space="preserve"> élevées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3D4AAA" w:rsidP="00E93C4E">
      <w:pPr>
        <w:rPr>
          <w:lang w:val="fr-FR"/>
        </w:rPr>
      </w:pPr>
      <w:r w:rsidRPr="00C70421">
        <w:rPr>
          <w:lang w:val="fr-FR"/>
        </w:rPr>
        <w:t>La Direction des brevets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a </w:t>
      </w:r>
      <w:r w:rsidR="00DD54E2">
        <w:rPr>
          <w:lang w:val="fr-FR"/>
        </w:rPr>
        <w:t>la</w:t>
      </w:r>
      <w:r w:rsidR="009B3423" w:rsidRPr="00C70421">
        <w:rPr>
          <w:lang w:val="fr-FR"/>
        </w:rPr>
        <w:t>ncé</w:t>
      </w:r>
      <w:r w:rsidRPr="00C70421">
        <w:rPr>
          <w:lang w:val="fr-FR"/>
        </w:rPr>
        <w:t xml:space="preserve"> </w:t>
      </w:r>
      <w:r w:rsidR="009B3423" w:rsidRPr="00C70421">
        <w:rPr>
          <w:lang w:val="fr-FR"/>
        </w:rPr>
        <w:t xml:space="preserve">le processus </w:t>
      </w:r>
      <w:r w:rsidRPr="00C70421">
        <w:rPr>
          <w:lang w:val="fr-FR"/>
        </w:rPr>
        <w:t>de certification</w:t>
      </w:r>
      <w:r w:rsidR="0050667A" w:rsidRPr="00C70421">
        <w:rPr>
          <w:lang w:val="fr-FR"/>
        </w:rPr>
        <w:t xml:space="preserve"> </w:t>
      </w:r>
      <w:r w:rsidR="009B3423" w:rsidRPr="00C70421">
        <w:rPr>
          <w:lang w:val="fr-FR"/>
        </w:rPr>
        <w:t xml:space="preserve">des </w:t>
      </w:r>
      <w:r w:rsidR="006922AF">
        <w:rPr>
          <w:lang w:val="fr-FR"/>
        </w:rPr>
        <w:t>“</w:t>
      </w:r>
      <w:r w:rsidR="009B3423" w:rsidRPr="00C70421">
        <w:rPr>
          <w:lang w:val="fr-FR"/>
        </w:rPr>
        <w:t xml:space="preserve">demandes de brevet à délivrer </w:t>
      </w:r>
      <w:r w:rsidR="008D094A" w:rsidRPr="00C70421">
        <w:rPr>
          <w:lang w:val="fr-FR"/>
        </w:rPr>
        <w:t>et</w:t>
      </w:r>
      <w:r w:rsidR="009B3423" w:rsidRPr="00C70421">
        <w:rPr>
          <w:lang w:val="fr-FR"/>
        </w:rPr>
        <w:t xml:space="preserve"> </w:t>
      </w:r>
      <w:r w:rsidR="00DD54E2">
        <w:rPr>
          <w:lang w:val="fr-FR"/>
        </w:rPr>
        <w:t>résultat</w:t>
      </w:r>
      <w:r w:rsidR="009B3423" w:rsidRPr="00C70421">
        <w:rPr>
          <w:lang w:val="fr-FR"/>
        </w:rPr>
        <w:t>s des travaux internationaux</w:t>
      </w:r>
      <w:r w:rsidR="006922AF">
        <w:rPr>
          <w:lang w:val="fr-FR"/>
        </w:rPr>
        <w:t xml:space="preserve">” </w:t>
      </w:r>
      <w:r w:rsidR="009B3423" w:rsidRPr="00C70421">
        <w:rPr>
          <w:lang w:val="fr-FR"/>
        </w:rPr>
        <w:t>de bout en bout pour l</w:t>
      </w:r>
      <w:r w:rsidR="00473D89" w:rsidRPr="00C70421">
        <w:rPr>
          <w:lang w:val="fr-FR"/>
        </w:rPr>
        <w:t>’</w:t>
      </w:r>
      <w:r w:rsidR="009B3423" w:rsidRPr="00C70421">
        <w:rPr>
          <w:lang w:val="fr-FR"/>
        </w:rPr>
        <w:t>examen de brevet</w:t>
      </w:r>
      <w:r w:rsidR="008D094A" w:rsidRPr="00C70421">
        <w:rPr>
          <w:lang w:val="fr-FR"/>
        </w:rPr>
        <w:t>s dans les phases</w:t>
      </w:r>
      <w:r w:rsidR="009B3423" w:rsidRPr="00C70421">
        <w:rPr>
          <w:lang w:val="fr-FR"/>
        </w:rPr>
        <w:t xml:space="preserve"> national</w:t>
      </w:r>
      <w:r w:rsidR="008D094A" w:rsidRPr="00C70421">
        <w:rPr>
          <w:lang w:val="fr-FR"/>
        </w:rPr>
        <w:t>e et</w:t>
      </w:r>
      <w:r w:rsidR="009B3423" w:rsidRPr="00C70421">
        <w:rPr>
          <w:lang w:val="fr-FR"/>
        </w:rPr>
        <w:t xml:space="preserve"> international</w:t>
      </w:r>
      <w:r w:rsidR="008D094A" w:rsidRPr="00C70421">
        <w:rPr>
          <w:lang w:val="fr-FR"/>
        </w:rPr>
        <w:t>e</w:t>
      </w:r>
      <w:r w:rsidR="009B3423" w:rsidRPr="00C70421">
        <w:rPr>
          <w:lang w:val="fr-FR"/>
        </w:rPr>
        <w:t xml:space="preserve"> selon la norme</w:t>
      </w:r>
      <w:r w:rsidR="00373B66" w:rsidRPr="00C70421">
        <w:rPr>
          <w:lang w:val="fr-FR"/>
        </w:rPr>
        <w:t> </w:t>
      </w:r>
      <w:r w:rsidR="0050667A" w:rsidRPr="00C70421">
        <w:rPr>
          <w:lang w:val="fr-FR"/>
        </w:rPr>
        <w:t>ISO</w:t>
      </w:r>
      <w:r w:rsidR="00001599">
        <w:rPr>
          <w:lang w:val="fr-FR"/>
        </w:rPr>
        <w:t> </w:t>
      </w:r>
      <w:r w:rsidR="0050667A" w:rsidRPr="00C70421">
        <w:rPr>
          <w:lang w:val="fr-FR"/>
        </w:rPr>
        <w:t xml:space="preserve">9001:2015.  </w:t>
      </w:r>
      <w:r w:rsidR="009B3423" w:rsidRPr="00C70421">
        <w:rPr>
          <w:lang w:val="fr-FR"/>
        </w:rPr>
        <w:t>La première étape de</w:t>
      </w:r>
      <w:r w:rsidR="0050667A" w:rsidRPr="00C70421">
        <w:rPr>
          <w:lang w:val="fr-FR"/>
        </w:rPr>
        <w:t xml:space="preserve"> </w:t>
      </w:r>
      <w:r w:rsidR="009B3423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audit </w:t>
      </w:r>
      <w:r w:rsidR="009B3423" w:rsidRPr="00C70421">
        <w:rPr>
          <w:lang w:val="fr-FR"/>
        </w:rPr>
        <w:t>externe s</w:t>
      </w:r>
      <w:r w:rsidR="00473D89" w:rsidRPr="00C70421">
        <w:rPr>
          <w:lang w:val="fr-FR"/>
        </w:rPr>
        <w:t>’</w:t>
      </w:r>
      <w:r w:rsidR="009B3423" w:rsidRPr="00C70421">
        <w:rPr>
          <w:lang w:val="fr-FR"/>
        </w:rPr>
        <w:t>est achevée le</w:t>
      </w:r>
      <w:r w:rsidR="0050667A" w:rsidRPr="00C70421">
        <w:rPr>
          <w:lang w:val="fr-FR"/>
        </w:rPr>
        <w:t xml:space="preserve"> 9</w:t>
      </w:r>
      <w:r w:rsidR="009B3423" w:rsidRPr="00C70421">
        <w:rPr>
          <w:lang w:val="fr-FR"/>
        </w:rPr>
        <w:t> décembre </w:t>
      </w:r>
      <w:r w:rsidR="0050667A" w:rsidRPr="00C70421">
        <w:rPr>
          <w:lang w:val="fr-FR"/>
        </w:rPr>
        <w:t xml:space="preserve">2016 </w:t>
      </w:r>
      <w:r w:rsidR="009B3423" w:rsidRPr="00C70421">
        <w:rPr>
          <w:lang w:val="fr-FR"/>
        </w:rPr>
        <w:t xml:space="preserve">et la deuxième étape </w:t>
      </w:r>
      <w:r w:rsidR="00DD54E2">
        <w:rPr>
          <w:lang w:val="fr-FR"/>
        </w:rPr>
        <w:t>devrait</w:t>
      </w:r>
      <w:r w:rsidR="009B3423" w:rsidRPr="00C70421">
        <w:rPr>
          <w:lang w:val="fr-FR"/>
        </w:rPr>
        <w:t xml:space="preserve"> se dérouler du</w:t>
      </w:r>
      <w:r w:rsidR="0050667A" w:rsidRPr="00C70421">
        <w:rPr>
          <w:lang w:val="fr-FR"/>
        </w:rPr>
        <w:t xml:space="preserve"> 6</w:t>
      </w:r>
      <w:r w:rsidR="009B3423" w:rsidRPr="00C70421">
        <w:rPr>
          <w:lang w:val="fr-FR"/>
        </w:rPr>
        <w:t xml:space="preserve"> au</w:t>
      </w:r>
      <w:r w:rsidR="00354444" w:rsidRPr="00C70421">
        <w:rPr>
          <w:lang w:val="fr-FR"/>
        </w:rPr>
        <w:t xml:space="preserve"> </w:t>
      </w:r>
      <w:r w:rsidR="0050667A" w:rsidRPr="00C70421">
        <w:rPr>
          <w:lang w:val="fr-FR"/>
        </w:rPr>
        <w:t>8</w:t>
      </w:r>
      <w:r w:rsidR="009B3423" w:rsidRPr="00C70421">
        <w:rPr>
          <w:lang w:val="fr-FR"/>
        </w:rPr>
        <w:t> mars </w:t>
      </w:r>
      <w:r w:rsidR="0050667A" w:rsidRPr="00C70421">
        <w:rPr>
          <w:lang w:val="fr-FR"/>
        </w:rPr>
        <w:t xml:space="preserve">2017.  </w:t>
      </w:r>
      <w:r w:rsidR="009B3423" w:rsidRPr="00C70421">
        <w:rPr>
          <w:lang w:val="fr-FR"/>
        </w:rPr>
        <w:t>C</w:t>
      </w:r>
      <w:r w:rsidR="00473D89" w:rsidRPr="00C70421">
        <w:rPr>
          <w:lang w:val="fr-FR"/>
        </w:rPr>
        <w:t>’</w:t>
      </w:r>
      <w:r w:rsidR="000117E6">
        <w:rPr>
          <w:lang w:val="fr-FR"/>
        </w:rPr>
        <w:t>est la première fois que la d</w:t>
      </w:r>
      <w:r w:rsidR="009B3423" w:rsidRPr="00C70421">
        <w:rPr>
          <w:lang w:val="fr-FR"/>
        </w:rPr>
        <w:t xml:space="preserve">irection des brevets demande une </w:t>
      </w:r>
      <w:r w:rsidR="0050667A" w:rsidRPr="00C70421">
        <w:rPr>
          <w:lang w:val="fr-FR"/>
        </w:rPr>
        <w:t>certification</w:t>
      </w:r>
      <w:r w:rsidR="009B3423" w:rsidRPr="00C70421">
        <w:rPr>
          <w:lang w:val="fr-FR"/>
        </w:rPr>
        <w:t xml:space="preserve"> officiel</w:t>
      </w:r>
      <w:r w:rsidR="00C70421" w:rsidRPr="00C70421">
        <w:rPr>
          <w:lang w:val="fr-FR"/>
        </w:rPr>
        <w:t>le.  La</w:t>
      </w:r>
      <w:r w:rsidR="000117E6">
        <w:rPr>
          <w:lang w:val="fr-FR"/>
        </w:rPr>
        <w:t xml:space="preserve"> d</w:t>
      </w:r>
      <w:r w:rsidR="009B3423" w:rsidRPr="00C70421">
        <w:rPr>
          <w:lang w:val="fr-FR"/>
        </w:rPr>
        <w:t>irection de l</w:t>
      </w:r>
      <w:r w:rsidR="00473D89" w:rsidRPr="00C70421">
        <w:rPr>
          <w:lang w:val="fr-FR"/>
        </w:rPr>
        <w:t>’</w:t>
      </w:r>
      <w:r w:rsidR="009B3423" w:rsidRPr="00C70421">
        <w:rPr>
          <w:lang w:val="fr-FR"/>
        </w:rPr>
        <w:t>OPIC est déterminée à améliorer constamment la qualité de ses procédures et de ses produits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pStyle w:val="SectionHeading"/>
        <w:rPr>
          <w:lang w:val="fr-FR"/>
        </w:rPr>
      </w:pPr>
      <w:r w:rsidRPr="00C70421">
        <w:rPr>
          <w:lang w:val="fr-FR"/>
        </w:rPr>
        <w:t xml:space="preserve">3 – </w:t>
      </w:r>
      <w:r w:rsidR="0085063C">
        <w:rPr>
          <w:lang w:val="fr-FR"/>
        </w:rPr>
        <w:t>C</w:t>
      </w:r>
      <w:r w:rsidR="00114AC9" w:rsidRPr="00C70421">
        <w:rPr>
          <w:lang w:val="fr-FR"/>
        </w:rPr>
        <w:t>hamp d</w:t>
      </w:r>
      <w:r w:rsidR="00473D89" w:rsidRPr="00C70421">
        <w:rPr>
          <w:lang w:val="fr-FR"/>
        </w:rPr>
        <w:t>’</w:t>
      </w:r>
      <w:r w:rsidR="0085063C">
        <w:rPr>
          <w:lang w:val="fr-FR"/>
        </w:rPr>
        <w:t>application visé</w:t>
      </w:r>
    </w:p>
    <w:p w:rsidR="00473D89" w:rsidRPr="00C70421" w:rsidRDefault="00B373A2" w:rsidP="00E93C4E">
      <w:pPr>
        <w:pStyle w:val="Subsection"/>
        <w:rPr>
          <w:lang w:val="fr-FR"/>
        </w:rPr>
      </w:pPr>
      <w:r w:rsidRPr="00C70421">
        <w:rPr>
          <w:lang w:val="fr-FR"/>
        </w:rPr>
        <w:t>Langu</w:t>
      </w:r>
      <w:r w:rsidR="0050667A" w:rsidRPr="00C70421">
        <w:rPr>
          <w:lang w:val="fr-FR"/>
        </w:rPr>
        <w:t xml:space="preserve">es </w:t>
      </w:r>
      <w:r w:rsidRPr="00C70421">
        <w:rPr>
          <w:lang w:val="fr-FR"/>
        </w:rPr>
        <w:t xml:space="preserve">dans lesquelles les services </w:t>
      </w:r>
      <w:r w:rsidR="00114AC9" w:rsidRPr="00C70421">
        <w:rPr>
          <w:lang w:val="fr-FR"/>
        </w:rPr>
        <w:t>seraient proposés</w:t>
      </w:r>
      <w:r w:rsidR="00473D89" w:rsidRPr="00C70421">
        <w:rPr>
          <w:lang w:val="fr-FR"/>
        </w:rPr>
        <w:t> :</w:t>
      </w:r>
    </w:p>
    <w:p w:rsidR="0050667A" w:rsidRPr="00C70421" w:rsidRDefault="00B373A2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offre ses services en anglais et en français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9B3423" w:rsidP="00E93C4E">
      <w:pPr>
        <w:pStyle w:val="Subsection"/>
        <w:rPr>
          <w:lang w:val="fr-FR"/>
        </w:rPr>
      </w:pPr>
      <w:r w:rsidRPr="00C70421">
        <w:rPr>
          <w:lang w:val="fr-FR"/>
        </w:rPr>
        <w:t>État</w:t>
      </w:r>
      <w:r w:rsidR="00114AC9" w:rsidRPr="00C70421">
        <w:rPr>
          <w:lang w:val="fr-FR"/>
        </w:rPr>
        <w:t>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ou</w:t>
      </w:r>
      <w:r w:rsidR="0050667A" w:rsidRPr="00C70421">
        <w:rPr>
          <w:lang w:val="fr-FR"/>
        </w:rPr>
        <w:t xml:space="preserve"> </w:t>
      </w:r>
      <w:r w:rsidR="00114AC9" w:rsidRPr="00C70421">
        <w:rPr>
          <w:lang w:val="fr-FR"/>
        </w:rPr>
        <w:t>offices récepteurs</w:t>
      </w:r>
      <w:r w:rsidR="0050667A" w:rsidRPr="00C70421">
        <w:rPr>
          <w:lang w:val="fr-FR"/>
        </w:rPr>
        <w:t xml:space="preserve"> </w:t>
      </w:r>
      <w:r w:rsidR="00F230C4" w:rsidRPr="00C70421">
        <w:rPr>
          <w:lang w:val="fr-FR"/>
        </w:rPr>
        <w:t xml:space="preserve">pour lesquels </w:t>
      </w:r>
      <w:r w:rsidR="00114AC9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114AC9" w:rsidRPr="00C70421">
        <w:rPr>
          <w:lang w:val="fr-FR"/>
        </w:rPr>
        <w:t>administration serait</w:t>
      </w:r>
      <w:r w:rsidR="00F230C4" w:rsidRPr="00C70421">
        <w:rPr>
          <w:lang w:val="fr-FR"/>
        </w:rPr>
        <w:t xml:space="preserve"> compétente</w:t>
      </w:r>
      <w:r w:rsidR="00473D89" w:rsidRPr="00C70421">
        <w:rPr>
          <w:lang w:val="fr-FR"/>
        </w:rPr>
        <w:t> :</w:t>
      </w:r>
    </w:p>
    <w:p w:rsidR="00473D89" w:rsidRPr="00C70421" w:rsidRDefault="00114AC9" w:rsidP="00E93C4E">
      <w:pPr>
        <w:rPr>
          <w:lang w:val="fr-FR"/>
        </w:rPr>
      </w:pPr>
      <w:r w:rsidRPr="00C70421">
        <w:rPr>
          <w:lang w:val="fr-FR"/>
        </w:rPr>
        <w:t xml:space="preserve">États pour </w:t>
      </w:r>
      <w:r w:rsidR="008D094A" w:rsidRPr="00C70421">
        <w:rPr>
          <w:lang w:val="fr-FR"/>
        </w:rPr>
        <w:t>l</w:t>
      </w:r>
      <w:r w:rsidRPr="00C70421">
        <w:rPr>
          <w:lang w:val="fr-FR"/>
        </w:rPr>
        <w:t>e</w:t>
      </w:r>
      <w:r w:rsidR="007C4699" w:rsidRPr="00C70421">
        <w:rPr>
          <w:lang w:val="fr-FR"/>
        </w:rPr>
        <w:t>squels l</w:t>
      </w:r>
      <w:r w:rsidR="00473D89" w:rsidRPr="00C70421">
        <w:rPr>
          <w:lang w:val="fr-FR"/>
        </w:rPr>
        <w:t>’</w:t>
      </w:r>
      <w:r w:rsidR="007C4699" w:rsidRPr="00C70421">
        <w:rPr>
          <w:lang w:val="fr-FR"/>
        </w:rPr>
        <w:t>OPIC</w:t>
      </w:r>
      <w:r w:rsidRPr="00C70421">
        <w:rPr>
          <w:lang w:val="fr-FR"/>
        </w:rPr>
        <w:t xml:space="preserve"> </w:t>
      </w:r>
      <w:r w:rsidR="008D094A" w:rsidRPr="00C70421">
        <w:rPr>
          <w:lang w:val="fr-FR"/>
        </w:rPr>
        <w:t>est compétent</w:t>
      </w:r>
      <w:r w:rsidR="00473D89" w:rsidRPr="00C70421">
        <w:rPr>
          <w:lang w:val="fr-FR"/>
        </w:rPr>
        <w:t> :</w:t>
      </w:r>
    </w:p>
    <w:p w:rsidR="00473D89" w:rsidRPr="00F46AD3" w:rsidRDefault="006A6C1D" w:rsidP="00E93C4E">
      <w:pPr>
        <w:rPr>
          <w:lang w:val="es-ES"/>
        </w:rPr>
      </w:pPr>
      <w:r w:rsidRPr="00F46AD3">
        <w:rPr>
          <w:lang w:val="es-ES"/>
        </w:rPr>
        <w:t>–</w:t>
      </w:r>
      <w:r w:rsidRPr="00F46AD3">
        <w:rPr>
          <w:lang w:val="es-ES"/>
        </w:rPr>
        <w:tab/>
      </w:r>
      <w:r w:rsidR="00B373A2" w:rsidRPr="00F46AD3">
        <w:rPr>
          <w:lang w:val="es-ES"/>
        </w:rPr>
        <w:t>Antigua</w:t>
      </w:r>
      <w:r w:rsidR="00001599" w:rsidRPr="00F46AD3">
        <w:rPr>
          <w:lang w:val="es-ES"/>
        </w:rPr>
        <w:noBreakHyphen/>
      </w:r>
      <w:r w:rsidR="00B373A2" w:rsidRPr="00F46AD3">
        <w:rPr>
          <w:lang w:val="es-ES"/>
        </w:rPr>
        <w:t>et</w:t>
      </w:r>
      <w:r w:rsidR="00001599" w:rsidRPr="00F46AD3">
        <w:rPr>
          <w:lang w:val="es-ES"/>
        </w:rPr>
        <w:noBreakHyphen/>
      </w:r>
      <w:r w:rsidR="0050667A" w:rsidRPr="00F46AD3">
        <w:rPr>
          <w:lang w:val="es-ES"/>
        </w:rPr>
        <w:t>Barbuda;</w:t>
      </w:r>
    </w:p>
    <w:p w:rsidR="0050667A" w:rsidRPr="00F46AD3" w:rsidRDefault="006A6C1D" w:rsidP="00E93C4E">
      <w:pPr>
        <w:rPr>
          <w:lang w:val="es-ES"/>
        </w:rPr>
      </w:pPr>
      <w:r w:rsidRPr="00F46AD3">
        <w:rPr>
          <w:lang w:val="es-ES"/>
        </w:rPr>
        <w:t>–</w:t>
      </w:r>
      <w:r w:rsidRPr="00F46AD3">
        <w:rPr>
          <w:lang w:val="es-ES"/>
        </w:rPr>
        <w:tab/>
      </w:r>
      <w:proofErr w:type="spellStart"/>
      <w:r w:rsidR="0050667A" w:rsidRPr="00F46AD3">
        <w:rPr>
          <w:lang w:val="es-ES"/>
        </w:rPr>
        <w:t>Belize</w:t>
      </w:r>
      <w:proofErr w:type="spellEnd"/>
      <w:r w:rsidR="0050667A" w:rsidRPr="00F46AD3">
        <w:rPr>
          <w:lang w:val="es-ES"/>
        </w:rPr>
        <w:t>;</w:t>
      </w:r>
    </w:p>
    <w:p w:rsidR="00473D89" w:rsidRPr="00F46AD3" w:rsidRDefault="006A6C1D" w:rsidP="00E93C4E">
      <w:pPr>
        <w:rPr>
          <w:lang w:val="es-ES"/>
        </w:rPr>
      </w:pPr>
      <w:r w:rsidRPr="00F46AD3">
        <w:rPr>
          <w:lang w:val="es-ES"/>
        </w:rPr>
        <w:t>–</w:t>
      </w:r>
      <w:r w:rsidRPr="00F46AD3">
        <w:rPr>
          <w:lang w:val="es-ES"/>
        </w:rPr>
        <w:tab/>
      </w:r>
      <w:proofErr w:type="spellStart"/>
      <w:r w:rsidR="0050667A" w:rsidRPr="00F46AD3">
        <w:rPr>
          <w:lang w:val="es-ES"/>
        </w:rPr>
        <w:t>Canada</w:t>
      </w:r>
      <w:proofErr w:type="spellEnd"/>
      <w:r w:rsidR="0050667A" w:rsidRPr="00F46AD3">
        <w:rPr>
          <w:lang w:val="es-ES"/>
        </w:rPr>
        <w:t>;</w:t>
      </w:r>
    </w:p>
    <w:p w:rsidR="00473D89" w:rsidRPr="00C70421" w:rsidRDefault="006A6C1D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373A2" w:rsidRPr="00C70421">
        <w:rPr>
          <w:lang w:val="fr-FR"/>
        </w:rPr>
        <w:t>Nigé</w:t>
      </w:r>
      <w:r w:rsidR="0050667A" w:rsidRPr="00C70421">
        <w:rPr>
          <w:lang w:val="fr-FR"/>
        </w:rPr>
        <w:t>ria;</w:t>
      </w:r>
    </w:p>
    <w:p w:rsidR="00473D89" w:rsidRPr="00C70421" w:rsidRDefault="006A6C1D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B373A2" w:rsidRPr="00C70421">
        <w:rPr>
          <w:lang w:val="fr-FR"/>
        </w:rPr>
        <w:t>Saint</w:t>
      </w:r>
      <w:r w:rsidR="00001599">
        <w:rPr>
          <w:lang w:val="fr-FR"/>
        </w:rPr>
        <w:noBreakHyphen/>
      </w:r>
      <w:r w:rsidR="0050667A" w:rsidRPr="00C70421">
        <w:rPr>
          <w:lang w:val="fr-FR"/>
        </w:rPr>
        <w:t>Vincent</w:t>
      </w:r>
      <w:r w:rsidR="00001599">
        <w:rPr>
          <w:lang w:val="fr-FR"/>
        </w:rPr>
        <w:noBreakHyphen/>
      </w:r>
      <w:r w:rsidR="00B373A2" w:rsidRPr="00C70421">
        <w:rPr>
          <w:lang w:val="fr-FR"/>
        </w:rPr>
        <w:t>et</w:t>
      </w:r>
      <w:r w:rsidR="00001599">
        <w:rPr>
          <w:lang w:val="fr-FR"/>
        </w:rPr>
        <w:noBreakHyphen/>
      </w:r>
      <w:r w:rsidR="00B373A2" w:rsidRPr="00C70421">
        <w:rPr>
          <w:lang w:val="fr-FR"/>
        </w:rPr>
        <w:t>les</w:t>
      </w:r>
      <w:r w:rsidR="00373B66" w:rsidRPr="00C70421">
        <w:rPr>
          <w:lang w:val="fr-FR"/>
        </w:rPr>
        <w:t> </w:t>
      </w:r>
      <w:r w:rsidR="0050667A" w:rsidRPr="00C70421">
        <w:rPr>
          <w:lang w:val="fr-FR"/>
        </w:rPr>
        <w:t xml:space="preserve">Grenadines; </w:t>
      </w:r>
      <w:r w:rsidR="00B373A2" w:rsidRPr="00C70421">
        <w:rPr>
          <w:lang w:val="fr-FR"/>
        </w:rPr>
        <w:t xml:space="preserve"> et</w:t>
      </w:r>
    </w:p>
    <w:p w:rsidR="0050667A" w:rsidRPr="00C70421" w:rsidRDefault="006A6C1D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473D89" w:rsidRPr="00C70421">
        <w:rPr>
          <w:lang w:val="fr-FR"/>
        </w:rPr>
        <w:t>Arabie saoudite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3D4AAA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offre ses </w:t>
      </w:r>
      <w:r w:rsidR="0050667A" w:rsidRPr="00C70421">
        <w:rPr>
          <w:lang w:val="fr-FR"/>
        </w:rPr>
        <w:t xml:space="preserve">services </w:t>
      </w:r>
      <w:r w:rsidRPr="00C70421">
        <w:rPr>
          <w:lang w:val="fr-FR"/>
        </w:rPr>
        <w:t>à tout</w:t>
      </w:r>
      <w:r w:rsidR="0050667A" w:rsidRPr="00C70421">
        <w:rPr>
          <w:lang w:val="fr-FR"/>
        </w:rPr>
        <w:t xml:space="preserve"> </w:t>
      </w:r>
      <w:r w:rsidR="00473D89" w:rsidRPr="00C70421">
        <w:rPr>
          <w:lang w:val="fr-FR"/>
        </w:rPr>
        <w:t>État</w:t>
      </w:r>
      <w:r w:rsidRPr="00C70421">
        <w:rPr>
          <w:lang w:val="fr-FR"/>
        </w:rPr>
        <w:t xml:space="preserve"> considéré comme un pays en développement selon la pratique établie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Assemblée générale des </w:t>
      </w:r>
      <w:r w:rsidR="00473D89" w:rsidRPr="00C70421">
        <w:rPr>
          <w:lang w:val="fr-FR"/>
        </w:rPr>
        <w:t>Nations Unies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1A4700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est également prête à examiner les demandes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autres </w:t>
      </w:r>
      <w:r w:rsidR="007C4699" w:rsidRPr="00C70421">
        <w:rPr>
          <w:lang w:val="fr-FR"/>
        </w:rPr>
        <w:t>offices récepteurs</w:t>
      </w:r>
      <w:r w:rsidRPr="00C70421">
        <w:rPr>
          <w:lang w:val="fr-FR"/>
        </w:rPr>
        <w:t xml:space="preserve"> qui souhaitent </w:t>
      </w:r>
      <w:r w:rsidR="00905F21" w:rsidRPr="00C70421">
        <w:rPr>
          <w:lang w:val="fr-FR"/>
        </w:rPr>
        <w:t>bénéficier des services de</w:t>
      </w:r>
      <w:r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8A31F7" w:rsidRPr="00C70421">
        <w:rPr>
          <w:lang w:val="fr-FR"/>
        </w:rPr>
        <w:t xml:space="preserve"> </w:t>
      </w:r>
      <w:r w:rsidR="00905F21" w:rsidRPr="00C70421">
        <w:rPr>
          <w:lang w:val="fr-FR"/>
        </w:rPr>
        <w:t xml:space="preserve">fournis </w:t>
      </w:r>
      <w:r w:rsidRPr="00C70421">
        <w:rPr>
          <w:lang w:val="fr-FR"/>
        </w:rPr>
        <w:t>en français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rFonts w:ascii="Century Gothic" w:hAnsi="Century Gothic"/>
          <w:sz w:val="20"/>
          <w:lang w:val="fr-FR"/>
        </w:rPr>
      </w:pPr>
    </w:p>
    <w:p w:rsidR="0050667A" w:rsidRPr="00C70421" w:rsidRDefault="0050667A" w:rsidP="00E93C4E">
      <w:pPr>
        <w:pStyle w:val="Subsection"/>
        <w:rPr>
          <w:lang w:val="fr-FR"/>
        </w:rPr>
      </w:pPr>
      <w:r w:rsidRPr="00C70421">
        <w:rPr>
          <w:lang w:val="fr-FR"/>
        </w:rPr>
        <w:t xml:space="preserve">Limitations </w:t>
      </w:r>
      <w:r w:rsidR="00114AC9" w:rsidRPr="00C70421">
        <w:rPr>
          <w:lang w:val="fr-FR"/>
        </w:rPr>
        <w:t>du champ d</w:t>
      </w:r>
      <w:r w:rsidR="00473D89" w:rsidRPr="00C70421">
        <w:rPr>
          <w:lang w:val="fr-FR"/>
        </w:rPr>
        <w:t>’</w:t>
      </w:r>
      <w:r w:rsidR="00114AC9" w:rsidRPr="00C70421">
        <w:rPr>
          <w:lang w:val="fr-FR"/>
        </w:rPr>
        <w:t>application</w:t>
      </w:r>
      <w:r w:rsidR="00473D89" w:rsidRPr="00C70421">
        <w:rPr>
          <w:lang w:val="fr-FR"/>
        </w:rPr>
        <w:t> :</w:t>
      </w:r>
    </w:p>
    <w:p w:rsidR="0050667A" w:rsidRPr="00C70421" w:rsidRDefault="008A31F7" w:rsidP="00E93C4E">
      <w:pPr>
        <w:rPr>
          <w:lang w:val="fr-FR"/>
        </w:rPr>
      </w:pPr>
      <w:r w:rsidRPr="00C70421">
        <w:rPr>
          <w:lang w:val="fr-FR"/>
        </w:rPr>
        <w:t>Les activités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ne sont pas limitées sauf pour les États pour</w:t>
      </w:r>
      <w:r w:rsidR="0050667A" w:rsidRPr="00C70421">
        <w:rPr>
          <w:lang w:val="fr-FR"/>
        </w:rPr>
        <w:t xml:space="preserve"> </w:t>
      </w:r>
      <w:r w:rsidR="00905F21" w:rsidRPr="00C70421">
        <w:rPr>
          <w:lang w:val="fr-FR"/>
        </w:rPr>
        <w:t>lesquel</w:t>
      </w:r>
      <w:r w:rsidRPr="00C70421">
        <w:rPr>
          <w:lang w:val="fr-FR"/>
        </w:rPr>
        <w:t>s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office </w:t>
      </w:r>
      <w:r w:rsidR="007C4699" w:rsidRPr="00C70421">
        <w:rPr>
          <w:lang w:val="fr-FR"/>
        </w:rPr>
        <w:t>est compétent</w:t>
      </w:r>
      <w:r w:rsidR="00905F21" w:rsidRPr="00C70421">
        <w:rPr>
          <w:lang w:val="fr-FR"/>
        </w:rPr>
        <w:t xml:space="preserve"> et auxquels il a souhaité offrir ses services</w:t>
      </w:r>
      <w:r w:rsidR="0050667A" w:rsidRPr="00C70421">
        <w:rPr>
          <w:lang w:val="fr-FR"/>
        </w:rPr>
        <w:t>.</w:t>
      </w:r>
    </w:p>
    <w:p w:rsidR="00473D89" w:rsidRPr="00C70421" w:rsidRDefault="0050667A" w:rsidP="00E93C4E">
      <w:pPr>
        <w:pStyle w:val="SectionHeading"/>
        <w:rPr>
          <w:lang w:val="fr-FR"/>
        </w:rPr>
      </w:pPr>
      <w:r w:rsidRPr="00C70421">
        <w:rPr>
          <w:lang w:val="fr-FR"/>
        </w:rPr>
        <w:lastRenderedPageBreak/>
        <w:t xml:space="preserve">4 – </w:t>
      </w:r>
      <w:r w:rsidR="00114AC9" w:rsidRPr="00C70421">
        <w:rPr>
          <w:lang w:val="fr-FR"/>
        </w:rPr>
        <w:t>Énonc</w:t>
      </w:r>
      <w:r w:rsidR="00DD54E2">
        <w:rPr>
          <w:lang w:val="fr-FR"/>
        </w:rPr>
        <w:t>é</w:t>
      </w:r>
      <w:r w:rsidR="00114AC9" w:rsidRPr="00C70421">
        <w:rPr>
          <w:lang w:val="fr-FR"/>
        </w:rPr>
        <w:t xml:space="preserve"> des</w:t>
      </w:r>
      <w:r w:rsidR="0085063C">
        <w:rPr>
          <w:lang w:val="fr-FR"/>
        </w:rPr>
        <w:t xml:space="preserve"> m</w:t>
      </w:r>
      <w:r w:rsidRPr="00C70421">
        <w:rPr>
          <w:lang w:val="fr-FR"/>
        </w:rPr>
        <w:t>otivation</w:t>
      </w:r>
      <w:r w:rsidR="00114AC9" w:rsidRPr="00C70421">
        <w:rPr>
          <w:lang w:val="fr-FR"/>
        </w:rPr>
        <w:t>s</w:t>
      </w:r>
    </w:p>
    <w:p w:rsidR="0050667A" w:rsidRPr="00C70421" w:rsidRDefault="00147D61" w:rsidP="00E93C4E">
      <w:pPr>
        <w:rPr>
          <w:lang w:val="fr-FR"/>
        </w:rPr>
      </w:pPr>
      <w:r w:rsidRPr="00C70421">
        <w:rPr>
          <w:lang w:val="fr-FR"/>
        </w:rPr>
        <w:t>En tant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préliminaire international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fournit à ses groupes de clients un meilleur accès au système international des breve</w:t>
      </w:r>
      <w:r w:rsidR="00C70421" w:rsidRPr="00C70421">
        <w:rPr>
          <w:lang w:val="fr-FR"/>
        </w:rPr>
        <w:t>ts.  Il</w:t>
      </w:r>
      <w:r w:rsidRPr="00C70421">
        <w:rPr>
          <w:lang w:val="fr-FR"/>
        </w:rPr>
        <w:t xml:space="preserve"> offre aux déposants canadiens des services personnalisés dans un office local et avec un personnel que le client conna</w:t>
      </w:r>
      <w:r w:rsidR="006922AF">
        <w:rPr>
          <w:lang w:val="fr-FR"/>
        </w:rPr>
        <w:t>î</w:t>
      </w:r>
      <w:r w:rsidRPr="00C70421">
        <w:rPr>
          <w:lang w:val="fr-FR"/>
        </w:rPr>
        <w:t>t et qui saura répondre à ses demandes dans la langue officielle de son cho</w:t>
      </w:r>
      <w:r w:rsidR="00C70421" w:rsidRPr="00C70421">
        <w:rPr>
          <w:lang w:val="fr-FR"/>
        </w:rPr>
        <w:t>ix.  So</w:t>
      </w:r>
      <w:r w:rsidR="007C02C3" w:rsidRPr="00C70421">
        <w:rPr>
          <w:lang w:val="fr-FR"/>
        </w:rPr>
        <w:t>n emplacement au Canada permet aux</w:t>
      </w:r>
      <w:r w:rsidRPr="00C70421">
        <w:rPr>
          <w:lang w:val="fr-FR"/>
        </w:rPr>
        <w:t xml:space="preserve"> déposants</w:t>
      </w:r>
      <w:r w:rsidR="0050667A" w:rsidRPr="00C70421">
        <w:rPr>
          <w:lang w:val="fr-FR"/>
        </w:rPr>
        <w:t xml:space="preserve"> </w:t>
      </w:r>
      <w:r w:rsidR="009257E0" w:rsidRPr="00C70421">
        <w:rPr>
          <w:lang w:val="fr-FR"/>
        </w:rPr>
        <w:t xml:space="preserve">canadiens </w:t>
      </w:r>
      <w:r w:rsidR="007C02C3" w:rsidRPr="00C70421">
        <w:rPr>
          <w:lang w:val="fr-FR"/>
        </w:rPr>
        <w:t>de</w:t>
      </w:r>
      <w:r w:rsidR="009257E0" w:rsidRPr="00C70421">
        <w:rPr>
          <w:lang w:val="fr-FR"/>
        </w:rPr>
        <w:t xml:space="preserve"> régler leurs frais dans la devise canadienne</w:t>
      </w:r>
      <w:r w:rsidR="0050667A" w:rsidRPr="00C70421">
        <w:rPr>
          <w:lang w:val="fr-FR"/>
        </w:rPr>
        <w:t xml:space="preserve"> </w:t>
      </w:r>
      <w:r w:rsidR="00712043" w:rsidRPr="00C70421">
        <w:rPr>
          <w:lang w:val="fr-FR"/>
        </w:rPr>
        <w:t xml:space="preserve">et </w:t>
      </w:r>
      <w:r w:rsidR="007C02C3" w:rsidRPr="00C70421">
        <w:rPr>
          <w:lang w:val="fr-FR"/>
        </w:rPr>
        <w:t xml:space="preserve">de </w:t>
      </w:r>
      <w:r w:rsidR="00712043" w:rsidRPr="00C70421">
        <w:rPr>
          <w:lang w:val="fr-FR"/>
        </w:rPr>
        <w:t xml:space="preserve">travailler dans les </w:t>
      </w:r>
      <w:r w:rsidR="007C02C3" w:rsidRPr="00C70421">
        <w:rPr>
          <w:lang w:val="fr-FR"/>
        </w:rPr>
        <w:t>limites</w:t>
      </w:r>
      <w:r w:rsidR="00712043"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="00712043" w:rsidRPr="00C70421">
        <w:rPr>
          <w:lang w:val="fr-FR"/>
        </w:rPr>
        <w:t>un fuseau horaire</w:t>
      </w:r>
      <w:r w:rsidR="0050667A" w:rsidRPr="00C70421">
        <w:rPr>
          <w:lang w:val="fr-FR"/>
        </w:rPr>
        <w:t xml:space="preserve"> </w:t>
      </w:r>
      <w:r w:rsidR="00712043" w:rsidRPr="00C70421">
        <w:rPr>
          <w:lang w:val="fr-FR"/>
        </w:rPr>
        <w:t>con</w:t>
      </w:r>
      <w:r w:rsidR="00C70421" w:rsidRPr="00C70421">
        <w:rPr>
          <w:lang w:val="fr-FR"/>
        </w:rPr>
        <w:t>nu.  Ce</w:t>
      </w:r>
      <w:r w:rsidR="00712043" w:rsidRPr="00C70421">
        <w:rPr>
          <w:lang w:val="fr-FR"/>
        </w:rPr>
        <w:t xml:space="preserve">la facilite le </w:t>
      </w:r>
      <w:r w:rsidR="00556E87" w:rsidRPr="00C70421">
        <w:rPr>
          <w:lang w:val="fr-FR"/>
        </w:rPr>
        <w:t>dépôt</w:t>
      </w:r>
      <w:r w:rsidR="00712043" w:rsidRPr="00C70421">
        <w:rPr>
          <w:lang w:val="fr-FR"/>
        </w:rPr>
        <w:t xml:space="preserve"> des demandes internationales selon</w:t>
      </w:r>
      <w:r w:rsidR="00473D89" w:rsidRPr="00C70421">
        <w:rPr>
          <w:lang w:val="fr-FR"/>
        </w:rPr>
        <w:t xml:space="preserve"> le PCT</w:t>
      </w:r>
      <w:r w:rsidR="0050667A" w:rsidRPr="00C70421">
        <w:rPr>
          <w:lang w:val="fr-FR"/>
        </w:rPr>
        <w:t xml:space="preserve"> </w:t>
      </w:r>
      <w:r w:rsidR="00556E87" w:rsidRPr="00C70421">
        <w:rPr>
          <w:lang w:val="fr-FR"/>
        </w:rPr>
        <w:t>de la part des</w:t>
      </w:r>
      <w:r w:rsidR="00712043" w:rsidRPr="00C70421">
        <w:rPr>
          <w:lang w:val="fr-FR"/>
        </w:rPr>
        <w:t xml:space="preserve"> déposants canadiens</w:t>
      </w:r>
      <w:r w:rsidR="0050667A" w:rsidRPr="00C70421">
        <w:rPr>
          <w:lang w:val="fr-FR"/>
        </w:rPr>
        <w:t xml:space="preserve">, </w:t>
      </w:r>
      <w:r w:rsidR="00712043" w:rsidRPr="00C70421">
        <w:rPr>
          <w:lang w:val="fr-FR"/>
        </w:rPr>
        <w:t>en leur permettant d</w:t>
      </w:r>
      <w:r w:rsidR="00473D89" w:rsidRPr="00C70421">
        <w:rPr>
          <w:lang w:val="fr-FR"/>
        </w:rPr>
        <w:t>’</w:t>
      </w:r>
      <w:r w:rsidR="00712043" w:rsidRPr="00C70421">
        <w:rPr>
          <w:lang w:val="fr-FR"/>
        </w:rPr>
        <w:t>être plus productifs</w:t>
      </w:r>
      <w:r w:rsidR="0050667A" w:rsidRPr="00C70421">
        <w:rPr>
          <w:lang w:val="fr-FR"/>
        </w:rPr>
        <w:t xml:space="preserve"> </w:t>
      </w:r>
      <w:r w:rsidR="00712043" w:rsidRPr="00C70421">
        <w:rPr>
          <w:lang w:val="fr-FR"/>
        </w:rPr>
        <w:t xml:space="preserve">et </w:t>
      </w:r>
      <w:r w:rsidR="00556E87" w:rsidRPr="00C70421">
        <w:rPr>
          <w:lang w:val="fr-FR"/>
        </w:rPr>
        <w:t>concurrentiels</w:t>
      </w:r>
      <w:r w:rsidR="0050667A" w:rsidRPr="00C70421">
        <w:rPr>
          <w:lang w:val="fr-FR"/>
        </w:rPr>
        <w:t xml:space="preserve"> </w:t>
      </w:r>
      <w:r w:rsidR="00712043" w:rsidRPr="00C70421">
        <w:rPr>
          <w:lang w:val="fr-FR"/>
        </w:rPr>
        <w:t xml:space="preserve">dans </w:t>
      </w:r>
      <w:r w:rsidR="007C02C3" w:rsidRPr="00C70421">
        <w:rPr>
          <w:lang w:val="fr-FR"/>
        </w:rPr>
        <w:t>le cadre d</w:t>
      </w:r>
      <w:r w:rsidR="00473D89" w:rsidRPr="00C70421">
        <w:rPr>
          <w:lang w:val="fr-FR"/>
        </w:rPr>
        <w:t>’</w:t>
      </w:r>
      <w:r w:rsidR="007C02C3" w:rsidRPr="00C70421">
        <w:rPr>
          <w:lang w:val="fr-FR"/>
        </w:rPr>
        <w:t xml:space="preserve">une </w:t>
      </w:r>
      <w:r w:rsidR="00712043" w:rsidRPr="00C70421">
        <w:rPr>
          <w:lang w:val="fr-FR"/>
        </w:rPr>
        <w:t>économie fondée sur le savo</w:t>
      </w:r>
      <w:r w:rsidR="00C70421" w:rsidRPr="00C70421">
        <w:rPr>
          <w:lang w:val="fr-FR"/>
        </w:rPr>
        <w:t>ir.  Av</w:t>
      </w:r>
      <w:r w:rsidR="007C02C3" w:rsidRPr="00C70421">
        <w:rPr>
          <w:lang w:val="fr-FR"/>
        </w:rPr>
        <w:t>ec son</w:t>
      </w:r>
      <w:r w:rsidR="00712043" w:rsidRPr="00C70421">
        <w:rPr>
          <w:lang w:val="fr-FR"/>
        </w:rPr>
        <w:t xml:space="preserve"> statut d</w:t>
      </w:r>
      <w:r w:rsidR="00473D89" w:rsidRPr="00C70421">
        <w:rPr>
          <w:lang w:val="fr-FR"/>
        </w:rPr>
        <w:t>’</w:t>
      </w:r>
      <w:r w:rsidR="00712043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712043" w:rsidRPr="00C70421">
        <w:rPr>
          <w:lang w:val="fr-FR"/>
        </w:rPr>
        <w:t>ex</w:t>
      </w:r>
      <w:r w:rsidR="00D31A73" w:rsidRPr="00C70421">
        <w:rPr>
          <w:lang w:val="fr-FR"/>
        </w:rPr>
        <w:t>amen préliminaire international</w:t>
      </w:r>
      <w:r w:rsidR="007C02C3" w:rsidRPr="00C70421">
        <w:rPr>
          <w:lang w:val="fr-FR"/>
        </w:rPr>
        <w:t>,</w:t>
      </w:r>
      <w:r w:rsidR="00712043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712043" w:rsidRPr="00C70421">
        <w:rPr>
          <w:lang w:val="fr-FR"/>
        </w:rPr>
        <w:t xml:space="preserve">OPIC </w:t>
      </w:r>
      <w:r w:rsidR="007C02C3" w:rsidRPr="00C70421">
        <w:rPr>
          <w:lang w:val="fr-FR"/>
        </w:rPr>
        <w:t>confirme sa</w:t>
      </w:r>
      <w:r w:rsidR="00556E87" w:rsidRPr="00C70421">
        <w:rPr>
          <w:lang w:val="fr-FR"/>
        </w:rPr>
        <w:t xml:space="preserve"> détermination</w:t>
      </w:r>
      <w:r w:rsidR="00712043" w:rsidRPr="00C70421">
        <w:rPr>
          <w:lang w:val="fr-FR"/>
        </w:rPr>
        <w:t xml:space="preserve"> </w:t>
      </w:r>
      <w:r w:rsidR="00556E87" w:rsidRPr="00C70421">
        <w:rPr>
          <w:lang w:val="fr-FR"/>
        </w:rPr>
        <w:t>à poursuivre la recherche de</w:t>
      </w:r>
      <w:r w:rsidR="00712043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excellence </w:t>
      </w:r>
      <w:r w:rsidR="00556E87" w:rsidRPr="00C70421">
        <w:rPr>
          <w:lang w:val="fr-FR"/>
        </w:rPr>
        <w:t>dans le domaine des</w:t>
      </w:r>
      <w:r w:rsidR="00712043" w:rsidRPr="00C70421">
        <w:rPr>
          <w:lang w:val="fr-FR"/>
        </w:rPr>
        <w:t xml:space="preserve"> relation</w:t>
      </w:r>
      <w:r w:rsidR="00556E87" w:rsidRPr="00C70421">
        <w:rPr>
          <w:lang w:val="fr-FR"/>
        </w:rPr>
        <w:t>s avec le</w:t>
      </w:r>
      <w:r w:rsidR="00712043" w:rsidRPr="00C70421">
        <w:rPr>
          <w:lang w:val="fr-FR"/>
        </w:rPr>
        <w:t xml:space="preserve"> client et</w:t>
      </w:r>
      <w:r w:rsidR="00556E87" w:rsidRPr="00C70421">
        <w:rPr>
          <w:lang w:val="fr-FR"/>
        </w:rPr>
        <w:t xml:space="preserve"> dans celui des prestations</w:t>
      </w:r>
      <w:r w:rsidR="00712043" w:rsidRPr="00C70421">
        <w:rPr>
          <w:lang w:val="fr-FR"/>
        </w:rPr>
        <w:t xml:space="preserve"> de services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80665E" w:rsidP="00E93C4E">
      <w:pPr>
        <w:rPr>
          <w:lang w:val="fr-FR"/>
        </w:rPr>
      </w:pPr>
      <w:r w:rsidRPr="00C70421">
        <w:rPr>
          <w:lang w:val="fr-FR"/>
        </w:rPr>
        <w:t xml:space="preserve">De façon plus large, </w:t>
      </w:r>
      <w:r w:rsidR="007D54F6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D54F6" w:rsidRPr="00C70421">
        <w:rPr>
          <w:lang w:val="fr-FR"/>
        </w:rPr>
        <w:t>emplacement</w:t>
      </w:r>
      <w:r w:rsidRPr="00C70421">
        <w:rPr>
          <w:lang w:val="fr-FR"/>
        </w:rPr>
        <w:t xml:space="preserve"> géographique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D31A73" w:rsidRPr="00C70421">
        <w:rPr>
          <w:lang w:val="fr-FR"/>
        </w:rPr>
        <w:t xml:space="preserve"> agissant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en tant qu</w:t>
      </w:r>
      <w:r w:rsidR="00473D89" w:rsidRPr="00C70421">
        <w:rPr>
          <w:lang w:val="fr-FR"/>
        </w:rPr>
        <w:t>’</w:t>
      </w:r>
      <w:r w:rsidR="007C74E3" w:rsidRPr="00C70421">
        <w:rPr>
          <w:lang w:val="fr-FR"/>
        </w:rPr>
        <w:t>administration</w:t>
      </w:r>
      <w:r w:rsidRPr="00C70421">
        <w:rPr>
          <w:lang w:val="fr-FR"/>
        </w:rPr>
        <w:t xml:space="preserve"> international</w:t>
      </w:r>
      <w:r w:rsidR="007C74E3" w:rsidRPr="00C70421">
        <w:rPr>
          <w:lang w:val="fr-FR"/>
        </w:rPr>
        <w:t>e</w:t>
      </w:r>
      <w:r w:rsidRPr="00C70421">
        <w:rPr>
          <w:lang w:val="fr-FR"/>
        </w:rPr>
        <w:t xml:space="preserve"> de taille moyenne dans un contexte juridique </w:t>
      </w:r>
      <w:r w:rsidR="00D31A73" w:rsidRPr="00C70421">
        <w:rPr>
          <w:lang w:val="fr-FR"/>
        </w:rPr>
        <w:t>fondé sur le droit anglais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permet de combler </w:t>
      </w:r>
      <w:r w:rsidR="00DD54E2">
        <w:rPr>
          <w:lang w:val="fr-FR"/>
        </w:rPr>
        <w:t>une lacune</w:t>
      </w:r>
      <w:r w:rsidRPr="00C70421">
        <w:rPr>
          <w:lang w:val="fr-FR"/>
        </w:rPr>
        <w:t xml:space="preserve"> en Amérique du Nord et du Sud en offrant un appui sur mesure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aux offices de ces régions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en particulier à ceux pour lesquels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agit en tant qu</w:t>
      </w:r>
      <w:r w:rsidR="00473D89" w:rsidRPr="00C70421">
        <w:rPr>
          <w:lang w:val="fr-FR"/>
        </w:rPr>
        <w:t>’</w:t>
      </w:r>
      <w:r w:rsidR="007C74E3" w:rsidRPr="00C70421">
        <w:rPr>
          <w:lang w:val="fr-FR"/>
        </w:rPr>
        <w:t>administration</w:t>
      </w:r>
      <w:r w:rsidRPr="00C70421">
        <w:rPr>
          <w:lang w:val="fr-FR"/>
        </w:rPr>
        <w:t xml:space="preserve"> international</w:t>
      </w:r>
      <w:r w:rsidR="007C74E3" w:rsidRPr="00C70421">
        <w:rPr>
          <w:lang w:val="fr-FR"/>
        </w:rPr>
        <w:t>e</w:t>
      </w:r>
      <w:r w:rsidRPr="00C70421">
        <w:rPr>
          <w:lang w:val="fr-FR"/>
        </w:rPr>
        <w:t xml:space="preserve"> compétent</w:t>
      </w:r>
      <w:r w:rsidR="007C02C3" w:rsidRPr="00C70421">
        <w:rPr>
          <w:lang w:val="fr-FR"/>
        </w:rPr>
        <w:t>e</w:t>
      </w:r>
      <w:r w:rsidR="0050667A" w:rsidRPr="00C70421">
        <w:rPr>
          <w:lang w:val="fr-FR"/>
        </w:rPr>
        <w:t xml:space="preserve">. 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a offert un appui technique à la plupart des pays des Caraïbes au moyen de nombreux séminaires sur</w:t>
      </w:r>
      <w:r w:rsidR="00473D89" w:rsidRPr="00C70421">
        <w:rPr>
          <w:lang w:val="fr-FR"/>
        </w:rPr>
        <w:t xml:space="preserve"> le PCT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</w:t>
      </w:r>
      <w:r w:rsidR="00C70421" w:rsidRPr="00C70421">
        <w:rPr>
          <w:lang w:val="fr-FR"/>
        </w:rPr>
        <w:t>MPI.  Le</w:t>
      </w:r>
      <w:r w:rsidRPr="00C70421">
        <w:rPr>
          <w:lang w:val="fr-FR"/>
        </w:rPr>
        <w:t>s efforts étendus et intenses que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</w:t>
      </w:r>
      <w:r w:rsidR="00EC6A3E" w:rsidRPr="00C70421">
        <w:rPr>
          <w:lang w:val="fr-FR"/>
        </w:rPr>
        <w:t>peut déployer</w:t>
      </w:r>
      <w:r w:rsidR="00D31A73" w:rsidRPr="00C70421">
        <w:rPr>
          <w:lang w:val="fr-FR"/>
        </w:rPr>
        <w:t>,</w:t>
      </w:r>
      <w:r w:rsidRPr="00C70421">
        <w:rPr>
          <w:lang w:val="fr-FR"/>
        </w:rPr>
        <w:t xml:space="preserve"> tout comme sa capacité à fournir une aide personnalisée </w:t>
      </w:r>
      <w:r w:rsidR="007C02C3" w:rsidRPr="00C70421">
        <w:rPr>
          <w:lang w:val="fr-FR"/>
        </w:rPr>
        <w:t>dans cette région</w:t>
      </w:r>
      <w:r w:rsidR="00D31A73" w:rsidRPr="00C70421">
        <w:rPr>
          <w:lang w:val="fr-FR"/>
        </w:rPr>
        <w:t>,</w:t>
      </w:r>
      <w:r w:rsidR="007C02C3" w:rsidRPr="00C70421">
        <w:rPr>
          <w:lang w:val="fr-FR"/>
        </w:rPr>
        <w:t xml:space="preserve"> </w:t>
      </w:r>
      <w:r w:rsidR="00EC6A3E" w:rsidRPr="00C70421">
        <w:rPr>
          <w:lang w:val="fr-FR"/>
        </w:rPr>
        <w:t>sont des avantages que certains offices internationaux de la région ne sont pas capables d</w:t>
      </w:r>
      <w:r w:rsidR="00473D89" w:rsidRPr="00C70421">
        <w:rPr>
          <w:lang w:val="fr-FR"/>
        </w:rPr>
        <w:t>’</w:t>
      </w:r>
      <w:r w:rsidR="00EC6A3E" w:rsidRPr="00C70421">
        <w:rPr>
          <w:lang w:val="fr-FR"/>
        </w:rPr>
        <w:t>offrir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B27FEF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participe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au Programme de coopération internationale pour la recherche et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des inventions</w:t>
      </w:r>
      <w:r w:rsidR="0050667A" w:rsidRPr="00C70421">
        <w:rPr>
          <w:lang w:val="fr-FR"/>
        </w:rPr>
        <w:t xml:space="preserve"> (ICSEI)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OMPI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offert aux pays en développeme</w:t>
      </w:r>
      <w:r w:rsidR="00C70421" w:rsidRPr="00C70421">
        <w:rPr>
          <w:lang w:val="fr-FR"/>
        </w:rPr>
        <w:t>nt.  En</w:t>
      </w:r>
      <w:r w:rsidRPr="00C70421">
        <w:rPr>
          <w:lang w:val="fr-FR"/>
        </w:rPr>
        <w:t xml:space="preserve"> tant qu</w:t>
      </w:r>
      <w:r w:rsidR="00473D89" w:rsidRPr="00C70421">
        <w:rPr>
          <w:lang w:val="fr-FR"/>
        </w:rPr>
        <w:t>’</w:t>
      </w:r>
      <w:r w:rsidR="007C74E3" w:rsidRPr="00C70421">
        <w:rPr>
          <w:lang w:val="fr-FR"/>
        </w:rPr>
        <w:t>administration</w:t>
      </w:r>
      <w:r w:rsidRPr="00C70421">
        <w:rPr>
          <w:lang w:val="fr-FR"/>
        </w:rPr>
        <w:t xml:space="preserve"> international</w:t>
      </w:r>
      <w:r w:rsidR="007C74E3" w:rsidRPr="00C70421">
        <w:rPr>
          <w:lang w:val="fr-FR"/>
        </w:rPr>
        <w:t>e</w:t>
      </w:r>
      <w:r w:rsidRPr="00C70421">
        <w:rPr>
          <w:lang w:val="fr-FR"/>
        </w:rPr>
        <w:t xml:space="preserve">, et plus particulièrement de par sa capacité à fournir des </w:t>
      </w:r>
      <w:r w:rsidR="001B680D" w:rsidRPr="00C70421">
        <w:rPr>
          <w:lang w:val="fr-FR"/>
        </w:rPr>
        <w:t>prestation</w:t>
      </w:r>
      <w:r w:rsidRPr="00C70421">
        <w:rPr>
          <w:lang w:val="fr-FR"/>
        </w:rPr>
        <w:t>s en français,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peut offrir des </w:t>
      </w:r>
      <w:r w:rsidR="001B680D" w:rsidRPr="00C70421">
        <w:rPr>
          <w:lang w:val="fr-FR"/>
        </w:rPr>
        <w:t xml:space="preserve">services </w:t>
      </w:r>
      <w:r w:rsidRPr="00C70421">
        <w:rPr>
          <w:lang w:val="fr-FR"/>
        </w:rPr>
        <w:t>de la meilleure qualité en matière de recherche</w:t>
      </w:r>
      <w:r w:rsidR="0050667A" w:rsidRPr="00C70421">
        <w:rPr>
          <w:lang w:val="fr-FR"/>
        </w:rPr>
        <w:t>s,</w:t>
      </w:r>
      <w:r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et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évaluation de la nouveauté et de l</w:t>
      </w:r>
      <w:r w:rsidR="00473D89" w:rsidRPr="00C70421">
        <w:rPr>
          <w:lang w:val="fr-FR"/>
        </w:rPr>
        <w:t>’</w:t>
      </w:r>
      <w:r w:rsidR="00556E87" w:rsidRPr="00C70421">
        <w:rPr>
          <w:lang w:val="fr-FR"/>
        </w:rPr>
        <w:t>activité inventive</w:t>
      </w:r>
      <w:r w:rsidRPr="00C70421">
        <w:rPr>
          <w:lang w:val="fr-FR"/>
        </w:rPr>
        <w:t xml:space="preserve"> des demandes de </w:t>
      </w:r>
      <w:r w:rsidR="00373B66" w:rsidRPr="00C70421">
        <w:rPr>
          <w:lang w:val="fr-FR"/>
        </w:rPr>
        <w:t>brevet</w:t>
      </w:r>
      <w:r w:rsidRPr="00C70421">
        <w:rPr>
          <w:lang w:val="fr-FR"/>
        </w:rPr>
        <w:t xml:space="preserve"> déposées auprès des offices de la propriété industrielle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qui ne sont pas traitées en priorité ou pour lesquelles aucun rapport de recherche n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 été élaboré</w:t>
      </w:r>
      <w:r w:rsidR="0050667A" w:rsidRPr="00C70421">
        <w:rPr>
          <w:lang w:val="fr-FR"/>
        </w:rPr>
        <w:t xml:space="preserve">, </w:t>
      </w:r>
      <w:r w:rsidR="00556E87" w:rsidRPr="00C70421">
        <w:rPr>
          <w:lang w:val="fr-FR"/>
        </w:rPr>
        <w:t>et que l</w:t>
      </w:r>
      <w:r w:rsidR="00473D89" w:rsidRPr="00C70421">
        <w:rPr>
          <w:lang w:val="fr-FR"/>
        </w:rPr>
        <w:t>’</w:t>
      </w:r>
      <w:r w:rsidR="00556E87" w:rsidRPr="00C70421">
        <w:rPr>
          <w:lang w:val="fr-FR"/>
        </w:rPr>
        <w:t xml:space="preserve">OPIC reçoit via le programme </w:t>
      </w:r>
      <w:r w:rsidR="0050667A" w:rsidRPr="00C70421">
        <w:rPr>
          <w:lang w:val="fr-FR"/>
        </w:rPr>
        <w:t xml:space="preserve">ICSEI.  </w:t>
      </w:r>
      <w:r w:rsidR="00556E87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56E87" w:rsidRPr="00C70421">
        <w:rPr>
          <w:lang w:val="fr-FR"/>
        </w:rPr>
        <w:t xml:space="preserve">OPIC </w:t>
      </w:r>
      <w:r w:rsidR="00611D88" w:rsidRPr="00C70421">
        <w:rPr>
          <w:lang w:val="fr-FR"/>
        </w:rPr>
        <w:t>répond ainsi</w:t>
      </w:r>
      <w:r w:rsidR="00556E87" w:rsidRPr="00C70421">
        <w:rPr>
          <w:lang w:val="fr-FR"/>
        </w:rPr>
        <w:t xml:space="preserve"> </w:t>
      </w:r>
      <w:r w:rsidR="00611D88" w:rsidRPr="00C70421">
        <w:rPr>
          <w:lang w:val="fr-FR"/>
        </w:rPr>
        <w:t xml:space="preserve">à </w:t>
      </w:r>
      <w:r w:rsidR="00556E87" w:rsidRPr="00C70421">
        <w:rPr>
          <w:lang w:val="fr-FR"/>
        </w:rPr>
        <w:t xml:space="preserve">un </w:t>
      </w:r>
      <w:r w:rsidR="00611D88" w:rsidRPr="00C70421">
        <w:rPr>
          <w:lang w:val="fr-FR"/>
        </w:rPr>
        <w:t xml:space="preserve">besoin actuel </w:t>
      </w:r>
      <w:r w:rsidR="00556E87" w:rsidRPr="00C70421">
        <w:rPr>
          <w:lang w:val="fr-FR"/>
        </w:rPr>
        <w:t>puisqu</w:t>
      </w:r>
      <w:r w:rsidR="00473D89" w:rsidRPr="00C70421">
        <w:rPr>
          <w:lang w:val="fr-FR"/>
        </w:rPr>
        <w:t>’</w:t>
      </w:r>
      <w:r w:rsidR="00556E87" w:rsidRPr="00C70421">
        <w:rPr>
          <w:lang w:val="fr-FR"/>
        </w:rPr>
        <w:t>il s</w:t>
      </w:r>
      <w:r w:rsidR="00473D89" w:rsidRPr="00C70421">
        <w:rPr>
          <w:lang w:val="fr-FR"/>
        </w:rPr>
        <w:t>’</w:t>
      </w:r>
      <w:r w:rsidR="00556E87" w:rsidRPr="00C70421">
        <w:rPr>
          <w:lang w:val="fr-FR"/>
        </w:rPr>
        <w:t>agit du seul office à fournir les prestations de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ICSEI </w:t>
      </w:r>
      <w:r w:rsidR="00556E87" w:rsidRPr="00C70421">
        <w:rPr>
          <w:lang w:val="fr-FR"/>
        </w:rPr>
        <w:t>en français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767083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OPIC, qui agit généralement en tant qu</w:t>
      </w:r>
      <w:r w:rsidR="00473D89" w:rsidRPr="00C70421">
        <w:rPr>
          <w:lang w:val="fr-FR"/>
        </w:rPr>
        <w:t>’</w:t>
      </w:r>
      <w:r w:rsidR="00611D88" w:rsidRPr="00C70421">
        <w:rPr>
          <w:lang w:val="fr-FR"/>
        </w:rPr>
        <w:t>office de deuxième dépôt</w:t>
      </w:r>
      <w:r w:rsidR="0050667A" w:rsidRPr="00C70421">
        <w:rPr>
          <w:lang w:val="fr-FR"/>
        </w:rPr>
        <w:t xml:space="preserve"> (79</w:t>
      </w:r>
      <w:r w:rsidR="00611D88" w:rsidRPr="00C70421">
        <w:rPr>
          <w:lang w:val="fr-FR"/>
        </w:rPr>
        <w:t>% des demandes déposées auprès de l</w:t>
      </w:r>
      <w:r w:rsidR="00473D89" w:rsidRPr="00C70421">
        <w:rPr>
          <w:lang w:val="fr-FR"/>
        </w:rPr>
        <w:t>’</w:t>
      </w:r>
      <w:r w:rsidR="00611D88" w:rsidRPr="00C70421">
        <w:rPr>
          <w:lang w:val="fr-FR"/>
        </w:rPr>
        <w:t xml:space="preserve">OPIC sont faites </w:t>
      </w:r>
      <w:r w:rsidR="00DD54E2">
        <w:rPr>
          <w:lang w:val="fr-FR"/>
        </w:rPr>
        <w:t>au moment de l’ouverture de</w:t>
      </w:r>
      <w:r w:rsidR="00611D88" w:rsidRPr="00C70421">
        <w:rPr>
          <w:lang w:val="fr-FR"/>
        </w:rPr>
        <w:t xml:space="preserve"> la phase nationale selon</w:t>
      </w:r>
      <w:r w:rsidR="00473D89" w:rsidRPr="00C70421">
        <w:rPr>
          <w:lang w:val="fr-FR"/>
        </w:rPr>
        <w:t xml:space="preserve"> le PCT</w:t>
      </w:r>
      <w:r w:rsidR="0050667A" w:rsidRPr="00C70421">
        <w:rPr>
          <w:lang w:val="fr-FR"/>
        </w:rPr>
        <w:t>)</w:t>
      </w:r>
      <w:r w:rsidRPr="00C70421">
        <w:rPr>
          <w:lang w:val="fr-FR"/>
        </w:rPr>
        <w:t>, vit de manière concrète, et dans une large mesure, les situations que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autres offices désignés et élus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connaisse</w:t>
      </w:r>
      <w:r w:rsidR="00C70421" w:rsidRPr="00C70421">
        <w:rPr>
          <w:lang w:val="fr-FR"/>
        </w:rPr>
        <w:t>nt.  En</w:t>
      </w:r>
      <w:r w:rsidRPr="00C70421">
        <w:rPr>
          <w:lang w:val="fr-FR"/>
        </w:rPr>
        <w:t xml:space="preserve"> tant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office de taille moyenne</w:t>
      </w:r>
      <w:r w:rsidR="0050667A" w:rsidRPr="00C70421">
        <w:rPr>
          <w:lang w:val="fr-FR"/>
        </w:rPr>
        <w:t>,</w:t>
      </w:r>
      <w:r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comprend et apprécie </w:t>
      </w:r>
      <w:r w:rsidR="007C74E3" w:rsidRPr="00C70421">
        <w:rPr>
          <w:lang w:val="fr-FR"/>
        </w:rPr>
        <w:t>la manière dont les offices désignés et élus</w:t>
      </w:r>
      <w:r w:rsidR="00FA19C1" w:rsidRPr="00C70421">
        <w:rPr>
          <w:lang w:val="fr-FR"/>
        </w:rPr>
        <w:t xml:space="preserve"> peuvent bénéficier du</w:t>
      </w:r>
      <w:r w:rsidR="007C74E3" w:rsidRPr="00C70421">
        <w:rPr>
          <w:lang w:val="fr-FR"/>
        </w:rPr>
        <w:t xml:space="preserve"> travail d</w:t>
      </w:r>
      <w:r w:rsidR="00473D89" w:rsidRPr="00C70421">
        <w:rPr>
          <w:lang w:val="fr-FR"/>
        </w:rPr>
        <w:t>’</w:t>
      </w:r>
      <w:r w:rsidR="007C74E3" w:rsidRPr="00C70421">
        <w:rPr>
          <w:lang w:val="fr-FR"/>
        </w:rPr>
        <w:t>une administration internationale</w:t>
      </w:r>
      <w:r w:rsidR="002874E8" w:rsidRPr="00C70421">
        <w:rPr>
          <w:lang w:val="fr-FR"/>
        </w:rPr>
        <w:t xml:space="preserve"> ainsi que l</w:t>
      </w:r>
      <w:r w:rsidR="00473D89" w:rsidRPr="00C70421">
        <w:rPr>
          <w:lang w:val="fr-FR"/>
        </w:rPr>
        <w:t>’</w:t>
      </w:r>
      <w:r w:rsidR="002874E8" w:rsidRPr="00C70421">
        <w:rPr>
          <w:lang w:val="fr-FR"/>
        </w:rPr>
        <w:t>importance pour cette administration de fournir des produits de</w:t>
      </w:r>
      <w:r w:rsidR="00FA19C1" w:rsidRPr="00C70421">
        <w:rPr>
          <w:lang w:val="fr-FR"/>
        </w:rPr>
        <w:t xml:space="preserve"> qualité</w:t>
      </w:r>
      <w:r w:rsidR="002874E8" w:rsidRPr="00C70421">
        <w:rPr>
          <w:lang w:val="fr-FR"/>
        </w:rPr>
        <w:t xml:space="preserve"> compte tenu de la confiance que l</w:t>
      </w:r>
      <w:r w:rsidR="00FA19C1" w:rsidRPr="00C70421">
        <w:rPr>
          <w:lang w:val="fr-FR"/>
        </w:rPr>
        <w:t xml:space="preserve">es offices désignés et élus </w:t>
      </w:r>
      <w:r w:rsidR="002874E8" w:rsidRPr="00C70421">
        <w:rPr>
          <w:lang w:val="fr-FR"/>
        </w:rPr>
        <w:t>ont placé</w:t>
      </w:r>
      <w:r w:rsidR="00DD54E2">
        <w:rPr>
          <w:lang w:val="fr-FR"/>
        </w:rPr>
        <w:t>e</w:t>
      </w:r>
      <w:r w:rsidR="002874E8" w:rsidRPr="00C70421">
        <w:rPr>
          <w:lang w:val="fr-FR"/>
        </w:rPr>
        <w:t xml:space="preserve"> dans ces administratio</w:t>
      </w:r>
      <w:r w:rsidR="00C70421" w:rsidRPr="00C70421">
        <w:rPr>
          <w:lang w:val="fr-FR"/>
        </w:rPr>
        <w:t>ns.  En</w:t>
      </w:r>
      <w:r w:rsidR="002874E8" w:rsidRPr="00C70421">
        <w:rPr>
          <w:lang w:val="fr-FR"/>
        </w:rPr>
        <w:t xml:space="preserve"> ayant pu vivre directement l</w:t>
      </w:r>
      <w:r w:rsidR="00473D89" w:rsidRPr="00C70421">
        <w:rPr>
          <w:lang w:val="fr-FR"/>
        </w:rPr>
        <w:t>’</w:t>
      </w:r>
      <w:r w:rsidR="002874E8" w:rsidRPr="00C70421">
        <w:rPr>
          <w:lang w:val="fr-FR"/>
        </w:rPr>
        <w:t>expérience des offices désignés et élus, l</w:t>
      </w:r>
      <w:r w:rsidR="00473D89" w:rsidRPr="00C70421">
        <w:rPr>
          <w:lang w:val="fr-FR"/>
        </w:rPr>
        <w:t>’</w:t>
      </w:r>
      <w:r w:rsidR="002874E8" w:rsidRPr="00C70421">
        <w:rPr>
          <w:lang w:val="fr-FR"/>
        </w:rPr>
        <w:t>OPIC est le mieux à même pour les accompagner et peut se servir de son expérience</w:t>
      </w:r>
      <w:r w:rsidR="00687EF7" w:rsidRPr="00C70421">
        <w:rPr>
          <w:lang w:val="fr-FR"/>
        </w:rPr>
        <w:t xml:space="preserve"> dans ses interactions avec d</w:t>
      </w:r>
      <w:r w:rsidR="00473D89" w:rsidRPr="00C70421">
        <w:rPr>
          <w:lang w:val="fr-FR"/>
        </w:rPr>
        <w:t>’</w:t>
      </w:r>
      <w:r w:rsidR="00687EF7" w:rsidRPr="00C70421">
        <w:rPr>
          <w:lang w:val="fr-FR"/>
        </w:rPr>
        <w:t>autres offices plus petits ou de taille moyenne et offrir ainsi des conseils pratiques</w:t>
      </w:r>
      <w:r w:rsidR="0050667A" w:rsidRPr="00C70421">
        <w:rPr>
          <w:lang w:val="fr-FR"/>
        </w:rPr>
        <w:t xml:space="preserve">.  </w:t>
      </w:r>
      <w:r w:rsidR="00687EF7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687EF7" w:rsidRPr="00C70421">
        <w:rPr>
          <w:lang w:val="fr-FR"/>
        </w:rPr>
        <w:t xml:space="preserve">OPIC </w:t>
      </w:r>
      <w:r w:rsidR="001B680D" w:rsidRPr="00C70421">
        <w:rPr>
          <w:lang w:val="fr-FR"/>
        </w:rPr>
        <w:t>utilise ensuite</w:t>
      </w:r>
      <w:r w:rsidR="00687EF7" w:rsidRPr="00C70421">
        <w:rPr>
          <w:lang w:val="fr-FR"/>
        </w:rPr>
        <w:t xml:space="preserve"> ses connaissances </w:t>
      </w:r>
      <w:r w:rsidR="00D94B3E" w:rsidRPr="00C70421">
        <w:rPr>
          <w:lang w:val="fr-FR"/>
        </w:rPr>
        <w:t>pour</w:t>
      </w:r>
      <w:r w:rsidR="00687EF7" w:rsidRPr="00C70421">
        <w:rPr>
          <w:lang w:val="fr-FR"/>
        </w:rPr>
        <w:t xml:space="preserve"> s</w:t>
      </w:r>
      <w:r w:rsidR="00473D89" w:rsidRPr="00C70421">
        <w:rPr>
          <w:lang w:val="fr-FR"/>
        </w:rPr>
        <w:t>’</w:t>
      </w:r>
      <w:r w:rsidR="00687EF7" w:rsidRPr="00C70421">
        <w:rPr>
          <w:lang w:val="fr-FR"/>
        </w:rPr>
        <w:t>assurer de pouvoir répondre aux problèmes</w:t>
      </w:r>
      <w:r w:rsidR="0050667A" w:rsidRPr="00C70421">
        <w:rPr>
          <w:lang w:val="fr-FR"/>
        </w:rPr>
        <w:t xml:space="preserve"> </w:t>
      </w:r>
      <w:r w:rsidR="00687EF7" w:rsidRPr="00C70421">
        <w:rPr>
          <w:lang w:val="fr-FR"/>
        </w:rPr>
        <w:t>des offices plus petits et de taille moyenne de façon constructive</w:t>
      </w:r>
      <w:r w:rsidR="0050667A" w:rsidRPr="00C70421">
        <w:rPr>
          <w:lang w:val="fr-FR"/>
        </w:rPr>
        <w:t xml:space="preserve"> </w:t>
      </w:r>
      <w:r w:rsidR="00687EF7" w:rsidRPr="00C70421">
        <w:rPr>
          <w:lang w:val="fr-FR"/>
        </w:rPr>
        <w:t>et contribuer à améliorer le régime international de propriété intellectuelle</w:t>
      </w:r>
      <w:r w:rsidR="0050667A" w:rsidRPr="00C70421">
        <w:rPr>
          <w:lang w:val="fr-FR"/>
        </w:rPr>
        <w:t xml:space="preserve"> </w:t>
      </w:r>
      <w:r w:rsidR="00687EF7" w:rsidRPr="00C70421">
        <w:rPr>
          <w:lang w:val="fr-FR"/>
        </w:rPr>
        <w:t>dont chacun pourra bénéficier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687EF7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>,</w:t>
      </w:r>
      <w:r w:rsidRPr="00C70421">
        <w:rPr>
          <w:lang w:val="fr-FR"/>
        </w:rPr>
        <w:t xml:space="preserve"> en tant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administration existante chargée de la recherche internationale et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préliminaire international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 xml:space="preserve">bénéfice </w:t>
      </w:r>
      <w:r w:rsidR="00D94B3E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D94B3E" w:rsidRPr="00C70421">
        <w:rPr>
          <w:lang w:val="fr-FR"/>
        </w:rPr>
        <w:t>une place privilégiée</w:t>
      </w:r>
      <w:r w:rsidR="001617BA" w:rsidRPr="00C70421">
        <w:rPr>
          <w:lang w:val="fr-FR"/>
        </w:rPr>
        <w:t xml:space="preserve"> au</w:t>
      </w:r>
      <w:r w:rsidR="00D94B3E" w:rsidRPr="00C70421">
        <w:rPr>
          <w:lang w:val="fr-FR"/>
        </w:rPr>
        <w:t xml:space="preserve"> sein du</w:t>
      </w:r>
      <w:r w:rsidR="001617BA" w:rsidRPr="00C70421">
        <w:rPr>
          <w:lang w:val="fr-FR"/>
        </w:rPr>
        <w:t xml:space="preserve"> système</w:t>
      </w:r>
      <w:r w:rsidR="00473D89" w:rsidRPr="00C70421">
        <w:rPr>
          <w:lang w:val="fr-FR"/>
        </w:rPr>
        <w:t xml:space="preserve"> du PCT</w:t>
      </w:r>
      <w:r w:rsidR="001617BA" w:rsidRPr="00C70421">
        <w:rPr>
          <w:lang w:val="fr-FR"/>
        </w:rPr>
        <w:t xml:space="preserve"> de par son</w:t>
      </w:r>
      <w:r w:rsidR="0050667A" w:rsidRPr="00C70421">
        <w:rPr>
          <w:lang w:val="fr-FR"/>
        </w:rPr>
        <w:t xml:space="preserve"> influence </w:t>
      </w:r>
      <w:r w:rsidR="001617BA" w:rsidRPr="00C70421">
        <w:rPr>
          <w:lang w:val="fr-FR"/>
        </w:rPr>
        <w:t>croissante dans l</w:t>
      </w:r>
      <w:r w:rsidR="00473D89" w:rsidRPr="00C70421">
        <w:rPr>
          <w:lang w:val="fr-FR"/>
        </w:rPr>
        <w:t>’</w:t>
      </w:r>
      <w:r w:rsidR="001B680D" w:rsidRPr="00C70421">
        <w:rPr>
          <w:lang w:val="fr-FR"/>
        </w:rPr>
        <w:t>ensemble du</w:t>
      </w:r>
      <w:r w:rsidR="001617BA" w:rsidRPr="00C70421">
        <w:rPr>
          <w:lang w:val="fr-FR"/>
        </w:rPr>
        <w:t xml:space="preserve"> systè</w:t>
      </w:r>
      <w:r w:rsidR="00C70421" w:rsidRPr="00C70421">
        <w:rPr>
          <w:lang w:val="fr-FR"/>
        </w:rPr>
        <w:t>me.  De</w:t>
      </w:r>
      <w:r w:rsidR="00473D89" w:rsidRPr="00C70421">
        <w:rPr>
          <w:lang w:val="fr-FR"/>
        </w:rPr>
        <w:t>puis 2004</w:t>
      </w:r>
      <w:r w:rsidR="001617BA" w:rsidRPr="00C70421">
        <w:rPr>
          <w:lang w:val="fr-FR"/>
        </w:rPr>
        <w:t xml:space="preserve">, </w:t>
      </w:r>
      <w:r w:rsidR="00306E95" w:rsidRPr="00C70421">
        <w:rPr>
          <w:lang w:val="fr-FR"/>
        </w:rPr>
        <w:t>sa participation</w:t>
      </w:r>
      <w:r w:rsidR="001617BA" w:rsidRPr="00C70421">
        <w:rPr>
          <w:lang w:val="fr-FR"/>
        </w:rPr>
        <w:t xml:space="preserve"> active aux réunions des administrations internationales instituées en vertu</w:t>
      </w:r>
      <w:r w:rsidR="00473D89" w:rsidRPr="00C70421">
        <w:rPr>
          <w:lang w:val="fr-FR"/>
        </w:rPr>
        <w:t xml:space="preserve"> du PCT</w:t>
      </w:r>
      <w:r w:rsidR="0050667A" w:rsidRPr="00C70421">
        <w:rPr>
          <w:lang w:val="fr-FR"/>
        </w:rPr>
        <w:t xml:space="preserve"> </w:t>
      </w:r>
      <w:r w:rsidR="00D94B3E" w:rsidRPr="00C70421">
        <w:rPr>
          <w:lang w:val="fr-FR"/>
        </w:rPr>
        <w:t xml:space="preserve">et </w:t>
      </w:r>
      <w:r w:rsidR="00CB3723" w:rsidRPr="00C70421">
        <w:rPr>
          <w:lang w:val="fr-FR"/>
        </w:rPr>
        <w:t>a</w:t>
      </w:r>
      <w:r w:rsidR="001B680D" w:rsidRPr="00C70421">
        <w:rPr>
          <w:lang w:val="fr-FR"/>
        </w:rPr>
        <w:t>u S</w:t>
      </w:r>
      <w:r w:rsidR="001617BA" w:rsidRPr="00C70421">
        <w:rPr>
          <w:lang w:val="fr-FR"/>
        </w:rPr>
        <w:t>ous</w:t>
      </w:r>
      <w:r w:rsidR="00001599">
        <w:rPr>
          <w:lang w:val="fr-FR"/>
        </w:rPr>
        <w:noBreakHyphen/>
      </w:r>
      <w:r w:rsidR="001617BA" w:rsidRPr="00C70421">
        <w:rPr>
          <w:lang w:val="fr-FR"/>
        </w:rPr>
        <w:t>groupe chargé de la qualité</w:t>
      </w:r>
      <w:r w:rsidR="0050667A" w:rsidRPr="00C70421">
        <w:rPr>
          <w:lang w:val="fr-FR"/>
        </w:rPr>
        <w:t xml:space="preserve"> </w:t>
      </w:r>
      <w:r w:rsidR="00306E95" w:rsidRPr="00C70421">
        <w:rPr>
          <w:lang w:val="fr-FR"/>
        </w:rPr>
        <w:t>a permis à l</w:t>
      </w:r>
      <w:r w:rsidR="00473D89" w:rsidRPr="00C70421">
        <w:rPr>
          <w:lang w:val="fr-FR"/>
        </w:rPr>
        <w:t>’</w:t>
      </w:r>
      <w:r w:rsidR="00306E95" w:rsidRPr="00C70421">
        <w:rPr>
          <w:lang w:val="fr-FR"/>
        </w:rPr>
        <w:t>OPIC d</w:t>
      </w:r>
      <w:r w:rsidR="00473D89" w:rsidRPr="00C70421">
        <w:rPr>
          <w:lang w:val="fr-FR"/>
        </w:rPr>
        <w:t>’</w:t>
      </w:r>
      <w:r w:rsidR="00306E95" w:rsidRPr="00C70421">
        <w:rPr>
          <w:lang w:val="fr-FR"/>
        </w:rPr>
        <w:t>exposer et de promouvoir ses positions de façon constructive et collaborative</w:t>
      </w:r>
      <w:r w:rsidR="0050667A" w:rsidRPr="00C70421">
        <w:rPr>
          <w:lang w:val="fr-FR"/>
        </w:rPr>
        <w:t xml:space="preserve">, </w:t>
      </w:r>
      <w:r w:rsidR="00CB3723" w:rsidRPr="00C70421">
        <w:rPr>
          <w:lang w:val="fr-FR"/>
        </w:rPr>
        <w:t>lui conférant</w:t>
      </w:r>
      <w:r w:rsidR="00306E95" w:rsidRPr="00C70421">
        <w:rPr>
          <w:lang w:val="fr-FR"/>
        </w:rPr>
        <w:t xml:space="preserve"> un certain poids dans les décisions </w:t>
      </w:r>
      <w:r w:rsidR="00306E95" w:rsidRPr="00C70421">
        <w:rPr>
          <w:lang w:val="fr-FR"/>
        </w:rPr>
        <w:lastRenderedPageBreak/>
        <w:t>concernant la voie à suivre pour</w:t>
      </w:r>
      <w:r w:rsidR="00473D89" w:rsidRPr="00C70421">
        <w:rPr>
          <w:lang w:val="fr-FR"/>
        </w:rPr>
        <w:t xml:space="preserve"> le PCT</w:t>
      </w:r>
      <w:r w:rsidR="0050667A" w:rsidRPr="00C70421">
        <w:rPr>
          <w:lang w:val="fr-FR"/>
        </w:rPr>
        <w:t xml:space="preserve"> </w:t>
      </w:r>
      <w:r w:rsidR="00306E95" w:rsidRPr="00C70421">
        <w:rPr>
          <w:lang w:val="fr-FR"/>
        </w:rPr>
        <w:t xml:space="preserve">et </w:t>
      </w:r>
      <w:r w:rsidR="00CB3723" w:rsidRPr="00C70421">
        <w:rPr>
          <w:lang w:val="fr-FR"/>
        </w:rPr>
        <w:t>garantissant</w:t>
      </w:r>
      <w:r w:rsidR="00306E95" w:rsidRPr="00C70421">
        <w:rPr>
          <w:lang w:val="fr-FR"/>
        </w:rPr>
        <w:t xml:space="preserve"> davantage de respect dans les capacités et les contributions du Cana</w:t>
      </w:r>
      <w:r w:rsidR="00C70421" w:rsidRPr="00C70421">
        <w:rPr>
          <w:lang w:val="fr-FR"/>
        </w:rPr>
        <w:t>da.  Le</w:t>
      </w:r>
      <w:r w:rsidR="00FF18EB" w:rsidRPr="00C70421">
        <w:rPr>
          <w:lang w:val="fr-FR"/>
        </w:rPr>
        <w:t>s décisions prises au cours de ces réunions ont une incidence sur la manière</w:t>
      </w:r>
      <w:r w:rsidR="0050667A" w:rsidRPr="00C70421">
        <w:rPr>
          <w:lang w:val="fr-FR"/>
        </w:rPr>
        <w:t xml:space="preserve"> </w:t>
      </w:r>
      <w:r w:rsidR="00FF18EB" w:rsidRPr="00C70421">
        <w:rPr>
          <w:lang w:val="fr-FR"/>
        </w:rPr>
        <w:t>dont l</w:t>
      </w:r>
      <w:r w:rsidR="00473D89" w:rsidRPr="00C70421">
        <w:rPr>
          <w:lang w:val="fr-FR"/>
        </w:rPr>
        <w:t>’</w:t>
      </w:r>
      <w:r w:rsidR="00FF18EB"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="00FF18EB" w:rsidRPr="00C70421">
        <w:rPr>
          <w:lang w:val="fr-FR"/>
        </w:rPr>
        <w:t>agit en tant qu</w:t>
      </w:r>
      <w:r w:rsidR="00473D89" w:rsidRPr="00C70421">
        <w:rPr>
          <w:lang w:val="fr-FR"/>
        </w:rPr>
        <w:t>’</w:t>
      </w:r>
      <w:r w:rsidR="00FF18EB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FF18EB" w:rsidRPr="00C70421">
        <w:rPr>
          <w:lang w:val="fr-FR"/>
        </w:rPr>
        <w:t>examen préliminaire international et touchent directement</w:t>
      </w:r>
      <w:r w:rsidR="0050667A" w:rsidRPr="00C70421">
        <w:rPr>
          <w:lang w:val="fr-FR"/>
        </w:rPr>
        <w:t xml:space="preserve"> </w:t>
      </w:r>
      <w:r w:rsidR="00FF18EB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FF18EB" w:rsidRPr="00C70421">
        <w:rPr>
          <w:lang w:val="fr-FR"/>
        </w:rPr>
        <w:t>office dans ses activités quotidienn</w:t>
      </w:r>
      <w:r w:rsidR="00C70421" w:rsidRPr="00C70421">
        <w:rPr>
          <w:lang w:val="fr-FR"/>
        </w:rPr>
        <w:t>es.  En</w:t>
      </w:r>
      <w:r w:rsidR="00FF18EB" w:rsidRPr="00C70421">
        <w:rPr>
          <w:lang w:val="fr-FR"/>
        </w:rPr>
        <w:t xml:space="preserve"> tant qu</w:t>
      </w:r>
      <w:r w:rsidR="00473D89" w:rsidRPr="00C70421">
        <w:rPr>
          <w:lang w:val="fr-FR"/>
        </w:rPr>
        <w:t>’</w:t>
      </w:r>
      <w:r w:rsidR="00FF18EB" w:rsidRPr="00C70421">
        <w:rPr>
          <w:lang w:val="fr-FR"/>
        </w:rPr>
        <w:t>administration international</w:t>
      </w:r>
      <w:r w:rsidR="00CB3723" w:rsidRPr="00C70421">
        <w:rPr>
          <w:lang w:val="fr-FR"/>
        </w:rPr>
        <w:t>e, l</w:t>
      </w:r>
      <w:r w:rsidR="00473D89" w:rsidRPr="00C70421">
        <w:rPr>
          <w:lang w:val="fr-FR"/>
        </w:rPr>
        <w:t>’</w:t>
      </w:r>
      <w:r w:rsidR="00CB3723" w:rsidRPr="00C70421">
        <w:rPr>
          <w:lang w:val="fr-FR"/>
        </w:rPr>
        <w:t>OPIC peut</w:t>
      </w:r>
      <w:r w:rsidR="001B680D" w:rsidRPr="00C70421">
        <w:rPr>
          <w:lang w:val="fr-FR"/>
        </w:rPr>
        <w:t xml:space="preserve"> également</w:t>
      </w:r>
      <w:r w:rsidR="00FF18EB" w:rsidRPr="00C70421">
        <w:rPr>
          <w:lang w:val="fr-FR"/>
        </w:rPr>
        <w:t xml:space="preserve"> se tenir au courant des </w:t>
      </w:r>
      <w:r w:rsidR="00CB3723" w:rsidRPr="00C70421">
        <w:rPr>
          <w:lang w:val="fr-FR"/>
        </w:rPr>
        <w:t>changements entrepris</w:t>
      </w:r>
      <w:r w:rsidR="00FF18EB" w:rsidRPr="00C70421">
        <w:rPr>
          <w:lang w:val="fr-FR"/>
        </w:rPr>
        <w:t xml:space="preserve"> dans les offices de taille plus importante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FF18EB" w:rsidP="00E93C4E">
      <w:pPr>
        <w:keepLines/>
        <w:rPr>
          <w:lang w:val="fr-FR"/>
        </w:rPr>
      </w:pPr>
      <w:r w:rsidRPr="00C70421">
        <w:rPr>
          <w:lang w:val="fr-FR"/>
        </w:rPr>
        <w:t>Les examinateurs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peuvent tirer </w:t>
      </w:r>
      <w:r w:rsidR="00CB3723" w:rsidRPr="00C70421">
        <w:rPr>
          <w:lang w:val="fr-FR"/>
        </w:rPr>
        <w:t>avantage de leur travail dans</w:t>
      </w:r>
      <w:r w:rsidRPr="00C70421">
        <w:rPr>
          <w:lang w:val="fr-FR"/>
        </w:rPr>
        <w:t xml:space="preserve"> la phase internationale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p</w:t>
      </w:r>
      <w:r w:rsidR="0050667A" w:rsidRPr="00C70421">
        <w:rPr>
          <w:lang w:val="fr-FR"/>
        </w:rPr>
        <w:t>a</w:t>
      </w:r>
      <w:r w:rsidRPr="00C70421">
        <w:rPr>
          <w:lang w:val="fr-FR"/>
        </w:rPr>
        <w:t>r une plus grande connaissance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harmonisation </w:t>
      </w:r>
      <w:r w:rsidR="00CB3723" w:rsidRPr="00C70421">
        <w:rPr>
          <w:lang w:val="fr-FR"/>
        </w:rPr>
        <w:t>dans le</w:t>
      </w:r>
      <w:r w:rsidRPr="00C70421">
        <w:rPr>
          <w:lang w:val="fr-FR"/>
        </w:rPr>
        <w:t xml:space="preserve"> cadre</w:t>
      </w:r>
      <w:r w:rsidR="00473D89" w:rsidRPr="00C70421">
        <w:rPr>
          <w:lang w:val="fr-FR"/>
        </w:rPr>
        <w:t xml:space="preserve"> du </w:t>
      </w:r>
      <w:r w:rsidR="00C70421" w:rsidRPr="00C70421">
        <w:rPr>
          <w:lang w:val="fr-FR"/>
        </w:rPr>
        <w:t>PCT.  Le</w:t>
      </w:r>
      <w:r w:rsidRPr="00C70421">
        <w:rPr>
          <w:lang w:val="fr-FR"/>
        </w:rPr>
        <w:t xml:space="preserve"> fait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agir en tant qu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administration internationale </w:t>
      </w:r>
      <w:r w:rsidR="00CB3723" w:rsidRPr="00C70421">
        <w:rPr>
          <w:lang w:val="fr-FR"/>
        </w:rPr>
        <w:t>améliore</w:t>
      </w:r>
      <w:r w:rsidRPr="00C70421">
        <w:rPr>
          <w:lang w:val="fr-FR"/>
        </w:rPr>
        <w:t xml:space="preserve"> également la qualité de la recherche et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dans le pays</w:t>
      </w:r>
      <w:r w:rsidR="003F3D85" w:rsidRPr="00C70421">
        <w:rPr>
          <w:lang w:val="fr-FR"/>
        </w:rPr>
        <w:t xml:space="preserve"> </w:t>
      </w:r>
      <w:r w:rsidR="00563C13" w:rsidRPr="00C70421">
        <w:rPr>
          <w:lang w:val="fr-FR"/>
        </w:rPr>
        <w:t xml:space="preserve">grâce à une </w:t>
      </w:r>
      <w:r w:rsidR="00DD54E2">
        <w:rPr>
          <w:lang w:val="fr-FR"/>
        </w:rPr>
        <w:t>utilis</w:t>
      </w:r>
      <w:r w:rsidR="00563C13" w:rsidRPr="00C70421">
        <w:rPr>
          <w:lang w:val="fr-FR"/>
        </w:rPr>
        <w:t>ation accrue du système PCT et à l</w:t>
      </w:r>
      <w:r w:rsidR="00473D89" w:rsidRPr="00C70421">
        <w:rPr>
          <w:lang w:val="fr-FR"/>
        </w:rPr>
        <w:t>’</w:t>
      </w:r>
      <w:r w:rsidR="00563C13" w:rsidRPr="00C70421">
        <w:rPr>
          <w:lang w:val="fr-FR"/>
        </w:rPr>
        <w:t>accès à des outils de recherche supplémentair</w:t>
      </w:r>
      <w:r w:rsidR="00C70421" w:rsidRPr="00C70421">
        <w:rPr>
          <w:lang w:val="fr-FR"/>
        </w:rPr>
        <w:t>es.  Le</w:t>
      </w:r>
      <w:r w:rsidR="003F3D85" w:rsidRPr="00C70421">
        <w:rPr>
          <w:lang w:val="fr-FR"/>
        </w:rPr>
        <w:t xml:space="preserve">s examinateurs </w:t>
      </w:r>
      <w:r w:rsidR="00CB3723" w:rsidRPr="00C70421">
        <w:rPr>
          <w:lang w:val="fr-FR"/>
        </w:rPr>
        <w:t>bénéficient aussi</w:t>
      </w:r>
      <w:r w:rsidR="003F3D85" w:rsidRPr="00C70421">
        <w:rPr>
          <w:lang w:val="fr-FR"/>
        </w:rPr>
        <w:t xml:space="preserve"> des efforts de partage et de collaboration</w:t>
      </w:r>
      <w:r w:rsidR="0050667A" w:rsidRPr="00C70421">
        <w:rPr>
          <w:lang w:val="fr-FR"/>
        </w:rPr>
        <w:t xml:space="preserve"> </w:t>
      </w:r>
      <w:r w:rsidR="00CB3723" w:rsidRPr="00C70421">
        <w:rPr>
          <w:lang w:val="fr-FR"/>
        </w:rPr>
        <w:t>découlant</w:t>
      </w:r>
      <w:r w:rsidR="003F3D85" w:rsidRPr="00C70421">
        <w:rPr>
          <w:lang w:val="fr-FR"/>
        </w:rPr>
        <w:t xml:space="preserve"> des </w:t>
      </w:r>
      <w:r w:rsidR="00CB3723" w:rsidRPr="00C70421">
        <w:rPr>
          <w:lang w:val="fr-FR"/>
        </w:rPr>
        <w:t>activités</w:t>
      </w:r>
      <w:r w:rsidR="003F3D85"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="003F3D85" w:rsidRPr="00C70421">
        <w:rPr>
          <w:lang w:val="fr-FR"/>
        </w:rPr>
        <w:t>OPIC avec d</w:t>
      </w:r>
      <w:r w:rsidR="00473D89" w:rsidRPr="00C70421">
        <w:rPr>
          <w:lang w:val="fr-FR"/>
        </w:rPr>
        <w:t>’</w:t>
      </w:r>
      <w:r w:rsidR="003F3D85" w:rsidRPr="00C70421">
        <w:rPr>
          <w:lang w:val="fr-FR"/>
        </w:rPr>
        <w:t>autres administrations internationales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63C13" w:rsidP="00E93C4E">
      <w:pPr>
        <w:rPr>
          <w:lang w:val="fr-FR"/>
        </w:rPr>
      </w:pPr>
      <w:r w:rsidRPr="00C70421">
        <w:rPr>
          <w:lang w:val="fr-FR"/>
        </w:rPr>
        <w:t>En ce qui concerne le système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 xml:space="preserve"> dans son ensemble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</w:t>
      </w:r>
      <w:r w:rsidR="00CB3723" w:rsidRPr="00C70421">
        <w:rPr>
          <w:lang w:val="fr-FR"/>
        </w:rPr>
        <w:t>adopte</w:t>
      </w:r>
      <w:r w:rsidRPr="00C70421">
        <w:rPr>
          <w:lang w:val="fr-FR"/>
        </w:rPr>
        <w:t xml:space="preserve"> une approche </w:t>
      </w:r>
      <w:r w:rsidR="00CB3723" w:rsidRPr="00C70421">
        <w:rPr>
          <w:lang w:val="fr-FR"/>
        </w:rPr>
        <w:t>particuliè</w:t>
      </w:r>
      <w:r w:rsidR="00C70421" w:rsidRPr="00C70421">
        <w:rPr>
          <w:lang w:val="fr-FR"/>
        </w:rPr>
        <w:t>re.  Le</w:t>
      </w:r>
      <w:r w:rsidRPr="00C70421">
        <w:rPr>
          <w:lang w:val="fr-FR"/>
        </w:rPr>
        <w:t xml:space="preserve"> Canada est un pays respecté </w:t>
      </w:r>
      <w:r w:rsidR="00774C11" w:rsidRPr="00C70421">
        <w:rPr>
          <w:lang w:val="fr-FR"/>
        </w:rPr>
        <w:t>et tient une place essentielle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dans </w:t>
      </w:r>
      <w:r w:rsidR="00774C11" w:rsidRPr="00C70421">
        <w:rPr>
          <w:lang w:val="fr-FR"/>
        </w:rPr>
        <w:t>de nombreu</w:t>
      </w:r>
      <w:r w:rsidR="00DD54E2">
        <w:rPr>
          <w:lang w:val="fr-FR"/>
        </w:rPr>
        <w:t>ses</w:t>
      </w:r>
      <w:r w:rsidR="00774C11" w:rsidRPr="00C70421">
        <w:rPr>
          <w:lang w:val="fr-FR"/>
        </w:rPr>
        <w:t xml:space="preserve"> </w:t>
      </w:r>
      <w:r w:rsidR="00DD54E2">
        <w:rPr>
          <w:lang w:val="fr-FR"/>
        </w:rPr>
        <w:t>instances</w:t>
      </w:r>
      <w:r w:rsidRPr="00C70421">
        <w:rPr>
          <w:lang w:val="fr-FR"/>
        </w:rPr>
        <w:t xml:space="preserve"> politiques </w:t>
      </w:r>
      <w:r w:rsidR="00774C11" w:rsidRPr="00C70421">
        <w:rPr>
          <w:lang w:val="fr-FR"/>
        </w:rPr>
        <w:t>important</w:t>
      </w:r>
      <w:r w:rsidR="00DD54E2">
        <w:rPr>
          <w:lang w:val="fr-FR"/>
        </w:rPr>
        <w:t>e</w:t>
      </w:r>
      <w:r w:rsidR="00774C11" w:rsidRPr="00C70421">
        <w:rPr>
          <w:lang w:val="fr-FR"/>
        </w:rPr>
        <w:t>s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 xml:space="preserve">comme </w:t>
      </w:r>
      <w:r w:rsidR="00774C11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74C11" w:rsidRPr="00C70421">
        <w:rPr>
          <w:lang w:val="fr-FR"/>
        </w:rPr>
        <w:t xml:space="preserve">indique </w:t>
      </w:r>
      <w:r w:rsidRPr="00C70421">
        <w:rPr>
          <w:lang w:val="fr-FR"/>
        </w:rPr>
        <w:t>la rubrique</w:t>
      </w:r>
      <w:r w:rsidR="0050667A" w:rsidRPr="00C70421">
        <w:rPr>
          <w:lang w:val="fr-FR"/>
        </w:rPr>
        <w:t xml:space="preserve"> “</w:t>
      </w:r>
      <w:r w:rsidRPr="00C70421">
        <w:rPr>
          <w:lang w:val="fr-FR"/>
        </w:rPr>
        <w:t>Appartenance à des organisations internationales et régionales</w:t>
      </w:r>
      <w:r w:rsidR="0050667A" w:rsidRPr="00C70421">
        <w:rPr>
          <w:lang w:val="fr-FR"/>
        </w:rPr>
        <w:t>”</w:t>
      </w:r>
      <w:r w:rsidR="00774C11" w:rsidRPr="00C70421">
        <w:rPr>
          <w:lang w:val="fr-FR"/>
        </w:rPr>
        <w:t xml:space="preserve"> ci</w:t>
      </w:r>
      <w:r w:rsidR="00001599">
        <w:rPr>
          <w:lang w:val="fr-FR"/>
        </w:rPr>
        <w:noBreakHyphen/>
      </w:r>
      <w:r w:rsidR="00774C11" w:rsidRPr="00C70421">
        <w:rPr>
          <w:lang w:val="fr-FR"/>
        </w:rPr>
        <w:t>dessous</w:t>
      </w:r>
      <w:r w:rsidR="0050667A" w:rsidRPr="00C70421">
        <w:rPr>
          <w:lang w:val="fr-FR"/>
        </w:rPr>
        <w:t xml:space="preserve">.  </w:t>
      </w:r>
      <w:r w:rsidR="00774C11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74C11" w:rsidRPr="00C70421">
        <w:rPr>
          <w:lang w:val="fr-FR"/>
        </w:rPr>
        <w:t>OPIC se tient en équilibre entre deux</w:t>
      </w:r>
      <w:r w:rsidR="00373B66" w:rsidRPr="00C70421">
        <w:rPr>
          <w:lang w:val="fr-FR"/>
        </w:rPr>
        <w:t> </w:t>
      </w:r>
      <w:r w:rsidR="00774C11" w:rsidRPr="00C70421">
        <w:rPr>
          <w:lang w:val="fr-FR"/>
        </w:rPr>
        <w:t>situations opposé</w:t>
      </w:r>
      <w:r w:rsidR="0050667A" w:rsidRPr="00C70421">
        <w:rPr>
          <w:lang w:val="fr-FR"/>
        </w:rPr>
        <w:t>es (</w:t>
      </w:r>
      <w:r w:rsidR="001B680D" w:rsidRPr="00C70421">
        <w:rPr>
          <w:lang w:val="fr-FR"/>
        </w:rPr>
        <w:t>celle</w:t>
      </w:r>
      <w:r w:rsidR="008C30DB" w:rsidRPr="00C70421">
        <w:rPr>
          <w:lang w:val="fr-FR"/>
        </w:rPr>
        <w:t xml:space="preserve"> </w:t>
      </w:r>
      <w:r w:rsidR="001B680D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1B680D" w:rsidRPr="00C70421">
        <w:rPr>
          <w:lang w:val="fr-FR"/>
        </w:rPr>
        <w:t>un office plus grand et celle</w:t>
      </w:r>
      <w:r w:rsidR="008C30DB" w:rsidRPr="00C70421">
        <w:rPr>
          <w:lang w:val="fr-FR"/>
        </w:rPr>
        <w:t xml:space="preserve"> d</w:t>
      </w:r>
      <w:r w:rsidR="00473D89" w:rsidRPr="00C70421">
        <w:rPr>
          <w:lang w:val="fr-FR"/>
        </w:rPr>
        <w:t>’</w:t>
      </w:r>
      <w:r w:rsidR="008C30DB" w:rsidRPr="00C70421">
        <w:rPr>
          <w:lang w:val="fr-FR"/>
        </w:rPr>
        <w:t>un office plus petit</w:t>
      </w:r>
      <w:r w:rsidR="0050667A" w:rsidRPr="00C70421">
        <w:rPr>
          <w:lang w:val="fr-FR"/>
        </w:rPr>
        <w:t xml:space="preserve">).  </w:t>
      </w:r>
      <w:r w:rsidR="00774C11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74C11" w:rsidRPr="00C70421">
        <w:rPr>
          <w:lang w:val="fr-FR"/>
        </w:rPr>
        <w:t>OPIC est conscient des</w:t>
      </w:r>
      <w:r w:rsidR="0050667A" w:rsidRPr="00C70421">
        <w:rPr>
          <w:lang w:val="fr-FR"/>
        </w:rPr>
        <w:t xml:space="preserve"> </w:t>
      </w:r>
      <w:r w:rsidR="00774C11" w:rsidRPr="00C70421">
        <w:rPr>
          <w:lang w:val="fr-FR"/>
        </w:rPr>
        <w:t xml:space="preserve">influences des autres administrations internationales et </w:t>
      </w:r>
      <w:r w:rsidR="001B680D" w:rsidRPr="00C70421">
        <w:rPr>
          <w:lang w:val="fr-FR"/>
        </w:rPr>
        <w:t xml:space="preserve">les </w:t>
      </w:r>
      <w:r w:rsidR="00DD54E2">
        <w:rPr>
          <w:lang w:val="fr-FR"/>
        </w:rPr>
        <w:t>prend soigneusement en considération</w:t>
      </w:r>
      <w:r w:rsidR="00774C11" w:rsidRPr="00C70421">
        <w:rPr>
          <w:lang w:val="fr-FR"/>
        </w:rPr>
        <w:t xml:space="preserve"> </w:t>
      </w:r>
      <w:r w:rsidR="008C30DB" w:rsidRPr="00C70421">
        <w:rPr>
          <w:lang w:val="fr-FR"/>
        </w:rPr>
        <w:t>au moment de</w:t>
      </w:r>
      <w:r w:rsidR="00CA2BA2" w:rsidRPr="00C70421">
        <w:rPr>
          <w:lang w:val="fr-FR"/>
        </w:rPr>
        <w:t xml:space="preserve"> décide</w:t>
      </w:r>
      <w:r w:rsidR="008C30DB" w:rsidRPr="00C70421">
        <w:rPr>
          <w:lang w:val="fr-FR"/>
        </w:rPr>
        <w:t>r</w:t>
      </w:r>
      <w:r w:rsidR="00CA2BA2" w:rsidRPr="00C70421">
        <w:rPr>
          <w:lang w:val="fr-FR"/>
        </w:rPr>
        <w:t xml:space="preserve"> </w:t>
      </w:r>
      <w:r w:rsidR="001B680D" w:rsidRPr="00C70421">
        <w:rPr>
          <w:lang w:val="fr-FR"/>
        </w:rPr>
        <w:t>d</w:t>
      </w:r>
      <w:r w:rsidR="008C30DB" w:rsidRPr="00C70421">
        <w:rPr>
          <w:lang w:val="fr-FR"/>
        </w:rPr>
        <w:t>es</w:t>
      </w:r>
      <w:r w:rsidR="0050667A" w:rsidRPr="00C70421">
        <w:rPr>
          <w:lang w:val="fr-FR"/>
        </w:rPr>
        <w:t xml:space="preserve"> positions</w:t>
      </w:r>
      <w:r w:rsidR="00CA2BA2" w:rsidRPr="00C70421">
        <w:rPr>
          <w:lang w:val="fr-FR"/>
        </w:rPr>
        <w:t xml:space="preserve"> </w:t>
      </w:r>
      <w:r w:rsidR="001B680D" w:rsidRPr="00C70421">
        <w:rPr>
          <w:lang w:val="fr-FR"/>
        </w:rPr>
        <w:t>qu</w:t>
      </w:r>
      <w:r w:rsidR="00473D89" w:rsidRPr="00C70421">
        <w:rPr>
          <w:lang w:val="fr-FR"/>
        </w:rPr>
        <w:t>’</w:t>
      </w:r>
      <w:r w:rsidR="001B680D" w:rsidRPr="00C70421">
        <w:rPr>
          <w:lang w:val="fr-FR"/>
        </w:rPr>
        <w:t xml:space="preserve">il doit </w:t>
      </w:r>
      <w:r w:rsidR="00CA2BA2" w:rsidRPr="00C70421">
        <w:rPr>
          <w:lang w:val="fr-FR"/>
        </w:rPr>
        <w:t>adopter</w:t>
      </w:r>
      <w:r w:rsidR="001B680D" w:rsidRPr="00C70421">
        <w:rPr>
          <w:lang w:val="fr-FR"/>
        </w:rPr>
        <w:t>,</w:t>
      </w:r>
      <w:r w:rsidR="00CA2BA2" w:rsidRPr="00C70421">
        <w:rPr>
          <w:lang w:val="fr-FR"/>
        </w:rPr>
        <w:t xml:space="preserve"> tout en tenant compte de ce qui </w:t>
      </w:r>
      <w:r w:rsidR="008C30DB" w:rsidRPr="00C70421">
        <w:rPr>
          <w:lang w:val="fr-FR"/>
        </w:rPr>
        <w:t>doi</w:t>
      </w:r>
      <w:r w:rsidR="00CA2BA2" w:rsidRPr="00C70421">
        <w:rPr>
          <w:lang w:val="fr-FR"/>
        </w:rPr>
        <w:t>t servir au mieux les intérêts de l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ensemble du système</w:t>
      </w:r>
      <w:r w:rsidR="00473D89" w:rsidRPr="00C70421">
        <w:rPr>
          <w:lang w:val="fr-FR"/>
        </w:rPr>
        <w:t xml:space="preserve"> du </w:t>
      </w:r>
      <w:r w:rsidR="00C70421" w:rsidRPr="00C70421">
        <w:rPr>
          <w:lang w:val="fr-FR"/>
        </w:rPr>
        <w:t>PCT.  De</w:t>
      </w:r>
      <w:r w:rsidR="00CA2BA2" w:rsidRPr="00C70421">
        <w:rPr>
          <w:lang w:val="fr-FR"/>
        </w:rPr>
        <w:t>puis qu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il agit en tant qu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examen préliminaire international, l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OPIC a défendu</w:t>
      </w:r>
      <w:r w:rsidR="0050667A" w:rsidRPr="00C70421">
        <w:rPr>
          <w:lang w:val="fr-FR"/>
        </w:rPr>
        <w:t xml:space="preserve"> </w:t>
      </w:r>
      <w:r w:rsidR="00CA2BA2" w:rsidRPr="00C70421">
        <w:rPr>
          <w:lang w:val="fr-FR"/>
        </w:rPr>
        <w:t xml:space="preserve">la fourniture de stratégies </w:t>
      </w:r>
      <w:r w:rsidR="0095109C" w:rsidRPr="00C70421">
        <w:rPr>
          <w:lang w:val="fr-FR"/>
        </w:rPr>
        <w:t>complètes</w:t>
      </w:r>
      <w:r w:rsidR="00CA2BA2" w:rsidRPr="00C70421">
        <w:rPr>
          <w:lang w:val="fr-FR"/>
        </w:rPr>
        <w:t xml:space="preserve"> de recherche</w:t>
      </w:r>
      <w:r w:rsidR="0050667A" w:rsidRPr="00C70421">
        <w:rPr>
          <w:lang w:val="fr-FR"/>
        </w:rPr>
        <w:t xml:space="preserve">, </w:t>
      </w:r>
      <w:r w:rsidR="00CA2BA2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utilisation des clauses normalisées</w:t>
      </w:r>
      <w:r w:rsidR="0050667A" w:rsidRPr="00C70421">
        <w:rPr>
          <w:lang w:val="fr-FR"/>
        </w:rPr>
        <w:t xml:space="preserve"> </w:t>
      </w:r>
      <w:r w:rsidR="00CA2BA2" w:rsidRPr="00C70421">
        <w:rPr>
          <w:lang w:val="fr-FR"/>
        </w:rPr>
        <w:t>dans les opinions écrites et, plus récemment, l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>évaluation approfondie des rapports sur les systèmes de gestion de la qualité d</w:t>
      </w:r>
      <w:r w:rsidR="00473D89" w:rsidRPr="00C70421">
        <w:rPr>
          <w:lang w:val="fr-FR"/>
        </w:rPr>
        <w:t>’</w:t>
      </w:r>
      <w:r w:rsidR="00CA2BA2" w:rsidRPr="00C70421">
        <w:rPr>
          <w:lang w:val="fr-FR"/>
        </w:rPr>
        <w:t xml:space="preserve">autres offices, </w:t>
      </w:r>
      <w:r w:rsidR="0095109C" w:rsidRPr="00C70421">
        <w:rPr>
          <w:lang w:val="fr-FR"/>
        </w:rPr>
        <w:t>tout cela dans le but de renforcer le système</w:t>
      </w:r>
      <w:r w:rsidR="00473D89" w:rsidRPr="00C70421">
        <w:rPr>
          <w:lang w:val="fr-FR"/>
        </w:rPr>
        <w:t xml:space="preserve"> du PCT</w:t>
      </w:r>
      <w:r w:rsidR="0050667A" w:rsidRPr="00C70421">
        <w:rPr>
          <w:lang w:val="fr-FR"/>
        </w:rPr>
        <w:t xml:space="preserve"> </w:t>
      </w:r>
      <w:r w:rsidR="0095109C" w:rsidRPr="00C70421">
        <w:rPr>
          <w:lang w:val="fr-FR"/>
        </w:rPr>
        <w:t>et d</w:t>
      </w:r>
      <w:r w:rsidR="00473D89" w:rsidRPr="00C70421">
        <w:rPr>
          <w:lang w:val="fr-FR"/>
        </w:rPr>
        <w:t>’</w:t>
      </w:r>
      <w:r w:rsidR="0095109C" w:rsidRPr="00C70421">
        <w:rPr>
          <w:lang w:val="fr-FR"/>
        </w:rPr>
        <w:t>améliorer la qualité des produits</w:t>
      </w:r>
      <w:r w:rsidR="0050667A" w:rsidRPr="00C70421">
        <w:rPr>
          <w:lang w:val="fr-FR"/>
        </w:rPr>
        <w:t xml:space="preserve"> </w:t>
      </w:r>
      <w:r w:rsidR="0095109C" w:rsidRPr="00C70421">
        <w:rPr>
          <w:lang w:val="fr-FR"/>
        </w:rPr>
        <w:t xml:space="preserve">qui en résultent, </w:t>
      </w:r>
      <w:r w:rsidR="008C30DB" w:rsidRPr="00C70421">
        <w:rPr>
          <w:lang w:val="fr-FR"/>
        </w:rPr>
        <w:t>contribuant</w:t>
      </w:r>
      <w:r w:rsidR="0095109C" w:rsidRPr="00C70421">
        <w:rPr>
          <w:lang w:val="fr-FR"/>
        </w:rPr>
        <w:t xml:space="preserve"> ainsi à accroître la confiance des utilisateurs dans ce systè</w:t>
      </w:r>
      <w:r w:rsidR="00C70421" w:rsidRPr="00C70421">
        <w:rPr>
          <w:lang w:val="fr-FR"/>
        </w:rPr>
        <w:t>me.  En</w:t>
      </w:r>
      <w:r w:rsidR="0095109C" w:rsidRPr="00C70421">
        <w:rPr>
          <w:lang w:val="fr-FR"/>
        </w:rPr>
        <w:t xml:space="preserve"> tant qu</w:t>
      </w:r>
      <w:r w:rsidR="00473D89" w:rsidRPr="00C70421">
        <w:rPr>
          <w:lang w:val="fr-FR"/>
        </w:rPr>
        <w:t>’</w:t>
      </w:r>
      <w:r w:rsidR="0095109C" w:rsidRPr="00C70421">
        <w:rPr>
          <w:lang w:val="fr-FR"/>
        </w:rPr>
        <w:t>administration internationale de taille moyenne, l</w:t>
      </w:r>
      <w:r w:rsidR="00473D89" w:rsidRPr="00C70421">
        <w:rPr>
          <w:lang w:val="fr-FR"/>
        </w:rPr>
        <w:t>’</w:t>
      </w:r>
      <w:r w:rsidR="0095109C" w:rsidRPr="00C70421">
        <w:rPr>
          <w:lang w:val="fr-FR"/>
        </w:rPr>
        <w:t>OPIC assume une part raisonnable de la charge de travail au niveau</w:t>
      </w:r>
      <w:r w:rsidR="0050667A" w:rsidRPr="00C70421">
        <w:rPr>
          <w:lang w:val="fr-FR"/>
        </w:rPr>
        <w:t xml:space="preserve"> international.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093766" w:rsidP="00E93C4E">
      <w:pPr>
        <w:rPr>
          <w:lang w:val="fr-FR"/>
        </w:rPr>
      </w:pPr>
      <w:r w:rsidRPr="00C70421">
        <w:rPr>
          <w:lang w:val="fr-FR"/>
        </w:rPr>
        <w:t>Poussé par la nécessité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améliorer </w:t>
      </w:r>
      <w:r w:rsidR="008C30DB" w:rsidRPr="00C70421">
        <w:rPr>
          <w:lang w:val="fr-FR"/>
        </w:rPr>
        <w:t>l</w:t>
      </w:r>
      <w:r w:rsidRPr="00C70421">
        <w:rPr>
          <w:lang w:val="fr-FR"/>
        </w:rPr>
        <w:t xml:space="preserve">es délais </w:t>
      </w:r>
      <w:r w:rsidR="008C30DB" w:rsidRPr="00C70421">
        <w:rPr>
          <w:lang w:val="fr-FR"/>
        </w:rPr>
        <w:t>de</w:t>
      </w:r>
      <w:r w:rsidRPr="00C70421">
        <w:rPr>
          <w:lang w:val="fr-FR"/>
        </w:rPr>
        <w:t xml:space="preserve"> délivrance des droits de propriété intellectuelle, de diminuer les coûts et de réduire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la liste des demandes en instance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pour tous les utilisateurs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>,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peut, grâce à son statut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administration internationale, s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engager dans un débat utile et </w:t>
      </w:r>
      <w:r w:rsidR="004312FE" w:rsidRPr="00C70421">
        <w:rPr>
          <w:lang w:val="fr-FR"/>
        </w:rPr>
        <w:t>se concentrer sur de</w:t>
      </w:r>
      <w:r w:rsidR="0050667A" w:rsidRPr="00C70421">
        <w:rPr>
          <w:lang w:val="fr-FR"/>
        </w:rPr>
        <w:t>s</w:t>
      </w:r>
      <w:r w:rsidR="004312FE" w:rsidRPr="00C70421">
        <w:rPr>
          <w:lang w:val="fr-FR"/>
        </w:rPr>
        <w:t xml:space="preserve"> approches pratiques afin d</w:t>
      </w:r>
      <w:r w:rsidR="00473D89" w:rsidRPr="00C70421">
        <w:rPr>
          <w:lang w:val="fr-FR"/>
        </w:rPr>
        <w:t>’</w:t>
      </w:r>
      <w:r w:rsidR="004312FE" w:rsidRPr="00C70421">
        <w:rPr>
          <w:lang w:val="fr-FR"/>
        </w:rPr>
        <w:t>améliorer la valeur de la recherche et de l</w:t>
      </w:r>
      <w:r w:rsidR="00473D89" w:rsidRPr="00C70421">
        <w:rPr>
          <w:lang w:val="fr-FR"/>
        </w:rPr>
        <w:t>’</w:t>
      </w:r>
      <w:r w:rsidR="004312FE" w:rsidRPr="00C70421">
        <w:rPr>
          <w:lang w:val="fr-FR"/>
        </w:rPr>
        <w:t>examen internationaux selon</w:t>
      </w:r>
      <w:r w:rsidR="00473D89" w:rsidRPr="00C70421">
        <w:rPr>
          <w:lang w:val="fr-FR"/>
        </w:rPr>
        <w:t xml:space="preserve"> le PCT</w:t>
      </w:r>
      <w:r w:rsidR="0050667A" w:rsidRPr="00C70421">
        <w:rPr>
          <w:lang w:val="fr-FR"/>
        </w:rPr>
        <w:t xml:space="preserve">.  </w:t>
      </w:r>
      <w:r w:rsidR="004312FE" w:rsidRPr="00C70421">
        <w:rPr>
          <w:lang w:val="fr-FR"/>
        </w:rPr>
        <w:t>En outre</w:t>
      </w:r>
      <w:r w:rsidR="0050667A" w:rsidRPr="00C70421">
        <w:rPr>
          <w:lang w:val="fr-FR"/>
        </w:rPr>
        <w:t xml:space="preserve">, </w:t>
      </w:r>
      <w:r w:rsidR="004312FE" w:rsidRPr="00C70421">
        <w:rPr>
          <w:lang w:val="fr-FR"/>
        </w:rPr>
        <w:t>ces</w:t>
      </w:r>
      <w:r w:rsidR="0050667A" w:rsidRPr="00C70421">
        <w:rPr>
          <w:lang w:val="fr-FR"/>
        </w:rPr>
        <w:t xml:space="preserve"> efforts </w:t>
      </w:r>
      <w:r w:rsidR="004312FE" w:rsidRPr="00C70421">
        <w:rPr>
          <w:lang w:val="fr-FR"/>
        </w:rPr>
        <w:t>contribueront à améliorer la qualité et la transparence</w:t>
      </w:r>
      <w:r w:rsidR="0050667A" w:rsidRPr="00C70421">
        <w:rPr>
          <w:lang w:val="fr-FR"/>
        </w:rPr>
        <w:t xml:space="preserve">, </w:t>
      </w:r>
      <w:r w:rsidR="004312FE" w:rsidRPr="00C70421">
        <w:rPr>
          <w:lang w:val="fr-FR"/>
        </w:rPr>
        <w:t>qui feront ainsi accroître le niveau de confiance parmi tous les utilisateurs</w:t>
      </w:r>
      <w:r w:rsidR="00473D89" w:rsidRPr="00C70421">
        <w:rPr>
          <w:lang w:val="fr-FR"/>
        </w:rPr>
        <w:t xml:space="preserve"> du PCT</w:t>
      </w:r>
      <w:r w:rsidR="004312FE" w:rsidRPr="00C70421">
        <w:rPr>
          <w:lang w:val="fr-FR"/>
        </w:rPr>
        <w:t xml:space="preserve"> </w:t>
      </w:r>
      <w:r w:rsidR="006A6C1D" w:rsidRPr="00C70421">
        <w:rPr>
          <w:lang w:val="fr-FR"/>
        </w:rPr>
        <w:t>(</w:t>
      </w:r>
      <w:r w:rsidR="004312FE" w:rsidRPr="00C70421">
        <w:rPr>
          <w:lang w:val="fr-FR"/>
        </w:rPr>
        <w:t xml:space="preserve">voir les </w:t>
      </w:r>
      <w:r w:rsidR="004312FE" w:rsidRPr="00C70421">
        <w:rPr>
          <w:noProof/>
          <w:szCs w:val="22"/>
          <w:lang w:val="fr-FR"/>
        </w:rPr>
        <w:t>statistiques</w:t>
      </w:r>
      <w:r w:rsidR="004312FE" w:rsidRPr="00C70421">
        <w:rPr>
          <w:rStyle w:val="Hyperlink"/>
          <w:lang w:val="fr-FR"/>
        </w:rPr>
        <w:t xml:space="preserve"> concernant</w:t>
      </w:r>
      <w:r w:rsidR="00473D89" w:rsidRPr="00C70421">
        <w:rPr>
          <w:rStyle w:val="Hyperlink"/>
          <w:lang w:val="fr-FR"/>
        </w:rPr>
        <w:t xml:space="preserve"> le PCT</w:t>
      </w:r>
      <w:r w:rsidR="004312FE" w:rsidRPr="00C70421">
        <w:rPr>
          <w:lang w:val="fr-FR"/>
        </w:rPr>
        <w:t xml:space="preserve"> présentées au cours de la</w:t>
      </w:r>
      <w:r w:rsidR="001B680D" w:rsidRPr="00C70421">
        <w:rPr>
          <w:lang w:val="fr-FR"/>
        </w:rPr>
        <w:t xml:space="preserve"> vingt</w:t>
      </w:r>
      <w:r w:rsidR="00001599">
        <w:rPr>
          <w:lang w:val="fr-FR"/>
        </w:rPr>
        <w:noBreakHyphen/>
      </w:r>
      <w:r w:rsidR="001B680D" w:rsidRPr="00C70421">
        <w:rPr>
          <w:lang w:val="fr-FR"/>
        </w:rPr>
        <w:t>quatr</w:t>
      </w:r>
      <w:r w:rsidR="00473D89" w:rsidRPr="00C70421">
        <w:rPr>
          <w:lang w:val="fr-FR"/>
        </w:rPr>
        <w:t>ième session</w:t>
      </w:r>
      <w:r w:rsidR="001B680D" w:rsidRPr="00C70421">
        <w:rPr>
          <w:lang w:val="fr-FR"/>
        </w:rPr>
        <w:t xml:space="preserve"> de la R</w:t>
      </w:r>
      <w:r w:rsidR="004312FE" w:rsidRPr="00C70421">
        <w:rPr>
          <w:lang w:val="fr-FR"/>
        </w:rPr>
        <w:t>éunion des administrations internationales instituées en vertu du PCT</w:t>
      </w:r>
      <w:r w:rsidR="006A6C1D" w:rsidRPr="00C70421">
        <w:rPr>
          <w:lang w:val="fr-FR"/>
        </w:rPr>
        <w:t>).</w:t>
      </w:r>
    </w:p>
    <w:p w:rsidR="0050667A" w:rsidRPr="00C70421" w:rsidRDefault="0050667A" w:rsidP="00E93C4E">
      <w:pPr>
        <w:pStyle w:val="SectionHeading"/>
        <w:rPr>
          <w:lang w:val="fr-FR"/>
        </w:rPr>
      </w:pPr>
      <w:r w:rsidRPr="00C70421">
        <w:rPr>
          <w:lang w:val="fr-FR"/>
        </w:rPr>
        <w:lastRenderedPageBreak/>
        <w:t xml:space="preserve">5 – </w:t>
      </w:r>
      <w:r w:rsidR="00114AC9" w:rsidRPr="00C70421">
        <w:rPr>
          <w:lang w:val="fr-FR"/>
        </w:rPr>
        <w:t>État</w:t>
      </w:r>
      <w:r w:rsidR="0045059A" w:rsidRPr="00C70421">
        <w:rPr>
          <w:lang w:val="fr-FR"/>
        </w:rPr>
        <w:t xml:space="preserve"> candidat</w:t>
      </w:r>
    </w:p>
    <w:p w:rsidR="0050667A" w:rsidRPr="00C70421" w:rsidRDefault="00114AC9" w:rsidP="00E93C4E">
      <w:pPr>
        <w:pStyle w:val="Subsection"/>
        <w:rPr>
          <w:lang w:val="fr-FR"/>
        </w:rPr>
      </w:pPr>
      <w:r w:rsidRPr="00C70421">
        <w:rPr>
          <w:lang w:val="fr-FR"/>
        </w:rPr>
        <w:t xml:space="preserve">Emplacement </w:t>
      </w:r>
      <w:r w:rsidR="0045059A" w:rsidRPr="00C70421">
        <w:rPr>
          <w:lang w:val="fr-FR"/>
        </w:rPr>
        <w:t>géographique</w:t>
      </w:r>
    </w:p>
    <w:p w:rsidR="0050667A" w:rsidRPr="00C70421" w:rsidRDefault="0050667A" w:rsidP="00E93C4E">
      <w:pPr>
        <w:rPr>
          <w:rFonts w:ascii="Century Gothic" w:hAnsi="Century Gothic"/>
          <w:iCs/>
          <w:sz w:val="16"/>
          <w:szCs w:val="16"/>
          <w:lang w:val="fr-FR"/>
        </w:rPr>
      </w:pPr>
      <w:r w:rsidRPr="00C70421">
        <w:rPr>
          <w:noProof/>
          <w:lang w:eastAsia="en-US"/>
        </w:rPr>
        <w:drawing>
          <wp:inline distT="0" distB="0" distL="0" distR="0" wp14:anchorId="0DB62801" wp14:editId="202967B0">
            <wp:extent cx="3175000" cy="364769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00110" cy="367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67A" w:rsidRPr="00C70421" w:rsidRDefault="0050667A" w:rsidP="00E93C4E">
      <w:pPr>
        <w:rPr>
          <w:rFonts w:ascii="Century Gothic" w:hAnsi="Century Gothic"/>
          <w:sz w:val="20"/>
          <w:lang w:val="fr-FR"/>
        </w:rPr>
      </w:pPr>
    </w:p>
    <w:p w:rsidR="00473D89" w:rsidRPr="00C70421" w:rsidRDefault="0045059A" w:rsidP="00E93C4E">
      <w:pPr>
        <w:pStyle w:val="Subsection"/>
        <w:rPr>
          <w:lang w:val="fr-FR"/>
        </w:rPr>
      </w:pPr>
      <w:r w:rsidRPr="00C70421">
        <w:rPr>
          <w:lang w:val="fr-FR"/>
        </w:rPr>
        <w:t>Superficie</w:t>
      </w:r>
    </w:p>
    <w:p w:rsidR="00473D89" w:rsidRPr="00C70421" w:rsidRDefault="0050667A" w:rsidP="00E93C4E">
      <w:pPr>
        <w:rPr>
          <w:lang w:val="fr-FR"/>
        </w:rPr>
      </w:pPr>
      <w:r w:rsidRPr="00C70421">
        <w:rPr>
          <w:lang w:val="fr-FR"/>
        </w:rPr>
        <w:t xml:space="preserve">• </w:t>
      </w:r>
      <w:r w:rsidRPr="00C70421">
        <w:rPr>
          <w:lang w:val="fr-FR"/>
        </w:rPr>
        <w:tab/>
        <w:t>Total</w:t>
      </w:r>
      <w:r w:rsidR="0045059A" w:rsidRPr="00C70421">
        <w:rPr>
          <w:lang w:val="fr-FR"/>
        </w:rPr>
        <w:t xml:space="preserve">e </w:t>
      </w:r>
      <w:r w:rsidR="0045059A" w:rsidRPr="00C70421">
        <w:rPr>
          <w:lang w:val="fr-FR"/>
        </w:rPr>
        <w:tab/>
      </w:r>
      <w:r w:rsidR="0045059A" w:rsidRPr="00C70421">
        <w:rPr>
          <w:lang w:val="fr-FR"/>
        </w:rPr>
        <w:tab/>
      </w:r>
      <w:r w:rsidR="0085063C">
        <w:rPr>
          <w:lang w:val="fr-FR"/>
        </w:rPr>
        <w:tab/>
      </w:r>
      <w:r w:rsidR="0045059A" w:rsidRPr="00C70421">
        <w:rPr>
          <w:lang w:val="fr-FR"/>
        </w:rPr>
        <w:t>9 984</w:t>
      </w:r>
      <w:r w:rsidR="0085063C">
        <w:rPr>
          <w:lang w:val="fr-FR"/>
        </w:rPr>
        <w:t> 670 </w:t>
      </w:r>
      <w:r w:rsidRPr="00C70421">
        <w:rPr>
          <w:lang w:val="fr-FR"/>
        </w:rPr>
        <w:t>km</w:t>
      </w:r>
      <w:r w:rsidRPr="00C70421">
        <w:rPr>
          <w:vertAlign w:val="superscript"/>
          <w:lang w:val="fr-FR"/>
        </w:rPr>
        <w:t>2</w:t>
      </w:r>
      <w:r w:rsidRPr="00C70421">
        <w:rPr>
          <w:lang w:val="fr-FR"/>
        </w:rPr>
        <w:t xml:space="preserve"> (3</w:t>
      </w:r>
      <w:r w:rsidR="0045059A" w:rsidRPr="00C70421">
        <w:rPr>
          <w:lang w:val="fr-FR"/>
        </w:rPr>
        <w:t> 854</w:t>
      </w:r>
      <w:r w:rsidR="0085063C">
        <w:rPr>
          <w:lang w:val="fr-FR"/>
        </w:rPr>
        <w:t> 085 </w:t>
      </w:r>
      <w:r w:rsidRPr="00C70421">
        <w:rPr>
          <w:lang w:val="fr-FR"/>
        </w:rPr>
        <w:t>mi</w:t>
      </w:r>
      <w:r w:rsidRPr="00C70421">
        <w:rPr>
          <w:vertAlign w:val="superscript"/>
          <w:lang w:val="fr-FR"/>
        </w:rPr>
        <w:t>2</w:t>
      </w:r>
      <w:r w:rsidRPr="00C70421">
        <w:rPr>
          <w:lang w:val="fr-FR"/>
        </w:rPr>
        <w:t>)</w:t>
      </w:r>
    </w:p>
    <w:p w:rsidR="0050667A" w:rsidRPr="00C70421" w:rsidRDefault="0050667A" w:rsidP="00E93C4E">
      <w:pPr>
        <w:rPr>
          <w:lang w:val="fr-FR"/>
        </w:rPr>
      </w:pPr>
      <w:r w:rsidRPr="00C70421">
        <w:rPr>
          <w:lang w:val="fr-FR"/>
        </w:rPr>
        <w:t xml:space="preserve">• </w:t>
      </w:r>
      <w:r w:rsidRPr="00C70421">
        <w:rPr>
          <w:lang w:val="fr-FR"/>
        </w:rPr>
        <w:tab/>
      </w:r>
      <w:r w:rsidR="0045059A" w:rsidRPr="00C70421">
        <w:rPr>
          <w:lang w:val="fr-FR"/>
        </w:rPr>
        <w:t>Étendue d</w:t>
      </w:r>
      <w:r w:rsidR="00473D89" w:rsidRPr="00C70421">
        <w:rPr>
          <w:lang w:val="fr-FR"/>
        </w:rPr>
        <w:t>’</w:t>
      </w:r>
      <w:r w:rsidR="0045059A" w:rsidRPr="00C70421">
        <w:rPr>
          <w:lang w:val="fr-FR"/>
        </w:rPr>
        <w:t xml:space="preserve">eau (%) </w:t>
      </w:r>
      <w:r w:rsidR="0045059A" w:rsidRPr="00C70421">
        <w:rPr>
          <w:lang w:val="fr-FR"/>
        </w:rPr>
        <w:tab/>
        <w:t>8,92 (891</w:t>
      </w:r>
      <w:r w:rsidR="0085063C">
        <w:rPr>
          <w:lang w:val="fr-FR"/>
        </w:rPr>
        <w:t> 163 </w:t>
      </w:r>
      <w:r w:rsidRPr="00C70421">
        <w:rPr>
          <w:lang w:val="fr-FR"/>
        </w:rPr>
        <w:t>km</w:t>
      </w:r>
      <w:r w:rsidRPr="00C70421">
        <w:rPr>
          <w:vertAlign w:val="superscript"/>
          <w:lang w:val="fr-FR"/>
        </w:rPr>
        <w:t>2</w:t>
      </w:r>
      <w:r w:rsidR="0045059A" w:rsidRPr="00C70421">
        <w:rPr>
          <w:lang w:val="fr-FR"/>
        </w:rPr>
        <w:t xml:space="preserve"> / 344</w:t>
      </w:r>
      <w:r w:rsidR="0085063C">
        <w:rPr>
          <w:lang w:val="fr-FR"/>
        </w:rPr>
        <w:t> 080 </w:t>
      </w:r>
      <w:r w:rsidRPr="00C70421">
        <w:rPr>
          <w:lang w:val="fr-FR"/>
        </w:rPr>
        <w:t>mi</w:t>
      </w:r>
      <w:r w:rsidRPr="00C70421">
        <w:rPr>
          <w:vertAlign w:val="superscript"/>
          <w:lang w:val="fr-FR"/>
        </w:rPr>
        <w:t>2</w:t>
      </w:r>
      <w:r w:rsidRPr="00C70421">
        <w:rPr>
          <w:lang w:val="fr-FR"/>
        </w:rPr>
        <w:t>)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114AC9" w:rsidP="00E93C4E">
      <w:pPr>
        <w:pStyle w:val="Subsection"/>
        <w:rPr>
          <w:lang w:val="fr-FR"/>
        </w:rPr>
      </w:pPr>
      <w:bookmarkStart w:id="9" w:name="Memberships"/>
      <w:bookmarkEnd w:id="9"/>
      <w:r w:rsidRPr="00C70421">
        <w:rPr>
          <w:lang w:val="fr-FR"/>
        </w:rPr>
        <w:t>Appartenance à des o</w:t>
      </w:r>
      <w:r w:rsidR="00E45FCD" w:rsidRPr="00C70421">
        <w:rPr>
          <w:lang w:val="fr-FR"/>
        </w:rPr>
        <w:t>rganisations i</w:t>
      </w:r>
      <w:r w:rsidR="0050667A" w:rsidRPr="00C70421">
        <w:rPr>
          <w:lang w:val="fr-FR"/>
        </w:rPr>
        <w:t>nternational</w:t>
      </w:r>
      <w:r w:rsidR="00E45FCD" w:rsidRPr="00C70421">
        <w:rPr>
          <w:lang w:val="fr-FR"/>
        </w:rPr>
        <w:t>es et</w:t>
      </w:r>
      <w:r w:rsidR="0050667A" w:rsidRPr="00C70421">
        <w:rPr>
          <w:lang w:val="fr-FR"/>
        </w:rPr>
        <w:t xml:space="preserve"> </w:t>
      </w:r>
      <w:r w:rsidR="00E45FCD" w:rsidRPr="00C70421">
        <w:rPr>
          <w:lang w:val="fr-FR"/>
        </w:rPr>
        <w:t>ré</w:t>
      </w:r>
      <w:r w:rsidR="0050667A" w:rsidRPr="00C70421">
        <w:rPr>
          <w:lang w:val="fr-FR"/>
        </w:rPr>
        <w:t>gional</w:t>
      </w:r>
      <w:r w:rsidR="00E45FCD" w:rsidRPr="00C70421">
        <w:rPr>
          <w:lang w:val="fr-FR"/>
        </w:rPr>
        <w:t>es</w:t>
      </w:r>
      <w:r w:rsidR="00473D89" w:rsidRPr="00C70421">
        <w:rPr>
          <w:lang w:val="fr-FR"/>
        </w:rPr>
        <w:t> :</w:t>
      </w:r>
    </w:p>
    <w:p w:rsidR="0050667A" w:rsidRPr="00C70421" w:rsidRDefault="00E45FCD" w:rsidP="00E93C4E">
      <w:pPr>
        <w:rPr>
          <w:lang w:val="fr-FR"/>
        </w:rPr>
      </w:pPr>
      <w:r w:rsidRPr="00C70421">
        <w:rPr>
          <w:lang w:val="fr-FR"/>
        </w:rPr>
        <w:t>Le Canada s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attache à promouvoir le partage des valeurs communes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égalité, de démocratie, </w:t>
      </w:r>
      <w:r w:rsidR="005B2D47" w:rsidRPr="00C70421">
        <w:rPr>
          <w:lang w:val="fr-FR"/>
        </w:rPr>
        <w:t>de</w:t>
      </w:r>
      <w:r w:rsidRPr="00C70421">
        <w:rPr>
          <w:lang w:val="fr-FR"/>
        </w:rPr>
        <w:t xml:space="preserve"> respect du droit</w:t>
      </w:r>
      <w:r w:rsidR="005B2D47" w:rsidRPr="00C70421">
        <w:rPr>
          <w:lang w:val="fr-FR"/>
        </w:rPr>
        <w:t>,</w:t>
      </w:r>
      <w:r w:rsidRPr="00C70421">
        <w:rPr>
          <w:lang w:val="fr-FR"/>
        </w:rPr>
        <w:t xml:space="preserve"> </w:t>
      </w:r>
      <w:r w:rsidR="005B2D47" w:rsidRPr="00C70421">
        <w:rPr>
          <w:lang w:val="fr-FR"/>
        </w:rPr>
        <w:t xml:space="preserve">de transparence </w:t>
      </w:r>
      <w:r w:rsidRPr="00C70421">
        <w:rPr>
          <w:lang w:val="fr-FR"/>
        </w:rPr>
        <w:t>et de bonne gouvernance</w:t>
      </w:r>
      <w:r w:rsidR="0050667A" w:rsidRPr="00C70421">
        <w:rPr>
          <w:lang w:val="fr-FR"/>
        </w:rPr>
        <w:t xml:space="preserve"> </w:t>
      </w:r>
      <w:r w:rsidR="001B680D" w:rsidRPr="00C70421">
        <w:rPr>
          <w:lang w:val="fr-FR"/>
        </w:rPr>
        <w:t>par sa</w:t>
      </w:r>
      <w:r w:rsidRPr="00C70421">
        <w:rPr>
          <w:lang w:val="fr-FR"/>
        </w:rPr>
        <w:t xml:space="preserve"> </w:t>
      </w:r>
      <w:r w:rsidR="005B2D47" w:rsidRPr="00C70421">
        <w:rPr>
          <w:lang w:val="fr-FR"/>
        </w:rPr>
        <w:t>participation</w:t>
      </w:r>
      <w:r w:rsidRPr="00C70421">
        <w:rPr>
          <w:lang w:val="fr-FR"/>
        </w:rPr>
        <w:t xml:space="preserve"> </w:t>
      </w:r>
      <w:r w:rsidR="005B2D47" w:rsidRPr="00C70421">
        <w:rPr>
          <w:lang w:val="fr-FR"/>
        </w:rPr>
        <w:t>au sein</w:t>
      </w:r>
      <w:r w:rsidRPr="00C70421">
        <w:rPr>
          <w:lang w:val="fr-FR"/>
        </w:rPr>
        <w:t xml:space="preserve"> de nombreuses organisations </w:t>
      </w:r>
      <w:r w:rsidR="0050667A" w:rsidRPr="00C70421">
        <w:rPr>
          <w:lang w:val="fr-FR"/>
        </w:rPr>
        <w:t>international</w:t>
      </w:r>
      <w:r w:rsidRPr="00C70421">
        <w:rPr>
          <w:lang w:val="fr-FR"/>
        </w:rPr>
        <w:t>es et</w:t>
      </w:r>
      <w:r w:rsidR="0050667A" w:rsidRPr="00C70421">
        <w:rPr>
          <w:lang w:val="fr-FR"/>
        </w:rPr>
        <w:t xml:space="preserve"> r</w:t>
      </w:r>
      <w:r w:rsidRPr="00C70421">
        <w:rPr>
          <w:lang w:val="fr-FR"/>
        </w:rPr>
        <w:t>é</w:t>
      </w:r>
      <w:r w:rsidR="0050667A" w:rsidRPr="00C70421">
        <w:rPr>
          <w:lang w:val="fr-FR"/>
        </w:rPr>
        <w:t>gional</w:t>
      </w:r>
      <w:r w:rsidR="00C70421" w:rsidRPr="00C70421">
        <w:rPr>
          <w:lang w:val="fr-FR"/>
        </w:rPr>
        <w:t>es.  Le</w:t>
      </w:r>
      <w:r w:rsidRPr="00C70421">
        <w:rPr>
          <w:lang w:val="fr-FR"/>
        </w:rPr>
        <w:t xml:space="preserve"> Canada est membre ou observateur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au moins 78 organisations, dont</w:t>
      </w:r>
      <w:r w:rsidR="00473D89" w:rsidRPr="00C70421">
        <w:rPr>
          <w:lang w:val="fr-FR"/>
        </w:rPr>
        <w:t> :</w:t>
      </w:r>
    </w:p>
    <w:p w:rsidR="0050667A" w:rsidRPr="00C70421" w:rsidRDefault="00E45FCD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Association</w:t>
      </w:r>
      <w:proofErr w:type="gramEnd"/>
      <w:r w:rsidRPr="00C70421">
        <w:rPr>
          <w:lang w:val="fr-FR"/>
        </w:rPr>
        <w:t xml:space="preserve"> de coopération économique Asie Pacifique </w:t>
      </w:r>
      <w:r w:rsidR="0050667A" w:rsidRPr="00C70421">
        <w:rPr>
          <w:lang w:val="fr-FR"/>
        </w:rPr>
        <w:t>(APEC)</w:t>
      </w:r>
    </w:p>
    <w:p w:rsidR="00473D89" w:rsidRPr="00C70421" w:rsidRDefault="00E45FCD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Association</w:t>
      </w:r>
      <w:proofErr w:type="gramEnd"/>
      <w:r w:rsidRPr="00C70421">
        <w:rPr>
          <w:lang w:val="fr-FR"/>
        </w:rPr>
        <w:t xml:space="preserve"> des nations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Asie du Sud Est </w:t>
      </w:r>
      <w:r w:rsidR="0050667A" w:rsidRPr="00C70421">
        <w:rPr>
          <w:lang w:val="fr-FR"/>
        </w:rPr>
        <w:t>(ASEAN) (</w:t>
      </w:r>
      <w:r w:rsidR="00614B25" w:rsidRPr="00C70421">
        <w:rPr>
          <w:lang w:val="fr-FR"/>
        </w:rPr>
        <w:t xml:space="preserve">partenaire du </w:t>
      </w:r>
      <w:r w:rsidR="0050667A" w:rsidRPr="00C70421">
        <w:rPr>
          <w:lang w:val="fr-FR"/>
        </w:rPr>
        <w:t xml:space="preserve">dialogue) </w:t>
      </w:r>
      <w:r w:rsidR="00614B25" w:rsidRPr="00C70421">
        <w:rPr>
          <w:lang w:val="fr-FR"/>
        </w:rPr>
        <w:t>et le Forum régional de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ASEAN</w:t>
      </w:r>
    </w:p>
    <w:p w:rsidR="00473D89" w:rsidRPr="00C70421" w:rsidRDefault="00614B25" w:rsidP="00E93C4E">
      <w:pPr>
        <w:rPr>
          <w:lang w:val="fr-FR"/>
        </w:rPr>
      </w:pPr>
      <w:proofErr w:type="gramStart"/>
      <w:r w:rsidRPr="00C70421">
        <w:rPr>
          <w:lang w:val="fr-FR"/>
        </w:rPr>
        <w:t>le</w:t>
      </w:r>
      <w:proofErr w:type="gramEnd"/>
      <w:r w:rsidRPr="00C70421">
        <w:rPr>
          <w:lang w:val="fr-FR"/>
        </w:rPr>
        <w:t xml:space="preserve"> </w:t>
      </w:r>
      <w:r w:rsidR="0050667A" w:rsidRPr="00C70421">
        <w:rPr>
          <w:lang w:val="fr-FR"/>
        </w:rPr>
        <w:t>Commonwealth</w:t>
      </w:r>
    </w:p>
    <w:p w:rsidR="0050667A" w:rsidRPr="00C70421" w:rsidRDefault="00D24E53" w:rsidP="00E93C4E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b</w:t>
      </w:r>
      <w:r w:rsidR="00614B25" w:rsidRPr="00C70421">
        <w:rPr>
          <w:lang w:val="fr-FR"/>
        </w:rPr>
        <w:t>anques de dé</w:t>
      </w:r>
      <w:r w:rsidR="0050667A" w:rsidRPr="00C70421">
        <w:rPr>
          <w:lang w:val="fr-FR"/>
        </w:rPr>
        <w:t>velop</w:t>
      </w:r>
      <w:r w:rsidR="00614B25" w:rsidRPr="00C70421">
        <w:rPr>
          <w:lang w:val="fr-FR"/>
        </w:rPr>
        <w:t>pe</w:t>
      </w:r>
      <w:r w:rsidR="0050667A" w:rsidRPr="00C70421">
        <w:rPr>
          <w:lang w:val="fr-FR"/>
        </w:rPr>
        <w:t>ment (</w:t>
      </w:r>
      <w:r w:rsidR="00760755" w:rsidRPr="00C70421">
        <w:rPr>
          <w:lang w:val="fr-FR"/>
        </w:rPr>
        <w:t>Banque africaine de développement</w:t>
      </w:r>
      <w:r w:rsidR="0050667A" w:rsidRPr="00C70421">
        <w:rPr>
          <w:lang w:val="fr-FR"/>
        </w:rPr>
        <w:t>,</w:t>
      </w:r>
      <w:r w:rsidR="00760755" w:rsidRPr="00C70421">
        <w:rPr>
          <w:lang w:val="fr-FR"/>
        </w:rPr>
        <w:t xml:space="preserve"> Banque</w:t>
      </w:r>
      <w:r w:rsidR="0050667A" w:rsidRPr="00C70421">
        <w:rPr>
          <w:lang w:val="fr-FR"/>
        </w:rPr>
        <w:t xml:space="preserve"> </w:t>
      </w:r>
      <w:r w:rsidR="00760755" w:rsidRPr="00C70421">
        <w:rPr>
          <w:lang w:val="fr-FR"/>
        </w:rPr>
        <w:t xml:space="preserve">asiatique de </w:t>
      </w:r>
      <w:r w:rsidR="00760755" w:rsidRPr="0085063C">
        <w:rPr>
          <w:lang w:val="fr-FR"/>
        </w:rPr>
        <w:t>développement</w:t>
      </w:r>
      <w:r w:rsidR="0050667A" w:rsidRPr="0085063C">
        <w:rPr>
          <w:lang w:val="fr-FR"/>
        </w:rPr>
        <w:t>,</w:t>
      </w:r>
      <w:r w:rsidR="00760755" w:rsidRPr="0085063C">
        <w:rPr>
          <w:lang w:val="fr-FR"/>
        </w:rPr>
        <w:t xml:space="preserve"> Banque de développement</w:t>
      </w:r>
      <w:r w:rsidR="0050667A" w:rsidRPr="0085063C">
        <w:rPr>
          <w:lang w:val="fr-FR"/>
        </w:rPr>
        <w:t xml:space="preserve"> </w:t>
      </w:r>
      <w:r w:rsidR="00760755" w:rsidRPr="0085063C">
        <w:rPr>
          <w:lang w:val="fr-FR"/>
        </w:rPr>
        <w:t>des Caraïbes</w:t>
      </w:r>
      <w:r w:rsidR="0050667A" w:rsidRPr="0085063C">
        <w:rPr>
          <w:lang w:val="fr-FR"/>
        </w:rPr>
        <w:t xml:space="preserve">, </w:t>
      </w:r>
      <w:r w:rsidR="00760755" w:rsidRPr="0085063C">
        <w:rPr>
          <w:lang w:val="fr-FR"/>
        </w:rPr>
        <w:t>Banques européenne et i</w:t>
      </w:r>
      <w:r w:rsidR="0050667A" w:rsidRPr="0085063C">
        <w:rPr>
          <w:lang w:val="fr-FR"/>
        </w:rPr>
        <w:t>nternational</w:t>
      </w:r>
      <w:r w:rsidR="00760755" w:rsidRPr="0085063C">
        <w:rPr>
          <w:lang w:val="fr-FR"/>
        </w:rPr>
        <w:t>e</w:t>
      </w:r>
      <w:r w:rsidR="0050667A" w:rsidRPr="0085063C">
        <w:rPr>
          <w:lang w:val="fr-FR"/>
        </w:rPr>
        <w:t xml:space="preserve"> </w:t>
      </w:r>
      <w:r w:rsidR="00760755" w:rsidRPr="0085063C">
        <w:rPr>
          <w:lang w:val="fr-FR"/>
        </w:rPr>
        <w:t>pour la</w:t>
      </w:r>
      <w:r w:rsidR="0050667A" w:rsidRPr="0085063C">
        <w:rPr>
          <w:lang w:val="fr-FR"/>
        </w:rPr>
        <w:t xml:space="preserve"> </w:t>
      </w:r>
      <w:r w:rsidR="00760755" w:rsidRPr="0085063C">
        <w:rPr>
          <w:lang w:val="fr-FR"/>
        </w:rPr>
        <w:t>reconstruction et le développement et Banque interaméricaine de</w:t>
      </w:r>
      <w:r w:rsidR="00760755" w:rsidRPr="00C70421">
        <w:rPr>
          <w:lang w:val="fr-FR"/>
        </w:rPr>
        <w:t xml:space="preserve"> développement</w:t>
      </w:r>
      <w:r w:rsidR="0050667A" w:rsidRPr="00C70421">
        <w:rPr>
          <w:lang w:val="fr-FR"/>
        </w:rPr>
        <w:t>)</w:t>
      </w:r>
    </w:p>
    <w:p w:rsidR="0050667A" w:rsidRPr="00C70421" w:rsidRDefault="00760755" w:rsidP="00E93C4E">
      <w:pPr>
        <w:rPr>
          <w:lang w:val="fr-FR"/>
        </w:rPr>
      </w:pPr>
      <w:proofErr w:type="gramStart"/>
      <w:r w:rsidRPr="00C70421">
        <w:rPr>
          <w:lang w:val="fr-FR"/>
        </w:rPr>
        <w:t>le</w:t>
      </w:r>
      <w:proofErr w:type="gramEnd"/>
      <w:r w:rsidRPr="00C70421">
        <w:rPr>
          <w:lang w:val="fr-FR"/>
        </w:rPr>
        <w:t xml:space="preserve"> </w:t>
      </w:r>
      <w:r w:rsidR="0050667A" w:rsidRPr="00C70421">
        <w:rPr>
          <w:lang w:val="fr-FR"/>
        </w:rPr>
        <w:t>G</w:t>
      </w:r>
      <w:r w:rsidR="00001599">
        <w:rPr>
          <w:lang w:val="fr-FR"/>
        </w:rPr>
        <w:noBreakHyphen/>
      </w:r>
      <w:r w:rsidR="0050667A" w:rsidRPr="00C70421">
        <w:rPr>
          <w:lang w:val="fr-FR"/>
        </w:rPr>
        <w:t>7</w:t>
      </w:r>
    </w:p>
    <w:p w:rsidR="0050667A" w:rsidRPr="00C70421" w:rsidRDefault="00760755" w:rsidP="00E93C4E">
      <w:pPr>
        <w:rPr>
          <w:lang w:val="fr-FR"/>
        </w:rPr>
      </w:pPr>
      <w:proofErr w:type="gramStart"/>
      <w:r w:rsidRPr="00C70421">
        <w:rPr>
          <w:lang w:val="fr-FR"/>
        </w:rPr>
        <w:t>le</w:t>
      </w:r>
      <w:proofErr w:type="gramEnd"/>
      <w:r w:rsidRPr="00C70421">
        <w:rPr>
          <w:lang w:val="fr-FR"/>
        </w:rPr>
        <w:t xml:space="preserve"> </w:t>
      </w:r>
      <w:r w:rsidR="0050667A" w:rsidRPr="00C70421">
        <w:rPr>
          <w:lang w:val="fr-FR"/>
        </w:rPr>
        <w:t>G</w:t>
      </w:r>
      <w:r w:rsidR="00001599">
        <w:rPr>
          <w:lang w:val="fr-FR"/>
        </w:rPr>
        <w:noBreakHyphen/>
      </w:r>
      <w:r w:rsidR="0050667A" w:rsidRPr="00C70421">
        <w:rPr>
          <w:lang w:val="fr-FR"/>
        </w:rPr>
        <w:t>20</w:t>
      </w:r>
    </w:p>
    <w:p w:rsidR="0050667A" w:rsidRPr="00C70421" w:rsidRDefault="00760755" w:rsidP="00E93C4E">
      <w:pPr>
        <w:rPr>
          <w:lang w:val="fr-FR"/>
        </w:rPr>
      </w:pPr>
      <w:proofErr w:type="gramStart"/>
      <w:r w:rsidRPr="00C70421">
        <w:rPr>
          <w:lang w:val="fr-FR"/>
        </w:rPr>
        <w:t>la</w:t>
      </w:r>
      <w:proofErr w:type="gramEnd"/>
      <w:r w:rsidRPr="00C70421">
        <w:rPr>
          <w:lang w:val="fr-FR"/>
        </w:rPr>
        <w:t xml:space="preserve"> Cour pénale internationale</w:t>
      </w:r>
    </w:p>
    <w:p w:rsidR="0050667A" w:rsidRPr="00C70421" w:rsidRDefault="00760755" w:rsidP="00E93C4E">
      <w:pPr>
        <w:rPr>
          <w:lang w:val="fr-FR"/>
        </w:rPr>
      </w:pPr>
      <w:proofErr w:type="gramStart"/>
      <w:r w:rsidRPr="00C70421">
        <w:rPr>
          <w:lang w:val="fr-FR"/>
        </w:rPr>
        <w:t>la</w:t>
      </w:r>
      <w:proofErr w:type="gramEnd"/>
      <w:r w:rsidRPr="00C70421">
        <w:rPr>
          <w:lang w:val="fr-FR"/>
        </w:rPr>
        <w:t xml:space="preserve"> Fédération internationale des Sociétés de la Croix</w:t>
      </w:r>
      <w:r w:rsidR="00001599">
        <w:rPr>
          <w:lang w:val="fr-FR"/>
        </w:rPr>
        <w:noBreakHyphen/>
      </w:r>
      <w:r w:rsidRPr="00C70421">
        <w:rPr>
          <w:lang w:val="fr-FR"/>
        </w:rPr>
        <w:t>Rouge et du Croissant</w:t>
      </w:r>
      <w:r w:rsidR="00001599">
        <w:rPr>
          <w:lang w:val="fr-FR"/>
        </w:rPr>
        <w:noBreakHyphen/>
      </w:r>
      <w:r w:rsidRPr="00C70421">
        <w:rPr>
          <w:lang w:val="fr-FR"/>
        </w:rPr>
        <w:t>Rouge</w:t>
      </w:r>
    </w:p>
    <w:p w:rsidR="0050667A" w:rsidRPr="00C70421" w:rsidRDefault="00760755" w:rsidP="00E93C4E">
      <w:pPr>
        <w:rPr>
          <w:lang w:val="fr-FR"/>
        </w:rPr>
      </w:pPr>
      <w:proofErr w:type="gramStart"/>
      <w:r w:rsidRPr="00C70421">
        <w:rPr>
          <w:lang w:val="fr-FR"/>
        </w:rPr>
        <w:t>le</w:t>
      </w:r>
      <w:proofErr w:type="gramEnd"/>
      <w:r w:rsidRPr="00C70421">
        <w:rPr>
          <w:lang w:val="fr-FR"/>
        </w:rPr>
        <w:t xml:space="preserve"> Groupe de travail international pour les affaires autochtones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760755" w:rsidRPr="00C70421">
        <w:rPr>
          <w:lang w:val="fr-FR"/>
        </w:rPr>
        <w:t>e</w:t>
      </w:r>
      <w:proofErr w:type="gramEnd"/>
      <w:r w:rsidR="00760755" w:rsidRPr="00C70421">
        <w:rPr>
          <w:lang w:val="fr-FR"/>
        </w:rPr>
        <w:t xml:space="preserve"> Mouvement international de la Croix</w:t>
      </w:r>
      <w:r w:rsidR="00001599">
        <w:rPr>
          <w:lang w:val="fr-FR"/>
        </w:rPr>
        <w:noBreakHyphen/>
      </w:r>
      <w:r w:rsidR="00760755" w:rsidRPr="00C70421">
        <w:rPr>
          <w:lang w:val="fr-FR"/>
        </w:rPr>
        <w:t>Rouge et du Croissant</w:t>
      </w:r>
      <w:r w:rsidR="00001599">
        <w:rPr>
          <w:lang w:val="fr-FR"/>
        </w:rPr>
        <w:noBreakHyphen/>
      </w:r>
      <w:r w:rsidR="00760755" w:rsidRPr="00C70421">
        <w:rPr>
          <w:lang w:val="fr-FR"/>
        </w:rPr>
        <w:t>Rouge</w:t>
      </w:r>
    </w:p>
    <w:p w:rsidR="0050667A" w:rsidRPr="00C70421" w:rsidRDefault="0050667A" w:rsidP="00E93C4E">
      <w:pPr>
        <w:rPr>
          <w:lang w:val="fr-FR"/>
        </w:rPr>
      </w:pPr>
      <w:r w:rsidRPr="00C70421">
        <w:rPr>
          <w:lang w:val="fr-FR"/>
        </w:rPr>
        <w:t>Interpol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60755" w:rsidRPr="00C70421">
        <w:rPr>
          <w:lang w:val="fr-FR"/>
        </w:rPr>
        <w:t>Organisation</w:t>
      </w:r>
      <w:proofErr w:type="gramEnd"/>
      <w:r w:rsidR="00760755" w:rsidRPr="00C70421">
        <w:rPr>
          <w:lang w:val="fr-FR"/>
        </w:rPr>
        <w:t xml:space="preserve"> internationale de la</w:t>
      </w:r>
      <w:r w:rsidR="0050667A" w:rsidRPr="00C70421">
        <w:rPr>
          <w:lang w:val="fr-FR"/>
        </w:rPr>
        <w:t xml:space="preserve"> Francophonie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60755" w:rsidRPr="00C70421">
        <w:rPr>
          <w:lang w:val="fr-FR"/>
        </w:rPr>
        <w:t>Organisation</w:t>
      </w:r>
      <w:proofErr w:type="gramEnd"/>
      <w:r w:rsidR="00760755" w:rsidRPr="00C70421">
        <w:rPr>
          <w:lang w:val="fr-FR"/>
        </w:rPr>
        <w:t xml:space="preserve"> du traité de l</w:t>
      </w:r>
      <w:r w:rsidR="00473D89" w:rsidRPr="00C70421">
        <w:rPr>
          <w:lang w:val="fr-FR"/>
        </w:rPr>
        <w:t>’</w:t>
      </w:r>
      <w:r w:rsidR="00760755" w:rsidRPr="00C70421">
        <w:rPr>
          <w:lang w:val="fr-FR"/>
        </w:rPr>
        <w:t>Atlantique Nord</w:t>
      </w:r>
      <w:r w:rsidR="0050667A" w:rsidRPr="00C70421">
        <w:rPr>
          <w:lang w:val="fr-FR"/>
        </w:rPr>
        <w:t xml:space="preserve"> (O</w:t>
      </w:r>
      <w:r w:rsidR="00760755" w:rsidRPr="00C70421">
        <w:rPr>
          <w:lang w:val="fr-FR"/>
        </w:rPr>
        <w:t>TAN</w:t>
      </w:r>
      <w:r w:rsidR="0050667A" w:rsidRPr="00C70421">
        <w:rPr>
          <w:lang w:val="fr-FR"/>
        </w:rPr>
        <w:t>)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760755" w:rsidRPr="00C70421">
        <w:rPr>
          <w:lang w:val="fr-FR"/>
        </w:rPr>
        <w:t>Organisation</w:t>
      </w:r>
      <w:proofErr w:type="gramEnd"/>
      <w:r w:rsidR="00760755" w:rsidRPr="00C70421">
        <w:rPr>
          <w:lang w:val="fr-FR"/>
        </w:rPr>
        <w:t xml:space="preserve"> de coopération et de développement économiques (O</w:t>
      </w:r>
      <w:r w:rsidR="0050667A" w:rsidRPr="00C70421">
        <w:rPr>
          <w:lang w:val="fr-FR"/>
        </w:rPr>
        <w:t>CD</w:t>
      </w:r>
      <w:r w:rsidR="00760755" w:rsidRPr="00C70421">
        <w:rPr>
          <w:lang w:val="fr-FR"/>
        </w:rPr>
        <w:t>E</w:t>
      </w:r>
      <w:r w:rsidR="0050667A" w:rsidRPr="00C70421">
        <w:rPr>
          <w:lang w:val="fr-FR"/>
        </w:rPr>
        <w:t>)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Organi</w:t>
      </w:r>
      <w:r w:rsidRPr="00C70421">
        <w:rPr>
          <w:lang w:val="fr-FR"/>
        </w:rPr>
        <w:t>s</w:t>
      </w:r>
      <w:r w:rsidR="0050667A" w:rsidRPr="00C70421">
        <w:rPr>
          <w:lang w:val="fr-FR"/>
        </w:rPr>
        <w:t>ation</w:t>
      </w:r>
      <w:proofErr w:type="gramEnd"/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pour la sécurité et la coopération en</w:t>
      </w:r>
      <w:r w:rsidR="0050667A" w:rsidRPr="00C70421">
        <w:rPr>
          <w:lang w:val="fr-FR"/>
        </w:rPr>
        <w:t xml:space="preserve"> Europe (OSCE)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la</w:t>
      </w:r>
      <w:proofErr w:type="gramEnd"/>
      <w:r w:rsidRPr="00C70421">
        <w:rPr>
          <w:lang w:val="fr-FR"/>
        </w:rPr>
        <w:t xml:space="preserve"> Cour permanente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arbitrage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lastRenderedPageBreak/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Organisation</w:t>
      </w:r>
      <w:proofErr w:type="gramEnd"/>
      <w:r w:rsidRPr="00C70421">
        <w:rPr>
          <w:lang w:val="fr-FR"/>
        </w:rPr>
        <w:t xml:space="preserve"> des </w:t>
      </w:r>
      <w:r w:rsidR="00473D89" w:rsidRPr="00C70421">
        <w:rPr>
          <w:lang w:val="fr-FR"/>
        </w:rPr>
        <w:t>Nations Unies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la</w:t>
      </w:r>
      <w:proofErr w:type="gramEnd"/>
      <w:r w:rsidRPr="00C70421">
        <w:rPr>
          <w:lang w:val="fr-FR"/>
        </w:rPr>
        <w:t xml:space="preserve"> Conférence des </w:t>
      </w:r>
      <w:r w:rsidR="00473D89" w:rsidRPr="00C70421">
        <w:rPr>
          <w:lang w:val="fr-FR"/>
        </w:rPr>
        <w:t>Nations Unies</w:t>
      </w:r>
      <w:r w:rsidRPr="00C70421">
        <w:rPr>
          <w:lang w:val="fr-FR"/>
        </w:rPr>
        <w:t xml:space="preserve"> sur le commerce et le développement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Organisation</w:t>
      </w:r>
      <w:proofErr w:type="gramEnd"/>
      <w:r w:rsidRPr="00C70421">
        <w:rPr>
          <w:lang w:val="fr-FR"/>
        </w:rPr>
        <w:t xml:space="preserve"> des </w:t>
      </w:r>
      <w:r w:rsidR="00473D89" w:rsidRPr="00C70421">
        <w:rPr>
          <w:lang w:val="fr-FR"/>
        </w:rPr>
        <w:t>Nations Unies</w:t>
      </w:r>
      <w:r w:rsidRPr="00C70421">
        <w:rPr>
          <w:lang w:val="fr-FR"/>
        </w:rPr>
        <w:t xml:space="preserve"> pour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éducation, la science et la culture</w:t>
      </w:r>
      <w:r w:rsidR="0050667A" w:rsidRPr="00C70421">
        <w:rPr>
          <w:lang w:val="fr-FR"/>
        </w:rPr>
        <w:t xml:space="preserve"> (UNESCO)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Organisation</w:t>
      </w:r>
      <w:proofErr w:type="gramEnd"/>
      <w:r w:rsidRPr="00C70421">
        <w:rPr>
          <w:lang w:val="fr-FR"/>
        </w:rPr>
        <w:t xml:space="preserve"> mondiale du commerce</w:t>
      </w:r>
    </w:p>
    <w:p w:rsidR="0050667A" w:rsidRPr="00C70421" w:rsidRDefault="00153B89" w:rsidP="00E93C4E">
      <w:pPr>
        <w:rPr>
          <w:lang w:val="fr-FR"/>
        </w:rPr>
      </w:pPr>
      <w:proofErr w:type="gramStart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Organisation</w:t>
      </w:r>
      <w:proofErr w:type="gramEnd"/>
      <w:r w:rsidRPr="00C70421">
        <w:rPr>
          <w:lang w:val="fr-FR"/>
        </w:rPr>
        <w:t xml:space="preserve"> </w:t>
      </w:r>
      <w:r w:rsidR="00373B66" w:rsidRPr="00C70421">
        <w:rPr>
          <w:lang w:val="fr-FR"/>
        </w:rPr>
        <w:t>Mondiale</w:t>
      </w:r>
      <w:r w:rsidRPr="00C70421">
        <w:rPr>
          <w:lang w:val="fr-FR"/>
        </w:rPr>
        <w:t xml:space="preserve"> de la </w:t>
      </w:r>
      <w:r w:rsidR="00373B66" w:rsidRPr="00C70421">
        <w:rPr>
          <w:lang w:val="fr-FR"/>
        </w:rPr>
        <w:t>Propriété Intellectuelle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Pr="00C70421">
        <w:rPr>
          <w:i/>
          <w:lang w:val="fr-FR"/>
        </w:rPr>
        <w:t xml:space="preserve"> </w:t>
      </w:r>
      <w:hyperlink r:id="rId22" w:history="1">
        <w:r w:rsidR="00153B89" w:rsidRPr="00C70421">
          <w:rPr>
            <w:rStyle w:val="Hyperlink"/>
            <w:i/>
            <w:lang w:val="fr-FR"/>
          </w:rPr>
          <w:t>Affaires</w:t>
        </w:r>
      </w:hyperlink>
      <w:r w:rsidR="00153B89" w:rsidRPr="00C70421">
        <w:rPr>
          <w:rStyle w:val="Hyperlink"/>
          <w:i/>
          <w:lang w:val="fr-FR"/>
        </w:rPr>
        <w:t xml:space="preserve"> mondiales Canada</w:t>
      </w:r>
      <w:r w:rsidRPr="00C70421">
        <w:rPr>
          <w:i/>
          <w:lang w:val="fr-FR"/>
        </w:rPr>
        <w:t xml:space="preserve"> (</w:t>
      </w:r>
      <w:r w:rsidR="00153B89" w:rsidRPr="00C70421">
        <w:rPr>
          <w:i/>
          <w:lang w:val="fr-FR"/>
        </w:rPr>
        <w:t>29.02.</w:t>
      </w:r>
      <w:r w:rsidRPr="00C70421">
        <w:rPr>
          <w:i/>
          <w:lang w:val="fr-FR"/>
        </w:rPr>
        <w:t>2017)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50667A" w:rsidP="00E93C4E">
      <w:pPr>
        <w:rPr>
          <w:lang w:val="fr-FR"/>
        </w:rPr>
      </w:pPr>
      <w:r w:rsidRPr="00C70421">
        <w:rPr>
          <w:b/>
          <w:lang w:val="fr-FR"/>
        </w:rPr>
        <w:t>Population</w:t>
      </w:r>
      <w:r w:rsidR="00373B66" w:rsidRPr="00C70421">
        <w:rPr>
          <w:b/>
          <w:lang w:val="fr-FR"/>
        </w:rPr>
        <w:t> :</w:t>
      </w:r>
      <w:r w:rsidR="005B2D47" w:rsidRPr="00C70421">
        <w:rPr>
          <w:lang w:val="fr-FR"/>
        </w:rPr>
        <w:t xml:space="preserve"> 36,</w:t>
      </w:r>
      <w:r w:rsidRPr="00C70421">
        <w:rPr>
          <w:lang w:val="fr-FR"/>
        </w:rPr>
        <w:t>2</w:t>
      </w:r>
      <w:r w:rsidR="00473D89" w:rsidRPr="00C70421">
        <w:rPr>
          <w:lang w:val="fr-FR"/>
        </w:rPr>
        <w:t>9 million</w:t>
      </w:r>
      <w:r w:rsidR="00153B89" w:rsidRPr="00C70421">
        <w:rPr>
          <w:lang w:val="fr-FR"/>
        </w:rPr>
        <w:t>s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 xml:space="preserve">(2016) </w:t>
      </w:r>
      <w:hyperlink r:id="rId23" w:history="1">
        <w:r w:rsidRPr="00C70421">
          <w:rPr>
            <w:rStyle w:val="Hyperlink"/>
            <w:i/>
            <w:lang w:val="fr-FR"/>
          </w:rPr>
          <w:t>Stat</w:t>
        </w:r>
        <w:r w:rsidR="00153B89" w:rsidRPr="00C70421">
          <w:rPr>
            <w:rStyle w:val="Hyperlink"/>
            <w:i/>
            <w:lang w:val="fr-FR"/>
          </w:rPr>
          <w:t>istique</w:t>
        </w:r>
        <w:r w:rsidRPr="00C70421">
          <w:rPr>
            <w:rStyle w:val="Hyperlink"/>
            <w:i/>
            <w:lang w:val="fr-FR"/>
          </w:rPr>
          <w:t xml:space="preserve"> Canada</w:t>
        </w:r>
      </w:hyperlink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153B89" w:rsidP="00E93C4E">
      <w:pPr>
        <w:pStyle w:val="Subsection"/>
        <w:rPr>
          <w:lang w:val="fr-FR"/>
        </w:rPr>
      </w:pPr>
      <w:r w:rsidRPr="00C70421">
        <w:rPr>
          <w:lang w:val="fr-FR"/>
        </w:rPr>
        <w:t>PIB pa</w:t>
      </w:r>
      <w:r w:rsidR="0050667A" w:rsidRPr="00C70421">
        <w:rPr>
          <w:lang w:val="fr-FR"/>
        </w:rPr>
        <w:t>r</w:t>
      </w:r>
      <w:r w:rsidRPr="00C70421">
        <w:rPr>
          <w:lang w:val="fr-FR"/>
        </w:rPr>
        <w:t xml:space="preserve"> habitant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189"/>
        <w:gridCol w:w="2116"/>
      </w:tblGrid>
      <w:tr w:rsidR="0050667A" w:rsidRPr="00D24E53" w:rsidTr="00D24E53">
        <w:trPr>
          <w:tblCellSpacing w:w="15" w:type="dxa"/>
        </w:trPr>
        <w:tc>
          <w:tcPr>
            <w:tcW w:w="3119" w:type="dxa"/>
            <w:gridSpan w:val="2"/>
            <w:vAlign w:val="center"/>
            <w:hideMark/>
          </w:tcPr>
          <w:p w:rsidR="0050667A" w:rsidRPr="00D24E53" w:rsidRDefault="00F46AD3" w:rsidP="00E93C4E">
            <w:pPr>
              <w:rPr>
                <w:lang w:val="fr-FR"/>
              </w:rPr>
            </w:pPr>
            <w:hyperlink r:id="rId24" w:tooltip="Gross domestic product" w:history="1">
              <w:r w:rsidR="0050667A" w:rsidRPr="00D24E53">
                <w:rPr>
                  <w:rStyle w:val="Hyperlink"/>
                  <w:lang w:val="fr-FR"/>
                </w:rPr>
                <w:t>P</w:t>
              </w:r>
            </w:hyperlink>
            <w:r w:rsidR="00153B89" w:rsidRPr="00D24E53">
              <w:rPr>
                <w:rStyle w:val="Hyperlink"/>
                <w:lang w:val="fr-FR"/>
              </w:rPr>
              <w:t>IB</w:t>
            </w:r>
            <w:r w:rsidR="0050667A" w:rsidRPr="00D24E53">
              <w:rPr>
                <w:lang w:val="fr-FR"/>
              </w:rPr>
              <w:t> (</w:t>
            </w:r>
            <w:hyperlink r:id="rId25" w:tooltip="Purchasing power parity" w:history="1">
              <w:r w:rsidR="0050667A" w:rsidRPr="00D24E53">
                <w:rPr>
                  <w:rStyle w:val="Hyperlink"/>
                  <w:lang w:val="fr-FR"/>
                </w:rPr>
                <w:t>PP</w:t>
              </w:r>
            </w:hyperlink>
            <w:r w:rsidR="00153B89" w:rsidRPr="00D24E53">
              <w:rPr>
                <w:rStyle w:val="Hyperlink"/>
                <w:lang w:val="fr-FR"/>
              </w:rPr>
              <w:t>A</w:t>
            </w:r>
            <w:r w:rsidR="0050667A" w:rsidRPr="00D24E53">
              <w:rPr>
                <w:lang w:val="fr-FR"/>
              </w:rPr>
              <w:t>) (</w:t>
            </w:r>
            <w:r w:rsidR="00D24E53" w:rsidRPr="00D24E53">
              <w:rPr>
                <w:lang w:val="fr-FR"/>
              </w:rPr>
              <w:t>dollar international</w:t>
            </w:r>
            <w:r w:rsidR="0050667A" w:rsidRPr="00D24E53">
              <w:rPr>
                <w:lang w:val="fr-FR"/>
              </w:rPr>
              <w:t>)</w:t>
            </w:r>
          </w:p>
        </w:tc>
        <w:tc>
          <w:tcPr>
            <w:tcW w:w="2071" w:type="dxa"/>
            <w:vAlign w:val="center"/>
            <w:hideMark/>
          </w:tcPr>
          <w:p w:rsidR="0050667A" w:rsidRPr="00D24E53" w:rsidRDefault="0050667A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2015 </w:t>
            </w:r>
          </w:p>
        </w:tc>
      </w:tr>
      <w:tr w:rsidR="0050667A" w:rsidRPr="00D24E53" w:rsidTr="00D24E53">
        <w:trPr>
          <w:tblCellSpacing w:w="15" w:type="dxa"/>
        </w:trPr>
        <w:tc>
          <w:tcPr>
            <w:tcW w:w="930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50667A" w:rsidRPr="00D24E53" w:rsidRDefault="0050667A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 • </w:t>
            </w:r>
          </w:p>
        </w:tc>
        <w:tc>
          <w:tcPr>
            <w:tcW w:w="215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0667A" w:rsidRPr="00D24E53" w:rsidRDefault="0050667A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Total</w:t>
            </w:r>
          </w:p>
        </w:tc>
        <w:tc>
          <w:tcPr>
            <w:tcW w:w="2071" w:type="dxa"/>
            <w:vAlign w:val="center"/>
            <w:hideMark/>
          </w:tcPr>
          <w:p w:rsidR="0050667A" w:rsidRPr="00D24E53" w:rsidRDefault="009E69D1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1</w:t>
            </w:r>
            <w:r w:rsidR="00001599" w:rsidRPr="00D24E53">
              <w:rPr>
                <w:lang w:val="fr-FR"/>
              </w:rPr>
              <w:t> 584 </w:t>
            </w:r>
            <w:r w:rsidR="0050667A" w:rsidRPr="00D24E53">
              <w:rPr>
                <w:lang w:val="fr-FR"/>
              </w:rPr>
              <w:t>trillion</w:t>
            </w:r>
            <w:r w:rsidRPr="00D24E53">
              <w:rPr>
                <w:lang w:val="fr-FR"/>
              </w:rPr>
              <w:t>s</w:t>
            </w:r>
            <w:r w:rsidR="0050667A" w:rsidRPr="00D24E53">
              <w:rPr>
                <w:lang w:val="fr-FR"/>
              </w:rPr>
              <w:t xml:space="preserve"> </w:t>
            </w:r>
            <w:r w:rsidR="0085063C" w:rsidRPr="00D24E53">
              <w:rPr>
                <w:lang w:val="fr-FR"/>
              </w:rPr>
              <w:t xml:space="preserve">de dollars </w:t>
            </w:r>
            <w:r w:rsidR="0050667A" w:rsidRPr="00D24E53">
              <w:rPr>
                <w:lang w:val="fr-FR"/>
              </w:rPr>
              <w:t>(</w:t>
            </w:r>
            <w:hyperlink r:id="rId26" w:tooltip="List of countries by GDP (PPP)" w:history="1">
              <w:r w:rsidR="0050667A" w:rsidRPr="00D24E53">
                <w:rPr>
                  <w:rStyle w:val="Hyperlink"/>
                  <w:lang w:val="fr-FR"/>
                </w:rPr>
                <w:t>16</w:t>
              </w:r>
            </w:hyperlink>
            <w:r w:rsidRPr="00D24E53">
              <w:rPr>
                <w:rStyle w:val="Hyperlink"/>
                <w:vertAlign w:val="superscript"/>
                <w:lang w:val="fr-FR"/>
              </w:rPr>
              <w:t>e</w:t>
            </w:r>
            <w:r w:rsidR="0050667A" w:rsidRPr="00D24E53">
              <w:rPr>
                <w:lang w:val="fr-FR"/>
              </w:rPr>
              <w:t>)</w:t>
            </w:r>
          </w:p>
        </w:tc>
      </w:tr>
      <w:tr w:rsidR="0050667A" w:rsidRPr="00D24E53" w:rsidTr="00D24E53">
        <w:trPr>
          <w:tblCellSpacing w:w="15" w:type="dxa"/>
        </w:trPr>
        <w:tc>
          <w:tcPr>
            <w:tcW w:w="930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50667A" w:rsidRPr="00D24E53" w:rsidRDefault="0050667A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 • </w:t>
            </w:r>
          </w:p>
        </w:tc>
        <w:tc>
          <w:tcPr>
            <w:tcW w:w="215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0667A" w:rsidRPr="00D24E53" w:rsidRDefault="009E69D1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Par habitant</w:t>
            </w:r>
          </w:p>
        </w:tc>
        <w:tc>
          <w:tcPr>
            <w:tcW w:w="2071" w:type="dxa"/>
            <w:vAlign w:val="center"/>
            <w:hideMark/>
          </w:tcPr>
          <w:p w:rsidR="0050667A" w:rsidRPr="00D24E53" w:rsidRDefault="009E69D1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44 </w:t>
            </w:r>
            <w:r w:rsidR="0050667A" w:rsidRPr="00D24E53">
              <w:rPr>
                <w:lang w:val="fr-FR"/>
              </w:rPr>
              <w:t xml:space="preserve">197 </w:t>
            </w:r>
            <w:r w:rsidR="0085063C" w:rsidRPr="00D24E53">
              <w:rPr>
                <w:lang w:val="fr-FR"/>
              </w:rPr>
              <w:t xml:space="preserve">dollars </w:t>
            </w:r>
            <w:r w:rsidR="0050667A" w:rsidRPr="00D24E53">
              <w:rPr>
                <w:lang w:val="fr-FR"/>
              </w:rPr>
              <w:t>(</w:t>
            </w:r>
            <w:hyperlink r:id="rId27" w:tooltip="List of countries by GDP (PPP) per capita" w:history="1">
              <w:r w:rsidR="0050667A" w:rsidRPr="00D24E53">
                <w:rPr>
                  <w:rStyle w:val="Hyperlink"/>
                  <w:lang w:val="fr-FR"/>
                </w:rPr>
                <w:t>23</w:t>
              </w:r>
            </w:hyperlink>
            <w:r w:rsidRPr="00D24E53">
              <w:rPr>
                <w:rStyle w:val="Hyperlink"/>
                <w:vertAlign w:val="superscript"/>
                <w:lang w:val="fr-FR"/>
              </w:rPr>
              <w:t>e</w:t>
            </w:r>
            <w:r w:rsidR="0050667A" w:rsidRPr="00D24E53">
              <w:rPr>
                <w:lang w:val="fr-FR"/>
              </w:rPr>
              <w:t>)</w:t>
            </w:r>
          </w:p>
        </w:tc>
      </w:tr>
      <w:tr w:rsidR="0050667A" w:rsidRPr="00C70421" w:rsidTr="00D24E53">
        <w:trPr>
          <w:tblCellSpacing w:w="15" w:type="dxa"/>
        </w:trPr>
        <w:tc>
          <w:tcPr>
            <w:tcW w:w="3119" w:type="dxa"/>
            <w:gridSpan w:val="2"/>
            <w:vAlign w:val="center"/>
            <w:hideMark/>
          </w:tcPr>
          <w:p w:rsidR="0050667A" w:rsidRPr="00D24E53" w:rsidRDefault="00F46AD3" w:rsidP="00E93C4E">
            <w:pPr>
              <w:rPr>
                <w:lang w:val="fr-FR"/>
              </w:rPr>
            </w:pPr>
            <w:hyperlink r:id="rId28" w:tooltip="Gross domestic product" w:history="1">
              <w:r w:rsidR="0050667A" w:rsidRPr="00D24E53">
                <w:rPr>
                  <w:rStyle w:val="Hyperlink"/>
                  <w:lang w:val="fr-FR"/>
                </w:rPr>
                <w:t>P</w:t>
              </w:r>
            </w:hyperlink>
            <w:r w:rsidR="00153B89" w:rsidRPr="00D24E53">
              <w:rPr>
                <w:rStyle w:val="Hyperlink"/>
                <w:lang w:val="fr-FR"/>
              </w:rPr>
              <w:t>IB</w:t>
            </w:r>
            <w:r w:rsidR="0050667A" w:rsidRPr="00D24E53">
              <w:rPr>
                <w:lang w:val="fr-FR"/>
              </w:rPr>
              <w:t> (nominal) (</w:t>
            </w:r>
            <w:r w:rsidR="00D24E53" w:rsidRPr="00D24E53">
              <w:rPr>
                <w:lang w:val="fr-FR"/>
              </w:rPr>
              <w:t>dollar É.</w:t>
            </w:r>
            <w:r w:rsidR="00D24E53" w:rsidRPr="00D24E53">
              <w:rPr>
                <w:lang w:val="fr-FR"/>
              </w:rPr>
              <w:noBreakHyphen/>
              <w:t>U.</w:t>
            </w:r>
            <w:r w:rsidR="0050667A" w:rsidRPr="00D24E53">
              <w:rPr>
                <w:lang w:val="fr-FR"/>
              </w:rPr>
              <w:t>)</w:t>
            </w:r>
          </w:p>
        </w:tc>
        <w:tc>
          <w:tcPr>
            <w:tcW w:w="2071" w:type="dxa"/>
            <w:vAlign w:val="center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D24E53">
              <w:rPr>
                <w:lang w:val="fr-FR"/>
              </w:rPr>
              <w:t>2015</w:t>
            </w:r>
            <w:r w:rsidRPr="00C70421">
              <w:rPr>
                <w:lang w:val="fr-FR"/>
              </w:rPr>
              <w:t> </w:t>
            </w:r>
          </w:p>
        </w:tc>
      </w:tr>
      <w:tr w:rsidR="0050667A" w:rsidRPr="00C70421" w:rsidTr="00D24E53">
        <w:trPr>
          <w:tblCellSpacing w:w="15" w:type="dxa"/>
        </w:trPr>
        <w:tc>
          <w:tcPr>
            <w:tcW w:w="930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 • </w:t>
            </w:r>
          </w:p>
        </w:tc>
        <w:tc>
          <w:tcPr>
            <w:tcW w:w="215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Total</w:t>
            </w:r>
          </w:p>
        </w:tc>
        <w:tc>
          <w:tcPr>
            <w:tcW w:w="2071" w:type="dxa"/>
            <w:vAlign w:val="center"/>
            <w:hideMark/>
          </w:tcPr>
          <w:p w:rsidR="0050667A" w:rsidRPr="00C70421" w:rsidRDefault="009E69D1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</w:t>
            </w:r>
            <w:r w:rsidR="00001599">
              <w:rPr>
                <w:lang w:val="fr-FR"/>
              </w:rPr>
              <w:t> 551 </w:t>
            </w:r>
            <w:r w:rsidR="0050667A" w:rsidRPr="00C70421">
              <w:rPr>
                <w:lang w:val="fr-FR"/>
              </w:rPr>
              <w:t>trillion</w:t>
            </w:r>
            <w:r w:rsidRPr="00C70421">
              <w:rPr>
                <w:lang w:val="fr-FR"/>
              </w:rPr>
              <w:t>s</w:t>
            </w:r>
            <w:r w:rsidR="0050667A" w:rsidRPr="00C70421">
              <w:rPr>
                <w:lang w:val="fr-FR"/>
              </w:rPr>
              <w:t xml:space="preserve"> </w:t>
            </w:r>
            <w:r w:rsidR="0085063C">
              <w:rPr>
                <w:lang w:val="fr-FR"/>
              </w:rPr>
              <w:t xml:space="preserve">de dollars </w:t>
            </w:r>
            <w:r w:rsidR="0050667A" w:rsidRPr="00C70421">
              <w:rPr>
                <w:lang w:val="fr-FR"/>
              </w:rPr>
              <w:t>(</w:t>
            </w:r>
            <w:hyperlink r:id="rId29" w:tooltip="List of countries by GDP (nominal)" w:history="1">
              <w:r w:rsidR="0050667A" w:rsidRPr="00C70421">
                <w:rPr>
                  <w:rStyle w:val="Hyperlink"/>
                  <w:lang w:val="fr-FR"/>
                </w:rPr>
                <w:t>10</w:t>
              </w:r>
            </w:hyperlink>
            <w:r w:rsidRPr="00C70421">
              <w:rPr>
                <w:rStyle w:val="Hyperlink"/>
                <w:vertAlign w:val="superscript"/>
                <w:lang w:val="fr-FR"/>
              </w:rPr>
              <w:t>e</w:t>
            </w:r>
            <w:r w:rsidR="0050667A" w:rsidRPr="00C70421">
              <w:rPr>
                <w:lang w:val="fr-FR"/>
              </w:rPr>
              <w:t>)</w:t>
            </w:r>
          </w:p>
        </w:tc>
      </w:tr>
      <w:tr w:rsidR="0050667A" w:rsidRPr="00C70421" w:rsidTr="00D24E53">
        <w:trPr>
          <w:tblCellSpacing w:w="15" w:type="dxa"/>
        </w:trPr>
        <w:tc>
          <w:tcPr>
            <w:tcW w:w="930" w:type="dxa"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 • </w:t>
            </w:r>
          </w:p>
        </w:tc>
        <w:tc>
          <w:tcPr>
            <w:tcW w:w="2159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0667A" w:rsidRPr="00C70421" w:rsidRDefault="009E69D1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Par habitant</w:t>
            </w:r>
          </w:p>
        </w:tc>
        <w:tc>
          <w:tcPr>
            <w:tcW w:w="2071" w:type="dxa"/>
            <w:vAlign w:val="center"/>
            <w:hideMark/>
          </w:tcPr>
          <w:p w:rsidR="0050667A" w:rsidRPr="00C70421" w:rsidRDefault="009E69D1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43 </w:t>
            </w:r>
            <w:r w:rsidR="0050667A" w:rsidRPr="00C70421">
              <w:rPr>
                <w:lang w:val="fr-FR"/>
              </w:rPr>
              <w:t xml:space="preserve">249 </w:t>
            </w:r>
            <w:r w:rsidR="0085063C">
              <w:rPr>
                <w:lang w:val="fr-FR"/>
              </w:rPr>
              <w:t xml:space="preserve">dollars </w:t>
            </w:r>
            <w:r w:rsidR="0050667A" w:rsidRPr="00C70421">
              <w:rPr>
                <w:lang w:val="fr-FR"/>
              </w:rPr>
              <w:t>(</w:t>
            </w:r>
            <w:hyperlink r:id="rId30" w:tooltip="List of countries by GDP (nominal) per capita" w:history="1">
              <w:r w:rsidR="0050667A" w:rsidRPr="00C70421">
                <w:rPr>
                  <w:rStyle w:val="Hyperlink"/>
                  <w:lang w:val="fr-FR"/>
                </w:rPr>
                <w:t>16</w:t>
              </w:r>
            </w:hyperlink>
            <w:r w:rsidRPr="00C70421">
              <w:rPr>
                <w:rStyle w:val="Hyperlink"/>
                <w:vertAlign w:val="superscript"/>
                <w:lang w:val="fr-FR"/>
              </w:rPr>
              <w:t>e</w:t>
            </w:r>
            <w:r w:rsidR="0050667A" w:rsidRPr="00C70421">
              <w:rPr>
                <w:lang w:val="fr-FR"/>
              </w:rPr>
              <w:t>)</w:t>
            </w:r>
          </w:p>
        </w:tc>
      </w:tr>
    </w:tbl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9E69D1" w:rsidRPr="00C70421">
        <w:rPr>
          <w:i/>
          <w:lang w:val="fr-FR"/>
        </w:rPr>
        <w:t>Banque mondiale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9E69D1" w:rsidP="00E93C4E">
      <w:pPr>
        <w:pStyle w:val="Subsection"/>
        <w:rPr>
          <w:lang w:val="fr-FR"/>
        </w:rPr>
      </w:pPr>
      <w:r w:rsidRPr="00C70421">
        <w:rPr>
          <w:lang w:val="fr-FR"/>
        </w:rPr>
        <w:t>Estimation</w:t>
      </w:r>
      <w:r w:rsidR="00F13513" w:rsidRPr="00C70421">
        <w:rPr>
          <w:lang w:val="fr-FR"/>
        </w:rPr>
        <w:t xml:space="preserve"> des dépenses</w:t>
      </w:r>
      <w:r w:rsidRPr="00C70421">
        <w:rPr>
          <w:lang w:val="fr-FR"/>
        </w:rPr>
        <w:t xml:space="preserve"> </w:t>
      </w:r>
      <w:r w:rsidR="00F13513" w:rsidRPr="00C70421">
        <w:rPr>
          <w:lang w:val="fr-FR"/>
        </w:rPr>
        <w:t>nationales</w:t>
      </w:r>
      <w:r w:rsidRPr="00C70421">
        <w:rPr>
          <w:lang w:val="fr-FR"/>
        </w:rPr>
        <w:t xml:space="preserve"> </w:t>
      </w:r>
      <w:r w:rsidR="00114AC9" w:rsidRPr="00C70421">
        <w:rPr>
          <w:lang w:val="fr-FR"/>
        </w:rPr>
        <w:t>en</w:t>
      </w:r>
      <w:r w:rsidRPr="00C70421">
        <w:rPr>
          <w:lang w:val="fr-FR"/>
        </w:rPr>
        <w:t xml:space="preserve"> recherch</w:t>
      </w:r>
      <w:r w:rsidR="00F13513" w:rsidRPr="00C70421">
        <w:rPr>
          <w:lang w:val="fr-FR"/>
        </w:rPr>
        <w:t>e</w:t>
      </w:r>
      <w:r w:rsidR="00001599">
        <w:rPr>
          <w:lang w:val="fr-FR"/>
        </w:rPr>
        <w:noBreakHyphen/>
      </w:r>
      <w:r w:rsidRPr="00C70421">
        <w:rPr>
          <w:lang w:val="fr-FR"/>
        </w:rPr>
        <w:t>développement</w:t>
      </w:r>
      <w:r w:rsidR="00114AC9" w:rsidRPr="00C70421">
        <w:rPr>
          <w:lang w:val="fr-FR"/>
        </w:rPr>
        <w:t xml:space="preserve"> (pourcentage</w:t>
      </w:r>
      <w:r w:rsidR="00473D89" w:rsidRPr="00C70421">
        <w:rPr>
          <w:lang w:val="fr-FR"/>
        </w:rPr>
        <w:t xml:space="preserve"> du PIB</w:t>
      </w:r>
      <w:r w:rsidR="0050667A" w:rsidRPr="00C70421">
        <w:rPr>
          <w:lang w:val="fr-FR"/>
        </w:rPr>
        <w:t>)</w:t>
      </w:r>
      <w:r w:rsidR="00473D89" w:rsidRPr="00C70421">
        <w:rPr>
          <w:lang w:val="fr-FR"/>
        </w:rPr>
        <w:t> :</w:t>
      </w:r>
    </w:p>
    <w:p w:rsidR="0050667A" w:rsidRPr="00C70421" w:rsidRDefault="00A05F28" w:rsidP="00E93C4E">
      <w:pPr>
        <w:rPr>
          <w:lang w:val="fr-FR"/>
        </w:rPr>
      </w:pPr>
      <w:r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après Statistique</w:t>
      </w:r>
      <w:r w:rsidR="0050667A" w:rsidRPr="00C70421">
        <w:rPr>
          <w:lang w:val="fr-FR"/>
        </w:rPr>
        <w:t xml:space="preserve"> Canada, </w:t>
      </w:r>
      <w:r w:rsidR="00F13513" w:rsidRPr="00C70421">
        <w:rPr>
          <w:lang w:val="fr-FR"/>
        </w:rPr>
        <w:t>les dépenses</w:t>
      </w:r>
      <w:r w:rsidRPr="00C70421">
        <w:rPr>
          <w:lang w:val="fr-FR"/>
        </w:rPr>
        <w:t xml:space="preserve"> intérieure</w:t>
      </w:r>
      <w:r w:rsidR="00F13513" w:rsidRPr="00C70421">
        <w:rPr>
          <w:lang w:val="fr-FR"/>
        </w:rPr>
        <w:t>s</w:t>
      </w:r>
      <w:r w:rsidRPr="00C70421">
        <w:rPr>
          <w:lang w:val="fr-FR"/>
        </w:rPr>
        <w:t xml:space="preserve"> brute</w:t>
      </w:r>
      <w:r w:rsidR="00F13513" w:rsidRPr="00C70421">
        <w:rPr>
          <w:lang w:val="fr-FR"/>
        </w:rPr>
        <w:t>s</w:t>
      </w:r>
      <w:r w:rsidRPr="00C70421">
        <w:rPr>
          <w:lang w:val="fr-FR"/>
        </w:rPr>
        <w:t xml:space="preserve"> </w:t>
      </w:r>
      <w:r w:rsidR="009438B4" w:rsidRPr="00C70421">
        <w:rPr>
          <w:lang w:val="fr-FR"/>
        </w:rPr>
        <w:t>en</w:t>
      </w:r>
      <w:r w:rsidRPr="00C70421">
        <w:rPr>
          <w:lang w:val="fr-FR"/>
        </w:rPr>
        <w:t xml:space="preserve"> recherche</w:t>
      </w:r>
      <w:r w:rsidR="00001599">
        <w:rPr>
          <w:lang w:val="fr-FR"/>
        </w:rPr>
        <w:noBreakHyphen/>
      </w:r>
      <w:r w:rsidRPr="00C70421">
        <w:rPr>
          <w:lang w:val="fr-FR"/>
        </w:rPr>
        <w:t>développement</w:t>
      </w:r>
      <w:r w:rsidR="009438B4" w:rsidRPr="00C70421">
        <w:rPr>
          <w:lang w:val="fr-FR"/>
        </w:rPr>
        <w:t xml:space="preserve"> devaient s</w:t>
      </w:r>
      <w:r w:rsidR="00473D89" w:rsidRPr="00C70421">
        <w:rPr>
          <w:lang w:val="fr-FR"/>
        </w:rPr>
        <w:t>’</w:t>
      </w:r>
      <w:r w:rsidR="009438B4" w:rsidRPr="00C70421">
        <w:rPr>
          <w:lang w:val="fr-FR"/>
        </w:rPr>
        <w:t>élever</w:t>
      </w:r>
      <w:r w:rsidRPr="00C70421">
        <w:rPr>
          <w:lang w:val="fr-FR"/>
        </w:rPr>
        <w:t xml:space="preserve"> à</w:t>
      </w:r>
      <w:r w:rsidR="0050667A" w:rsidRPr="00C70421">
        <w:rPr>
          <w:lang w:val="fr-FR"/>
        </w:rPr>
        <w:t xml:space="preserve"> 31</w:t>
      </w:r>
      <w:r w:rsidRPr="00C70421">
        <w:rPr>
          <w:lang w:val="fr-FR"/>
        </w:rPr>
        <w:t>,</w:t>
      </w:r>
      <w:r w:rsidR="00473D89" w:rsidRPr="00C70421">
        <w:rPr>
          <w:lang w:val="fr-FR"/>
        </w:rPr>
        <w:t>6 milliard</w:t>
      </w:r>
      <w:r w:rsidRPr="00C70421">
        <w:rPr>
          <w:lang w:val="fr-FR"/>
        </w:rPr>
        <w:t>s de dolla</w:t>
      </w:r>
      <w:r w:rsidR="00C70421" w:rsidRPr="00C70421">
        <w:rPr>
          <w:lang w:val="fr-FR"/>
        </w:rPr>
        <w:t>rs.  Ce</w:t>
      </w:r>
      <w:r w:rsidR="009438B4" w:rsidRPr="00C70421">
        <w:rPr>
          <w:lang w:val="fr-FR"/>
        </w:rPr>
        <w:t>s dépenses</w:t>
      </w:r>
      <w:r w:rsidRPr="00C70421">
        <w:rPr>
          <w:lang w:val="fr-FR"/>
        </w:rPr>
        <w:t>, en pourcentage</w:t>
      </w:r>
      <w:r w:rsidR="00473D89" w:rsidRPr="00C70421">
        <w:rPr>
          <w:lang w:val="fr-FR"/>
        </w:rPr>
        <w:t xml:space="preserve"> du PIB</w:t>
      </w:r>
      <w:r w:rsidRPr="00C70421">
        <w:rPr>
          <w:lang w:val="fr-FR"/>
        </w:rPr>
        <w:t>, étaient donc estimées à 1,</w:t>
      </w:r>
      <w:r w:rsidR="0050667A" w:rsidRPr="00C70421">
        <w:rPr>
          <w:lang w:val="fr-FR"/>
        </w:rPr>
        <w:t>99</w:t>
      </w:r>
      <w:r w:rsidRPr="00C70421">
        <w:rPr>
          <w:lang w:val="fr-FR"/>
        </w:rPr>
        <w:t xml:space="preserve">% </w:t>
      </w:r>
      <w:r w:rsidR="00F13513" w:rsidRPr="00C70421">
        <w:rPr>
          <w:lang w:val="fr-FR"/>
        </w:rPr>
        <w:t>au Canada</w:t>
      </w:r>
      <w:r w:rsidR="009438B4" w:rsidRPr="00C70421">
        <w:rPr>
          <w:lang w:val="fr-FR"/>
        </w:rPr>
        <w:t xml:space="preserve"> </w:t>
      </w:r>
      <w:r w:rsidR="00473D89" w:rsidRPr="00C70421">
        <w:rPr>
          <w:lang w:val="fr-FR"/>
        </w:rPr>
        <w:t>pour 2015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37774F" w:rsidP="00E93C4E">
      <w:pPr>
        <w:rPr>
          <w:lang w:val="fr-FR"/>
        </w:rPr>
      </w:pPr>
      <w:r w:rsidRPr="00C70421">
        <w:rPr>
          <w:lang w:val="fr-FR"/>
        </w:rPr>
        <w:t>Le financement provenant du</w:t>
      </w:r>
      <w:r w:rsidR="00F13513" w:rsidRPr="00C70421">
        <w:rPr>
          <w:lang w:val="fr-FR"/>
        </w:rPr>
        <w:t xml:space="preserve"> secteur des entreprises était estimé à 14,</w:t>
      </w:r>
      <w:r w:rsidR="0050667A" w:rsidRPr="00C70421">
        <w:rPr>
          <w:lang w:val="fr-FR"/>
        </w:rPr>
        <w:t>0 </w:t>
      </w:r>
      <w:r w:rsidR="00F13513" w:rsidRPr="00C70421">
        <w:rPr>
          <w:lang w:val="fr-FR"/>
        </w:rPr>
        <w:t>milliards de dollars</w:t>
      </w:r>
      <w:r w:rsidR="0050667A" w:rsidRPr="00C70421">
        <w:rPr>
          <w:lang w:val="fr-FR"/>
        </w:rPr>
        <w:t xml:space="preserve"> </w:t>
      </w:r>
      <w:r w:rsidR="00F13513" w:rsidRPr="00C70421">
        <w:rPr>
          <w:lang w:val="fr-FR"/>
        </w:rPr>
        <w:t>e</w:t>
      </w:r>
      <w:r w:rsidR="0050667A" w:rsidRPr="00C70421">
        <w:rPr>
          <w:lang w:val="fr-FR"/>
        </w:rPr>
        <w:t>n 2015</w:t>
      </w:r>
      <w:r w:rsidR="008B1AE0" w:rsidRPr="00C70421">
        <w:rPr>
          <w:lang w:val="fr-FR"/>
        </w:rPr>
        <w:t xml:space="preserve">.  </w:t>
      </w:r>
      <w:r w:rsidR="00F13513" w:rsidRPr="00C70421">
        <w:rPr>
          <w:lang w:val="fr-FR"/>
        </w:rPr>
        <w:t>Ce secteur reste celui qui finance le plus la recherche</w:t>
      </w:r>
      <w:r w:rsidR="00001599">
        <w:rPr>
          <w:lang w:val="fr-FR"/>
        </w:rPr>
        <w:noBreakHyphen/>
      </w:r>
      <w:r w:rsidR="00F13513" w:rsidRPr="00C70421">
        <w:rPr>
          <w:lang w:val="fr-FR"/>
        </w:rPr>
        <w:t>développement au</w:t>
      </w:r>
      <w:r w:rsidR="0050667A" w:rsidRPr="00C70421">
        <w:rPr>
          <w:lang w:val="fr-FR"/>
        </w:rPr>
        <w:t xml:space="preserve"> Canada, </w:t>
      </w:r>
      <w:r w:rsidR="00F13513" w:rsidRPr="00C70421">
        <w:rPr>
          <w:lang w:val="fr-FR"/>
        </w:rPr>
        <w:t xml:space="preserve">ce qui représente </w:t>
      </w:r>
      <w:r w:rsidR="0050667A" w:rsidRPr="00C70421">
        <w:rPr>
          <w:lang w:val="fr-FR"/>
        </w:rPr>
        <w:t>44</w:t>
      </w:r>
      <w:r w:rsidR="00F13513" w:rsidRPr="00C70421">
        <w:rPr>
          <w:lang w:val="fr-FR"/>
        </w:rPr>
        <w:t>,</w:t>
      </w:r>
      <w:r w:rsidR="0050667A" w:rsidRPr="00C70421">
        <w:rPr>
          <w:lang w:val="fr-FR"/>
        </w:rPr>
        <w:t>4</w:t>
      </w:r>
      <w:r w:rsidR="00F13513" w:rsidRPr="00C70421">
        <w:rPr>
          <w:lang w:val="fr-FR"/>
        </w:rPr>
        <w:t>% de la totalité du financement de la recherche</w:t>
      </w:r>
      <w:r w:rsidR="00001599">
        <w:rPr>
          <w:lang w:val="fr-FR"/>
        </w:rPr>
        <w:noBreakHyphen/>
      </w:r>
      <w:r w:rsidR="00F13513" w:rsidRPr="00C70421">
        <w:rPr>
          <w:lang w:val="fr-FR"/>
        </w:rPr>
        <w:t>développement</w:t>
      </w:r>
      <w:r w:rsidR="008B1AE0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F13513" w:rsidP="00E93C4E">
      <w:pPr>
        <w:rPr>
          <w:lang w:val="fr-FR"/>
        </w:rPr>
      </w:pPr>
      <w:r w:rsidRPr="00C70421">
        <w:rPr>
          <w:lang w:val="fr-FR"/>
        </w:rPr>
        <w:t>Viennent ensuite les secteurs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enseignement supérieur et </w:t>
      </w:r>
      <w:r w:rsidR="00AC2163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AC2163" w:rsidRPr="00C70421">
        <w:rPr>
          <w:lang w:val="fr-FR"/>
        </w:rPr>
        <w:t>État, qui devaient représenter</w:t>
      </w:r>
      <w:r w:rsidR="0050667A" w:rsidRPr="00C70421">
        <w:rPr>
          <w:lang w:val="fr-FR"/>
        </w:rPr>
        <w:t xml:space="preserve"> </w:t>
      </w:r>
      <w:r w:rsidR="00AC2163" w:rsidRPr="00C70421">
        <w:rPr>
          <w:lang w:val="fr-FR"/>
        </w:rPr>
        <w:t xml:space="preserve">respectivement </w:t>
      </w:r>
      <w:r w:rsidR="0050667A" w:rsidRPr="00C70421">
        <w:rPr>
          <w:lang w:val="fr-FR"/>
        </w:rPr>
        <w:t>20</w:t>
      </w:r>
      <w:r w:rsidR="00AC2163" w:rsidRPr="00C70421">
        <w:rPr>
          <w:lang w:val="fr-FR"/>
        </w:rPr>
        <w:t>,</w:t>
      </w:r>
      <w:r w:rsidR="0050667A" w:rsidRPr="00C70421">
        <w:rPr>
          <w:lang w:val="fr-FR"/>
        </w:rPr>
        <w:t>2</w:t>
      </w:r>
      <w:r w:rsidR="00AC2163" w:rsidRPr="00C70421">
        <w:rPr>
          <w:lang w:val="fr-FR"/>
        </w:rPr>
        <w:t>%</w:t>
      </w:r>
      <w:r w:rsidR="008B1AE0" w:rsidRPr="00C70421">
        <w:rPr>
          <w:lang w:val="fr-FR"/>
        </w:rPr>
        <w:t xml:space="preserve"> </w:t>
      </w:r>
      <w:r w:rsidR="00AC2163" w:rsidRPr="00C70421">
        <w:rPr>
          <w:lang w:val="fr-FR"/>
        </w:rPr>
        <w:t>et 19,</w:t>
      </w:r>
      <w:r w:rsidR="0050667A" w:rsidRPr="00C70421">
        <w:rPr>
          <w:lang w:val="fr-FR"/>
        </w:rPr>
        <w:t>6</w:t>
      </w:r>
      <w:r w:rsidR="00AC2163" w:rsidRPr="00C70421">
        <w:rPr>
          <w:lang w:val="fr-FR"/>
        </w:rPr>
        <w:t>% de la totalité du financement de la recherche</w:t>
      </w:r>
      <w:r w:rsidR="00001599">
        <w:rPr>
          <w:lang w:val="fr-FR"/>
        </w:rPr>
        <w:noBreakHyphen/>
      </w:r>
      <w:r w:rsidR="00AC2163" w:rsidRPr="00C70421">
        <w:rPr>
          <w:lang w:val="fr-FR"/>
        </w:rPr>
        <w:t xml:space="preserve">développement </w:t>
      </w:r>
      <w:r w:rsidR="00473D89" w:rsidRPr="00C70421">
        <w:rPr>
          <w:lang w:val="fr-FR"/>
        </w:rPr>
        <w:t>en 2015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AC2163" w:rsidP="00E93C4E">
      <w:pPr>
        <w:rPr>
          <w:lang w:val="fr-FR"/>
        </w:rPr>
      </w:pPr>
      <w:r w:rsidRPr="00C70421">
        <w:rPr>
          <w:lang w:val="fr-FR"/>
        </w:rPr>
        <w:t>Le secteur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enseignement</w:t>
      </w:r>
      <w:r w:rsidR="009438B4" w:rsidRPr="00C70421">
        <w:rPr>
          <w:lang w:val="fr-FR"/>
        </w:rPr>
        <w:t xml:space="preserve"> supérieur devrait augmenter sa part de</w:t>
      </w:r>
      <w:r w:rsidRPr="00C70421">
        <w:rPr>
          <w:lang w:val="fr-FR"/>
        </w:rPr>
        <w:t xml:space="preserve"> financement de 1,</w:t>
      </w:r>
      <w:r w:rsidR="0050667A" w:rsidRPr="00C70421">
        <w:rPr>
          <w:lang w:val="fr-FR"/>
        </w:rPr>
        <w:t>0</w:t>
      </w:r>
      <w:r w:rsidRPr="00C70421">
        <w:rPr>
          <w:lang w:val="fr-FR"/>
        </w:rPr>
        <w:t>%, à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6,</w:t>
      </w:r>
      <w:r w:rsidR="0050667A" w:rsidRPr="00C70421">
        <w:rPr>
          <w:lang w:val="fr-FR"/>
        </w:rPr>
        <w:t>4</w:t>
      </w:r>
      <w:r w:rsidRPr="00C70421">
        <w:rPr>
          <w:lang w:val="fr-FR"/>
        </w:rPr>
        <w:t> milliards de dollars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et cel</w:t>
      </w:r>
      <w:r w:rsidR="009438B4" w:rsidRPr="00C70421">
        <w:rPr>
          <w:lang w:val="fr-FR"/>
        </w:rPr>
        <w:t>le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État de 1,</w:t>
      </w:r>
      <w:r w:rsidR="0050667A" w:rsidRPr="00C70421">
        <w:rPr>
          <w:lang w:val="fr-FR"/>
        </w:rPr>
        <w:t>8</w:t>
      </w:r>
      <w:r w:rsidRPr="00C70421">
        <w:rPr>
          <w:lang w:val="fr-FR"/>
        </w:rPr>
        <w:t>%, à 6,</w:t>
      </w:r>
      <w:r w:rsidR="00473D89" w:rsidRPr="00C70421">
        <w:rPr>
          <w:lang w:val="fr-FR"/>
        </w:rPr>
        <w:t>2 milliard</w:t>
      </w:r>
      <w:r w:rsidRPr="00C70421">
        <w:rPr>
          <w:lang w:val="fr-FR"/>
        </w:rPr>
        <w:t>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hyperlink r:id="rId31" w:history="1">
        <w:r w:rsidR="00AC2163" w:rsidRPr="00C70421">
          <w:rPr>
            <w:rStyle w:val="Hyperlink"/>
            <w:i/>
            <w:lang w:val="fr-FR"/>
          </w:rPr>
          <w:t>Statistique</w:t>
        </w:r>
        <w:r w:rsidRPr="00C70421">
          <w:rPr>
            <w:rStyle w:val="Hyperlink"/>
            <w:i/>
            <w:lang w:val="fr-FR"/>
          </w:rPr>
          <w:t xml:space="preserve"> Canada</w:t>
        </w:r>
      </w:hyperlink>
      <w:r w:rsidR="00AC2163" w:rsidRPr="00C70421">
        <w:rPr>
          <w:i/>
          <w:lang w:val="fr-FR"/>
        </w:rPr>
        <w:t xml:space="preserve"> 23</w:t>
      </w:r>
      <w:r w:rsidR="0085063C">
        <w:rPr>
          <w:i/>
          <w:lang w:val="fr-FR"/>
        </w:rPr>
        <w:t> septembre </w:t>
      </w:r>
      <w:r w:rsidR="00AC2163" w:rsidRPr="00C70421">
        <w:rPr>
          <w:i/>
          <w:lang w:val="fr-FR"/>
        </w:rPr>
        <w:t>2014</w:t>
      </w:r>
      <w:r w:rsidR="008B1AE0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>(</w:t>
      </w:r>
      <w:r w:rsidR="00AC2163" w:rsidRPr="00C70421">
        <w:rPr>
          <w:i/>
          <w:lang w:val="fr-FR"/>
        </w:rPr>
        <w:t>Estimations extraites le 29 janvier </w:t>
      </w:r>
      <w:r w:rsidRPr="00C70421">
        <w:rPr>
          <w:i/>
          <w:lang w:val="fr-FR"/>
        </w:rPr>
        <w:t>2017)</w:t>
      </w:r>
      <w:r w:rsidR="009438B4" w:rsidRPr="00C70421">
        <w:rPr>
          <w:i/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AC2163" w:rsidP="00E93C4E">
      <w:pPr>
        <w:pStyle w:val="Subsection"/>
        <w:rPr>
          <w:lang w:val="fr-FR"/>
        </w:rPr>
      </w:pPr>
      <w:r w:rsidRPr="00C70421">
        <w:rPr>
          <w:lang w:val="fr-FR"/>
        </w:rPr>
        <w:t>Nombre d</w:t>
      </w:r>
      <w:r w:rsidR="00473D89" w:rsidRPr="00C70421">
        <w:rPr>
          <w:lang w:val="fr-FR"/>
        </w:rPr>
        <w:t>’</w:t>
      </w:r>
      <w:r w:rsidR="009D1B2E" w:rsidRPr="00C70421">
        <w:rPr>
          <w:lang w:val="fr-FR"/>
        </w:rPr>
        <w:t>instituts</w:t>
      </w:r>
      <w:r w:rsidRPr="00C70421">
        <w:rPr>
          <w:lang w:val="fr-FR"/>
        </w:rPr>
        <w:t xml:space="preserve"> </w:t>
      </w:r>
      <w:r w:rsidR="00114AC9" w:rsidRPr="00C70421">
        <w:rPr>
          <w:lang w:val="fr-FR"/>
        </w:rPr>
        <w:t xml:space="preserve">universitaires </w:t>
      </w:r>
      <w:r w:rsidRPr="00C70421">
        <w:rPr>
          <w:lang w:val="fr-FR"/>
        </w:rPr>
        <w:t>de recherche</w:t>
      </w:r>
      <w:r w:rsidR="00473D89" w:rsidRPr="00C70421">
        <w:rPr>
          <w:lang w:val="fr-FR"/>
        </w:rPr>
        <w:t> :</w:t>
      </w:r>
    </w:p>
    <w:p w:rsidR="0050667A" w:rsidRPr="00C70421" w:rsidRDefault="006B54C7" w:rsidP="00E93C4E">
      <w:pPr>
        <w:rPr>
          <w:lang w:val="fr-FR"/>
        </w:rPr>
      </w:pPr>
      <w:r w:rsidRPr="00C70421">
        <w:rPr>
          <w:lang w:val="fr-FR"/>
        </w:rPr>
        <w:t xml:space="preserve">Le </w:t>
      </w:r>
      <w:r w:rsidR="0050667A" w:rsidRPr="00C70421">
        <w:rPr>
          <w:lang w:val="fr-FR"/>
        </w:rPr>
        <w:t xml:space="preserve">Canada </w:t>
      </w:r>
      <w:r w:rsidRPr="00C70421">
        <w:rPr>
          <w:lang w:val="fr-FR"/>
        </w:rPr>
        <w:t>compte</w:t>
      </w:r>
      <w:r w:rsidR="0050667A" w:rsidRPr="00C70421">
        <w:rPr>
          <w:lang w:val="fr-FR"/>
        </w:rPr>
        <w:t xml:space="preserve"> 97</w:t>
      </w:r>
      <w:r w:rsidR="00001599">
        <w:rPr>
          <w:lang w:val="fr-FR"/>
        </w:rPr>
        <w:t> </w:t>
      </w:r>
      <w:r w:rsidRPr="00C70421">
        <w:rPr>
          <w:lang w:val="fr-FR"/>
        </w:rPr>
        <w:t xml:space="preserve">instituts universitaires </w:t>
      </w:r>
      <w:r w:rsidR="0037774F" w:rsidRPr="00C70421">
        <w:rPr>
          <w:lang w:val="fr-FR"/>
        </w:rPr>
        <w:t xml:space="preserve">de recherche </w:t>
      </w:r>
      <w:r w:rsidRPr="00C70421">
        <w:rPr>
          <w:lang w:val="fr-FR"/>
        </w:rPr>
        <w:t>à travers le pa</w:t>
      </w:r>
      <w:r w:rsidR="00C70421" w:rsidRPr="00C70421">
        <w:rPr>
          <w:lang w:val="fr-FR"/>
        </w:rPr>
        <w:t>ys.  Il</w:t>
      </w:r>
      <w:r w:rsidR="00620334" w:rsidRPr="00C70421">
        <w:rPr>
          <w:lang w:val="fr-FR"/>
        </w:rPr>
        <w:t xml:space="preserve"> en existe</w:t>
      </w:r>
      <w:r w:rsidR="00473D89" w:rsidRPr="00C70421">
        <w:rPr>
          <w:lang w:val="fr-FR"/>
        </w:rPr>
        <w:t> :</w:t>
      </w:r>
      <w:r w:rsidR="008B1AE0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8 </w:t>
      </w:r>
      <w:r w:rsidR="00620334" w:rsidRPr="00C70421">
        <w:rPr>
          <w:lang w:val="fr-FR"/>
        </w:rPr>
        <w:t>e</w:t>
      </w:r>
      <w:r w:rsidR="0050667A" w:rsidRPr="00C70421">
        <w:rPr>
          <w:lang w:val="fr-FR"/>
        </w:rPr>
        <w:t xml:space="preserve">n Alberta, 11 </w:t>
      </w:r>
      <w:r w:rsidR="00620334" w:rsidRPr="00C70421">
        <w:rPr>
          <w:lang w:val="fr-FR"/>
        </w:rPr>
        <w:t>e</w:t>
      </w:r>
      <w:r w:rsidR="0050667A" w:rsidRPr="00C70421">
        <w:rPr>
          <w:lang w:val="fr-FR"/>
        </w:rPr>
        <w:t xml:space="preserve">n </w:t>
      </w:r>
      <w:r w:rsidR="00620334" w:rsidRPr="00C70421">
        <w:rPr>
          <w:lang w:val="fr-FR"/>
        </w:rPr>
        <w:t>Colombie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Britannique, 6 au</w:t>
      </w:r>
      <w:r w:rsidR="0050667A" w:rsidRPr="00C70421">
        <w:rPr>
          <w:lang w:val="fr-FR"/>
        </w:rPr>
        <w:t xml:space="preserve"> Manitoba</w:t>
      </w:r>
      <w:r w:rsidR="00620334" w:rsidRPr="00C70421">
        <w:rPr>
          <w:lang w:val="fr-FR"/>
        </w:rPr>
        <w:t>,</w:t>
      </w:r>
      <w:r w:rsidR="0050667A" w:rsidRPr="00C70421">
        <w:rPr>
          <w:lang w:val="fr-FR"/>
        </w:rPr>
        <w:t xml:space="preserve"> 4 </w:t>
      </w:r>
      <w:r w:rsidR="00620334" w:rsidRPr="00C70421">
        <w:rPr>
          <w:lang w:val="fr-FR"/>
        </w:rPr>
        <w:t>au Nouveau</w:t>
      </w:r>
      <w:r w:rsidR="00001599">
        <w:rPr>
          <w:lang w:val="fr-FR"/>
        </w:rPr>
        <w:noBreakHyphen/>
      </w:r>
      <w:r w:rsidR="0050667A" w:rsidRPr="00C70421">
        <w:rPr>
          <w:lang w:val="fr-FR"/>
        </w:rPr>
        <w:t>Brunswick</w:t>
      </w:r>
      <w:r w:rsidR="00620334" w:rsidRPr="00C70421">
        <w:rPr>
          <w:lang w:val="fr-FR"/>
        </w:rPr>
        <w:t>,</w:t>
      </w:r>
      <w:r w:rsidR="0050667A" w:rsidRPr="00C70421">
        <w:rPr>
          <w:lang w:val="fr-FR"/>
        </w:rPr>
        <w:t xml:space="preserve"> 9 </w:t>
      </w:r>
      <w:r w:rsidR="00620334" w:rsidRPr="00C70421">
        <w:rPr>
          <w:lang w:val="fr-FR"/>
        </w:rPr>
        <w:t>en</w:t>
      </w:r>
      <w:r w:rsidR="0050667A" w:rsidRPr="00C70421">
        <w:rPr>
          <w:lang w:val="fr-FR"/>
        </w:rPr>
        <w:t xml:space="preserve"> N</w:t>
      </w:r>
      <w:r w:rsidR="00620334" w:rsidRPr="00C70421">
        <w:rPr>
          <w:lang w:val="fr-FR"/>
        </w:rPr>
        <w:t>ouvelle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Écosse, 1 en Terre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Neuve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et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Labrador,</w:t>
      </w:r>
      <w:r w:rsidR="0050667A" w:rsidRPr="00C70421">
        <w:rPr>
          <w:lang w:val="fr-FR"/>
        </w:rPr>
        <w:t xml:space="preserve"> 33 </w:t>
      </w:r>
      <w:r w:rsidR="00620334" w:rsidRPr="00C70421">
        <w:rPr>
          <w:lang w:val="fr-FR"/>
        </w:rPr>
        <w:t>en Ontario, 1 à l</w:t>
      </w:r>
      <w:r w:rsidR="00473D89" w:rsidRPr="00C70421">
        <w:rPr>
          <w:lang w:val="fr-FR"/>
        </w:rPr>
        <w:t>’</w:t>
      </w:r>
      <w:r w:rsidR="00620334" w:rsidRPr="00C70421">
        <w:rPr>
          <w:lang w:val="fr-FR"/>
        </w:rPr>
        <w:t>Île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du</w:t>
      </w:r>
      <w:r w:rsidR="00001599">
        <w:rPr>
          <w:lang w:val="fr-FR"/>
        </w:rPr>
        <w:noBreakHyphen/>
      </w:r>
      <w:r w:rsidR="0050667A" w:rsidRPr="00C70421">
        <w:rPr>
          <w:lang w:val="fr-FR"/>
        </w:rPr>
        <w:t>Prince</w:t>
      </w:r>
      <w:r w:rsidR="00001599">
        <w:rPr>
          <w:lang w:val="fr-FR"/>
        </w:rPr>
        <w:noBreakHyphen/>
      </w:r>
      <w:r w:rsidR="00620334" w:rsidRPr="00C70421">
        <w:rPr>
          <w:lang w:val="fr-FR"/>
        </w:rPr>
        <w:t>Edou</w:t>
      </w:r>
      <w:r w:rsidR="0050667A" w:rsidRPr="00C70421">
        <w:rPr>
          <w:lang w:val="fr-FR"/>
        </w:rPr>
        <w:t>ard</w:t>
      </w:r>
      <w:r w:rsidR="00620334" w:rsidRPr="00C70421">
        <w:rPr>
          <w:lang w:val="fr-FR"/>
        </w:rPr>
        <w:t>,</w:t>
      </w:r>
      <w:r w:rsidR="0050667A" w:rsidRPr="00C70421">
        <w:rPr>
          <w:lang w:val="fr-FR"/>
        </w:rPr>
        <w:t xml:space="preserve"> 19 </w:t>
      </w:r>
      <w:r w:rsidR="00620334" w:rsidRPr="00C70421">
        <w:rPr>
          <w:lang w:val="fr-FR"/>
        </w:rPr>
        <w:t>au Qué</w:t>
      </w:r>
      <w:r w:rsidR="0050667A" w:rsidRPr="00C70421">
        <w:rPr>
          <w:lang w:val="fr-FR"/>
        </w:rPr>
        <w:t xml:space="preserve">bec </w:t>
      </w:r>
      <w:r w:rsidR="00620334" w:rsidRPr="00C70421">
        <w:rPr>
          <w:lang w:val="fr-FR"/>
        </w:rPr>
        <w:t xml:space="preserve">et 6 </w:t>
      </w:r>
      <w:r w:rsidR="006922AF">
        <w:rPr>
          <w:lang w:val="fr-FR"/>
        </w:rPr>
        <w:t>à la</w:t>
      </w:r>
      <w:r w:rsidR="0050667A" w:rsidRPr="00C70421">
        <w:rPr>
          <w:lang w:val="fr-FR"/>
        </w:rPr>
        <w:t xml:space="preserve"> Saskatchew</w:t>
      </w:r>
      <w:r w:rsidR="00C70421" w:rsidRPr="00C70421">
        <w:rPr>
          <w:lang w:val="fr-FR"/>
        </w:rPr>
        <w:t>an.  D’a</w:t>
      </w:r>
      <w:r w:rsidR="009D1B2E" w:rsidRPr="00C70421">
        <w:rPr>
          <w:lang w:val="fr-FR"/>
        </w:rPr>
        <w:t>près un rapport de l</w:t>
      </w:r>
      <w:r w:rsidR="00473D89" w:rsidRPr="00C70421">
        <w:rPr>
          <w:lang w:val="fr-FR"/>
        </w:rPr>
        <w:t>’</w:t>
      </w:r>
      <w:r w:rsidR="009D1B2E" w:rsidRPr="00C70421">
        <w:rPr>
          <w:lang w:val="fr-FR"/>
        </w:rPr>
        <w:t>O</w:t>
      </w:r>
      <w:r w:rsidR="009438B4" w:rsidRPr="00C70421">
        <w:rPr>
          <w:lang w:val="fr-FR"/>
        </w:rPr>
        <w:t>rganisation de coopération et de développement économiques (O</w:t>
      </w:r>
      <w:r w:rsidR="009D1B2E" w:rsidRPr="00C70421">
        <w:rPr>
          <w:lang w:val="fr-FR"/>
        </w:rPr>
        <w:t>CDE</w:t>
      </w:r>
      <w:r w:rsidR="009438B4" w:rsidRPr="00C70421">
        <w:rPr>
          <w:lang w:val="fr-FR"/>
        </w:rPr>
        <w:t>)</w:t>
      </w:r>
      <w:r w:rsidR="009D1B2E" w:rsidRPr="00C70421">
        <w:rPr>
          <w:lang w:val="fr-FR"/>
        </w:rPr>
        <w:t xml:space="preserve"> de</w:t>
      </w:r>
      <w:r w:rsidR="0050667A" w:rsidRPr="00C70421">
        <w:rPr>
          <w:lang w:val="fr-FR"/>
        </w:rPr>
        <w:t xml:space="preserve"> </w:t>
      </w:r>
      <w:hyperlink r:id="rId32" w:anchor="page6" w:history="1">
        <w:r w:rsidR="0050667A" w:rsidRPr="00C70421">
          <w:rPr>
            <w:rStyle w:val="Hyperlink"/>
            <w:lang w:val="fr-FR"/>
          </w:rPr>
          <w:t>2016</w:t>
        </w:r>
      </w:hyperlink>
      <w:r w:rsidR="0050667A" w:rsidRPr="00C70421">
        <w:rPr>
          <w:lang w:val="fr-FR"/>
        </w:rPr>
        <w:t xml:space="preserve">, </w:t>
      </w:r>
      <w:r w:rsidR="009D1B2E" w:rsidRPr="00C70421">
        <w:rPr>
          <w:lang w:val="fr-FR"/>
        </w:rPr>
        <w:t xml:space="preserve">le </w:t>
      </w:r>
      <w:r w:rsidR="0050667A" w:rsidRPr="00C70421">
        <w:rPr>
          <w:lang w:val="fr-FR"/>
        </w:rPr>
        <w:t xml:space="preserve">Canada </w:t>
      </w:r>
      <w:r w:rsidR="009D1B2E" w:rsidRPr="00C70421">
        <w:rPr>
          <w:lang w:val="fr-FR"/>
        </w:rPr>
        <w:t>se classe en tête des pays de l</w:t>
      </w:r>
      <w:r w:rsidR="00473D89" w:rsidRPr="00C70421">
        <w:rPr>
          <w:lang w:val="fr-FR"/>
        </w:rPr>
        <w:t>’</w:t>
      </w:r>
      <w:r w:rsidR="009D1B2E" w:rsidRPr="00C70421">
        <w:rPr>
          <w:lang w:val="fr-FR"/>
        </w:rPr>
        <w:t>OCDE pour la proportion d</w:t>
      </w:r>
      <w:r w:rsidR="00473D89" w:rsidRPr="00C70421">
        <w:rPr>
          <w:lang w:val="fr-FR"/>
        </w:rPr>
        <w:t>’</w:t>
      </w:r>
      <w:r w:rsidR="009D1B2E" w:rsidRPr="00C70421">
        <w:rPr>
          <w:lang w:val="fr-FR"/>
        </w:rPr>
        <w:t>adultes diplômés de l</w:t>
      </w:r>
      <w:r w:rsidR="00473D89" w:rsidRPr="00C70421">
        <w:rPr>
          <w:lang w:val="fr-FR"/>
        </w:rPr>
        <w:t>’</w:t>
      </w:r>
      <w:r w:rsidR="009D1B2E" w:rsidRPr="00C70421">
        <w:rPr>
          <w:lang w:val="fr-FR"/>
        </w:rPr>
        <w:t xml:space="preserve">enseignement </w:t>
      </w:r>
      <w:r w:rsidR="0037774F" w:rsidRPr="00C70421">
        <w:rPr>
          <w:lang w:val="fr-FR"/>
        </w:rPr>
        <w:t xml:space="preserve">supérieur </w:t>
      </w:r>
      <w:r w:rsidR="009D1B2E" w:rsidRPr="00C70421">
        <w:rPr>
          <w:lang w:val="fr-FR"/>
        </w:rPr>
        <w:t>(</w:t>
      </w:r>
      <w:r w:rsidR="0050667A" w:rsidRPr="00C70421">
        <w:rPr>
          <w:lang w:val="fr-FR"/>
        </w:rPr>
        <w:t>55</w:t>
      </w:r>
      <w:r w:rsidR="009D1B2E" w:rsidRPr="00C70421">
        <w:rPr>
          <w:lang w:val="fr-FR"/>
        </w:rPr>
        <w:t>%)</w:t>
      </w:r>
      <w:r w:rsidR="0050667A" w:rsidRPr="00C70421">
        <w:rPr>
          <w:lang w:val="fr-FR"/>
        </w:rPr>
        <w:t xml:space="preserve">.  </w:t>
      </w:r>
      <w:r w:rsidR="009D1B2E" w:rsidRPr="00C70421">
        <w:rPr>
          <w:lang w:val="fr-FR"/>
        </w:rPr>
        <w:t>Le</w:t>
      </w:r>
      <w:r w:rsidR="00DE083A" w:rsidRPr="00C70421">
        <w:rPr>
          <w:lang w:val="fr-FR"/>
        </w:rPr>
        <w:t>s dépenses au titre de l</w:t>
      </w:r>
      <w:r w:rsidR="00473D89" w:rsidRPr="00C70421">
        <w:rPr>
          <w:lang w:val="fr-FR"/>
        </w:rPr>
        <w:t>’</w:t>
      </w:r>
      <w:r w:rsidR="00DE083A" w:rsidRPr="00C70421">
        <w:rPr>
          <w:lang w:val="fr-FR"/>
        </w:rPr>
        <w:t>enseignement sont également plus élevées au</w:t>
      </w:r>
      <w:r w:rsidR="009D1B2E" w:rsidRPr="00C70421">
        <w:rPr>
          <w:lang w:val="fr-FR"/>
        </w:rPr>
        <w:t xml:space="preserve"> </w:t>
      </w:r>
      <w:r w:rsidR="0050667A" w:rsidRPr="00C70421">
        <w:rPr>
          <w:lang w:val="fr-FR"/>
        </w:rPr>
        <w:t>Canada</w:t>
      </w:r>
      <w:r w:rsidR="009D1B2E" w:rsidRPr="00C70421">
        <w:rPr>
          <w:lang w:val="fr-FR"/>
        </w:rPr>
        <w:t xml:space="preserve"> </w:t>
      </w:r>
      <w:r w:rsidR="00DE083A" w:rsidRPr="00C70421">
        <w:rPr>
          <w:lang w:val="fr-FR"/>
        </w:rPr>
        <w:t>que dans les autres pays</w:t>
      </w:r>
      <w:r w:rsidR="0050667A" w:rsidRPr="00C70421">
        <w:rPr>
          <w:lang w:val="fr-FR"/>
        </w:rPr>
        <w:t xml:space="preserve"> </w:t>
      </w:r>
      <w:r w:rsidR="00DE083A"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="00D400D3" w:rsidRPr="00C70421">
        <w:rPr>
          <w:lang w:val="fr-FR"/>
        </w:rPr>
        <w:t>O</w:t>
      </w:r>
      <w:r w:rsidR="00C70421" w:rsidRPr="00C70421">
        <w:rPr>
          <w:lang w:val="fr-FR"/>
        </w:rPr>
        <w:t>CDE.  Le</w:t>
      </w:r>
      <w:r w:rsidR="00DE083A" w:rsidRPr="00C70421">
        <w:rPr>
          <w:lang w:val="fr-FR"/>
        </w:rPr>
        <w:t>s dépenses annuelles des établissements d</w:t>
      </w:r>
      <w:r w:rsidR="00473D89" w:rsidRPr="00C70421">
        <w:rPr>
          <w:lang w:val="fr-FR"/>
        </w:rPr>
        <w:t>’</w:t>
      </w:r>
      <w:r w:rsidR="00DE083A" w:rsidRPr="00C70421">
        <w:rPr>
          <w:lang w:val="fr-FR"/>
        </w:rPr>
        <w:t>enseignement dans ce secteur</w:t>
      </w:r>
      <w:r w:rsidR="0050667A" w:rsidRPr="00C70421">
        <w:rPr>
          <w:lang w:val="fr-FR"/>
        </w:rPr>
        <w:t xml:space="preserve"> </w:t>
      </w:r>
      <w:r w:rsidR="00DE083A" w:rsidRPr="00C70421">
        <w:rPr>
          <w:lang w:val="fr-FR"/>
        </w:rPr>
        <w:t xml:space="preserve">pour tous les services représentaient </w:t>
      </w:r>
      <w:r w:rsidR="0050667A" w:rsidRPr="00C70421">
        <w:rPr>
          <w:lang w:val="fr-FR"/>
        </w:rPr>
        <w:t>51</w:t>
      </w:r>
      <w:r w:rsidR="00DE083A" w:rsidRPr="00C70421">
        <w:rPr>
          <w:lang w:val="fr-FR"/>
        </w:rPr>
        <w:t>%</w:t>
      </w:r>
      <w:r w:rsidR="00473D89" w:rsidRPr="00C70421">
        <w:rPr>
          <w:lang w:val="fr-FR"/>
        </w:rPr>
        <w:t xml:space="preserve"> du PIB</w:t>
      </w:r>
      <w:r w:rsidR="00DE083A" w:rsidRPr="00C70421">
        <w:rPr>
          <w:lang w:val="fr-FR"/>
        </w:rPr>
        <w:t xml:space="preserve"> par habitant </w:t>
      </w:r>
      <w:r w:rsidR="00473D89" w:rsidRPr="00C70421">
        <w:rPr>
          <w:lang w:val="fr-FR"/>
        </w:rPr>
        <w:t>en 2012</w:t>
      </w:r>
      <w:r w:rsidR="0050667A" w:rsidRPr="00C70421">
        <w:rPr>
          <w:lang w:val="fr-FR"/>
        </w:rPr>
        <w:t>.</w:t>
      </w:r>
    </w:p>
    <w:p w:rsidR="00473D89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Pr="00C70421">
        <w:rPr>
          <w:i/>
          <w:lang w:val="fr-FR"/>
        </w:rPr>
        <w:t xml:space="preserve"> </w:t>
      </w:r>
      <w:r w:rsidR="00DE083A" w:rsidRPr="00C70421">
        <w:rPr>
          <w:i/>
          <w:lang w:val="fr-FR"/>
        </w:rPr>
        <w:t>O</w:t>
      </w:r>
      <w:r w:rsidRPr="00C70421">
        <w:rPr>
          <w:i/>
          <w:lang w:val="fr-FR"/>
        </w:rPr>
        <w:t>CD</w:t>
      </w:r>
      <w:r w:rsidR="00DE083A" w:rsidRPr="00C70421">
        <w:rPr>
          <w:i/>
          <w:lang w:val="fr-FR"/>
        </w:rPr>
        <w:t>E (2016) “Canada”, dans</w:t>
      </w:r>
      <w:r w:rsidRPr="00C70421">
        <w:rPr>
          <w:i/>
          <w:lang w:val="fr-FR"/>
        </w:rPr>
        <w:t xml:space="preserve"> </w:t>
      </w:r>
      <w:r w:rsidR="00DE083A" w:rsidRPr="00C70421">
        <w:rPr>
          <w:i/>
          <w:lang w:val="fr-FR"/>
        </w:rPr>
        <w:t>“Regards sur l</w:t>
      </w:r>
      <w:r w:rsidR="00473D89" w:rsidRPr="00C70421">
        <w:rPr>
          <w:i/>
          <w:lang w:val="fr-FR"/>
        </w:rPr>
        <w:t>’</w:t>
      </w:r>
      <w:r w:rsidR="00DE083A" w:rsidRPr="00C70421">
        <w:rPr>
          <w:i/>
          <w:lang w:val="fr-FR"/>
        </w:rPr>
        <w:t>éducation</w:t>
      </w:r>
      <w:r w:rsidR="00001599">
        <w:rPr>
          <w:i/>
          <w:lang w:val="fr-FR"/>
        </w:rPr>
        <w:t> </w:t>
      </w:r>
      <w:r w:rsidRPr="00C70421">
        <w:rPr>
          <w:i/>
          <w:lang w:val="fr-FR"/>
        </w:rPr>
        <w:t>2016</w:t>
      </w:r>
      <w:r w:rsidR="00DE083A" w:rsidRPr="00C70421">
        <w:rPr>
          <w:i/>
          <w:lang w:val="fr-FR"/>
        </w:rPr>
        <w:t>”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DE083A" w:rsidRPr="00C70421">
        <w:rPr>
          <w:i/>
          <w:lang w:val="fr-FR"/>
        </w:rPr>
        <w:t>Les</w:t>
      </w:r>
      <w:r w:rsidRPr="00C70421">
        <w:rPr>
          <w:i/>
          <w:lang w:val="fr-FR"/>
        </w:rPr>
        <w:t xml:space="preserve"> </w:t>
      </w:r>
      <w:r w:rsidR="00DE083A" w:rsidRPr="00C70421">
        <w:rPr>
          <w:i/>
          <w:lang w:val="fr-FR"/>
        </w:rPr>
        <w:t>i</w:t>
      </w:r>
      <w:r w:rsidRPr="00C70421">
        <w:rPr>
          <w:i/>
          <w:lang w:val="fr-FR"/>
        </w:rPr>
        <w:t>ndicat</w:t>
      </w:r>
      <w:r w:rsidR="00DE083A" w:rsidRPr="00C70421">
        <w:rPr>
          <w:i/>
          <w:lang w:val="fr-FR"/>
        </w:rPr>
        <w:t>eu</w:t>
      </w:r>
      <w:r w:rsidRPr="00C70421">
        <w:rPr>
          <w:i/>
          <w:lang w:val="fr-FR"/>
        </w:rPr>
        <w:t>rs</w:t>
      </w:r>
      <w:r w:rsidR="00DE083A" w:rsidRPr="00C70421">
        <w:rPr>
          <w:i/>
          <w:lang w:val="fr-FR"/>
        </w:rPr>
        <w:t xml:space="preserve"> de l</w:t>
      </w:r>
      <w:r w:rsidR="00473D89" w:rsidRPr="00C70421">
        <w:rPr>
          <w:i/>
          <w:lang w:val="fr-FR"/>
        </w:rPr>
        <w:t>’</w:t>
      </w:r>
      <w:r w:rsidR="00DE083A" w:rsidRPr="00C70421">
        <w:rPr>
          <w:i/>
          <w:lang w:val="fr-FR"/>
        </w:rPr>
        <w:t>OCDE</w:t>
      </w:r>
      <w:r w:rsidRPr="00C70421">
        <w:rPr>
          <w:i/>
          <w:lang w:val="fr-FR"/>
        </w:rPr>
        <w:t xml:space="preserve">, OECD </w:t>
      </w:r>
      <w:proofErr w:type="spellStart"/>
      <w:r w:rsidRPr="00C70421">
        <w:rPr>
          <w:i/>
          <w:lang w:val="fr-FR"/>
        </w:rPr>
        <w:t>Publishing</w:t>
      </w:r>
      <w:proofErr w:type="spellEnd"/>
      <w:r w:rsidRPr="00C70421">
        <w:rPr>
          <w:i/>
          <w:lang w:val="fr-FR"/>
        </w:rPr>
        <w:t>, Paris [DOI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hyperlink r:id="rId33" w:history="1">
        <w:r w:rsidR="00DE083A" w:rsidRPr="00C70421">
          <w:rPr>
            <w:rStyle w:val="Hyperlink"/>
            <w:i/>
            <w:lang w:val="fr-FR"/>
          </w:rPr>
          <w:t>http://dx.doi.org/10.1787/eag</w:t>
        </w:r>
        <w:r w:rsidR="00001599">
          <w:rPr>
            <w:rStyle w:val="Hyperlink"/>
            <w:i/>
            <w:lang w:val="fr-FR"/>
          </w:rPr>
          <w:noBreakHyphen/>
        </w:r>
        <w:r w:rsidR="00DE083A" w:rsidRPr="00C70421">
          <w:rPr>
            <w:rStyle w:val="Hyperlink"/>
            <w:i/>
            <w:lang w:val="fr-FR"/>
          </w:rPr>
          <w:t>2016</w:t>
        </w:r>
        <w:r w:rsidR="00001599">
          <w:rPr>
            <w:rStyle w:val="Hyperlink"/>
            <w:i/>
            <w:lang w:val="fr-FR"/>
          </w:rPr>
          <w:noBreakHyphen/>
        </w:r>
        <w:r w:rsidR="00DE083A" w:rsidRPr="00C70421">
          <w:rPr>
            <w:rStyle w:val="Hyperlink"/>
            <w:i/>
            <w:lang w:val="fr-FR"/>
          </w:rPr>
          <w:t>fr</w:t>
        </w:r>
      </w:hyperlink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CE23BD" w:rsidP="00E93C4E">
      <w:pPr>
        <w:rPr>
          <w:lang w:val="fr-FR"/>
        </w:rPr>
      </w:pPr>
      <w:r w:rsidRPr="00C70421">
        <w:rPr>
          <w:lang w:val="fr-FR"/>
        </w:rPr>
        <w:t>Les universités ont généré 13 milliards de dollars dans le domaine de la recherche</w:t>
      </w:r>
      <w:r w:rsidR="00001599">
        <w:rPr>
          <w:lang w:val="fr-FR"/>
        </w:rPr>
        <w:noBreakHyphen/>
      </w:r>
      <w:r w:rsidRPr="00C70421">
        <w:rPr>
          <w:lang w:val="fr-FR"/>
        </w:rPr>
        <w:t xml:space="preserve">développement </w:t>
      </w:r>
      <w:r w:rsidR="00473D89" w:rsidRPr="00C70421">
        <w:rPr>
          <w:lang w:val="fr-FR"/>
        </w:rPr>
        <w:t>en 2014</w:t>
      </w:r>
      <w:r w:rsidR="0050667A" w:rsidRPr="00C70421">
        <w:rPr>
          <w:lang w:val="fr-FR"/>
        </w:rPr>
        <w:t xml:space="preserve">, </w:t>
      </w:r>
      <w:r w:rsidR="00D400D3" w:rsidRPr="00C70421">
        <w:rPr>
          <w:lang w:val="fr-FR"/>
        </w:rPr>
        <w:t>ce qui représente</w:t>
      </w:r>
      <w:r w:rsidRPr="00C70421">
        <w:rPr>
          <w:lang w:val="fr-FR"/>
        </w:rPr>
        <w:t xml:space="preserve"> 40% de la totalité de la recherche</w:t>
      </w:r>
      <w:r w:rsidR="00001599">
        <w:rPr>
          <w:lang w:val="fr-FR"/>
        </w:rPr>
        <w:noBreakHyphen/>
      </w:r>
      <w:r w:rsidRPr="00C70421">
        <w:rPr>
          <w:lang w:val="fr-FR"/>
        </w:rPr>
        <w:t>développement au Cana</w:t>
      </w:r>
      <w:r w:rsidR="00C70421" w:rsidRPr="00C70421">
        <w:rPr>
          <w:lang w:val="fr-FR"/>
        </w:rPr>
        <w:t>da.  Le</w:t>
      </w:r>
      <w:r w:rsidRPr="00C70421">
        <w:rPr>
          <w:lang w:val="fr-FR"/>
        </w:rPr>
        <w:t>s universités canadiennes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contribuent à la recherche </w:t>
      </w:r>
      <w:r w:rsidRPr="00C70421">
        <w:rPr>
          <w:lang w:val="fr-FR"/>
        </w:rPr>
        <w:lastRenderedPageBreak/>
        <w:t>dans les entreprises pour un montant d</w:t>
      </w:r>
      <w:r w:rsidR="006922AF">
        <w:rPr>
          <w:lang w:val="fr-FR"/>
        </w:rPr>
        <w:t xml:space="preserve">e </w:t>
      </w:r>
      <w:r w:rsidR="00473D89" w:rsidRPr="00C70421">
        <w:rPr>
          <w:lang w:val="fr-FR"/>
        </w:rPr>
        <w:t>1 milliard</w:t>
      </w:r>
      <w:r w:rsidRPr="00C70421">
        <w:rPr>
          <w:lang w:val="fr-FR"/>
        </w:rPr>
        <w:t xml:space="preserve"> de dollars et aide</w:t>
      </w:r>
      <w:r w:rsidR="006922AF">
        <w:rPr>
          <w:lang w:val="fr-FR"/>
        </w:rPr>
        <w:t xml:space="preserve">nt </w:t>
      </w:r>
      <w:r w:rsidRPr="00C70421">
        <w:rPr>
          <w:lang w:val="fr-FR"/>
        </w:rPr>
        <w:t>celles</w:t>
      </w:r>
      <w:r w:rsidR="00001599">
        <w:rPr>
          <w:lang w:val="fr-FR"/>
        </w:rPr>
        <w:noBreakHyphen/>
      </w:r>
      <w:r w:rsidRPr="00C70421">
        <w:rPr>
          <w:lang w:val="fr-FR"/>
        </w:rPr>
        <w:t>ci à créer un avantage concurrenti</w:t>
      </w:r>
      <w:r w:rsidR="00C70421" w:rsidRPr="00C70421">
        <w:rPr>
          <w:lang w:val="fr-FR"/>
        </w:rPr>
        <w:t>el.  Le</w:t>
      </w:r>
      <w:r w:rsidRPr="00C70421">
        <w:rPr>
          <w:lang w:val="fr-FR"/>
        </w:rPr>
        <w:t>s universités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soutiennent la re</w:t>
      </w:r>
      <w:r w:rsidR="00D400D3" w:rsidRPr="00C70421">
        <w:rPr>
          <w:lang w:val="fr-FR"/>
        </w:rPr>
        <w:t>cherche du secteur non lucratif</w:t>
      </w:r>
      <w:r w:rsidRPr="00C70421">
        <w:rPr>
          <w:lang w:val="fr-FR"/>
        </w:rPr>
        <w:t xml:space="preserve"> à hauteur d</w:t>
      </w:r>
      <w:r w:rsidR="006922AF">
        <w:rPr>
          <w:lang w:val="fr-FR"/>
        </w:rPr>
        <w:t xml:space="preserve">e </w:t>
      </w:r>
      <w:r w:rsidRPr="00C70421">
        <w:rPr>
          <w:lang w:val="fr-FR"/>
        </w:rPr>
        <w:t>1,</w:t>
      </w:r>
      <w:r w:rsidR="00473D89" w:rsidRPr="00C70421">
        <w:rPr>
          <w:lang w:val="fr-FR"/>
        </w:rPr>
        <w:t>2 milliard</w:t>
      </w:r>
      <w:r w:rsidRPr="00C70421">
        <w:rPr>
          <w:lang w:val="fr-FR"/>
        </w:rPr>
        <w:t xml:space="preserve"> de dollars par an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 xml:space="preserve">un montant qui a presque triplé </w:t>
      </w:r>
      <w:r w:rsidR="00473D89" w:rsidRPr="00C70421">
        <w:rPr>
          <w:lang w:val="fr-FR"/>
        </w:rPr>
        <w:t>depuis 2000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>Statisti</w:t>
      </w:r>
      <w:r w:rsidR="00CE23BD" w:rsidRPr="00C70421">
        <w:rPr>
          <w:i/>
          <w:lang w:val="fr-FR"/>
        </w:rPr>
        <w:t>que</w:t>
      </w:r>
      <w:r w:rsidRPr="00C70421">
        <w:rPr>
          <w:i/>
          <w:lang w:val="fr-FR"/>
        </w:rPr>
        <w:t xml:space="preserve"> Canada, </w:t>
      </w:r>
      <w:r w:rsidR="00CE23BD" w:rsidRPr="00C70421">
        <w:rPr>
          <w:i/>
          <w:lang w:val="fr-FR"/>
        </w:rPr>
        <w:t xml:space="preserve">Dépenses intérieures brutes en </w:t>
      </w:r>
      <w:r w:rsidR="00B07B08" w:rsidRPr="00C70421">
        <w:rPr>
          <w:i/>
          <w:lang w:val="fr-FR"/>
        </w:rPr>
        <w:t xml:space="preserve">recherche et </w:t>
      </w:r>
      <w:r w:rsidR="00CE23BD" w:rsidRPr="00C70421">
        <w:rPr>
          <w:i/>
          <w:lang w:val="fr-FR"/>
        </w:rPr>
        <w:t>développement</w:t>
      </w:r>
      <w:r w:rsidR="00B07B08" w:rsidRPr="00C70421">
        <w:rPr>
          <w:i/>
          <w:lang w:val="fr-FR"/>
        </w:rPr>
        <w:t xml:space="preserve"> a</w:t>
      </w:r>
      <w:r w:rsidR="00CE23BD" w:rsidRPr="00C70421">
        <w:rPr>
          <w:i/>
          <w:lang w:val="fr-FR"/>
        </w:rPr>
        <w:t>u</w:t>
      </w:r>
      <w:r w:rsidRPr="00C70421">
        <w:rPr>
          <w:i/>
          <w:lang w:val="fr-FR"/>
        </w:rPr>
        <w:t xml:space="preserve"> Canada, 2016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B07B08" w:rsidP="00E93C4E">
      <w:pPr>
        <w:rPr>
          <w:lang w:val="fr-FR"/>
        </w:rPr>
      </w:pPr>
      <w:r w:rsidRPr="00C70421">
        <w:rPr>
          <w:lang w:val="fr-FR"/>
        </w:rPr>
        <w:t xml:space="preserve">Environ </w:t>
      </w:r>
      <w:r w:rsidR="00373B66" w:rsidRPr="00C70421">
        <w:rPr>
          <w:lang w:val="fr-FR"/>
        </w:rPr>
        <w:t>1500</w:t>
      </w:r>
      <w:r w:rsidR="00001599">
        <w:rPr>
          <w:lang w:val="fr-FR"/>
        </w:rPr>
        <w:t> </w:t>
      </w:r>
      <w:r w:rsidRPr="00C70421">
        <w:rPr>
          <w:lang w:val="fr-FR"/>
        </w:rPr>
        <w:t>entreprises</w:t>
      </w:r>
      <w:r w:rsidR="00AF5BE0" w:rsidRPr="00C70421">
        <w:rPr>
          <w:lang w:val="fr-FR"/>
        </w:rPr>
        <w:t xml:space="preserve"> et laboratoires gouvernementaux</w:t>
      </w:r>
      <w:r w:rsidR="0050667A" w:rsidRPr="00C70421">
        <w:rPr>
          <w:lang w:val="fr-FR"/>
        </w:rPr>
        <w:t xml:space="preserve"> </w:t>
      </w:r>
      <w:r w:rsidR="006D6A57" w:rsidRPr="00C70421">
        <w:rPr>
          <w:lang w:val="fr-FR"/>
        </w:rPr>
        <w:t>sont intégré</w:t>
      </w:r>
      <w:r w:rsidR="00AF5BE0" w:rsidRPr="00C70421">
        <w:rPr>
          <w:lang w:val="fr-FR"/>
        </w:rPr>
        <w:t>s dans 26</w:t>
      </w:r>
      <w:r w:rsidR="00001599">
        <w:rPr>
          <w:lang w:val="fr-FR"/>
        </w:rPr>
        <w:t> </w:t>
      </w:r>
      <w:r w:rsidR="00AF5BE0" w:rsidRPr="00C70421">
        <w:rPr>
          <w:lang w:val="fr-FR"/>
        </w:rPr>
        <w:t>parcs universitaires de recherche et de technologi</w:t>
      </w:r>
      <w:r w:rsidR="00C70421" w:rsidRPr="00C70421">
        <w:rPr>
          <w:lang w:val="fr-FR"/>
        </w:rPr>
        <w:t>e.  Il</w:t>
      </w:r>
      <w:r w:rsidR="00AF5BE0" w:rsidRPr="00C70421">
        <w:rPr>
          <w:lang w:val="fr-FR"/>
        </w:rPr>
        <w:t>s emploient environ 65 </w:t>
      </w:r>
      <w:r w:rsidR="0050667A" w:rsidRPr="00C70421">
        <w:rPr>
          <w:lang w:val="fr-FR"/>
        </w:rPr>
        <w:t>000</w:t>
      </w:r>
      <w:r w:rsidR="00001599">
        <w:rPr>
          <w:lang w:val="fr-FR"/>
        </w:rPr>
        <w:t> </w:t>
      </w:r>
      <w:r w:rsidR="0050667A" w:rsidRPr="00C70421">
        <w:rPr>
          <w:lang w:val="fr-FR"/>
        </w:rPr>
        <w:t>pe</w:t>
      </w:r>
      <w:r w:rsidR="00AF5BE0" w:rsidRPr="00C70421">
        <w:rPr>
          <w:lang w:val="fr-FR"/>
        </w:rPr>
        <w:t>rsonnes et contribuent</w:t>
      </w:r>
      <w:r w:rsidR="00473D89" w:rsidRPr="00C70421">
        <w:rPr>
          <w:lang w:val="fr-FR"/>
        </w:rPr>
        <w:t xml:space="preserve"> au PIB</w:t>
      </w:r>
      <w:r w:rsidR="00D400D3" w:rsidRPr="00C70421">
        <w:rPr>
          <w:lang w:val="fr-FR"/>
        </w:rPr>
        <w:t xml:space="preserve"> </w:t>
      </w:r>
      <w:r w:rsidR="00AF5BE0" w:rsidRPr="00C70421">
        <w:rPr>
          <w:lang w:val="fr-FR"/>
        </w:rPr>
        <w:t>pour 4,</w:t>
      </w:r>
      <w:r w:rsidR="00473D89" w:rsidRPr="00C70421">
        <w:rPr>
          <w:lang w:val="fr-FR"/>
        </w:rPr>
        <w:t>3 milliard</w:t>
      </w:r>
      <w:r w:rsidR="00AF5BE0" w:rsidRPr="00C70421">
        <w:rPr>
          <w:lang w:val="fr-FR"/>
        </w:rPr>
        <w:t>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 xml:space="preserve">Association </w:t>
      </w:r>
      <w:r w:rsidR="00AF5BE0" w:rsidRPr="00C70421">
        <w:rPr>
          <w:i/>
          <w:lang w:val="fr-FR"/>
        </w:rPr>
        <w:t>des parcs universitaires de recherche</w:t>
      </w:r>
      <w:r w:rsidRPr="00C70421">
        <w:rPr>
          <w:i/>
          <w:lang w:val="fr-FR"/>
        </w:rPr>
        <w:t xml:space="preserve"> Canada, </w:t>
      </w:r>
      <w:r w:rsidR="00AF5BE0" w:rsidRPr="00C70421">
        <w:rPr>
          <w:i/>
          <w:lang w:val="fr-FR"/>
        </w:rPr>
        <w:t>Étude sur l</w:t>
      </w:r>
      <w:r w:rsidR="00473D89" w:rsidRPr="00C70421">
        <w:rPr>
          <w:i/>
          <w:lang w:val="fr-FR"/>
        </w:rPr>
        <w:t>’</w:t>
      </w:r>
      <w:r w:rsidR="00AF5BE0" w:rsidRPr="00C70421">
        <w:rPr>
          <w:i/>
          <w:lang w:val="fr-FR"/>
        </w:rPr>
        <w:t>impact économique national</w:t>
      </w:r>
      <w:r w:rsidRPr="00C70421">
        <w:rPr>
          <w:i/>
          <w:lang w:val="fr-FR"/>
        </w:rPr>
        <w:t>, 2013.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AF5BE0" w:rsidP="00E93C4E">
      <w:pPr>
        <w:rPr>
          <w:lang w:val="fr-FR"/>
        </w:rPr>
      </w:pPr>
      <w:r w:rsidRPr="00C70421">
        <w:rPr>
          <w:lang w:val="fr-FR"/>
        </w:rPr>
        <w:t>Trente</w:t>
      </w:r>
      <w:r w:rsidR="00001599">
        <w:rPr>
          <w:lang w:val="fr-FR"/>
        </w:rPr>
        <w:noBreakHyphen/>
      </w:r>
      <w:r w:rsidRPr="00C70421">
        <w:rPr>
          <w:lang w:val="fr-FR"/>
        </w:rPr>
        <w:t>deux universités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sont membres du regroupement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incubateurs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“</w:t>
      </w:r>
      <w:r w:rsidR="0050667A" w:rsidRPr="00C70421">
        <w:rPr>
          <w:lang w:val="fr-FR"/>
        </w:rPr>
        <w:t xml:space="preserve">Canadian Association of Business </w:t>
      </w:r>
      <w:proofErr w:type="spellStart"/>
      <w:r w:rsidR="0050667A" w:rsidRPr="00C70421">
        <w:rPr>
          <w:lang w:val="fr-FR"/>
        </w:rPr>
        <w:t>Incubators</w:t>
      </w:r>
      <w:proofErr w:type="spellEnd"/>
      <w:r w:rsidRPr="00C70421">
        <w:rPr>
          <w:lang w:val="fr-FR"/>
        </w:rPr>
        <w:t>”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une</w:t>
      </w:r>
      <w:r w:rsidR="0050667A" w:rsidRPr="00C70421">
        <w:rPr>
          <w:lang w:val="fr-FR"/>
        </w:rPr>
        <w:t xml:space="preserve"> association</w:t>
      </w:r>
      <w:r w:rsidRPr="00C70421">
        <w:rPr>
          <w:lang w:val="fr-FR"/>
        </w:rPr>
        <w:t xml:space="preserve"> nationale qui soutient la croissance des nouvelles entreprises </w:t>
      </w:r>
      <w:r w:rsidR="0013276E" w:rsidRPr="00C70421">
        <w:rPr>
          <w:lang w:val="fr-FR"/>
        </w:rPr>
        <w:t>au stade de démarrage</w:t>
      </w:r>
      <w:r w:rsidR="0050667A" w:rsidRPr="00C70421">
        <w:rPr>
          <w:lang w:val="fr-FR"/>
        </w:rPr>
        <w:t>.</w:t>
      </w:r>
    </w:p>
    <w:p w:rsidR="0050667A" w:rsidRPr="002A7406" w:rsidRDefault="0050667A" w:rsidP="00E93C4E">
      <w:pPr>
        <w:rPr>
          <w:i/>
        </w:rPr>
      </w:pPr>
      <w:proofErr w:type="gramStart"/>
      <w:r w:rsidRPr="002A7406">
        <w:rPr>
          <w:i/>
        </w:rPr>
        <w:t>Source</w:t>
      </w:r>
      <w:r w:rsidR="00473D89" w:rsidRPr="002A7406">
        <w:rPr>
          <w:i/>
        </w:rPr>
        <w:t> :</w:t>
      </w:r>
      <w:proofErr w:type="gramEnd"/>
      <w:r w:rsidR="008B1AE0" w:rsidRPr="002A7406">
        <w:rPr>
          <w:i/>
        </w:rPr>
        <w:t xml:space="preserve"> </w:t>
      </w:r>
      <w:r w:rsidRPr="002A7406">
        <w:rPr>
          <w:i/>
        </w:rPr>
        <w:t>Canadian Association of Business Incubators, 2015.</w:t>
      </w:r>
    </w:p>
    <w:p w:rsidR="0050667A" w:rsidRPr="002A7406" w:rsidRDefault="0050667A" w:rsidP="00E93C4E"/>
    <w:p w:rsidR="00473D89" w:rsidRPr="00C70421" w:rsidRDefault="00114AC9" w:rsidP="00E93C4E">
      <w:pPr>
        <w:pStyle w:val="Subsection"/>
        <w:rPr>
          <w:lang w:val="fr-FR"/>
        </w:rPr>
      </w:pPr>
      <w:r w:rsidRPr="00C70421">
        <w:rPr>
          <w:bCs/>
          <w:szCs w:val="22"/>
          <w:lang w:val="fr-FR"/>
        </w:rPr>
        <w:t>Présentation du réseau national de centres d</w:t>
      </w:r>
      <w:r w:rsidR="00473D89" w:rsidRPr="00C70421">
        <w:rPr>
          <w:bCs/>
          <w:szCs w:val="22"/>
          <w:lang w:val="fr-FR"/>
        </w:rPr>
        <w:t>’</w:t>
      </w:r>
      <w:r w:rsidRPr="00C70421">
        <w:rPr>
          <w:bCs/>
          <w:szCs w:val="22"/>
          <w:lang w:val="fr-FR"/>
        </w:rPr>
        <w:t>information en matière de brevets (par exemple, bibliothèque des brevets, centres d</w:t>
      </w:r>
      <w:r w:rsidR="00473D89" w:rsidRPr="00C70421">
        <w:rPr>
          <w:bCs/>
          <w:szCs w:val="22"/>
          <w:lang w:val="fr-FR"/>
        </w:rPr>
        <w:t>’</w:t>
      </w:r>
      <w:r w:rsidRPr="00C70421">
        <w:rPr>
          <w:bCs/>
          <w:szCs w:val="22"/>
          <w:lang w:val="fr-FR"/>
        </w:rPr>
        <w:t>appui à la technologie et à l</w:t>
      </w:r>
      <w:r w:rsidR="00473D89" w:rsidRPr="00C70421">
        <w:rPr>
          <w:bCs/>
          <w:szCs w:val="22"/>
          <w:lang w:val="fr-FR"/>
        </w:rPr>
        <w:t>’</w:t>
      </w:r>
      <w:r w:rsidRPr="00C70421">
        <w:rPr>
          <w:bCs/>
          <w:szCs w:val="22"/>
          <w:lang w:val="fr-FR"/>
        </w:rPr>
        <w:t>innovation)</w:t>
      </w:r>
      <w:r w:rsidR="00473D89" w:rsidRPr="00C70421">
        <w:rPr>
          <w:bCs/>
          <w:szCs w:val="22"/>
          <w:lang w:val="fr-FR"/>
        </w:rPr>
        <w:t> :</w:t>
      </w:r>
    </w:p>
    <w:p w:rsidR="00473D89" w:rsidRPr="00C70421" w:rsidRDefault="00431538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a mis en place un réseau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agents de développement des entreprises</w:t>
      </w:r>
      <w:r w:rsidR="00D11B50" w:rsidRPr="00C70421">
        <w:rPr>
          <w:lang w:val="fr-FR"/>
        </w:rPr>
        <w:t xml:space="preserve"> qui s</w:t>
      </w:r>
      <w:r w:rsidR="00473D89" w:rsidRPr="00C70421">
        <w:rPr>
          <w:lang w:val="fr-FR"/>
        </w:rPr>
        <w:t>’</w:t>
      </w:r>
      <w:r w:rsidR="00D11B50" w:rsidRPr="00C70421">
        <w:rPr>
          <w:lang w:val="fr-FR"/>
        </w:rPr>
        <w:t xml:space="preserve">étend à travers tout le pays pour fournir </w:t>
      </w:r>
      <w:r w:rsidRPr="00C70421">
        <w:rPr>
          <w:lang w:val="fr-FR"/>
        </w:rPr>
        <w:t xml:space="preserve">des sessions </w:t>
      </w:r>
      <w:r w:rsidR="0037774F" w:rsidRPr="00C70421">
        <w:rPr>
          <w:lang w:val="fr-FR"/>
        </w:rPr>
        <w:t xml:space="preserve">adaptées </w:t>
      </w:r>
      <w:r w:rsidRPr="00C70421">
        <w:rPr>
          <w:lang w:val="fr-FR"/>
        </w:rPr>
        <w:t>de sensibilisation à la propriété intellectuelle</w:t>
      </w:r>
      <w:r w:rsidR="00D11B50" w:rsidRPr="00C70421">
        <w:rPr>
          <w:lang w:val="fr-FR"/>
        </w:rPr>
        <w:t xml:space="preserve"> et des conseils sur mesure destinés aux universités</w:t>
      </w:r>
      <w:r w:rsidR="0050667A" w:rsidRPr="00C70421">
        <w:rPr>
          <w:lang w:val="fr-FR"/>
        </w:rPr>
        <w:t xml:space="preserve">, </w:t>
      </w:r>
      <w:r w:rsidR="00D11B50" w:rsidRPr="00C70421">
        <w:rPr>
          <w:lang w:val="fr-FR"/>
        </w:rPr>
        <w:t>aux accélérateurs technologiques et aux petites entrepris</w:t>
      </w:r>
      <w:r w:rsidR="00C70421" w:rsidRPr="00C70421">
        <w:rPr>
          <w:lang w:val="fr-FR"/>
        </w:rPr>
        <w:t>es.  Le</w:t>
      </w:r>
      <w:r w:rsidR="00D11B50" w:rsidRPr="00C70421">
        <w:rPr>
          <w:lang w:val="fr-FR"/>
        </w:rPr>
        <w:t xml:space="preserve"> réseau permet en outre d</w:t>
      </w:r>
      <w:r w:rsidR="00473D89" w:rsidRPr="00C70421">
        <w:rPr>
          <w:lang w:val="fr-FR"/>
        </w:rPr>
        <w:t>’</w:t>
      </w:r>
      <w:r w:rsidR="00D11B50" w:rsidRPr="00C70421">
        <w:rPr>
          <w:lang w:val="fr-FR"/>
        </w:rPr>
        <w:t xml:space="preserve">expliquer aux clients </w:t>
      </w:r>
      <w:r w:rsidR="0038587A" w:rsidRPr="00C70421">
        <w:rPr>
          <w:lang w:val="fr-FR"/>
        </w:rPr>
        <w:t>le fonctionnement d</w:t>
      </w:r>
      <w:r w:rsidR="00D11B50" w:rsidRPr="00C70421">
        <w:rPr>
          <w:lang w:val="fr-FR"/>
        </w:rPr>
        <w:t xml:space="preserve">es procédures </w:t>
      </w:r>
      <w:r w:rsidR="00EA15AF" w:rsidRPr="00C70421">
        <w:rPr>
          <w:lang w:val="fr-FR"/>
        </w:rPr>
        <w:t>concernant les</w:t>
      </w:r>
      <w:r w:rsidR="00D11B50" w:rsidRPr="00C70421">
        <w:rPr>
          <w:lang w:val="fr-FR"/>
        </w:rPr>
        <w:t xml:space="preserve"> demande</w:t>
      </w:r>
      <w:r w:rsidR="0038587A" w:rsidRPr="00C70421">
        <w:rPr>
          <w:lang w:val="fr-FR"/>
        </w:rPr>
        <w:t>s</w:t>
      </w:r>
      <w:r w:rsidR="00D11B50" w:rsidRPr="00C70421">
        <w:rPr>
          <w:lang w:val="fr-FR"/>
        </w:rPr>
        <w:t xml:space="preserve"> de brevet</w:t>
      </w:r>
      <w:r w:rsidR="00EA15AF" w:rsidRPr="00C70421">
        <w:rPr>
          <w:lang w:val="fr-FR"/>
        </w:rPr>
        <w:t xml:space="preserve"> nationales et internationales</w:t>
      </w:r>
      <w:r w:rsidR="0050667A" w:rsidRPr="00C70421">
        <w:rPr>
          <w:lang w:val="fr-FR"/>
        </w:rPr>
        <w:t>.</w:t>
      </w:r>
      <w:r w:rsidR="00373B66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 </w:t>
      </w:r>
      <w:r w:rsidR="0038587A" w:rsidRPr="00C70421">
        <w:rPr>
          <w:lang w:val="fr-FR"/>
        </w:rPr>
        <w:t xml:space="preserve">Les agents de développement des entreprises travaillent </w:t>
      </w:r>
      <w:r w:rsidR="00EA15AF" w:rsidRPr="00C70421">
        <w:rPr>
          <w:lang w:val="fr-FR"/>
        </w:rPr>
        <w:t>en étroite collaboration</w:t>
      </w:r>
      <w:r w:rsidR="0038587A" w:rsidRPr="00C70421">
        <w:rPr>
          <w:lang w:val="fr-FR"/>
        </w:rPr>
        <w:t xml:space="preserve"> avec les partenaires régionaux à tous les niveaux du gouvernement en vue de conseiller les Canadie</w:t>
      </w:r>
      <w:r w:rsidR="0050667A" w:rsidRPr="00C70421">
        <w:rPr>
          <w:lang w:val="fr-FR"/>
        </w:rPr>
        <w:t>ns</w:t>
      </w:r>
      <w:r w:rsidR="0038587A" w:rsidRPr="00C70421">
        <w:rPr>
          <w:lang w:val="fr-FR"/>
        </w:rPr>
        <w:t xml:space="preserve"> dans l</w:t>
      </w:r>
      <w:r w:rsidR="00473D89" w:rsidRPr="00C70421">
        <w:rPr>
          <w:lang w:val="fr-FR"/>
        </w:rPr>
        <w:t>’</w:t>
      </w:r>
      <w:r w:rsidR="0038587A" w:rsidRPr="00C70421">
        <w:rPr>
          <w:lang w:val="fr-FR"/>
        </w:rPr>
        <w:t>acquisition de droits de propriété intellectuelle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38587A" w:rsidP="00E93C4E">
      <w:pPr>
        <w:rPr>
          <w:lang w:val="fr-FR"/>
        </w:rPr>
      </w:pPr>
      <w:r w:rsidRPr="00C70421">
        <w:rPr>
          <w:lang w:val="fr-FR"/>
        </w:rPr>
        <w:t xml:space="preserve">En </w:t>
      </w:r>
      <w:r w:rsidR="00473D89" w:rsidRPr="00C70421">
        <w:rPr>
          <w:lang w:val="fr-FR"/>
        </w:rPr>
        <w:t>avril 20</w:t>
      </w:r>
      <w:r w:rsidR="0050667A" w:rsidRPr="00C70421">
        <w:rPr>
          <w:lang w:val="fr-FR"/>
        </w:rPr>
        <w:t xml:space="preserve">17,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commencera à organiser des séminaires gratuits et publics à travers le pays,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qui couvriront une large </w:t>
      </w:r>
      <w:r w:rsidR="00EA15AF" w:rsidRPr="00C70421">
        <w:rPr>
          <w:lang w:val="fr-FR"/>
        </w:rPr>
        <w:t>gamme</w:t>
      </w:r>
      <w:r w:rsidRPr="00C70421">
        <w:rPr>
          <w:lang w:val="fr-FR"/>
        </w:rPr>
        <w:t xml:space="preserve"> de sujets en lien avec la propriété intellectuelle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 xml:space="preserve">dans le but de renforcer la connaissance en la matière </w:t>
      </w:r>
      <w:r w:rsidR="00D21134" w:rsidRPr="00C70421">
        <w:rPr>
          <w:lang w:val="fr-FR"/>
        </w:rPr>
        <w:t>dans les petites et moyennes entrepris</w:t>
      </w:r>
      <w:r w:rsidR="00C70421" w:rsidRPr="00C70421">
        <w:rPr>
          <w:lang w:val="fr-FR"/>
        </w:rPr>
        <w:t>es.  Ce</w:t>
      </w:r>
      <w:r w:rsidR="00D21134" w:rsidRPr="00C70421">
        <w:rPr>
          <w:lang w:val="fr-FR"/>
        </w:rPr>
        <w:t xml:space="preserve"> programme d</w:t>
      </w:r>
      <w:r w:rsidR="00EA15AF" w:rsidRPr="00C70421">
        <w:rPr>
          <w:lang w:val="fr-FR"/>
        </w:rPr>
        <w:t>e sensibilisation sera structuré</w:t>
      </w:r>
      <w:r w:rsidR="00D21134" w:rsidRPr="00C70421">
        <w:rPr>
          <w:lang w:val="fr-FR"/>
        </w:rPr>
        <w:t xml:space="preserve"> de manière à offrir des niveaux d</w:t>
      </w:r>
      <w:r w:rsidR="00473D89" w:rsidRPr="00C70421">
        <w:rPr>
          <w:lang w:val="fr-FR"/>
        </w:rPr>
        <w:t>’</w:t>
      </w:r>
      <w:r w:rsidR="00D21134" w:rsidRPr="00C70421">
        <w:rPr>
          <w:lang w:val="fr-FR"/>
        </w:rPr>
        <w:t>enseignement progressifs</w:t>
      </w:r>
      <w:r w:rsidR="0050667A" w:rsidRPr="00C70421">
        <w:rPr>
          <w:lang w:val="fr-FR"/>
        </w:rPr>
        <w:t xml:space="preserve"> </w:t>
      </w:r>
      <w:r w:rsidR="00D21134" w:rsidRPr="00C70421">
        <w:rPr>
          <w:lang w:val="fr-FR"/>
        </w:rPr>
        <w:t xml:space="preserve">en matière de propriété intellectuelle et </w:t>
      </w:r>
      <w:r w:rsidR="00EA15AF" w:rsidRPr="00C70421">
        <w:rPr>
          <w:lang w:val="fr-FR"/>
        </w:rPr>
        <w:t>expliqu</w:t>
      </w:r>
      <w:r w:rsidR="00D21134" w:rsidRPr="00C70421">
        <w:rPr>
          <w:lang w:val="fr-FR"/>
        </w:rPr>
        <w:t>era quels sont les avantages qu</w:t>
      </w:r>
      <w:r w:rsidR="00473D89" w:rsidRPr="00C70421">
        <w:rPr>
          <w:lang w:val="fr-FR"/>
        </w:rPr>
        <w:t>’</w:t>
      </w:r>
      <w:r w:rsidR="00D21134" w:rsidRPr="00C70421">
        <w:rPr>
          <w:lang w:val="fr-FR"/>
        </w:rPr>
        <w:t>apportent les systèmes internationaux de propriété intellectuelle et donnera des conseils sur la manière d</w:t>
      </w:r>
      <w:r w:rsidR="00473D89" w:rsidRPr="00C70421">
        <w:rPr>
          <w:lang w:val="fr-FR"/>
        </w:rPr>
        <w:t>’</w:t>
      </w:r>
      <w:r w:rsidR="00D21134" w:rsidRPr="00C70421">
        <w:rPr>
          <w:lang w:val="fr-FR"/>
        </w:rPr>
        <w:t xml:space="preserve">utiliser ces systèmes, </w:t>
      </w:r>
      <w:r w:rsidR="00473D89" w:rsidRPr="00C70421">
        <w:rPr>
          <w:lang w:val="fr-FR"/>
        </w:rPr>
        <w:t>y compris le PCT</w:t>
      </w:r>
      <w:r w:rsidR="00D21134" w:rsidRPr="00C70421">
        <w:rPr>
          <w:lang w:val="fr-FR"/>
        </w:rPr>
        <w:t xml:space="preserve"> et</w:t>
      </w:r>
      <w:r w:rsidR="00473D89" w:rsidRPr="00C70421">
        <w:rPr>
          <w:lang w:val="fr-FR"/>
        </w:rPr>
        <w:t xml:space="preserve"> le PPH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4D4F2A" w:rsidP="00E93C4E">
      <w:pPr>
        <w:rPr>
          <w:lang w:val="fr-FR"/>
        </w:rPr>
      </w:pPr>
      <w:r w:rsidRPr="00C70421">
        <w:rPr>
          <w:lang w:val="fr-FR"/>
        </w:rPr>
        <w:t xml:space="preserve">Au niveau fédéral, le </w:t>
      </w:r>
      <w:r w:rsidR="00373B66" w:rsidRPr="00C70421">
        <w:rPr>
          <w:lang w:val="fr-FR"/>
        </w:rPr>
        <w:t>Ministère</w:t>
      </w:r>
      <w:r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industrie, ou </w:t>
      </w:r>
      <w:r w:rsidR="0050667A" w:rsidRPr="00C70421">
        <w:rPr>
          <w:lang w:val="fr-FR"/>
        </w:rPr>
        <w:t>Innovation, Science</w:t>
      </w:r>
      <w:r w:rsidRPr="00C70421">
        <w:rPr>
          <w:lang w:val="fr-FR"/>
        </w:rPr>
        <w:t>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et Dé</w:t>
      </w:r>
      <w:r w:rsidR="0050667A" w:rsidRPr="00C70421">
        <w:rPr>
          <w:lang w:val="fr-FR"/>
        </w:rPr>
        <w:t>velop</w:t>
      </w:r>
      <w:r w:rsidRPr="00C70421">
        <w:rPr>
          <w:lang w:val="fr-FR"/>
        </w:rPr>
        <w:t>pe</w:t>
      </w:r>
      <w:r w:rsidR="0050667A" w:rsidRPr="00C70421">
        <w:rPr>
          <w:lang w:val="fr-FR"/>
        </w:rPr>
        <w:t xml:space="preserve">ment </w:t>
      </w:r>
      <w:r w:rsidRPr="00C70421">
        <w:rPr>
          <w:lang w:val="fr-FR"/>
        </w:rPr>
        <w:t xml:space="preserve">économique </w:t>
      </w:r>
      <w:r w:rsidR="0050667A" w:rsidRPr="00C70421">
        <w:rPr>
          <w:lang w:val="fr-FR"/>
        </w:rPr>
        <w:t>Canada (ISD</w:t>
      </w:r>
      <w:r w:rsidRPr="00C70421">
        <w:rPr>
          <w:lang w:val="fr-FR"/>
        </w:rPr>
        <w:t>E</w:t>
      </w:r>
      <w:r w:rsidR="0050667A" w:rsidRPr="00C70421">
        <w:rPr>
          <w:lang w:val="fr-FR"/>
        </w:rPr>
        <w:t>)</w:t>
      </w:r>
      <w:r w:rsidR="00EA15AF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joue un rôle essentiel dans le programme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innovation du Canada, qui fait partie des priorités du gouvernement</w:t>
      </w:r>
      <w:r w:rsidR="0050667A" w:rsidRPr="00C70421">
        <w:rPr>
          <w:lang w:val="fr-FR"/>
        </w:rPr>
        <w:t>.</w:t>
      </w:r>
      <w:r w:rsidR="00373B66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De nombreux autres ministères et organis</w:t>
      </w:r>
      <w:r w:rsidR="0037774F" w:rsidRPr="00C70421">
        <w:rPr>
          <w:lang w:val="fr-FR"/>
        </w:rPr>
        <w:t>mes participent à ce programme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innovation</w:t>
      </w:r>
      <w:r w:rsidR="00473D89" w:rsidRPr="00C70421">
        <w:rPr>
          <w:lang w:val="fr-FR"/>
        </w:rPr>
        <w:t> :</w:t>
      </w:r>
      <w:r w:rsidR="00001599">
        <w:rPr>
          <w:lang w:val="fr-FR"/>
        </w:rPr>
        <w:t xml:space="preserve"> </w:t>
      </w:r>
      <w:r w:rsidRPr="00C70421">
        <w:rPr>
          <w:lang w:val="fr-FR"/>
        </w:rPr>
        <w:t xml:space="preserve">le Conseil de </w:t>
      </w:r>
      <w:r w:rsidR="00425FD2" w:rsidRPr="00C70421">
        <w:rPr>
          <w:lang w:val="fr-FR"/>
        </w:rPr>
        <w:t>recherche</w:t>
      </w:r>
      <w:r w:rsidRPr="00C70421">
        <w:rPr>
          <w:lang w:val="fr-FR"/>
        </w:rPr>
        <w:t xml:space="preserve"> en sciences naturelles et en génie du Canada (CRSNG), </w:t>
      </w:r>
      <w:hyperlink r:id="rId34" w:history="1">
        <w:r w:rsidR="00425FD2" w:rsidRPr="00C70421">
          <w:rPr>
            <w:rStyle w:val="Hyperlink"/>
            <w:lang w:val="fr-FR"/>
          </w:rPr>
          <w:t>le</w:t>
        </w:r>
      </w:hyperlink>
      <w:r w:rsidR="00425FD2" w:rsidRPr="00C70421">
        <w:rPr>
          <w:rStyle w:val="Hyperlink"/>
          <w:lang w:val="fr-FR"/>
        </w:rPr>
        <w:t xml:space="preserve"> Réseau Entreprises Canada,</w:t>
      </w:r>
      <w:r w:rsidR="0050667A" w:rsidRPr="00C70421">
        <w:rPr>
          <w:lang w:val="fr-FR"/>
        </w:rPr>
        <w:t xml:space="preserve"> </w:t>
      </w:r>
      <w:hyperlink r:id="rId35" w:anchor="nce" w:history="1">
        <w:r w:rsidR="00425FD2" w:rsidRPr="00C70421">
          <w:rPr>
            <w:rStyle w:val="Hyperlink"/>
            <w:lang w:val="fr-FR"/>
          </w:rPr>
          <w:t>les Réseaux de centres d</w:t>
        </w:r>
        <w:r w:rsidR="00473D89" w:rsidRPr="00C70421">
          <w:rPr>
            <w:rStyle w:val="Hyperlink"/>
            <w:lang w:val="fr-FR"/>
          </w:rPr>
          <w:t>’</w:t>
        </w:r>
        <w:r w:rsidR="00425FD2" w:rsidRPr="00C70421">
          <w:rPr>
            <w:rStyle w:val="Hyperlink"/>
            <w:lang w:val="fr-FR"/>
          </w:rPr>
          <w:t>excellence du Canada (R</w:t>
        </w:r>
        <w:r w:rsidR="0050667A" w:rsidRPr="00C70421">
          <w:rPr>
            <w:rStyle w:val="Hyperlink"/>
            <w:lang w:val="fr-FR"/>
          </w:rPr>
          <w:t>CE)</w:t>
        </w:r>
      </w:hyperlink>
      <w:r w:rsidR="00425FD2" w:rsidRPr="00C70421">
        <w:rPr>
          <w:rStyle w:val="Hyperlink"/>
          <w:lang w:val="fr-FR"/>
        </w:rPr>
        <w:t xml:space="preserve"> et</w:t>
      </w:r>
      <w:r w:rsidR="00425FD2" w:rsidRPr="00C70421">
        <w:rPr>
          <w:lang w:val="fr-FR"/>
        </w:rPr>
        <w:t xml:space="preserve"> le Programme d</w:t>
      </w:r>
      <w:r w:rsidR="00473D89" w:rsidRPr="00C70421">
        <w:rPr>
          <w:lang w:val="fr-FR"/>
        </w:rPr>
        <w:t>’</w:t>
      </w:r>
      <w:r w:rsidR="00425FD2" w:rsidRPr="00C70421">
        <w:rPr>
          <w:lang w:val="fr-FR"/>
        </w:rPr>
        <w:t>innovation Construire au Canada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B10DB0" w:rsidP="00E93C4E">
      <w:pPr>
        <w:rPr>
          <w:lang w:val="fr-FR"/>
        </w:rPr>
      </w:pPr>
      <w:r w:rsidRPr="00C70421">
        <w:rPr>
          <w:lang w:val="fr-FR"/>
        </w:rPr>
        <w:t>Au</w:t>
      </w:r>
      <w:r w:rsidR="00D24E53">
        <w:rPr>
          <w:lang w:val="fr-FR"/>
        </w:rPr>
        <w:t>x</w:t>
      </w:r>
      <w:r w:rsidRPr="00C70421">
        <w:rPr>
          <w:lang w:val="fr-FR"/>
        </w:rPr>
        <w:t xml:space="preserve"> niveau</w:t>
      </w:r>
      <w:r w:rsidR="00D24E53">
        <w:rPr>
          <w:lang w:val="fr-FR"/>
        </w:rPr>
        <w:t>x</w:t>
      </w:r>
      <w:r w:rsidRPr="00C70421">
        <w:rPr>
          <w:lang w:val="fr-FR"/>
        </w:rPr>
        <w:t xml:space="preserve"> </w:t>
      </w:r>
      <w:r w:rsidR="000037A3" w:rsidRPr="00C70421">
        <w:rPr>
          <w:lang w:val="fr-FR"/>
        </w:rPr>
        <w:t>provincial et</w:t>
      </w:r>
      <w:r w:rsidR="0050667A" w:rsidRPr="00C70421">
        <w:rPr>
          <w:lang w:val="fr-FR"/>
        </w:rPr>
        <w:t xml:space="preserve"> territorial</w:t>
      </w:r>
      <w:r w:rsidR="000037A3" w:rsidRPr="00C70421">
        <w:rPr>
          <w:lang w:val="fr-FR"/>
        </w:rPr>
        <w:t>, les centres 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innovation </w:t>
      </w:r>
      <w:r w:rsidR="000037A3" w:rsidRPr="00C70421">
        <w:rPr>
          <w:lang w:val="fr-FR"/>
        </w:rPr>
        <w:t>et les réseaux créés spécialement pour encourager l</w:t>
      </w:r>
      <w:r w:rsidR="00473D89" w:rsidRPr="00C70421">
        <w:rPr>
          <w:lang w:val="fr-FR"/>
        </w:rPr>
        <w:t>’</w:t>
      </w:r>
      <w:r w:rsidR="000037A3" w:rsidRPr="00C70421">
        <w:rPr>
          <w:lang w:val="fr-FR"/>
        </w:rPr>
        <w:t>innovation offrent un appui</w:t>
      </w:r>
      <w:r w:rsidR="0050667A" w:rsidRPr="00C70421">
        <w:rPr>
          <w:lang w:val="fr-FR"/>
        </w:rPr>
        <w:t xml:space="preserve"> direct </w:t>
      </w:r>
      <w:r w:rsidR="000037A3" w:rsidRPr="00C70421">
        <w:rPr>
          <w:lang w:val="fr-FR"/>
        </w:rPr>
        <w:t>aux entreprises canadienn</w:t>
      </w:r>
      <w:r w:rsidR="00C70421" w:rsidRPr="00C70421">
        <w:rPr>
          <w:lang w:val="fr-FR"/>
        </w:rPr>
        <w:t>es.  Ce</w:t>
      </w:r>
      <w:r w:rsidR="00EA15AF" w:rsidRPr="00C70421">
        <w:rPr>
          <w:lang w:val="fr-FR"/>
        </w:rPr>
        <w:t>s centres comprennent</w:t>
      </w:r>
      <w:r w:rsidR="00473D89" w:rsidRPr="00C70421">
        <w:rPr>
          <w:lang w:val="fr-FR"/>
        </w:rPr>
        <w:t> :</w:t>
      </w:r>
      <w:r w:rsidR="000037A3"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="000037A3" w:rsidRPr="00C70421">
        <w:rPr>
          <w:lang w:val="fr-FR"/>
        </w:rPr>
        <w:t>Initiative d</w:t>
      </w:r>
      <w:r w:rsidR="00473D89" w:rsidRPr="00C70421">
        <w:rPr>
          <w:lang w:val="fr-FR"/>
        </w:rPr>
        <w:t>’</w:t>
      </w:r>
      <w:r w:rsidR="000037A3" w:rsidRPr="00C70421">
        <w:rPr>
          <w:lang w:val="fr-FR"/>
        </w:rPr>
        <w:t>innovation dans l</w:t>
      </w:r>
      <w:r w:rsidR="00473D89" w:rsidRPr="00C70421">
        <w:rPr>
          <w:lang w:val="fr-FR"/>
        </w:rPr>
        <w:t>’</w:t>
      </w:r>
      <w:r w:rsidR="000037A3" w:rsidRPr="00C70421">
        <w:rPr>
          <w:lang w:val="fr-FR"/>
        </w:rPr>
        <w:t>Ouest</w:t>
      </w:r>
      <w:r w:rsidR="0050667A" w:rsidRPr="00C70421">
        <w:rPr>
          <w:lang w:val="fr-FR"/>
        </w:rPr>
        <w:t xml:space="preserve"> (Manitoba, Saskatchewan, Alberta, </w:t>
      </w:r>
      <w:r w:rsidR="000037A3" w:rsidRPr="00C70421">
        <w:rPr>
          <w:lang w:val="fr-FR"/>
        </w:rPr>
        <w:t>Colombie</w:t>
      </w:r>
      <w:r w:rsidR="00001599">
        <w:rPr>
          <w:lang w:val="fr-FR"/>
        </w:rPr>
        <w:noBreakHyphen/>
      </w:r>
      <w:r w:rsidR="000037A3" w:rsidRPr="00C70421">
        <w:rPr>
          <w:lang w:val="fr-FR"/>
        </w:rPr>
        <w:t>Britannique</w:t>
      </w:r>
      <w:r w:rsidR="0050667A" w:rsidRPr="00C70421">
        <w:rPr>
          <w:lang w:val="fr-FR"/>
        </w:rPr>
        <w:t>)</w:t>
      </w:r>
      <w:r w:rsidR="000037A3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0037A3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0037A3" w:rsidRPr="00C70421">
        <w:rPr>
          <w:lang w:val="fr-FR"/>
        </w:rPr>
        <w:t xml:space="preserve">Institut de recherche </w:t>
      </w:r>
      <w:hyperlink r:id="rId36" w:history="1">
        <w:r w:rsidR="0050667A" w:rsidRPr="00C70421">
          <w:rPr>
            <w:rStyle w:val="Hyperlink"/>
            <w:lang w:val="fr-FR"/>
          </w:rPr>
          <w:t xml:space="preserve">Aurora </w:t>
        </w:r>
        <w:r w:rsidR="000037A3" w:rsidRPr="00C70421">
          <w:rPr>
            <w:rStyle w:val="Hyperlink"/>
            <w:lang w:val="fr-FR"/>
          </w:rPr>
          <w:t xml:space="preserve">– </w:t>
        </w:r>
        <w:r w:rsidR="0050667A" w:rsidRPr="00C70421">
          <w:rPr>
            <w:rStyle w:val="Hyperlink"/>
            <w:lang w:val="fr-FR"/>
          </w:rPr>
          <w:t xml:space="preserve">Services </w:t>
        </w:r>
        <w:r w:rsidR="000037A3" w:rsidRPr="00C70421">
          <w:rPr>
            <w:rStyle w:val="Hyperlink"/>
            <w:lang w:val="fr-FR"/>
          </w:rPr>
          <w:t>aux</w:t>
        </w:r>
      </w:hyperlink>
      <w:r w:rsidR="000037A3" w:rsidRPr="00C70421">
        <w:rPr>
          <w:rStyle w:val="Hyperlink"/>
          <w:lang w:val="fr-FR"/>
        </w:rPr>
        <w:t xml:space="preserve"> chercheurs</w:t>
      </w:r>
      <w:r w:rsidR="0050667A" w:rsidRPr="00C70421">
        <w:rPr>
          <w:lang w:val="fr-FR"/>
        </w:rPr>
        <w:t xml:space="preserve"> (</w:t>
      </w:r>
      <w:r w:rsidR="000037A3" w:rsidRPr="00C70421">
        <w:rPr>
          <w:lang w:val="fr-FR"/>
        </w:rPr>
        <w:t>Territoires du Nord</w:t>
      </w:r>
      <w:r w:rsidR="00001599">
        <w:rPr>
          <w:lang w:val="fr-FR"/>
        </w:rPr>
        <w:noBreakHyphen/>
      </w:r>
      <w:r w:rsidR="000037A3" w:rsidRPr="00C70421">
        <w:rPr>
          <w:lang w:val="fr-FR"/>
        </w:rPr>
        <w:t>Ouest</w:t>
      </w:r>
      <w:r w:rsidR="007E250C" w:rsidRPr="00C70421">
        <w:rPr>
          <w:lang w:val="fr-FR"/>
        </w:rPr>
        <w:t>),</w:t>
      </w:r>
      <w:r w:rsidR="0050667A" w:rsidRPr="00C70421">
        <w:rPr>
          <w:lang w:val="fr-FR"/>
        </w:rPr>
        <w:t xml:space="preserve"> </w:t>
      </w:r>
      <w:r w:rsidR="007E250C" w:rsidRPr="00C70421">
        <w:rPr>
          <w:lang w:val="fr-FR"/>
        </w:rPr>
        <w:t>la Fondation de l</w:t>
      </w:r>
      <w:r w:rsidR="00473D89" w:rsidRPr="00C70421">
        <w:rPr>
          <w:lang w:val="fr-FR"/>
        </w:rPr>
        <w:t>’</w:t>
      </w:r>
      <w:r w:rsidR="007E250C" w:rsidRPr="00C70421">
        <w:rPr>
          <w:lang w:val="fr-FR"/>
        </w:rPr>
        <w:t>Innovation du Nouveau</w:t>
      </w:r>
      <w:r w:rsidR="00001599">
        <w:rPr>
          <w:lang w:val="fr-FR"/>
        </w:rPr>
        <w:noBreakHyphen/>
      </w:r>
      <w:hyperlink r:id="rId37" w:history="1">
        <w:r w:rsidR="007E250C" w:rsidRPr="00C70421">
          <w:rPr>
            <w:rStyle w:val="Hyperlink"/>
            <w:lang w:val="fr-FR"/>
          </w:rPr>
          <w:t>Brunswick,</w:t>
        </w:r>
      </w:hyperlink>
      <w:r w:rsidR="007E250C" w:rsidRPr="00C70421">
        <w:rPr>
          <w:rStyle w:val="Hyperlink"/>
          <w:lang w:val="fr-FR"/>
        </w:rPr>
        <w:t xml:space="preserve"> </w:t>
      </w:r>
      <w:hyperlink r:id="rId38" w:history="1">
        <w:r w:rsidR="0050667A" w:rsidRPr="00C70421">
          <w:rPr>
            <w:rStyle w:val="Hyperlink"/>
            <w:lang w:val="fr-FR"/>
          </w:rPr>
          <w:t>Innovacorp</w:t>
        </w:r>
      </w:hyperlink>
      <w:r w:rsidR="0050667A" w:rsidRPr="00C70421">
        <w:rPr>
          <w:lang w:val="fr-FR"/>
        </w:rPr>
        <w:t xml:space="preserve"> (No</w:t>
      </w:r>
      <w:r w:rsidR="007E250C" w:rsidRPr="00C70421">
        <w:rPr>
          <w:lang w:val="fr-FR"/>
        </w:rPr>
        <w:t>uvelle</w:t>
      </w:r>
      <w:r w:rsidR="00001599">
        <w:rPr>
          <w:lang w:val="fr-FR"/>
        </w:rPr>
        <w:noBreakHyphen/>
      </w:r>
      <w:r w:rsidR="007E250C" w:rsidRPr="00C70421">
        <w:rPr>
          <w:lang w:val="fr-FR"/>
        </w:rPr>
        <w:t>Écosse</w:t>
      </w:r>
      <w:r w:rsidR="0050667A" w:rsidRPr="00C70421">
        <w:rPr>
          <w:lang w:val="fr-FR"/>
        </w:rPr>
        <w:t>)</w:t>
      </w:r>
      <w:r w:rsidR="007E250C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7E250C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hyperlink r:id="rId39" w:history="1">
        <w:r w:rsidR="0050667A" w:rsidRPr="00C70421">
          <w:rPr>
            <w:rStyle w:val="Hyperlink"/>
            <w:lang w:val="fr-FR"/>
          </w:rPr>
          <w:t>Atlantic Technology Centre</w:t>
        </w:r>
      </w:hyperlink>
      <w:r w:rsidR="0050667A" w:rsidRPr="00C70421">
        <w:rPr>
          <w:lang w:val="fr-FR"/>
        </w:rPr>
        <w:t xml:space="preserve"> (</w:t>
      </w:r>
      <w:r w:rsidR="007E250C" w:rsidRPr="00C70421">
        <w:rPr>
          <w:lang w:val="fr-FR"/>
        </w:rPr>
        <w:t>Île</w:t>
      </w:r>
      <w:r w:rsidR="00001599">
        <w:rPr>
          <w:lang w:val="fr-FR"/>
        </w:rPr>
        <w:noBreakHyphen/>
      </w:r>
      <w:r w:rsidR="007E250C" w:rsidRPr="00C70421">
        <w:rPr>
          <w:lang w:val="fr-FR"/>
        </w:rPr>
        <w:t>du</w:t>
      </w:r>
      <w:r w:rsidR="00001599">
        <w:rPr>
          <w:lang w:val="fr-FR"/>
        </w:rPr>
        <w:noBreakHyphen/>
      </w:r>
      <w:r w:rsidR="007E250C" w:rsidRPr="00C70421">
        <w:rPr>
          <w:lang w:val="fr-FR"/>
        </w:rPr>
        <w:t>Prince</w:t>
      </w:r>
      <w:r w:rsidR="00001599">
        <w:rPr>
          <w:lang w:val="fr-FR"/>
        </w:rPr>
        <w:noBreakHyphen/>
      </w:r>
      <w:r w:rsidR="007E250C" w:rsidRPr="00C70421">
        <w:rPr>
          <w:lang w:val="fr-FR"/>
        </w:rPr>
        <w:t>Édouard</w:t>
      </w:r>
      <w:r w:rsidR="0050667A" w:rsidRPr="00C70421">
        <w:rPr>
          <w:lang w:val="fr-FR"/>
        </w:rPr>
        <w:t>)</w:t>
      </w:r>
      <w:r w:rsidR="007E250C" w:rsidRPr="00C70421">
        <w:rPr>
          <w:lang w:val="fr-FR"/>
        </w:rPr>
        <w:t>,</w:t>
      </w:r>
      <w:r w:rsidR="0050667A" w:rsidRPr="00C70421">
        <w:rPr>
          <w:lang w:val="fr-FR"/>
        </w:rPr>
        <w:t xml:space="preserve"> </w:t>
      </w:r>
      <w:r w:rsidR="007E250C" w:rsidRPr="00C70421">
        <w:rPr>
          <w:lang w:val="fr-FR"/>
        </w:rPr>
        <w:t xml:space="preserve">le </w:t>
      </w:r>
      <w:hyperlink r:id="rId40" w:history="1">
        <w:r w:rsidR="0050667A" w:rsidRPr="00C70421">
          <w:rPr>
            <w:rStyle w:val="Hyperlink"/>
            <w:lang w:val="fr-FR"/>
          </w:rPr>
          <w:t>Centre de recherche industrielle du Québec</w:t>
        </w:r>
      </w:hyperlink>
      <w:r w:rsidR="007E250C" w:rsidRPr="00C70421">
        <w:rPr>
          <w:lang w:val="fr-FR"/>
        </w:rPr>
        <w:t xml:space="preserve"> (Qué</w:t>
      </w:r>
      <w:r w:rsidR="0050667A" w:rsidRPr="00C70421">
        <w:rPr>
          <w:lang w:val="fr-FR"/>
        </w:rPr>
        <w:t>bec)</w:t>
      </w:r>
      <w:r w:rsidR="007E250C" w:rsidRPr="00C70421">
        <w:rPr>
          <w:lang w:val="fr-FR"/>
        </w:rPr>
        <w:t>, les services de production agricole (Yukon),</w:t>
      </w:r>
      <w:r w:rsidR="0050667A" w:rsidRPr="00C70421">
        <w:rPr>
          <w:lang w:val="fr-FR"/>
        </w:rPr>
        <w:t xml:space="preserve"> </w:t>
      </w:r>
      <w:r w:rsidR="007E250C" w:rsidRPr="00C70421">
        <w:rPr>
          <w:lang w:val="fr-FR"/>
        </w:rPr>
        <w:t>les Centres de l</w:t>
      </w:r>
      <w:r w:rsidR="00473D89" w:rsidRPr="00C70421">
        <w:rPr>
          <w:lang w:val="fr-FR"/>
        </w:rPr>
        <w:t>’</w:t>
      </w:r>
      <w:r w:rsidR="007E250C" w:rsidRPr="00C70421">
        <w:rPr>
          <w:lang w:val="fr-FR"/>
        </w:rPr>
        <w:t>excellence de l</w:t>
      </w:r>
      <w:r w:rsidR="00473D89" w:rsidRPr="00C70421">
        <w:rPr>
          <w:lang w:val="fr-FR"/>
        </w:rPr>
        <w:t>’</w:t>
      </w:r>
      <w:r w:rsidR="007E250C" w:rsidRPr="00C70421">
        <w:rPr>
          <w:lang w:val="fr-FR"/>
        </w:rPr>
        <w:t>Ontario (Ontario),</w:t>
      </w:r>
      <w:r w:rsidR="0050667A" w:rsidRPr="00C70421">
        <w:rPr>
          <w:lang w:val="fr-FR"/>
        </w:rPr>
        <w:t xml:space="preserve"> </w:t>
      </w:r>
      <w:hyperlink r:id="rId41" w:history="1">
        <w:r w:rsidR="00AB6969" w:rsidRPr="00C70421">
          <w:rPr>
            <w:rStyle w:val="Hyperlink"/>
            <w:lang w:val="fr-FR"/>
          </w:rPr>
          <w:t>le</w:t>
        </w:r>
      </w:hyperlink>
      <w:r w:rsidR="00AB6969" w:rsidRPr="00C70421">
        <w:rPr>
          <w:rStyle w:val="Hyperlink"/>
          <w:lang w:val="fr-FR"/>
        </w:rPr>
        <w:t xml:space="preserve"> Programme d</w:t>
      </w:r>
      <w:r w:rsidR="00473D89" w:rsidRPr="00C70421">
        <w:rPr>
          <w:rStyle w:val="Hyperlink"/>
          <w:lang w:val="fr-FR"/>
        </w:rPr>
        <w:t>’</w:t>
      </w:r>
      <w:r w:rsidR="00AB6969" w:rsidRPr="00C70421">
        <w:rPr>
          <w:rStyle w:val="Hyperlink"/>
          <w:lang w:val="fr-FR"/>
        </w:rPr>
        <w:t>investissement stratégique</w:t>
      </w:r>
      <w:r w:rsidR="0050667A" w:rsidRPr="00C70421">
        <w:rPr>
          <w:lang w:val="fr-FR"/>
        </w:rPr>
        <w:t xml:space="preserve"> (Nunavut) </w:t>
      </w:r>
      <w:r w:rsidR="00AB6969" w:rsidRPr="00C70421">
        <w:rPr>
          <w:lang w:val="fr-FR"/>
        </w:rPr>
        <w:t xml:space="preserve">et le </w:t>
      </w:r>
      <w:hyperlink r:id="rId42" w:history="1">
        <w:r w:rsidR="0050667A" w:rsidRPr="00C70421">
          <w:rPr>
            <w:rStyle w:val="Hyperlink"/>
            <w:lang w:val="fr-FR"/>
          </w:rPr>
          <w:t>Genesis Centre</w:t>
        </w:r>
      </w:hyperlink>
      <w:r w:rsidR="0050667A" w:rsidRPr="00C70421">
        <w:rPr>
          <w:lang w:val="fr-FR"/>
        </w:rPr>
        <w:t xml:space="preserve"> (</w:t>
      </w:r>
      <w:r w:rsidR="00AB6969" w:rsidRPr="00C70421">
        <w:rPr>
          <w:lang w:val="fr-FR"/>
        </w:rPr>
        <w:t>Terre</w:t>
      </w:r>
      <w:r w:rsidR="00001599">
        <w:rPr>
          <w:lang w:val="fr-FR"/>
        </w:rPr>
        <w:noBreakHyphen/>
      </w:r>
      <w:r w:rsidR="00AB6969" w:rsidRPr="00C70421">
        <w:rPr>
          <w:lang w:val="fr-FR"/>
        </w:rPr>
        <w:t>Neuve</w:t>
      </w:r>
      <w:r w:rsidR="00001599">
        <w:rPr>
          <w:lang w:val="fr-FR"/>
        </w:rPr>
        <w:noBreakHyphen/>
      </w:r>
      <w:r w:rsidR="00AB6969" w:rsidRPr="00C70421">
        <w:rPr>
          <w:lang w:val="fr-FR"/>
        </w:rPr>
        <w:t>et</w:t>
      </w:r>
      <w:r w:rsidR="00001599">
        <w:rPr>
          <w:lang w:val="fr-FR"/>
        </w:rPr>
        <w:noBreakHyphen/>
      </w:r>
      <w:r w:rsidR="00AB6969" w:rsidRPr="00C70421">
        <w:rPr>
          <w:lang w:val="fr-FR"/>
        </w:rPr>
        <w:t>Labrador</w:t>
      </w:r>
      <w:r w:rsidR="0050667A" w:rsidRPr="00C70421">
        <w:rPr>
          <w:lang w:val="fr-FR"/>
        </w:rPr>
        <w:t>).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AB6969" w:rsidP="00E93C4E">
      <w:pPr>
        <w:rPr>
          <w:lang w:val="fr-FR"/>
        </w:rPr>
      </w:pPr>
      <w:r w:rsidRPr="00C70421">
        <w:rPr>
          <w:lang w:val="fr-FR"/>
        </w:rPr>
        <w:t>Les principaux centres de population du Canada accueillent également des centres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innovation </w:t>
      </w:r>
      <w:r w:rsidRPr="00C70421">
        <w:rPr>
          <w:lang w:val="fr-FR"/>
        </w:rPr>
        <w:t>financés</w:t>
      </w:r>
      <w:r w:rsidR="00A7490A" w:rsidRPr="00C70421">
        <w:rPr>
          <w:lang w:val="fr-FR"/>
        </w:rPr>
        <w:t xml:space="preserve"> par des fonds publics et privés</w:t>
      </w:r>
      <w:r w:rsidR="0050667A" w:rsidRPr="00C70421">
        <w:rPr>
          <w:lang w:val="fr-FR"/>
        </w:rPr>
        <w:t>.</w:t>
      </w:r>
      <w:r w:rsidR="00373B66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 </w:t>
      </w:r>
      <w:r w:rsidR="00A7490A" w:rsidRPr="00C70421">
        <w:rPr>
          <w:lang w:val="fr-FR"/>
        </w:rPr>
        <w:t>Par exemple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  <w:hyperlink r:id="rId43" w:history="1">
        <w:r w:rsidR="0050667A" w:rsidRPr="00C70421">
          <w:rPr>
            <w:rStyle w:val="Hyperlink"/>
            <w:lang w:val="fr-FR"/>
          </w:rPr>
          <w:t>Invest Ottawa</w:t>
        </w:r>
      </w:hyperlink>
      <w:r w:rsidR="0050667A" w:rsidRPr="00C70421">
        <w:rPr>
          <w:lang w:val="fr-FR"/>
        </w:rPr>
        <w:t xml:space="preserve">, </w:t>
      </w:r>
      <w:hyperlink r:id="rId44" w:history="1">
        <w:r w:rsidR="0050667A" w:rsidRPr="00C70421">
          <w:rPr>
            <w:rStyle w:val="Hyperlink"/>
            <w:lang w:val="fr-FR"/>
          </w:rPr>
          <w:t>TEC Edmonton</w:t>
        </w:r>
      </w:hyperlink>
      <w:r w:rsidR="0050667A" w:rsidRPr="00C70421">
        <w:rPr>
          <w:lang w:val="fr-FR"/>
        </w:rPr>
        <w:t>, </w:t>
      </w:r>
      <w:r w:rsidR="00EA15AF" w:rsidRPr="00C70421">
        <w:rPr>
          <w:lang w:val="fr-FR"/>
        </w:rPr>
        <w:t>le</w:t>
      </w:r>
      <w:r w:rsidR="0050667A" w:rsidRPr="00C70421">
        <w:rPr>
          <w:lang w:val="fr-FR"/>
        </w:rPr>
        <w:t xml:space="preserve"> </w:t>
      </w:r>
      <w:hyperlink r:id="rId45" w:history="1">
        <w:r w:rsidR="0050667A" w:rsidRPr="00C70421">
          <w:rPr>
            <w:rStyle w:val="Hyperlink"/>
            <w:lang w:val="fr-FR"/>
          </w:rPr>
          <w:t>Centre d</w:t>
        </w:r>
        <w:r w:rsidR="00473D89" w:rsidRPr="00C70421">
          <w:rPr>
            <w:rStyle w:val="Hyperlink"/>
            <w:lang w:val="fr-FR"/>
          </w:rPr>
          <w:t>’</w:t>
        </w:r>
        <w:r w:rsidR="0050667A" w:rsidRPr="00C70421">
          <w:rPr>
            <w:rStyle w:val="Hyperlink"/>
            <w:lang w:val="fr-FR"/>
          </w:rPr>
          <w:t>entreprises et d</w:t>
        </w:r>
        <w:r w:rsidR="00473D89" w:rsidRPr="00C70421">
          <w:rPr>
            <w:rStyle w:val="Hyperlink"/>
            <w:lang w:val="fr-FR"/>
          </w:rPr>
          <w:t>’</w:t>
        </w:r>
        <w:r w:rsidR="0050667A" w:rsidRPr="00C70421">
          <w:rPr>
            <w:rStyle w:val="Hyperlink"/>
            <w:lang w:val="fr-FR"/>
          </w:rPr>
          <w:t>innovation de Montréal</w:t>
        </w:r>
      </w:hyperlink>
      <w:r w:rsidR="0050667A" w:rsidRPr="00C70421">
        <w:rPr>
          <w:lang w:val="fr-FR"/>
        </w:rPr>
        <w:t xml:space="preserve">, </w:t>
      </w:r>
      <w:r w:rsidR="0037774F" w:rsidRPr="00C70421">
        <w:rPr>
          <w:lang w:val="fr-FR"/>
        </w:rPr>
        <w:t xml:space="preserve">la </w:t>
      </w:r>
      <w:hyperlink r:id="rId46" w:history="1">
        <w:r w:rsidR="0050667A" w:rsidRPr="00C70421">
          <w:rPr>
            <w:rStyle w:val="Hyperlink"/>
            <w:lang w:val="fr-FR"/>
          </w:rPr>
          <w:t>Toronto Reference Library</w:t>
        </w:r>
      </w:hyperlink>
      <w:r w:rsidR="0050667A" w:rsidRPr="00C70421">
        <w:rPr>
          <w:lang w:val="fr-FR"/>
        </w:rPr>
        <w:t xml:space="preserve">, </w:t>
      </w:r>
      <w:hyperlink r:id="rId47" w:history="1">
        <w:r w:rsidR="0050667A" w:rsidRPr="00C70421">
          <w:rPr>
            <w:rStyle w:val="Hyperlink"/>
            <w:lang w:val="fr-FR"/>
          </w:rPr>
          <w:t>Innovate Calgary</w:t>
        </w:r>
      </w:hyperlink>
      <w:r w:rsidR="0050667A" w:rsidRPr="00C70421">
        <w:rPr>
          <w:lang w:val="fr-FR"/>
        </w:rPr>
        <w:t xml:space="preserve"> </w:t>
      </w:r>
      <w:r w:rsidR="00A7490A" w:rsidRPr="00C70421">
        <w:rPr>
          <w:lang w:val="fr-FR"/>
        </w:rPr>
        <w:t>et</w:t>
      </w:r>
      <w:r w:rsidR="0050667A" w:rsidRPr="00C70421">
        <w:rPr>
          <w:lang w:val="fr-FR"/>
        </w:rPr>
        <w:t xml:space="preserve"> </w:t>
      </w:r>
      <w:r w:rsidR="00A7490A" w:rsidRPr="00C70421">
        <w:rPr>
          <w:lang w:val="fr-FR"/>
        </w:rPr>
        <w:t xml:space="preserve">le </w:t>
      </w:r>
      <w:hyperlink r:id="rId48" w:history="1">
        <w:r w:rsidR="0050667A" w:rsidRPr="00C70421">
          <w:rPr>
            <w:rStyle w:val="Hyperlink"/>
            <w:lang w:val="fr-FR"/>
          </w:rPr>
          <w:t>BC Tech Innovation Hub</w:t>
        </w:r>
      </w:hyperlink>
      <w:r w:rsidR="00A7490A" w:rsidRPr="00C70421">
        <w:rPr>
          <w:lang w:val="fr-FR"/>
        </w:rPr>
        <w:t xml:space="preserve"> à</w:t>
      </w:r>
      <w:r w:rsidR="0050667A" w:rsidRPr="00C70421">
        <w:rPr>
          <w:lang w:val="fr-FR"/>
        </w:rPr>
        <w:t xml:space="preserve"> Vancouver </w:t>
      </w:r>
      <w:r w:rsidR="00A7490A" w:rsidRPr="00C70421">
        <w:rPr>
          <w:lang w:val="fr-FR"/>
        </w:rPr>
        <w:t>offrent un espace et une</w:t>
      </w:r>
      <w:r w:rsidR="0050667A" w:rsidRPr="00C70421">
        <w:rPr>
          <w:lang w:val="fr-FR"/>
        </w:rPr>
        <w:t xml:space="preserve"> expertise </w:t>
      </w:r>
      <w:r w:rsidR="00A7490A" w:rsidRPr="00C70421">
        <w:rPr>
          <w:lang w:val="fr-FR"/>
        </w:rPr>
        <w:t>aux</w:t>
      </w:r>
      <w:r w:rsidR="0050667A" w:rsidRPr="00C70421">
        <w:rPr>
          <w:lang w:val="fr-FR"/>
        </w:rPr>
        <w:t xml:space="preserve"> entrepreneurs </w:t>
      </w:r>
      <w:r w:rsidR="00A7490A" w:rsidRPr="00C70421">
        <w:rPr>
          <w:lang w:val="fr-FR"/>
        </w:rPr>
        <w:t>locaux à différents stades du cycle de vie de</w:t>
      </w:r>
      <w:r w:rsidR="0050667A" w:rsidRPr="00C70421">
        <w:rPr>
          <w:lang w:val="fr-FR"/>
        </w:rPr>
        <w:t xml:space="preserve"> </w:t>
      </w:r>
      <w:r w:rsidR="00A7490A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innovation</w:t>
      </w:r>
      <w:r w:rsidR="00EA15AF" w:rsidRPr="00C70421">
        <w:rPr>
          <w:lang w:val="fr-FR"/>
        </w:rPr>
        <w:t xml:space="preserve"> et indiquent </w:t>
      </w:r>
      <w:r w:rsidR="00A7490A" w:rsidRPr="00C70421">
        <w:rPr>
          <w:lang w:val="fr-FR"/>
        </w:rPr>
        <w:t>la marche à suivre dans la procédure d</w:t>
      </w:r>
      <w:r w:rsidR="00473D89" w:rsidRPr="00C70421">
        <w:rPr>
          <w:lang w:val="fr-FR"/>
        </w:rPr>
        <w:t>’</w:t>
      </w:r>
      <w:r w:rsidR="00A7490A" w:rsidRPr="00C70421">
        <w:rPr>
          <w:lang w:val="fr-FR"/>
        </w:rPr>
        <w:t>acquisition de brevet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473D89" w:rsidRPr="00C70421" w:rsidRDefault="00114AC9" w:rsidP="00E93C4E">
      <w:pPr>
        <w:pStyle w:val="Subsection"/>
        <w:rPr>
          <w:lang w:val="fr-FR"/>
        </w:rPr>
      </w:pPr>
      <w:r w:rsidRPr="00C70421">
        <w:rPr>
          <w:lang w:val="fr-FR"/>
        </w:rPr>
        <w:t>Principales</w:t>
      </w:r>
      <w:r w:rsidR="0050667A" w:rsidRPr="00C70421">
        <w:rPr>
          <w:lang w:val="fr-FR"/>
        </w:rPr>
        <w:t xml:space="preserve"> industries</w:t>
      </w:r>
      <w:r w:rsidRPr="00C70421">
        <w:rPr>
          <w:lang w:val="fr-FR"/>
        </w:rPr>
        <w:t xml:space="preserve"> locales</w:t>
      </w:r>
      <w:r w:rsidR="00473D89" w:rsidRPr="00C70421">
        <w:rPr>
          <w:lang w:val="fr-FR"/>
        </w:rPr>
        <w:t> :</w:t>
      </w:r>
    </w:p>
    <w:p w:rsidR="0050667A" w:rsidRPr="00C70421" w:rsidRDefault="00A7490A" w:rsidP="00E93C4E">
      <w:pPr>
        <w:rPr>
          <w:lang w:val="fr-FR"/>
        </w:rPr>
      </w:pPr>
      <w:r w:rsidRPr="00C70421">
        <w:rPr>
          <w:lang w:val="fr-FR"/>
        </w:rPr>
        <w:t>Les principal</w:t>
      </w:r>
      <w:r w:rsidR="00FC36E2" w:rsidRPr="00C70421">
        <w:rPr>
          <w:lang w:val="fr-FR"/>
        </w:rPr>
        <w:t>e</w:t>
      </w:r>
      <w:r w:rsidRPr="00C70421">
        <w:rPr>
          <w:lang w:val="fr-FR"/>
        </w:rPr>
        <w:t>s industries locales du Canada comprennent</w:t>
      </w:r>
      <w:r w:rsidR="00FC36E2" w:rsidRPr="00C70421">
        <w:rPr>
          <w:lang w:val="fr-FR"/>
        </w:rPr>
        <w:t xml:space="preserve"> les secteurs</w:t>
      </w:r>
      <w:r w:rsidRPr="00C70421">
        <w:rPr>
          <w:lang w:val="fr-FR"/>
        </w:rPr>
        <w:t> </w:t>
      </w:r>
      <w:r w:rsidR="003F3EE7" w:rsidRPr="00C70421">
        <w:rPr>
          <w:lang w:val="fr-FR"/>
        </w:rPr>
        <w:t xml:space="preserve">manufacturiers, miniers et des services, </w:t>
      </w:r>
      <w:r w:rsidR="00FC36E2" w:rsidRPr="00C70421">
        <w:rPr>
          <w:lang w:val="fr-FR"/>
        </w:rPr>
        <w:t>les industries forestières et pétrolières ainsi que les fournisseurs de produits agricoles les plus importants du mon</w:t>
      </w:r>
      <w:r w:rsidR="00C70421" w:rsidRPr="00C70421">
        <w:rPr>
          <w:lang w:val="fr-FR"/>
        </w:rPr>
        <w:t>de.  Le</w:t>
      </w:r>
      <w:r w:rsidR="00FC36E2" w:rsidRPr="00C70421">
        <w:rPr>
          <w:lang w:val="fr-FR"/>
        </w:rPr>
        <w:t>s</w:t>
      </w:r>
      <w:r w:rsidR="0050667A" w:rsidRPr="00C70421">
        <w:rPr>
          <w:lang w:val="fr-FR"/>
        </w:rPr>
        <w:t xml:space="preserve"> Prairies </w:t>
      </w:r>
      <w:r w:rsidR="003F3EE7" w:rsidRPr="00C70421">
        <w:rPr>
          <w:lang w:val="fr-FR"/>
        </w:rPr>
        <w:t>canadiennes figure</w:t>
      </w:r>
      <w:r w:rsidR="00FC36E2" w:rsidRPr="00C70421">
        <w:rPr>
          <w:lang w:val="fr-FR"/>
        </w:rPr>
        <w:t>nt parmi les producteurs mondiaux les plus importants</w:t>
      </w:r>
      <w:r w:rsidR="0050667A" w:rsidRPr="00C70421">
        <w:rPr>
          <w:lang w:val="fr-FR"/>
        </w:rPr>
        <w:t xml:space="preserve"> </w:t>
      </w:r>
      <w:r w:rsidR="00FC36E2" w:rsidRPr="00C70421">
        <w:rPr>
          <w:lang w:val="fr-FR"/>
        </w:rPr>
        <w:t>de blé</w:t>
      </w:r>
      <w:r w:rsidR="0050667A" w:rsidRPr="00C70421">
        <w:rPr>
          <w:lang w:val="fr-FR"/>
        </w:rPr>
        <w:t xml:space="preserve">, </w:t>
      </w:r>
      <w:r w:rsidR="00FC36E2" w:rsidRPr="00C70421">
        <w:rPr>
          <w:lang w:val="fr-FR"/>
        </w:rPr>
        <w:t xml:space="preserve">de </w:t>
      </w:r>
      <w:r w:rsidR="0050667A" w:rsidRPr="00C70421">
        <w:rPr>
          <w:lang w:val="fr-FR"/>
        </w:rPr>
        <w:t>c</w:t>
      </w:r>
      <w:r w:rsidR="00FC36E2" w:rsidRPr="00C70421">
        <w:rPr>
          <w:lang w:val="fr-FR"/>
        </w:rPr>
        <w:t>olza et d</w:t>
      </w:r>
      <w:r w:rsidR="00473D89" w:rsidRPr="00C70421">
        <w:rPr>
          <w:lang w:val="fr-FR"/>
        </w:rPr>
        <w:t>’</w:t>
      </w:r>
      <w:r w:rsidR="00FC36E2" w:rsidRPr="00C70421">
        <w:rPr>
          <w:lang w:val="fr-FR"/>
        </w:rPr>
        <w:t>autres céréales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FC36E2" w:rsidP="00E93C4E">
      <w:pPr>
        <w:rPr>
          <w:lang w:val="fr-FR"/>
        </w:rPr>
      </w:pPr>
      <w:r w:rsidRPr="00C70421">
        <w:rPr>
          <w:lang w:val="fr-FR"/>
        </w:rPr>
        <w:t xml:space="preserve">Le </w:t>
      </w:r>
      <w:r w:rsidR="00373B66" w:rsidRPr="00C70421">
        <w:rPr>
          <w:lang w:val="fr-FR"/>
        </w:rPr>
        <w:t>Ministère</w:t>
      </w:r>
      <w:r w:rsidRPr="00C70421">
        <w:rPr>
          <w:lang w:val="fr-FR"/>
        </w:rPr>
        <w:t xml:space="preserve"> des ressources naturelles du Canada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fournit les statistiques concernant les principales exportations du pa</w:t>
      </w:r>
      <w:r w:rsidR="00C70421" w:rsidRPr="00C70421">
        <w:rPr>
          <w:lang w:val="fr-FR"/>
        </w:rPr>
        <w:t>ys.  Le</w:t>
      </w:r>
      <w:r w:rsidRPr="00C70421">
        <w:rPr>
          <w:lang w:val="fr-FR"/>
        </w:rPr>
        <w:t xml:space="preserve"> Canada </w:t>
      </w:r>
      <w:r w:rsidR="007E641B" w:rsidRPr="00C70421">
        <w:rPr>
          <w:lang w:val="fr-FR"/>
        </w:rPr>
        <w:t>est l</w:t>
      </w:r>
      <w:r w:rsidR="00473D89" w:rsidRPr="00C70421">
        <w:rPr>
          <w:lang w:val="fr-FR"/>
        </w:rPr>
        <w:t>’</w:t>
      </w:r>
      <w:r w:rsidR="007E641B" w:rsidRPr="00C70421">
        <w:rPr>
          <w:lang w:val="fr-FR"/>
        </w:rPr>
        <w:t>un des premiers exportateurs de</w:t>
      </w:r>
      <w:r w:rsidR="0050667A" w:rsidRPr="00C70421">
        <w:rPr>
          <w:lang w:val="fr-FR"/>
        </w:rPr>
        <w:t xml:space="preserve"> zinc, </w:t>
      </w:r>
      <w:r w:rsidR="007E641B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uranium, </w:t>
      </w:r>
      <w:r w:rsidR="007E641B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7E641B" w:rsidRPr="00C70421">
        <w:rPr>
          <w:lang w:val="fr-FR"/>
        </w:rPr>
        <w:t>or</w:t>
      </w:r>
      <w:r w:rsidR="0050667A" w:rsidRPr="00C70421">
        <w:rPr>
          <w:lang w:val="fr-FR"/>
        </w:rPr>
        <w:t xml:space="preserve">, </w:t>
      </w:r>
      <w:r w:rsidR="007E641B" w:rsidRPr="00C70421">
        <w:rPr>
          <w:lang w:val="fr-FR"/>
        </w:rPr>
        <w:t xml:space="preserve">de </w:t>
      </w:r>
      <w:r w:rsidR="0050667A" w:rsidRPr="00C70421">
        <w:rPr>
          <w:lang w:val="fr-FR"/>
        </w:rPr>
        <w:t xml:space="preserve">nickel, </w:t>
      </w:r>
      <w:r w:rsidR="007E641B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alu</w:t>
      </w:r>
      <w:bookmarkStart w:id="10" w:name="_GoBack"/>
      <w:bookmarkEnd w:id="10"/>
      <w:r w:rsidR="0050667A" w:rsidRPr="00C70421">
        <w:rPr>
          <w:lang w:val="fr-FR"/>
        </w:rPr>
        <w:t>min</w:t>
      </w:r>
      <w:r w:rsidR="007E641B" w:rsidRPr="00C70421">
        <w:rPr>
          <w:lang w:val="fr-FR"/>
        </w:rPr>
        <w:t>i</w:t>
      </w:r>
      <w:r w:rsidR="0050667A" w:rsidRPr="00C70421">
        <w:rPr>
          <w:lang w:val="fr-FR"/>
        </w:rPr>
        <w:t xml:space="preserve">um, </w:t>
      </w:r>
      <w:r w:rsidR="007E641B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7E641B" w:rsidRPr="00C70421">
        <w:rPr>
          <w:lang w:val="fr-FR"/>
        </w:rPr>
        <w:t>acier</w:t>
      </w:r>
      <w:r w:rsidR="0050667A" w:rsidRPr="00C70421">
        <w:rPr>
          <w:lang w:val="fr-FR"/>
        </w:rPr>
        <w:t xml:space="preserve">, </w:t>
      </w:r>
      <w:r w:rsidR="007E641B" w:rsidRPr="00C70421">
        <w:rPr>
          <w:lang w:val="fr-FR"/>
        </w:rPr>
        <w:t xml:space="preserve">de minerai de fer, de charbon à coke et de plomb, ainsi que de produits </w:t>
      </w:r>
      <w:r w:rsidR="0050667A" w:rsidRPr="00C70421">
        <w:rPr>
          <w:lang w:val="fr-FR"/>
        </w:rPr>
        <w:t xml:space="preserve">automobiles </w:t>
      </w:r>
      <w:r w:rsidR="007E641B" w:rsidRPr="00C70421">
        <w:rPr>
          <w:lang w:val="fr-FR"/>
        </w:rPr>
        <w:t>et aéronautiques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114AC9" w:rsidP="00E93C4E">
      <w:pPr>
        <w:pStyle w:val="Subsection"/>
        <w:rPr>
          <w:lang w:val="fr-FR"/>
        </w:rPr>
      </w:pPr>
      <w:r w:rsidRPr="00C70421">
        <w:rPr>
          <w:lang w:val="fr-FR"/>
        </w:rPr>
        <w:t>Principaux partenaires commerciaux</w:t>
      </w:r>
      <w:r w:rsidR="00473D89" w:rsidRPr="00C70421">
        <w:rPr>
          <w:lang w:val="fr-FR"/>
        </w:rPr>
        <w:t> :</w:t>
      </w:r>
    </w:p>
    <w:p w:rsidR="00473D89" w:rsidRPr="00C70421" w:rsidRDefault="00473D89" w:rsidP="00E93C4E">
      <w:pPr>
        <w:rPr>
          <w:lang w:val="fr-FR"/>
        </w:rPr>
      </w:pPr>
      <w:r w:rsidRPr="00C70421">
        <w:rPr>
          <w:lang w:val="fr-FR"/>
        </w:rPr>
        <w:t>En 2015</w:t>
      </w:r>
      <w:r w:rsidR="0050667A" w:rsidRPr="00C70421">
        <w:rPr>
          <w:lang w:val="fr-FR"/>
        </w:rPr>
        <w:t xml:space="preserve">, </w:t>
      </w:r>
      <w:r w:rsidR="00586FA5" w:rsidRPr="00C70421">
        <w:rPr>
          <w:lang w:val="fr-FR"/>
        </w:rPr>
        <w:t xml:space="preserve">les principaux partenaires commerciaux </w:t>
      </w:r>
      <w:r w:rsidR="00D24E53">
        <w:rPr>
          <w:lang w:val="fr-FR"/>
        </w:rPr>
        <w:t>à l’</w:t>
      </w:r>
      <w:r w:rsidR="00586FA5" w:rsidRPr="00C70421">
        <w:rPr>
          <w:lang w:val="fr-FR"/>
        </w:rPr>
        <w:t>exportat</w:t>
      </w:r>
      <w:r w:rsidR="00D24E53">
        <w:rPr>
          <w:lang w:val="fr-FR"/>
        </w:rPr>
        <w:t>ion</w:t>
      </w:r>
      <w:r w:rsidR="00586FA5" w:rsidRPr="00C70421">
        <w:rPr>
          <w:lang w:val="fr-FR"/>
        </w:rPr>
        <w:t xml:space="preserve"> du Canada étaient les États</w:t>
      </w:r>
      <w:r w:rsidR="00001599">
        <w:rPr>
          <w:lang w:val="fr-FR"/>
        </w:rPr>
        <w:noBreakHyphen/>
      </w:r>
      <w:r w:rsidR="00586FA5" w:rsidRPr="00C70421">
        <w:rPr>
          <w:lang w:val="fr-FR"/>
        </w:rPr>
        <w:t>Unis</w:t>
      </w:r>
      <w:r w:rsidR="0050667A" w:rsidRPr="00C70421">
        <w:rPr>
          <w:lang w:val="fr-FR"/>
        </w:rPr>
        <w:t xml:space="preserve"> </w:t>
      </w:r>
      <w:r w:rsidR="00373B66" w:rsidRPr="00C70421">
        <w:rPr>
          <w:lang w:val="fr-FR"/>
        </w:rPr>
        <w:t>d’Amérique</w:t>
      </w:r>
      <w:r w:rsidR="0050667A" w:rsidRPr="00C70421">
        <w:rPr>
          <w:lang w:val="fr-FR"/>
        </w:rPr>
        <w:t xml:space="preserve"> (76</w:t>
      </w:r>
      <w:r w:rsidR="00586FA5" w:rsidRPr="00C70421">
        <w:rPr>
          <w:lang w:val="fr-FR"/>
        </w:rPr>
        <w:t xml:space="preserve">,7% des exportations </w:t>
      </w:r>
      <w:r w:rsidR="0050667A" w:rsidRPr="00C70421">
        <w:rPr>
          <w:lang w:val="fr-FR"/>
        </w:rPr>
        <w:t>total</w:t>
      </w:r>
      <w:r w:rsidR="00586FA5" w:rsidRPr="00C70421">
        <w:rPr>
          <w:lang w:val="fr-FR"/>
        </w:rPr>
        <w:t>es</w:t>
      </w:r>
      <w:r w:rsidR="0050667A" w:rsidRPr="00C70421">
        <w:rPr>
          <w:lang w:val="fr-FR"/>
        </w:rPr>
        <w:t>)</w:t>
      </w:r>
      <w:r w:rsidR="00586FA5" w:rsidRPr="00C70421">
        <w:rPr>
          <w:lang w:val="fr-FR"/>
        </w:rPr>
        <w:t>, la Chine</w:t>
      </w:r>
      <w:r w:rsidR="0050667A" w:rsidRPr="00C70421">
        <w:rPr>
          <w:lang w:val="fr-FR"/>
        </w:rPr>
        <w:t xml:space="preserve"> (3</w:t>
      </w:r>
      <w:r w:rsidR="00586FA5" w:rsidRPr="00C70421">
        <w:rPr>
          <w:lang w:val="fr-FR"/>
        </w:rPr>
        <w:t>,</w:t>
      </w:r>
      <w:r w:rsidR="0050667A" w:rsidRPr="00C70421">
        <w:rPr>
          <w:lang w:val="fr-FR"/>
        </w:rPr>
        <w:t>9</w:t>
      </w:r>
      <w:r w:rsidR="00586FA5" w:rsidRPr="00C70421">
        <w:rPr>
          <w:lang w:val="fr-FR"/>
        </w:rPr>
        <w:t>% des exportations totales)</w:t>
      </w:r>
      <w:r w:rsidR="0050667A" w:rsidRPr="00C70421">
        <w:rPr>
          <w:lang w:val="fr-FR"/>
        </w:rPr>
        <w:t xml:space="preserve"> </w:t>
      </w:r>
      <w:r w:rsidR="00586FA5" w:rsidRPr="00C70421">
        <w:rPr>
          <w:lang w:val="fr-FR"/>
        </w:rPr>
        <w:t>et le Royaume</w:t>
      </w:r>
      <w:r w:rsidR="00001599">
        <w:rPr>
          <w:lang w:val="fr-FR"/>
        </w:rPr>
        <w:noBreakHyphen/>
      </w:r>
      <w:r w:rsidR="00586FA5" w:rsidRPr="00C70421">
        <w:rPr>
          <w:lang w:val="fr-FR"/>
        </w:rPr>
        <w:t>Uni</w:t>
      </w:r>
      <w:r w:rsidR="0050667A" w:rsidRPr="00C70421">
        <w:rPr>
          <w:lang w:val="fr-FR"/>
        </w:rPr>
        <w:t xml:space="preserve"> (3</w:t>
      </w:r>
      <w:r w:rsidR="00586FA5" w:rsidRPr="00C70421">
        <w:rPr>
          <w:lang w:val="fr-FR"/>
        </w:rPr>
        <w:t>,</w:t>
      </w:r>
      <w:r w:rsidR="0050667A" w:rsidRPr="00C70421">
        <w:rPr>
          <w:lang w:val="fr-FR"/>
        </w:rPr>
        <w:t>0</w:t>
      </w:r>
      <w:r w:rsidR="00586FA5" w:rsidRPr="00C70421">
        <w:rPr>
          <w:lang w:val="fr-FR"/>
        </w:rPr>
        <w:t>% des exportations total</w:t>
      </w:r>
      <w:r w:rsidR="00C70421" w:rsidRPr="00C70421">
        <w:rPr>
          <w:lang w:val="fr-FR"/>
        </w:rPr>
        <w:t>es).  La</w:t>
      </w:r>
      <w:r w:rsidR="00586FA5" w:rsidRPr="00C70421">
        <w:rPr>
          <w:lang w:val="fr-FR"/>
        </w:rPr>
        <w:t xml:space="preserve"> même année</w:t>
      </w:r>
      <w:r w:rsidR="0050667A" w:rsidRPr="00C70421">
        <w:rPr>
          <w:lang w:val="fr-FR"/>
        </w:rPr>
        <w:t xml:space="preserve">, </w:t>
      </w:r>
      <w:r w:rsidR="00586FA5" w:rsidRPr="00C70421">
        <w:rPr>
          <w:lang w:val="fr-FR"/>
        </w:rPr>
        <w:t xml:space="preserve">les principaux partenaires commerciaux </w:t>
      </w:r>
      <w:r w:rsidR="00D24E53">
        <w:rPr>
          <w:lang w:val="fr-FR"/>
        </w:rPr>
        <w:t>à l’</w:t>
      </w:r>
      <w:r w:rsidR="00586FA5" w:rsidRPr="00C70421">
        <w:rPr>
          <w:lang w:val="fr-FR"/>
        </w:rPr>
        <w:t>importat</w:t>
      </w:r>
      <w:r w:rsidR="00D24E53">
        <w:rPr>
          <w:lang w:val="fr-FR"/>
        </w:rPr>
        <w:t>ion</w:t>
      </w:r>
      <w:r w:rsidR="00586FA5" w:rsidRPr="00C70421">
        <w:rPr>
          <w:lang w:val="fr-FR"/>
        </w:rPr>
        <w:t xml:space="preserve"> étaient</w:t>
      </w:r>
      <w:r w:rsidR="0050667A" w:rsidRPr="00C70421">
        <w:rPr>
          <w:lang w:val="fr-FR"/>
        </w:rPr>
        <w:t xml:space="preserve"> </w:t>
      </w:r>
      <w:r w:rsidR="00586FA5" w:rsidRPr="00C70421">
        <w:rPr>
          <w:lang w:val="fr-FR"/>
        </w:rPr>
        <w:t>les États</w:t>
      </w:r>
      <w:r w:rsidR="00001599">
        <w:rPr>
          <w:lang w:val="fr-FR"/>
        </w:rPr>
        <w:noBreakHyphen/>
      </w:r>
      <w:r w:rsidR="00586FA5" w:rsidRPr="00C70421">
        <w:rPr>
          <w:lang w:val="fr-FR"/>
        </w:rPr>
        <w:t xml:space="preserve">Unis </w:t>
      </w:r>
      <w:r w:rsidR="00373B66" w:rsidRPr="00C70421">
        <w:rPr>
          <w:lang w:val="fr-FR"/>
        </w:rPr>
        <w:t>d’Amérique</w:t>
      </w:r>
      <w:r w:rsidR="00586FA5" w:rsidRPr="00C70421">
        <w:rPr>
          <w:lang w:val="fr-FR"/>
        </w:rPr>
        <w:t xml:space="preserve"> </w:t>
      </w:r>
      <w:r w:rsidR="0050667A" w:rsidRPr="00C70421">
        <w:rPr>
          <w:lang w:val="fr-FR"/>
        </w:rPr>
        <w:t>(53</w:t>
      </w:r>
      <w:r w:rsidR="00586FA5" w:rsidRPr="00C70421">
        <w:rPr>
          <w:lang w:val="fr-FR"/>
        </w:rPr>
        <w:t>,</w:t>
      </w:r>
      <w:r w:rsidR="0050667A" w:rsidRPr="00C70421">
        <w:rPr>
          <w:lang w:val="fr-FR"/>
        </w:rPr>
        <w:t>3</w:t>
      </w:r>
      <w:r w:rsidR="00586FA5" w:rsidRPr="00C70421">
        <w:rPr>
          <w:lang w:val="fr-FR"/>
        </w:rPr>
        <w:t>%</w:t>
      </w:r>
      <w:r w:rsidR="008B1AE0" w:rsidRPr="00C70421">
        <w:rPr>
          <w:lang w:val="fr-FR"/>
        </w:rPr>
        <w:t xml:space="preserve"> </w:t>
      </w:r>
      <w:r w:rsidR="00586FA5" w:rsidRPr="00C70421">
        <w:rPr>
          <w:lang w:val="fr-FR"/>
        </w:rPr>
        <w:t>des importations totales), la Chine (12,</w:t>
      </w:r>
      <w:r w:rsidR="0050667A" w:rsidRPr="00C70421">
        <w:rPr>
          <w:lang w:val="fr-FR"/>
        </w:rPr>
        <w:t>3</w:t>
      </w:r>
      <w:r w:rsidR="00586FA5" w:rsidRPr="00C70421">
        <w:rPr>
          <w:lang w:val="fr-FR"/>
        </w:rPr>
        <w:t>%</w:t>
      </w:r>
      <w:r w:rsidR="008B1AE0" w:rsidRPr="00C70421">
        <w:rPr>
          <w:lang w:val="fr-FR"/>
        </w:rPr>
        <w:t xml:space="preserve"> </w:t>
      </w:r>
      <w:r w:rsidR="00586FA5" w:rsidRPr="00C70421">
        <w:rPr>
          <w:lang w:val="fr-FR"/>
        </w:rPr>
        <w:t>des importations totales) et le Mexique (5,</w:t>
      </w:r>
      <w:r w:rsidR="0050667A" w:rsidRPr="00C70421">
        <w:rPr>
          <w:lang w:val="fr-FR"/>
        </w:rPr>
        <w:t>8</w:t>
      </w:r>
      <w:r w:rsidR="00586FA5" w:rsidRPr="00C70421">
        <w:rPr>
          <w:lang w:val="fr-FR"/>
        </w:rPr>
        <w:t>%</w:t>
      </w:r>
      <w:r w:rsidR="008B1AE0" w:rsidRPr="00C70421">
        <w:rPr>
          <w:lang w:val="fr-FR"/>
        </w:rPr>
        <w:t xml:space="preserve"> </w:t>
      </w:r>
      <w:r w:rsidR="00586FA5" w:rsidRPr="00C70421">
        <w:rPr>
          <w:lang w:val="fr-FR"/>
        </w:rPr>
        <w:t>des importations total</w:t>
      </w:r>
      <w:r w:rsidR="00C70421" w:rsidRPr="00C70421">
        <w:rPr>
          <w:lang w:val="fr-FR"/>
        </w:rPr>
        <w:t>es).  Le</w:t>
      </w:r>
      <w:r w:rsidR="00586FA5" w:rsidRPr="00C70421">
        <w:rPr>
          <w:lang w:val="fr-FR"/>
        </w:rPr>
        <w:t>s principaux partenaires commerciaux</w:t>
      </w:r>
      <w:r w:rsidR="002418C0" w:rsidRPr="00C70421">
        <w:rPr>
          <w:lang w:val="fr-FR"/>
        </w:rPr>
        <w:t xml:space="preserve"> </w:t>
      </w:r>
      <w:r w:rsidR="00D24E53">
        <w:rPr>
          <w:lang w:val="fr-FR"/>
        </w:rPr>
        <w:t>à l’</w:t>
      </w:r>
      <w:r w:rsidR="00586FA5" w:rsidRPr="00C70421">
        <w:rPr>
          <w:lang w:val="fr-FR"/>
        </w:rPr>
        <w:t>importat</w:t>
      </w:r>
      <w:r w:rsidR="00D24E53">
        <w:rPr>
          <w:lang w:val="fr-FR"/>
        </w:rPr>
        <w:t>ion</w:t>
      </w:r>
      <w:r w:rsidR="00586FA5" w:rsidRPr="00C70421">
        <w:rPr>
          <w:lang w:val="fr-FR"/>
        </w:rPr>
        <w:t xml:space="preserve"> et </w:t>
      </w:r>
      <w:r w:rsidR="00D24E53">
        <w:rPr>
          <w:lang w:val="fr-FR"/>
        </w:rPr>
        <w:t>à l’</w:t>
      </w:r>
      <w:r w:rsidR="00586FA5" w:rsidRPr="00C70421">
        <w:rPr>
          <w:lang w:val="fr-FR"/>
        </w:rPr>
        <w:t>exportat</w:t>
      </w:r>
      <w:r w:rsidR="00D24E53">
        <w:rPr>
          <w:lang w:val="fr-FR"/>
        </w:rPr>
        <w:t xml:space="preserve">ion </w:t>
      </w:r>
      <w:r w:rsidR="000B4921" w:rsidRPr="00C70421">
        <w:rPr>
          <w:lang w:val="fr-FR"/>
        </w:rPr>
        <w:t xml:space="preserve">de </w:t>
      </w:r>
      <w:r w:rsidR="00586FA5" w:rsidRPr="00C70421">
        <w:rPr>
          <w:lang w:val="fr-FR"/>
        </w:rPr>
        <w:t xml:space="preserve">services du Canada </w:t>
      </w:r>
      <w:r w:rsidRPr="00C70421">
        <w:rPr>
          <w:lang w:val="fr-FR"/>
        </w:rPr>
        <w:t>en 2015</w:t>
      </w:r>
      <w:r w:rsidR="0050667A" w:rsidRPr="00C70421">
        <w:rPr>
          <w:lang w:val="fr-FR"/>
        </w:rPr>
        <w:t xml:space="preserve"> </w:t>
      </w:r>
      <w:r w:rsidR="00586FA5" w:rsidRPr="00C70421">
        <w:rPr>
          <w:lang w:val="fr-FR"/>
        </w:rPr>
        <w:t xml:space="preserve">étaient les </w:t>
      </w:r>
      <w:r w:rsidR="002418C0" w:rsidRPr="00C70421">
        <w:rPr>
          <w:lang w:val="fr-FR"/>
        </w:rPr>
        <w:t>Éta</w:t>
      </w:r>
      <w:r w:rsidR="00586FA5" w:rsidRPr="00C70421">
        <w:rPr>
          <w:lang w:val="fr-FR"/>
        </w:rPr>
        <w:t>t</w:t>
      </w:r>
      <w:r w:rsidR="002418C0" w:rsidRPr="00C70421">
        <w:rPr>
          <w:lang w:val="fr-FR"/>
        </w:rPr>
        <w:t>s</w:t>
      </w:r>
      <w:r w:rsidR="00001599">
        <w:rPr>
          <w:lang w:val="fr-FR"/>
        </w:rPr>
        <w:noBreakHyphen/>
      </w:r>
      <w:r w:rsidR="00586FA5" w:rsidRPr="00C70421">
        <w:rPr>
          <w:lang w:val="fr-FR"/>
        </w:rPr>
        <w:t>Unis</w:t>
      </w:r>
      <w:r w:rsidR="00373B66" w:rsidRPr="00C70421">
        <w:rPr>
          <w:lang w:val="fr-FR"/>
        </w:rPr>
        <w:t xml:space="preserve"> d’Amérique</w:t>
      </w:r>
      <w:r w:rsidR="0050667A" w:rsidRPr="00C70421">
        <w:rPr>
          <w:lang w:val="fr-FR"/>
        </w:rPr>
        <w:t xml:space="preserve">, </w:t>
      </w:r>
      <w:r w:rsidR="00586FA5" w:rsidRPr="00C70421">
        <w:rPr>
          <w:lang w:val="fr-FR"/>
        </w:rPr>
        <w:t>l</w:t>
      </w:r>
      <w:r w:rsidRPr="00C70421">
        <w:rPr>
          <w:lang w:val="fr-FR"/>
        </w:rPr>
        <w:t>’</w:t>
      </w:r>
      <w:r w:rsidR="00586FA5" w:rsidRPr="00C70421">
        <w:rPr>
          <w:lang w:val="fr-FR"/>
        </w:rPr>
        <w:t>Union européenne et le</w:t>
      </w:r>
      <w:r w:rsidR="0050667A" w:rsidRPr="00C70421">
        <w:rPr>
          <w:lang w:val="fr-FR"/>
        </w:rPr>
        <w:t xml:space="preserve"> Jap</w:t>
      </w:r>
      <w:r w:rsidR="00586FA5" w:rsidRPr="00C70421">
        <w:rPr>
          <w:lang w:val="fr-FR"/>
        </w:rPr>
        <w:t>o</w:t>
      </w:r>
      <w:r w:rsidR="0050667A" w:rsidRPr="00C70421">
        <w:rPr>
          <w:lang w:val="fr-FR"/>
        </w:rPr>
        <w:t>n.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586FA5" w:rsidRPr="00C70421">
        <w:rPr>
          <w:i/>
          <w:lang w:val="fr-FR"/>
        </w:rPr>
        <w:t xml:space="preserve">Le commerce international du </w:t>
      </w:r>
      <w:hyperlink r:id="rId49" w:anchor="5.0" w:history="1">
        <w:r w:rsidR="00586FA5" w:rsidRPr="00C70421">
          <w:rPr>
            <w:rStyle w:val="Hyperlink"/>
            <w:i/>
            <w:lang w:val="fr-FR"/>
          </w:rPr>
          <w:t>Canada</w:t>
        </w:r>
        <w:r w:rsidR="00001599">
          <w:rPr>
            <w:rStyle w:val="Hyperlink"/>
            <w:i/>
            <w:lang w:val="fr-FR"/>
          </w:rPr>
          <w:t> :</w:t>
        </w:r>
        <w:r w:rsidRPr="00C70421">
          <w:rPr>
            <w:rStyle w:val="Hyperlink"/>
            <w:i/>
            <w:lang w:val="fr-FR"/>
          </w:rPr>
          <w:t xml:space="preserve"> </w:t>
        </w:r>
        <w:r w:rsidR="00586FA5" w:rsidRPr="00C70421">
          <w:rPr>
            <w:rStyle w:val="Hyperlink"/>
            <w:i/>
            <w:lang w:val="fr-FR"/>
          </w:rPr>
          <w:t>Le point sur le commerce et l</w:t>
        </w:r>
        <w:r w:rsidR="00473D89" w:rsidRPr="00C70421">
          <w:rPr>
            <w:rStyle w:val="Hyperlink"/>
            <w:i/>
            <w:lang w:val="fr-FR"/>
          </w:rPr>
          <w:t>’</w:t>
        </w:r>
        <w:r w:rsidR="00586FA5" w:rsidRPr="00C70421">
          <w:rPr>
            <w:rStyle w:val="Hyperlink"/>
            <w:i/>
            <w:lang w:val="fr-FR"/>
          </w:rPr>
          <w:t>investissement</w:t>
        </w:r>
        <w:r w:rsidRPr="00C70421">
          <w:rPr>
            <w:rStyle w:val="Hyperlink"/>
            <w:i/>
            <w:lang w:val="fr-FR"/>
          </w:rPr>
          <w:t xml:space="preserve"> </w:t>
        </w:r>
        <w:r w:rsidR="00586FA5" w:rsidRPr="00C70421">
          <w:rPr>
            <w:rStyle w:val="Hyperlink"/>
            <w:i/>
            <w:lang w:val="fr-FR"/>
          </w:rPr>
          <w:t xml:space="preserve">– </w:t>
        </w:r>
        <w:r w:rsidRPr="00C70421">
          <w:rPr>
            <w:rStyle w:val="Hyperlink"/>
            <w:i/>
            <w:lang w:val="fr-FR"/>
          </w:rPr>
          <w:t>2016</w:t>
        </w:r>
      </w:hyperlink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2418C0" w:rsidP="00E93C4E">
      <w:pPr>
        <w:pStyle w:val="Subsection"/>
        <w:rPr>
          <w:lang w:val="fr-FR"/>
        </w:rPr>
      </w:pPr>
      <w:r w:rsidRPr="00C70421">
        <w:rPr>
          <w:lang w:val="fr-FR"/>
        </w:rPr>
        <w:t>Autres</w:t>
      </w:r>
      <w:r w:rsidR="0050667A" w:rsidRPr="00C70421">
        <w:rPr>
          <w:lang w:val="fr-FR"/>
        </w:rPr>
        <w:t xml:space="preserve"> information</w:t>
      </w:r>
      <w:r w:rsidRPr="00C70421">
        <w:rPr>
          <w:lang w:val="fr-FR"/>
        </w:rPr>
        <w:t>s importantes</w:t>
      </w:r>
      <w:r w:rsidR="00473D89" w:rsidRPr="00C70421">
        <w:rPr>
          <w:lang w:val="fr-FR"/>
        </w:rPr>
        <w:t> :</w:t>
      </w:r>
    </w:p>
    <w:p w:rsidR="0050667A" w:rsidRPr="00C70421" w:rsidRDefault="002418C0" w:rsidP="00E93C4E">
      <w:pPr>
        <w:rPr>
          <w:lang w:val="fr-FR"/>
        </w:rPr>
      </w:pPr>
      <w:r w:rsidRPr="00C70421">
        <w:rPr>
          <w:lang w:val="fr-FR"/>
        </w:rPr>
        <w:t xml:space="preserve">Le </w:t>
      </w:r>
      <w:r w:rsidR="0050667A" w:rsidRPr="00C70421">
        <w:rPr>
          <w:lang w:val="fr-FR"/>
        </w:rPr>
        <w:t xml:space="preserve">Canada </w:t>
      </w:r>
      <w:r w:rsidRPr="00C70421">
        <w:rPr>
          <w:lang w:val="fr-FR"/>
        </w:rPr>
        <w:t xml:space="preserve">a </w:t>
      </w:r>
      <w:r w:rsidR="000B4921" w:rsidRPr="00C70421">
        <w:rPr>
          <w:lang w:val="fr-FR"/>
        </w:rPr>
        <w:t xml:space="preserve">mis en œuvre </w:t>
      </w:r>
      <w:r w:rsidRPr="00C70421">
        <w:rPr>
          <w:lang w:val="fr-FR"/>
        </w:rPr>
        <w:t xml:space="preserve">son nouveau </w:t>
      </w:r>
      <w:r w:rsidR="000B4921" w:rsidRPr="00C70421">
        <w:rPr>
          <w:lang w:val="fr-FR"/>
        </w:rPr>
        <w:t>P</w:t>
      </w:r>
      <w:r w:rsidRPr="00C70421">
        <w:rPr>
          <w:lang w:val="fr-FR"/>
        </w:rPr>
        <w:t>rogramme</w:t>
      </w:r>
      <w:r w:rsidR="0050667A" w:rsidRPr="00C70421">
        <w:rPr>
          <w:lang w:val="fr-FR"/>
        </w:rPr>
        <w:t xml:space="preserve"> </w:t>
      </w:r>
      <w:r w:rsidR="000B4921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innovation</w:t>
      </w:r>
      <w:r w:rsidR="000B4921" w:rsidRPr="00C70421">
        <w:rPr>
          <w:lang w:val="fr-FR"/>
        </w:rPr>
        <w:t xml:space="preserve"> inclusif</w:t>
      </w:r>
      <w:r w:rsidRPr="00C70421">
        <w:rPr>
          <w:lang w:val="fr-FR"/>
        </w:rPr>
        <w:t xml:space="preserve"> </w:t>
      </w:r>
      <w:r w:rsidR="000B4921" w:rsidRPr="00C70421">
        <w:rPr>
          <w:lang w:val="fr-FR"/>
        </w:rPr>
        <w:t>le 14 juin </w:t>
      </w:r>
      <w:r w:rsidR="0050667A" w:rsidRPr="00C70421">
        <w:rPr>
          <w:lang w:val="fr-FR"/>
        </w:rPr>
        <w:t xml:space="preserve">2016.  </w:t>
      </w:r>
      <w:r w:rsidR="000B4921" w:rsidRPr="00C70421">
        <w:rPr>
          <w:lang w:val="fr-FR"/>
        </w:rPr>
        <w:t xml:space="preserve">Tous les </w:t>
      </w:r>
      <w:r w:rsidR="0050667A" w:rsidRPr="00C70421">
        <w:rPr>
          <w:lang w:val="fr-FR"/>
        </w:rPr>
        <w:t>Canadi</w:t>
      </w:r>
      <w:r w:rsidR="000B4921" w:rsidRPr="00C70421">
        <w:rPr>
          <w:lang w:val="fr-FR"/>
        </w:rPr>
        <w:t>en</w:t>
      </w:r>
      <w:r w:rsidR="0050667A" w:rsidRPr="00C70421">
        <w:rPr>
          <w:lang w:val="fr-FR"/>
        </w:rPr>
        <w:t>s</w:t>
      </w:r>
      <w:r w:rsidR="000B4921" w:rsidRPr="00C70421">
        <w:rPr>
          <w:lang w:val="fr-FR"/>
        </w:rPr>
        <w:t xml:space="preserve"> étaient invités</w:t>
      </w:r>
      <w:r w:rsidR="00953DBC" w:rsidRPr="00C70421">
        <w:rPr>
          <w:lang w:val="fr-FR"/>
        </w:rPr>
        <w:t xml:space="preserve"> à y contribu</w:t>
      </w:r>
      <w:r w:rsidR="00C70421" w:rsidRPr="00C70421">
        <w:rPr>
          <w:lang w:val="fr-FR"/>
        </w:rPr>
        <w:t>er.  Af</w:t>
      </w:r>
      <w:r w:rsidR="00953DBC" w:rsidRPr="00C70421">
        <w:rPr>
          <w:lang w:val="fr-FR"/>
        </w:rPr>
        <w:t>in d</w:t>
      </w:r>
      <w:r w:rsidR="00473D89" w:rsidRPr="00C70421">
        <w:rPr>
          <w:lang w:val="fr-FR"/>
        </w:rPr>
        <w:t>’</w:t>
      </w:r>
      <w:r w:rsidR="00953DBC" w:rsidRPr="00C70421">
        <w:rPr>
          <w:lang w:val="fr-FR"/>
        </w:rPr>
        <w:t>aider la population à s</w:t>
      </w:r>
      <w:r w:rsidR="00473D89" w:rsidRPr="00C70421">
        <w:rPr>
          <w:lang w:val="fr-FR"/>
        </w:rPr>
        <w:t>’</w:t>
      </w:r>
      <w:r w:rsidR="00953DBC" w:rsidRPr="00C70421">
        <w:rPr>
          <w:lang w:val="fr-FR"/>
        </w:rPr>
        <w:t xml:space="preserve">adapter et à réussir dans cette </w:t>
      </w:r>
      <w:r w:rsidR="000B1871" w:rsidRPr="00C70421">
        <w:rPr>
          <w:lang w:val="fr-FR"/>
        </w:rPr>
        <w:t>période</w:t>
      </w:r>
      <w:r w:rsidR="00953DBC" w:rsidRPr="00C70421">
        <w:rPr>
          <w:lang w:val="fr-FR"/>
        </w:rPr>
        <w:t xml:space="preserve"> </w:t>
      </w:r>
      <w:r w:rsidR="00D24E53">
        <w:rPr>
          <w:lang w:val="fr-FR"/>
        </w:rPr>
        <w:t xml:space="preserve">de </w:t>
      </w:r>
      <w:r w:rsidR="00A05E6E" w:rsidRPr="00C70421">
        <w:rPr>
          <w:lang w:val="fr-FR"/>
        </w:rPr>
        <w:t>rapide</w:t>
      </w:r>
      <w:r w:rsidR="00D24E53">
        <w:rPr>
          <w:lang w:val="fr-FR"/>
        </w:rPr>
        <w:t>s mutations</w:t>
      </w:r>
      <w:r w:rsidR="0050667A" w:rsidRPr="00C70421">
        <w:rPr>
          <w:lang w:val="fr-FR"/>
        </w:rPr>
        <w:t xml:space="preserve">, </w:t>
      </w:r>
      <w:r w:rsidR="00953DBC" w:rsidRPr="00C70421">
        <w:rPr>
          <w:lang w:val="fr-FR"/>
        </w:rPr>
        <w:t>et de garantir que tous les Canadiens bénéficient des avantages d</w:t>
      </w:r>
      <w:r w:rsidR="00473D89" w:rsidRPr="00C70421">
        <w:rPr>
          <w:lang w:val="fr-FR"/>
        </w:rPr>
        <w:t>’</w:t>
      </w:r>
      <w:r w:rsidR="00953DBC" w:rsidRPr="00C70421">
        <w:rPr>
          <w:lang w:val="fr-FR"/>
        </w:rPr>
        <w:t>une économie en croissance</w:t>
      </w:r>
      <w:r w:rsidR="0050667A" w:rsidRPr="00C70421">
        <w:rPr>
          <w:lang w:val="fr-FR"/>
        </w:rPr>
        <w:t>,</w:t>
      </w:r>
      <w:r w:rsidR="0091055C" w:rsidRPr="00C70421">
        <w:rPr>
          <w:lang w:val="fr-FR"/>
        </w:rPr>
        <w:t xml:space="preserve"> le</w:t>
      </w:r>
      <w:r w:rsidR="00953DBC" w:rsidRPr="00C70421">
        <w:rPr>
          <w:lang w:val="fr-FR"/>
        </w:rPr>
        <w:t xml:space="preserve">s </w:t>
      </w:r>
      <w:r w:rsidR="0050667A" w:rsidRPr="00C70421">
        <w:rPr>
          <w:lang w:val="fr-FR"/>
        </w:rPr>
        <w:t xml:space="preserve">suggestions </w:t>
      </w:r>
      <w:r w:rsidR="00953DBC" w:rsidRPr="00C70421">
        <w:rPr>
          <w:lang w:val="fr-FR"/>
        </w:rPr>
        <w:t xml:space="preserve">adressées au gouvernement fédéral </w:t>
      </w:r>
      <w:r w:rsidR="000B1871" w:rsidRPr="00C70421">
        <w:rPr>
          <w:lang w:val="fr-FR"/>
        </w:rPr>
        <w:t>étaient axées sur trois</w:t>
      </w:r>
      <w:r w:rsidR="00373B66" w:rsidRPr="00C70421">
        <w:rPr>
          <w:lang w:val="fr-FR"/>
        </w:rPr>
        <w:t> </w:t>
      </w:r>
      <w:r w:rsidR="000B1871" w:rsidRPr="00C70421">
        <w:rPr>
          <w:lang w:val="fr-FR"/>
        </w:rPr>
        <w:t>domaines prioritaires</w:t>
      </w:r>
      <w:r w:rsidR="00473D89" w:rsidRPr="00C70421">
        <w:rPr>
          <w:lang w:val="fr-FR"/>
        </w:rPr>
        <w:t> :</w:t>
      </w:r>
    </w:p>
    <w:p w:rsidR="0050667A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0B1871" w:rsidRPr="00C70421">
        <w:rPr>
          <w:lang w:val="fr-FR"/>
        </w:rPr>
        <w:t>Les personnes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  <w:r w:rsidR="000B1871" w:rsidRPr="00C70421">
        <w:rPr>
          <w:lang w:val="fr-FR"/>
        </w:rPr>
        <w:t xml:space="preserve">définir les moyens de permettre </w:t>
      </w:r>
      <w:r w:rsidR="003F3EE7" w:rsidRPr="00C70421">
        <w:rPr>
          <w:lang w:val="fr-FR"/>
        </w:rPr>
        <w:t>à</w:t>
      </w:r>
      <w:r w:rsidR="000B1871" w:rsidRPr="00C70421">
        <w:rPr>
          <w:lang w:val="fr-FR"/>
        </w:rPr>
        <w:t xml:space="preserve"> davantage de Canadiens d</w:t>
      </w:r>
      <w:r w:rsidR="00473D89" w:rsidRPr="00C70421">
        <w:rPr>
          <w:lang w:val="fr-FR"/>
        </w:rPr>
        <w:t>’</w:t>
      </w:r>
      <w:r w:rsidR="000B1871" w:rsidRPr="00C70421">
        <w:rPr>
          <w:lang w:val="fr-FR"/>
        </w:rPr>
        <w:t>acquérir</w:t>
      </w:r>
      <w:r w:rsidR="0050667A" w:rsidRPr="00C70421">
        <w:rPr>
          <w:lang w:val="fr-FR"/>
        </w:rPr>
        <w:t xml:space="preserve"> </w:t>
      </w:r>
      <w:r w:rsidR="000B1871" w:rsidRPr="00C70421">
        <w:rPr>
          <w:lang w:val="fr-FR"/>
        </w:rPr>
        <w:t>les compétences et l</w:t>
      </w:r>
      <w:r w:rsidR="00473D89" w:rsidRPr="00C70421">
        <w:rPr>
          <w:lang w:val="fr-FR"/>
        </w:rPr>
        <w:t>’</w:t>
      </w:r>
      <w:r w:rsidR="000B1871" w:rsidRPr="00C70421">
        <w:rPr>
          <w:lang w:val="fr-FR"/>
        </w:rPr>
        <w:t xml:space="preserve">expérience nécessaires à satisfaire </w:t>
      </w:r>
      <w:r w:rsidR="003F3EE7" w:rsidRPr="00C70421">
        <w:rPr>
          <w:lang w:val="fr-FR"/>
        </w:rPr>
        <w:t xml:space="preserve">les besoins de </w:t>
      </w:r>
      <w:r w:rsidR="000B1871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0B1871" w:rsidRPr="00C70421">
        <w:rPr>
          <w:lang w:val="fr-FR"/>
        </w:rPr>
        <w:t xml:space="preserve">économie mondiale et </w:t>
      </w:r>
      <w:r w:rsidR="00D24E53">
        <w:rPr>
          <w:lang w:val="fr-FR"/>
        </w:rPr>
        <w:t>numériqu</w:t>
      </w:r>
      <w:r w:rsidR="000B1871" w:rsidRPr="00C70421">
        <w:rPr>
          <w:lang w:val="fr-FR"/>
        </w:rPr>
        <w:t>e</w:t>
      </w:r>
      <w:r w:rsidR="0050667A" w:rsidRPr="00C70421">
        <w:rPr>
          <w:lang w:val="fr-FR"/>
        </w:rPr>
        <w:t>.</w:t>
      </w:r>
    </w:p>
    <w:p w:rsidR="0050667A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0B1871" w:rsidRPr="00C70421">
        <w:rPr>
          <w:lang w:val="fr-FR"/>
        </w:rPr>
        <w:t>Les t</w:t>
      </w:r>
      <w:r w:rsidR="0050667A" w:rsidRPr="00C70421">
        <w:rPr>
          <w:lang w:val="fr-FR"/>
        </w:rPr>
        <w:t>echnologies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  <w:r w:rsidR="000B1871" w:rsidRPr="00C70421">
        <w:rPr>
          <w:lang w:val="fr-FR"/>
        </w:rPr>
        <w:t>définir les moyens de permettre au Canada de maîtriser les nouvelles technologies susceptibles de créer des emplois et des industries qui n</w:t>
      </w:r>
      <w:r w:rsidR="00473D89" w:rsidRPr="00C70421">
        <w:rPr>
          <w:lang w:val="fr-FR"/>
        </w:rPr>
        <w:t>’</w:t>
      </w:r>
      <w:r w:rsidR="000B1871" w:rsidRPr="00C70421">
        <w:rPr>
          <w:lang w:val="fr-FR"/>
        </w:rPr>
        <w:t xml:space="preserve">existaient pas </w:t>
      </w:r>
      <w:r w:rsidR="007E4CCE" w:rsidRPr="00C70421">
        <w:rPr>
          <w:lang w:val="fr-FR"/>
        </w:rPr>
        <w:t>auparavant</w:t>
      </w:r>
      <w:r w:rsidR="0050667A" w:rsidRPr="00C70421">
        <w:rPr>
          <w:lang w:val="fr-FR"/>
        </w:rPr>
        <w:t xml:space="preserve">, </w:t>
      </w:r>
      <w:r w:rsidR="000B1871" w:rsidRPr="00C70421">
        <w:rPr>
          <w:lang w:val="fr-FR"/>
        </w:rPr>
        <w:t xml:space="preserve">tout en relançant les </w:t>
      </w:r>
      <w:r w:rsidR="0050667A" w:rsidRPr="00C70421">
        <w:rPr>
          <w:lang w:val="fr-FR"/>
        </w:rPr>
        <w:t>industries</w:t>
      </w:r>
      <w:r w:rsidR="000B1871" w:rsidRPr="00C70421">
        <w:rPr>
          <w:lang w:val="fr-FR"/>
        </w:rPr>
        <w:t xml:space="preserve"> existant</w:t>
      </w:r>
      <w:r w:rsidR="00C70421" w:rsidRPr="00C70421">
        <w:rPr>
          <w:lang w:val="fr-FR"/>
        </w:rPr>
        <w:t>es.  Le</w:t>
      </w:r>
      <w:r w:rsidR="000B1871" w:rsidRPr="00C70421">
        <w:rPr>
          <w:lang w:val="fr-FR"/>
        </w:rPr>
        <w:t xml:space="preserve">s Canadiens ont également demandé au gouvernement de se concentrer sur les technologies en cours </w:t>
      </w:r>
      <w:r w:rsidR="006922AF">
        <w:rPr>
          <w:lang w:val="fr-FR"/>
        </w:rPr>
        <w:t>de d</w:t>
      </w:r>
      <w:r w:rsidR="000B1871" w:rsidRPr="00C70421">
        <w:rPr>
          <w:lang w:val="fr-FR"/>
        </w:rPr>
        <w:t>éveloppement</w:t>
      </w:r>
      <w:r w:rsidR="0050667A" w:rsidRPr="00C70421">
        <w:rPr>
          <w:lang w:val="fr-FR"/>
        </w:rPr>
        <w:t xml:space="preserve"> </w:t>
      </w:r>
      <w:r w:rsidR="0091055C" w:rsidRPr="00C70421">
        <w:rPr>
          <w:lang w:val="fr-FR"/>
        </w:rPr>
        <w:t>qui mettront en marche</w:t>
      </w:r>
      <w:r w:rsidR="00504845" w:rsidRPr="00C70421">
        <w:rPr>
          <w:lang w:val="fr-FR"/>
        </w:rPr>
        <w:t xml:space="preserve"> la prochaine grande vague de l</w:t>
      </w:r>
      <w:r w:rsidR="00473D89" w:rsidRPr="00C70421">
        <w:rPr>
          <w:lang w:val="fr-FR"/>
        </w:rPr>
        <w:t>’</w:t>
      </w:r>
      <w:r w:rsidR="00504845" w:rsidRPr="00C70421">
        <w:rPr>
          <w:lang w:val="fr-FR"/>
        </w:rPr>
        <w:t>innovation</w:t>
      </w:r>
      <w:r w:rsidR="0050667A" w:rsidRPr="00C70421">
        <w:rPr>
          <w:lang w:val="fr-FR"/>
        </w:rPr>
        <w:t>.</w:t>
      </w:r>
    </w:p>
    <w:p w:rsidR="00473D89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504845" w:rsidRPr="00C70421">
        <w:rPr>
          <w:lang w:val="fr-FR"/>
        </w:rPr>
        <w:t>Les entreprises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  <w:r w:rsidR="00504845" w:rsidRPr="00C70421">
        <w:rPr>
          <w:lang w:val="fr-FR"/>
        </w:rPr>
        <w:t>définir les moyens 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encourage</w:t>
      </w:r>
      <w:r w:rsidR="00504845" w:rsidRPr="00C70421">
        <w:rPr>
          <w:lang w:val="fr-FR"/>
        </w:rPr>
        <w:t>r davantage de Canadie</w:t>
      </w:r>
      <w:r w:rsidR="0050667A" w:rsidRPr="00C70421">
        <w:rPr>
          <w:lang w:val="fr-FR"/>
        </w:rPr>
        <w:t>ns</w:t>
      </w:r>
      <w:r w:rsidR="00504845" w:rsidRPr="00C70421">
        <w:rPr>
          <w:lang w:val="fr-FR"/>
        </w:rPr>
        <w:t xml:space="preserve"> à guider et à faire évoluer les entreprises </w:t>
      </w:r>
      <w:r w:rsidR="001E223C" w:rsidRPr="00C70421">
        <w:rPr>
          <w:lang w:val="fr-FR"/>
        </w:rPr>
        <w:t xml:space="preserve">pour les rendre plus </w:t>
      </w:r>
      <w:r w:rsidR="003F3EE7" w:rsidRPr="00C70421">
        <w:rPr>
          <w:lang w:val="fr-FR"/>
        </w:rPr>
        <w:t>concurrentielles</w:t>
      </w:r>
      <w:r w:rsidR="00504845" w:rsidRPr="00C70421">
        <w:rPr>
          <w:lang w:val="fr-FR"/>
        </w:rPr>
        <w:t xml:space="preserve"> à l</w:t>
      </w:r>
      <w:r w:rsidR="00473D89" w:rsidRPr="00C70421">
        <w:rPr>
          <w:lang w:val="fr-FR"/>
        </w:rPr>
        <w:t>’</w:t>
      </w:r>
      <w:r w:rsidR="00504845" w:rsidRPr="00C70421">
        <w:rPr>
          <w:lang w:val="fr-FR"/>
        </w:rPr>
        <w:t xml:space="preserve">échelle mondiale et </w:t>
      </w:r>
      <w:r w:rsidR="0091055C" w:rsidRPr="00C70421">
        <w:rPr>
          <w:lang w:val="fr-FR"/>
        </w:rPr>
        <w:t>atteindre le succès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504845" w:rsidP="00E93C4E">
      <w:pPr>
        <w:rPr>
          <w:lang w:val="fr-FR"/>
        </w:rPr>
      </w:pPr>
      <w:r w:rsidRPr="00C70421">
        <w:rPr>
          <w:lang w:val="fr-FR"/>
        </w:rPr>
        <w:t xml:space="preserve">Le </w:t>
      </w:r>
      <w:r w:rsidR="00373B66" w:rsidRPr="00C70421">
        <w:rPr>
          <w:lang w:val="fr-FR"/>
        </w:rPr>
        <w:t>Gouvernement</w:t>
      </w:r>
      <w:r w:rsidRPr="00C70421">
        <w:rPr>
          <w:lang w:val="fr-FR"/>
        </w:rPr>
        <w:t xml:space="preserve"> canadien a déjà pris certaines mesures pour </w:t>
      </w:r>
      <w:r w:rsidR="0091055C" w:rsidRPr="00C70421">
        <w:rPr>
          <w:lang w:val="fr-FR"/>
        </w:rPr>
        <w:t>men</w:t>
      </w:r>
      <w:r w:rsidR="00BE4D6D" w:rsidRPr="00C70421">
        <w:rPr>
          <w:lang w:val="fr-FR"/>
        </w:rPr>
        <w:t>er</w:t>
      </w:r>
      <w:r w:rsidRPr="00C70421">
        <w:rPr>
          <w:lang w:val="fr-FR"/>
        </w:rPr>
        <w:t xml:space="preserve"> le pays </w:t>
      </w:r>
      <w:r w:rsidR="0091055C" w:rsidRPr="00C70421">
        <w:rPr>
          <w:lang w:val="fr-FR"/>
        </w:rPr>
        <w:t>sur la voie</w:t>
      </w:r>
      <w:r w:rsidRPr="00C70421">
        <w:rPr>
          <w:lang w:val="fr-FR"/>
        </w:rPr>
        <w:t xml:space="preserve"> </w:t>
      </w:r>
      <w:r w:rsidR="0091055C" w:rsidRPr="00C70421">
        <w:rPr>
          <w:lang w:val="fr-FR"/>
        </w:rPr>
        <w:t>de</w:t>
      </w:r>
      <w:r w:rsidRPr="00C70421">
        <w:rPr>
          <w:lang w:val="fr-FR"/>
        </w:rPr>
        <w:t xml:space="preserve"> </w:t>
      </w:r>
      <w:r w:rsidR="0091055C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économie fondée sur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innovati</w:t>
      </w:r>
      <w:r w:rsidR="00C70421" w:rsidRPr="00C70421">
        <w:rPr>
          <w:lang w:val="fr-FR"/>
        </w:rPr>
        <w:t>on.  Le</w:t>
      </w:r>
      <w:r w:rsidRPr="00C70421">
        <w:rPr>
          <w:lang w:val="fr-FR"/>
        </w:rPr>
        <w:t xml:space="preserve"> budget </w:t>
      </w:r>
      <w:r w:rsidR="00473D89" w:rsidRPr="00C70421">
        <w:rPr>
          <w:lang w:val="fr-FR"/>
        </w:rPr>
        <w:t>pour 2016</w:t>
      </w:r>
      <w:r w:rsidRPr="00C70421">
        <w:rPr>
          <w:lang w:val="fr-FR"/>
        </w:rPr>
        <w:t xml:space="preserve"> prévoit</w:t>
      </w:r>
      <w:r w:rsidR="00473D89" w:rsidRPr="00C70421">
        <w:rPr>
          <w:lang w:val="fr-FR"/>
        </w:rPr>
        <w:t> :</w:t>
      </w:r>
    </w:p>
    <w:p w:rsidR="0050667A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473D89" w:rsidRPr="00C70421">
        <w:rPr>
          <w:lang w:val="fr-FR"/>
        </w:rPr>
        <w:t>2 milliard</w:t>
      </w:r>
      <w:r w:rsidR="00504845" w:rsidRPr="00C70421">
        <w:rPr>
          <w:lang w:val="fr-FR"/>
        </w:rPr>
        <w:t>s de dollars dans le renouvellement</w:t>
      </w:r>
      <w:r w:rsidR="0050667A" w:rsidRPr="00C70421">
        <w:rPr>
          <w:lang w:val="fr-FR"/>
        </w:rPr>
        <w:t xml:space="preserve"> </w:t>
      </w:r>
      <w:r w:rsidR="00504845" w:rsidRPr="00C70421">
        <w:rPr>
          <w:lang w:val="fr-FR"/>
        </w:rPr>
        <w:t>et l</w:t>
      </w:r>
      <w:r w:rsidR="00473D89" w:rsidRPr="00C70421">
        <w:rPr>
          <w:lang w:val="fr-FR"/>
        </w:rPr>
        <w:t>’</w:t>
      </w:r>
      <w:r w:rsidR="00504845" w:rsidRPr="00C70421">
        <w:rPr>
          <w:lang w:val="fr-FR"/>
        </w:rPr>
        <w:t>expansion de 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 xml:space="preserve">infrastructure </w:t>
      </w:r>
      <w:r w:rsidR="00BE4D6D" w:rsidRPr="00C70421">
        <w:rPr>
          <w:lang w:val="fr-FR"/>
        </w:rPr>
        <w:t>des universités</w:t>
      </w:r>
      <w:r w:rsidR="00504845" w:rsidRPr="00C70421">
        <w:rPr>
          <w:lang w:val="fr-FR"/>
        </w:rPr>
        <w:t xml:space="preserve"> et campus universitaires du pays</w:t>
      </w:r>
      <w:r w:rsidR="00BE4D6D" w:rsidRPr="00C70421">
        <w:rPr>
          <w:lang w:val="fr-FR"/>
        </w:rPr>
        <w:t xml:space="preserve"> afin d</w:t>
      </w:r>
      <w:r w:rsidR="00473D89" w:rsidRPr="00C70421">
        <w:rPr>
          <w:lang w:val="fr-FR"/>
        </w:rPr>
        <w:t>’</w:t>
      </w:r>
      <w:r w:rsidR="00BE4D6D" w:rsidRPr="00C70421">
        <w:rPr>
          <w:lang w:val="fr-FR"/>
        </w:rPr>
        <w:t>encourager l</w:t>
      </w:r>
      <w:r w:rsidR="00473D89" w:rsidRPr="00C70421">
        <w:rPr>
          <w:lang w:val="fr-FR"/>
        </w:rPr>
        <w:t>’</w:t>
      </w:r>
      <w:r w:rsidR="00BE4D6D" w:rsidRPr="00C70421">
        <w:rPr>
          <w:lang w:val="fr-FR"/>
        </w:rPr>
        <w:t>excellence d</w:t>
      </w:r>
      <w:r w:rsidR="001E223C" w:rsidRPr="00C70421">
        <w:rPr>
          <w:lang w:val="fr-FR"/>
        </w:rPr>
        <w:t>e</w:t>
      </w:r>
      <w:r w:rsidR="00BE4D6D" w:rsidRPr="00C70421">
        <w:rPr>
          <w:lang w:val="fr-FR"/>
        </w:rPr>
        <w:t xml:space="preserve"> la recherch</w:t>
      </w:r>
      <w:r w:rsidR="001E223C" w:rsidRPr="00C70421">
        <w:rPr>
          <w:lang w:val="fr-FR"/>
        </w:rPr>
        <w:t>e</w:t>
      </w:r>
      <w:r w:rsidR="00BE4D6D" w:rsidRPr="00C70421">
        <w:rPr>
          <w:lang w:val="fr-FR"/>
        </w:rPr>
        <w:t xml:space="preserve"> et de permettre aux étudiants, professeurs et chercheurs de </w:t>
      </w:r>
      <w:r w:rsidR="001E223C" w:rsidRPr="00C70421">
        <w:rPr>
          <w:lang w:val="fr-FR"/>
        </w:rPr>
        <w:t>travailler étroitement</w:t>
      </w:r>
      <w:r w:rsidR="00BE4D6D" w:rsidRPr="00C70421">
        <w:rPr>
          <w:lang w:val="fr-FR"/>
        </w:rPr>
        <w:t xml:space="preserve"> avec les partenaires pour transformer leurs découvertes en produits et en servic</w:t>
      </w:r>
      <w:r w:rsidR="00C70421" w:rsidRPr="00C70421">
        <w:rPr>
          <w:lang w:val="fr-FR"/>
        </w:rPr>
        <w:t>es.  De</w:t>
      </w:r>
      <w:r w:rsidR="00BE4D6D" w:rsidRPr="00C70421">
        <w:rPr>
          <w:lang w:val="fr-FR"/>
        </w:rPr>
        <w:t xml:space="preserve"> cette </w:t>
      </w:r>
      <w:r w:rsidR="001E223C" w:rsidRPr="00C70421">
        <w:rPr>
          <w:lang w:val="fr-FR"/>
        </w:rPr>
        <w:t>manière</w:t>
      </w:r>
      <w:r w:rsidR="0050667A" w:rsidRPr="00C70421">
        <w:rPr>
          <w:lang w:val="fr-FR"/>
        </w:rPr>
        <w:t xml:space="preserve">, </w:t>
      </w:r>
      <w:r w:rsidR="00BE4D6D" w:rsidRPr="00C70421">
        <w:rPr>
          <w:lang w:val="fr-FR"/>
        </w:rPr>
        <w:t>ils se formeront aux futurs emplois</w:t>
      </w:r>
      <w:r w:rsidR="0050667A" w:rsidRPr="00C70421">
        <w:rPr>
          <w:lang w:val="fr-FR"/>
        </w:rPr>
        <w:t xml:space="preserve"> </w:t>
      </w:r>
      <w:r w:rsidR="00BE4D6D" w:rsidRPr="00C70421">
        <w:rPr>
          <w:lang w:val="fr-FR"/>
        </w:rPr>
        <w:t xml:space="preserve">de grande qualité de la </w:t>
      </w:r>
      <w:r w:rsidR="0050667A" w:rsidRPr="00C70421">
        <w:rPr>
          <w:lang w:val="fr-FR"/>
        </w:rPr>
        <w:t>class</w:t>
      </w:r>
      <w:r w:rsidR="00BE4D6D" w:rsidRPr="00C70421">
        <w:rPr>
          <w:lang w:val="fr-FR"/>
        </w:rPr>
        <w:t>e moyenne</w:t>
      </w:r>
      <w:r w:rsidR="0050667A" w:rsidRPr="00C70421">
        <w:rPr>
          <w:lang w:val="fr-FR"/>
        </w:rPr>
        <w:t>.</w:t>
      </w:r>
    </w:p>
    <w:p w:rsidR="0050667A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lastRenderedPageBreak/>
        <w:t>–</w:t>
      </w:r>
      <w:r w:rsidRPr="00C70421">
        <w:rPr>
          <w:lang w:val="fr-FR"/>
        </w:rPr>
        <w:tab/>
      </w:r>
      <w:r w:rsidR="00BE4D6D" w:rsidRPr="00C70421">
        <w:rPr>
          <w:lang w:val="fr-FR"/>
        </w:rPr>
        <w:t>Plus d</w:t>
      </w:r>
      <w:r w:rsidR="006922AF">
        <w:rPr>
          <w:lang w:val="fr-FR"/>
        </w:rPr>
        <w:t xml:space="preserve">e </w:t>
      </w:r>
      <w:r w:rsidR="00473D89" w:rsidRPr="00C70421">
        <w:rPr>
          <w:lang w:val="fr-FR"/>
        </w:rPr>
        <w:t>1 milliard</w:t>
      </w:r>
      <w:r w:rsidR="00BE4D6D" w:rsidRPr="00C70421">
        <w:rPr>
          <w:lang w:val="fr-FR"/>
        </w:rPr>
        <w:t xml:space="preserve"> de dollars pour soutenir le développement de “</w:t>
      </w:r>
      <w:r w:rsidR="0050667A" w:rsidRPr="00C70421">
        <w:rPr>
          <w:lang w:val="fr-FR"/>
        </w:rPr>
        <w:t>technologies</w:t>
      </w:r>
      <w:r w:rsidR="00BE4D6D" w:rsidRPr="00C70421">
        <w:rPr>
          <w:lang w:val="fr-FR"/>
        </w:rPr>
        <w:t xml:space="preserve"> p</w:t>
      </w:r>
      <w:r w:rsidR="00216F6E" w:rsidRPr="00C70421">
        <w:rPr>
          <w:lang w:val="fr-FR"/>
        </w:rPr>
        <w:t>r</w:t>
      </w:r>
      <w:r w:rsidR="00BE4D6D" w:rsidRPr="00C70421">
        <w:rPr>
          <w:lang w:val="fr-FR"/>
        </w:rPr>
        <w:t>opres</w:t>
      </w:r>
      <w:r w:rsidR="0050667A" w:rsidRPr="00C70421">
        <w:rPr>
          <w:lang w:val="fr-FR"/>
        </w:rPr>
        <w:t xml:space="preserve">” </w:t>
      </w:r>
      <w:r w:rsidR="00BE4D6D" w:rsidRPr="00C70421">
        <w:rPr>
          <w:lang w:val="fr-FR"/>
        </w:rPr>
        <w:t xml:space="preserve">moins polluantes et </w:t>
      </w:r>
      <w:r w:rsidR="00216F6E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216F6E" w:rsidRPr="00C70421">
        <w:rPr>
          <w:lang w:val="fr-FR"/>
        </w:rPr>
        <w:t>une plus grande efficacité énergétique</w:t>
      </w:r>
      <w:r w:rsidR="0050667A" w:rsidRPr="00C70421">
        <w:rPr>
          <w:lang w:val="fr-FR"/>
        </w:rPr>
        <w:t>.</w:t>
      </w:r>
    </w:p>
    <w:p w:rsidR="0050667A" w:rsidRPr="00C70421" w:rsidRDefault="006A6C1D" w:rsidP="00E93C4E">
      <w:pPr>
        <w:ind w:left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50667A" w:rsidRPr="00C70421">
        <w:rPr>
          <w:lang w:val="fr-FR"/>
        </w:rPr>
        <w:t>80</w:t>
      </w:r>
      <w:r w:rsidR="00473D89" w:rsidRPr="00C70421">
        <w:rPr>
          <w:lang w:val="fr-FR"/>
        </w:rPr>
        <w:t>0 million</w:t>
      </w:r>
      <w:r w:rsidR="00216F6E" w:rsidRPr="00C70421">
        <w:rPr>
          <w:lang w:val="fr-FR"/>
        </w:rPr>
        <w:t>s de dollars sur quatre</w:t>
      </w:r>
      <w:r w:rsidR="00373B66" w:rsidRPr="00C70421">
        <w:rPr>
          <w:lang w:val="fr-FR"/>
        </w:rPr>
        <w:t> </w:t>
      </w:r>
      <w:r w:rsidR="00216F6E" w:rsidRPr="00C70421">
        <w:rPr>
          <w:lang w:val="fr-FR"/>
        </w:rPr>
        <w:t xml:space="preserve">ans </w:t>
      </w:r>
      <w:r w:rsidR="001E223C" w:rsidRPr="00C70421">
        <w:rPr>
          <w:lang w:val="fr-FR"/>
        </w:rPr>
        <w:t>destinés à</w:t>
      </w:r>
      <w:r w:rsidR="00216F6E" w:rsidRPr="00C70421">
        <w:rPr>
          <w:lang w:val="fr-FR"/>
        </w:rPr>
        <w:t xml:space="preserve"> renforcer les réseaux et groupements d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innovati</w:t>
      </w:r>
      <w:r w:rsidR="00C70421" w:rsidRPr="00C70421">
        <w:rPr>
          <w:lang w:val="fr-FR"/>
        </w:rPr>
        <w:t>on.  Ce</w:t>
      </w:r>
      <w:r w:rsidR="00216F6E" w:rsidRPr="00C70421">
        <w:rPr>
          <w:lang w:val="fr-FR"/>
        </w:rPr>
        <w:t>s</w:t>
      </w:r>
      <w:r w:rsidR="0050667A" w:rsidRPr="00C70421">
        <w:rPr>
          <w:lang w:val="fr-FR"/>
        </w:rPr>
        <w:t xml:space="preserve"> invest</w:t>
      </w:r>
      <w:r w:rsidR="00216F6E" w:rsidRPr="00C70421">
        <w:rPr>
          <w:lang w:val="fr-FR"/>
        </w:rPr>
        <w:t>isse</w:t>
      </w:r>
      <w:r w:rsidR="0050667A" w:rsidRPr="00C70421">
        <w:rPr>
          <w:lang w:val="fr-FR"/>
        </w:rPr>
        <w:t xml:space="preserve">ments </w:t>
      </w:r>
      <w:r w:rsidR="00216F6E" w:rsidRPr="00C70421">
        <w:rPr>
          <w:lang w:val="fr-FR"/>
        </w:rPr>
        <w:t>ont pour objectif de dynamiser le secteur privé</w:t>
      </w:r>
      <w:r w:rsidR="0050667A" w:rsidRPr="00C70421">
        <w:rPr>
          <w:lang w:val="fr-FR"/>
        </w:rPr>
        <w:t xml:space="preserve">, </w:t>
      </w:r>
      <w:r w:rsidR="00216F6E" w:rsidRPr="00C70421">
        <w:rPr>
          <w:lang w:val="fr-FR"/>
        </w:rPr>
        <w:t xml:space="preserve">de rassembler un nombre important de parties prenantes et de relier leurs idées </w:t>
      </w:r>
      <w:r w:rsidR="0091055C" w:rsidRPr="00C70421">
        <w:rPr>
          <w:lang w:val="fr-FR"/>
        </w:rPr>
        <w:t xml:space="preserve">pour répondre </w:t>
      </w:r>
      <w:r w:rsidR="00216F6E" w:rsidRPr="00C70421">
        <w:rPr>
          <w:lang w:val="fr-FR"/>
        </w:rPr>
        <w:t>aux</w:t>
      </w:r>
      <w:r w:rsidR="0050667A" w:rsidRPr="00C70421">
        <w:rPr>
          <w:lang w:val="fr-FR"/>
        </w:rPr>
        <w:t xml:space="preserve"> </w:t>
      </w:r>
      <w:r w:rsidR="00216F6E" w:rsidRPr="00C70421">
        <w:rPr>
          <w:lang w:val="fr-FR"/>
        </w:rPr>
        <w:t>besoins du marché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lang w:val="fr-FR"/>
        </w:rPr>
        <w:tab/>
      </w: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hyperlink r:id="rId50" w:history="1">
        <w:r w:rsidRPr="00C70421">
          <w:rPr>
            <w:rStyle w:val="Hyperlink"/>
            <w:i/>
            <w:lang w:val="fr-FR"/>
          </w:rPr>
          <w:t>Innovation, Science</w:t>
        </w:r>
        <w:r w:rsidR="00216F6E" w:rsidRPr="00C70421">
          <w:rPr>
            <w:rStyle w:val="Hyperlink"/>
            <w:i/>
            <w:lang w:val="fr-FR"/>
          </w:rPr>
          <w:t>s</w:t>
        </w:r>
        <w:r w:rsidRPr="00C70421">
          <w:rPr>
            <w:rStyle w:val="Hyperlink"/>
            <w:i/>
            <w:lang w:val="fr-FR"/>
          </w:rPr>
          <w:t xml:space="preserve"> </w:t>
        </w:r>
        <w:r w:rsidR="00216F6E" w:rsidRPr="00C70421">
          <w:rPr>
            <w:rStyle w:val="Hyperlink"/>
            <w:i/>
            <w:lang w:val="fr-FR"/>
          </w:rPr>
          <w:t>et Dé</w:t>
        </w:r>
        <w:r w:rsidRPr="00C70421">
          <w:rPr>
            <w:rStyle w:val="Hyperlink"/>
            <w:i/>
            <w:lang w:val="fr-FR"/>
          </w:rPr>
          <w:t>velop</w:t>
        </w:r>
        <w:r w:rsidR="00216F6E" w:rsidRPr="00C70421">
          <w:rPr>
            <w:rStyle w:val="Hyperlink"/>
            <w:i/>
            <w:lang w:val="fr-FR"/>
          </w:rPr>
          <w:t>pe</w:t>
        </w:r>
        <w:r w:rsidRPr="00C70421">
          <w:rPr>
            <w:rStyle w:val="Hyperlink"/>
            <w:i/>
            <w:lang w:val="fr-FR"/>
          </w:rPr>
          <w:t>ment</w:t>
        </w:r>
        <w:r w:rsidR="00216F6E" w:rsidRPr="00C70421">
          <w:rPr>
            <w:rStyle w:val="Hyperlink"/>
            <w:i/>
            <w:lang w:val="fr-FR"/>
          </w:rPr>
          <w:t xml:space="preserve"> économique</w:t>
        </w:r>
        <w:r w:rsidRPr="00C70421">
          <w:rPr>
            <w:rStyle w:val="Hyperlink"/>
            <w:i/>
            <w:lang w:val="fr-FR"/>
          </w:rPr>
          <w:t xml:space="preserve"> Canada</w:t>
        </w:r>
      </w:hyperlink>
    </w:p>
    <w:p w:rsidR="0050667A" w:rsidRPr="00C70421" w:rsidRDefault="00114AC9" w:rsidP="00E93C4E">
      <w:pPr>
        <w:pStyle w:val="SectionHeading"/>
        <w:rPr>
          <w:lang w:val="fr-FR"/>
        </w:rPr>
      </w:pPr>
      <w:r w:rsidRPr="00C70421">
        <w:rPr>
          <w:lang w:val="fr-FR"/>
        </w:rPr>
        <w:t>6 – Profil des demandes de brevet</w:t>
      </w:r>
    </w:p>
    <w:p w:rsidR="0050667A" w:rsidRPr="00C70421" w:rsidRDefault="002F7810" w:rsidP="00E93C4E">
      <w:pPr>
        <w:pStyle w:val="Subsection"/>
        <w:rPr>
          <w:lang w:val="fr-FR"/>
        </w:rPr>
      </w:pPr>
      <w:r w:rsidRPr="00C70421">
        <w:rPr>
          <w:lang w:val="fr-FR"/>
        </w:rPr>
        <w:t>Nombre de demandes</w:t>
      </w:r>
      <w:r w:rsidR="0050667A" w:rsidRPr="00C70421">
        <w:rPr>
          <w:lang w:val="fr-FR"/>
        </w:rPr>
        <w:t xml:space="preserve"> international</w:t>
      </w:r>
      <w:r w:rsidRPr="00C70421">
        <w:rPr>
          <w:lang w:val="fr-FR"/>
        </w:rPr>
        <w:t xml:space="preserve">es reçues </w:t>
      </w:r>
      <w:r w:rsidRPr="00C70421">
        <w:rPr>
          <w:bCs/>
          <w:szCs w:val="22"/>
          <w:lang w:val="fr-FR"/>
        </w:rPr>
        <w:t>en tant qu</w:t>
      </w:r>
      <w:r w:rsidR="00473D89" w:rsidRPr="00C70421">
        <w:rPr>
          <w:bCs/>
          <w:szCs w:val="22"/>
          <w:lang w:val="fr-FR"/>
        </w:rPr>
        <w:t>’</w:t>
      </w:r>
      <w:r w:rsidRPr="00C70421">
        <w:rPr>
          <w:bCs/>
          <w:szCs w:val="22"/>
          <w:lang w:val="fr-FR"/>
        </w:rPr>
        <w:t>office récepteur</w:t>
      </w:r>
    </w:p>
    <w:p w:rsidR="0050667A" w:rsidRPr="00C70421" w:rsidRDefault="004B29D8" w:rsidP="00E93C4E">
      <w:pPr>
        <w:rPr>
          <w:i/>
          <w:lang w:val="fr-FR"/>
        </w:rPr>
      </w:pPr>
      <w:r w:rsidRPr="00C70421">
        <w:rPr>
          <w:i/>
          <w:lang w:val="fr-FR"/>
        </w:rPr>
        <w:t>Ces chiffres proviennent de la base de données</w:t>
      </w:r>
      <w:r w:rsidR="0050667A" w:rsidRPr="00C70421">
        <w:rPr>
          <w:i/>
          <w:lang w:val="fr-FR"/>
        </w:rPr>
        <w:t xml:space="preserve"> </w:t>
      </w:r>
      <w:proofErr w:type="spellStart"/>
      <w:r w:rsidR="0050667A" w:rsidRPr="00C70421">
        <w:rPr>
          <w:i/>
          <w:lang w:val="fr-FR"/>
        </w:rPr>
        <w:t>InterApp</w:t>
      </w:r>
      <w:proofErr w:type="spellEnd"/>
      <w:r w:rsidR="0050667A" w:rsidRPr="00C70421">
        <w:rPr>
          <w:i/>
          <w:lang w:val="fr-FR"/>
        </w:rPr>
        <w:t xml:space="preserve"> </w:t>
      </w:r>
      <w:r w:rsidR="001E7BFB" w:rsidRPr="00C70421">
        <w:rPr>
          <w:i/>
          <w:lang w:val="fr-FR"/>
        </w:rPr>
        <w:t>interne de l</w:t>
      </w:r>
      <w:r w:rsidR="00473D89" w:rsidRPr="00C70421">
        <w:rPr>
          <w:i/>
          <w:lang w:val="fr-FR"/>
        </w:rPr>
        <w:t>’</w:t>
      </w:r>
      <w:r w:rsidR="001E7BFB" w:rsidRPr="00C70421">
        <w:rPr>
          <w:i/>
          <w:lang w:val="fr-FR"/>
        </w:rPr>
        <w:t xml:space="preserve">OPIC </w:t>
      </w:r>
      <w:r w:rsidR="00251D3C" w:rsidRPr="00C70421">
        <w:rPr>
          <w:i/>
          <w:lang w:val="fr-FR"/>
        </w:rPr>
        <w:t xml:space="preserve">et </w:t>
      </w:r>
      <w:r w:rsidR="001E223C" w:rsidRPr="00C70421">
        <w:rPr>
          <w:i/>
          <w:lang w:val="fr-FR"/>
        </w:rPr>
        <w:t>reposent sur la lettre de la</w:t>
      </w:r>
      <w:r w:rsidR="0050667A" w:rsidRPr="00C70421">
        <w:rPr>
          <w:i/>
          <w:lang w:val="fr-FR"/>
        </w:rPr>
        <w:t xml:space="preserve"> </w:t>
      </w:r>
      <w:r w:rsidR="00001599">
        <w:rPr>
          <w:i/>
          <w:lang w:val="fr-FR"/>
        </w:rPr>
        <w:t>c</w:t>
      </w:r>
      <w:r w:rsidR="00D05F7E" w:rsidRPr="00C70421">
        <w:rPr>
          <w:i/>
          <w:lang w:val="fr-FR"/>
        </w:rPr>
        <w:t>lassification i</w:t>
      </w:r>
      <w:r w:rsidR="0050667A" w:rsidRPr="00C70421">
        <w:rPr>
          <w:i/>
          <w:lang w:val="fr-FR"/>
        </w:rPr>
        <w:t>nternational</w:t>
      </w:r>
      <w:r w:rsidR="003F14CF" w:rsidRPr="00C70421">
        <w:rPr>
          <w:i/>
          <w:lang w:val="fr-FR"/>
        </w:rPr>
        <w:t>e</w:t>
      </w:r>
      <w:r w:rsidR="0050667A" w:rsidRPr="00C70421">
        <w:rPr>
          <w:i/>
          <w:lang w:val="fr-FR"/>
        </w:rPr>
        <w:t xml:space="preserve"> </w:t>
      </w:r>
      <w:r w:rsidR="00D05F7E" w:rsidRPr="00C70421">
        <w:rPr>
          <w:i/>
          <w:lang w:val="fr-FR"/>
        </w:rPr>
        <w:t>des brevets</w:t>
      </w:r>
      <w:r w:rsidR="003F14CF" w:rsidRPr="00C70421">
        <w:rPr>
          <w:i/>
          <w:lang w:val="fr-FR"/>
        </w:rPr>
        <w:t xml:space="preserve"> attribuée à une demande dont le sous</w:t>
      </w:r>
      <w:r w:rsidR="00001599">
        <w:rPr>
          <w:i/>
          <w:lang w:val="fr-FR"/>
        </w:rPr>
        <w:noBreakHyphen/>
      </w:r>
      <w:r w:rsidR="003F14CF" w:rsidRPr="00C70421">
        <w:rPr>
          <w:i/>
          <w:lang w:val="fr-FR"/>
        </w:rPr>
        <w:t>groupe est examiné par la Division chargée de l</w:t>
      </w:r>
      <w:r w:rsidR="00473D89" w:rsidRPr="00C70421">
        <w:rPr>
          <w:i/>
          <w:lang w:val="fr-FR"/>
        </w:rPr>
        <w:t>’</w:t>
      </w:r>
      <w:r w:rsidR="003F14CF" w:rsidRPr="00C70421">
        <w:rPr>
          <w:i/>
          <w:lang w:val="fr-FR"/>
        </w:rPr>
        <w:t>examen au sein de l</w:t>
      </w:r>
      <w:r w:rsidR="00473D89" w:rsidRPr="00C70421">
        <w:rPr>
          <w:i/>
          <w:lang w:val="fr-FR"/>
        </w:rPr>
        <w:t>’</w:t>
      </w:r>
      <w:r w:rsidR="003F14CF" w:rsidRPr="00C70421">
        <w:rPr>
          <w:i/>
          <w:lang w:val="fr-FR"/>
        </w:rPr>
        <w:t>OPIC</w:t>
      </w:r>
      <w:r w:rsidR="0050667A" w:rsidRPr="00C70421">
        <w:rPr>
          <w:i/>
          <w:lang w:val="fr-FR"/>
        </w:rPr>
        <w:t>.</w:t>
      </w:r>
    </w:p>
    <w:p w:rsidR="0050667A" w:rsidRPr="00C70421" w:rsidRDefault="0050667A" w:rsidP="00E93C4E">
      <w:pPr>
        <w:rPr>
          <w:rFonts w:ascii="Century Gothic" w:hAnsi="Century Gothic"/>
          <w:sz w:val="20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0667A" w:rsidRPr="00C70421" w:rsidTr="0050667A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5063C" w:rsidRDefault="0085063C" w:rsidP="00E93C4E">
            <w:pPr>
              <w:jc w:val="right"/>
              <w:rPr>
                <w:b/>
                <w:lang w:val="fr-FR"/>
              </w:rPr>
            </w:pPr>
          </w:p>
          <w:p w:rsidR="0050667A" w:rsidRPr="00C70421" w:rsidRDefault="0085063C" w:rsidP="00E93C4E">
            <w:pPr>
              <w:jc w:val="right"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Année</w:t>
            </w:r>
          </w:p>
          <w:p w:rsidR="0050667A" w:rsidRPr="00C70421" w:rsidRDefault="0085063C" w:rsidP="00E93C4E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Domaine</w:t>
            </w:r>
            <w:r>
              <w:rPr>
                <w:b/>
                <w:lang w:val="fr-FR"/>
              </w:rPr>
              <w:br/>
            </w:r>
            <w:r w:rsidR="002F7810" w:rsidRPr="00C70421">
              <w:rPr>
                <w:b/>
                <w:lang w:val="fr-FR"/>
              </w:rPr>
              <w:t>technique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2011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2015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2016</w:t>
            </w:r>
          </w:p>
        </w:tc>
      </w:tr>
      <w:tr w:rsidR="0050667A" w:rsidRPr="00F46AD3" w:rsidTr="0050667A">
        <w:trPr>
          <w:cantSplit/>
        </w:trPr>
        <w:tc>
          <w:tcPr>
            <w:tcW w:w="9322" w:type="dxa"/>
            <w:gridSpan w:val="6"/>
            <w:shd w:val="clear" w:color="auto" w:fill="auto"/>
            <w:vAlign w:val="center"/>
          </w:tcPr>
          <w:p w:rsidR="0050667A" w:rsidRPr="00C70421" w:rsidRDefault="003F14CF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Demandes i</w:t>
            </w:r>
            <w:r w:rsidR="0050667A" w:rsidRPr="00C70421">
              <w:rPr>
                <w:lang w:val="fr-FR"/>
              </w:rPr>
              <w:t>nternational</w:t>
            </w:r>
            <w:r w:rsidRPr="00C70421">
              <w:rPr>
                <w:lang w:val="fr-FR"/>
              </w:rPr>
              <w:t>es</w:t>
            </w:r>
            <w:r w:rsidR="001E7BFB" w:rsidRPr="00C70421">
              <w:rPr>
                <w:lang w:val="fr-FR"/>
              </w:rPr>
              <w:t xml:space="preserve"> selon le</w:t>
            </w:r>
            <w:r w:rsidR="0050667A" w:rsidRPr="00C70421">
              <w:rPr>
                <w:lang w:val="fr-FR"/>
              </w:rPr>
              <w:t xml:space="preserve"> </w:t>
            </w:r>
            <w:r w:rsidR="00473D89" w:rsidRPr="00C70421">
              <w:rPr>
                <w:lang w:val="fr-FR"/>
              </w:rPr>
              <w:t>chapitre I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Mécanique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694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739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790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36488B" w:rsidP="00E93C4E">
            <w:pPr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50667A" w:rsidRPr="00C70421">
              <w:rPr>
                <w:lang w:val="fr-FR"/>
              </w:rPr>
              <w:t>lectri</w:t>
            </w:r>
            <w:r w:rsidR="00B96599" w:rsidRPr="00C70421">
              <w:rPr>
                <w:lang w:val="fr-FR"/>
              </w:rPr>
              <w:t>cité</w:t>
            </w:r>
            <w:r w:rsidR="002F7810" w:rsidRPr="00C70421">
              <w:rPr>
                <w:lang w:val="fr-FR"/>
              </w:rPr>
              <w:t>/électronique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833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738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582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Ch</w:t>
            </w:r>
            <w:r w:rsidR="002F7810" w:rsidRPr="00C70421">
              <w:rPr>
                <w:lang w:val="fr-FR"/>
              </w:rPr>
              <w:t>imie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50667A" w:rsidRPr="00C70421">
              <w:rPr>
                <w:lang w:val="fr-FR"/>
              </w:rPr>
              <w:t>Ch</w:t>
            </w:r>
            <w:r w:rsidRPr="00C70421">
              <w:rPr>
                <w:lang w:val="fr-FR"/>
              </w:rPr>
              <w:t>imie générale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224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275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222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   Chimie organique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183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188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Biotech</w:t>
            </w:r>
            <w:r w:rsidR="00E023B5" w:rsidRPr="00C70421">
              <w:rPr>
                <w:lang w:val="fr-FR"/>
              </w:rPr>
              <w:t>nologie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153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139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145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148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159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1E7BFB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Non attribué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82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49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13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2 </w:t>
            </w:r>
            <w:r w:rsidR="0050667A" w:rsidRPr="00C70421">
              <w:rPr>
                <w:i/>
                <w:lang w:val="fr-FR"/>
              </w:rPr>
              <w:t>137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2 </w:t>
            </w:r>
            <w:r w:rsidR="0050667A" w:rsidRPr="00C70421">
              <w:rPr>
                <w:i/>
                <w:lang w:val="fr-FR"/>
              </w:rPr>
              <w:t>178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</w:t>
            </w:r>
            <w:r w:rsidR="00B96599" w:rsidRPr="00C70421">
              <w:rPr>
                <w:i/>
                <w:lang w:val="fr-FR"/>
              </w:rPr>
              <w:t> </w:t>
            </w:r>
            <w:r w:rsidRPr="00C70421">
              <w:rPr>
                <w:i/>
                <w:lang w:val="fr-FR"/>
              </w:rPr>
              <w:t>151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1</w:t>
            </w:r>
            <w:r w:rsidR="00B96599" w:rsidRPr="00C70421">
              <w:rPr>
                <w:i/>
                <w:lang w:val="fr-FR"/>
              </w:rPr>
              <w:t> </w:t>
            </w:r>
            <w:r w:rsidRPr="00C70421">
              <w:rPr>
                <w:i/>
                <w:lang w:val="fr-FR"/>
              </w:rPr>
              <w:t>991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1 </w:t>
            </w:r>
            <w:r w:rsidR="0050667A" w:rsidRPr="00C70421">
              <w:rPr>
                <w:i/>
                <w:lang w:val="fr-FR"/>
              </w:rPr>
              <w:t>954</w:t>
            </w:r>
          </w:p>
        </w:tc>
      </w:tr>
      <w:tr w:rsidR="0050667A" w:rsidRPr="00C70421" w:rsidTr="0050667A">
        <w:trPr>
          <w:cantSplit/>
        </w:trPr>
        <w:tc>
          <w:tcPr>
            <w:tcW w:w="9322" w:type="dxa"/>
            <w:gridSpan w:val="6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  <w:tr w:rsidR="0050667A" w:rsidRPr="00F46AD3" w:rsidTr="0050667A">
        <w:trPr>
          <w:cantSplit/>
        </w:trPr>
        <w:tc>
          <w:tcPr>
            <w:tcW w:w="9322" w:type="dxa"/>
            <w:gridSpan w:val="6"/>
            <w:shd w:val="clear" w:color="auto" w:fill="auto"/>
          </w:tcPr>
          <w:p w:rsidR="0050667A" w:rsidRPr="00C70421" w:rsidRDefault="009B33A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Demandes internationales</w:t>
            </w:r>
            <w:r w:rsidR="001E7BFB" w:rsidRPr="00C70421">
              <w:rPr>
                <w:lang w:val="fr-FR"/>
              </w:rPr>
              <w:t xml:space="preserve"> selon le</w:t>
            </w:r>
            <w:r w:rsidR="0050667A" w:rsidRPr="00C70421">
              <w:rPr>
                <w:lang w:val="fr-FR"/>
              </w:rPr>
              <w:t xml:space="preserve"> </w:t>
            </w:r>
            <w:r w:rsidR="00473D89" w:rsidRPr="00C70421">
              <w:rPr>
                <w:lang w:val="fr-FR"/>
              </w:rPr>
              <w:t>chapitre I</w:t>
            </w:r>
            <w:r w:rsidR="0050667A" w:rsidRPr="00C70421">
              <w:rPr>
                <w:lang w:val="fr-FR"/>
              </w:rPr>
              <w:t>I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 xml:space="preserve">Total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258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270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257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268</w:t>
            </w:r>
          </w:p>
        </w:tc>
        <w:tc>
          <w:tcPr>
            <w:tcW w:w="1361" w:type="dxa"/>
            <w:shd w:val="clear" w:color="auto" w:fill="auto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278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1E7BFB" w:rsidP="00E93C4E">
      <w:pPr>
        <w:pStyle w:val="Subsection"/>
        <w:rPr>
          <w:lang w:val="fr-FR"/>
        </w:rPr>
      </w:pPr>
      <w:r w:rsidRPr="00C70421">
        <w:rPr>
          <w:lang w:val="fr-FR"/>
        </w:rPr>
        <w:t>Délais de transmission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des rapports de recherche internationale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et des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rapports préliminaires internationaux sur la brevetabilité</w:t>
      </w:r>
      <w:r w:rsidR="0050667A" w:rsidRPr="00C70421">
        <w:rPr>
          <w:lang w:val="fr-FR"/>
        </w:rPr>
        <w:t xml:space="preserve"> (</w:t>
      </w:r>
      <w:r w:rsidRPr="00C70421">
        <w:rPr>
          <w:lang w:val="fr-FR"/>
        </w:rPr>
        <w:t>pourcentage des rapports transmis dans les délais selon les règles</w:t>
      </w:r>
      <w:r w:rsidR="00530D24" w:rsidRPr="00C70421">
        <w:rPr>
          <w:lang w:val="fr-FR"/>
        </w:rPr>
        <w:t> </w:t>
      </w:r>
      <w:r w:rsidR="0050667A" w:rsidRPr="00C70421">
        <w:rPr>
          <w:lang w:val="fr-FR"/>
        </w:rPr>
        <w:t>42.1</w:t>
      </w:r>
      <w:r w:rsidR="00530D24" w:rsidRPr="00C70421">
        <w:rPr>
          <w:lang w:val="fr-FR"/>
        </w:rPr>
        <w:t xml:space="preserve"> </w:t>
      </w:r>
      <w:r w:rsidRPr="00C70421">
        <w:rPr>
          <w:lang w:val="fr-FR"/>
        </w:rPr>
        <w:t>et</w:t>
      </w:r>
      <w:r w:rsidR="0050667A" w:rsidRPr="00C70421">
        <w:rPr>
          <w:lang w:val="fr-FR"/>
        </w:rPr>
        <w:t xml:space="preserve"> 69.2</w:t>
      </w:r>
      <w:r w:rsidRPr="00C70421">
        <w:rPr>
          <w:lang w:val="fr-FR"/>
        </w:rPr>
        <w:t xml:space="preserve"> respectivement</w:t>
      </w:r>
      <w:r w:rsidR="0050667A" w:rsidRPr="00C70421">
        <w:rPr>
          <w:lang w:val="fr-FR"/>
        </w:rPr>
        <w:t>)</w:t>
      </w:r>
    </w:p>
    <w:p w:rsidR="0050667A" w:rsidRPr="00C70421" w:rsidRDefault="001E7BFB" w:rsidP="00E93C4E">
      <w:pPr>
        <w:rPr>
          <w:i/>
          <w:lang w:val="fr-FR"/>
        </w:rPr>
      </w:pPr>
      <w:r w:rsidRPr="00C70421">
        <w:rPr>
          <w:i/>
          <w:lang w:val="fr-FR"/>
        </w:rPr>
        <w:t xml:space="preserve">Les données proviennent de la base de données </w:t>
      </w:r>
      <w:proofErr w:type="spellStart"/>
      <w:r w:rsidR="0050667A" w:rsidRPr="00C70421">
        <w:rPr>
          <w:i/>
          <w:lang w:val="fr-FR"/>
        </w:rPr>
        <w:t>InterApp</w:t>
      </w:r>
      <w:proofErr w:type="spellEnd"/>
      <w:r w:rsidR="0050667A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>interne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OPIC</w:t>
      </w:r>
      <w:r w:rsidR="0050667A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>et diffèrent des statistiques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OMPI en raison des</w:t>
      </w:r>
      <w:r w:rsidR="00113E32" w:rsidRPr="00C70421">
        <w:rPr>
          <w:i/>
          <w:lang w:val="fr-FR"/>
        </w:rPr>
        <w:t xml:space="preserve"> différents</w:t>
      </w:r>
      <w:r w:rsidRPr="00C70421">
        <w:rPr>
          <w:i/>
          <w:lang w:val="fr-FR"/>
        </w:rPr>
        <w:t xml:space="preserve"> fuseaux horaires et de la routine d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exportation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OPIC</w:t>
      </w:r>
      <w:r w:rsidR="0050667A" w:rsidRPr="00C70421">
        <w:rPr>
          <w:i/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0667A" w:rsidRPr="00C70421" w:rsidTr="0050667A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50667A" w:rsidRPr="00C70421" w:rsidRDefault="0085063C" w:rsidP="00E93C4E">
            <w:pPr>
              <w:jc w:val="right"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Année</w:t>
            </w:r>
          </w:p>
          <w:p w:rsidR="0050667A" w:rsidRPr="00C70421" w:rsidRDefault="00113E32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 xml:space="preserve">Type de </w:t>
            </w:r>
            <w:r w:rsidR="0085063C">
              <w:rPr>
                <w:b/>
                <w:lang w:val="fr-FR"/>
              </w:rPr>
              <w:br/>
            </w:r>
            <w:r w:rsidRPr="00C70421">
              <w:rPr>
                <w:b/>
                <w:lang w:val="fr-FR"/>
              </w:rPr>
              <w:t>rapport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2016</w:t>
            </w:r>
          </w:p>
        </w:tc>
      </w:tr>
      <w:tr w:rsidR="0050667A" w:rsidRPr="00F46AD3" w:rsidTr="0050667A">
        <w:trPr>
          <w:cantSplit/>
        </w:trPr>
        <w:tc>
          <w:tcPr>
            <w:tcW w:w="9322" w:type="dxa"/>
            <w:gridSpan w:val="6"/>
            <w:shd w:val="clear" w:color="auto" w:fill="auto"/>
            <w:vAlign w:val="center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Rapports de recherche internationale et</w:t>
            </w:r>
            <w:r w:rsidR="0050667A" w:rsidRPr="00C70421">
              <w:rPr>
                <w:lang w:val="fr-FR"/>
              </w:rPr>
              <w:t xml:space="preserve"> </w:t>
            </w:r>
            <w:r w:rsidRPr="00C70421">
              <w:rPr>
                <w:lang w:val="fr-FR"/>
              </w:rPr>
              <w:t>opinions écrites</w:t>
            </w:r>
          </w:p>
        </w:tc>
      </w:tr>
      <w:tr w:rsidR="0050667A" w:rsidRPr="00C70421" w:rsidTr="0050667A">
        <w:trPr>
          <w:cantSplit/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92%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96%</w:t>
            </w:r>
          </w:p>
        </w:tc>
      </w:tr>
      <w:tr w:rsidR="0050667A" w:rsidRPr="00C70421" w:rsidTr="0050667A">
        <w:trPr>
          <w:cantSplit/>
        </w:trPr>
        <w:tc>
          <w:tcPr>
            <w:tcW w:w="9322" w:type="dxa"/>
            <w:gridSpan w:val="6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  <w:tr w:rsidR="0050667A" w:rsidRPr="00F46AD3" w:rsidTr="0050667A">
        <w:trPr>
          <w:cantSplit/>
        </w:trPr>
        <w:tc>
          <w:tcPr>
            <w:tcW w:w="9322" w:type="dxa"/>
            <w:gridSpan w:val="6"/>
            <w:shd w:val="clear" w:color="auto" w:fill="auto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Rapports préliminaires internationaux sur la brevetabilité</w:t>
            </w:r>
          </w:p>
        </w:tc>
      </w:tr>
      <w:tr w:rsidR="0050667A" w:rsidRPr="00C70421" w:rsidTr="0050667A">
        <w:trPr>
          <w:cantSplit/>
          <w:trHeight w:val="386"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95%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94%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98%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2F7810" w:rsidP="00E93C4E">
      <w:pPr>
        <w:pStyle w:val="Subsection"/>
        <w:rPr>
          <w:lang w:val="fr-FR"/>
        </w:rPr>
      </w:pPr>
      <w:r w:rsidRPr="00C70421">
        <w:rPr>
          <w:bCs/>
          <w:szCs w:val="22"/>
          <w:lang w:val="fr-FR"/>
        </w:rPr>
        <w:lastRenderedPageBreak/>
        <w:t>Nombre de demandes nationales reçues – par domaine technique</w:t>
      </w:r>
    </w:p>
    <w:p w:rsidR="0050667A" w:rsidRPr="00C70421" w:rsidRDefault="00113E32" w:rsidP="00E93C4E">
      <w:pPr>
        <w:keepNext/>
        <w:keepLines/>
        <w:rPr>
          <w:i/>
          <w:lang w:val="fr-FR"/>
        </w:rPr>
      </w:pPr>
      <w:r w:rsidRPr="00C70421">
        <w:rPr>
          <w:i/>
          <w:lang w:val="fr-FR"/>
        </w:rPr>
        <w:t>Ces chiffres proviennent de la base de données</w:t>
      </w:r>
      <w:r w:rsidR="00643433" w:rsidRPr="00C70421">
        <w:rPr>
          <w:i/>
          <w:lang w:val="fr-FR"/>
        </w:rPr>
        <w:t xml:space="preserve"> </w:t>
      </w:r>
      <w:proofErr w:type="spellStart"/>
      <w:r w:rsidR="00643433" w:rsidRPr="00C70421">
        <w:rPr>
          <w:i/>
          <w:lang w:val="fr-FR"/>
        </w:rPr>
        <w:t>TechSource</w:t>
      </w:r>
      <w:proofErr w:type="spellEnd"/>
      <w:r w:rsidRPr="00C70421">
        <w:rPr>
          <w:i/>
          <w:lang w:val="fr-FR"/>
        </w:rPr>
        <w:t xml:space="preserve"> interne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OPIC et reposent sur la</w:t>
      </w:r>
      <w:r w:rsidR="00643433" w:rsidRPr="00C70421">
        <w:rPr>
          <w:i/>
          <w:lang w:val="fr-FR"/>
        </w:rPr>
        <w:t xml:space="preserve"> lettre de la</w:t>
      </w:r>
      <w:r w:rsidRPr="00C70421">
        <w:rPr>
          <w:i/>
          <w:lang w:val="fr-FR"/>
        </w:rPr>
        <w:t xml:space="preserve"> </w:t>
      </w:r>
      <w:r w:rsidR="00001599">
        <w:rPr>
          <w:i/>
          <w:lang w:val="fr-FR"/>
        </w:rPr>
        <w:t>c</w:t>
      </w:r>
      <w:r w:rsidRPr="00C70421">
        <w:rPr>
          <w:i/>
          <w:lang w:val="fr-FR"/>
        </w:rPr>
        <w:t>lassification internationale des brevets attribuée à une demande dont le sous</w:t>
      </w:r>
      <w:r w:rsidR="00001599">
        <w:rPr>
          <w:i/>
          <w:lang w:val="fr-FR"/>
        </w:rPr>
        <w:noBreakHyphen/>
      </w:r>
      <w:r w:rsidRPr="00C70421">
        <w:rPr>
          <w:i/>
          <w:lang w:val="fr-FR"/>
        </w:rPr>
        <w:t>groupe est examiné par la Division chargée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examen au sein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OPIC</w:t>
      </w:r>
      <w:r w:rsidR="0050667A" w:rsidRPr="00C70421">
        <w:rPr>
          <w:i/>
          <w:lang w:val="fr-FR"/>
        </w:rPr>
        <w:t>.</w:t>
      </w:r>
    </w:p>
    <w:p w:rsidR="0050667A" w:rsidRPr="00C70421" w:rsidRDefault="0050667A" w:rsidP="00E93C4E">
      <w:pPr>
        <w:keepNext/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0667A" w:rsidRPr="00C70421" w:rsidTr="0050667A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50667A" w:rsidRPr="00C70421" w:rsidRDefault="0085063C" w:rsidP="00E93C4E">
            <w:pPr>
              <w:keepNext/>
              <w:keepLines/>
              <w:jc w:val="right"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Année</w:t>
            </w:r>
          </w:p>
          <w:p w:rsidR="0050667A" w:rsidRPr="00C70421" w:rsidRDefault="0085063C" w:rsidP="00E93C4E">
            <w:pPr>
              <w:keepNext/>
              <w:keepLines/>
              <w:rPr>
                <w:b/>
                <w:lang w:val="fr-FR"/>
              </w:rPr>
            </w:pPr>
            <w:r>
              <w:rPr>
                <w:b/>
                <w:lang w:val="fr-FR"/>
              </w:rPr>
              <w:t>Domaine</w:t>
            </w:r>
            <w:r>
              <w:rPr>
                <w:b/>
                <w:lang w:val="fr-FR"/>
              </w:rPr>
              <w:br/>
              <w:t>technique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2011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2015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2016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M</w:t>
            </w:r>
            <w:r w:rsidR="00E023B5" w:rsidRPr="00C70421">
              <w:rPr>
                <w:lang w:val="fr-FR"/>
              </w:rPr>
              <w:t>écanique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1</w:t>
            </w:r>
            <w:r w:rsidR="00B96599" w:rsidRPr="00C70421">
              <w:rPr>
                <w:lang w:val="fr-FR"/>
              </w:rPr>
              <w:t>0 </w:t>
            </w:r>
            <w:r w:rsidRPr="00C70421">
              <w:rPr>
                <w:lang w:val="fr-FR"/>
              </w:rPr>
              <w:t>043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10 </w:t>
            </w:r>
            <w:r w:rsidR="0050667A" w:rsidRPr="00C70421">
              <w:rPr>
                <w:lang w:val="fr-FR"/>
              </w:rPr>
              <w:t>916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10</w:t>
            </w:r>
            <w:r w:rsidR="00B96599" w:rsidRPr="00C70421">
              <w:rPr>
                <w:lang w:val="fr-FR"/>
              </w:rPr>
              <w:t> </w:t>
            </w:r>
            <w:r w:rsidRPr="00C70421">
              <w:rPr>
                <w:lang w:val="fr-FR"/>
              </w:rPr>
              <w:t>845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1</w:t>
            </w:r>
            <w:r w:rsidR="00B96599" w:rsidRPr="00C70421">
              <w:rPr>
                <w:lang w:val="fr-FR"/>
              </w:rPr>
              <w:t>1 </w:t>
            </w:r>
            <w:r w:rsidRPr="00C70421">
              <w:rPr>
                <w:lang w:val="fr-FR"/>
              </w:rPr>
              <w:t>253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13 </w:t>
            </w:r>
            <w:r w:rsidR="0050667A" w:rsidRPr="00C70421">
              <w:rPr>
                <w:lang w:val="fr-FR"/>
              </w:rPr>
              <w:t>615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36488B" w:rsidP="00E93C4E">
            <w:pPr>
              <w:keepNext/>
              <w:keepLines/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B96599" w:rsidRPr="00C70421">
              <w:rPr>
                <w:lang w:val="fr-FR"/>
              </w:rPr>
              <w:t>lectricité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643433" w:rsidRPr="00C70421">
              <w:rPr>
                <w:lang w:val="fr-FR"/>
              </w:rPr>
              <w:t>S</w:t>
            </w:r>
            <w:r w:rsidR="003F14CF" w:rsidRPr="00C70421">
              <w:rPr>
                <w:lang w:val="fr-FR"/>
              </w:rPr>
              <w:t>e rapportant à l</w:t>
            </w:r>
            <w:r w:rsidR="00473D89" w:rsidRPr="00C70421">
              <w:rPr>
                <w:lang w:val="fr-FR"/>
              </w:rPr>
              <w:t>’</w:t>
            </w:r>
            <w:r w:rsidR="003F14CF" w:rsidRPr="00C70421">
              <w:rPr>
                <w:lang w:val="fr-FR"/>
              </w:rPr>
              <w:t>informatique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786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973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6 </w:t>
            </w:r>
            <w:r w:rsidR="0050667A" w:rsidRPr="00C70421">
              <w:rPr>
                <w:lang w:val="fr-FR"/>
              </w:rPr>
              <w:t>018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433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848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36488B">
              <w:rPr>
                <w:lang w:val="fr-FR"/>
              </w:rPr>
              <w:t>É</w:t>
            </w:r>
            <w:r w:rsidRPr="00C70421">
              <w:rPr>
                <w:lang w:val="fr-FR"/>
              </w:rPr>
              <w:t>lectricité/Physique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456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360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268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521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E023B5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Chimie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995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486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329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427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E023B5" w:rsidRPr="00C70421">
              <w:rPr>
                <w:lang w:val="fr-FR"/>
              </w:rPr>
              <w:t>Chimie générale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E023B5" w:rsidRPr="00C70421">
              <w:rPr>
                <w:lang w:val="fr-FR"/>
              </w:rPr>
              <w:t>Chimie organique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</w:t>
            </w:r>
            <w:r w:rsidR="00B96599" w:rsidRPr="00C70421">
              <w:rPr>
                <w:lang w:val="fr-FR"/>
              </w:rPr>
              <w:t> </w:t>
            </w:r>
            <w:r w:rsidRPr="00C70421">
              <w:rPr>
                <w:lang w:val="fr-FR"/>
              </w:rPr>
              <w:t>386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259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137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258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715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Biotech</w:t>
            </w:r>
            <w:r w:rsidR="00E023B5" w:rsidRPr="00C70421">
              <w:rPr>
                <w:lang w:val="fr-FR"/>
              </w:rPr>
              <w:t>nologie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210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000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2 </w:t>
            </w:r>
            <w:r w:rsidR="0050667A" w:rsidRPr="00C70421">
              <w:rPr>
                <w:lang w:val="fr-FR"/>
              </w:rPr>
              <w:t>850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2 </w:t>
            </w:r>
            <w:r w:rsidR="0050667A" w:rsidRPr="00C70421">
              <w:rPr>
                <w:lang w:val="fr-FR"/>
              </w:rPr>
              <w:t>876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136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113E32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Divers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752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727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734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476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keepNext/>
              <w:keepLines/>
              <w:rPr>
                <w:lang w:val="fr-FR"/>
              </w:rPr>
            </w:pPr>
            <w:r w:rsidRPr="00C70421">
              <w:rPr>
                <w:lang w:val="fr-FR"/>
              </w:rPr>
              <w:t>3 </w:t>
            </w:r>
            <w:r w:rsidR="0050667A" w:rsidRPr="00C70421">
              <w:rPr>
                <w:lang w:val="fr-FR"/>
              </w:rPr>
              <w:t>843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581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817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361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34 </w:t>
            </w:r>
            <w:r w:rsidR="0050667A" w:rsidRPr="00C70421">
              <w:rPr>
                <w:i/>
                <w:lang w:val="fr-FR"/>
              </w:rPr>
              <w:t>893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37 </w:t>
            </w:r>
            <w:r w:rsidR="0050667A" w:rsidRPr="00C70421">
              <w:rPr>
                <w:i/>
                <w:lang w:val="fr-FR"/>
              </w:rPr>
              <w:t>104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2F7810" w:rsidP="00E93C4E">
      <w:pPr>
        <w:pStyle w:val="Subsection"/>
        <w:rPr>
          <w:lang w:val="fr-FR"/>
        </w:rPr>
      </w:pPr>
      <w:r w:rsidRPr="00C70421">
        <w:rPr>
          <w:bCs/>
          <w:szCs w:val="22"/>
          <w:lang w:val="fr-FR"/>
        </w:rPr>
        <w:t>Nombre de demandes nationales reçues – par voie de dépôt</w:t>
      </w:r>
    </w:p>
    <w:p w:rsidR="0050667A" w:rsidRPr="00C70421" w:rsidRDefault="00113E32" w:rsidP="00E93C4E">
      <w:pPr>
        <w:rPr>
          <w:i/>
          <w:lang w:val="fr-FR"/>
        </w:rPr>
      </w:pPr>
      <w:r w:rsidRPr="00C70421">
        <w:rPr>
          <w:i/>
          <w:lang w:val="fr-FR"/>
        </w:rPr>
        <w:t>Ces chiffres proviennent de la base de données</w:t>
      </w:r>
      <w:r w:rsidR="0050667A" w:rsidRPr="00C70421">
        <w:rPr>
          <w:i/>
          <w:lang w:val="fr-FR"/>
        </w:rPr>
        <w:t xml:space="preserve"> </w:t>
      </w:r>
      <w:proofErr w:type="spellStart"/>
      <w:r w:rsidR="0050667A" w:rsidRPr="00C70421">
        <w:rPr>
          <w:i/>
          <w:lang w:val="fr-FR"/>
        </w:rPr>
        <w:t>TechSource</w:t>
      </w:r>
      <w:proofErr w:type="spellEnd"/>
      <w:r w:rsidR="0050667A" w:rsidRPr="00C70421">
        <w:rPr>
          <w:i/>
          <w:lang w:val="fr-FR"/>
        </w:rPr>
        <w:t xml:space="preserve"> </w:t>
      </w:r>
      <w:r w:rsidRPr="00C70421">
        <w:rPr>
          <w:i/>
          <w:lang w:val="fr-FR"/>
        </w:rPr>
        <w:t>interne de l</w:t>
      </w:r>
      <w:r w:rsidR="00473D89" w:rsidRPr="00C70421">
        <w:rPr>
          <w:i/>
          <w:lang w:val="fr-FR"/>
        </w:rPr>
        <w:t>’</w:t>
      </w:r>
      <w:r w:rsidRPr="00C70421">
        <w:rPr>
          <w:i/>
          <w:lang w:val="fr-FR"/>
        </w:rPr>
        <w:t>OPIC</w:t>
      </w:r>
      <w:r w:rsidR="0050667A" w:rsidRPr="00C70421">
        <w:rPr>
          <w:i/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50667A" w:rsidRPr="00C70421" w:rsidTr="0050667A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</w:p>
          <w:p w:rsidR="0050667A" w:rsidRPr="00C70421" w:rsidRDefault="002F7810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Voie/Année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2011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2015</w:t>
            </w:r>
            <w:r w:rsidR="00001599">
              <w:rPr>
                <w:b/>
                <w:lang w:val="fr-FR"/>
              </w:rPr>
              <w:noBreakHyphen/>
            </w:r>
            <w:r w:rsidRPr="00C70421">
              <w:rPr>
                <w:b/>
                <w:lang w:val="fr-FR"/>
              </w:rPr>
              <w:t>2016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Premier dépôt national</w:t>
            </w:r>
            <w:r w:rsidR="0050667A" w:rsidRPr="00C70421">
              <w:rPr>
                <w:lang w:val="fr-FR"/>
              </w:rPr>
              <w:t>/</w:t>
            </w:r>
            <w:r w:rsidRPr="00C70421">
              <w:rPr>
                <w:lang w:val="fr-FR"/>
              </w:rPr>
              <w:t>priorité interne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1 </w:t>
            </w:r>
            <w:r w:rsidR="0050667A" w:rsidRPr="00C70421">
              <w:rPr>
                <w:lang w:val="fr-FR"/>
              </w:rPr>
              <w:t>826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1 </w:t>
            </w:r>
            <w:r w:rsidR="0050667A" w:rsidRPr="00C70421">
              <w:rPr>
                <w:lang w:val="fr-FR"/>
              </w:rPr>
              <w:t>809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1 </w:t>
            </w:r>
            <w:r w:rsidR="0050667A" w:rsidRPr="00C70421">
              <w:rPr>
                <w:lang w:val="fr-FR"/>
              </w:rPr>
              <w:t>579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1 </w:t>
            </w:r>
            <w:r w:rsidR="0050667A" w:rsidRPr="00C70421">
              <w:rPr>
                <w:lang w:val="fr-FR"/>
              </w:rPr>
              <w:t>606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1 </w:t>
            </w:r>
            <w:r w:rsidR="0050667A" w:rsidRPr="00C70421">
              <w:rPr>
                <w:lang w:val="fr-FR"/>
              </w:rPr>
              <w:t>591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Priorité selon la Convention de Paris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7 </w:t>
            </w:r>
            <w:r w:rsidR="0050667A" w:rsidRPr="00C70421">
              <w:rPr>
                <w:lang w:val="fr-FR"/>
              </w:rPr>
              <w:t>131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7 </w:t>
            </w:r>
            <w:r w:rsidR="0050667A" w:rsidRPr="00C70421">
              <w:rPr>
                <w:lang w:val="fr-FR"/>
              </w:rPr>
              <w:t>007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7 </w:t>
            </w:r>
            <w:r w:rsidR="0050667A" w:rsidRPr="00C70421">
              <w:rPr>
                <w:lang w:val="fr-FR"/>
              </w:rPr>
              <w:t>142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5 </w:t>
            </w:r>
            <w:r w:rsidR="0050667A" w:rsidRPr="00C70421">
              <w:rPr>
                <w:lang w:val="fr-FR"/>
              </w:rPr>
              <w:t>823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6 </w:t>
            </w:r>
            <w:r w:rsidR="0050667A" w:rsidRPr="00C70421">
              <w:rPr>
                <w:lang w:val="fr-FR"/>
              </w:rPr>
              <w:t>065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Entrée dans la phase nationale</w:t>
            </w:r>
            <w:r w:rsidR="00473D89" w:rsidRPr="00C70421">
              <w:rPr>
                <w:lang w:val="fr-FR"/>
              </w:rPr>
              <w:t xml:space="preserve"> du PCT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26 </w:t>
            </w:r>
            <w:r w:rsidR="0050667A" w:rsidRPr="00C70421">
              <w:rPr>
                <w:lang w:val="fr-FR"/>
              </w:rPr>
              <w:t>624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27 </w:t>
            </w:r>
            <w:r w:rsidR="0050667A" w:rsidRPr="00C70421">
              <w:rPr>
                <w:lang w:val="fr-FR"/>
              </w:rPr>
              <w:t>001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26 </w:t>
            </w:r>
            <w:r w:rsidR="0050667A" w:rsidRPr="00C70421">
              <w:rPr>
                <w:lang w:val="fr-FR"/>
              </w:rPr>
              <w:t>640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27 </w:t>
            </w:r>
            <w:r w:rsidR="0050667A" w:rsidRPr="00C70421">
              <w:rPr>
                <w:lang w:val="fr-FR"/>
              </w:rPr>
              <w:t>464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29 </w:t>
            </w:r>
            <w:r w:rsidR="0050667A" w:rsidRPr="00C70421">
              <w:rPr>
                <w:lang w:val="fr-FR"/>
              </w:rPr>
              <w:t>448</w:t>
            </w:r>
          </w:p>
        </w:tc>
      </w:tr>
      <w:tr w:rsidR="0050667A" w:rsidRPr="00C70421" w:rsidTr="0050667A">
        <w:trPr>
          <w:cantSplit/>
        </w:trPr>
        <w:tc>
          <w:tcPr>
            <w:tcW w:w="2518" w:type="dxa"/>
            <w:shd w:val="clear" w:color="auto" w:fill="auto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 xml:space="preserve">Total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581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817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35 </w:t>
            </w:r>
            <w:r w:rsidR="0050667A" w:rsidRPr="00C70421">
              <w:rPr>
                <w:i/>
                <w:lang w:val="fr-FR"/>
              </w:rPr>
              <w:t>361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34</w:t>
            </w:r>
            <w:r w:rsidR="00B96599" w:rsidRPr="00C70421">
              <w:rPr>
                <w:i/>
                <w:lang w:val="fr-FR"/>
              </w:rPr>
              <w:t> </w:t>
            </w:r>
            <w:r w:rsidRPr="00C70421">
              <w:rPr>
                <w:i/>
                <w:lang w:val="fr-FR"/>
              </w:rPr>
              <w:t>893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37 </w:t>
            </w:r>
            <w:r w:rsidR="0050667A" w:rsidRPr="00C70421">
              <w:rPr>
                <w:i/>
                <w:lang w:val="fr-FR"/>
              </w:rPr>
              <w:t>104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2F7810" w:rsidP="00E93C4E">
      <w:pPr>
        <w:pStyle w:val="Subsection"/>
        <w:rPr>
          <w:lang w:val="fr-FR"/>
        </w:rPr>
      </w:pPr>
      <w:r w:rsidRPr="00C70421">
        <w:rPr>
          <w:lang w:val="fr-FR"/>
        </w:rPr>
        <w:t>Délai moyen d</w:t>
      </w:r>
      <w:r w:rsidR="00473D89" w:rsidRPr="00C70421">
        <w:rPr>
          <w:szCs w:val="22"/>
          <w:lang w:val="fr-FR"/>
        </w:rPr>
        <w:t>’</w:t>
      </w:r>
      <w:r w:rsidRPr="00C70421">
        <w:rPr>
          <w:szCs w:val="22"/>
          <w:lang w:val="fr-FR"/>
        </w:rPr>
        <w:t>instruction des demandes de brevet nationales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426"/>
        <w:gridCol w:w="604"/>
        <w:gridCol w:w="1560"/>
        <w:gridCol w:w="749"/>
        <w:gridCol w:w="783"/>
        <w:gridCol w:w="777"/>
        <w:gridCol w:w="883"/>
        <w:gridCol w:w="1366"/>
      </w:tblGrid>
      <w:tr w:rsidR="0050667A" w:rsidRPr="00C70421" w:rsidTr="00530D24">
        <w:trPr>
          <w:cantSplit/>
        </w:trPr>
        <w:tc>
          <w:tcPr>
            <w:tcW w:w="1426" w:type="dxa"/>
            <w:shd w:val="clear" w:color="auto" w:fill="auto"/>
          </w:tcPr>
          <w:p w:rsidR="0050667A" w:rsidRPr="00C70421" w:rsidRDefault="002F7810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Indicateur</w:t>
            </w:r>
          </w:p>
        </w:tc>
        <w:tc>
          <w:tcPr>
            <w:tcW w:w="1426" w:type="dxa"/>
            <w:shd w:val="clear" w:color="auto" w:fill="auto"/>
          </w:tcPr>
          <w:p w:rsidR="0050667A" w:rsidRPr="00C70421" w:rsidRDefault="008E5D75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À compter de</w:t>
            </w:r>
          </w:p>
        </w:tc>
        <w:tc>
          <w:tcPr>
            <w:tcW w:w="2164" w:type="dxa"/>
            <w:gridSpan w:val="2"/>
          </w:tcPr>
          <w:p w:rsidR="0050667A" w:rsidRPr="00C70421" w:rsidRDefault="00113E32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Délai en mois</w:t>
            </w:r>
          </w:p>
        </w:tc>
        <w:tc>
          <w:tcPr>
            <w:tcW w:w="749" w:type="dxa"/>
            <w:tcMar>
              <w:left w:w="51" w:type="dxa"/>
              <w:right w:w="51" w:type="dxa"/>
            </w:tcMar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2011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783" w:type="dxa"/>
            <w:tcMar>
              <w:left w:w="51" w:type="dxa"/>
              <w:right w:w="51" w:type="dxa"/>
            </w:tcMar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777" w:type="dxa"/>
            <w:tcMar>
              <w:left w:w="51" w:type="dxa"/>
              <w:right w:w="51" w:type="dxa"/>
            </w:tcMar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883" w:type="dxa"/>
            <w:tcMar>
              <w:left w:w="51" w:type="dxa"/>
              <w:right w:w="51" w:type="dxa"/>
            </w:tcMar>
            <w:vAlign w:val="center"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1366" w:type="dxa"/>
            <w:tcMar>
              <w:left w:w="51" w:type="dxa"/>
              <w:right w:w="51" w:type="dxa"/>
            </w:tcMar>
          </w:tcPr>
          <w:p w:rsidR="0050667A" w:rsidRPr="0085063C" w:rsidRDefault="0050667A" w:rsidP="00E93C4E">
            <w:pPr>
              <w:rPr>
                <w:b/>
                <w:sz w:val="20"/>
                <w:lang w:val="fr-FR"/>
              </w:rPr>
            </w:pPr>
            <w:r w:rsidRPr="0085063C">
              <w:rPr>
                <w:b/>
                <w:sz w:val="20"/>
                <w:lang w:val="fr-FR"/>
              </w:rPr>
              <w:t>(</w:t>
            </w:r>
            <w:r w:rsidR="007C3F05" w:rsidRPr="0085063C">
              <w:rPr>
                <w:b/>
                <w:sz w:val="20"/>
                <w:lang w:val="fr-FR"/>
              </w:rPr>
              <w:t>au</w:t>
            </w:r>
          </w:p>
          <w:p w:rsidR="0050667A" w:rsidRPr="00C70421" w:rsidRDefault="007C3F05" w:rsidP="00E93C4E">
            <w:pPr>
              <w:rPr>
                <w:b/>
                <w:lang w:val="fr-FR"/>
              </w:rPr>
            </w:pPr>
            <w:r w:rsidRPr="0085063C">
              <w:rPr>
                <w:b/>
                <w:sz w:val="20"/>
                <w:lang w:val="fr-FR"/>
              </w:rPr>
              <w:t>31</w:t>
            </w:r>
            <w:r w:rsidR="0085063C" w:rsidRPr="0085063C">
              <w:rPr>
                <w:b/>
                <w:sz w:val="20"/>
                <w:lang w:val="fr-FR"/>
              </w:rPr>
              <w:t xml:space="preserve"> déc. </w:t>
            </w:r>
            <w:r w:rsidRPr="0085063C">
              <w:rPr>
                <w:b/>
                <w:sz w:val="20"/>
                <w:lang w:val="fr-FR"/>
              </w:rPr>
              <w:t>2016</w:t>
            </w:r>
            <w:r w:rsidR="0050667A" w:rsidRPr="0085063C">
              <w:rPr>
                <w:b/>
                <w:sz w:val="20"/>
                <w:lang w:val="fr-FR"/>
              </w:rPr>
              <w:t>)</w:t>
            </w:r>
          </w:p>
        </w:tc>
      </w:tr>
      <w:tr w:rsidR="0050667A" w:rsidRPr="00F46AD3" w:rsidTr="0050667A">
        <w:trPr>
          <w:cantSplit/>
        </w:trPr>
        <w:tc>
          <w:tcPr>
            <w:tcW w:w="1426" w:type="dxa"/>
            <w:shd w:val="clear" w:color="auto" w:fill="auto"/>
          </w:tcPr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szCs w:val="22"/>
                <w:lang w:val="fr-FR" w:bidi="he-IL"/>
              </w:rPr>
              <w:t>Jusqu</w:t>
            </w:r>
            <w:r w:rsidR="00473D89" w:rsidRPr="00C70421">
              <w:rPr>
                <w:szCs w:val="22"/>
                <w:lang w:val="fr-FR" w:bidi="he-IL"/>
              </w:rPr>
              <w:t>’</w:t>
            </w:r>
            <w:r w:rsidRPr="00C70421">
              <w:rPr>
                <w:szCs w:val="22"/>
                <w:lang w:val="fr-FR" w:bidi="he-IL"/>
              </w:rPr>
              <w:t>à la recherche</w:t>
            </w:r>
          </w:p>
        </w:tc>
        <w:tc>
          <w:tcPr>
            <w:tcW w:w="1426" w:type="dxa"/>
            <w:shd w:val="clear" w:color="auto" w:fill="auto"/>
          </w:tcPr>
          <w:p w:rsidR="0050667A" w:rsidRPr="00C70421" w:rsidRDefault="00B965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Sans objet</w:t>
            </w:r>
          </w:p>
        </w:tc>
        <w:tc>
          <w:tcPr>
            <w:tcW w:w="604" w:type="dxa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6118" w:type="dxa"/>
            <w:gridSpan w:val="6"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Comme les tâches liées à la recherche et à l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examen sont effectuées par le même</w:t>
            </w:r>
            <w:r w:rsidR="0050667A" w:rsidRPr="00C70421">
              <w:rPr>
                <w:lang w:val="fr-FR"/>
              </w:rPr>
              <w:t xml:space="preserve"> </w:t>
            </w:r>
            <w:r w:rsidRPr="00C70421">
              <w:rPr>
                <w:lang w:val="fr-FR"/>
              </w:rPr>
              <w:t>examinateur au même moment</w:t>
            </w:r>
            <w:r w:rsidR="0050667A" w:rsidRPr="00C70421">
              <w:rPr>
                <w:lang w:val="fr-FR"/>
              </w:rPr>
              <w:t xml:space="preserve">, </w:t>
            </w:r>
            <w:r w:rsidRPr="00C70421">
              <w:rPr>
                <w:lang w:val="fr-FR"/>
              </w:rPr>
              <w:t>l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OPIC ne collecte pas de statistiques distinctes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 w:val="restart"/>
            <w:shd w:val="clear" w:color="auto" w:fill="auto"/>
          </w:tcPr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szCs w:val="22"/>
                <w:lang w:val="fr-FR" w:bidi="he-IL"/>
              </w:rPr>
              <w:t>Jusqu</w:t>
            </w:r>
            <w:r w:rsidR="00473D89" w:rsidRPr="00C70421">
              <w:rPr>
                <w:szCs w:val="22"/>
                <w:lang w:val="fr-FR" w:bidi="he-IL"/>
              </w:rPr>
              <w:t>’</w:t>
            </w:r>
            <w:r w:rsidRPr="00C70421">
              <w:rPr>
                <w:szCs w:val="22"/>
                <w:lang w:val="fr-FR" w:bidi="he-IL"/>
              </w:rPr>
              <w:t>au premier examen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50667A" w:rsidRPr="00C70421" w:rsidRDefault="00113E32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 d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examen</w:t>
            </w:r>
          </w:p>
        </w:tc>
        <w:tc>
          <w:tcPr>
            <w:tcW w:w="2164" w:type="dxa"/>
            <w:gridSpan w:val="2"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Variable </w:t>
            </w:r>
            <w:r w:rsidR="00643433" w:rsidRPr="00C70421">
              <w:rPr>
                <w:lang w:val="fr-FR"/>
              </w:rPr>
              <w:t>en fonction d</w:t>
            </w:r>
            <w:r w:rsidRPr="00C70421">
              <w:rPr>
                <w:lang w:val="fr-FR"/>
              </w:rPr>
              <w:t>es domaines, mais en moyenne</w:t>
            </w:r>
            <w:r w:rsidR="00473D89" w:rsidRPr="00C70421">
              <w:rPr>
                <w:lang w:val="fr-FR"/>
              </w:rPr>
              <w:t> :</w:t>
            </w:r>
          </w:p>
        </w:tc>
        <w:tc>
          <w:tcPr>
            <w:tcW w:w="3192" w:type="dxa"/>
            <w:gridSpan w:val="4"/>
            <w:vMerge w:val="restart"/>
            <w:vAlign w:val="center"/>
          </w:tcPr>
          <w:p w:rsidR="0050667A" w:rsidRPr="00C70421" w:rsidRDefault="00B96599" w:rsidP="00E93C4E">
            <w:pPr>
              <w:rPr>
                <w:i/>
                <w:lang w:val="fr-FR"/>
              </w:rPr>
            </w:pPr>
            <w:r w:rsidRPr="00C70421">
              <w:rPr>
                <w:i/>
                <w:lang w:val="fr-FR"/>
              </w:rPr>
              <w:t>Sans objet</w:t>
            </w: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4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Mécanique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9,</w:t>
            </w:r>
            <w:r w:rsidR="0050667A" w:rsidRPr="00C70421">
              <w:rPr>
                <w:lang w:val="fr-FR"/>
              </w:rPr>
              <w:t>4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36488B" w:rsidP="00E93C4E">
            <w:pPr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E023B5" w:rsidRPr="00C70421">
              <w:rPr>
                <w:lang w:val="fr-FR"/>
              </w:rPr>
              <w:t>lectr</w:t>
            </w:r>
            <w:r w:rsidR="007C3F05" w:rsidRPr="00C70421">
              <w:rPr>
                <w:lang w:val="fr-FR"/>
              </w:rPr>
              <w:t>icité/ électronique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2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Chimie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   Chimie générale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11,</w:t>
            </w:r>
            <w:r w:rsidR="0050667A" w:rsidRPr="00C70421">
              <w:rPr>
                <w:lang w:val="fr-FR"/>
              </w:rPr>
              <w:t>2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E023B5" w:rsidRPr="00C70421">
              <w:rPr>
                <w:lang w:val="fr-FR"/>
              </w:rPr>
              <w:t>Chimie organique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11,</w:t>
            </w:r>
            <w:r w:rsidR="0050667A" w:rsidRPr="00C70421">
              <w:rPr>
                <w:lang w:val="fr-FR"/>
              </w:rPr>
              <w:t>1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Biotech</w:t>
            </w:r>
            <w:r w:rsidR="00E023B5" w:rsidRPr="00C70421">
              <w:rPr>
                <w:lang w:val="fr-FR"/>
              </w:rPr>
              <w:t>nologie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10,</w:t>
            </w:r>
            <w:r w:rsidR="0050667A" w:rsidRPr="00C70421">
              <w:rPr>
                <w:lang w:val="fr-FR"/>
              </w:rPr>
              <w:t>2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67A" w:rsidRPr="00C70421" w:rsidRDefault="002F7810" w:rsidP="00E93C4E">
            <w:pPr>
              <w:keepNext/>
              <w:rPr>
                <w:lang w:val="fr-FR"/>
              </w:rPr>
            </w:pPr>
            <w:r w:rsidRPr="00C70421">
              <w:rPr>
                <w:szCs w:val="22"/>
                <w:lang w:val="fr-FR" w:bidi="he-IL"/>
              </w:rPr>
              <w:lastRenderedPageBreak/>
              <w:t>Jusqu</w:t>
            </w:r>
            <w:r w:rsidR="00473D89" w:rsidRPr="00C70421">
              <w:rPr>
                <w:szCs w:val="22"/>
                <w:lang w:val="fr-FR" w:bidi="he-IL"/>
              </w:rPr>
              <w:t>’</w:t>
            </w:r>
            <w:r w:rsidRPr="00C70421">
              <w:rPr>
                <w:szCs w:val="22"/>
                <w:lang w:val="fr-FR" w:bidi="he-IL"/>
              </w:rPr>
              <w:t>à la délivrance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67A" w:rsidRPr="00C70421" w:rsidRDefault="00113E32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Demande d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examen</w:t>
            </w: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7C3F0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 xml:space="preserve">Variable </w:t>
            </w:r>
            <w:r w:rsidR="00643433" w:rsidRPr="00C70421">
              <w:rPr>
                <w:lang w:val="fr-FR"/>
              </w:rPr>
              <w:t>en fonction d</w:t>
            </w:r>
            <w:r w:rsidRPr="00C70421">
              <w:rPr>
                <w:lang w:val="fr-FR"/>
              </w:rPr>
              <w:t>es domaines, mais en moyenne</w:t>
            </w:r>
            <w:r w:rsidR="00473D89" w:rsidRPr="00C70421">
              <w:rPr>
                <w:lang w:val="fr-FR"/>
              </w:rPr>
              <w:t> :</w:t>
            </w:r>
            <w:r w:rsidR="0050667A" w:rsidRPr="00C70421">
              <w:rPr>
                <w:lang w:val="fr-FR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48,</w:t>
            </w:r>
            <w:r w:rsidR="0050667A" w:rsidRPr="00C70421">
              <w:rPr>
                <w:lang w:val="fr-FR"/>
              </w:rPr>
              <w:t>4</w:t>
            </w:r>
          </w:p>
        </w:tc>
        <w:tc>
          <w:tcPr>
            <w:tcW w:w="783" w:type="dxa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45,</w:t>
            </w:r>
            <w:r w:rsidR="0050667A" w:rsidRPr="00C70421">
              <w:rPr>
                <w:lang w:val="fr-FR"/>
              </w:rPr>
              <w:t>7</w:t>
            </w:r>
          </w:p>
        </w:tc>
        <w:tc>
          <w:tcPr>
            <w:tcW w:w="777" w:type="dxa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42,</w:t>
            </w:r>
            <w:r w:rsidR="0050667A" w:rsidRPr="00C70421">
              <w:rPr>
                <w:lang w:val="fr-FR"/>
              </w:rPr>
              <w:t>7</w:t>
            </w:r>
          </w:p>
        </w:tc>
        <w:tc>
          <w:tcPr>
            <w:tcW w:w="883" w:type="dxa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40</w:t>
            </w:r>
            <w:r w:rsidR="00E023B5" w:rsidRPr="00C70421">
              <w:rPr>
                <w:lang w:val="fr-FR"/>
              </w:rPr>
              <w:t>,</w:t>
            </w:r>
            <w:r w:rsidRPr="00C70421">
              <w:rPr>
                <w:lang w:val="fr-FR"/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35,</w:t>
            </w:r>
            <w:r w:rsidR="0050667A" w:rsidRPr="00C70421">
              <w:rPr>
                <w:lang w:val="fr-FR"/>
              </w:rPr>
              <w:t>7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Mécanique</w:t>
            </w:r>
          </w:p>
        </w:tc>
        <w:tc>
          <w:tcPr>
            <w:tcW w:w="3192" w:type="dxa"/>
            <w:gridSpan w:val="4"/>
            <w:vMerge w:val="restart"/>
            <w:vAlign w:val="center"/>
          </w:tcPr>
          <w:p w:rsidR="0050667A" w:rsidRPr="0085063C" w:rsidRDefault="00E023B5" w:rsidP="00E93C4E">
            <w:pPr>
              <w:keepNext/>
              <w:rPr>
                <w:i/>
                <w:lang w:val="fr-FR"/>
              </w:rPr>
            </w:pPr>
            <w:r w:rsidRPr="0085063C">
              <w:rPr>
                <w:i/>
                <w:lang w:val="fr-FR"/>
              </w:rPr>
              <w:t>Sans objet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28,</w:t>
            </w:r>
            <w:r w:rsidR="0050667A" w:rsidRPr="00C70421">
              <w:rPr>
                <w:lang w:val="fr-FR"/>
              </w:rPr>
              <w:t>3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36488B" w:rsidP="00E93C4E">
            <w:pPr>
              <w:keepNext/>
              <w:rPr>
                <w:lang w:val="fr-FR"/>
              </w:rPr>
            </w:pPr>
            <w:r>
              <w:rPr>
                <w:lang w:val="fr-FR"/>
              </w:rPr>
              <w:t>É</w:t>
            </w:r>
            <w:r w:rsidR="00B96599" w:rsidRPr="00C70421">
              <w:rPr>
                <w:lang w:val="fr-FR"/>
              </w:rPr>
              <w:t>lectricité</w:t>
            </w:r>
            <w:r w:rsidR="0050667A" w:rsidRPr="00C70421">
              <w:rPr>
                <w:lang w:val="fr-FR"/>
              </w:rPr>
              <w:t>/</w:t>
            </w:r>
            <w:r w:rsidR="00E023B5" w:rsidRPr="00C70421">
              <w:rPr>
                <w:lang w:val="fr-FR"/>
              </w:rPr>
              <w:t xml:space="preserve"> é</w:t>
            </w:r>
            <w:r w:rsidR="0050667A" w:rsidRPr="00C70421">
              <w:rPr>
                <w:lang w:val="fr-FR"/>
              </w:rPr>
              <w:t>lectroni</w:t>
            </w:r>
            <w:r w:rsidR="00E023B5" w:rsidRPr="00C70421">
              <w:rPr>
                <w:lang w:val="fr-FR"/>
              </w:rPr>
              <w:t>que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42,</w:t>
            </w:r>
            <w:r w:rsidR="0050667A" w:rsidRPr="00C70421">
              <w:rPr>
                <w:lang w:val="fr-FR"/>
              </w:rPr>
              <w:t>1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Ch</w:t>
            </w:r>
            <w:r w:rsidR="00E023B5" w:rsidRPr="00C70421">
              <w:rPr>
                <w:lang w:val="fr-FR"/>
              </w:rPr>
              <w:t>imie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E023B5" w:rsidRPr="00C70421">
              <w:rPr>
                <w:lang w:val="fr-FR"/>
              </w:rPr>
              <w:t>Chimie générale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33</w:t>
            </w:r>
            <w:r w:rsidR="00E023B5" w:rsidRPr="00C70421">
              <w:rPr>
                <w:lang w:val="fr-FR"/>
              </w:rPr>
              <w:t>,</w:t>
            </w:r>
            <w:r w:rsidRPr="00C70421">
              <w:rPr>
                <w:lang w:val="fr-FR"/>
              </w:rPr>
              <w:t>5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  <w:shd w:val="clear" w:color="auto" w:fill="auto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 xml:space="preserve">   </w:t>
            </w:r>
            <w:r w:rsidR="00E023B5" w:rsidRPr="00C70421">
              <w:rPr>
                <w:lang w:val="fr-FR"/>
              </w:rPr>
              <w:t>Chimie organique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keepNext/>
              <w:rPr>
                <w:lang w:val="fr-F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E023B5" w:rsidP="00E93C4E">
            <w:pPr>
              <w:keepNext/>
              <w:rPr>
                <w:lang w:val="fr-FR"/>
              </w:rPr>
            </w:pPr>
            <w:r w:rsidRPr="00C70421">
              <w:rPr>
                <w:lang w:val="fr-FR"/>
              </w:rPr>
              <w:t>31,</w:t>
            </w:r>
            <w:r w:rsidR="0050667A" w:rsidRPr="00C70421">
              <w:rPr>
                <w:lang w:val="fr-FR"/>
              </w:rPr>
              <w:t>5</w:t>
            </w:r>
          </w:p>
        </w:tc>
      </w:tr>
      <w:tr w:rsidR="0050667A" w:rsidRPr="00C70421" w:rsidTr="0050667A">
        <w:trPr>
          <w:cantSplit/>
          <w:trHeight w:val="12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2164" w:type="dxa"/>
            <w:gridSpan w:val="2"/>
            <w:tcBorders>
              <w:left w:val="single" w:sz="4" w:space="0" w:color="auto"/>
            </w:tcBorders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Biotech</w:t>
            </w:r>
            <w:r w:rsidR="00E023B5" w:rsidRPr="00C70421">
              <w:rPr>
                <w:lang w:val="fr-FR"/>
              </w:rPr>
              <w:t>nologie</w:t>
            </w:r>
          </w:p>
        </w:tc>
        <w:tc>
          <w:tcPr>
            <w:tcW w:w="3192" w:type="dxa"/>
            <w:gridSpan w:val="4"/>
            <w:vMerge/>
          </w:tcPr>
          <w:p w:rsidR="0050667A" w:rsidRPr="00C70421" w:rsidRDefault="0050667A" w:rsidP="00E93C4E">
            <w:pPr>
              <w:rPr>
                <w:lang w:val="fr-F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58,</w:t>
            </w:r>
            <w:r w:rsidR="0050667A" w:rsidRPr="00C70421">
              <w:rPr>
                <w:lang w:val="fr-FR"/>
              </w:rPr>
              <w:t>4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50667A" w:rsidP="00E93C4E">
      <w:pPr>
        <w:rPr>
          <w:lang w:val="fr-FR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2075"/>
        <w:gridCol w:w="889"/>
        <w:gridCol w:w="959"/>
        <w:gridCol w:w="959"/>
        <w:gridCol w:w="959"/>
        <w:gridCol w:w="959"/>
      </w:tblGrid>
      <w:tr w:rsidR="0050667A" w:rsidRPr="00C70421" w:rsidTr="00530D24">
        <w:trPr>
          <w:trHeight w:val="300"/>
        </w:trPr>
        <w:tc>
          <w:tcPr>
            <w:tcW w:w="6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667A" w:rsidRPr="00C70421" w:rsidRDefault="007C3F05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Résultats</w:t>
            </w:r>
          </w:p>
        </w:tc>
      </w:tr>
      <w:tr w:rsidR="0050667A" w:rsidRPr="00C70421" w:rsidTr="00530D24">
        <w:trPr>
          <w:trHeight w:val="51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2011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2012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2013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2014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67A" w:rsidRPr="00C70421" w:rsidRDefault="0050667A" w:rsidP="00E93C4E">
            <w:pPr>
              <w:rPr>
                <w:b/>
                <w:lang w:val="fr-FR"/>
              </w:rPr>
            </w:pPr>
            <w:r w:rsidRPr="00C70421">
              <w:rPr>
                <w:b/>
                <w:lang w:val="fr-FR"/>
              </w:rPr>
              <w:t>2015</w:t>
            </w:r>
            <w:r w:rsidR="0085063C">
              <w:rPr>
                <w:b/>
                <w:lang w:val="fr-FR"/>
              </w:rPr>
              <w:t>-</w:t>
            </w:r>
            <w:r w:rsidRPr="00C70421">
              <w:rPr>
                <w:b/>
                <w:lang w:val="fr-FR"/>
              </w:rPr>
              <w:t>2016</w:t>
            </w:r>
          </w:p>
        </w:tc>
      </w:tr>
      <w:tr w:rsidR="0050667A" w:rsidRPr="00C70421" w:rsidTr="00530D24">
        <w:trPr>
          <w:trHeight w:val="10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Demandes d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examen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29 </w:t>
            </w:r>
            <w:r w:rsidR="0050667A" w:rsidRPr="00C70421">
              <w:rPr>
                <w:lang w:val="fr-FR"/>
              </w:rPr>
              <w:t>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28 </w:t>
            </w:r>
            <w:r w:rsidR="0050667A" w:rsidRPr="00C70421">
              <w:rPr>
                <w:lang w:val="fr-FR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28 </w:t>
            </w:r>
            <w:r w:rsidR="0050667A" w:rsidRPr="00C70421">
              <w:rPr>
                <w:lang w:val="fr-FR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28 </w:t>
            </w:r>
            <w:r w:rsidR="0050667A" w:rsidRPr="00C70421">
              <w:rPr>
                <w:lang w:val="fr-FR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29 </w:t>
            </w:r>
            <w:r w:rsidR="0050667A" w:rsidRPr="00C70421">
              <w:rPr>
                <w:lang w:val="fr-FR"/>
              </w:rPr>
              <w:t>050</w:t>
            </w:r>
          </w:p>
        </w:tc>
      </w:tr>
      <w:tr w:rsidR="0050667A" w:rsidRPr="00C70421" w:rsidTr="00530D24">
        <w:trPr>
          <w:trHeight w:val="516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</w:t>
            </w:r>
            <w:r w:rsidR="00195647" w:rsidRPr="00C70421">
              <w:rPr>
                <w:lang w:val="fr-FR"/>
              </w:rPr>
              <w:t>lassement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36 </w:t>
            </w:r>
            <w:r w:rsidR="0050667A" w:rsidRPr="00C70421">
              <w:rPr>
                <w:lang w:val="fr-FR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37 </w:t>
            </w:r>
            <w:r w:rsidR="0050667A" w:rsidRPr="00C70421">
              <w:rPr>
                <w:lang w:val="fr-FR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38 </w:t>
            </w:r>
            <w:r w:rsidR="0050667A" w:rsidRPr="00C70421">
              <w:rPr>
                <w:lang w:val="fr-FR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36 </w:t>
            </w:r>
            <w:r w:rsidR="0050667A" w:rsidRPr="00C70421">
              <w:rPr>
                <w:lang w:val="fr-FR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37 </w:t>
            </w:r>
            <w:r w:rsidR="0050667A" w:rsidRPr="00C70421">
              <w:rPr>
                <w:lang w:val="fr-FR"/>
              </w:rPr>
              <w:t>820</w:t>
            </w:r>
          </w:p>
        </w:tc>
      </w:tr>
      <w:tr w:rsidR="0050667A" w:rsidRPr="00C70421" w:rsidTr="00530D2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Délivrances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20 </w:t>
            </w:r>
            <w:r w:rsidR="0050667A" w:rsidRPr="00C70421">
              <w:rPr>
                <w:lang w:val="fr-FR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21 </w:t>
            </w:r>
            <w:r w:rsidR="0050667A" w:rsidRPr="00C70421">
              <w:rPr>
                <w:lang w:val="fr-FR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23</w:t>
            </w:r>
            <w:r w:rsidR="00E023B5" w:rsidRPr="00C70421">
              <w:rPr>
                <w:lang w:val="fr-FR"/>
              </w:rPr>
              <w:t> </w:t>
            </w:r>
            <w:r w:rsidRPr="00C70421">
              <w:rPr>
                <w:lang w:val="fr-FR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23 </w:t>
            </w:r>
            <w:r w:rsidR="0050667A" w:rsidRPr="00C70421">
              <w:rPr>
                <w:lang w:val="fr-FR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25 </w:t>
            </w:r>
            <w:r w:rsidR="0050667A" w:rsidRPr="00C70421">
              <w:rPr>
                <w:lang w:val="fr-FR"/>
              </w:rPr>
              <w:t>088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2F7810" w:rsidP="00E93C4E">
      <w:pPr>
        <w:pStyle w:val="Subsection"/>
        <w:rPr>
          <w:lang w:val="fr-FR"/>
        </w:rPr>
      </w:pPr>
      <w:r w:rsidRPr="00C70421">
        <w:rPr>
          <w:lang w:val="fr-FR"/>
        </w:rPr>
        <w:t>Demandes nationales en attente de traitement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990"/>
        <w:gridCol w:w="1080"/>
        <w:gridCol w:w="1080"/>
        <w:gridCol w:w="1080"/>
        <w:gridCol w:w="2533"/>
      </w:tblGrid>
      <w:tr w:rsidR="0050667A" w:rsidRPr="00F46AD3" w:rsidTr="0050667A">
        <w:trPr>
          <w:cantSplit/>
        </w:trPr>
        <w:tc>
          <w:tcPr>
            <w:tcW w:w="2808" w:type="dxa"/>
            <w:shd w:val="clear" w:color="auto" w:fill="auto"/>
          </w:tcPr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Me</w:t>
            </w:r>
            <w:r w:rsidR="0050667A" w:rsidRPr="00C70421">
              <w:rPr>
                <w:lang w:val="fr-FR"/>
              </w:rPr>
              <w:t>sure</w:t>
            </w:r>
          </w:p>
        </w:tc>
        <w:tc>
          <w:tcPr>
            <w:tcW w:w="990" w:type="dxa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2011</w:t>
            </w:r>
            <w:r w:rsidR="0085063C">
              <w:rPr>
                <w:lang w:val="fr-FR"/>
              </w:rPr>
              <w:t>-</w:t>
            </w:r>
            <w:r w:rsidRPr="00C70421">
              <w:rPr>
                <w:lang w:val="fr-FR"/>
              </w:rPr>
              <w:t>2012</w:t>
            </w:r>
          </w:p>
        </w:tc>
        <w:tc>
          <w:tcPr>
            <w:tcW w:w="1080" w:type="dxa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2012</w:t>
            </w:r>
            <w:r w:rsidR="0085063C">
              <w:rPr>
                <w:lang w:val="fr-FR"/>
              </w:rPr>
              <w:t>-</w:t>
            </w:r>
            <w:r w:rsidRPr="00C70421">
              <w:rPr>
                <w:lang w:val="fr-FR"/>
              </w:rPr>
              <w:t>2013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2013</w:t>
            </w:r>
            <w:r w:rsidR="0085063C">
              <w:rPr>
                <w:lang w:val="fr-FR"/>
              </w:rPr>
              <w:t>-</w:t>
            </w:r>
            <w:r w:rsidRPr="00C70421">
              <w:rPr>
                <w:lang w:val="fr-FR"/>
              </w:rPr>
              <w:t>2014</w:t>
            </w:r>
          </w:p>
        </w:tc>
        <w:tc>
          <w:tcPr>
            <w:tcW w:w="1080" w:type="dxa"/>
            <w:vAlign w:val="center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2014</w:t>
            </w:r>
            <w:r w:rsidR="0085063C">
              <w:rPr>
                <w:lang w:val="fr-FR"/>
              </w:rPr>
              <w:t>-</w:t>
            </w:r>
            <w:r w:rsidRPr="00C70421">
              <w:rPr>
                <w:lang w:val="fr-FR"/>
              </w:rPr>
              <w:t>2015</w:t>
            </w:r>
          </w:p>
        </w:tc>
        <w:tc>
          <w:tcPr>
            <w:tcW w:w="2533" w:type="dxa"/>
          </w:tcPr>
          <w:p w:rsidR="00473D89" w:rsidRPr="00C70421" w:rsidRDefault="002F7810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Nombre de demandes</w:t>
            </w:r>
          </w:p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 (</w:t>
            </w:r>
            <w:r w:rsidR="007C3F05" w:rsidRPr="00C70421">
              <w:rPr>
                <w:lang w:val="fr-FR"/>
              </w:rPr>
              <w:t>au</w:t>
            </w:r>
            <w:r w:rsidRPr="00C70421">
              <w:rPr>
                <w:lang w:val="fr-FR"/>
              </w:rPr>
              <w:t xml:space="preserve"> </w:t>
            </w:r>
            <w:r w:rsidR="007C3F05" w:rsidRPr="00C70421">
              <w:rPr>
                <w:lang w:val="fr-FR"/>
              </w:rPr>
              <w:t>31</w:t>
            </w:r>
            <w:r w:rsidR="0085063C">
              <w:rPr>
                <w:lang w:val="fr-FR"/>
              </w:rPr>
              <w:t xml:space="preserve"> déc. </w:t>
            </w:r>
            <w:r w:rsidRPr="00C70421">
              <w:rPr>
                <w:lang w:val="fr-FR"/>
              </w:rPr>
              <w:t>2016)</w:t>
            </w:r>
          </w:p>
        </w:tc>
      </w:tr>
      <w:tr w:rsidR="0050667A" w:rsidRPr="00C70421" w:rsidTr="0050667A">
        <w:trPr>
          <w:cantSplit/>
        </w:trPr>
        <w:tc>
          <w:tcPr>
            <w:tcW w:w="2808" w:type="dxa"/>
            <w:shd w:val="clear" w:color="auto" w:fill="auto"/>
          </w:tcPr>
          <w:p w:rsidR="0050667A" w:rsidRPr="00C70421" w:rsidRDefault="0050667A" w:rsidP="00E93C4E">
            <w:pPr>
              <w:rPr>
                <w:lang w:val="fr-FR"/>
              </w:rPr>
            </w:pPr>
          </w:p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Toutes les demandes en instance </w:t>
            </w:r>
          </w:p>
        </w:tc>
        <w:tc>
          <w:tcPr>
            <w:tcW w:w="99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Sans objet</w:t>
            </w:r>
          </w:p>
        </w:tc>
        <w:tc>
          <w:tcPr>
            <w:tcW w:w="108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Sans objet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Sans objet</w:t>
            </w:r>
          </w:p>
        </w:tc>
        <w:tc>
          <w:tcPr>
            <w:tcW w:w="108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Sans objet</w:t>
            </w:r>
          </w:p>
        </w:tc>
        <w:tc>
          <w:tcPr>
            <w:tcW w:w="2533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177 </w:t>
            </w:r>
            <w:r w:rsidR="0050667A" w:rsidRPr="00C70421">
              <w:rPr>
                <w:lang w:val="fr-FR"/>
              </w:rPr>
              <w:t>710</w:t>
            </w:r>
          </w:p>
        </w:tc>
      </w:tr>
      <w:tr w:rsidR="0050667A" w:rsidRPr="00F46AD3" w:rsidTr="0050667A">
        <w:trPr>
          <w:cantSplit/>
        </w:trPr>
        <w:tc>
          <w:tcPr>
            <w:tcW w:w="2808" w:type="dxa"/>
            <w:shd w:val="clear" w:color="auto" w:fill="auto"/>
          </w:tcPr>
          <w:p w:rsidR="0050667A" w:rsidRPr="00C70421" w:rsidRDefault="002F7810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Demandes en attente de la recherche (taxes correspondantes payées)</w:t>
            </w:r>
          </w:p>
        </w:tc>
        <w:tc>
          <w:tcPr>
            <w:tcW w:w="6763" w:type="dxa"/>
            <w:gridSpan w:val="5"/>
            <w:vAlign w:val="center"/>
          </w:tcPr>
          <w:p w:rsidR="0050667A" w:rsidRPr="00C70421" w:rsidRDefault="007C3F0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Comme les tâches liées à la recherche et à l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examen sont effectuées par le même examinateur au même moment, il n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y a pas de données distinctes et spécifiques.</w:t>
            </w:r>
          </w:p>
        </w:tc>
      </w:tr>
      <w:tr w:rsidR="0050667A" w:rsidRPr="00C70421" w:rsidTr="0050667A">
        <w:trPr>
          <w:cantSplit/>
        </w:trPr>
        <w:tc>
          <w:tcPr>
            <w:tcW w:w="2808" w:type="dxa"/>
            <w:shd w:val="clear" w:color="auto" w:fill="auto"/>
          </w:tcPr>
          <w:p w:rsidR="0050667A" w:rsidRPr="00C70421" w:rsidRDefault="004859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Demandes en attente du premier examen (taxes correspondantes payées</w:t>
            </w:r>
            <w:r w:rsidR="0050667A" w:rsidRPr="00C70421">
              <w:rPr>
                <w:lang w:val="fr-FR"/>
              </w:rPr>
              <w:t>)</w:t>
            </w:r>
          </w:p>
        </w:tc>
        <w:tc>
          <w:tcPr>
            <w:tcW w:w="99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45 </w:t>
            </w:r>
            <w:r w:rsidR="0050667A" w:rsidRPr="00C70421">
              <w:rPr>
                <w:lang w:val="fr-FR"/>
              </w:rPr>
              <w:t>281</w:t>
            </w:r>
          </w:p>
        </w:tc>
        <w:tc>
          <w:tcPr>
            <w:tcW w:w="108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36 </w:t>
            </w:r>
            <w:r w:rsidR="0050667A" w:rsidRPr="00C70421">
              <w:rPr>
                <w:lang w:val="fr-FR"/>
              </w:rPr>
              <w:t>872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30 </w:t>
            </w:r>
            <w:r w:rsidR="0050667A" w:rsidRPr="00C70421">
              <w:rPr>
                <w:lang w:val="fr-FR"/>
              </w:rPr>
              <w:t>125</w:t>
            </w:r>
          </w:p>
        </w:tc>
        <w:tc>
          <w:tcPr>
            <w:tcW w:w="1080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28 </w:t>
            </w:r>
            <w:r w:rsidR="0050667A" w:rsidRPr="00C70421">
              <w:rPr>
                <w:lang w:val="fr-FR"/>
              </w:rPr>
              <w:t>367</w:t>
            </w:r>
          </w:p>
        </w:tc>
        <w:tc>
          <w:tcPr>
            <w:tcW w:w="2533" w:type="dxa"/>
            <w:vAlign w:val="center"/>
          </w:tcPr>
          <w:p w:rsidR="0050667A" w:rsidRPr="00C70421" w:rsidRDefault="00E023B5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22 </w:t>
            </w:r>
            <w:r w:rsidR="0050667A" w:rsidRPr="00C70421">
              <w:rPr>
                <w:lang w:val="fr-FR"/>
              </w:rPr>
              <w:t>562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473D89" w:rsidRPr="00C70421" w:rsidRDefault="004859B5" w:rsidP="00E93C4E">
      <w:pPr>
        <w:pStyle w:val="Subsection"/>
        <w:rPr>
          <w:lang w:val="fr-FR"/>
        </w:rPr>
      </w:pPr>
      <w:r w:rsidRPr="00C70421">
        <w:rPr>
          <w:lang w:val="fr-FR"/>
        </w:rPr>
        <w:t>Principaux offices/États faisant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objet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une revendication de priorité dans les demandes nationales</w:t>
      </w:r>
      <w:r w:rsidR="00473D89" w:rsidRPr="00C70421">
        <w:rPr>
          <w:lang w:val="fr-FR"/>
        </w:rPr>
        <w:t> :</w:t>
      </w:r>
    </w:p>
    <w:p w:rsidR="00473D89" w:rsidRPr="00C70421" w:rsidRDefault="004859B5" w:rsidP="00E93C4E">
      <w:pPr>
        <w:pStyle w:val="Subsection"/>
        <w:rPr>
          <w:lang w:val="fr-FR"/>
        </w:rPr>
      </w:pPr>
      <w:r w:rsidRPr="00C70421">
        <w:rPr>
          <w:lang w:val="fr-FR"/>
        </w:rPr>
        <w:t>Principaux pays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origine des demandes déposées auprès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E023B5" w:rsidRPr="00C70421">
        <w:rPr>
          <w:i/>
          <w:lang w:val="fr-FR"/>
        </w:rPr>
        <w:t>Rapport annuel</w:t>
      </w:r>
      <w:r w:rsidR="00001599">
        <w:rPr>
          <w:i/>
          <w:lang w:val="fr-FR"/>
        </w:rPr>
        <w:t> </w:t>
      </w:r>
      <w:hyperlink r:id="rId51" w:history="1">
        <w:r w:rsidR="00E023B5" w:rsidRPr="00C70421">
          <w:rPr>
            <w:rStyle w:val="Hyperlink"/>
            <w:i/>
            <w:lang w:val="fr-FR"/>
          </w:rPr>
          <w:t xml:space="preserve">2014/2015 </w:t>
        </w:r>
      </w:hyperlink>
      <w:r w:rsidR="00E023B5" w:rsidRPr="00C70421">
        <w:rPr>
          <w:rStyle w:val="Hyperlink"/>
          <w:i/>
          <w:lang w:val="fr-FR"/>
        </w:rPr>
        <w:t>de l</w:t>
      </w:r>
      <w:r w:rsidR="00473D89" w:rsidRPr="00C70421">
        <w:rPr>
          <w:rStyle w:val="Hyperlink"/>
          <w:i/>
          <w:lang w:val="fr-FR"/>
        </w:rPr>
        <w:t>’</w:t>
      </w:r>
      <w:r w:rsidR="00E023B5" w:rsidRPr="00C70421">
        <w:rPr>
          <w:rStyle w:val="Hyperlink"/>
          <w:i/>
          <w:lang w:val="fr-FR"/>
        </w:rPr>
        <w:t>OPIC</w:t>
      </w:r>
    </w:p>
    <w:p w:rsidR="0050667A" w:rsidRPr="00C70421" w:rsidRDefault="00E023B5" w:rsidP="00E93C4E">
      <w:pPr>
        <w:tabs>
          <w:tab w:val="right" w:pos="2552"/>
        </w:tabs>
        <w:rPr>
          <w:i/>
          <w:lang w:val="fr-FR"/>
        </w:rPr>
      </w:pPr>
      <w:r w:rsidRPr="00C70421">
        <w:rPr>
          <w:i/>
          <w:lang w:val="fr-FR"/>
        </w:rPr>
        <w:t>Pay</w:t>
      </w:r>
      <w:r w:rsidR="0050667A" w:rsidRPr="00C70421">
        <w:rPr>
          <w:i/>
          <w:lang w:val="fr-FR"/>
        </w:rPr>
        <w:t>s</w:t>
      </w:r>
      <w:r w:rsidR="0050667A" w:rsidRPr="00C70421">
        <w:rPr>
          <w:i/>
          <w:lang w:val="fr-FR"/>
        </w:rPr>
        <w:tab/>
      </w:r>
      <w:r w:rsidR="0085063C">
        <w:rPr>
          <w:i/>
          <w:lang w:val="fr-FR"/>
        </w:rPr>
        <w:tab/>
      </w:r>
      <w:r w:rsidRPr="00C70421">
        <w:rPr>
          <w:i/>
          <w:lang w:val="fr-FR"/>
        </w:rPr>
        <w:t>Brevet</w:t>
      </w:r>
      <w:r w:rsidR="0085063C">
        <w:rPr>
          <w:i/>
          <w:lang w:val="fr-FR"/>
        </w:rPr>
        <w:t>s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États</w:t>
      </w:r>
      <w:r w:rsidR="00001599">
        <w:rPr>
          <w:lang w:val="fr-FR"/>
        </w:rPr>
        <w:noBreakHyphen/>
      </w:r>
      <w:r w:rsidRPr="00C70421">
        <w:rPr>
          <w:lang w:val="fr-FR"/>
        </w:rPr>
        <w:t>Unis</w:t>
      </w:r>
      <w:r w:rsidR="00373B66" w:rsidRPr="00C70421">
        <w:rPr>
          <w:lang w:val="fr-FR"/>
        </w:rPr>
        <w:t xml:space="preserve"> d’Amérique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17 </w:t>
      </w:r>
      <w:r w:rsidR="0085063C">
        <w:rPr>
          <w:lang w:val="fr-FR"/>
        </w:rPr>
        <w:t>129</w:t>
      </w:r>
    </w:p>
    <w:p w:rsidR="0050667A" w:rsidRPr="00C70421" w:rsidRDefault="00530D24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 xml:space="preserve">Canada </w:t>
      </w:r>
      <w:r w:rsidR="00E023B5" w:rsidRPr="00C70421">
        <w:rPr>
          <w:lang w:val="fr-FR"/>
        </w:rPr>
        <w:tab/>
      </w:r>
      <w:r w:rsidR="0085063C">
        <w:rPr>
          <w:lang w:val="fr-FR"/>
        </w:rPr>
        <w:tab/>
      </w:r>
      <w:r w:rsidR="00E023B5" w:rsidRPr="00C70421">
        <w:rPr>
          <w:lang w:val="fr-FR"/>
        </w:rPr>
        <w:t>4 </w:t>
      </w:r>
      <w:r w:rsidR="0085063C">
        <w:rPr>
          <w:lang w:val="fr-FR"/>
        </w:rPr>
        <w:t>812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Allemagne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2 </w:t>
      </w:r>
      <w:r w:rsidR="0085063C">
        <w:rPr>
          <w:lang w:val="fr-FR"/>
        </w:rPr>
        <w:t>374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 xml:space="preserve">Japon 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1 </w:t>
      </w:r>
      <w:r w:rsidR="0085063C">
        <w:rPr>
          <w:lang w:val="fr-FR"/>
        </w:rPr>
        <w:t>903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France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1 </w:t>
      </w:r>
      <w:r w:rsidR="0085063C">
        <w:rPr>
          <w:lang w:val="fr-FR"/>
        </w:rPr>
        <w:t>876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 xml:space="preserve">Suisse 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1 </w:t>
      </w:r>
      <w:r w:rsidR="0085063C">
        <w:rPr>
          <w:lang w:val="fr-FR"/>
        </w:rPr>
        <w:t>476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Royaume</w:t>
      </w:r>
      <w:r w:rsidR="00001599">
        <w:rPr>
          <w:lang w:val="fr-FR"/>
        </w:rPr>
        <w:noBreakHyphen/>
      </w:r>
      <w:r w:rsidRPr="00C70421">
        <w:rPr>
          <w:lang w:val="fr-FR"/>
        </w:rPr>
        <w:t>Uni</w:t>
      </w:r>
      <w:r w:rsidRPr="00C70421">
        <w:rPr>
          <w:lang w:val="fr-FR"/>
        </w:rPr>
        <w:tab/>
      </w:r>
      <w:r w:rsidR="0085063C">
        <w:rPr>
          <w:lang w:val="fr-FR"/>
        </w:rPr>
        <w:tab/>
      </w:r>
      <w:r w:rsidRPr="00C70421">
        <w:rPr>
          <w:lang w:val="fr-FR"/>
        </w:rPr>
        <w:t>1 </w:t>
      </w:r>
      <w:r w:rsidR="0085063C">
        <w:rPr>
          <w:lang w:val="fr-FR"/>
        </w:rPr>
        <w:t>229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Chine</w:t>
      </w:r>
      <w:r w:rsidR="0050667A" w:rsidRPr="00C70421">
        <w:rPr>
          <w:lang w:val="fr-FR"/>
        </w:rPr>
        <w:t xml:space="preserve"> </w:t>
      </w:r>
      <w:r w:rsidR="0050667A" w:rsidRPr="00C70421">
        <w:rPr>
          <w:lang w:val="fr-FR"/>
        </w:rPr>
        <w:tab/>
      </w:r>
      <w:r w:rsidR="0085063C">
        <w:rPr>
          <w:lang w:val="fr-FR"/>
        </w:rPr>
        <w:tab/>
        <w:t xml:space="preserve">   661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Pay</w:t>
      </w:r>
      <w:r w:rsidR="0050667A" w:rsidRPr="00C70421">
        <w:rPr>
          <w:lang w:val="fr-FR"/>
        </w:rPr>
        <w:t>s</w:t>
      </w:r>
      <w:r w:rsidR="00001599">
        <w:rPr>
          <w:lang w:val="fr-FR"/>
        </w:rPr>
        <w:noBreakHyphen/>
      </w:r>
      <w:r w:rsidRPr="00C70421">
        <w:rPr>
          <w:lang w:val="fr-FR"/>
        </w:rPr>
        <w:t>Bas</w:t>
      </w:r>
      <w:r w:rsidR="0050667A" w:rsidRPr="00C70421">
        <w:rPr>
          <w:lang w:val="fr-FR"/>
        </w:rPr>
        <w:t xml:space="preserve"> </w:t>
      </w:r>
      <w:r w:rsidR="0050667A" w:rsidRPr="00C70421">
        <w:rPr>
          <w:lang w:val="fr-FR"/>
        </w:rPr>
        <w:tab/>
      </w:r>
      <w:r w:rsidR="0085063C">
        <w:rPr>
          <w:lang w:val="fr-FR"/>
        </w:rPr>
        <w:tab/>
        <w:t xml:space="preserve">   601</w:t>
      </w:r>
    </w:p>
    <w:p w:rsidR="0050667A" w:rsidRPr="00C70421" w:rsidRDefault="00E023B5" w:rsidP="00E93C4E">
      <w:pPr>
        <w:tabs>
          <w:tab w:val="right" w:pos="2552"/>
        </w:tabs>
        <w:rPr>
          <w:lang w:val="fr-FR"/>
        </w:rPr>
      </w:pPr>
      <w:r w:rsidRPr="00C70421">
        <w:rPr>
          <w:lang w:val="fr-FR"/>
        </w:rPr>
        <w:t>Italie</w:t>
      </w:r>
      <w:r w:rsidR="0050667A" w:rsidRPr="00C70421">
        <w:rPr>
          <w:lang w:val="fr-FR"/>
        </w:rPr>
        <w:t xml:space="preserve"> </w:t>
      </w:r>
      <w:r w:rsidR="0050667A" w:rsidRPr="00C70421">
        <w:rPr>
          <w:lang w:val="fr-FR"/>
        </w:rPr>
        <w:tab/>
      </w:r>
      <w:r w:rsidR="0085063C">
        <w:rPr>
          <w:lang w:val="fr-FR"/>
        </w:rPr>
        <w:tab/>
        <w:t xml:space="preserve">   </w:t>
      </w:r>
      <w:r w:rsidR="0050667A" w:rsidRPr="00C70421">
        <w:rPr>
          <w:lang w:val="fr-FR"/>
        </w:rPr>
        <w:t>569</w:t>
      </w:r>
    </w:p>
    <w:p w:rsidR="0050667A" w:rsidRPr="00C70421" w:rsidRDefault="0050667A" w:rsidP="00E93C4E">
      <w:pPr>
        <w:pStyle w:val="SectionHeading"/>
        <w:rPr>
          <w:rStyle w:val="InsertedText"/>
          <w:color w:val="auto"/>
          <w:u w:val="none"/>
          <w:lang w:val="fr-FR"/>
        </w:rPr>
      </w:pPr>
      <w:r w:rsidRPr="00C70421">
        <w:rPr>
          <w:rStyle w:val="InsertedText"/>
          <w:color w:val="auto"/>
          <w:u w:val="none"/>
          <w:lang w:val="fr-FR"/>
        </w:rPr>
        <w:lastRenderedPageBreak/>
        <w:t xml:space="preserve">7 – </w:t>
      </w:r>
      <w:r w:rsidR="002F7810" w:rsidRPr="00C70421">
        <w:rPr>
          <w:lang w:val="fr-FR"/>
        </w:rPr>
        <w:t>Appui nécessaire</w:t>
      </w:r>
    </w:p>
    <w:p w:rsidR="00473D89" w:rsidRPr="00C70421" w:rsidRDefault="00B96599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aura besoin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un </w:t>
      </w:r>
      <w:r w:rsidR="001A2D67" w:rsidRPr="00C70421">
        <w:rPr>
          <w:lang w:val="fr-FR"/>
        </w:rPr>
        <w:t>appui</w:t>
      </w:r>
      <w:r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minimal </w:t>
      </w:r>
      <w:r w:rsidRPr="00C70421">
        <w:rPr>
          <w:lang w:val="fr-FR"/>
        </w:rPr>
        <w:t>de la part du Burea</w:t>
      </w:r>
      <w:r w:rsidR="001A2D67" w:rsidRPr="00C70421">
        <w:rPr>
          <w:lang w:val="fr-FR"/>
        </w:rPr>
        <w:t>u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i</w:t>
      </w:r>
      <w:r w:rsidR="0050667A" w:rsidRPr="00C70421">
        <w:rPr>
          <w:lang w:val="fr-FR"/>
        </w:rPr>
        <w:t xml:space="preserve">nternational </w:t>
      </w:r>
      <w:r w:rsidRPr="00C70421">
        <w:rPr>
          <w:lang w:val="fr-FR"/>
        </w:rPr>
        <w:t>au cours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année prochaine </w:t>
      </w:r>
      <w:r w:rsidR="00FF3A1A" w:rsidRPr="00C70421">
        <w:rPr>
          <w:lang w:val="fr-FR"/>
        </w:rPr>
        <w:t>lors d</w:t>
      </w:r>
      <w:r w:rsidRPr="00C70421">
        <w:rPr>
          <w:lang w:val="fr-FR"/>
        </w:rPr>
        <w:t xml:space="preserve">es essais </w:t>
      </w:r>
      <w:r w:rsidR="00195647" w:rsidRPr="00C70421">
        <w:rPr>
          <w:lang w:val="fr-FR"/>
        </w:rPr>
        <w:t>portant sur</w:t>
      </w:r>
      <w:r w:rsidRPr="00C70421">
        <w:rPr>
          <w:lang w:val="fr-FR"/>
        </w:rPr>
        <w:t xml:space="preserve">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utilisation</w:t>
      </w:r>
      <w:r w:rsidR="0050667A" w:rsidRPr="00C70421">
        <w:rPr>
          <w:lang w:val="fr-FR"/>
        </w:rPr>
        <w:t xml:space="preserve"> </w:t>
      </w:r>
      <w:r w:rsidR="00FF3A1A" w:rsidRPr="00C70421">
        <w:rPr>
          <w:lang w:val="fr-FR"/>
        </w:rPr>
        <w:t xml:space="preserve">du système </w:t>
      </w:r>
      <w:proofErr w:type="spellStart"/>
      <w:r w:rsidR="0050667A" w:rsidRPr="00C70421">
        <w:rPr>
          <w:lang w:val="fr-FR"/>
        </w:rPr>
        <w:t>ePCT</w:t>
      </w:r>
      <w:proofErr w:type="spellEnd"/>
      <w:r w:rsidR="0050667A" w:rsidRPr="00C70421">
        <w:rPr>
          <w:lang w:val="fr-FR"/>
        </w:rPr>
        <w:t xml:space="preserve"> </w:t>
      </w:r>
      <w:r w:rsidR="00FF3A1A" w:rsidRPr="00C70421">
        <w:rPr>
          <w:lang w:val="fr-FR"/>
        </w:rPr>
        <w:t>pour les documents postérieurs au dépôt</w:t>
      </w:r>
      <w:r w:rsidR="0050667A" w:rsidRPr="00C70421">
        <w:rPr>
          <w:lang w:val="fr-FR"/>
        </w:rPr>
        <w:t xml:space="preserve"> </w:t>
      </w:r>
      <w:r w:rsidR="00724F36" w:rsidRPr="00C70421">
        <w:rPr>
          <w:lang w:val="fr-FR"/>
        </w:rPr>
        <w:t>de la part des demandeurs</w:t>
      </w:r>
      <w:r w:rsidR="0050667A" w:rsidRPr="00C70421">
        <w:rPr>
          <w:lang w:val="fr-FR"/>
        </w:rPr>
        <w:t xml:space="preserve">. </w:t>
      </w:r>
      <w:r w:rsidR="00373B66" w:rsidRPr="00C70421">
        <w:rPr>
          <w:lang w:val="fr-FR"/>
        </w:rPr>
        <w:t xml:space="preserve"> </w:t>
      </w:r>
    </w:p>
    <w:p w:rsidR="0050667A" w:rsidRPr="00C70421" w:rsidRDefault="0085063C" w:rsidP="00E93C4E">
      <w:pPr>
        <w:pStyle w:val="SectionHeading"/>
        <w:rPr>
          <w:lang w:val="fr-FR"/>
        </w:rPr>
      </w:pPr>
      <w:r>
        <w:rPr>
          <w:lang w:val="fr-FR"/>
        </w:rPr>
        <w:t>8 – A</w:t>
      </w:r>
      <w:r w:rsidR="002F7810" w:rsidRPr="00C70421">
        <w:rPr>
          <w:lang w:val="fr-FR"/>
        </w:rPr>
        <w:t>utres</w:t>
      </w:r>
    </w:p>
    <w:p w:rsidR="0050667A" w:rsidRPr="00C70421" w:rsidRDefault="001362D7" w:rsidP="00E93C4E">
      <w:pPr>
        <w:pStyle w:val="Subsection"/>
        <w:rPr>
          <w:lang w:val="fr-FR"/>
        </w:rPr>
      </w:pPr>
      <w:r w:rsidRPr="00C70421">
        <w:rPr>
          <w:lang w:val="fr-FR"/>
        </w:rPr>
        <w:t>À propos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1362D7" w:rsidRPr="00C70421">
        <w:rPr>
          <w:i/>
          <w:lang w:val="fr-FR"/>
        </w:rPr>
        <w:t>Rapport annuel</w:t>
      </w:r>
      <w:r w:rsidR="00001599">
        <w:rPr>
          <w:i/>
          <w:lang w:val="fr-FR"/>
        </w:rPr>
        <w:t> </w:t>
      </w:r>
      <w:hyperlink r:id="rId52" w:history="1">
        <w:r w:rsidRPr="00C70421">
          <w:rPr>
            <w:rStyle w:val="Hyperlink"/>
            <w:i/>
            <w:lang w:val="fr-FR"/>
          </w:rPr>
          <w:t xml:space="preserve">2014/2015 </w:t>
        </w:r>
      </w:hyperlink>
      <w:r w:rsidR="001362D7" w:rsidRPr="00C70421">
        <w:rPr>
          <w:rStyle w:val="Hyperlink"/>
          <w:i/>
          <w:lang w:val="fr-FR"/>
        </w:rPr>
        <w:t>de l</w:t>
      </w:r>
      <w:r w:rsidR="00473D89" w:rsidRPr="00C70421">
        <w:rPr>
          <w:rStyle w:val="Hyperlink"/>
          <w:i/>
          <w:lang w:val="fr-FR"/>
        </w:rPr>
        <w:t>’</w:t>
      </w:r>
      <w:r w:rsidR="001362D7" w:rsidRPr="00C70421">
        <w:rPr>
          <w:rStyle w:val="Hyperlink"/>
          <w:i/>
          <w:lang w:val="fr-FR"/>
        </w:rPr>
        <w:t>OPIC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1362D7" w:rsidP="00E93C4E">
      <w:pPr>
        <w:rPr>
          <w:lang w:val="fr-FR"/>
        </w:rPr>
      </w:pP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50667A" w:rsidRPr="00C70421">
        <w:rPr>
          <w:lang w:val="fr-FR"/>
        </w:rPr>
        <w:t>Office</w:t>
      </w:r>
      <w:r w:rsidRPr="00C70421">
        <w:rPr>
          <w:lang w:val="fr-FR"/>
        </w:rPr>
        <w:t xml:space="preserve"> de la propriété intellectuelle du Canada</w:t>
      </w:r>
      <w:r w:rsidR="0050667A" w:rsidRPr="00C70421">
        <w:rPr>
          <w:lang w:val="fr-FR"/>
        </w:rPr>
        <w:t xml:space="preserve"> (O</w:t>
      </w:r>
      <w:r w:rsidRPr="00C70421">
        <w:rPr>
          <w:lang w:val="fr-FR"/>
        </w:rPr>
        <w:t>PIC</w:t>
      </w:r>
      <w:r w:rsidR="0050667A" w:rsidRPr="00C70421">
        <w:rPr>
          <w:lang w:val="fr-FR"/>
        </w:rPr>
        <w:t xml:space="preserve">), </w:t>
      </w:r>
      <w:r w:rsidRPr="00C70421">
        <w:rPr>
          <w:lang w:val="fr-FR"/>
        </w:rPr>
        <w:t>organisme de service spécial (OSS</w:t>
      </w:r>
      <w:r w:rsidR="0050667A" w:rsidRPr="00C70421">
        <w:rPr>
          <w:lang w:val="fr-FR"/>
        </w:rPr>
        <w:t xml:space="preserve">) </w:t>
      </w:r>
      <w:r w:rsidRPr="00C70421">
        <w:rPr>
          <w:lang w:val="fr-FR"/>
        </w:rPr>
        <w:t>au sein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hyperlink r:id="rId53" w:history="1">
        <w:r w:rsidR="0050667A" w:rsidRPr="00C70421">
          <w:rPr>
            <w:rStyle w:val="Hyperlink"/>
            <w:lang w:val="fr-FR"/>
          </w:rPr>
          <w:t>Innovation, Science</w:t>
        </w:r>
        <w:r w:rsidRPr="00C70421">
          <w:rPr>
            <w:rStyle w:val="Hyperlink"/>
            <w:lang w:val="fr-FR"/>
          </w:rPr>
          <w:t xml:space="preserve">s et Développement économique </w:t>
        </w:r>
        <w:r w:rsidR="0050667A" w:rsidRPr="00C70421">
          <w:rPr>
            <w:rStyle w:val="Hyperlink"/>
            <w:lang w:val="fr-FR"/>
          </w:rPr>
          <w:t>Canada</w:t>
        </w:r>
      </w:hyperlink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est le principal responsable de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administration et du traitement </w:t>
      </w:r>
      <w:r w:rsidR="007A502B" w:rsidRPr="00C70421">
        <w:rPr>
          <w:lang w:val="fr-FR"/>
        </w:rPr>
        <w:t xml:space="preserve">des demandes de propriété intellectuelle au </w:t>
      </w:r>
      <w:r w:rsidR="0050667A" w:rsidRPr="00C70421">
        <w:rPr>
          <w:lang w:val="fr-FR"/>
        </w:rPr>
        <w:t>Cana</w:t>
      </w:r>
      <w:r w:rsidR="00C70421" w:rsidRPr="00C70421">
        <w:rPr>
          <w:lang w:val="fr-FR"/>
        </w:rPr>
        <w:t>da.  Le</w:t>
      </w:r>
      <w:r w:rsidR="007A502B" w:rsidRPr="00C70421">
        <w:rPr>
          <w:lang w:val="fr-FR"/>
        </w:rPr>
        <w:t>s secteurs d</w:t>
      </w:r>
      <w:r w:rsidR="00473D89" w:rsidRPr="00C70421">
        <w:rPr>
          <w:lang w:val="fr-FR"/>
        </w:rPr>
        <w:t>’</w:t>
      </w:r>
      <w:r w:rsidR="007A502B" w:rsidRPr="00C70421">
        <w:rPr>
          <w:lang w:val="fr-FR"/>
        </w:rPr>
        <w:t>activité de l</w:t>
      </w:r>
      <w:r w:rsidR="00473D89" w:rsidRPr="00C70421">
        <w:rPr>
          <w:lang w:val="fr-FR"/>
        </w:rPr>
        <w:t>’</w:t>
      </w:r>
      <w:r w:rsidR="007A502B" w:rsidRPr="00C70421">
        <w:rPr>
          <w:lang w:val="fr-FR"/>
        </w:rPr>
        <w:t>OPIC sont</w:t>
      </w:r>
      <w:r w:rsidR="008B1AE0" w:rsidRPr="00C70421">
        <w:rPr>
          <w:lang w:val="fr-FR"/>
        </w:rPr>
        <w:t xml:space="preserve"> </w:t>
      </w:r>
      <w:r w:rsidR="007A502B" w:rsidRPr="00C70421">
        <w:rPr>
          <w:lang w:val="fr-FR"/>
        </w:rPr>
        <w:t>les brevets, les marques de commerce, le droit d</w:t>
      </w:r>
      <w:r w:rsidR="00473D89" w:rsidRPr="00C70421">
        <w:rPr>
          <w:lang w:val="fr-FR"/>
        </w:rPr>
        <w:t>’</w:t>
      </w:r>
      <w:r w:rsidR="007A502B" w:rsidRPr="00C70421">
        <w:rPr>
          <w:lang w:val="fr-FR"/>
        </w:rPr>
        <w:t>auteur, les dessins</w:t>
      </w:r>
      <w:r w:rsidR="00D24E53">
        <w:rPr>
          <w:lang w:val="fr-FR"/>
        </w:rPr>
        <w:t xml:space="preserve"> et modèles</w:t>
      </w:r>
      <w:r w:rsidR="007A502B" w:rsidRPr="00C70421">
        <w:rPr>
          <w:lang w:val="fr-FR"/>
        </w:rPr>
        <w:t xml:space="preserve"> industriels et les topographies de circuits intégrés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7A502B" w:rsidP="00E93C4E">
      <w:pPr>
        <w:pStyle w:val="Subsection"/>
        <w:rPr>
          <w:lang w:val="fr-FR"/>
        </w:rPr>
      </w:pPr>
      <w:bookmarkStart w:id="11" w:name="CIPOsHistory"/>
      <w:bookmarkEnd w:id="11"/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histoire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</w:t>
      </w:r>
    </w:p>
    <w:p w:rsidR="0050667A" w:rsidRPr="00C70421" w:rsidRDefault="0050667A" w:rsidP="00E93C4E">
      <w:pPr>
        <w:rPr>
          <w:i/>
          <w:lang w:val="fr-FR"/>
        </w:rPr>
      </w:pPr>
      <w:r w:rsidRPr="00C70421">
        <w:rPr>
          <w:i/>
          <w:lang w:val="fr-FR"/>
        </w:rPr>
        <w:t>Source</w:t>
      </w:r>
      <w:r w:rsidR="00473D89" w:rsidRPr="00C70421">
        <w:rPr>
          <w:i/>
          <w:lang w:val="fr-FR"/>
        </w:rPr>
        <w:t> :</w:t>
      </w:r>
      <w:r w:rsidR="008B1AE0" w:rsidRPr="00C70421">
        <w:rPr>
          <w:i/>
          <w:lang w:val="fr-FR"/>
        </w:rPr>
        <w:t xml:space="preserve"> </w:t>
      </w:r>
      <w:r w:rsidR="007A502B" w:rsidRPr="00C70421">
        <w:rPr>
          <w:i/>
          <w:lang w:val="fr-FR"/>
        </w:rPr>
        <w:t>Bibliothèque et</w:t>
      </w:r>
      <w:r w:rsidRPr="00C70421">
        <w:rPr>
          <w:i/>
          <w:lang w:val="fr-FR"/>
        </w:rPr>
        <w:t xml:space="preserve"> Archives Canada/</w:t>
      </w:r>
      <w:r w:rsidR="00DE70D7" w:rsidRPr="00C70421">
        <w:rPr>
          <w:i/>
          <w:lang w:val="fr-FR"/>
        </w:rPr>
        <w:t>Fonds de l</w:t>
      </w:r>
      <w:r w:rsidR="00473D89" w:rsidRPr="00C70421">
        <w:rPr>
          <w:i/>
          <w:lang w:val="fr-FR"/>
        </w:rPr>
        <w:t>’</w:t>
      </w:r>
      <w:r w:rsidR="00DE70D7" w:rsidRPr="00C70421">
        <w:rPr>
          <w:i/>
          <w:lang w:val="fr-FR"/>
        </w:rPr>
        <w:t>Office de la propriété intellectuelle du Canada</w:t>
      </w:r>
      <w:r w:rsidRPr="00C70421">
        <w:rPr>
          <w:i/>
          <w:lang w:val="fr-FR"/>
        </w:rPr>
        <w:t>/R9271</w:t>
      </w:r>
      <w:r w:rsidR="00001599">
        <w:rPr>
          <w:i/>
          <w:lang w:val="fr-FR"/>
        </w:rPr>
        <w:noBreakHyphen/>
      </w:r>
      <w:r w:rsidRPr="00C70421">
        <w:rPr>
          <w:i/>
          <w:lang w:val="fr-FR"/>
        </w:rPr>
        <w:t>0</w:t>
      </w:r>
      <w:r w:rsidR="00001599">
        <w:rPr>
          <w:i/>
          <w:lang w:val="fr-FR"/>
        </w:rPr>
        <w:noBreakHyphen/>
      </w:r>
      <w:r w:rsidRPr="00C70421">
        <w:rPr>
          <w:i/>
          <w:lang w:val="fr-FR"/>
        </w:rPr>
        <w:t>3</w:t>
      </w:r>
      <w:r w:rsidR="00001599">
        <w:rPr>
          <w:i/>
          <w:lang w:val="fr-FR"/>
        </w:rPr>
        <w:noBreakHyphen/>
      </w:r>
      <w:r w:rsidRPr="00C70421">
        <w:rPr>
          <w:i/>
          <w:lang w:val="fr-FR"/>
        </w:rPr>
        <w:t>E</w:t>
      </w:r>
    </w:p>
    <w:p w:rsidR="0050667A" w:rsidRPr="00C70421" w:rsidRDefault="0050667A" w:rsidP="00E93C4E">
      <w:pPr>
        <w:rPr>
          <w:lang w:val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200"/>
      </w:tblGrid>
      <w:tr w:rsidR="0050667A" w:rsidRPr="00F46AD3" w:rsidTr="00530D24">
        <w:trPr>
          <w:tblCellSpacing w:w="15" w:type="dxa"/>
        </w:trPr>
        <w:tc>
          <w:tcPr>
            <w:tcW w:w="1200" w:type="dxa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1869</w:t>
            </w:r>
          </w:p>
        </w:tc>
        <w:tc>
          <w:tcPr>
            <w:tcW w:w="0" w:type="auto"/>
            <w:hideMark/>
          </w:tcPr>
          <w:p w:rsidR="0050667A" w:rsidRPr="00C70421" w:rsidRDefault="007C46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Les </w:t>
            </w:r>
            <w:r w:rsidR="00F904ED" w:rsidRPr="00C70421">
              <w:rPr>
                <w:lang w:val="fr-FR"/>
              </w:rPr>
              <w:t>bureaux</w:t>
            </w:r>
            <w:r w:rsidRPr="00C70421">
              <w:rPr>
                <w:lang w:val="fr-FR"/>
              </w:rPr>
              <w:t xml:space="preserve"> des brevets, des marques et de</w:t>
            </w:r>
            <w:r w:rsidR="0091055C" w:rsidRPr="00C70421">
              <w:rPr>
                <w:lang w:val="fr-FR"/>
              </w:rPr>
              <w:t xml:space="preserve">s dessins </w:t>
            </w:r>
            <w:r w:rsidR="00D24E53">
              <w:rPr>
                <w:lang w:val="fr-FR"/>
              </w:rPr>
              <w:t xml:space="preserve">et modèles </w:t>
            </w:r>
            <w:r w:rsidR="0091055C" w:rsidRPr="00C70421">
              <w:rPr>
                <w:lang w:val="fr-FR"/>
              </w:rPr>
              <w:t>industriels sont créé</w:t>
            </w:r>
            <w:r w:rsidRPr="00C70421">
              <w:rPr>
                <w:lang w:val="fr-FR"/>
              </w:rPr>
              <w:t>s et rattachés au</w:t>
            </w:r>
            <w:r w:rsidR="0050667A" w:rsidRPr="00C70421">
              <w:rPr>
                <w:lang w:val="fr-FR"/>
              </w:rPr>
              <w:t xml:space="preserve"> </w:t>
            </w:r>
            <w:r w:rsidR="00373B66" w:rsidRPr="00C70421">
              <w:rPr>
                <w:lang w:val="fr-FR"/>
              </w:rPr>
              <w:t>Ministère</w:t>
            </w:r>
            <w:r w:rsidRPr="00C70421">
              <w:rPr>
                <w:lang w:val="fr-FR"/>
              </w:rPr>
              <w:t xml:space="preserve"> de</w:t>
            </w:r>
            <w:r w:rsidR="0050667A" w:rsidRPr="00C70421">
              <w:rPr>
                <w:lang w:val="fr-FR"/>
              </w:rPr>
              <w:t xml:space="preserve"> </w:t>
            </w:r>
            <w:r w:rsidRPr="00C70421">
              <w:rPr>
                <w:lang w:val="fr-FR"/>
              </w:rPr>
              <w:t>l</w:t>
            </w:r>
            <w:r w:rsidR="00473D89" w:rsidRPr="00C70421">
              <w:rPr>
                <w:lang w:val="fr-FR"/>
              </w:rPr>
              <w:t>’</w:t>
            </w:r>
            <w:r w:rsidR="00A11BCC" w:rsidRPr="00C70421">
              <w:rPr>
                <w:lang w:val="fr-FR"/>
              </w:rPr>
              <w:t>A</w:t>
            </w:r>
            <w:r w:rsidR="0050667A" w:rsidRPr="00C70421">
              <w:rPr>
                <w:lang w:val="fr-FR"/>
              </w:rPr>
              <w:t>griculture.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1918</w:t>
            </w:r>
          </w:p>
        </w:tc>
        <w:tc>
          <w:tcPr>
            <w:tcW w:w="0" w:type="auto"/>
            <w:hideMark/>
          </w:tcPr>
          <w:p w:rsidR="0050667A" w:rsidRPr="00C70421" w:rsidRDefault="007C4699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Le </w:t>
            </w:r>
            <w:r w:rsidR="00373B66" w:rsidRPr="00C70421">
              <w:rPr>
                <w:lang w:val="fr-FR"/>
              </w:rPr>
              <w:t>Ministère</w:t>
            </w:r>
            <w:r w:rsidR="00B31ACA" w:rsidRPr="00C70421">
              <w:rPr>
                <w:lang w:val="fr-FR"/>
              </w:rPr>
              <w:t xml:space="preserve"> du </w:t>
            </w:r>
            <w:r w:rsidR="00A11BCC" w:rsidRPr="00C70421">
              <w:rPr>
                <w:lang w:val="fr-FR"/>
              </w:rPr>
              <w:t>C</w:t>
            </w:r>
            <w:r w:rsidRPr="00C70421">
              <w:rPr>
                <w:lang w:val="fr-FR"/>
              </w:rPr>
              <w:t xml:space="preserve">ommerce </w:t>
            </w:r>
            <w:r w:rsidR="00B31ACA" w:rsidRPr="00C70421">
              <w:rPr>
                <w:lang w:val="fr-FR"/>
              </w:rPr>
              <w:t>est l</w:t>
            </w:r>
            <w:r w:rsidR="00473D89" w:rsidRPr="00C70421">
              <w:rPr>
                <w:lang w:val="fr-FR"/>
              </w:rPr>
              <w:t>’</w:t>
            </w:r>
            <w:r w:rsidR="00B31ACA" w:rsidRPr="00C70421">
              <w:rPr>
                <w:lang w:val="fr-FR"/>
              </w:rPr>
              <w:t>organe compétent</w:t>
            </w:r>
            <w:r w:rsidR="0050667A" w:rsidRPr="00C70421">
              <w:rPr>
                <w:lang w:val="fr-FR"/>
              </w:rPr>
              <w:t xml:space="preserve"> </w:t>
            </w:r>
            <w:r w:rsidR="00B31ACA" w:rsidRPr="00C70421">
              <w:rPr>
                <w:lang w:val="fr-FR"/>
              </w:rPr>
              <w:t>en matière de brevets, de marques</w:t>
            </w:r>
            <w:r w:rsidR="0050667A" w:rsidRPr="00C70421">
              <w:rPr>
                <w:lang w:val="fr-FR"/>
              </w:rPr>
              <w:t>,</w:t>
            </w:r>
            <w:r w:rsidR="00B31ACA" w:rsidRPr="00C70421">
              <w:rPr>
                <w:lang w:val="fr-FR"/>
              </w:rPr>
              <w:t xml:space="preserve"> de droit d</w:t>
            </w:r>
            <w:r w:rsidR="00473D89" w:rsidRPr="00C70421">
              <w:rPr>
                <w:lang w:val="fr-FR"/>
              </w:rPr>
              <w:t>’</w:t>
            </w:r>
            <w:r w:rsidR="00B31ACA" w:rsidRPr="00C70421">
              <w:rPr>
                <w:lang w:val="fr-FR"/>
              </w:rPr>
              <w:t>auteur</w:t>
            </w:r>
            <w:r w:rsidR="0050667A" w:rsidRPr="00C70421">
              <w:rPr>
                <w:lang w:val="fr-FR"/>
              </w:rPr>
              <w:t xml:space="preserve">, </w:t>
            </w:r>
            <w:r w:rsidR="00B31ACA" w:rsidRPr="00C70421">
              <w:rPr>
                <w:lang w:val="fr-FR"/>
              </w:rPr>
              <w:t xml:space="preserve">de dessins </w:t>
            </w:r>
            <w:r w:rsidR="00D24E53">
              <w:rPr>
                <w:lang w:val="fr-FR"/>
              </w:rPr>
              <w:t xml:space="preserve">et modèles </w:t>
            </w:r>
            <w:r w:rsidR="00B31ACA" w:rsidRPr="00C70421">
              <w:rPr>
                <w:lang w:val="fr-FR"/>
              </w:rPr>
              <w:t>industriels et de marquage</w:t>
            </w:r>
            <w:r w:rsidR="00F904ED" w:rsidRPr="00C70421">
              <w:rPr>
                <w:lang w:val="fr-FR"/>
              </w:rPr>
              <w:t xml:space="preserve"> des bois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1927</w:t>
            </w:r>
          </w:p>
        </w:tc>
        <w:tc>
          <w:tcPr>
            <w:tcW w:w="0" w:type="auto"/>
            <w:hideMark/>
          </w:tcPr>
          <w:p w:rsidR="0050667A" w:rsidRPr="00C70421" w:rsidRDefault="00B31AC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Les brevets, les marques, le droit d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 xml:space="preserve">auteur, les dessins </w:t>
            </w:r>
            <w:r w:rsidR="00D24E53">
              <w:rPr>
                <w:lang w:val="fr-FR"/>
              </w:rPr>
              <w:t xml:space="preserve">et modèles </w:t>
            </w:r>
            <w:r w:rsidRPr="00C70421">
              <w:rPr>
                <w:lang w:val="fr-FR"/>
              </w:rPr>
              <w:t xml:space="preserve">industriels et le marquage </w:t>
            </w:r>
            <w:r w:rsidR="00F904ED" w:rsidRPr="00C70421">
              <w:rPr>
                <w:lang w:val="fr-FR"/>
              </w:rPr>
              <w:t xml:space="preserve">des bois </w:t>
            </w:r>
            <w:r w:rsidRPr="00C70421">
              <w:rPr>
                <w:lang w:val="fr-FR"/>
              </w:rPr>
              <w:t xml:space="preserve">sont transférés au </w:t>
            </w:r>
            <w:r w:rsidR="00A11BCC" w:rsidRPr="00C70421">
              <w:rPr>
                <w:lang w:val="fr-FR"/>
              </w:rPr>
              <w:t>Secrétariat</w:t>
            </w:r>
            <w:r w:rsidRPr="00C70421">
              <w:rPr>
                <w:lang w:val="fr-FR"/>
              </w:rPr>
              <w:t xml:space="preserve"> d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État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1966</w:t>
            </w:r>
          </w:p>
        </w:tc>
        <w:tc>
          <w:tcPr>
            <w:tcW w:w="0" w:type="auto"/>
            <w:hideMark/>
          </w:tcPr>
          <w:p w:rsidR="0050667A" w:rsidRPr="00C70421" w:rsidRDefault="00B31AC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Durant une courte période</w:t>
            </w:r>
            <w:r w:rsidR="0050667A" w:rsidRPr="00C70421">
              <w:rPr>
                <w:lang w:val="fr-FR"/>
              </w:rPr>
              <w:t xml:space="preserve">, </w:t>
            </w:r>
            <w:r w:rsidR="00F904ED" w:rsidRPr="00C70421">
              <w:rPr>
                <w:lang w:val="fr-FR"/>
              </w:rPr>
              <w:t xml:space="preserve">le Bureau du </w:t>
            </w:r>
            <w:r w:rsidR="00D24E53">
              <w:rPr>
                <w:lang w:val="fr-FR"/>
              </w:rPr>
              <w:t>directeur</w:t>
            </w:r>
            <w:r w:rsidR="00F904ED" w:rsidRPr="00C70421">
              <w:rPr>
                <w:lang w:val="fr-FR"/>
              </w:rPr>
              <w:t xml:space="preserve"> général</w:t>
            </w:r>
            <w:r w:rsidR="00D24E53">
              <w:rPr>
                <w:lang w:val="fr-FR"/>
              </w:rPr>
              <w:t xml:space="preserve"> de l’enregistrement</w:t>
            </w:r>
            <w:r w:rsidR="004F097C" w:rsidRPr="00C70421">
              <w:rPr>
                <w:lang w:val="fr-FR"/>
              </w:rPr>
              <w:t xml:space="preserve"> agi</w:t>
            </w:r>
            <w:r w:rsidR="00F904ED" w:rsidRPr="00C70421">
              <w:rPr>
                <w:lang w:val="fr-FR"/>
              </w:rPr>
              <w:t xml:space="preserve">t en tant que </w:t>
            </w:r>
            <w:r w:rsidR="00373B66" w:rsidRPr="00C70421">
              <w:rPr>
                <w:lang w:val="fr-FR"/>
              </w:rPr>
              <w:t>Ministère</w:t>
            </w:r>
            <w:r w:rsidR="00F904ED" w:rsidRPr="00C70421">
              <w:rPr>
                <w:lang w:val="fr-FR"/>
              </w:rPr>
              <w:t xml:space="preserve"> gouvernemental distinct et </w:t>
            </w:r>
            <w:r w:rsidR="004F097C" w:rsidRPr="00C70421">
              <w:rPr>
                <w:lang w:val="fr-FR"/>
              </w:rPr>
              <w:t>est</w:t>
            </w:r>
            <w:r w:rsidR="00F904ED" w:rsidRPr="00C70421">
              <w:rPr>
                <w:lang w:val="fr-FR"/>
              </w:rPr>
              <w:t xml:space="preserve"> </w:t>
            </w:r>
            <w:r w:rsidR="004F097C" w:rsidRPr="00C70421">
              <w:rPr>
                <w:lang w:val="fr-FR"/>
              </w:rPr>
              <w:t xml:space="preserve">chargé </w:t>
            </w:r>
            <w:r w:rsidR="00F904ED" w:rsidRPr="00C70421">
              <w:rPr>
                <w:lang w:val="fr-FR"/>
              </w:rPr>
              <w:t>des brevets</w:t>
            </w:r>
            <w:r w:rsidR="0050667A" w:rsidRPr="00C70421">
              <w:rPr>
                <w:lang w:val="fr-FR"/>
              </w:rPr>
              <w:t>,</w:t>
            </w:r>
            <w:r w:rsidR="00F904ED" w:rsidRPr="00C70421">
              <w:rPr>
                <w:lang w:val="fr-FR"/>
              </w:rPr>
              <w:t xml:space="preserve"> des marques</w:t>
            </w:r>
            <w:r w:rsidR="0050667A" w:rsidRPr="00C70421">
              <w:rPr>
                <w:lang w:val="fr-FR"/>
              </w:rPr>
              <w:t>,</w:t>
            </w:r>
            <w:r w:rsidR="00F904ED" w:rsidRPr="00C70421">
              <w:rPr>
                <w:lang w:val="fr-FR"/>
              </w:rPr>
              <w:t xml:space="preserve"> du droit d</w:t>
            </w:r>
            <w:r w:rsidR="00473D89" w:rsidRPr="00C70421">
              <w:rPr>
                <w:lang w:val="fr-FR"/>
              </w:rPr>
              <w:t>’</w:t>
            </w:r>
            <w:r w:rsidR="00F904ED" w:rsidRPr="00C70421">
              <w:rPr>
                <w:lang w:val="fr-FR"/>
              </w:rPr>
              <w:t>auteur</w:t>
            </w:r>
            <w:r w:rsidR="0050667A" w:rsidRPr="00C70421">
              <w:rPr>
                <w:lang w:val="fr-FR"/>
              </w:rPr>
              <w:t xml:space="preserve">, </w:t>
            </w:r>
            <w:r w:rsidR="00F904ED" w:rsidRPr="00C70421">
              <w:rPr>
                <w:lang w:val="fr-FR"/>
              </w:rPr>
              <w:t xml:space="preserve">des dessins </w:t>
            </w:r>
            <w:r w:rsidR="00D24E53">
              <w:rPr>
                <w:lang w:val="fr-FR"/>
              </w:rPr>
              <w:t xml:space="preserve">et modèles </w:t>
            </w:r>
            <w:r w:rsidR="00F904ED" w:rsidRPr="00C70421">
              <w:rPr>
                <w:lang w:val="fr-FR"/>
              </w:rPr>
              <w:t>industriels et du marquage des bois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1967</w:t>
            </w:r>
          </w:p>
        </w:tc>
        <w:tc>
          <w:tcPr>
            <w:tcW w:w="0" w:type="auto"/>
            <w:hideMark/>
          </w:tcPr>
          <w:p w:rsidR="0050667A" w:rsidRPr="00C70421" w:rsidRDefault="00A11BCC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Le Bureau du </w:t>
            </w:r>
            <w:r w:rsidR="00D24E53">
              <w:rPr>
                <w:lang w:val="fr-FR"/>
              </w:rPr>
              <w:t>directeur</w:t>
            </w:r>
            <w:r w:rsidRPr="00C70421">
              <w:rPr>
                <w:lang w:val="fr-FR"/>
              </w:rPr>
              <w:t xml:space="preserve"> général</w:t>
            </w:r>
            <w:r w:rsidR="00D24E53">
              <w:rPr>
                <w:lang w:val="fr-FR"/>
              </w:rPr>
              <w:t xml:space="preserve"> de l’enregistrement</w:t>
            </w:r>
            <w:r w:rsidRPr="00C70421">
              <w:rPr>
                <w:lang w:val="fr-FR"/>
              </w:rPr>
              <w:t xml:space="preserve"> est transféré au nouveau</w:t>
            </w:r>
            <w:r w:rsidR="0050667A" w:rsidRPr="00C70421">
              <w:rPr>
                <w:lang w:val="fr-FR"/>
              </w:rPr>
              <w:t xml:space="preserve"> </w:t>
            </w:r>
            <w:r w:rsidR="00373B66" w:rsidRPr="00C70421">
              <w:rPr>
                <w:lang w:val="fr-FR"/>
              </w:rPr>
              <w:t>Ministère</w:t>
            </w:r>
            <w:r w:rsidRPr="00C70421">
              <w:rPr>
                <w:lang w:val="fr-FR"/>
              </w:rPr>
              <w:t xml:space="preserve"> de la Consommation et des Affaires commerciales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1973</w:t>
            </w:r>
          </w:p>
        </w:tc>
        <w:tc>
          <w:tcPr>
            <w:tcW w:w="0" w:type="auto"/>
            <w:hideMark/>
          </w:tcPr>
          <w:p w:rsidR="0050667A" w:rsidRPr="00C70421" w:rsidRDefault="00A11BCC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L</w:t>
            </w:r>
            <w:r w:rsidR="0050667A" w:rsidRPr="00C70421">
              <w:rPr>
                <w:lang w:val="fr-FR"/>
              </w:rPr>
              <w:t xml:space="preserve">e Bureau </w:t>
            </w:r>
            <w:r w:rsidRPr="00C70421">
              <w:rPr>
                <w:lang w:val="fr-FR"/>
              </w:rPr>
              <w:t xml:space="preserve">de la propriété intellectuelle est créé au sein du </w:t>
            </w:r>
            <w:r w:rsidR="00373B66" w:rsidRPr="00C70421">
              <w:rPr>
                <w:lang w:val="fr-FR"/>
              </w:rPr>
              <w:t>Ministère</w:t>
            </w:r>
            <w:r w:rsidRPr="00C70421">
              <w:rPr>
                <w:lang w:val="fr-FR"/>
              </w:rPr>
              <w:t xml:space="preserve"> de la Consommation et des Affaires commerciales afin de</w:t>
            </w:r>
            <w:r w:rsidR="0050667A" w:rsidRPr="00C70421">
              <w:rPr>
                <w:lang w:val="fr-FR"/>
              </w:rPr>
              <w:t xml:space="preserve"> </w:t>
            </w:r>
            <w:r w:rsidR="00373B66" w:rsidRPr="00C70421">
              <w:rPr>
                <w:lang w:val="fr-FR"/>
              </w:rPr>
              <w:t>“</w:t>
            </w:r>
            <w:r w:rsidRPr="00C70421">
              <w:rPr>
                <w:lang w:val="fr-FR"/>
              </w:rPr>
              <w:t>mettre en place</w:t>
            </w:r>
            <w:r w:rsidR="00D70E68" w:rsidRPr="00C70421">
              <w:rPr>
                <w:lang w:val="fr-FR"/>
              </w:rPr>
              <w:t xml:space="preserve"> une approche coordonnée </w:t>
            </w:r>
            <w:r w:rsidR="004F097C" w:rsidRPr="00C70421">
              <w:rPr>
                <w:lang w:val="fr-FR"/>
              </w:rPr>
              <w:t>au sein d</w:t>
            </w:r>
            <w:r w:rsidR="00D70E68" w:rsidRPr="00C70421">
              <w:rPr>
                <w:lang w:val="fr-FR"/>
              </w:rPr>
              <w:t>es ministères en charge des brevets</w:t>
            </w:r>
            <w:r w:rsidR="0050667A" w:rsidRPr="00C70421">
              <w:rPr>
                <w:lang w:val="fr-FR"/>
              </w:rPr>
              <w:t xml:space="preserve">, </w:t>
            </w:r>
            <w:r w:rsidR="00D70E68" w:rsidRPr="00C70421">
              <w:rPr>
                <w:lang w:val="fr-FR"/>
              </w:rPr>
              <w:t>du droit d</w:t>
            </w:r>
            <w:r w:rsidR="00473D89" w:rsidRPr="00C70421">
              <w:rPr>
                <w:lang w:val="fr-FR"/>
              </w:rPr>
              <w:t>’</w:t>
            </w:r>
            <w:r w:rsidR="00D70E68" w:rsidRPr="00C70421">
              <w:rPr>
                <w:lang w:val="fr-FR"/>
              </w:rPr>
              <w:t>auteur</w:t>
            </w:r>
            <w:r w:rsidR="0050667A" w:rsidRPr="00C70421">
              <w:rPr>
                <w:lang w:val="fr-FR"/>
              </w:rPr>
              <w:t>,</w:t>
            </w:r>
            <w:r w:rsidR="00D70E68" w:rsidRPr="00C70421">
              <w:rPr>
                <w:lang w:val="fr-FR"/>
              </w:rPr>
              <w:t xml:space="preserve"> des marques et des dessins</w:t>
            </w:r>
            <w:r w:rsidR="00D24E53">
              <w:rPr>
                <w:lang w:val="fr-FR"/>
              </w:rPr>
              <w:t xml:space="preserve"> et modèles</w:t>
            </w:r>
            <w:r w:rsidR="00D70E68" w:rsidRPr="00C70421">
              <w:rPr>
                <w:lang w:val="fr-FR"/>
              </w:rPr>
              <w:t xml:space="preserve"> industriels</w:t>
            </w:r>
            <w:r w:rsidR="00373B66" w:rsidRPr="00C70421">
              <w:rPr>
                <w:lang w:val="fr-FR"/>
              </w:rPr>
              <w:t>”</w:t>
            </w:r>
            <w:r w:rsidR="004F097C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1992</w:t>
            </w:r>
          </w:p>
        </w:tc>
        <w:tc>
          <w:tcPr>
            <w:tcW w:w="0" w:type="auto"/>
            <w:hideMark/>
          </w:tcPr>
          <w:p w:rsidR="0050667A" w:rsidRPr="00C70421" w:rsidRDefault="00D70E68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L</w:t>
            </w:r>
            <w:r w:rsidR="00473D89" w:rsidRPr="00C70421">
              <w:rPr>
                <w:lang w:val="fr-FR"/>
              </w:rPr>
              <w:t>’</w:t>
            </w:r>
            <w:r w:rsidRPr="00C70421">
              <w:rPr>
                <w:lang w:val="fr-FR"/>
              </w:rPr>
              <w:t>Office de la propriété intellectuelle du Canada devi</w:t>
            </w:r>
            <w:r w:rsidR="00C95413" w:rsidRPr="00C70421">
              <w:rPr>
                <w:lang w:val="fr-FR"/>
              </w:rPr>
              <w:t xml:space="preserve">ent un organisme de services spécial au sein du </w:t>
            </w:r>
            <w:r w:rsidR="00373B66" w:rsidRPr="00C70421">
              <w:rPr>
                <w:lang w:val="fr-FR"/>
              </w:rPr>
              <w:t>Ministère</w:t>
            </w:r>
            <w:r w:rsidR="00C95413" w:rsidRPr="00C70421">
              <w:rPr>
                <w:lang w:val="fr-FR"/>
              </w:rPr>
              <w:t xml:space="preserve"> de la Consommation et des Affaires commerciales</w:t>
            </w:r>
            <w:r w:rsidR="0050667A" w:rsidRPr="00C70421">
              <w:rPr>
                <w:lang w:val="fr-FR"/>
              </w:rPr>
              <w:t>.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  <w:hideMark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1994</w:t>
            </w:r>
          </w:p>
        </w:tc>
        <w:tc>
          <w:tcPr>
            <w:tcW w:w="0" w:type="auto"/>
            <w:hideMark/>
          </w:tcPr>
          <w:p w:rsidR="0050667A" w:rsidRPr="00C70421" w:rsidRDefault="00C95413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 xml:space="preserve">Le </w:t>
            </w:r>
            <w:r w:rsidR="00373B66" w:rsidRPr="00C70421">
              <w:rPr>
                <w:lang w:val="fr-FR"/>
              </w:rPr>
              <w:t>Ministère</w:t>
            </w:r>
            <w:r w:rsidRPr="00C70421">
              <w:rPr>
                <w:lang w:val="fr-FR"/>
              </w:rPr>
              <w:t xml:space="preserve"> de la Consommation et des Affaires commerciales</w:t>
            </w:r>
            <w:r w:rsidR="0050667A" w:rsidRPr="00C70421">
              <w:rPr>
                <w:lang w:val="fr-FR"/>
              </w:rPr>
              <w:t xml:space="preserve"> </w:t>
            </w:r>
            <w:r w:rsidRPr="00C70421">
              <w:rPr>
                <w:lang w:val="fr-FR"/>
              </w:rPr>
              <w:t xml:space="preserve">est renommé </w:t>
            </w:r>
            <w:r w:rsidR="00373B66" w:rsidRPr="00C70421">
              <w:rPr>
                <w:lang w:val="fr-FR"/>
              </w:rPr>
              <w:t>“</w:t>
            </w:r>
            <w:r w:rsidRPr="00C70421">
              <w:rPr>
                <w:lang w:val="fr-FR"/>
              </w:rPr>
              <w:t>Industrie</w:t>
            </w:r>
            <w:r w:rsidR="0050667A" w:rsidRPr="00C70421">
              <w:rPr>
                <w:lang w:val="fr-FR"/>
              </w:rPr>
              <w:t xml:space="preserve"> Canada</w:t>
            </w:r>
            <w:r w:rsidR="00373B66" w:rsidRPr="00C70421">
              <w:rPr>
                <w:lang w:val="fr-FR"/>
              </w:rPr>
              <w:t xml:space="preserve">”. </w:t>
            </w:r>
            <w:r w:rsidR="0050667A" w:rsidRPr="00C70421">
              <w:rPr>
                <w:lang w:val="fr-FR"/>
              </w:rPr>
              <w:t xml:space="preserve"> </w:t>
            </w:r>
          </w:p>
        </w:tc>
      </w:tr>
      <w:tr w:rsidR="0050667A" w:rsidRPr="00F46AD3" w:rsidTr="00530D24">
        <w:trPr>
          <w:tblCellSpacing w:w="15" w:type="dxa"/>
        </w:trPr>
        <w:tc>
          <w:tcPr>
            <w:tcW w:w="0" w:type="auto"/>
          </w:tcPr>
          <w:p w:rsidR="0050667A" w:rsidRPr="00C70421" w:rsidRDefault="0050667A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2016</w:t>
            </w:r>
          </w:p>
        </w:tc>
        <w:tc>
          <w:tcPr>
            <w:tcW w:w="0" w:type="auto"/>
          </w:tcPr>
          <w:p w:rsidR="0050667A" w:rsidRPr="00C70421" w:rsidRDefault="004F097C" w:rsidP="00E93C4E">
            <w:pPr>
              <w:rPr>
                <w:lang w:val="fr-FR"/>
              </w:rPr>
            </w:pPr>
            <w:r w:rsidRPr="00C70421">
              <w:rPr>
                <w:lang w:val="fr-FR"/>
              </w:rPr>
              <w:t>Le mandat</w:t>
            </w:r>
            <w:r w:rsidR="00C95413" w:rsidRPr="00C70421">
              <w:rPr>
                <w:lang w:val="fr-FR"/>
              </w:rPr>
              <w:t xml:space="preserve"> d</w:t>
            </w:r>
            <w:r w:rsidR="00473D89" w:rsidRPr="00C70421">
              <w:rPr>
                <w:lang w:val="fr-FR"/>
              </w:rPr>
              <w:t>’</w:t>
            </w:r>
            <w:r w:rsidR="00C95413" w:rsidRPr="00C70421">
              <w:rPr>
                <w:lang w:val="fr-FR"/>
              </w:rPr>
              <w:t xml:space="preserve">Industrie Canada est actualisé et le </w:t>
            </w:r>
            <w:r w:rsidR="00373B66" w:rsidRPr="00C70421">
              <w:rPr>
                <w:lang w:val="fr-FR"/>
              </w:rPr>
              <w:t>Ministère</w:t>
            </w:r>
            <w:r w:rsidR="00C95413" w:rsidRPr="00C70421">
              <w:rPr>
                <w:lang w:val="fr-FR"/>
              </w:rPr>
              <w:t xml:space="preserve"> est renommé </w:t>
            </w:r>
            <w:r w:rsidR="00373B66" w:rsidRPr="00C70421">
              <w:rPr>
                <w:lang w:val="fr-FR"/>
              </w:rPr>
              <w:t>“</w:t>
            </w:r>
            <w:r w:rsidR="00C95413" w:rsidRPr="00C70421">
              <w:rPr>
                <w:lang w:val="fr-FR"/>
              </w:rPr>
              <w:t xml:space="preserve">Innovation, Sciences et Développement économique du </w:t>
            </w:r>
            <w:r w:rsidR="0050667A" w:rsidRPr="00C70421">
              <w:rPr>
                <w:lang w:val="fr-FR"/>
              </w:rPr>
              <w:t>Canada</w:t>
            </w:r>
            <w:r w:rsidR="00373B66" w:rsidRPr="00C70421">
              <w:rPr>
                <w:lang w:val="fr-FR"/>
              </w:rPr>
              <w:t>”</w:t>
            </w:r>
            <w:r w:rsidR="0050667A" w:rsidRPr="00C70421">
              <w:rPr>
                <w:lang w:val="fr-FR"/>
              </w:rPr>
              <w:t>.</w:t>
            </w:r>
          </w:p>
        </w:tc>
      </w:tr>
    </w:tbl>
    <w:p w:rsidR="0050667A" w:rsidRPr="00C70421" w:rsidRDefault="0050667A" w:rsidP="00E93C4E">
      <w:pPr>
        <w:rPr>
          <w:lang w:val="fr-FR"/>
        </w:rPr>
      </w:pPr>
    </w:p>
    <w:p w:rsidR="0050667A" w:rsidRPr="00C70421" w:rsidRDefault="00C95413" w:rsidP="00E93C4E">
      <w:pPr>
        <w:rPr>
          <w:lang w:val="fr-FR"/>
        </w:rPr>
      </w:pPr>
      <w:r w:rsidRPr="00C70421">
        <w:rPr>
          <w:lang w:val="fr-FR"/>
        </w:rPr>
        <w:t xml:space="preserve">Le </w:t>
      </w:r>
      <w:r w:rsidR="0050667A" w:rsidRPr="00C70421">
        <w:rPr>
          <w:lang w:val="fr-FR"/>
        </w:rPr>
        <w:t xml:space="preserve">Canada </w:t>
      </w:r>
      <w:r w:rsidRPr="00C70421">
        <w:rPr>
          <w:lang w:val="fr-FR"/>
        </w:rPr>
        <w:t>est devenu lié par</w:t>
      </w:r>
      <w:r w:rsidR="00473D89" w:rsidRPr="00C70421">
        <w:rPr>
          <w:lang w:val="fr-FR"/>
        </w:rPr>
        <w:t xml:space="preserve"> le PCT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le</w:t>
      </w:r>
      <w:r w:rsidR="0050667A" w:rsidRPr="00C70421">
        <w:rPr>
          <w:lang w:val="fr-FR"/>
        </w:rPr>
        <w:t xml:space="preserve"> 2</w:t>
      </w:r>
      <w:r w:rsidRPr="00C70421">
        <w:rPr>
          <w:lang w:val="fr-FR"/>
        </w:rPr>
        <w:t> </w:t>
      </w:r>
      <w:r w:rsidR="00473D89" w:rsidRPr="00C70421">
        <w:rPr>
          <w:lang w:val="fr-FR"/>
        </w:rPr>
        <w:t>janvier 19</w:t>
      </w:r>
      <w:r w:rsidR="0050667A" w:rsidRPr="00C70421">
        <w:rPr>
          <w:lang w:val="fr-FR"/>
        </w:rPr>
        <w:t xml:space="preserve">90. 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a commencé à agir en qualité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préliminaire international le</w:t>
      </w:r>
      <w:r w:rsidR="0050667A" w:rsidRPr="00C70421">
        <w:rPr>
          <w:lang w:val="fr-FR"/>
        </w:rPr>
        <w:t xml:space="preserve"> 26</w:t>
      </w:r>
      <w:r w:rsidRPr="00C70421">
        <w:rPr>
          <w:lang w:val="fr-FR"/>
        </w:rPr>
        <w:t> juillet </w:t>
      </w:r>
      <w:r w:rsidR="0050667A" w:rsidRPr="00C70421">
        <w:rPr>
          <w:lang w:val="fr-FR"/>
        </w:rPr>
        <w:t>2004</w:t>
      </w:r>
      <w:r w:rsidRPr="00C70421">
        <w:rPr>
          <w:lang w:val="fr-FR"/>
        </w:rPr>
        <w:t xml:space="preserve"> et sa nomination a été prolongée à la trente</w:t>
      </w:r>
      <w:r w:rsidR="00001599">
        <w:rPr>
          <w:lang w:val="fr-FR"/>
        </w:rPr>
        <w:noBreakHyphen/>
      </w:r>
      <w:r w:rsidRPr="00C70421">
        <w:rPr>
          <w:lang w:val="fr-FR"/>
        </w:rPr>
        <w:t>six</w:t>
      </w:r>
      <w:r w:rsidR="00473D89" w:rsidRPr="00C70421">
        <w:rPr>
          <w:lang w:val="fr-FR"/>
        </w:rPr>
        <w:t>ième session</w:t>
      </w:r>
      <w:r w:rsidR="0050667A" w:rsidRPr="00C70421">
        <w:rPr>
          <w:lang w:val="fr-FR"/>
        </w:rPr>
        <w:t xml:space="preserve"> (</w:t>
      </w:r>
      <w:r w:rsidRPr="00C70421">
        <w:rPr>
          <w:lang w:val="fr-FR"/>
        </w:rPr>
        <w:t>seiz</w:t>
      </w:r>
      <w:r w:rsidR="00473D89" w:rsidRPr="00C70421">
        <w:rPr>
          <w:lang w:val="fr-FR"/>
        </w:rPr>
        <w:t>ième session</w:t>
      </w:r>
      <w:r w:rsidRPr="00C70421">
        <w:rPr>
          <w:lang w:val="fr-FR"/>
        </w:rPr>
        <w:t xml:space="preserve"> ordinaire</w:t>
      </w:r>
      <w:r w:rsidR="0050667A" w:rsidRPr="00C70421">
        <w:rPr>
          <w:lang w:val="fr-FR"/>
        </w:rPr>
        <w:t xml:space="preserve">) </w:t>
      </w:r>
      <w:r w:rsidRPr="00C70421">
        <w:rPr>
          <w:lang w:val="fr-FR"/>
        </w:rPr>
        <w:t>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Assemblée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Union</w:t>
      </w:r>
      <w:r w:rsidR="00473D89" w:rsidRPr="00C70421">
        <w:rPr>
          <w:lang w:val="fr-FR"/>
        </w:rPr>
        <w:t xml:space="preserve"> du PCT</w:t>
      </w:r>
      <w:r w:rsidRPr="00C70421">
        <w:rPr>
          <w:lang w:val="fr-FR"/>
        </w:rPr>
        <w:t xml:space="preserve"> à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automne</w:t>
      </w:r>
      <w:r w:rsidR="00001599">
        <w:rPr>
          <w:lang w:val="fr-FR"/>
        </w:rPr>
        <w:t> </w:t>
      </w:r>
      <w:r w:rsidR="00530D24" w:rsidRPr="00C70421">
        <w:rPr>
          <w:lang w:val="fr-FR"/>
        </w:rPr>
        <w:t xml:space="preserve">2007.  </w:t>
      </w:r>
      <w:r w:rsidRPr="00C70421">
        <w:rPr>
          <w:lang w:val="fr-FR"/>
        </w:rPr>
        <w:t xml:space="preserve">En </w:t>
      </w:r>
      <w:r w:rsidR="00473D89" w:rsidRPr="00C70421">
        <w:rPr>
          <w:lang w:val="fr-FR"/>
        </w:rPr>
        <w:t>mai 20</w:t>
      </w:r>
      <w:r w:rsidR="0050667A" w:rsidRPr="00C70421">
        <w:rPr>
          <w:lang w:val="fr-FR"/>
        </w:rPr>
        <w:t>17</w:t>
      </w:r>
      <w:r w:rsidRPr="00C70421">
        <w:rPr>
          <w:lang w:val="fr-FR"/>
        </w:rPr>
        <w:t>,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OPIC aura accumulé presque</w:t>
      </w:r>
      <w:r w:rsidR="0050667A" w:rsidRPr="00C70421">
        <w:rPr>
          <w:lang w:val="fr-FR"/>
        </w:rPr>
        <w:t xml:space="preserve"> 13</w:t>
      </w:r>
      <w:r w:rsidR="00001599">
        <w:rPr>
          <w:lang w:val="fr-FR"/>
        </w:rPr>
        <w:t> </w:t>
      </w:r>
      <w:r w:rsidRPr="00C70421">
        <w:rPr>
          <w:lang w:val="fr-FR"/>
        </w:rPr>
        <w:t>années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expé</w:t>
      </w:r>
      <w:r w:rsidR="0050667A" w:rsidRPr="00C70421">
        <w:rPr>
          <w:lang w:val="fr-FR"/>
        </w:rPr>
        <w:t>rience</w:t>
      </w:r>
      <w:r w:rsidR="00530D24" w:rsidRPr="00C70421">
        <w:rPr>
          <w:lang w:val="fr-FR"/>
        </w:rPr>
        <w:t xml:space="preserve"> </w:t>
      </w:r>
      <w:r w:rsidRPr="00C70421">
        <w:rPr>
          <w:lang w:val="fr-FR"/>
        </w:rPr>
        <w:t>en qualité d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>examen préliminaire international selon</w:t>
      </w:r>
      <w:r w:rsidR="00473D89" w:rsidRPr="00C70421">
        <w:rPr>
          <w:lang w:val="fr-FR"/>
        </w:rPr>
        <w:t xml:space="preserve"> le PCT</w:t>
      </w:r>
      <w:r w:rsidR="00530D24" w:rsidRPr="00C70421">
        <w:rPr>
          <w:lang w:val="fr-FR"/>
        </w:rPr>
        <w:t>.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C95413" w:rsidP="00E93C4E">
      <w:pPr>
        <w:keepNext/>
        <w:keepLines/>
        <w:rPr>
          <w:lang w:val="fr-FR"/>
        </w:rPr>
      </w:pPr>
      <w:r w:rsidRPr="00C70421">
        <w:rPr>
          <w:lang w:val="fr-FR"/>
        </w:rPr>
        <w:lastRenderedPageBreak/>
        <w:t>Pour conclure</w:t>
      </w:r>
      <w:r w:rsidR="0050667A" w:rsidRPr="00C70421">
        <w:rPr>
          <w:lang w:val="fr-FR"/>
        </w:rPr>
        <w:t xml:space="preserve">, </w:t>
      </w:r>
      <w:r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Pr="00C70421">
        <w:rPr>
          <w:lang w:val="fr-FR"/>
        </w:rPr>
        <w:t xml:space="preserve">OPIC a </w:t>
      </w:r>
      <w:r w:rsidR="000E789C" w:rsidRPr="00C70421">
        <w:rPr>
          <w:lang w:val="fr-FR"/>
        </w:rPr>
        <w:t>montré qu</w:t>
      </w:r>
      <w:r w:rsidR="00473D89" w:rsidRPr="00C70421">
        <w:rPr>
          <w:lang w:val="fr-FR"/>
        </w:rPr>
        <w:t>’</w:t>
      </w:r>
      <w:r w:rsidR="000E789C" w:rsidRPr="00C70421">
        <w:rPr>
          <w:lang w:val="fr-FR"/>
        </w:rPr>
        <w:t xml:space="preserve">il </w:t>
      </w:r>
      <w:r w:rsidR="00735ADB" w:rsidRPr="00C70421">
        <w:rPr>
          <w:lang w:val="fr-FR"/>
        </w:rPr>
        <w:t>rempli</w:t>
      </w:r>
      <w:r w:rsidR="004F097C" w:rsidRPr="00C70421">
        <w:rPr>
          <w:lang w:val="fr-FR"/>
        </w:rPr>
        <w:t>ssai</w:t>
      </w:r>
      <w:r w:rsidR="00735ADB" w:rsidRPr="00C70421">
        <w:rPr>
          <w:lang w:val="fr-FR"/>
        </w:rPr>
        <w:t>t les conditions</w:t>
      </w:r>
      <w:r w:rsidR="000E789C" w:rsidRPr="00C70421">
        <w:rPr>
          <w:lang w:val="fr-FR"/>
        </w:rPr>
        <w:t xml:space="preserve"> pour </w:t>
      </w:r>
      <w:r w:rsidR="00735ADB" w:rsidRPr="00C70421">
        <w:rPr>
          <w:lang w:val="fr-FR"/>
        </w:rPr>
        <w:t xml:space="preserve">être une </w:t>
      </w:r>
      <w:r w:rsidR="000E789C" w:rsidRPr="00C70421">
        <w:rPr>
          <w:lang w:val="fr-FR"/>
        </w:rPr>
        <w:t>administration chargée de la recherche internationale et de l</w:t>
      </w:r>
      <w:r w:rsidR="00473D89" w:rsidRPr="00C70421">
        <w:rPr>
          <w:lang w:val="fr-FR"/>
        </w:rPr>
        <w:t>’</w:t>
      </w:r>
      <w:r w:rsidR="000E789C" w:rsidRPr="00C70421">
        <w:rPr>
          <w:lang w:val="fr-FR"/>
        </w:rPr>
        <w:t>examen préliminaire international selon</w:t>
      </w:r>
      <w:r w:rsidR="00473D89" w:rsidRPr="00C70421">
        <w:rPr>
          <w:lang w:val="fr-FR"/>
        </w:rPr>
        <w:t xml:space="preserve"> le PCT</w:t>
      </w:r>
      <w:r w:rsidR="00735ADB" w:rsidRPr="00C70421">
        <w:rPr>
          <w:lang w:val="fr-FR"/>
        </w:rPr>
        <w:t xml:space="preserve"> compte tenu des atouts suivants</w:t>
      </w:r>
      <w:r w:rsidR="00473D89" w:rsidRPr="00C70421">
        <w:rPr>
          <w:lang w:val="fr-FR"/>
        </w:rPr>
        <w:t> :</w:t>
      </w:r>
    </w:p>
    <w:p w:rsidR="00530D24" w:rsidRPr="00C70421" w:rsidRDefault="00530D24" w:rsidP="00E93C4E">
      <w:pPr>
        <w:keepNext/>
        <w:keepLines/>
        <w:rPr>
          <w:lang w:val="fr-FR"/>
        </w:rPr>
      </w:pPr>
    </w:p>
    <w:p w:rsidR="0050667A" w:rsidRPr="00C70421" w:rsidRDefault="00530D24" w:rsidP="00E93C4E">
      <w:pPr>
        <w:keepNext/>
        <w:keepLines/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735ADB" w:rsidRPr="00C70421">
        <w:rPr>
          <w:lang w:val="fr-FR"/>
        </w:rPr>
        <w:t>un corps d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examinateurs de brevets hautement qualifié, compétent et en augmentation dans toutes les disciplines, qui possède des compétences dans deux langues, voire davantage</w:t>
      </w:r>
      <w:r w:rsidR="0050667A" w:rsidRPr="00C70421">
        <w:rPr>
          <w:lang w:val="fr-FR"/>
        </w:rPr>
        <w:t>;</w:t>
      </w:r>
    </w:p>
    <w:p w:rsidR="0050667A" w:rsidRPr="00C70421" w:rsidRDefault="0050667A" w:rsidP="00E93C4E">
      <w:pPr>
        <w:ind w:left="567" w:hanging="567"/>
        <w:rPr>
          <w:lang w:val="fr-FR"/>
        </w:rPr>
      </w:pPr>
    </w:p>
    <w:p w:rsidR="0050667A" w:rsidRPr="00C70421" w:rsidRDefault="00530D2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735ADB" w:rsidRPr="00C70421">
        <w:rPr>
          <w:lang w:val="fr-FR"/>
        </w:rPr>
        <w:t xml:space="preserve">un </w:t>
      </w:r>
      <w:r w:rsidR="0091055C" w:rsidRPr="00C70421">
        <w:rPr>
          <w:lang w:val="fr-FR"/>
        </w:rPr>
        <w:t>système de traitement</w:t>
      </w:r>
      <w:r w:rsidR="00735ADB" w:rsidRPr="00C70421">
        <w:rPr>
          <w:lang w:val="fr-FR"/>
        </w:rPr>
        <w:t xml:space="preserve"> des brevets automatisé, moderne et efficace s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appuyant sur une infrastructure informatique très complète tournée vers l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avenir</w:t>
      </w:r>
      <w:r w:rsidR="0050667A" w:rsidRPr="00C70421">
        <w:rPr>
          <w:lang w:val="fr-FR"/>
        </w:rPr>
        <w:t>;</w:t>
      </w:r>
    </w:p>
    <w:p w:rsidR="0050667A" w:rsidRPr="00C70421" w:rsidRDefault="0050667A" w:rsidP="00E93C4E">
      <w:pPr>
        <w:ind w:left="567" w:hanging="567"/>
        <w:rPr>
          <w:lang w:val="fr-FR"/>
        </w:rPr>
      </w:pPr>
    </w:p>
    <w:p w:rsidR="0050667A" w:rsidRPr="00C70421" w:rsidRDefault="00530D2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735ADB" w:rsidRPr="00C70421">
        <w:rPr>
          <w:lang w:val="fr-FR"/>
        </w:rPr>
        <w:t>une importante collection de documents de brevet e</w:t>
      </w:r>
      <w:r w:rsidR="008D06D1" w:rsidRPr="00C70421">
        <w:rPr>
          <w:lang w:val="fr-FR"/>
        </w:rPr>
        <w:t>t de sources</w:t>
      </w:r>
      <w:r w:rsidR="00D24E53">
        <w:rPr>
          <w:lang w:val="fr-FR"/>
        </w:rPr>
        <w:t xml:space="preserve"> d’information</w:t>
      </w:r>
      <w:r w:rsidR="008D06D1" w:rsidRPr="00C70421">
        <w:rPr>
          <w:lang w:val="fr-FR"/>
        </w:rPr>
        <w:t xml:space="preserve"> en ligne qui </w:t>
      </w:r>
      <w:r w:rsidR="00735ADB" w:rsidRPr="00C70421">
        <w:rPr>
          <w:lang w:val="fr-FR"/>
        </w:rPr>
        <w:t>permet de répondre aux besoins minimums en matière de documentation</w:t>
      </w:r>
      <w:r w:rsidR="0050667A" w:rsidRPr="00C70421">
        <w:rPr>
          <w:lang w:val="fr-FR"/>
        </w:rPr>
        <w:t>;</w:t>
      </w:r>
    </w:p>
    <w:p w:rsidR="0050667A" w:rsidRPr="00C70421" w:rsidRDefault="0050667A" w:rsidP="00E93C4E">
      <w:pPr>
        <w:ind w:left="567" w:hanging="567"/>
        <w:rPr>
          <w:lang w:val="fr-FR"/>
        </w:rPr>
      </w:pPr>
    </w:p>
    <w:p w:rsidR="0050667A" w:rsidRPr="00C70421" w:rsidRDefault="00530D2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735ADB" w:rsidRPr="00C70421">
        <w:rPr>
          <w:lang w:val="fr-FR"/>
        </w:rPr>
        <w:t>une détermination en tant qu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institution à rechercher l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excellence dans les relations avec les clients et la prestation de services</w:t>
      </w:r>
      <w:r w:rsidR="0050667A" w:rsidRPr="00C70421">
        <w:rPr>
          <w:lang w:val="fr-FR"/>
        </w:rPr>
        <w:t>;</w:t>
      </w:r>
      <w:r w:rsidR="00735ADB" w:rsidRPr="00C70421">
        <w:rPr>
          <w:lang w:val="fr-FR"/>
        </w:rPr>
        <w:t xml:space="preserve"> </w:t>
      </w:r>
      <w:r w:rsidR="0050667A" w:rsidRPr="00C70421">
        <w:rPr>
          <w:lang w:val="fr-FR"/>
        </w:rPr>
        <w:t xml:space="preserve"> </w:t>
      </w:r>
      <w:r w:rsidR="00735ADB" w:rsidRPr="00C70421">
        <w:rPr>
          <w:lang w:val="fr-FR"/>
        </w:rPr>
        <w:t>et</w:t>
      </w:r>
    </w:p>
    <w:p w:rsidR="0050667A" w:rsidRPr="00C70421" w:rsidRDefault="0050667A" w:rsidP="00E93C4E">
      <w:pPr>
        <w:ind w:left="567" w:hanging="567"/>
        <w:rPr>
          <w:lang w:val="fr-FR"/>
        </w:rPr>
      </w:pPr>
    </w:p>
    <w:p w:rsidR="0050667A" w:rsidRPr="00C70421" w:rsidRDefault="00530D24" w:rsidP="00E93C4E">
      <w:pPr>
        <w:ind w:left="567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735ADB" w:rsidRPr="00C70421">
        <w:rPr>
          <w:lang w:val="fr-FR"/>
        </w:rPr>
        <w:t>une capacité en ma</w:t>
      </w:r>
      <w:r w:rsidR="008D06D1" w:rsidRPr="00C70421">
        <w:rPr>
          <w:lang w:val="fr-FR"/>
        </w:rPr>
        <w:t>tière d</w:t>
      </w:r>
      <w:r w:rsidR="00473D89" w:rsidRPr="00C70421">
        <w:rPr>
          <w:lang w:val="fr-FR"/>
        </w:rPr>
        <w:t>’</w:t>
      </w:r>
      <w:r w:rsidR="008D06D1" w:rsidRPr="00C70421">
        <w:rPr>
          <w:lang w:val="fr-FR"/>
        </w:rPr>
        <w:t xml:space="preserve">examen qui </w:t>
      </w:r>
      <w:r w:rsidR="004F097C" w:rsidRPr="00C70421">
        <w:rPr>
          <w:lang w:val="fr-FR"/>
        </w:rPr>
        <w:t>permet</w:t>
      </w:r>
      <w:r w:rsidR="00735ADB" w:rsidRPr="00C70421">
        <w:rPr>
          <w:lang w:val="fr-FR"/>
        </w:rPr>
        <w:t xml:space="preserve"> de gérer le volume de travail international attendu et </w:t>
      </w:r>
      <w:r w:rsidR="008D06D1" w:rsidRPr="00C70421">
        <w:rPr>
          <w:lang w:val="fr-FR"/>
        </w:rPr>
        <w:t>d</w:t>
      </w:r>
      <w:r w:rsidR="00473D89" w:rsidRPr="00C70421">
        <w:rPr>
          <w:lang w:val="fr-FR"/>
        </w:rPr>
        <w:t>’</w:t>
      </w:r>
      <w:r w:rsidR="008D06D1" w:rsidRPr="00C70421">
        <w:rPr>
          <w:lang w:val="fr-FR"/>
        </w:rPr>
        <w:t>offrir d</w:t>
      </w:r>
      <w:r w:rsidR="00735ADB" w:rsidRPr="00C70421">
        <w:rPr>
          <w:lang w:val="fr-FR"/>
        </w:rPr>
        <w:t>es services à des déposants passant par d</w:t>
      </w:r>
      <w:r w:rsidR="00473D89" w:rsidRPr="00C70421">
        <w:rPr>
          <w:lang w:val="fr-FR"/>
        </w:rPr>
        <w:t>’</w:t>
      </w:r>
      <w:r w:rsidR="00735ADB" w:rsidRPr="00C70421">
        <w:rPr>
          <w:lang w:val="fr-FR"/>
        </w:rPr>
        <w:t>autres offices récepteurs</w:t>
      </w:r>
      <w:r w:rsidR="0050667A" w:rsidRPr="00C70421">
        <w:rPr>
          <w:lang w:val="fr-FR"/>
        </w:rPr>
        <w:t>.</w:t>
      </w:r>
    </w:p>
    <w:p w:rsidR="0050667A" w:rsidRPr="00C70421" w:rsidRDefault="0050667A" w:rsidP="00E93C4E">
      <w:pPr>
        <w:pStyle w:val="SectionHeading"/>
        <w:rPr>
          <w:lang w:val="fr-FR"/>
        </w:rPr>
      </w:pPr>
      <w:bookmarkStart w:id="12" w:name="ArticleXI"/>
      <w:bookmarkEnd w:id="12"/>
      <w:r w:rsidRPr="00C70421">
        <w:rPr>
          <w:lang w:val="fr-FR"/>
        </w:rPr>
        <w:t xml:space="preserve">9 – </w:t>
      </w:r>
      <w:r w:rsidR="002F7810" w:rsidRPr="00C70421">
        <w:rPr>
          <w:lang w:val="fr-FR"/>
        </w:rPr>
        <w:t>Évaluation par d</w:t>
      </w:r>
      <w:r w:rsidR="00473D89" w:rsidRPr="00C70421">
        <w:rPr>
          <w:lang w:val="fr-FR"/>
        </w:rPr>
        <w:t>’</w:t>
      </w:r>
      <w:r w:rsidR="002F7810" w:rsidRPr="00C70421">
        <w:rPr>
          <w:lang w:val="fr-FR"/>
        </w:rPr>
        <w:t>autres administrations</w:t>
      </w:r>
    </w:p>
    <w:p w:rsidR="0050667A" w:rsidRPr="00C70421" w:rsidRDefault="0025470E" w:rsidP="00E93C4E">
      <w:pPr>
        <w:rPr>
          <w:lang w:val="fr-FR"/>
        </w:rPr>
      </w:pPr>
      <w:r w:rsidRPr="00C70421">
        <w:rPr>
          <w:lang w:val="fr-FR"/>
        </w:rPr>
        <w:t xml:space="preserve">Les observations </w:t>
      </w:r>
      <w:r w:rsidR="00970C62" w:rsidRPr="00C70421">
        <w:rPr>
          <w:lang w:val="fr-FR"/>
        </w:rPr>
        <w:t>d</w:t>
      </w:r>
      <w:r w:rsidRPr="00C70421">
        <w:rPr>
          <w:lang w:val="fr-FR"/>
        </w:rPr>
        <w:t xml:space="preserve">es administrations qui ont évalué les rapports sur </w:t>
      </w:r>
      <w:r w:rsidR="004F097C" w:rsidRPr="00C70421">
        <w:rPr>
          <w:lang w:val="fr-FR"/>
        </w:rPr>
        <w:t>le</w:t>
      </w:r>
      <w:r w:rsidRPr="00C70421">
        <w:rPr>
          <w:lang w:val="fr-FR"/>
        </w:rPr>
        <w:t xml:space="preserve"> système de gestion de la qualité</w:t>
      </w:r>
      <w:r w:rsidR="004F097C" w:rsidRPr="00C70421">
        <w:rPr>
          <w:lang w:val="fr-FR"/>
        </w:rPr>
        <w:t xml:space="preserve"> de l</w:t>
      </w:r>
      <w:r w:rsidR="00473D89" w:rsidRPr="00C70421">
        <w:rPr>
          <w:lang w:val="fr-FR"/>
        </w:rPr>
        <w:t>’</w:t>
      </w:r>
      <w:r w:rsidR="004F097C" w:rsidRPr="00C70421">
        <w:rPr>
          <w:lang w:val="fr-FR"/>
        </w:rPr>
        <w:t>OPIC</w:t>
      </w:r>
      <w:r w:rsidR="0050667A" w:rsidRPr="00C70421">
        <w:rPr>
          <w:lang w:val="fr-FR"/>
        </w:rPr>
        <w:t xml:space="preserve"> </w:t>
      </w:r>
      <w:r w:rsidRPr="00C70421">
        <w:rPr>
          <w:lang w:val="fr-FR"/>
        </w:rPr>
        <w:t>peuvent se résumer comme suit</w:t>
      </w:r>
      <w:r w:rsidR="00473D89" w:rsidRPr="00C70421">
        <w:rPr>
          <w:lang w:val="fr-FR"/>
        </w:rPr>
        <w:t> :</w:t>
      </w:r>
    </w:p>
    <w:p w:rsidR="0050667A" w:rsidRPr="00C70421" w:rsidRDefault="00530D2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25470E" w:rsidRPr="00C70421">
        <w:rPr>
          <w:lang w:val="fr-FR"/>
        </w:rPr>
        <w:t xml:space="preserve">Domaines </w:t>
      </w:r>
      <w:r w:rsidR="004F097C" w:rsidRPr="00C70421">
        <w:rPr>
          <w:lang w:val="fr-FR"/>
        </w:rPr>
        <w:t>bien gérés</w:t>
      </w:r>
      <w:r w:rsidR="0025470E" w:rsidRPr="00C70421">
        <w:rPr>
          <w:lang w:val="fr-FR"/>
        </w:rPr>
        <w:t xml:space="preserve"> </w:t>
      </w:r>
      <w:r w:rsidR="0050667A" w:rsidRPr="00C70421">
        <w:rPr>
          <w:lang w:val="fr-FR"/>
        </w:rPr>
        <w:t>(</w:t>
      </w:r>
      <w:r w:rsidR="008D06D1" w:rsidRPr="00C70421">
        <w:rPr>
          <w:lang w:val="fr-FR"/>
        </w:rPr>
        <w:t xml:space="preserve">toutes </w:t>
      </w:r>
      <w:r w:rsidR="00970C62" w:rsidRPr="00C70421">
        <w:rPr>
          <w:lang w:val="fr-FR"/>
        </w:rPr>
        <w:t>observations</w:t>
      </w:r>
      <w:r w:rsidR="008D06D1" w:rsidRPr="00C70421">
        <w:rPr>
          <w:lang w:val="fr-FR"/>
        </w:rPr>
        <w:t xml:space="preserve"> confondues</w:t>
      </w:r>
      <w:r w:rsidR="0050667A" w:rsidRPr="00C70421">
        <w:rPr>
          <w:lang w:val="fr-FR"/>
        </w:rPr>
        <w:t>)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50667A" w:rsidRPr="00C70421">
        <w:rPr>
          <w:lang w:val="fr-FR"/>
        </w:rPr>
        <w:t>Process</w:t>
      </w:r>
      <w:r w:rsidR="00970C62" w:rsidRPr="00C70421">
        <w:rPr>
          <w:lang w:val="fr-FR"/>
        </w:rPr>
        <w:t>us de cartographie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970C62" w:rsidRPr="00C70421">
        <w:rPr>
          <w:lang w:val="fr-FR"/>
        </w:rPr>
        <w:t>Approches du contrôle qualité et de l</w:t>
      </w:r>
      <w:r w:rsidR="00473D89" w:rsidRPr="00C70421">
        <w:rPr>
          <w:lang w:val="fr-FR"/>
        </w:rPr>
        <w:t>’</w:t>
      </w:r>
      <w:r w:rsidR="00970C62" w:rsidRPr="00C70421">
        <w:rPr>
          <w:lang w:val="fr-FR"/>
        </w:rPr>
        <w:t>audit qualité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 xml:space="preserve">Engagement de la </w:t>
      </w:r>
      <w:r w:rsidR="00001599">
        <w:rPr>
          <w:lang w:val="fr-FR"/>
        </w:rPr>
        <w:t>d</w:t>
      </w:r>
      <w:r w:rsidR="0013033E" w:rsidRPr="00C70421">
        <w:rPr>
          <w:lang w:val="fr-FR"/>
        </w:rPr>
        <w:t xml:space="preserve">irection envers </w:t>
      </w:r>
      <w:r w:rsidR="004F097C" w:rsidRPr="00C70421">
        <w:rPr>
          <w:lang w:val="fr-FR"/>
        </w:rPr>
        <w:t>le</w:t>
      </w:r>
      <w:r w:rsidR="0013033E" w:rsidRPr="00C70421">
        <w:rPr>
          <w:lang w:val="fr-FR"/>
        </w:rPr>
        <w:t xml:space="preserve"> système de gestion de la qualité par la mise en place de réunions du Comité directeur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>Système d</w:t>
      </w:r>
      <w:r w:rsidR="00473D89" w:rsidRPr="00C70421">
        <w:rPr>
          <w:lang w:val="fr-FR"/>
        </w:rPr>
        <w:t>’</w:t>
      </w:r>
      <w:r w:rsidR="0013033E" w:rsidRPr="00C70421">
        <w:rPr>
          <w:lang w:val="fr-FR"/>
        </w:rPr>
        <w:t>accords de gestion du rendement des employés</w:t>
      </w:r>
      <w:r w:rsidR="0050667A" w:rsidRPr="00C70421">
        <w:rPr>
          <w:lang w:val="fr-FR"/>
        </w:rPr>
        <w:t xml:space="preserve"> (</w:t>
      </w:r>
      <w:r w:rsidR="0013033E" w:rsidRPr="00C70421">
        <w:rPr>
          <w:lang w:val="fr-FR"/>
        </w:rPr>
        <w:t>objectifs clairs pour tous les employés</w:t>
      </w:r>
      <w:r w:rsidR="0050667A" w:rsidRPr="00C70421">
        <w:rPr>
          <w:lang w:val="fr-FR"/>
        </w:rPr>
        <w:t>)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>Formation</w:t>
      </w:r>
    </w:p>
    <w:p w:rsidR="00473D89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>Gestion de la charge de travail sur l</w:t>
      </w:r>
      <w:r w:rsidR="00473D89" w:rsidRPr="00C70421">
        <w:rPr>
          <w:lang w:val="fr-FR"/>
        </w:rPr>
        <w:t>’</w:t>
      </w:r>
      <w:r w:rsidR="0013033E" w:rsidRPr="00C70421">
        <w:rPr>
          <w:lang w:val="fr-FR"/>
        </w:rPr>
        <w:t>interface</w:t>
      </w:r>
      <w:r w:rsidR="0050667A" w:rsidRPr="00C70421">
        <w:rPr>
          <w:lang w:val="fr-FR"/>
        </w:rPr>
        <w:t xml:space="preserve"> </w:t>
      </w:r>
      <w:proofErr w:type="spellStart"/>
      <w:r w:rsidR="0050667A" w:rsidRPr="00C70421">
        <w:rPr>
          <w:lang w:val="fr-FR"/>
        </w:rPr>
        <w:t>InterApp</w:t>
      </w:r>
      <w:proofErr w:type="spellEnd"/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>Temps de réponse (le délai de trois</w:t>
      </w:r>
      <w:r w:rsidR="00373B66" w:rsidRPr="00C70421">
        <w:rPr>
          <w:lang w:val="fr-FR"/>
        </w:rPr>
        <w:t> </w:t>
      </w:r>
      <w:r w:rsidR="0013033E" w:rsidRPr="00C70421">
        <w:rPr>
          <w:lang w:val="fr-FR"/>
        </w:rPr>
        <w:t>jours est plutôt court par rapport aux</w:t>
      </w:r>
      <w:r w:rsidR="0050667A" w:rsidRPr="00C70421">
        <w:rPr>
          <w:lang w:val="fr-FR"/>
        </w:rPr>
        <w:t xml:space="preserve"> 15</w:t>
      </w:r>
      <w:r w:rsidR="00001599">
        <w:rPr>
          <w:lang w:val="fr-FR"/>
        </w:rPr>
        <w:t> </w:t>
      </w:r>
      <w:r w:rsidR="0013033E" w:rsidRPr="00C70421">
        <w:rPr>
          <w:lang w:val="fr-FR"/>
        </w:rPr>
        <w:t>jours assurés par d</w:t>
      </w:r>
      <w:r w:rsidR="00473D89" w:rsidRPr="00C70421">
        <w:rPr>
          <w:lang w:val="fr-FR"/>
        </w:rPr>
        <w:t>’</w:t>
      </w:r>
      <w:r w:rsidR="0013033E" w:rsidRPr="00C70421">
        <w:rPr>
          <w:lang w:val="fr-FR"/>
        </w:rPr>
        <w:t>autres</w:t>
      </w:r>
      <w:r w:rsidR="0050667A" w:rsidRPr="00C70421">
        <w:rPr>
          <w:lang w:val="fr-FR"/>
        </w:rPr>
        <w:t xml:space="preserve"> </w:t>
      </w:r>
      <w:r w:rsidR="0013033E" w:rsidRPr="00C70421">
        <w:rPr>
          <w:lang w:val="fr-FR"/>
        </w:rPr>
        <w:t>o</w:t>
      </w:r>
      <w:r w:rsidR="0050667A" w:rsidRPr="00C70421">
        <w:rPr>
          <w:lang w:val="fr-FR"/>
        </w:rPr>
        <w:t>ffices)</w:t>
      </w:r>
    </w:p>
    <w:p w:rsidR="0050667A" w:rsidRPr="00C70421" w:rsidRDefault="0050667A" w:rsidP="00E93C4E">
      <w:pPr>
        <w:rPr>
          <w:lang w:val="fr-FR"/>
        </w:rPr>
      </w:pPr>
    </w:p>
    <w:p w:rsidR="0050667A" w:rsidRPr="00C70421" w:rsidRDefault="00530D24" w:rsidP="00E93C4E">
      <w:pPr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 xml:space="preserve">Domaines </w:t>
      </w:r>
      <w:r w:rsidR="004F097C" w:rsidRPr="00C70421">
        <w:rPr>
          <w:lang w:val="fr-FR"/>
        </w:rPr>
        <w:t>à</w:t>
      </w:r>
      <w:r w:rsidR="0013033E" w:rsidRPr="00C70421">
        <w:rPr>
          <w:lang w:val="fr-FR"/>
        </w:rPr>
        <w:t xml:space="preserve"> améliorer</w:t>
      </w:r>
      <w:r w:rsidR="0050667A" w:rsidRPr="00C70421">
        <w:rPr>
          <w:lang w:val="fr-FR"/>
        </w:rPr>
        <w:t xml:space="preserve"> (</w:t>
      </w:r>
      <w:r w:rsidR="0013033E" w:rsidRPr="00C70421">
        <w:rPr>
          <w:lang w:val="fr-FR"/>
        </w:rPr>
        <w:t>en géné</w:t>
      </w:r>
      <w:r w:rsidR="008D06D1" w:rsidRPr="00C70421">
        <w:rPr>
          <w:lang w:val="fr-FR"/>
        </w:rPr>
        <w:t>ral</w:t>
      </w:r>
      <w:r w:rsidR="00473D89" w:rsidRPr="00C70421">
        <w:rPr>
          <w:lang w:val="fr-FR"/>
        </w:rPr>
        <w:t> :</w:t>
      </w:r>
      <w:r w:rsidR="0050667A" w:rsidRPr="00C70421">
        <w:rPr>
          <w:lang w:val="fr-FR"/>
        </w:rPr>
        <w:t xml:space="preserve"> </w:t>
      </w:r>
      <w:r w:rsidR="0013033E" w:rsidRPr="00C70421">
        <w:rPr>
          <w:lang w:val="fr-FR"/>
        </w:rPr>
        <w:t>il n</w:t>
      </w:r>
      <w:r w:rsidR="00473D89" w:rsidRPr="00C70421">
        <w:rPr>
          <w:lang w:val="fr-FR"/>
        </w:rPr>
        <w:t>’</w:t>
      </w:r>
      <w:r w:rsidR="0013033E" w:rsidRPr="00C70421">
        <w:rPr>
          <w:lang w:val="fr-FR"/>
        </w:rPr>
        <w:t>y a pas de problèmes majeurs</w:t>
      </w:r>
      <w:r w:rsidR="0050667A" w:rsidRPr="00C70421">
        <w:rPr>
          <w:lang w:val="fr-FR"/>
        </w:rPr>
        <w:t xml:space="preserve">, </w:t>
      </w:r>
      <w:r w:rsidR="0013033E" w:rsidRPr="00C70421">
        <w:rPr>
          <w:lang w:val="fr-FR"/>
        </w:rPr>
        <w:t>seulement quelques</w:t>
      </w:r>
      <w:r w:rsidR="0050667A" w:rsidRPr="00C70421">
        <w:rPr>
          <w:lang w:val="fr-FR"/>
        </w:rPr>
        <w:t xml:space="preserve"> clarification</w:t>
      </w:r>
      <w:r w:rsidR="0013033E" w:rsidRPr="00C70421">
        <w:rPr>
          <w:lang w:val="fr-FR"/>
        </w:rPr>
        <w:t>s à apporter dans certains secteurs</w:t>
      </w:r>
      <w:r w:rsidR="0050667A" w:rsidRPr="00C70421">
        <w:rPr>
          <w:lang w:val="fr-FR"/>
        </w:rPr>
        <w:t>)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13033E" w:rsidRPr="00C70421">
        <w:rPr>
          <w:lang w:val="fr-FR"/>
        </w:rPr>
        <w:t>Fournir un organigramme d</w:t>
      </w:r>
      <w:r w:rsidR="000117E6">
        <w:rPr>
          <w:lang w:val="fr-FR"/>
        </w:rPr>
        <w:t>e la d</w:t>
      </w:r>
      <w:r w:rsidR="00F33F19" w:rsidRPr="00C70421">
        <w:rPr>
          <w:lang w:val="fr-FR"/>
        </w:rPr>
        <w:t>irection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F33F19" w:rsidRPr="00C70421">
        <w:rPr>
          <w:lang w:val="fr-FR"/>
        </w:rPr>
        <w:t>Donner des informations plus précises concernant la certification</w:t>
      </w:r>
      <w:r w:rsidR="0050667A" w:rsidRPr="00C70421">
        <w:rPr>
          <w:lang w:val="fr-FR"/>
        </w:rPr>
        <w:t xml:space="preserve"> ISO (</w:t>
      </w:r>
      <w:r w:rsidR="00F33F19" w:rsidRPr="00C70421">
        <w:rPr>
          <w:lang w:val="fr-FR"/>
        </w:rPr>
        <w:t>le rapport n</w:t>
      </w:r>
      <w:r w:rsidR="00473D89" w:rsidRPr="00C70421">
        <w:rPr>
          <w:lang w:val="fr-FR"/>
        </w:rPr>
        <w:t>’</w:t>
      </w:r>
      <w:r w:rsidR="00F33F19" w:rsidRPr="00C70421">
        <w:rPr>
          <w:lang w:val="fr-FR"/>
        </w:rPr>
        <w:t xml:space="preserve">indique pas clairement si </w:t>
      </w:r>
      <w:r w:rsidR="006F467B" w:rsidRPr="00C70421">
        <w:rPr>
          <w:lang w:val="fr-FR"/>
        </w:rPr>
        <w:t>l</w:t>
      </w:r>
      <w:r w:rsidR="00473D89" w:rsidRPr="00C70421">
        <w:rPr>
          <w:lang w:val="fr-FR"/>
        </w:rPr>
        <w:t>’</w:t>
      </w:r>
      <w:r w:rsidR="006F467B" w:rsidRPr="00C70421">
        <w:rPr>
          <w:lang w:val="fr-FR"/>
        </w:rPr>
        <w:t>OPIC a obtenu la certification</w:t>
      </w:r>
      <w:r w:rsidR="00F33F19" w:rsidRPr="00C70421">
        <w:rPr>
          <w:lang w:val="fr-FR"/>
        </w:rPr>
        <w:t xml:space="preserve"> ou non)</w:t>
      </w:r>
    </w:p>
    <w:p w:rsidR="0050667A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F33F19" w:rsidRPr="00C70421">
        <w:rPr>
          <w:lang w:val="fr-FR"/>
        </w:rPr>
        <w:t xml:space="preserve">Donner des indications plus claires </w:t>
      </w:r>
      <w:r w:rsidR="006F467B" w:rsidRPr="00C70421">
        <w:rPr>
          <w:lang w:val="fr-FR"/>
        </w:rPr>
        <w:t>concernant l</w:t>
      </w:r>
      <w:r w:rsidR="00F33F19" w:rsidRPr="00C70421">
        <w:rPr>
          <w:lang w:val="fr-FR"/>
        </w:rPr>
        <w:t xml:space="preserve">es actions qui seront entreprises </w:t>
      </w:r>
      <w:r w:rsidR="006F467B" w:rsidRPr="00C70421">
        <w:rPr>
          <w:lang w:val="fr-FR"/>
        </w:rPr>
        <w:t>pour gérer</w:t>
      </w:r>
      <w:r w:rsidR="00F33F19" w:rsidRPr="00C70421">
        <w:rPr>
          <w:lang w:val="fr-FR"/>
        </w:rPr>
        <w:t xml:space="preserve"> les demandes retardées</w:t>
      </w:r>
      <w:r w:rsidR="0050667A" w:rsidRPr="00C70421">
        <w:rPr>
          <w:lang w:val="fr-FR"/>
        </w:rPr>
        <w:t xml:space="preserve"> (</w:t>
      </w:r>
      <w:r w:rsidR="00F33F19" w:rsidRPr="00C70421">
        <w:rPr>
          <w:lang w:val="fr-FR"/>
        </w:rPr>
        <w:t>donner des précisions sur la procédure d</w:t>
      </w:r>
      <w:r w:rsidR="00473D89" w:rsidRPr="00C70421">
        <w:rPr>
          <w:lang w:val="fr-FR"/>
        </w:rPr>
        <w:t>’</w:t>
      </w:r>
      <w:r w:rsidR="00F33F19" w:rsidRPr="00C70421">
        <w:rPr>
          <w:lang w:val="fr-FR"/>
        </w:rPr>
        <w:t>examen et</w:t>
      </w:r>
      <w:r w:rsidR="0050667A" w:rsidRPr="00C70421">
        <w:rPr>
          <w:lang w:val="fr-FR"/>
        </w:rPr>
        <w:t xml:space="preserve"> </w:t>
      </w:r>
      <w:r w:rsidR="00F33F19" w:rsidRPr="00C70421">
        <w:rPr>
          <w:lang w:val="fr-FR"/>
        </w:rPr>
        <w:t>les opé</w:t>
      </w:r>
      <w:r w:rsidR="0050667A" w:rsidRPr="00C70421">
        <w:rPr>
          <w:lang w:val="fr-FR"/>
        </w:rPr>
        <w:t>rations)</w:t>
      </w:r>
    </w:p>
    <w:p w:rsidR="00473D89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6F467B" w:rsidRPr="00C70421">
        <w:rPr>
          <w:lang w:val="fr-FR"/>
        </w:rPr>
        <w:t>Indiquer plus clairement quelles</w:t>
      </w:r>
      <w:r w:rsidR="00F33F19" w:rsidRPr="00C70421">
        <w:rPr>
          <w:lang w:val="fr-FR"/>
        </w:rPr>
        <w:t xml:space="preserve"> sont les personnes qui a</w:t>
      </w:r>
      <w:r w:rsidR="00AF0BFD" w:rsidRPr="00C70421">
        <w:rPr>
          <w:lang w:val="fr-FR"/>
        </w:rPr>
        <w:t>p</w:t>
      </w:r>
      <w:r w:rsidR="00F33F19" w:rsidRPr="00C70421">
        <w:rPr>
          <w:lang w:val="fr-FR"/>
        </w:rPr>
        <w:t>prouvent la politique en matière de qualité</w:t>
      </w:r>
      <w:r w:rsidR="00AF0BFD" w:rsidRPr="00C70421">
        <w:rPr>
          <w:lang w:val="fr-FR"/>
        </w:rPr>
        <w:t xml:space="preserve"> et si la procédure est mise à la disposition du public</w:t>
      </w:r>
    </w:p>
    <w:p w:rsidR="00473D89" w:rsidRPr="00C70421" w:rsidRDefault="00530D24" w:rsidP="00E93C4E">
      <w:pPr>
        <w:ind w:left="1134" w:hanging="567"/>
        <w:rPr>
          <w:lang w:val="fr-FR"/>
        </w:rPr>
      </w:pPr>
      <w:r w:rsidRPr="00C70421">
        <w:rPr>
          <w:lang w:val="fr-FR"/>
        </w:rPr>
        <w:t>–</w:t>
      </w:r>
      <w:r w:rsidRPr="00C70421">
        <w:rPr>
          <w:lang w:val="fr-FR"/>
        </w:rPr>
        <w:tab/>
      </w:r>
      <w:r w:rsidR="00AF0BFD" w:rsidRPr="00C70421">
        <w:rPr>
          <w:lang w:val="fr-FR"/>
        </w:rPr>
        <w:t xml:space="preserve">Donner des </w:t>
      </w:r>
      <w:r w:rsidR="001B78C6" w:rsidRPr="00C70421">
        <w:rPr>
          <w:lang w:val="fr-FR"/>
        </w:rPr>
        <w:t>précisions</w:t>
      </w:r>
      <w:r w:rsidR="00AF0BFD" w:rsidRPr="00C70421">
        <w:rPr>
          <w:lang w:val="fr-FR"/>
        </w:rPr>
        <w:t xml:space="preserve"> sur l</w:t>
      </w:r>
      <w:r w:rsidR="00473D89" w:rsidRPr="00C70421">
        <w:rPr>
          <w:lang w:val="fr-FR"/>
        </w:rPr>
        <w:t>’</w:t>
      </w:r>
      <w:r w:rsidR="000117E6">
        <w:rPr>
          <w:lang w:val="fr-FR"/>
        </w:rPr>
        <w:t>évaluation de la d</w:t>
      </w:r>
      <w:r w:rsidR="00AF0BFD" w:rsidRPr="00C70421">
        <w:rPr>
          <w:lang w:val="fr-FR"/>
        </w:rPr>
        <w:t>irection</w:t>
      </w:r>
    </w:p>
    <w:p w:rsidR="0050667A" w:rsidRPr="00C70421" w:rsidRDefault="0050667A" w:rsidP="00E93C4E">
      <w:pPr>
        <w:rPr>
          <w:lang w:val="fr-FR"/>
        </w:rPr>
      </w:pPr>
    </w:p>
    <w:p w:rsidR="00530D24" w:rsidRDefault="00530D24" w:rsidP="00E93C4E">
      <w:pPr>
        <w:rPr>
          <w:lang w:val="fr-FR"/>
        </w:rPr>
      </w:pPr>
    </w:p>
    <w:p w:rsidR="0085063C" w:rsidRPr="00C70421" w:rsidRDefault="0085063C" w:rsidP="00E93C4E">
      <w:pPr>
        <w:rPr>
          <w:lang w:val="fr-FR"/>
        </w:rPr>
      </w:pPr>
    </w:p>
    <w:p w:rsidR="00AA5F79" w:rsidRPr="00C70421" w:rsidRDefault="00FA4CE0" w:rsidP="00E93C4E">
      <w:pPr>
        <w:pStyle w:val="Endofdocument-Annex"/>
        <w:rPr>
          <w:lang w:val="fr-FR"/>
        </w:rPr>
      </w:pPr>
      <w:r w:rsidRPr="00C70421">
        <w:rPr>
          <w:lang w:val="fr-FR"/>
        </w:rPr>
        <w:t>[</w:t>
      </w:r>
      <w:r w:rsidR="002F7810" w:rsidRPr="00C70421">
        <w:rPr>
          <w:lang w:val="fr-FR"/>
        </w:rPr>
        <w:t>Fin de l</w:t>
      </w:r>
      <w:r w:rsidR="00473D89" w:rsidRPr="00C70421">
        <w:rPr>
          <w:lang w:val="fr-FR"/>
        </w:rPr>
        <w:t>’</w:t>
      </w:r>
      <w:r w:rsidR="002F7810" w:rsidRPr="00C70421">
        <w:rPr>
          <w:lang w:val="fr-FR"/>
        </w:rPr>
        <w:t>annexe et du document</w:t>
      </w:r>
      <w:r w:rsidRPr="00C70421">
        <w:rPr>
          <w:lang w:val="fr-FR"/>
        </w:rPr>
        <w:t>]</w:t>
      </w:r>
    </w:p>
    <w:sectPr w:rsidR="00AA5F79" w:rsidRPr="00C70421" w:rsidSect="00F26481">
      <w:head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81" w:rsidRDefault="00F26481">
      <w:r>
        <w:separator/>
      </w:r>
    </w:p>
  </w:endnote>
  <w:endnote w:type="continuationSeparator" w:id="0">
    <w:p w:rsidR="00F26481" w:rsidRDefault="00F26481" w:rsidP="003B38C1">
      <w:r>
        <w:separator/>
      </w:r>
    </w:p>
    <w:p w:rsidR="00F26481" w:rsidRPr="003B38C1" w:rsidRDefault="00F264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6481" w:rsidRPr="003B38C1" w:rsidRDefault="00F264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4D" w:rsidRDefault="006E2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4D" w:rsidRDefault="006E2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4D" w:rsidRDefault="006E294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81" w:rsidRPr="00001599" w:rsidRDefault="00F26481" w:rsidP="00001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81" w:rsidRDefault="00F26481">
      <w:r>
        <w:separator/>
      </w:r>
    </w:p>
  </w:footnote>
  <w:footnote w:type="continuationSeparator" w:id="0">
    <w:p w:rsidR="00F26481" w:rsidRDefault="00F26481" w:rsidP="008B60B2">
      <w:r>
        <w:separator/>
      </w:r>
    </w:p>
    <w:p w:rsidR="00F26481" w:rsidRPr="00ED77FB" w:rsidRDefault="00F264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6481" w:rsidRPr="00ED77FB" w:rsidRDefault="00F264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D54E2" w:rsidRPr="00493F58" w:rsidRDefault="00DD54E2" w:rsidP="00DD54E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493F58">
        <w:rPr>
          <w:lang w:val="fr-CH"/>
        </w:rPr>
        <w:t xml:space="preserve"> </w:t>
      </w:r>
      <w:r w:rsidRPr="00493F58">
        <w:rPr>
          <w:lang w:val="fr-CH"/>
        </w:rPr>
        <w:tab/>
        <w:t>Rapports disponibles sur le site</w:t>
      </w:r>
      <w:r>
        <w:rPr>
          <w:lang w:val="fr-CH"/>
        </w:rPr>
        <w:t> </w:t>
      </w:r>
      <w:r w:rsidRPr="00493F58">
        <w:rPr>
          <w:lang w:val="fr-CH"/>
        </w:rPr>
        <w:t>Web de l</w:t>
      </w:r>
      <w:r>
        <w:rPr>
          <w:lang w:val="fr-CH"/>
        </w:rPr>
        <w:t>’</w:t>
      </w:r>
      <w:r w:rsidRPr="00493F58">
        <w:rPr>
          <w:lang w:val="fr-CH"/>
        </w:rPr>
        <w:t xml:space="preserve">OMPI </w:t>
      </w:r>
      <w:r w:rsidRPr="00F46AD3">
        <w:rPr>
          <w:lang w:val="fr-CH"/>
        </w:rPr>
        <w:t>http://www.wipo.int/pct/en/quality/authorities.html</w:t>
      </w:r>
      <w:r w:rsidRPr="0085063C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4D" w:rsidRDefault="006E29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81" w:rsidRDefault="00F26481" w:rsidP="00477D6B">
    <w:pPr>
      <w:jc w:val="right"/>
    </w:pPr>
    <w:bookmarkStart w:id="6" w:name="Code2"/>
    <w:bookmarkEnd w:id="6"/>
    <w:r>
      <w:t>PCT/CTC/30/6</w:t>
    </w:r>
  </w:p>
  <w:p w:rsidR="00F26481" w:rsidRDefault="00F26481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E93C4E">
      <w:rPr>
        <w:noProof/>
      </w:rPr>
      <w:t>2</w:t>
    </w:r>
    <w:r>
      <w:fldChar w:fldCharType="end"/>
    </w:r>
  </w:p>
  <w:p w:rsidR="00F26481" w:rsidRDefault="00F2648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4D" w:rsidRDefault="006E294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81" w:rsidRPr="00AA5F79" w:rsidRDefault="00F26481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/6</w:t>
    </w:r>
  </w:p>
  <w:p w:rsidR="00F26481" w:rsidRPr="00AA5F79" w:rsidRDefault="00F26481" w:rsidP="00477D6B">
    <w:pPr>
      <w:jc w:val="right"/>
      <w:rPr>
        <w:lang w:val="fr-FR"/>
      </w:rPr>
    </w:pPr>
    <w:r w:rsidRPr="00AA5F79">
      <w:rPr>
        <w:lang w:val="fr-FR"/>
      </w:rPr>
      <w:t>Annex</w:t>
    </w:r>
    <w:r>
      <w:rPr>
        <w:lang w:val="fr-FR"/>
      </w:rPr>
      <w:t>e</w:t>
    </w:r>
    <w:r w:rsidRPr="00AA5F79">
      <w:rPr>
        <w:lang w:val="fr-FR"/>
      </w:rPr>
      <w:t>, page</w:t>
    </w:r>
    <w:r w:rsidR="006E294D">
      <w:rPr>
        <w:lang w:val="fr-FR"/>
      </w:rPr>
      <w:t>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F46AD3">
      <w:rPr>
        <w:noProof/>
        <w:lang w:val="fr-FR"/>
      </w:rPr>
      <w:t>18</w:t>
    </w:r>
    <w:r>
      <w:fldChar w:fldCharType="end"/>
    </w:r>
  </w:p>
  <w:p w:rsidR="00F26481" w:rsidRPr="00AA5F79" w:rsidRDefault="00F26481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81" w:rsidRDefault="00F26481" w:rsidP="00AA5F79">
    <w:pPr>
      <w:pStyle w:val="Header"/>
      <w:jc w:val="right"/>
    </w:pPr>
    <w:r>
      <w:t>PCT/CTC/30/6</w:t>
    </w:r>
  </w:p>
  <w:p w:rsidR="00F26481" w:rsidRDefault="00F26481" w:rsidP="00AA5F79">
    <w:pPr>
      <w:pStyle w:val="Header"/>
      <w:jc w:val="right"/>
    </w:pPr>
    <w:r>
      <w:t>ANNEXE</w:t>
    </w:r>
  </w:p>
  <w:p w:rsidR="00F26481" w:rsidRDefault="00F26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5D232F"/>
    <w:multiLevelType w:val="multilevel"/>
    <w:tmpl w:val="FFD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606D"/>
    <w:multiLevelType w:val="multilevel"/>
    <w:tmpl w:val="E1D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F25568"/>
    <w:multiLevelType w:val="hybridMultilevel"/>
    <w:tmpl w:val="6F0200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C381A1A"/>
    <w:multiLevelType w:val="hybridMultilevel"/>
    <w:tmpl w:val="1050438A"/>
    <w:lvl w:ilvl="0" w:tplc="4F6403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366DB"/>
    <w:multiLevelType w:val="hybridMultilevel"/>
    <w:tmpl w:val="3474D770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6543A"/>
    <w:multiLevelType w:val="hybridMultilevel"/>
    <w:tmpl w:val="18721A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C5DC3"/>
    <w:multiLevelType w:val="hybridMultilevel"/>
    <w:tmpl w:val="ACEEA6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3041"/>
    <w:multiLevelType w:val="hybridMultilevel"/>
    <w:tmpl w:val="CA0601FC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22761"/>
    <w:multiLevelType w:val="hybridMultilevel"/>
    <w:tmpl w:val="2732F37C"/>
    <w:lvl w:ilvl="0" w:tplc="60E0E7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57685"/>
    <w:multiLevelType w:val="hybridMultilevel"/>
    <w:tmpl w:val="196463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1599"/>
    <w:rsid w:val="000037A3"/>
    <w:rsid w:val="00011582"/>
    <w:rsid w:val="000117E6"/>
    <w:rsid w:val="00020785"/>
    <w:rsid w:val="00022467"/>
    <w:rsid w:val="00031F9E"/>
    <w:rsid w:val="00043CAA"/>
    <w:rsid w:val="0006149D"/>
    <w:rsid w:val="00075432"/>
    <w:rsid w:val="000764E4"/>
    <w:rsid w:val="00093766"/>
    <w:rsid w:val="000968ED"/>
    <w:rsid w:val="000B1871"/>
    <w:rsid w:val="000B4921"/>
    <w:rsid w:val="000E789C"/>
    <w:rsid w:val="000F5E56"/>
    <w:rsid w:val="00113E32"/>
    <w:rsid w:val="00114AC9"/>
    <w:rsid w:val="0013033E"/>
    <w:rsid w:val="0013276E"/>
    <w:rsid w:val="001362D7"/>
    <w:rsid w:val="001362EE"/>
    <w:rsid w:val="00143EDF"/>
    <w:rsid w:val="00147D61"/>
    <w:rsid w:val="00153B89"/>
    <w:rsid w:val="001617BA"/>
    <w:rsid w:val="00182D32"/>
    <w:rsid w:val="001832A6"/>
    <w:rsid w:val="00190644"/>
    <w:rsid w:val="00195647"/>
    <w:rsid w:val="001A2D67"/>
    <w:rsid w:val="001A4700"/>
    <w:rsid w:val="001B44E7"/>
    <w:rsid w:val="001B680D"/>
    <w:rsid w:val="001B78C6"/>
    <w:rsid w:val="001E223C"/>
    <w:rsid w:val="001E7BFB"/>
    <w:rsid w:val="00210AB1"/>
    <w:rsid w:val="0021217E"/>
    <w:rsid w:val="00216F6E"/>
    <w:rsid w:val="002351FA"/>
    <w:rsid w:val="002418C0"/>
    <w:rsid w:val="0025151E"/>
    <w:rsid w:val="00251D3C"/>
    <w:rsid w:val="0025470E"/>
    <w:rsid w:val="002634C4"/>
    <w:rsid w:val="00266575"/>
    <w:rsid w:val="002874E8"/>
    <w:rsid w:val="002928D3"/>
    <w:rsid w:val="002A7406"/>
    <w:rsid w:val="002E2C9C"/>
    <w:rsid w:val="002F1FE6"/>
    <w:rsid w:val="002F4E68"/>
    <w:rsid w:val="002F7810"/>
    <w:rsid w:val="00300974"/>
    <w:rsid w:val="00306E95"/>
    <w:rsid w:val="0031151E"/>
    <w:rsid w:val="00312F7F"/>
    <w:rsid w:val="00313BA3"/>
    <w:rsid w:val="0033088B"/>
    <w:rsid w:val="00344C3E"/>
    <w:rsid w:val="0035027E"/>
    <w:rsid w:val="00354444"/>
    <w:rsid w:val="00361450"/>
    <w:rsid w:val="0036488B"/>
    <w:rsid w:val="003673CF"/>
    <w:rsid w:val="00373B66"/>
    <w:rsid w:val="0037774F"/>
    <w:rsid w:val="003845C1"/>
    <w:rsid w:val="0038587A"/>
    <w:rsid w:val="00390128"/>
    <w:rsid w:val="003A68DD"/>
    <w:rsid w:val="003A6F89"/>
    <w:rsid w:val="003B271D"/>
    <w:rsid w:val="003B38C1"/>
    <w:rsid w:val="003D4AAA"/>
    <w:rsid w:val="003F14CF"/>
    <w:rsid w:val="003F3D85"/>
    <w:rsid w:val="003F3EE7"/>
    <w:rsid w:val="00403F93"/>
    <w:rsid w:val="00422922"/>
    <w:rsid w:val="00423E3E"/>
    <w:rsid w:val="00425FD2"/>
    <w:rsid w:val="00427AF4"/>
    <w:rsid w:val="004312FE"/>
    <w:rsid w:val="00431538"/>
    <w:rsid w:val="00441EBF"/>
    <w:rsid w:val="0045059A"/>
    <w:rsid w:val="0046022F"/>
    <w:rsid w:val="004647DA"/>
    <w:rsid w:val="00473D89"/>
    <w:rsid w:val="00474062"/>
    <w:rsid w:val="0047603F"/>
    <w:rsid w:val="004765E6"/>
    <w:rsid w:val="00477D6B"/>
    <w:rsid w:val="004859B5"/>
    <w:rsid w:val="00493F58"/>
    <w:rsid w:val="004B29D8"/>
    <w:rsid w:val="004C46FB"/>
    <w:rsid w:val="004D05A3"/>
    <w:rsid w:val="004D36F7"/>
    <w:rsid w:val="004D4F2A"/>
    <w:rsid w:val="004E30E0"/>
    <w:rsid w:val="004E6979"/>
    <w:rsid w:val="004F097C"/>
    <w:rsid w:val="004F2DA2"/>
    <w:rsid w:val="004F74E6"/>
    <w:rsid w:val="005019FF"/>
    <w:rsid w:val="00504845"/>
    <w:rsid w:val="0050667A"/>
    <w:rsid w:val="005157BC"/>
    <w:rsid w:val="0053057A"/>
    <w:rsid w:val="00530D24"/>
    <w:rsid w:val="0054705C"/>
    <w:rsid w:val="00556E87"/>
    <w:rsid w:val="00560A29"/>
    <w:rsid w:val="00563C13"/>
    <w:rsid w:val="00565A7F"/>
    <w:rsid w:val="00583FBF"/>
    <w:rsid w:val="005850AA"/>
    <w:rsid w:val="00586FA5"/>
    <w:rsid w:val="0059683F"/>
    <w:rsid w:val="005A11EC"/>
    <w:rsid w:val="005B2D47"/>
    <w:rsid w:val="005C40A3"/>
    <w:rsid w:val="005C4B2F"/>
    <w:rsid w:val="005C4F47"/>
    <w:rsid w:val="005C6649"/>
    <w:rsid w:val="005D2B45"/>
    <w:rsid w:val="00603D82"/>
    <w:rsid w:val="00605827"/>
    <w:rsid w:val="006062E1"/>
    <w:rsid w:val="00611D88"/>
    <w:rsid w:val="00614B25"/>
    <w:rsid w:val="00620334"/>
    <w:rsid w:val="006212BA"/>
    <w:rsid w:val="00643433"/>
    <w:rsid w:val="00646050"/>
    <w:rsid w:val="00646FF9"/>
    <w:rsid w:val="006713CA"/>
    <w:rsid w:val="006752DA"/>
    <w:rsid w:val="00675419"/>
    <w:rsid w:val="00676C5C"/>
    <w:rsid w:val="00677D72"/>
    <w:rsid w:val="00687EF7"/>
    <w:rsid w:val="006922AF"/>
    <w:rsid w:val="006A0D29"/>
    <w:rsid w:val="006A2FCF"/>
    <w:rsid w:val="006A6C1D"/>
    <w:rsid w:val="006B2078"/>
    <w:rsid w:val="006B3CED"/>
    <w:rsid w:val="006B44CF"/>
    <w:rsid w:val="006B54C7"/>
    <w:rsid w:val="006B60DE"/>
    <w:rsid w:val="006B6A8D"/>
    <w:rsid w:val="006C05EC"/>
    <w:rsid w:val="006C12CF"/>
    <w:rsid w:val="006D6A57"/>
    <w:rsid w:val="006E294D"/>
    <w:rsid w:val="006F322E"/>
    <w:rsid w:val="006F467B"/>
    <w:rsid w:val="00712043"/>
    <w:rsid w:val="00724F36"/>
    <w:rsid w:val="00735ADB"/>
    <w:rsid w:val="007451BC"/>
    <w:rsid w:val="0075470A"/>
    <w:rsid w:val="00756729"/>
    <w:rsid w:val="00760755"/>
    <w:rsid w:val="00767083"/>
    <w:rsid w:val="00774C11"/>
    <w:rsid w:val="007902EC"/>
    <w:rsid w:val="007A502B"/>
    <w:rsid w:val="007B1125"/>
    <w:rsid w:val="007B7881"/>
    <w:rsid w:val="007C02C3"/>
    <w:rsid w:val="007C0F8E"/>
    <w:rsid w:val="007C3F05"/>
    <w:rsid w:val="007C4699"/>
    <w:rsid w:val="007C74E3"/>
    <w:rsid w:val="007C74F1"/>
    <w:rsid w:val="007D1613"/>
    <w:rsid w:val="007D54F6"/>
    <w:rsid w:val="007E250C"/>
    <w:rsid w:val="007E4C0E"/>
    <w:rsid w:val="007E4CCE"/>
    <w:rsid w:val="007E4EFD"/>
    <w:rsid w:val="007E641B"/>
    <w:rsid w:val="00805C95"/>
    <w:rsid w:val="0080665E"/>
    <w:rsid w:val="008069C6"/>
    <w:rsid w:val="008229A2"/>
    <w:rsid w:val="00837953"/>
    <w:rsid w:val="00837E2A"/>
    <w:rsid w:val="00841069"/>
    <w:rsid w:val="00841C9B"/>
    <w:rsid w:val="008438DE"/>
    <w:rsid w:val="0085063C"/>
    <w:rsid w:val="00855A2B"/>
    <w:rsid w:val="0086542B"/>
    <w:rsid w:val="008A31F7"/>
    <w:rsid w:val="008B1AE0"/>
    <w:rsid w:val="008B2CC1"/>
    <w:rsid w:val="008B50A2"/>
    <w:rsid w:val="008B60B2"/>
    <w:rsid w:val="008C0636"/>
    <w:rsid w:val="008C30DB"/>
    <w:rsid w:val="008D06D1"/>
    <w:rsid w:val="008D094A"/>
    <w:rsid w:val="008D747C"/>
    <w:rsid w:val="008E5D75"/>
    <w:rsid w:val="00905F21"/>
    <w:rsid w:val="0090731E"/>
    <w:rsid w:val="0091055C"/>
    <w:rsid w:val="00916EE2"/>
    <w:rsid w:val="009257E0"/>
    <w:rsid w:val="00926132"/>
    <w:rsid w:val="00930C03"/>
    <w:rsid w:val="00937968"/>
    <w:rsid w:val="009438B4"/>
    <w:rsid w:val="0095109C"/>
    <w:rsid w:val="00953DBC"/>
    <w:rsid w:val="0095687D"/>
    <w:rsid w:val="00966A22"/>
    <w:rsid w:val="0096722F"/>
    <w:rsid w:val="00970C62"/>
    <w:rsid w:val="00980843"/>
    <w:rsid w:val="009A783C"/>
    <w:rsid w:val="009B33A9"/>
    <w:rsid w:val="009B3423"/>
    <w:rsid w:val="009B73CA"/>
    <w:rsid w:val="009C18A4"/>
    <w:rsid w:val="009D1B2E"/>
    <w:rsid w:val="009E2791"/>
    <w:rsid w:val="009E3F6F"/>
    <w:rsid w:val="009E69D1"/>
    <w:rsid w:val="009F499F"/>
    <w:rsid w:val="009F4B3F"/>
    <w:rsid w:val="009F6A96"/>
    <w:rsid w:val="00A05B68"/>
    <w:rsid w:val="00A05E6E"/>
    <w:rsid w:val="00A05F28"/>
    <w:rsid w:val="00A11BCC"/>
    <w:rsid w:val="00A42DAF"/>
    <w:rsid w:val="00A45BD8"/>
    <w:rsid w:val="00A46169"/>
    <w:rsid w:val="00A47571"/>
    <w:rsid w:val="00A55C78"/>
    <w:rsid w:val="00A62193"/>
    <w:rsid w:val="00A7490A"/>
    <w:rsid w:val="00A864BA"/>
    <w:rsid w:val="00A869B7"/>
    <w:rsid w:val="00A9237B"/>
    <w:rsid w:val="00A93FC2"/>
    <w:rsid w:val="00AA2DE6"/>
    <w:rsid w:val="00AA5F79"/>
    <w:rsid w:val="00AB6969"/>
    <w:rsid w:val="00AC205C"/>
    <w:rsid w:val="00AC2163"/>
    <w:rsid w:val="00AF0A6B"/>
    <w:rsid w:val="00AF0BFD"/>
    <w:rsid w:val="00AF5BE0"/>
    <w:rsid w:val="00B05A69"/>
    <w:rsid w:val="00B06433"/>
    <w:rsid w:val="00B07B08"/>
    <w:rsid w:val="00B10DB0"/>
    <w:rsid w:val="00B11E3D"/>
    <w:rsid w:val="00B1366C"/>
    <w:rsid w:val="00B14899"/>
    <w:rsid w:val="00B149F1"/>
    <w:rsid w:val="00B15ECB"/>
    <w:rsid w:val="00B27FEF"/>
    <w:rsid w:val="00B31A04"/>
    <w:rsid w:val="00B31ACA"/>
    <w:rsid w:val="00B373A2"/>
    <w:rsid w:val="00B440B6"/>
    <w:rsid w:val="00B458CD"/>
    <w:rsid w:val="00B831D8"/>
    <w:rsid w:val="00B87118"/>
    <w:rsid w:val="00B96599"/>
    <w:rsid w:val="00B9734B"/>
    <w:rsid w:val="00BA30E2"/>
    <w:rsid w:val="00BD078D"/>
    <w:rsid w:val="00BE4D6D"/>
    <w:rsid w:val="00BF495B"/>
    <w:rsid w:val="00C02CAB"/>
    <w:rsid w:val="00C02F6C"/>
    <w:rsid w:val="00C04417"/>
    <w:rsid w:val="00C07DEB"/>
    <w:rsid w:val="00C11BFE"/>
    <w:rsid w:val="00C37C03"/>
    <w:rsid w:val="00C47FAC"/>
    <w:rsid w:val="00C5068F"/>
    <w:rsid w:val="00C5106B"/>
    <w:rsid w:val="00C569C5"/>
    <w:rsid w:val="00C650A4"/>
    <w:rsid w:val="00C70421"/>
    <w:rsid w:val="00C73EAC"/>
    <w:rsid w:val="00C95413"/>
    <w:rsid w:val="00CA2BA2"/>
    <w:rsid w:val="00CB3723"/>
    <w:rsid w:val="00CD04F1"/>
    <w:rsid w:val="00CE23BD"/>
    <w:rsid w:val="00CF0B73"/>
    <w:rsid w:val="00D02DCA"/>
    <w:rsid w:val="00D03E63"/>
    <w:rsid w:val="00D05F7E"/>
    <w:rsid w:val="00D11B50"/>
    <w:rsid w:val="00D20E41"/>
    <w:rsid w:val="00D21134"/>
    <w:rsid w:val="00D24E53"/>
    <w:rsid w:val="00D31A73"/>
    <w:rsid w:val="00D400D3"/>
    <w:rsid w:val="00D45252"/>
    <w:rsid w:val="00D660D4"/>
    <w:rsid w:val="00D70E68"/>
    <w:rsid w:val="00D718CD"/>
    <w:rsid w:val="00D71B4D"/>
    <w:rsid w:val="00D74989"/>
    <w:rsid w:val="00D81F2A"/>
    <w:rsid w:val="00D90163"/>
    <w:rsid w:val="00D93D55"/>
    <w:rsid w:val="00D94B3E"/>
    <w:rsid w:val="00DC5FC5"/>
    <w:rsid w:val="00DD361A"/>
    <w:rsid w:val="00DD54E2"/>
    <w:rsid w:val="00DE083A"/>
    <w:rsid w:val="00DE70D7"/>
    <w:rsid w:val="00E023B5"/>
    <w:rsid w:val="00E15015"/>
    <w:rsid w:val="00E2514E"/>
    <w:rsid w:val="00E335FE"/>
    <w:rsid w:val="00E45FCD"/>
    <w:rsid w:val="00E45FD4"/>
    <w:rsid w:val="00E72E02"/>
    <w:rsid w:val="00E73BB1"/>
    <w:rsid w:val="00E82D0C"/>
    <w:rsid w:val="00E91ED6"/>
    <w:rsid w:val="00E93C4E"/>
    <w:rsid w:val="00EA15AF"/>
    <w:rsid w:val="00EA2A7D"/>
    <w:rsid w:val="00EB5BFE"/>
    <w:rsid w:val="00EB6FD5"/>
    <w:rsid w:val="00EC4E49"/>
    <w:rsid w:val="00EC6A3E"/>
    <w:rsid w:val="00ED77FB"/>
    <w:rsid w:val="00EE45FA"/>
    <w:rsid w:val="00EF1A8D"/>
    <w:rsid w:val="00EF2384"/>
    <w:rsid w:val="00F13513"/>
    <w:rsid w:val="00F230C4"/>
    <w:rsid w:val="00F26481"/>
    <w:rsid w:val="00F33F19"/>
    <w:rsid w:val="00F41B4D"/>
    <w:rsid w:val="00F454D3"/>
    <w:rsid w:val="00F46AD3"/>
    <w:rsid w:val="00F56089"/>
    <w:rsid w:val="00F66152"/>
    <w:rsid w:val="00F904ED"/>
    <w:rsid w:val="00F918CE"/>
    <w:rsid w:val="00FA19C1"/>
    <w:rsid w:val="00FA24B6"/>
    <w:rsid w:val="00FA4CE0"/>
    <w:rsid w:val="00FA7994"/>
    <w:rsid w:val="00FC0DD0"/>
    <w:rsid w:val="00FC36E2"/>
    <w:rsid w:val="00FD06A7"/>
    <w:rsid w:val="00FD75CD"/>
    <w:rsid w:val="00FE506E"/>
    <w:rsid w:val="00FF18E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0667A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0667A"/>
    <w:pPr>
      <w:keepNext/>
      <w:tabs>
        <w:tab w:val="num" w:pos="1152"/>
      </w:tabs>
      <w:ind w:left="1152" w:hanging="432"/>
      <w:jc w:val="center"/>
      <w:outlineLvl w:val="5"/>
    </w:pPr>
    <w:rPr>
      <w:rFonts w:ascii="Century Gothic" w:hAnsi="Century Gothic"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667A"/>
    <w:pPr>
      <w:keepNext/>
      <w:keepLines/>
      <w:tabs>
        <w:tab w:val="num" w:pos="1296"/>
      </w:tabs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667A"/>
    <w:pPr>
      <w:keepNext/>
      <w:keepLines/>
      <w:tabs>
        <w:tab w:val="num" w:pos="1440"/>
      </w:tabs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667A"/>
    <w:pPr>
      <w:keepNext/>
      <w:keepLines/>
      <w:tabs>
        <w:tab w:val="num" w:pos="1584"/>
      </w:tabs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0667A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50667A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50667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50667A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50667A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List2">
    <w:name w:val="List 2"/>
    <w:basedOn w:val="Normal"/>
    <w:rsid w:val="0050667A"/>
    <w:pPr>
      <w:ind w:left="566" w:hanging="283"/>
    </w:pPr>
  </w:style>
  <w:style w:type="paragraph" w:customStyle="1" w:styleId="DateSignatureAligned">
    <w:name w:val="Date / Signature Aligned"/>
    <w:basedOn w:val="Normal"/>
    <w:rsid w:val="0050667A"/>
    <w:pPr>
      <w:ind w:left="5250"/>
    </w:pPr>
  </w:style>
  <w:style w:type="character" w:styleId="Hyperlink">
    <w:name w:val="Hyperlink"/>
    <w:basedOn w:val="DefaultParagraphFont"/>
    <w:uiPriority w:val="99"/>
    <w:rsid w:val="007C0F8E"/>
    <w:rPr>
      <w:noProof/>
      <w:szCs w:val="22"/>
    </w:rPr>
  </w:style>
  <w:style w:type="paragraph" w:customStyle="1" w:styleId="ArtRuleRef">
    <w:name w:val="Art/Rule Ref"/>
    <w:basedOn w:val="Normal"/>
    <w:rsid w:val="0050667A"/>
    <w:pPr>
      <w:keepNext/>
      <w:keepLines/>
      <w:jc w:val="right"/>
    </w:pPr>
    <w:rPr>
      <w:rFonts w:eastAsia="Arial Unicode MS"/>
      <w:i/>
      <w:snapToGrid w:val="0"/>
      <w:sz w:val="16"/>
      <w:lang w:eastAsia="ja-JP"/>
    </w:rPr>
  </w:style>
  <w:style w:type="character" w:styleId="PageNumber">
    <w:name w:val="page number"/>
    <w:basedOn w:val="DefaultParagraphFont"/>
    <w:rsid w:val="0050667A"/>
  </w:style>
  <w:style w:type="character" w:styleId="FootnoteReference">
    <w:name w:val="footnote reference"/>
    <w:basedOn w:val="DefaultParagraphFont"/>
    <w:rsid w:val="0050667A"/>
    <w:rPr>
      <w:vertAlign w:val="superscript"/>
    </w:rPr>
  </w:style>
  <w:style w:type="table" w:styleId="TableContemporary">
    <w:name w:val="Table Contemporary"/>
    <w:basedOn w:val="TableNormal"/>
    <w:rsid w:val="0050667A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50667A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50667A"/>
    <w:rPr>
      <w:i/>
      <w:iCs/>
    </w:rPr>
  </w:style>
  <w:style w:type="table" w:styleId="TableElegant">
    <w:name w:val="Table Elegant"/>
    <w:basedOn w:val="TableNormal"/>
    <w:rsid w:val="005066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5066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BodyTexti">
    <w:name w:val="Body Text (i)"/>
    <w:basedOn w:val="Normal"/>
    <w:rsid w:val="0050667A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eastAsia="en-US"/>
    </w:rPr>
  </w:style>
  <w:style w:type="paragraph" w:customStyle="1" w:styleId="BodyTexta">
    <w:name w:val="Body Text (a)"/>
    <w:basedOn w:val="Normal"/>
    <w:rsid w:val="0050667A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50667A"/>
    <w:pPr>
      <w:ind w:left="1134" w:hanging="567"/>
    </w:pPr>
  </w:style>
  <w:style w:type="paragraph" w:customStyle="1" w:styleId="ExampleText">
    <w:name w:val="Example Text"/>
    <w:basedOn w:val="BodyTextIndent"/>
    <w:rsid w:val="0050667A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50667A"/>
    <w:pPr>
      <w:ind w:firstLine="567"/>
    </w:pPr>
  </w:style>
  <w:style w:type="paragraph" w:customStyle="1" w:styleId="ExampleClaimEnd">
    <w:name w:val="Example Claim End"/>
    <w:basedOn w:val="ExampleClaimSub"/>
    <w:rsid w:val="0050667A"/>
    <w:pPr>
      <w:ind w:firstLine="0"/>
    </w:pPr>
  </w:style>
  <w:style w:type="paragraph" w:customStyle="1" w:styleId="ExamplePolymorphism">
    <w:name w:val="Example Polymorphism"/>
    <w:basedOn w:val="ExampleClaim"/>
    <w:rsid w:val="0050667A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50667A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50667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066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667A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0667A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50667A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0667A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0667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50667A"/>
    <w:pPr>
      <w:spacing w:after="100"/>
      <w:ind w:left="660"/>
    </w:pPr>
  </w:style>
  <w:style w:type="character" w:customStyle="1" w:styleId="BodyTextChar">
    <w:name w:val="Body Text Char"/>
    <w:basedOn w:val="DefaultParagraphFont"/>
    <w:link w:val="BodyText"/>
    <w:uiPriority w:val="1"/>
    <w:rsid w:val="0050667A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5066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667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67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667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0667A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0667A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0667A"/>
    <w:rPr>
      <w:rFonts w:ascii="Arial" w:eastAsia="SimSun" w:hAnsi="Arial" w:cs="Arial"/>
      <w:sz w:val="18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50667A"/>
    <w:pPr>
      <w:pBdr>
        <w:top w:val="single" w:sz="4" w:space="1" w:color="auto"/>
        <w:bottom w:val="single" w:sz="4" w:space="1" w:color="auto"/>
      </w:pBdr>
      <w:tabs>
        <w:tab w:val="num" w:pos="1440"/>
      </w:tabs>
      <w:spacing w:before="360" w:after="200"/>
    </w:pPr>
  </w:style>
  <w:style w:type="character" w:customStyle="1" w:styleId="SectionHeadingChar">
    <w:name w:val="Section Heading Char"/>
    <w:basedOn w:val="Heading1Char"/>
    <w:link w:val="SectionHeading"/>
    <w:rsid w:val="005066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50667A"/>
    <w:pPr>
      <w:ind w:left="720"/>
      <w:contextualSpacing/>
    </w:pPr>
  </w:style>
  <w:style w:type="character" w:styleId="FollowedHyperlink">
    <w:name w:val="FollowedHyperlink"/>
    <w:basedOn w:val="DefaultParagraphFont"/>
    <w:rsid w:val="005066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0667A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styleId="BodyText2">
    <w:name w:val="Body Text 2"/>
    <w:basedOn w:val="Normal"/>
    <w:link w:val="BodyText2Char"/>
    <w:rsid w:val="0050667A"/>
    <w:rPr>
      <w:rFonts w:ascii="Century Gothic" w:hAnsi="Century Gothic"/>
      <w:i/>
      <w:color w:val="0000FF"/>
      <w:sz w:val="20"/>
    </w:rPr>
  </w:style>
  <w:style w:type="character" w:customStyle="1" w:styleId="BodyText2Char">
    <w:name w:val="Body Text 2 Char"/>
    <w:basedOn w:val="DefaultParagraphFont"/>
    <w:link w:val="BodyText2"/>
    <w:rsid w:val="0050667A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50667A"/>
    <w:rPr>
      <w:rFonts w:ascii="Century Gothic" w:hAnsi="Century Gothic"/>
      <w:color w:val="0000FF"/>
      <w:sz w:val="20"/>
    </w:rPr>
  </w:style>
  <w:style w:type="character" w:customStyle="1" w:styleId="BodyText3Char">
    <w:name w:val="Body Text 3 Char"/>
    <w:basedOn w:val="DefaultParagraphFont"/>
    <w:link w:val="BodyText3"/>
    <w:rsid w:val="0050667A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50667A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</w:rPr>
  </w:style>
  <w:style w:type="numbering" w:styleId="ArticleSection">
    <w:name w:val="Outline List 3"/>
    <w:basedOn w:val="NoList"/>
    <w:rsid w:val="0050667A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50667A"/>
    <w:pPr>
      <w:ind w:left="567"/>
    </w:pPr>
    <w:rPr>
      <w:rFonts w:ascii="Century Gothic" w:hAnsi="Century Gothic"/>
      <w:bCs/>
      <w:iCs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0667A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50667A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0667A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667A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50667A"/>
    <w:pPr>
      <w:ind w:left="360"/>
    </w:pPr>
    <w:rPr>
      <w:rFonts w:ascii="Century Gothic" w:hAnsi="Century Gothic"/>
      <w:color w:val="00B050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50667A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50667A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0667A"/>
    <w:rPr>
      <w:rFonts w:ascii="Arial" w:eastAsia="SimSun" w:hAnsi="Arial" w:cs="Arial"/>
      <w:sz w:val="22"/>
      <w:lang w:eastAsia="zh-CN"/>
    </w:rPr>
  </w:style>
  <w:style w:type="paragraph" w:customStyle="1" w:styleId="Subsection">
    <w:name w:val="Subsection"/>
    <w:basedOn w:val="Normal"/>
    <w:link w:val="SubsectionChar"/>
    <w:qFormat/>
    <w:rsid w:val="00354444"/>
    <w:pPr>
      <w:keepNext/>
    </w:pPr>
    <w:rPr>
      <w:b/>
    </w:rPr>
  </w:style>
  <w:style w:type="character" w:customStyle="1" w:styleId="SubsectionChar">
    <w:name w:val="Subsection Char"/>
    <w:basedOn w:val="DefaultParagraphFont"/>
    <w:link w:val="Subsection"/>
    <w:rsid w:val="00354444"/>
    <w:rPr>
      <w:rFonts w:ascii="Arial" w:eastAsia="SimSun" w:hAnsi="Arial" w:cs="Arial"/>
      <w:b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0667A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0667A"/>
    <w:pPr>
      <w:keepNext/>
      <w:tabs>
        <w:tab w:val="num" w:pos="1152"/>
      </w:tabs>
      <w:ind w:left="1152" w:hanging="432"/>
      <w:jc w:val="center"/>
      <w:outlineLvl w:val="5"/>
    </w:pPr>
    <w:rPr>
      <w:rFonts w:ascii="Century Gothic" w:hAnsi="Century Gothic"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667A"/>
    <w:pPr>
      <w:keepNext/>
      <w:keepLines/>
      <w:tabs>
        <w:tab w:val="num" w:pos="1296"/>
      </w:tabs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667A"/>
    <w:pPr>
      <w:keepNext/>
      <w:keepLines/>
      <w:tabs>
        <w:tab w:val="num" w:pos="1440"/>
      </w:tabs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667A"/>
    <w:pPr>
      <w:keepNext/>
      <w:keepLines/>
      <w:tabs>
        <w:tab w:val="num" w:pos="1584"/>
      </w:tabs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0667A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50667A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50667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50667A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50667A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List2">
    <w:name w:val="List 2"/>
    <w:basedOn w:val="Normal"/>
    <w:rsid w:val="0050667A"/>
    <w:pPr>
      <w:ind w:left="566" w:hanging="283"/>
    </w:pPr>
  </w:style>
  <w:style w:type="paragraph" w:customStyle="1" w:styleId="DateSignatureAligned">
    <w:name w:val="Date / Signature Aligned"/>
    <w:basedOn w:val="Normal"/>
    <w:rsid w:val="0050667A"/>
    <w:pPr>
      <w:ind w:left="5250"/>
    </w:pPr>
  </w:style>
  <w:style w:type="character" w:styleId="Hyperlink">
    <w:name w:val="Hyperlink"/>
    <w:basedOn w:val="DefaultParagraphFont"/>
    <w:uiPriority w:val="99"/>
    <w:rsid w:val="007C0F8E"/>
    <w:rPr>
      <w:noProof/>
      <w:szCs w:val="22"/>
    </w:rPr>
  </w:style>
  <w:style w:type="paragraph" w:customStyle="1" w:styleId="ArtRuleRef">
    <w:name w:val="Art/Rule Ref"/>
    <w:basedOn w:val="Normal"/>
    <w:rsid w:val="0050667A"/>
    <w:pPr>
      <w:keepNext/>
      <w:keepLines/>
      <w:jc w:val="right"/>
    </w:pPr>
    <w:rPr>
      <w:rFonts w:eastAsia="Arial Unicode MS"/>
      <w:i/>
      <w:snapToGrid w:val="0"/>
      <w:sz w:val="16"/>
      <w:lang w:eastAsia="ja-JP"/>
    </w:rPr>
  </w:style>
  <w:style w:type="character" w:styleId="PageNumber">
    <w:name w:val="page number"/>
    <w:basedOn w:val="DefaultParagraphFont"/>
    <w:rsid w:val="0050667A"/>
  </w:style>
  <w:style w:type="character" w:styleId="FootnoteReference">
    <w:name w:val="footnote reference"/>
    <w:basedOn w:val="DefaultParagraphFont"/>
    <w:rsid w:val="0050667A"/>
    <w:rPr>
      <w:vertAlign w:val="superscript"/>
    </w:rPr>
  </w:style>
  <w:style w:type="table" w:styleId="TableContemporary">
    <w:name w:val="Table Contemporary"/>
    <w:basedOn w:val="TableNormal"/>
    <w:rsid w:val="0050667A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50667A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50667A"/>
    <w:rPr>
      <w:i/>
      <w:iCs/>
    </w:rPr>
  </w:style>
  <w:style w:type="table" w:styleId="TableElegant">
    <w:name w:val="Table Elegant"/>
    <w:basedOn w:val="TableNormal"/>
    <w:rsid w:val="005066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5066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BodyTexti">
    <w:name w:val="Body Text (i)"/>
    <w:basedOn w:val="Normal"/>
    <w:rsid w:val="0050667A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eastAsia="en-US"/>
    </w:rPr>
  </w:style>
  <w:style w:type="paragraph" w:customStyle="1" w:styleId="BodyTexta">
    <w:name w:val="Body Text (a)"/>
    <w:basedOn w:val="Normal"/>
    <w:rsid w:val="0050667A"/>
    <w:pPr>
      <w:spacing w:after="120"/>
      <w:ind w:firstLine="567"/>
    </w:pPr>
    <w:rPr>
      <w:rFonts w:eastAsia="Times New Roman" w:cs="Times New Roman"/>
      <w:lang w:eastAsia="en-US"/>
    </w:rPr>
  </w:style>
  <w:style w:type="paragraph" w:customStyle="1" w:styleId="ExampleClaim">
    <w:name w:val="Example Claim"/>
    <w:basedOn w:val="ExampleText"/>
    <w:rsid w:val="0050667A"/>
    <w:pPr>
      <w:ind w:left="1134" w:hanging="567"/>
    </w:pPr>
  </w:style>
  <w:style w:type="paragraph" w:customStyle="1" w:styleId="ExampleText">
    <w:name w:val="Example Text"/>
    <w:basedOn w:val="BodyTextIndent"/>
    <w:rsid w:val="0050667A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50667A"/>
    <w:pPr>
      <w:ind w:firstLine="567"/>
    </w:pPr>
  </w:style>
  <w:style w:type="paragraph" w:customStyle="1" w:styleId="ExampleClaimEnd">
    <w:name w:val="Example Claim End"/>
    <w:basedOn w:val="ExampleClaimSub"/>
    <w:rsid w:val="0050667A"/>
    <w:pPr>
      <w:ind w:firstLine="0"/>
    </w:pPr>
  </w:style>
  <w:style w:type="paragraph" w:customStyle="1" w:styleId="ExamplePolymorphism">
    <w:name w:val="Example Polymorphism"/>
    <w:basedOn w:val="ExampleClaim"/>
    <w:rsid w:val="0050667A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50667A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50667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066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667A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0667A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50667A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0667A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0667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50667A"/>
    <w:pPr>
      <w:spacing w:after="100"/>
      <w:ind w:left="660"/>
    </w:pPr>
  </w:style>
  <w:style w:type="character" w:customStyle="1" w:styleId="BodyTextChar">
    <w:name w:val="Body Text Char"/>
    <w:basedOn w:val="DefaultParagraphFont"/>
    <w:link w:val="BodyText"/>
    <w:uiPriority w:val="1"/>
    <w:rsid w:val="0050667A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5066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667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67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667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0667A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0667A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0667A"/>
    <w:rPr>
      <w:rFonts w:ascii="Arial" w:eastAsia="SimSun" w:hAnsi="Arial" w:cs="Arial"/>
      <w:sz w:val="18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50667A"/>
    <w:pPr>
      <w:pBdr>
        <w:top w:val="single" w:sz="4" w:space="1" w:color="auto"/>
        <w:bottom w:val="single" w:sz="4" w:space="1" w:color="auto"/>
      </w:pBdr>
      <w:tabs>
        <w:tab w:val="num" w:pos="1440"/>
      </w:tabs>
      <w:spacing w:before="360" w:after="200"/>
    </w:pPr>
  </w:style>
  <w:style w:type="character" w:customStyle="1" w:styleId="SectionHeadingChar">
    <w:name w:val="Section Heading Char"/>
    <w:basedOn w:val="Heading1Char"/>
    <w:link w:val="SectionHeading"/>
    <w:rsid w:val="0050667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50667A"/>
    <w:pPr>
      <w:ind w:left="720"/>
      <w:contextualSpacing/>
    </w:pPr>
  </w:style>
  <w:style w:type="character" w:styleId="FollowedHyperlink">
    <w:name w:val="FollowedHyperlink"/>
    <w:basedOn w:val="DefaultParagraphFont"/>
    <w:rsid w:val="005066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0667A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paragraph" w:styleId="BodyText2">
    <w:name w:val="Body Text 2"/>
    <w:basedOn w:val="Normal"/>
    <w:link w:val="BodyText2Char"/>
    <w:rsid w:val="0050667A"/>
    <w:rPr>
      <w:rFonts w:ascii="Century Gothic" w:hAnsi="Century Gothic"/>
      <w:i/>
      <w:color w:val="0000FF"/>
      <w:sz w:val="20"/>
    </w:rPr>
  </w:style>
  <w:style w:type="character" w:customStyle="1" w:styleId="BodyText2Char">
    <w:name w:val="Body Text 2 Char"/>
    <w:basedOn w:val="DefaultParagraphFont"/>
    <w:link w:val="BodyText2"/>
    <w:rsid w:val="0050667A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50667A"/>
    <w:rPr>
      <w:rFonts w:ascii="Century Gothic" w:hAnsi="Century Gothic"/>
      <w:color w:val="0000FF"/>
      <w:sz w:val="20"/>
    </w:rPr>
  </w:style>
  <w:style w:type="character" w:customStyle="1" w:styleId="BodyText3Char">
    <w:name w:val="Body Text 3 Char"/>
    <w:basedOn w:val="DefaultParagraphFont"/>
    <w:link w:val="BodyText3"/>
    <w:rsid w:val="0050667A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50667A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</w:rPr>
  </w:style>
  <w:style w:type="numbering" w:styleId="ArticleSection">
    <w:name w:val="Outline List 3"/>
    <w:basedOn w:val="NoList"/>
    <w:rsid w:val="0050667A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50667A"/>
    <w:pPr>
      <w:ind w:left="567"/>
    </w:pPr>
    <w:rPr>
      <w:rFonts w:ascii="Century Gothic" w:hAnsi="Century Gothic"/>
      <w:bCs/>
      <w:iCs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0667A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50667A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0667A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667A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50667A"/>
    <w:pPr>
      <w:ind w:left="360"/>
    </w:pPr>
    <w:rPr>
      <w:rFonts w:ascii="Century Gothic" w:hAnsi="Century Gothic"/>
      <w:color w:val="00B050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50667A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50667A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0667A"/>
    <w:rPr>
      <w:rFonts w:ascii="Arial" w:eastAsia="SimSun" w:hAnsi="Arial" w:cs="Arial"/>
      <w:sz w:val="22"/>
      <w:lang w:eastAsia="zh-CN"/>
    </w:rPr>
  </w:style>
  <w:style w:type="paragraph" w:customStyle="1" w:styleId="Subsection">
    <w:name w:val="Subsection"/>
    <w:basedOn w:val="Normal"/>
    <w:link w:val="SubsectionChar"/>
    <w:qFormat/>
    <w:rsid w:val="00354444"/>
    <w:pPr>
      <w:keepNext/>
    </w:pPr>
    <w:rPr>
      <w:b/>
    </w:rPr>
  </w:style>
  <w:style w:type="character" w:customStyle="1" w:styleId="SubsectionChar">
    <w:name w:val="Subsection Char"/>
    <w:basedOn w:val="DefaultParagraphFont"/>
    <w:link w:val="Subsection"/>
    <w:rsid w:val="00354444"/>
    <w:rPr>
      <w:rFonts w:ascii="Arial" w:eastAsia="SimSun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sciencemag.org/" TargetMode="External"/><Relationship Id="rId26" Type="http://schemas.openxmlformats.org/officeDocument/2006/relationships/hyperlink" Target="https://en.wikipedia.org/wiki/List_of_countries_by_GDP_%28PPP%29" TargetMode="External"/><Relationship Id="rId39" Type="http://schemas.openxmlformats.org/officeDocument/2006/relationships/hyperlink" Target="http://www.atlantictechnologycentre.ca/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://canadabusiness.ca/" TargetMode="External"/><Relationship Id="rId42" Type="http://schemas.openxmlformats.org/officeDocument/2006/relationships/hyperlink" Target="http://www.genesiscentre.ca/" TargetMode="External"/><Relationship Id="rId47" Type="http://schemas.openxmlformats.org/officeDocument/2006/relationships/hyperlink" Target="http://www.innovatecalgary.com" TargetMode="External"/><Relationship Id="rId50" Type="http://schemas.openxmlformats.org/officeDocument/2006/relationships/hyperlink" Target="https://www.ic.gc.ca/eic/site/062.nsf/eng/h_00051.html" TargetMode="External"/><Relationship Id="rId55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wipo.int/edocs/mdocs/pct/en/pct_mia_24/pct_mia_24_presentation_statistics.pdf" TargetMode="External"/><Relationship Id="rId25" Type="http://schemas.openxmlformats.org/officeDocument/2006/relationships/hyperlink" Target="https://en.wikipedia.org/wiki/Purchasing_power_parity" TargetMode="External"/><Relationship Id="rId33" Type="http://schemas.openxmlformats.org/officeDocument/2006/relationships/hyperlink" Target="http://dx.doi.org/10.1787/eag-2016-fr" TargetMode="External"/><Relationship Id="rId38" Type="http://schemas.openxmlformats.org/officeDocument/2006/relationships/hyperlink" Target="http://canadabusiness.ca/programs/innovacorp-1/" TargetMode="External"/><Relationship Id="rId46" Type="http://schemas.openxmlformats.org/officeDocument/2006/relationships/hyperlink" Target="http://www.torontopubliclibrary.ca/detail.jsp?Entt=RDMLIB018&amp;R=LIB01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aine.hellyer@canada.ca" TargetMode="External"/><Relationship Id="rId20" Type="http://schemas.openxmlformats.org/officeDocument/2006/relationships/hyperlink" Target="http://www.wipo.int/pct/en/quality/authorities.html" TargetMode="External"/><Relationship Id="rId29" Type="http://schemas.openxmlformats.org/officeDocument/2006/relationships/hyperlink" Target="https://en.wikipedia.org/wiki/List_of_countries_by_GDP_%28nominal%29" TargetMode="External"/><Relationship Id="rId41" Type="http://schemas.openxmlformats.org/officeDocument/2006/relationships/hyperlink" Target="http://gov.nu.ca/edt/programs-services/strategic-investments-program" TargetMode="External"/><Relationship Id="rId54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en.wikipedia.org/wiki/Gross_domestic_product" TargetMode="External"/><Relationship Id="rId32" Type="http://schemas.openxmlformats.org/officeDocument/2006/relationships/hyperlink" Target="http://www.keepeek.com/Digital-Asset-Management/oecd/education/education-at-a-glance-2016/canada_eag-2016-45-en" TargetMode="External"/><Relationship Id="rId37" Type="http://schemas.openxmlformats.org/officeDocument/2006/relationships/hyperlink" Target="http://nbif.ca/en" TargetMode="External"/><Relationship Id="rId40" Type="http://schemas.openxmlformats.org/officeDocument/2006/relationships/hyperlink" Target="http://www.criq.qc.ca/en/" TargetMode="External"/><Relationship Id="rId45" Type="http://schemas.openxmlformats.org/officeDocument/2006/relationships/hyperlink" Target="http://www.ceim.org/en/" TargetMode="External"/><Relationship Id="rId53" Type="http://schemas.openxmlformats.org/officeDocument/2006/relationships/hyperlink" Target="http://www.ic.gc.ca/eic/site/icgc.nsf/eng/home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statcan.gc.ca/tables-tableaux/sum-som/l01/cst01/demo02a-eng.htm" TargetMode="External"/><Relationship Id="rId28" Type="http://schemas.openxmlformats.org/officeDocument/2006/relationships/hyperlink" Target="https://en.wikipedia.org/wiki/Gross_domestic_product" TargetMode="External"/><Relationship Id="rId36" Type="http://schemas.openxmlformats.org/officeDocument/2006/relationships/hyperlink" Target="http://nwtresearch.com/" TargetMode="External"/><Relationship Id="rId49" Type="http://schemas.openxmlformats.org/officeDocument/2006/relationships/hyperlink" Target="http://www.international.gc.ca/economist-economiste/performance/state-point/state_2016_point/index.aspx?lang=eng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jstage.jst.go.jp/browse/bbb/-char/en" TargetMode="External"/><Relationship Id="rId31" Type="http://schemas.openxmlformats.org/officeDocument/2006/relationships/hyperlink" Target="http://www.statcan.gc.ca/daily-quotidien/150923/dq150923b-eng.htm" TargetMode="External"/><Relationship Id="rId44" Type="http://schemas.openxmlformats.org/officeDocument/2006/relationships/hyperlink" Target="http://www.tecedmonton.com/organization/" TargetMode="External"/><Relationship Id="rId52" Type="http://schemas.openxmlformats.org/officeDocument/2006/relationships/hyperlink" Target="http://www.ic.gc.ca/eic/site/cipointernet-internetopic.nsf/eng/h_wr03993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://www.international.gc.ca/cip-pic/organisations.aspx?lang=eng" TargetMode="External"/><Relationship Id="rId27" Type="http://schemas.openxmlformats.org/officeDocument/2006/relationships/hyperlink" Target="https://en.wikipedia.org/wiki/List_of_countries_by_GDP_%28PPP%29_per_capita" TargetMode="External"/><Relationship Id="rId30" Type="http://schemas.openxmlformats.org/officeDocument/2006/relationships/hyperlink" Target="https://en.wikipedia.org/wiki/List_of_countries_by_GDP_%28nominal%29_per_capita" TargetMode="External"/><Relationship Id="rId35" Type="http://schemas.openxmlformats.org/officeDocument/2006/relationships/hyperlink" Target="http://www.nce-rce.gc.ca/NetworksCentres-CentresReseaux/ByBrogram-ParProgramme_eng.asp" TargetMode="External"/><Relationship Id="rId43" Type="http://schemas.openxmlformats.org/officeDocument/2006/relationships/hyperlink" Target="https://www.investottawa.ca/" TargetMode="External"/><Relationship Id="rId48" Type="http://schemas.openxmlformats.org/officeDocument/2006/relationships/hyperlink" Target="http://www.wearebctech.com/community/innovation-hub" TargetMode="External"/><Relationship Id="rId56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http://www.ic.gc.ca/eic/site/cipointernet-internetopic.nsf/eng/h_wr03993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0B49-80ED-4501-9D3D-801DC629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7719</Words>
  <Characters>47464</Characters>
  <Application>Microsoft Office Word</Application>
  <DocSecurity>0</DocSecurity>
  <Lines>1130</Lines>
  <Paragraphs>347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PCT/CTC/30/6</vt:lpstr>
      <vt:lpstr>PCT/CTC/30/6</vt:lpstr>
    </vt:vector>
  </TitlesOfParts>
  <Company>WIPO</Company>
  <LinksUpToDate>false</LinksUpToDate>
  <CharactersWithSpaces>54836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PCT/CTC/30/6</dc:title>
  <dc:subject>Extension of Appointment of the Canadian Intellectual Property Office as an International Searching and Preliminary Examining Authority Under the PCT</dc:subject>
  <dc:creator>MARLOW Thomas</dc:creator>
  <cp:keywords>SCU/ST/ko</cp:keywords>
  <cp:lastModifiedBy>MARLOW Thomas</cp:lastModifiedBy>
  <cp:revision>3</cp:revision>
  <cp:lastPrinted>2017-04-04T08:08:00Z</cp:lastPrinted>
  <dcterms:created xsi:type="dcterms:W3CDTF">2017-04-04T09:44:00Z</dcterms:created>
  <dcterms:modified xsi:type="dcterms:W3CDTF">2017-04-04T09:46:00Z</dcterms:modified>
</cp:coreProperties>
</file>