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C3038" w:rsidRPr="008C3038" w:rsidTr="000425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C3038" w:rsidRPr="008C3038" w:rsidRDefault="008C3038" w:rsidP="00042510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C3038" w:rsidRPr="008C3038" w:rsidRDefault="008C3038" w:rsidP="00042510">
            <w:pPr>
              <w:rPr>
                <w:lang w:val="fr-FR"/>
              </w:rPr>
            </w:pPr>
            <w:r w:rsidRPr="008C3038">
              <w:rPr>
                <w:noProof/>
                <w:lang w:eastAsia="en-US"/>
              </w:rPr>
              <w:drawing>
                <wp:inline distT="0" distB="0" distL="0" distR="0" wp14:anchorId="54DA15E5" wp14:editId="4D86DE03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C3038" w:rsidRPr="008C3038" w:rsidRDefault="008C3038" w:rsidP="00042510">
            <w:pPr>
              <w:jc w:val="right"/>
              <w:rPr>
                <w:lang w:val="fr-FR"/>
              </w:rPr>
            </w:pPr>
            <w:r w:rsidRPr="008C303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C3038" w:rsidRPr="008C3038" w:rsidTr="0004251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C3038" w:rsidRPr="008C3038" w:rsidRDefault="008C3038" w:rsidP="000425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3038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8C3038">
              <w:rPr>
                <w:rFonts w:ascii="Arial Black" w:hAnsi="Arial Black"/>
                <w:caps/>
                <w:sz w:val="15"/>
                <w:lang w:val="fr-FR"/>
              </w:rPr>
              <w:t>INF/1</w:t>
            </w:r>
          </w:p>
        </w:tc>
      </w:tr>
      <w:tr w:rsidR="008C3038" w:rsidRPr="008C3038" w:rsidTr="000425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C3038" w:rsidRPr="008C3038" w:rsidRDefault="008C3038" w:rsidP="000425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303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C303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8C303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C3038" w:rsidRPr="008C3038" w:rsidTr="000425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C3038" w:rsidRPr="008C3038" w:rsidRDefault="008C3038" w:rsidP="0004251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303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C303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8C3038">
              <w:rPr>
                <w:rFonts w:ascii="Arial Black" w:hAnsi="Arial Black"/>
                <w:caps/>
                <w:sz w:val="15"/>
                <w:lang w:val="fr-FR"/>
              </w:rPr>
              <w:t>24 février 2017</w:t>
            </w:r>
          </w:p>
        </w:tc>
      </w:tr>
    </w:tbl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b/>
          <w:sz w:val="28"/>
          <w:szCs w:val="28"/>
          <w:lang w:val="fr-FR"/>
        </w:rPr>
      </w:pPr>
      <w:r w:rsidRPr="008C3038">
        <w:rPr>
          <w:b/>
          <w:sz w:val="28"/>
          <w:szCs w:val="28"/>
          <w:lang w:val="fr-FR"/>
        </w:rPr>
        <w:t>Traité de coopération en matière de brevets (PCT)</w:t>
      </w:r>
    </w:p>
    <w:p w:rsidR="008C3038" w:rsidRPr="008C3038" w:rsidRDefault="008C3038" w:rsidP="008C3038">
      <w:pPr>
        <w:rPr>
          <w:b/>
          <w:sz w:val="28"/>
          <w:szCs w:val="28"/>
          <w:lang w:val="fr-FR"/>
        </w:rPr>
      </w:pPr>
      <w:r w:rsidRPr="008C3038">
        <w:rPr>
          <w:b/>
          <w:sz w:val="28"/>
          <w:szCs w:val="28"/>
          <w:lang w:val="fr-FR"/>
        </w:rPr>
        <w:t>Comité de coopération technique</w:t>
      </w: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b/>
          <w:sz w:val="24"/>
          <w:szCs w:val="24"/>
          <w:lang w:val="fr-FR"/>
        </w:rPr>
      </w:pPr>
      <w:r w:rsidRPr="008C3038">
        <w:rPr>
          <w:b/>
          <w:sz w:val="24"/>
          <w:szCs w:val="24"/>
          <w:lang w:val="fr-FR"/>
        </w:rPr>
        <w:t>Trent</w:t>
      </w:r>
      <w:r>
        <w:rPr>
          <w:b/>
          <w:sz w:val="24"/>
          <w:szCs w:val="24"/>
          <w:lang w:val="fr-FR"/>
        </w:rPr>
        <w:t>ième session</w:t>
      </w:r>
    </w:p>
    <w:p w:rsidR="008C3038" w:rsidRPr="008C3038" w:rsidRDefault="008C3038" w:rsidP="008C3038">
      <w:pPr>
        <w:rPr>
          <w:b/>
          <w:sz w:val="24"/>
          <w:szCs w:val="24"/>
          <w:lang w:val="fr-FR"/>
        </w:rPr>
      </w:pPr>
      <w:r w:rsidRPr="008C3038">
        <w:rPr>
          <w:b/>
          <w:sz w:val="24"/>
          <w:szCs w:val="24"/>
          <w:lang w:val="fr-FR"/>
        </w:rPr>
        <w:t>Genève, 8 – 12 mai 2017</w:t>
      </w: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8C3038" w:rsidRDefault="008C3038" w:rsidP="008C3038">
      <w:pPr>
        <w:rPr>
          <w:lang w:val="fr-FR"/>
        </w:rPr>
      </w:pPr>
    </w:p>
    <w:p w:rsidR="008C3038" w:rsidRPr="00FD7D6A" w:rsidRDefault="00FD7D6A" w:rsidP="007C5858">
      <w:pPr>
        <w:rPr>
          <w:caps/>
          <w:sz w:val="24"/>
          <w:lang w:val="fr-FR"/>
        </w:rPr>
      </w:pPr>
      <w:r w:rsidRPr="00FD7D6A">
        <w:rPr>
          <w:caps/>
          <w:sz w:val="24"/>
          <w:lang w:val="fr-FR"/>
        </w:rPr>
        <w:t>Exigences et procédure applicab</w:t>
      </w:r>
      <w:r>
        <w:rPr>
          <w:caps/>
          <w:sz w:val="24"/>
          <w:lang w:val="fr-FR"/>
        </w:rPr>
        <w:t>les en matière de nomination et </w:t>
      </w:r>
      <w:r w:rsidRPr="00FD7D6A">
        <w:rPr>
          <w:caps/>
          <w:sz w:val="24"/>
          <w:lang w:val="fr-FR"/>
        </w:rPr>
        <w:t>de prolongation de nomination</w:t>
      </w:r>
    </w:p>
    <w:p w:rsidR="003130D3" w:rsidRPr="008C3038" w:rsidRDefault="003130D3" w:rsidP="007C5858">
      <w:pPr>
        <w:rPr>
          <w:lang w:val="fr-FR"/>
        </w:rPr>
      </w:pPr>
    </w:p>
    <w:p w:rsidR="003130D3" w:rsidRPr="00734073" w:rsidRDefault="00B365F3" w:rsidP="007C5858">
      <w:pPr>
        <w:rPr>
          <w:i/>
          <w:lang w:val="fr-FR"/>
        </w:rPr>
      </w:pPr>
      <w:bookmarkStart w:id="4" w:name="Prepared"/>
      <w:bookmarkEnd w:id="4"/>
      <w:r w:rsidRPr="00734073">
        <w:rPr>
          <w:i/>
          <w:lang w:val="fr-FR"/>
        </w:rPr>
        <w:t>Mémorandum du Secrétariat</w:t>
      </w:r>
    </w:p>
    <w:p w:rsidR="003130D3" w:rsidRPr="008C3038" w:rsidRDefault="003130D3" w:rsidP="007C5858">
      <w:pPr>
        <w:rPr>
          <w:lang w:val="fr-FR"/>
        </w:rPr>
      </w:pPr>
    </w:p>
    <w:p w:rsidR="003130D3" w:rsidRPr="008C3038" w:rsidRDefault="003130D3" w:rsidP="007C5858">
      <w:pPr>
        <w:rPr>
          <w:lang w:val="fr-FR"/>
        </w:rPr>
      </w:pPr>
    </w:p>
    <w:p w:rsidR="003130D3" w:rsidRPr="008C3038" w:rsidRDefault="003130D3" w:rsidP="007C5858">
      <w:pPr>
        <w:rPr>
          <w:lang w:val="fr-FR"/>
        </w:rPr>
      </w:pPr>
    </w:p>
    <w:p w:rsidR="00FD7D6A" w:rsidRPr="00FD7D6A" w:rsidRDefault="00FD7D6A" w:rsidP="00E62011">
      <w:pPr>
        <w:pStyle w:val="Heading1"/>
      </w:pPr>
      <w:r>
        <w:t>R</w:t>
      </w:r>
      <w:r w:rsidR="00B365F3" w:rsidRPr="008C3038">
        <w:t>ésumé</w:t>
      </w:r>
    </w:p>
    <w:p w:rsidR="003130D3" w:rsidRPr="008C3038" w:rsidRDefault="00FF4481" w:rsidP="007C5858">
      <w:pPr>
        <w:pStyle w:val="ONUMFS"/>
        <w:rPr>
          <w:lang w:val="fr-FR"/>
        </w:rPr>
      </w:pPr>
      <w:r w:rsidRPr="008C3038">
        <w:rPr>
          <w:lang w:val="fr-FR"/>
        </w:rPr>
        <w:t>Il est prévu que l</w:t>
      </w:r>
      <w:r w:rsidR="00B365F3" w:rsidRPr="008C3038">
        <w:rPr>
          <w:lang w:val="fr-FR"/>
        </w:rPr>
        <w:t>e Comité de coopération technique</w:t>
      </w:r>
      <w:r w:rsidR="008C3038" w:rsidRPr="008C3038">
        <w:rPr>
          <w:lang w:val="fr-FR"/>
        </w:rPr>
        <w:t xml:space="preserve"> du PCT</w:t>
      </w:r>
      <w:r w:rsidR="00B365F3" w:rsidRPr="008C3038">
        <w:rPr>
          <w:lang w:val="fr-FR"/>
        </w:rPr>
        <w:t xml:space="preserve"> (ci</w:t>
      </w:r>
      <w:r w:rsidR="00FD7D6A">
        <w:rPr>
          <w:lang w:val="fr-FR"/>
        </w:rPr>
        <w:noBreakHyphen/>
      </w:r>
      <w:r w:rsidR="00B365F3" w:rsidRPr="008C3038">
        <w:rPr>
          <w:lang w:val="fr-FR"/>
        </w:rPr>
        <w:t xml:space="preserve">après dénommé “comité”) </w:t>
      </w:r>
      <w:r w:rsidRPr="008C3038">
        <w:rPr>
          <w:lang w:val="fr-FR"/>
        </w:rPr>
        <w:t>soit</w:t>
      </w:r>
      <w:r w:rsidR="00B365F3" w:rsidRPr="008C3038">
        <w:rPr>
          <w:lang w:val="fr-FR"/>
        </w:rPr>
        <w:t xml:space="preserve"> prié de fournir des avis à l</w:t>
      </w:r>
      <w:r w:rsidR="008C3038">
        <w:rPr>
          <w:lang w:val="fr-FR"/>
        </w:rPr>
        <w:t>’</w:t>
      </w:r>
      <w:r w:rsidR="00B365F3"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="00B365F3" w:rsidRPr="008C3038">
        <w:rPr>
          <w:lang w:val="fr-FR"/>
        </w:rPr>
        <w:t>Union du PCT sur la nomination d</w:t>
      </w:r>
      <w:r w:rsidR="008C3038">
        <w:rPr>
          <w:lang w:val="fr-FR"/>
        </w:rPr>
        <w:t>’</w:t>
      </w:r>
      <w:r w:rsidR="00B365F3" w:rsidRPr="008C3038">
        <w:rPr>
          <w:lang w:val="fr-FR"/>
        </w:rPr>
        <w:t>un nouvel office en qualité d</w:t>
      </w:r>
      <w:r w:rsidR="008C3038">
        <w:rPr>
          <w:lang w:val="fr-FR"/>
        </w:rPr>
        <w:t>’</w:t>
      </w:r>
      <w:r w:rsidR="00B365F3" w:rsidRPr="008C3038">
        <w:rPr>
          <w:lang w:val="fr-FR"/>
        </w:rPr>
        <w:t>administration chargée de la recherche internationale et de l</w:t>
      </w:r>
      <w:r w:rsidR="008C3038">
        <w:rPr>
          <w:lang w:val="fr-FR"/>
        </w:rPr>
        <w:t>’</w:t>
      </w:r>
      <w:r w:rsidR="00B365F3" w:rsidRPr="008C3038">
        <w:rPr>
          <w:lang w:val="fr-FR"/>
        </w:rPr>
        <w:t>examen préliminaire international selon</w:t>
      </w:r>
      <w:r w:rsidR="008C3038" w:rsidRPr="008C3038">
        <w:rPr>
          <w:lang w:val="fr-FR"/>
        </w:rPr>
        <w:t xml:space="preserve"> le PCT</w:t>
      </w:r>
      <w:r w:rsidR="00B365F3" w:rsidRPr="008C3038">
        <w:rPr>
          <w:lang w:val="fr-FR"/>
        </w:rPr>
        <w:t xml:space="preserve"> et sur la prolongation de la nomination de toutes les administrations existant</w:t>
      </w:r>
      <w:r w:rsidR="00D46AF9" w:rsidRPr="008C3038">
        <w:rPr>
          <w:lang w:val="fr-FR"/>
        </w:rPr>
        <w:t>es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Le</w:t>
      </w:r>
      <w:r w:rsidR="00584526" w:rsidRPr="008C3038">
        <w:rPr>
          <w:lang w:val="fr-FR"/>
        </w:rPr>
        <w:t xml:space="preserve"> présent mémorandum définit le rôle du comité dans cette procédure et relève la nécessité d</w:t>
      </w:r>
      <w:r w:rsidR="008C3038">
        <w:rPr>
          <w:lang w:val="fr-FR"/>
        </w:rPr>
        <w:t>’</w:t>
      </w:r>
      <w:r w:rsidR="00584526" w:rsidRPr="008C3038">
        <w:rPr>
          <w:lang w:val="fr-FR"/>
        </w:rPr>
        <w:t>établir des procédures efficaces.</w:t>
      </w:r>
    </w:p>
    <w:p w:rsidR="00FD7D6A" w:rsidRPr="00FD7D6A" w:rsidRDefault="00FD7D6A" w:rsidP="00E62011">
      <w:pPr>
        <w:pStyle w:val="Heading1"/>
      </w:pPr>
      <w:r w:rsidRPr="007C5858">
        <w:t>R</w:t>
      </w:r>
      <w:r w:rsidR="00584526" w:rsidRPr="007C5858">
        <w:t>ôle du comité</w:t>
      </w:r>
    </w:p>
    <w:p w:rsidR="003130D3" w:rsidRPr="008C3038" w:rsidRDefault="00584526" w:rsidP="007C5858">
      <w:pPr>
        <w:pStyle w:val="ONUMFS"/>
        <w:rPr>
          <w:lang w:val="fr-FR"/>
        </w:rPr>
      </w:pPr>
      <w:r w:rsidRPr="008C3038">
        <w:rPr>
          <w:lang w:val="fr-FR"/>
        </w:rPr>
        <w:t>Le rôle du comité consiste à donner des avis à l</w:t>
      </w:r>
      <w:r w:rsidR="008C3038">
        <w:rPr>
          <w:lang w:val="fr-FR"/>
        </w:rPr>
        <w:t>’</w:t>
      </w:r>
      <w:r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 xml:space="preserve"> concernant les demandes de nomination.</w:t>
      </w:r>
    </w:p>
    <w:p w:rsidR="003130D3" w:rsidRPr="008C3038" w:rsidRDefault="00584526" w:rsidP="007C5858">
      <w:pPr>
        <w:pStyle w:val="ONUMFS"/>
        <w:rPr>
          <w:lang w:val="fr-FR"/>
        </w:rPr>
      </w:pPr>
      <w:r w:rsidRPr="008C3038">
        <w:rPr>
          <w:lang w:val="fr-FR"/>
        </w:rPr>
        <w:t>Conformément à l</w:t>
      </w:r>
      <w:r w:rsidR="008C3038">
        <w:rPr>
          <w:lang w:val="fr-FR"/>
        </w:rPr>
        <w:t>’</w:t>
      </w:r>
      <w:r w:rsidR="00FD7D6A">
        <w:rPr>
          <w:lang w:val="fr-FR"/>
        </w:rPr>
        <w:t>article 56.3)i) et </w:t>
      </w:r>
      <w:r w:rsidRPr="008C3038">
        <w:rPr>
          <w:lang w:val="fr-FR"/>
        </w:rPr>
        <w:t>ii)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>, le comité a notamment pour but “de contribuer par le moyen d</w:t>
      </w:r>
      <w:r w:rsidR="008C3038">
        <w:rPr>
          <w:lang w:val="fr-FR"/>
        </w:rPr>
        <w:t>’</w:t>
      </w:r>
      <w:r w:rsidRPr="008C3038">
        <w:rPr>
          <w:lang w:val="fr-FR"/>
        </w:rPr>
        <w:t>avis et de recommandations</w:t>
      </w:r>
      <w:r w:rsidR="008C3038">
        <w:rPr>
          <w:lang w:val="fr-FR"/>
        </w:rPr>
        <w:t> :</w:t>
      </w:r>
      <w:r w:rsidRPr="008C3038">
        <w:rPr>
          <w:lang w:val="fr-FR"/>
        </w:rPr>
        <w:t xml:space="preserve"> i)</w:t>
      </w:r>
      <w:r w:rsidR="00084331">
        <w:rPr>
          <w:lang w:val="fr-FR"/>
        </w:rPr>
        <w:t> </w:t>
      </w:r>
      <w:r w:rsidRPr="008C3038">
        <w:rPr>
          <w:lang w:val="fr-FR"/>
        </w:rPr>
        <w:t>à améliorer constamment les services prév</w:t>
      </w:r>
      <w:r w:rsidR="00FD7D6A">
        <w:rPr>
          <w:lang w:val="fr-FR"/>
        </w:rPr>
        <w:t>us par le présent traité;  [et] </w:t>
      </w:r>
      <w:r w:rsidRPr="008C3038">
        <w:rPr>
          <w:lang w:val="fr-FR"/>
        </w:rPr>
        <w:t>ii)</w:t>
      </w:r>
      <w:r w:rsidR="00FD7D6A">
        <w:rPr>
          <w:lang w:val="fr-FR"/>
        </w:rPr>
        <w:t> </w:t>
      </w:r>
      <w:r w:rsidRPr="008C3038">
        <w:rPr>
          <w:lang w:val="fr-FR"/>
        </w:rPr>
        <w:t>à obtenir, tant qu</w:t>
      </w:r>
      <w:r w:rsidR="008C3038">
        <w:rPr>
          <w:lang w:val="fr-FR"/>
        </w:rPr>
        <w:t>’</w:t>
      </w:r>
      <w:r w:rsidRPr="008C3038">
        <w:rPr>
          <w:lang w:val="fr-FR"/>
        </w:rPr>
        <w:t>il y a plusieurs administrations chargées de la recherche internationale et plusieurs administrations chargées de l</w:t>
      </w:r>
      <w:r w:rsidR="008C3038">
        <w:rPr>
          <w:lang w:val="fr-FR"/>
        </w:rPr>
        <w:t>’</w:t>
      </w:r>
      <w:r w:rsidRPr="008C3038">
        <w:rPr>
          <w:lang w:val="fr-FR"/>
        </w:rPr>
        <w:t>examen préliminaire international, que leur documentation et leurs méthodes de travail soient aussi uniformes que possible et que leurs rapports soient uniformément de la plus haute qualité possible”.</w:t>
      </w:r>
    </w:p>
    <w:p w:rsidR="00E62011" w:rsidRDefault="00754799" w:rsidP="00E62011">
      <w:pPr>
        <w:pStyle w:val="ONUMFS"/>
        <w:rPr>
          <w:lang w:val="fr-FR"/>
        </w:rPr>
      </w:pPr>
      <w:r w:rsidRPr="008C3038">
        <w:rPr>
          <w:lang w:val="fr-FR"/>
        </w:rPr>
        <w:t>Par conséquent, les avis donnés par le comité à l</w:t>
      </w:r>
      <w:r w:rsidR="008C3038">
        <w:rPr>
          <w:lang w:val="fr-FR"/>
        </w:rPr>
        <w:t>’</w:t>
      </w:r>
      <w:r w:rsidRPr="008C3038">
        <w:rPr>
          <w:lang w:val="fr-FR"/>
        </w:rPr>
        <w:t>Assemblée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 xml:space="preserve"> </w:t>
      </w:r>
      <w:r w:rsidR="00FF4481" w:rsidRPr="008C3038">
        <w:rPr>
          <w:lang w:val="fr-FR"/>
        </w:rPr>
        <w:t xml:space="preserve">devraient </w:t>
      </w:r>
      <w:r w:rsidRPr="008C3038">
        <w:rPr>
          <w:lang w:val="fr-FR"/>
        </w:rPr>
        <w:t>être fondés sur une évaluation technique de la capacité éventuelle de l</w:t>
      </w:r>
      <w:r w:rsidR="008C3038">
        <w:rPr>
          <w:lang w:val="fr-FR"/>
        </w:rPr>
        <w:t>’</w:t>
      </w:r>
      <w:r w:rsidRPr="008C3038">
        <w:rPr>
          <w:lang w:val="fr-FR"/>
        </w:rPr>
        <w:t>office, s</w:t>
      </w:r>
      <w:r w:rsidR="008C3038">
        <w:rPr>
          <w:lang w:val="fr-FR"/>
        </w:rPr>
        <w:t>’</w:t>
      </w:r>
      <w:r w:rsidRPr="008C3038">
        <w:rPr>
          <w:lang w:val="fr-FR"/>
        </w:rPr>
        <w:t>il est nommé ou que sa nomination est prolongée, à contribuer de manière positive aux serv</w:t>
      </w:r>
      <w:r w:rsidR="00940EB3" w:rsidRPr="008C3038">
        <w:rPr>
          <w:lang w:val="fr-FR"/>
        </w:rPr>
        <w:t>ices fournis au titre du</w:t>
      </w:r>
      <w:r w:rsidR="00E62011">
        <w:rPr>
          <w:lang w:val="fr-FR"/>
        </w:rPr>
        <w:t xml:space="preserve"> </w:t>
      </w:r>
    </w:p>
    <w:p w:rsidR="003130D3" w:rsidRPr="008C3038" w:rsidRDefault="00940EB3" w:rsidP="00E62011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 w:rsidRPr="008C3038">
        <w:rPr>
          <w:lang w:val="fr-FR"/>
        </w:rPr>
        <w:lastRenderedPageBreak/>
        <w:t>traité</w:t>
      </w:r>
      <w:proofErr w:type="gramEnd"/>
      <w:r w:rsidR="00E06043" w:rsidRPr="008C3038">
        <w:rPr>
          <w:lang w:val="fr-FR"/>
        </w:rPr>
        <w:t xml:space="preserve"> et </w:t>
      </w:r>
      <w:r w:rsidR="001E6881">
        <w:rPr>
          <w:lang w:val="fr-FR"/>
        </w:rPr>
        <w:t xml:space="preserve">devraient </w:t>
      </w:r>
      <w:r w:rsidR="00E06043" w:rsidRPr="008C3038">
        <w:rPr>
          <w:lang w:val="fr-FR"/>
        </w:rPr>
        <w:t>tenir</w:t>
      </w:r>
      <w:r w:rsidR="00754799" w:rsidRPr="008C3038">
        <w:rPr>
          <w:lang w:val="fr-FR"/>
        </w:rPr>
        <w:t xml:space="preserve"> </w:t>
      </w:r>
      <w:r w:rsidR="00E06043" w:rsidRPr="008C3038">
        <w:rPr>
          <w:lang w:val="fr-FR"/>
        </w:rPr>
        <w:t xml:space="preserve">compte </w:t>
      </w:r>
      <w:r w:rsidR="00754799" w:rsidRPr="008C3038">
        <w:rPr>
          <w:lang w:val="fr-FR"/>
        </w:rPr>
        <w:t xml:space="preserve">en particulier </w:t>
      </w:r>
      <w:r w:rsidR="00E06043" w:rsidRPr="008C3038">
        <w:rPr>
          <w:lang w:val="fr-FR"/>
        </w:rPr>
        <w:t xml:space="preserve">du fait que </w:t>
      </w:r>
      <w:r w:rsidR="00754799" w:rsidRPr="008C3038">
        <w:rPr>
          <w:lang w:val="fr-FR"/>
        </w:rPr>
        <w:t>l</w:t>
      </w:r>
      <w:r w:rsidR="008C3038">
        <w:rPr>
          <w:lang w:val="fr-FR"/>
        </w:rPr>
        <w:t>’</w:t>
      </w:r>
      <w:r w:rsidR="00754799" w:rsidRPr="008C3038">
        <w:rPr>
          <w:lang w:val="fr-FR"/>
        </w:rPr>
        <w:t xml:space="preserve">office satisfait (ou continue de </w:t>
      </w:r>
      <w:r w:rsidR="00FF4481" w:rsidRPr="008C3038">
        <w:rPr>
          <w:lang w:val="fr-FR"/>
        </w:rPr>
        <w:t>satisfaire</w:t>
      </w:r>
      <w:r w:rsidR="00754799" w:rsidRPr="008C3038">
        <w:rPr>
          <w:lang w:val="fr-FR"/>
        </w:rPr>
        <w:t xml:space="preserve">) ou non </w:t>
      </w:r>
      <w:r w:rsidR="00FF4481" w:rsidRPr="008C3038">
        <w:rPr>
          <w:lang w:val="fr-FR"/>
        </w:rPr>
        <w:t>aux</w:t>
      </w:r>
      <w:r w:rsidR="00754799" w:rsidRPr="008C3038">
        <w:rPr>
          <w:lang w:val="fr-FR"/>
        </w:rPr>
        <w:t xml:space="preserve"> exigences minimales en matière de nomination énoncées aux </w:t>
      </w:r>
      <w:r w:rsidR="008C3038" w:rsidRPr="008C3038">
        <w:rPr>
          <w:lang w:val="fr-FR"/>
        </w:rPr>
        <w:t>règles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3</w:t>
      </w:r>
      <w:r w:rsidR="00FD7D6A">
        <w:rPr>
          <w:lang w:val="fr-FR"/>
        </w:rPr>
        <w:t>6 et </w:t>
      </w:r>
      <w:r w:rsidR="00754799" w:rsidRPr="008C3038">
        <w:rPr>
          <w:lang w:val="fr-FR"/>
        </w:rPr>
        <w:t xml:space="preserve">63 du </w:t>
      </w:r>
      <w:r w:rsidR="00FF4481" w:rsidRPr="008C3038">
        <w:rPr>
          <w:lang w:val="fr-FR"/>
        </w:rPr>
        <w:t>r</w:t>
      </w:r>
      <w:r w:rsidR="00754799" w:rsidRPr="008C3038">
        <w:rPr>
          <w:lang w:val="fr-FR"/>
        </w:rPr>
        <w:t>èglement d</w:t>
      </w:r>
      <w:r w:rsidR="008C3038">
        <w:rPr>
          <w:lang w:val="fr-FR"/>
        </w:rPr>
        <w:t>’</w:t>
      </w:r>
      <w:r w:rsidR="00754799" w:rsidRPr="008C3038">
        <w:rPr>
          <w:lang w:val="fr-FR"/>
        </w:rPr>
        <w:t>exécution</w:t>
      </w:r>
      <w:r w:rsidR="008C3038" w:rsidRPr="008C3038">
        <w:rPr>
          <w:lang w:val="fr-FR"/>
        </w:rPr>
        <w:t xml:space="preserve"> du PCT</w:t>
      </w:r>
      <w:r w:rsidR="00754799" w:rsidRPr="008C3038">
        <w:rPr>
          <w:lang w:val="fr-FR"/>
        </w:rPr>
        <w:t>.</w:t>
      </w:r>
    </w:p>
    <w:p w:rsidR="003130D3" w:rsidRPr="008C3038" w:rsidRDefault="00754799" w:rsidP="007C5858">
      <w:pPr>
        <w:pStyle w:val="ONUMFS"/>
        <w:rPr>
          <w:lang w:val="fr-FR"/>
        </w:rPr>
      </w:pPr>
      <w:r w:rsidRPr="008C3038">
        <w:rPr>
          <w:lang w:val="fr-FR"/>
        </w:rPr>
        <w:t>La décision de nommer un office ou de prolonger la nomination d</w:t>
      </w:r>
      <w:r w:rsidR="008C3038">
        <w:rPr>
          <w:lang w:val="fr-FR"/>
        </w:rPr>
        <w:t>’</w:t>
      </w:r>
      <w:r w:rsidRPr="008C3038">
        <w:rPr>
          <w:lang w:val="fr-FR"/>
        </w:rPr>
        <w:t>un office est ensuite prise par l</w:t>
      </w:r>
      <w:r w:rsidR="008C3038">
        <w:rPr>
          <w:lang w:val="fr-FR"/>
        </w:rPr>
        <w:t>’</w:t>
      </w:r>
      <w:r w:rsidRPr="008C3038">
        <w:rPr>
          <w:lang w:val="fr-FR"/>
        </w:rPr>
        <w:t xml:space="preserve">Assemblée </w:t>
      </w:r>
      <w:r w:rsidR="00E06043" w:rsidRPr="008C3038">
        <w:rPr>
          <w:lang w:val="fr-FR"/>
        </w:rPr>
        <w:t>de l</w:t>
      </w:r>
      <w:r w:rsidR="008C3038">
        <w:rPr>
          <w:lang w:val="fr-FR"/>
        </w:rPr>
        <w:t>’</w:t>
      </w:r>
      <w:r w:rsidR="00E06043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 xml:space="preserve"> qui tient compte de l</w:t>
      </w:r>
      <w:r w:rsidR="008C3038">
        <w:rPr>
          <w:lang w:val="fr-FR"/>
        </w:rPr>
        <w:t>’</w:t>
      </w:r>
      <w:r w:rsidRPr="008C3038">
        <w:rPr>
          <w:lang w:val="fr-FR"/>
        </w:rPr>
        <w:t>avis du comi</w:t>
      </w:r>
      <w:r w:rsidR="00D46AF9" w:rsidRPr="008C3038">
        <w:rPr>
          <w:lang w:val="fr-FR"/>
        </w:rPr>
        <w:t>té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L</w:t>
      </w:r>
      <w:r w:rsidR="00D46AF9">
        <w:rPr>
          <w:lang w:val="fr-FR"/>
        </w:rPr>
        <w:t>’</w:t>
      </w:r>
      <w:r w:rsidR="00D46AF9" w:rsidRPr="008C3038">
        <w:rPr>
          <w:lang w:val="fr-FR"/>
        </w:rPr>
        <w:t>a</w:t>
      </w:r>
      <w:r w:rsidRPr="008C3038">
        <w:rPr>
          <w:lang w:val="fr-FR"/>
        </w:rPr>
        <w:t xml:space="preserve">ssemblée </w:t>
      </w:r>
      <w:r w:rsidRPr="00FD7D6A">
        <w:rPr>
          <w:lang w:val="fr-FR"/>
        </w:rPr>
        <w:t xml:space="preserve">devra également approuver les accords conclus entre le Bureau international et les </w:t>
      </w:r>
      <w:r w:rsidRPr="008C3038">
        <w:rPr>
          <w:lang w:val="fr-FR"/>
        </w:rPr>
        <w:t>administrations internationales</w:t>
      </w:r>
      <w:r w:rsidR="00940EB3" w:rsidRPr="008C3038">
        <w:rPr>
          <w:lang w:val="fr-FR"/>
        </w:rPr>
        <w:t xml:space="preserve"> qui sont</w:t>
      </w:r>
      <w:r w:rsidRPr="008C3038">
        <w:rPr>
          <w:lang w:val="fr-FR"/>
        </w:rPr>
        <w:t xml:space="preserve"> </w:t>
      </w:r>
      <w:r w:rsidR="00E06043" w:rsidRPr="008C3038">
        <w:rPr>
          <w:lang w:val="fr-FR"/>
        </w:rPr>
        <w:t xml:space="preserve">établis à partir </w:t>
      </w:r>
      <w:r w:rsidRPr="008C3038">
        <w:rPr>
          <w:lang w:val="fr-FR"/>
        </w:rPr>
        <w:t>d</w:t>
      </w:r>
      <w:r w:rsidR="008C3038">
        <w:rPr>
          <w:lang w:val="fr-FR"/>
        </w:rPr>
        <w:t>’</w:t>
      </w:r>
      <w:r w:rsidRPr="008C3038">
        <w:rPr>
          <w:lang w:val="fr-FR"/>
        </w:rPr>
        <w:t>un accord type r</w:t>
      </w:r>
      <w:r w:rsidR="00FF4481" w:rsidRPr="008C3038">
        <w:rPr>
          <w:lang w:val="fr-FR"/>
        </w:rPr>
        <w:t>éexaminé</w:t>
      </w:r>
      <w:r w:rsidRPr="008C3038">
        <w:rPr>
          <w:lang w:val="fr-FR"/>
        </w:rPr>
        <w:t xml:space="preserve"> par la Réunion des administrations internationales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 xml:space="preserve"> (voir l</w:t>
      </w:r>
      <w:r w:rsidR="008C3038">
        <w:rPr>
          <w:lang w:val="fr-FR"/>
        </w:rPr>
        <w:t>’</w:t>
      </w:r>
      <w:r w:rsidRPr="008C3038">
        <w:rPr>
          <w:lang w:val="fr-FR"/>
        </w:rPr>
        <w:t>annexe du document PCT/MIA/24/2).</w:t>
      </w:r>
      <w:r w:rsidR="006649EE" w:rsidRPr="00D46AF9">
        <w:rPr>
          <w:lang w:val="fr-FR"/>
        </w:rPr>
        <w:t xml:space="preserve">  </w:t>
      </w:r>
      <w:r w:rsidRPr="008C3038">
        <w:rPr>
          <w:lang w:val="fr-FR"/>
        </w:rPr>
        <w:t>Il n</w:t>
      </w:r>
      <w:r w:rsidR="008C3038">
        <w:rPr>
          <w:lang w:val="fr-FR"/>
        </w:rPr>
        <w:t>’</w:t>
      </w:r>
      <w:r w:rsidRPr="008C3038">
        <w:rPr>
          <w:lang w:val="fr-FR"/>
        </w:rPr>
        <w:t>est pas demandé au comité d</w:t>
      </w:r>
      <w:r w:rsidR="008C3038">
        <w:rPr>
          <w:lang w:val="fr-FR"/>
        </w:rPr>
        <w:t>’</w:t>
      </w:r>
      <w:r w:rsidRPr="008C3038">
        <w:rPr>
          <w:lang w:val="fr-FR"/>
        </w:rPr>
        <w:t>examiner ces accords.</w:t>
      </w:r>
    </w:p>
    <w:p w:rsidR="003130D3" w:rsidRPr="008C3038" w:rsidRDefault="00F83723" w:rsidP="007C5858">
      <w:pPr>
        <w:pStyle w:val="ONUMFS"/>
        <w:rPr>
          <w:lang w:val="fr-FR"/>
        </w:rPr>
      </w:pPr>
      <w:r w:rsidRPr="008C3038">
        <w:rPr>
          <w:lang w:val="fr-FR"/>
        </w:rPr>
        <w:t>Les dispositions pertinentes du traité et du règlement d</w:t>
      </w:r>
      <w:r w:rsidR="008C3038">
        <w:rPr>
          <w:lang w:val="fr-FR"/>
        </w:rPr>
        <w:t>’</w:t>
      </w:r>
      <w:r w:rsidRPr="008C3038">
        <w:rPr>
          <w:lang w:val="fr-FR"/>
        </w:rPr>
        <w:t>exécution, ainsi que l</w:t>
      </w:r>
      <w:r w:rsidR="008C3038">
        <w:rPr>
          <w:lang w:val="fr-FR"/>
        </w:rPr>
        <w:t>’</w:t>
      </w:r>
      <w:r w:rsidRPr="008C3038">
        <w:rPr>
          <w:lang w:val="fr-FR"/>
        </w:rPr>
        <w:t xml:space="preserve">accord </w:t>
      </w:r>
      <w:r w:rsidR="001A74EE" w:rsidRPr="008C3038">
        <w:rPr>
          <w:lang w:val="fr-FR"/>
        </w:rPr>
        <w:t xml:space="preserve">de principe </w:t>
      </w:r>
      <w:r w:rsidR="00940EB3" w:rsidRPr="008C3038">
        <w:rPr>
          <w:lang w:val="fr-FR"/>
        </w:rPr>
        <w:t>adopté par l</w:t>
      </w:r>
      <w:r w:rsidR="008C3038">
        <w:rPr>
          <w:lang w:val="fr-FR"/>
        </w:rPr>
        <w:t>’</w:t>
      </w:r>
      <w:r w:rsidR="00940EB3" w:rsidRPr="008C3038">
        <w:rPr>
          <w:lang w:val="fr-FR"/>
        </w:rPr>
        <w:t>a</w:t>
      </w:r>
      <w:r w:rsidRPr="008C3038">
        <w:rPr>
          <w:lang w:val="fr-FR"/>
        </w:rPr>
        <w:t>ssemblée concernant cette procédure</w:t>
      </w:r>
      <w:r w:rsidR="00FF4481" w:rsidRPr="008C3038">
        <w:rPr>
          <w:lang w:val="fr-FR"/>
        </w:rPr>
        <w:t>,</w:t>
      </w:r>
      <w:r w:rsidRPr="008C3038">
        <w:rPr>
          <w:lang w:val="fr-FR"/>
        </w:rPr>
        <w:t xml:space="preserve"> sont reproduits </w:t>
      </w:r>
      <w:r w:rsidR="00FF4481" w:rsidRPr="008C3038">
        <w:rPr>
          <w:lang w:val="fr-FR"/>
        </w:rPr>
        <w:t xml:space="preserve">pour information </w:t>
      </w:r>
      <w:r w:rsidRPr="008C3038">
        <w:rPr>
          <w:lang w:val="fr-FR"/>
        </w:rPr>
        <w:t>à l</w:t>
      </w:r>
      <w:r w:rsidR="008C3038">
        <w:rPr>
          <w:lang w:val="fr-FR"/>
        </w:rPr>
        <w:t>’</w:t>
      </w:r>
      <w:r w:rsidRPr="008C3038">
        <w:rPr>
          <w:lang w:val="fr-FR"/>
        </w:rPr>
        <w:t>annexe du présent mémorandum.</w:t>
      </w:r>
    </w:p>
    <w:p w:rsidR="00FD7D6A" w:rsidRPr="00FD7D6A" w:rsidRDefault="00D9733B" w:rsidP="00E62011">
      <w:pPr>
        <w:pStyle w:val="Heading1"/>
      </w:pPr>
      <w:r w:rsidRPr="008C3038">
        <w:t>Recomm</w:t>
      </w:r>
      <w:r w:rsidR="00FD7D6A">
        <w:t>a</w:t>
      </w:r>
      <w:r w:rsidRPr="008C3038">
        <w:t>ndations</w:t>
      </w:r>
      <w:r w:rsidR="00F83723" w:rsidRPr="008C3038">
        <w:t xml:space="preserve"> en matière de procédure</w:t>
      </w:r>
    </w:p>
    <w:p w:rsidR="003130D3" w:rsidRPr="008C3038" w:rsidRDefault="00940EB3" w:rsidP="007C5858">
      <w:pPr>
        <w:pStyle w:val="ONUMFS"/>
        <w:rPr>
          <w:lang w:val="fr-FR"/>
        </w:rPr>
      </w:pPr>
      <w:r w:rsidRPr="008C3038">
        <w:rPr>
          <w:lang w:val="fr-FR"/>
        </w:rPr>
        <w:t>L</w:t>
      </w:r>
      <w:r w:rsidR="009B7420" w:rsidRPr="008C3038">
        <w:rPr>
          <w:lang w:val="fr-FR"/>
        </w:rPr>
        <w:t xml:space="preserve">e comité </w:t>
      </w:r>
      <w:r w:rsidRPr="008C3038">
        <w:rPr>
          <w:lang w:val="fr-FR"/>
        </w:rPr>
        <w:t xml:space="preserve">devrait être </w:t>
      </w:r>
      <w:r w:rsidR="009B7420" w:rsidRPr="008C3038">
        <w:rPr>
          <w:lang w:val="fr-FR"/>
        </w:rPr>
        <w:t>invité à examiner une demande de nomination et 22</w:t>
      </w:r>
      <w:r w:rsidR="00FD7D6A">
        <w:rPr>
          <w:lang w:val="fr-FR"/>
        </w:rPr>
        <w:t> </w:t>
      </w:r>
      <w:r w:rsidR="009B7420" w:rsidRPr="008C3038">
        <w:rPr>
          <w:lang w:val="fr-FR"/>
        </w:rPr>
        <w:t>demandes de prolongation de la nomination dans un délai de cinq</w:t>
      </w:r>
      <w:r w:rsidR="00084331">
        <w:rPr>
          <w:lang w:val="fr-FR"/>
        </w:rPr>
        <w:t> </w:t>
      </w:r>
      <w:r w:rsidR="009B7420" w:rsidRPr="008C3038">
        <w:rPr>
          <w:lang w:val="fr-FR"/>
        </w:rPr>
        <w:t>jours durant lequel le Groupe de travail</w:t>
      </w:r>
      <w:r w:rsidR="008C3038" w:rsidRPr="008C3038">
        <w:rPr>
          <w:lang w:val="fr-FR"/>
        </w:rPr>
        <w:t xml:space="preserve"> du PCT</w:t>
      </w:r>
      <w:r w:rsidR="009B7420" w:rsidRPr="008C3038">
        <w:rPr>
          <w:lang w:val="fr-FR"/>
        </w:rPr>
        <w:t xml:space="preserve"> doit </w:t>
      </w:r>
      <w:r w:rsidRPr="008C3038">
        <w:rPr>
          <w:lang w:val="fr-FR"/>
        </w:rPr>
        <w:t>aussi</w:t>
      </w:r>
      <w:r w:rsidR="009B7420" w:rsidRPr="008C3038">
        <w:rPr>
          <w:lang w:val="fr-FR"/>
        </w:rPr>
        <w:t xml:space="preserve"> mener à bien ses trava</w:t>
      </w:r>
      <w:r w:rsidR="00D46AF9" w:rsidRPr="008C3038">
        <w:rPr>
          <w:lang w:val="fr-FR"/>
        </w:rPr>
        <w:t>ux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Il</w:t>
      </w:r>
      <w:r w:rsidR="00B3656B" w:rsidRPr="008C3038">
        <w:rPr>
          <w:lang w:val="fr-FR"/>
        </w:rPr>
        <w:t xml:space="preserve"> est important que le comité procède à un examen minutieux des demandes mais il </w:t>
      </w:r>
      <w:r w:rsidR="00B3656B" w:rsidRPr="008C3038">
        <w:rPr>
          <w:sz w:val="20"/>
          <w:lang w:val="fr-FR"/>
        </w:rPr>
        <w:t>n</w:t>
      </w:r>
      <w:r w:rsidR="008C3038">
        <w:rPr>
          <w:sz w:val="20"/>
          <w:lang w:val="fr-FR"/>
        </w:rPr>
        <w:t>’</w:t>
      </w:r>
      <w:r w:rsidR="00FF4481" w:rsidRPr="008C3038">
        <w:rPr>
          <w:sz w:val="20"/>
          <w:lang w:val="fr-FR"/>
        </w:rPr>
        <w:t>aura</w:t>
      </w:r>
      <w:r w:rsidR="00B3656B" w:rsidRPr="008C3038">
        <w:rPr>
          <w:lang w:val="fr-FR"/>
        </w:rPr>
        <w:t xml:space="preserve"> pas de beaucoup de temps à consacrer à chacune d</w:t>
      </w:r>
      <w:r w:rsidR="008C3038">
        <w:rPr>
          <w:lang w:val="fr-FR"/>
        </w:rPr>
        <w:t>’</w:t>
      </w:r>
      <w:r w:rsidR="00B3656B" w:rsidRPr="008C3038">
        <w:rPr>
          <w:lang w:val="fr-FR"/>
        </w:rPr>
        <w:t>entre elles et il est essentiel que des procédures efficaces soient adoptées.</w:t>
      </w:r>
    </w:p>
    <w:p w:rsidR="003130D3" w:rsidRPr="008C3038" w:rsidRDefault="00B3656B" w:rsidP="007C5858">
      <w:pPr>
        <w:pStyle w:val="ONUMFS"/>
        <w:rPr>
          <w:lang w:val="fr-FR"/>
        </w:rPr>
      </w:pPr>
      <w:r w:rsidRPr="008C3038">
        <w:rPr>
          <w:lang w:val="fr-FR"/>
        </w:rPr>
        <w:t>Les recommandations ci</w:t>
      </w:r>
      <w:r w:rsidR="00FD7D6A">
        <w:rPr>
          <w:lang w:val="fr-FR"/>
        </w:rPr>
        <w:noBreakHyphen/>
      </w:r>
      <w:r w:rsidRPr="008C3038">
        <w:rPr>
          <w:lang w:val="fr-FR"/>
        </w:rPr>
        <w:t xml:space="preserve">après ont été </w:t>
      </w:r>
      <w:r w:rsidR="00FF4481" w:rsidRPr="008C3038">
        <w:rPr>
          <w:lang w:val="fr-FR"/>
        </w:rPr>
        <w:t>adressées</w:t>
      </w:r>
      <w:r w:rsidRPr="008C3038">
        <w:rPr>
          <w:lang w:val="fr-FR"/>
        </w:rPr>
        <w:t xml:space="preserve"> aux offices demandant la prolongation de leur nomination en qualité d</w:t>
      </w:r>
      <w:r w:rsidR="008C3038">
        <w:rPr>
          <w:lang w:val="fr-FR"/>
        </w:rPr>
        <w:t>’</w:t>
      </w:r>
      <w:r w:rsidRPr="008C3038">
        <w:rPr>
          <w:lang w:val="fr-FR"/>
        </w:rPr>
        <w:t>administration chargée de la recherche internationale et de l</w:t>
      </w:r>
      <w:r w:rsidR="008C3038">
        <w:rPr>
          <w:lang w:val="fr-FR"/>
        </w:rPr>
        <w:t>’</w:t>
      </w:r>
      <w:r w:rsidRPr="008C3038">
        <w:rPr>
          <w:lang w:val="fr-FR"/>
        </w:rPr>
        <w:t xml:space="preserve">examen préliminaire international </w:t>
      </w:r>
      <w:r w:rsidR="00D9733B" w:rsidRPr="008C3038">
        <w:rPr>
          <w:lang w:val="fr-FR"/>
        </w:rPr>
        <w:t>(paragraph</w:t>
      </w:r>
      <w:r w:rsidRPr="008C3038">
        <w:rPr>
          <w:lang w:val="fr-FR"/>
        </w:rPr>
        <w:t>e</w:t>
      </w:r>
      <w:r w:rsidR="00D9733B" w:rsidRPr="008C3038">
        <w:rPr>
          <w:lang w:val="fr-FR"/>
        </w:rPr>
        <w:t xml:space="preserve"> 10 </w:t>
      </w:r>
      <w:r w:rsidRPr="008C3038">
        <w:rPr>
          <w:lang w:val="fr-FR"/>
        </w:rPr>
        <w:t>du</w:t>
      </w:r>
      <w:r w:rsidR="00D9733B" w:rsidRPr="008C3038">
        <w:rPr>
          <w:lang w:val="fr-FR"/>
        </w:rPr>
        <w:t xml:space="preserve"> document PCT/MIA/24/2)</w:t>
      </w:r>
      <w:r w:rsidR="00E06043" w:rsidRPr="008C3038">
        <w:rPr>
          <w:lang w:val="fr-FR"/>
        </w:rPr>
        <w:t>.</w:t>
      </w:r>
    </w:p>
    <w:p w:rsidR="003130D3" w:rsidRPr="008C3038" w:rsidRDefault="00FD7D6A" w:rsidP="007C5858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>)</w:t>
      </w:r>
      <w:r>
        <w:rPr>
          <w:lang w:val="fr-FR"/>
        </w:rPr>
        <w:tab/>
      </w:r>
      <w:r w:rsidR="00E06043" w:rsidRPr="008C3038">
        <w:rPr>
          <w:lang w:val="fr-FR"/>
        </w:rPr>
        <w:t>L</w:t>
      </w:r>
      <w:r w:rsidR="00375795" w:rsidRPr="008C3038">
        <w:rPr>
          <w:lang w:val="fr-FR"/>
        </w:rPr>
        <w:t xml:space="preserve">es administrations internationales sont invitées à adresser des projets de demande au Bureau international à un stade précoce (de préférence avant cette session de </w:t>
      </w:r>
      <w:r w:rsidR="008235E5" w:rsidRPr="008C3038">
        <w:rPr>
          <w:lang w:val="fr-FR"/>
        </w:rPr>
        <w:t>la Réunion des administrations internationales</w:t>
      </w:r>
      <w:r w:rsidR="008C3038" w:rsidRPr="008C3038">
        <w:rPr>
          <w:lang w:val="fr-FR"/>
        </w:rPr>
        <w:t xml:space="preserve"> du PCT</w:t>
      </w:r>
      <w:r w:rsidR="008235E5" w:rsidRPr="008C3038">
        <w:rPr>
          <w:lang w:val="fr-FR"/>
        </w:rPr>
        <w:t xml:space="preserve">) </w:t>
      </w:r>
      <w:r w:rsidR="00940EB3" w:rsidRPr="008C3038">
        <w:rPr>
          <w:lang w:val="fr-FR"/>
        </w:rPr>
        <w:t>pour</w:t>
      </w:r>
      <w:r w:rsidR="008235E5" w:rsidRPr="008C3038">
        <w:rPr>
          <w:lang w:val="fr-FR"/>
        </w:rPr>
        <w:t xml:space="preserve"> </w:t>
      </w:r>
      <w:r w:rsidR="00E06043" w:rsidRPr="008C3038">
        <w:rPr>
          <w:lang w:val="fr-FR"/>
        </w:rPr>
        <w:t>qu</w:t>
      </w:r>
      <w:r w:rsidR="008C3038">
        <w:rPr>
          <w:lang w:val="fr-FR"/>
        </w:rPr>
        <w:t>’</w:t>
      </w:r>
      <w:r w:rsidR="00E06043" w:rsidRPr="008C3038">
        <w:rPr>
          <w:lang w:val="fr-FR"/>
        </w:rPr>
        <w:t>il puisse</w:t>
      </w:r>
      <w:r w:rsidR="008235E5" w:rsidRPr="008C3038">
        <w:rPr>
          <w:lang w:val="fr-FR"/>
        </w:rPr>
        <w:t xml:space="preserve"> vérifier de manière informelle que toutes les questions qui s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>imposaient ont été traitées.</w:t>
      </w:r>
    </w:p>
    <w:p w:rsidR="003130D3" w:rsidRPr="008C3038" w:rsidRDefault="00FD7D6A" w:rsidP="007C5858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>
        <w:rPr>
          <w:lang w:val="fr-FR"/>
        </w:rPr>
        <w:t>b</w:t>
      </w:r>
      <w:proofErr w:type="gramEnd"/>
      <w:r>
        <w:rPr>
          <w:lang w:val="fr-FR"/>
        </w:rPr>
        <w:t>)</w:t>
      </w:r>
      <w:r>
        <w:rPr>
          <w:lang w:val="fr-FR"/>
        </w:rPr>
        <w:tab/>
      </w:r>
      <w:r w:rsidR="00E06043" w:rsidRPr="008C3038">
        <w:rPr>
          <w:lang w:val="fr-FR"/>
        </w:rPr>
        <w:t>C</w:t>
      </w:r>
      <w:r w:rsidR="008235E5" w:rsidRPr="008C3038">
        <w:rPr>
          <w:lang w:val="fr-FR"/>
        </w:rPr>
        <w:t>haque demande devrait contenir le nom d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 xml:space="preserve">un responsable auquel </w:t>
      </w:r>
      <w:r w:rsidR="00E06043" w:rsidRPr="008C3038">
        <w:rPr>
          <w:lang w:val="fr-FR"/>
        </w:rPr>
        <w:t>d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>autres membres</w:t>
      </w:r>
      <w:r w:rsidR="008C3038" w:rsidRPr="008C3038">
        <w:rPr>
          <w:lang w:val="fr-FR"/>
        </w:rPr>
        <w:t xml:space="preserve"> du PCT</w:t>
      </w:r>
      <w:r w:rsidR="008235E5" w:rsidRPr="008C3038">
        <w:rPr>
          <w:lang w:val="fr-FR"/>
        </w:rPr>
        <w:t>/CTC peuvent adresser des questions avant la session afin qu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>un complément d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>information puisse être fourni si nécessai</w:t>
      </w:r>
      <w:r w:rsidR="00D46AF9" w:rsidRPr="008C3038">
        <w:rPr>
          <w:lang w:val="fr-FR"/>
        </w:rPr>
        <w:t>re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Si</w:t>
      </w:r>
      <w:r w:rsidR="008235E5" w:rsidRPr="008C3038">
        <w:rPr>
          <w:lang w:val="fr-FR"/>
        </w:rPr>
        <w:t xml:space="preserve"> une administration ne souhaite pas </w:t>
      </w:r>
      <w:r w:rsidR="00FF4481" w:rsidRPr="008C3038">
        <w:rPr>
          <w:lang w:val="fr-FR"/>
        </w:rPr>
        <w:t>mentionner</w:t>
      </w:r>
      <w:r w:rsidR="008235E5" w:rsidRPr="008C3038">
        <w:rPr>
          <w:lang w:val="fr-FR"/>
        </w:rPr>
        <w:t xml:space="preserve"> le nom d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>un responsable dans l</w:t>
      </w:r>
      <w:r w:rsidR="00FF4481" w:rsidRPr="008C3038">
        <w:rPr>
          <w:lang w:val="fr-FR"/>
        </w:rPr>
        <w:t>a documentation</w:t>
      </w:r>
      <w:r w:rsidR="008235E5" w:rsidRPr="008C3038">
        <w:rPr>
          <w:lang w:val="fr-FR"/>
        </w:rPr>
        <w:t>, elle peut aussi indiquer que le nom d</w:t>
      </w:r>
      <w:r w:rsidR="008C3038">
        <w:rPr>
          <w:lang w:val="fr-FR"/>
        </w:rPr>
        <w:t>’</w:t>
      </w:r>
      <w:r w:rsidR="008235E5" w:rsidRPr="008C3038">
        <w:rPr>
          <w:lang w:val="fr-FR"/>
        </w:rPr>
        <w:t>un responsable a été fourni au Secrétariat qui le communiquera aux autres membres</w:t>
      </w:r>
      <w:r w:rsidR="008C3038" w:rsidRPr="008C3038">
        <w:rPr>
          <w:lang w:val="fr-FR"/>
        </w:rPr>
        <w:t xml:space="preserve"> du PCT</w:t>
      </w:r>
      <w:r w:rsidR="00D9733B" w:rsidRPr="008C3038">
        <w:rPr>
          <w:lang w:val="fr-FR"/>
        </w:rPr>
        <w:t xml:space="preserve">/CTC </w:t>
      </w:r>
      <w:r w:rsidR="008235E5" w:rsidRPr="008C3038">
        <w:rPr>
          <w:lang w:val="fr-FR"/>
        </w:rPr>
        <w:t>sur demande</w:t>
      </w:r>
      <w:r w:rsidR="00D9733B" w:rsidRPr="008C3038">
        <w:rPr>
          <w:lang w:val="fr-FR"/>
        </w:rPr>
        <w:t>.</w:t>
      </w:r>
    </w:p>
    <w:p w:rsidR="003130D3" w:rsidRPr="008C3038" w:rsidRDefault="00FD7D6A" w:rsidP="007C5858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>
        <w:rPr>
          <w:lang w:val="fr-FR"/>
        </w:rPr>
        <w:t>c</w:t>
      </w:r>
      <w:proofErr w:type="gramEnd"/>
      <w:r>
        <w:rPr>
          <w:lang w:val="fr-FR"/>
        </w:rPr>
        <w:t>)</w:t>
      </w:r>
      <w:r>
        <w:rPr>
          <w:lang w:val="fr-FR"/>
        </w:rPr>
        <w:tab/>
      </w:r>
      <w:r w:rsidR="00E06043" w:rsidRPr="008C3038">
        <w:rPr>
          <w:lang w:val="fr-FR"/>
        </w:rPr>
        <w:t>L</w:t>
      </w:r>
      <w:r w:rsidR="00163762" w:rsidRPr="008C3038">
        <w:rPr>
          <w:lang w:val="fr-FR"/>
        </w:rPr>
        <w:t>es administrations devraient essayer de s</w:t>
      </w:r>
      <w:r w:rsidR="008C3038">
        <w:rPr>
          <w:lang w:val="fr-FR"/>
        </w:rPr>
        <w:t>’</w:t>
      </w:r>
      <w:r w:rsidR="001D7AC3" w:rsidRPr="008C3038">
        <w:rPr>
          <w:lang w:val="fr-FR"/>
        </w:rPr>
        <w:t>entr</w:t>
      </w:r>
      <w:r w:rsidR="00163762" w:rsidRPr="008C3038">
        <w:rPr>
          <w:lang w:val="fr-FR"/>
        </w:rPr>
        <w:t xml:space="preserve">aider en examinant les autres demandes dès </w:t>
      </w:r>
      <w:r w:rsidR="001D7AC3" w:rsidRPr="008C3038">
        <w:rPr>
          <w:lang w:val="fr-FR"/>
        </w:rPr>
        <w:t xml:space="preserve">leur publication </w:t>
      </w:r>
      <w:r w:rsidR="00163762" w:rsidRPr="008C3038">
        <w:rPr>
          <w:lang w:val="fr-FR"/>
        </w:rPr>
        <w:t xml:space="preserve">et en </w:t>
      </w:r>
      <w:r w:rsidR="001D7AC3" w:rsidRPr="008C3038">
        <w:rPr>
          <w:lang w:val="fr-FR"/>
        </w:rPr>
        <w:t>donnant</w:t>
      </w:r>
      <w:r w:rsidR="00163762" w:rsidRPr="008C3038">
        <w:rPr>
          <w:lang w:val="fr-FR"/>
        </w:rPr>
        <w:t xml:space="preserve"> </w:t>
      </w:r>
      <w:r w:rsidR="00E06043" w:rsidRPr="008C3038">
        <w:rPr>
          <w:lang w:val="fr-FR"/>
        </w:rPr>
        <w:t>rapidement</w:t>
      </w:r>
      <w:r w:rsidR="00163762" w:rsidRPr="008C3038">
        <w:rPr>
          <w:lang w:val="fr-FR"/>
        </w:rPr>
        <w:t xml:space="preserve"> leur avis sur des </w:t>
      </w:r>
      <w:r w:rsidR="001D7AC3" w:rsidRPr="008C3038">
        <w:rPr>
          <w:lang w:val="fr-FR"/>
        </w:rPr>
        <w:t>points</w:t>
      </w:r>
      <w:r w:rsidR="005E2268" w:rsidRPr="008C3038">
        <w:rPr>
          <w:lang w:val="fr-FR"/>
        </w:rPr>
        <w:t xml:space="preserve"> </w:t>
      </w:r>
      <w:r w:rsidR="001D7AC3" w:rsidRPr="008C3038">
        <w:rPr>
          <w:lang w:val="fr-FR"/>
        </w:rPr>
        <w:t>susceptibles de</w:t>
      </w:r>
      <w:r w:rsidR="00163762" w:rsidRPr="008C3038">
        <w:rPr>
          <w:lang w:val="fr-FR"/>
        </w:rPr>
        <w:t xml:space="preserve"> </w:t>
      </w:r>
      <w:r w:rsidR="005E2268" w:rsidRPr="008C3038">
        <w:rPr>
          <w:lang w:val="fr-FR"/>
        </w:rPr>
        <w:t xml:space="preserve">constituer des motifs de préoccupation </w:t>
      </w:r>
      <w:r w:rsidR="00FF4481" w:rsidRPr="008C3038">
        <w:rPr>
          <w:lang w:val="fr-FR"/>
        </w:rPr>
        <w:t>pendant</w:t>
      </w:r>
      <w:r w:rsidR="005E2268" w:rsidRPr="008C3038">
        <w:rPr>
          <w:lang w:val="fr-FR"/>
        </w:rPr>
        <w:t xml:space="preserve"> la sessi</w:t>
      </w:r>
      <w:r w:rsidR="00D46AF9" w:rsidRPr="008C3038">
        <w:rPr>
          <w:lang w:val="fr-FR"/>
        </w:rPr>
        <w:t>on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Le</w:t>
      </w:r>
      <w:r w:rsidR="00BD2D76" w:rsidRPr="008C3038">
        <w:rPr>
          <w:lang w:val="fr-FR"/>
        </w:rPr>
        <w:t xml:space="preserve"> Bureau international publiera des documents </w:t>
      </w:r>
      <w:r w:rsidR="00D9733B" w:rsidRPr="008C3038">
        <w:rPr>
          <w:lang w:val="fr-FR"/>
        </w:rPr>
        <w:t>“</w:t>
      </w:r>
      <w:proofErr w:type="spellStart"/>
      <w:r w:rsidR="00D9733B" w:rsidRPr="008C3038">
        <w:rPr>
          <w:lang w:val="fr-FR"/>
        </w:rPr>
        <w:t>Add</w:t>
      </w:r>
      <w:proofErr w:type="spellEnd"/>
      <w:r w:rsidR="00BD2D76" w:rsidRPr="008C3038">
        <w:rPr>
          <w:lang w:val="fr-FR"/>
        </w:rPr>
        <w:t>.</w:t>
      </w:r>
      <w:r w:rsidR="00D9733B" w:rsidRPr="008C3038">
        <w:rPr>
          <w:lang w:val="fr-FR"/>
        </w:rPr>
        <w:t xml:space="preserve">” </w:t>
      </w:r>
      <w:r w:rsidR="00940EB3" w:rsidRPr="008C3038">
        <w:rPr>
          <w:lang w:val="fr-FR"/>
        </w:rPr>
        <w:t>dans le cas où</w:t>
      </w:r>
      <w:r w:rsidR="00BD2D76" w:rsidRPr="008C3038">
        <w:rPr>
          <w:lang w:val="fr-FR"/>
        </w:rPr>
        <w:t xml:space="preserve"> des administrations se rend</w:t>
      </w:r>
      <w:r w:rsidR="00940EB3" w:rsidRPr="008C3038">
        <w:rPr>
          <w:lang w:val="fr-FR"/>
        </w:rPr>
        <w:t>rai</w:t>
      </w:r>
      <w:r w:rsidR="00BD2D76" w:rsidRPr="008C3038">
        <w:rPr>
          <w:lang w:val="fr-FR"/>
        </w:rPr>
        <w:t xml:space="preserve">ent compte que </w:t>
      </w:r>
      <w:r w:rsidR="00E06043" w:rsidRPr="008C3038">
        <w:rPr>
          <w:lang w:val="fr-FR"/>
        </w:rPr>
        <w:t>d</w:t>
      </w:r>
      <w:r w:rsidR="00BD2D76" w:rsidRPr="008C3038">
        <w:rPr>
          <w:lang w:val="fr-FR"/>
        </w:rPr>
        <w:t>es informations fournies sur des questions importantes ne sont pas claires ou sont insuffisantes et souhait</w:t>
      </w:r>
      <w:r w:rsidR="00940EB3" w:rsidRPr="008C3038">
        <w:rPr>
          <w:lang w:val="fr-FR"/>
        </w:rPr>
        <w:t>erai</w:t>
      </w:r>
      <w:r w:rsidR="00BD2D76" w:rsidRPr="008C3038">
        <w:rPr>
          <w:lang w:val="fr-FR"/>
        </w:rPr>
        <w:t>ent communiquer des précisions utiles avant la session.</w:t>
      </w:r>
    </w:p>
    <w:p w:rsidR="003130D3" w:rsidRPr="008C3038" w:rsidRDefault="00FD7D6A" w:rsidP="007C5858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>
        <w:rPr>
          <w:lang w:val="fr-FR"/>
        </w:rPr>
        <w:t>d</w:t>
      </w:r>
      <w:proofErr w:type="gramEnd"/>
      <w:r>
        <w:rPr>
          <w:lang w:val="fr-FR"/>
        </w:rPr>
        <w:t>)</w:t>
      </w:r>
      <w:r>
        <w:rPr>
          <w:lang w:val="fr-FR"/>
        </w:rPr>
        <w:tab/>
      </w:r>
      <w:r w:rsidR="00E06043" w:rsidRPr="008C3038">
        <w:rPr>
          <w:lang w:val="fr-FR"/>
        </w:rPr>
        <w:t>L</w:t>
      </w:r>
      <w:r w:rsidR="00BD2D76" w:rsidRPr="008C3038">
        <w:rPr>
          <w:lang w:val="fr-FR"/>
        </w:rPr>
        <w:t xml:space="preserve">es administrations devraient </w:t>
      </w:r>
      <w:r w:rsidR="00F20845" w:rsidRPr="008C3038">
        <w:rPr>
          <w:lang w:val="fr-FR"/>
        </w:rPr>
        <w:t xml:space="preserve">partir du principe </w:t>
      </w:r>
      <w:r w:rsidR="00BD2D76" w:rsidRPr="008C3038">
        <w:rPr>
          <w:lang w:val="fr-FR"/>
        </w:rPr>
        <w:t>que les délégations ont examiné les documents avant la session</w:t>
      </w:r>
      <w:r w:rsidR="008C3038" w:rsidRPr="008C3038">
        <w:rPr>
          <w:lang w:val="fr-FR"/>
        </w:rPr>
        <w:t xml:space="preserve"> du PCT</w:t>
      </w:r>
      <w:r w:rsidR="00F20845" w:rsidRPr="008C3038">
        <w:rPr>
          <w:lang w:val="fr-FR"/>
        </w:rPr>
        <w:t>/</w:t>
      </w:r>
      <w:r w:rsidR="00D46AF9" w:rsidRPr="008C3038">
        <w:rPr>
          <w:lang w:val="fr-FR"/>
        </w:rPr>
        <w:t>CTC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Pe</w:t>
      </w:r>
      <w:r w:rsidR="00E06043" w:rsidRPr="008C3038">
        <w:rPr>
          <w:lang w:val="fr-FR"/>
        </w:rPr>
        <w:t>ndant la session, elles doivent donc s</w:t>
      </w:r>
      <w:r w:rsidR="008C3038">
        <w:rPr>
          <w:lang w:val="fr-FR"/>
        </w:rPr>
        <w:t>’</w:t>
      </w:r>
      <w:r w:rsidR="00E06043" w:rsidRPr="008C3038">
        <w:rPr>
          <w:lang w:val="fr-FR"/>
        </w:rPr>
        <w:t>efforcer de présenter brièvement les demandes</w:t>
      </w:r>
      <w:r w:rsidR="001D7AC3" w:rsidRPr="008C3038">
        <w:rPr>
          <w:lang w:val="fr-FR"/>
        </w:rPr>
        <w:t xml:space="preserve"> </w:t>
      </w:r>
      <w:r w:rsidR="002D3E2A" w:rsidRPr="008C3038">
        <w:rPr>
          <w:lang w:val="fr-FR"/>
        </w:rPr>
        <w:t xml:space="preserve">(cinq minutes au maximum) </w:t>
      </w:r>
      <w:r w:rsidR="00E06043" w:rsidRPr="008C3038">
        <w:rPr>
          <w:lang w:val="fr-FR"/>
        </w:rPr>
        <w:t xml:space="preserve">en mettant </w:t>
      </w:r>
      <w:r w:rsidR="002D3E2A" w:rsidRPr="008C3038">
        <w:rPr>
          <w:lang w:val="fr-FR"/>
        </w:rPr>
        <w:t xml:space="preserve">principalement </w:t>
      </w:r>
      <w:r w:rsidR="00E06043" w:rsidRPr="008C3038">
        <w:rPr>
          <w:lang w:val="fr-FR"/>
        </w:rPr>
        <w:t>l</w:t>
      </w:r>
      <w:r w:rsidR="008C3038">
        <w:rPr>
          <w:lang w:val="fr-FR"/>
        </w:rPr>
        <w:t>’</w:t>
      </w:r>
      <w:r w:rsidR="00E06043" w:rsidRPr="008C3038">
        <w:rPr>
          <w:lang w:val="fr-FR"/>
        </w:rPr>
        <w:t xml:space="preserve">accent </w:t>
      </w:r>
      <w:r w:rsidR="002D3E2A" w:rsidRPr="008C3038">
        <w:rPr>
          <w:lang w:val="fr-FR"/>
        </w:rPr>
        <w:t xml:space="preserve">sur </w:t>
      </w:r>
      <w:r w:rsidR="00FF4481" w:rsidRPr="008C3038">
        <w:rPr>
          <w:lang w:val="fr-FR"/>
        </w:rPr>
        <w:t>l</w:t>
      </w:r>
      <w:r w:rsidR="008C3038">
        <w:rPr>
          <w:lang w:val="fr-FR"/>
        </w:rPr>
        <w:t>’</w:t>
      </w:r>
      <w:r w:rsidR="00FF4481" w:rsidRPr="008C3038">
        <w:rPr>
          <w:lang w:val="fr-FR"/>
        </w:rPr>
        <w:t>effet positif</w:t>
      </w:r>
      <w:r w:rsidR="002D3E2A" w:rsidRPr="008C3038">
        <w:rPr>
          <w:lang w:val="fr-FR"/>
        </w:rPr>
        <w:t xml:space="preserve"> général </w:t>
      </w:r>
      <w:r w:rsidR="00FF4481" w:rsidRPr="008C3038">
        <w:rPr>
          <w:lang w:val="fr-FR"/>
        </w:rPr>
        <w:t xml:space="preserve">que produirait </w:t>
      </w:r>
      <w:r w:rsidR="002D3E2A" w:rsidRPr="008C3038">
        <w:rPr>
          <w:lang w:val="fr-FR"/>
        </w:rPr>
        <w:t>la prolongation de la nomination de l</w:t>
      </w:r>
      <w:r w:rsidR="008C3038">
        <w:rPr>
          <w:lang w:val="fr-FR"/>
        </w:rPr>
        <w:t>’</w:t>
      </w:r>
      <w:r w:rsidR="002D3E2A" w:rsidRPr="008C3038">
        <w:rPr>
          <w:lang w:val="fr-FR"/>
        </w:rPr>
        <w:t>office au regard du système</w:t>
      </w:r>
      <w:r w:rsidR="008C3038" w:rsidRPr="008C3038">
        <w:rPr>
          <w:lang w:val="fr-FR"/>
        </w:rPr>
        <w:t xml:space="preserve"> du PCT</w:t>
      </w:r>
      <w:r w:rsidR="002B5A33" w:rsidRPr="008C3038">
        <w:rPr>
          <w:lang w:val="fr-FR"/>
        </w:rPr>
        <w:t xml:space="preserve"> et toute autre information qu</w:t>
      </w:r>
      <w:r w:rsidR="008C3038">
        <w:rPr>
          <w:lang w:val="fr-FR"/>
        </w:rPr>
        <w:t>’</w:t>
      </w:r>
      <w:r w:rsidR="002B5A33" w:rsidRPr="008C3038">
        <w:rPr>
          <w:lang w:val="fr-FR"/>
        </w:rPr>
        <w:t>il pourrait être utile de porter à l</w:t>
      </w:r>
      <w:r w:rsidR="008C3038">
        <w:rPr>
          <w:lang w:val="fr-FR"/>
        </w:rPr>
        <w:t>’</w:t>
      </w:r>
      <w:r w:rsidR="002B5A33" w:rsidRPr="008C3038">
        <w:rPr>
          <w:lang w:val="fr-FR"/>
        </w:rPr>
        <w:t>attention du comité en vue de discussions avec d</w:t>
      </w:r>
      <w:r w:rsidR="008C3038">
        <w:rPr>
          <w:lang w:val="fr-FR"/>
        </w:rPr>
        <w:t>’</w:t>
      </w:r>
      <w:r w:rsidR="002B5A33" w:rsidRPr="008C3038">
        <w:rPr>
          <w:lang w:val="fr-FR"/>
        </w:rPr>
        <w:t>autres offices</w:t>
      </w:r>
      <w:r w:rsidR="00D9733B" w:rsidRPr="008C3038">
        <w:rPr>
          <w:lang w:val="fr-FR"/>
        </w:rPr>
        <w:t>”</w:t>
      </w:r>
      <w:r w:rsidR="002B5A33" w:rsidRPr="008C3038">
        <w:rPr>
          <w:lang w:val="fr-FR"/>
        </w:rPr>
        <w:t>.</w:t>
      </w:r>
    </w:p>
    <w:p w:rsidR="003130D3" w:rsidRPr="008C3038" w:rsidRDefault="004119D0" w:rsidP="007C5858">
      <w:pPr>
        <w:pStyle w:val="ONUMFS"/>
        <w:rPr>
          <w:lang w:val="fr-FR"/>
        </w:rPr>
      </w:pPr>
      <w:r w:rsidRPr="008C3038">
        <w:rPr>
          <w:lang w:val="fr-FR"/>
        </w:rPr>
        <w:lastRenderedPageBreak/>
        <w:t xml:space="preserve">Comme le temps alloué aux délégations pour présenter les demandes pendant la session sera très court, il est recommandé </w:t>
      </w:r>
      <w:r w:rsidR="001D7AC3" w:rsidRPr="008C3038">
        <w:rPr>
          <w:lang w:val="fr-FR"/>
        </w:rPr>
        <w:t>aux</w:t>
      </w:r>
      <w:r w:rsidRPr="008C3038">
        <w:rPr>
          <w:lang w:val="fr-FR"/>
        </w:rPr>
        <w:t xml:space="preserve"> membres du comité </w:t>
      </w:r>
      <w:r w:rsidR="001D7AC3" w:rsidRPr="008C3038">
        <w:rPr>
          <w:lang w:val="fr-FR"/>
        </w:rPr>
        <w:t>d</w:t>
      </w:r>
      <w:r w:rsidR="008C3038">
        <w:rPr>
          <w:lang w:val="fr-FR"/>
        </w:rPr>
        <w:t>’</w:t>
      </w:r>
      <w:r w:rsidRPr="008C3038">
        <w:rPr>
          <w:lang w:val="fr-FR"/>
        </w:rPr>
        <w:t>examine</w:t>
      </w:r>
      <w:r w:rsidR="001D7AC3" w:rsidRPr="008C3038">
        <w:rPr>
          <w:lang w:val="fr-FR"/>
        </w:rPr>
        <w:t>r</w:t>
      </w:r>
      <w:r w:rsidRPr="008C3038">
        <w:rPr>
          <w:lang w:val="fr-FR"/>
        </w:rPr>
        <w:t xml:space="preserve"> attentivement les </w:t>
      </w:r>
      <w:r w:rsidR="00E06043" w:rsidRPr="008C3038">
        <w:rPr>
          <w:lang w:val="fr-FR"/>
        </w:rPr>
        <w:t>candidatures</w:t>
      </w:r>
      <w:r w:rsidRPr="008C3038">
        <w:rPr>
          <w:lang w:val="fr-FR"/>
        </w:rPr>
        <w:t xml:space="preserve"> avant la session.</w:t>
      </w:r>
    </w:p>
    <w:p w:rsidR="003130D3" w:rsidRPr="008C3038" w:rsidRDefault="004119D0" w:rsidP="007C5858">
      <w:pPr>
        <w:pStyle w:val="ONUMFS"/>
        <w:rPr>
          <w:lang w:val="fr-FR"/>
        </w:rPr>
      </w:pPr>
      <w:r w:rsidRPr="008C3038">
        <w:rPr>
          <w:lang w:val="fr-FR"/>
        </w:rPr>
        <w:t>En outre, il est recommandé</w:t>
      </w:r>
      <w:r w:rsidR="001D7AC3" w:rsidRPr="008C3038">
        <w:rPr>
          <w:lang w:val="fr-FR"/>
        </w:rPr>
        <w:t xml:space="preserve"> </w:t>
      </w:r>
      <w:r w:rsidRPr="008C3038">
        <w:rPr>
          <w:lang w:val="fr-FR"/>
        </w:rPr>
        <w:t xml:space="preserve">de </w:t>
      </w:r>
      <w:r w:rsidR="001D7AC3" w:rsidRPr="008C3038">
        <w:rPr>
          <w:lang w:val="fr-FR"/>
        </w:rPr>
        <w:t>communiquer</w:t>
      </w:r>
      <w:r w:rsidRPr="008C3038">
        <w:rPr>
          <w:lang w:val="fr-FR"/>
        </w:rPr>
        <w:t xml:space="preserve"> </w:t>
      </w:r>
      <w:r w:rsidR="001D7AC3" w:rsidRPr="008C3038">
        <w:rPr>
          <w:lang w:val="fr-FR"/>
        </w:rPr>
        <w:t>avant la session au responsable désigné par l</w:t>
      </w:r>
      <w:r w:rsidR="008C3038">
        <w:rPr>
          <w:lang w:val="fr-FR"/>
        </w:rPr>
        <w:t>’</w:t>
      </w:r>
      <w:r w:rsidR="001D7AC3" w:rsidRPr="008C3038">
        <w:rPr>
          <w:lang w:val="fr-FR"/>
        </w:rPr>
        <w:t xml:space="preserve">office concerné, dans la mesure du possible, </w:t>
      </w:r>
      <w:r w:rsidRPr="008C3038">
        <w:rPr>
          <w:lang w:val="fr-FR"/>
        </w:rPr>
        <w:t>toute préoccupation concernant les demandes</w:t>
      </w:r>
      <w:r w:rsidR="001D7AC3" w:rsidRPr="008C3038">
        <w:rPr>
          <w:lang w:val="fr-FR"/>
        </w:rPr>
        <w:t>,</w:t>
      </w:r>
      <w:r w:rsidRPr="008C3038">
        <w:rPr>
          <w:lang w:val="fr-FR"/>
        </w:rPr>
        <w:t xml:space="preserve"> </w:t>
      </w:r>
      <w:r w:rsidR="001D7AC3" w:rsidRPr="008C3038">
        <w:rPr>
          <w:lang w:val="fr-FR"/>
        </w:rPr>
        <w:t xml:space="preserve">de la manière indiquée au </w:t>
      </w:r>
      <w:r w:rsidR="008C3038" w:rsidRPr="008C3038">
        <w:rPr>
          <w:lang w:val="fr-FR"/>
        </w:rPr>
        <w:t>point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c)</w:t>
      </w:r>
      <w:r w:rsidR="001D7AC3" w:rsidRPr="008C3038">
        <w:rPr>
          <w:lang w:val="fr-FR"/>
        </w:rPr>
        <w:t xml:space="preserve"> du </w:t>
      </w:r>
      <w:r w:rsidR="008C3038" w:rsidRPr="008C3038">
        <w:rPr>
          <w:lang w:val="fr-FR"/>
        </w:rPr>
        <w:t>paragraphe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8</w:t>
      </w:r>
      <w:r w:rsidR="001D7AC3" w:rsidRPr="008C3038">
        <w:rPr>
          <w:lang w:val="fr-FR"/>
        </w:rPr>
        <w:t>, pour</w:t>
      </w:r>
      <w:r w:rsidR="00FF4481" w:rsidRPr="008C3038">
        <w:rPr>
          <w:lang w:val="fr-FR"/>
        </w:rPr>
        <w:t xml:space="preserve"> que</w:t>
      </w:r>
      <w:r w:rsidR="001D7AC3" w:rsidRPr="008C3038">
        <w:rPr>
          <w:lang w:val="fr-FR"/>
        </w:rPr>
        <w:t xml:space="preserve"> les offices puissent y répondre </w:t>
      </w:r>
      <w:r w:rsidR="00FF4481" w:rsidRPr="008C3038">
        <w:rPr>
          <w:lang w:val="fr-FR"/>
        </w:rPr>
        <w:t>au moyen de</w:t>
      </w:r>
      <w:r w:rsidR="001D7AC3" w:rsidRPr="008C3038">
        <w:rPr>
          <w:lang w:val="fr-FR"/>
        </w:rPr>
        <w:t xml:space="preserve"> documents </w:t>
      </w:r>
      <w:r w:rsidR="00D9733B" w:rsidRPr="008C3038">
        <w:rPr>
          <w:lang w:val="fr-FR"/>
        </w:rPr>
        <w:t>“</w:t>
      </w:r>
      <w:proofErr w:type="spellStart"/>
      <w:r w:rsidR="00D9733B" w:rsidRPr="008C3038">
        <w:rPr>
          <w:lang w:val="fr-FR"/>
        </w:rPr>
        <w:t>Add</w:t>
      </w:r>
      <w:proofErr w:type="spellEnd"/>
      <w:r w:rsidR="001D7AC3" w:rsidRPr="008C3038">
        <w:rPr>
          <w:lang w:val="fr-FR"/>
        </w:rPr>
        <w:t>.</w:t>
      </w:r>
      <w:r w:rsidR="00D9733B" w:rsidRPr="008C3038">
        <w:rPr>
          <w:lang w:val="fr-FR"/>
        </w:rPr>
        <w:t xml:space="preserve">” </w:t>
      </w:r>
      <w:r w:rsidR="001D7AC3" w:rsidRPr="008C3038">
        <w:rPr>
          <w:lang w:val="fr-FR"/>
        </w:rPr>
        <w:t xml:space="preserve">ou en </w:t>
      </w:r>
      <w:r w:rsidR="00940EB3" w:rsidRPr="008C3038">
        <w:rPr>
          <w:lang w:val="fr-FR"/>
        </w:rPr>
        <w:t>fournissant</w:t>
      </w:r>
      <w:r w:rsidR="001D7AC3" w:rsidRPr="008C3038">
        <w:rPr>
          <w:lang w:val="fr-FR"/>
        </w:rPr>
        <w:t xml:space="preserve"> des informations complémentaire</w:t>
      </w:r>
      <w:r w:rsidR="00FF4481" w:rsidRPr="008C3038">
        <w:rPr>
          <w:lang w:val="fr-FR"/>
        </w:rPr>
        <w:t>s</w:t>
      </w:r>
      <w:r w:rsidR="001D7AC3" w:rsidRPr="008C3038">
        <w:rPr>
          <w:lang w:val="fr-FR"/>
        </w:rPr>
        <w:t xml:space="preserve"> dans l</w:t>
      </w:r>
      <w:r w:rsidR="00940EB3" w:rsidRPr="008C3038">
        <w:rPr>
          <w:lang w:val="fr-FR"/>
        </w:rPr>
        <w:t>a</w:t>
      </w:r>
      <w:r w:rsidR="001D7AC3" w:rsidRPr="008C3038">
        <w:rPr>
          <w:lang w:val="fr-FR"/>
        </w:rPr>
        <w:t xml:space="preserve"> présentation</w:t>
      </w:r>
      <w:r w:rsidR="00940EB3" w:rsidRPr="008C3038">
        <w:rPr>
          <w:lang w:val="fr-FR"/>
        </w:rPr>
        <w:t xml:space="preserve"> de leur demande</w:t>
      </w:r>
      <w:r w:rsidR="00D9733B" w:rsidRPr="008C3038">
        <w:rPr>
          <w:lang w:val="fr-FR"/>
        </w:rPr>
        <w:t xml:space="preserve">, </w:t>
      </w:r>
      <w:r w:rsidR="001D7AC3" w:rsidRPr="008C3038">
        <w:rPr>
          <w:lang w:val="fr-FR"/>
        </w:rPr>
        <w:t>afin d</w:t>
      </w:r>
      <w:r w:rsidR="008C3038">
        <w:rPr>
          <w:lang w:val="fr-FR"/>
        </w:rPr>
        <w:t>’</w:t>
      </w:r>
      <w:r w:rsidR="001D7AC3" w:rsidRPr="008C3038">
        <w:rPr>
          <w:lang w:val="fr-FR"/>
        </w:rPr>
        <w:t>éviter qu</w:t>
      </w:r>
      <w:r w:rsidR="008C3038">
        <w:rPr>
          <w:lang w:val="fr-FR"/>
        </w:rPr>
        <w:t>’</w:t>
      </w:r>
      <w:r w:rsidR="00FF4481" w:rsidRPr="008C3038">
        <w:rPr>
          <w:lang w:val="fr-FR"/>
        </w:rPr>
        <w:t>un</w:t>
      </w:r>
      <w:r w:rsidR="001D7AC3" w:rsidRPr="008C3038">
        <w:rPr>
          <w:lang w:val="fr-FR"/>
        </w:rPr>
        <w:t xml:space="preserve">e question soit soulevée pour la première fois durant la </w:t>
      </w:r>
      <w:r w:rsidR="00D9733B" w:rsidRPr="008C3038">
        <w:rPr>
          <w:lang w:val="fr-FR"/>
        </w:rPr>
        <w:t>session.</w:t>
      </w:r>
    </w:p>
    <w:p w:rsidR="00FD7D6A" w:rsidRDefault="00FD7D6A" w:rsidP="007C5858">
      <w:pPr>
        <w:pStyle w:val="Endofdocument-Annex"/>
        <w:rPr>
          <w:lang w:val="fr-FR"/>
        </w:rPr>
      </w:pPr>
    </w:p>
    <w:p w:rsidR="00FD7D6A" w:rsidRDefault="00FD7D6A" w:rsidP="007C5858">
      <w:pPr>
        <w:pStyle w:val="Endofdocument-Annex"/>
        <w:rPr>
          <w:lang w:val="fr-FR"/>
        </w:rPr>
      </w:pPr>
    </w:p>
    <w:p w:rsidR="003130D3" w:rsidRPr="008C3038" w:rsidRDefault="00D9733B" w:rsidP="007C5858">
      <w:pPr>
        <w:pStyle w:val="Endofdocument-Annex"/>
        <w:rPr>
          <w:lang w:val="fr-FR"/>
        </w:rPr>
      </w:pPr>
      <w:r w:rsidRPr="008C3038">
        <w:rPr>
          <w:lang w:val="fr-FR"/>
        </w:rPr>
        <w:t>[</w:t>
      </w:r>
      <w:r w:rsidR="001D7AC3" w:rsidRPr="008C3038">
        <w:rPr>
          <w:lang w:val="fr-FR"/>
        </w:rPr>
        <w:t>L</w:t>
      </w:r>
      <w:r w:rsidR="008C3038">
        <w:rPr>
          <w:lang w:val="fr-FR"/>
        </w:rPr>
        <w:t>’</w:t>
      </w:r>
      <w:r w:rsidR="001D7AC3" w:rsidRPr="008C3038">
        <w:rPr>
          <w:lang w:val="fr-FR"/>
        </w:rPr>
        <w:t>annexe suit</w:t>
      </w:r>
      <w:r w:rsidRPr="008C3038">
        <w:rPr>
          <w:lang w:val="fr-FR"/>
        </w:rPr>
        <w:t>]</w:t>
      </w:r>
    </w:p>
    <w:p w:rsidR="00D9733B" w:rsidRPr="008C3038" w:rsidRDefault="00D9733B" w:rsidP="007C5858">
      <w:pPr>
        <w:pStyle w:val="Heading1"/>
        <w:sectPr w:rsidR="00D9733B" w:rsidRPr="008C3038" w:rsidSect="000E506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C3038" w:rsidRDefault="00856822" w:rsidP="007C5858">
      <w:pPr>
        <w:jc w:val="center"/>
        <w:rPr>
          <w:caps/>
          <w:lang w:val="fr-FR"/>
        </w:rPr>
      </w:pPr>
      <w:r>
        <w:rPr>
          <w:caps/>
          <w:lang w:val="fr-FR"/>
        </w:rPr>
        <w:lastRenderedPageBreak/>
        <w:t>D</w:t>
      </w:r>
      <w:r w:rsidR="00C323D1" w:rsidRPr="008C3038">
        <w:rPr>
          <w:caps/>
          <w:lang w:val="fr-FR"/>
        </w:rPr>
        <w:t>ispositions juridiques applicab</w:t>
      </w:r>
      <w:r w:rsidR="00FD7D6A">
        <w:rPr>
          <w:caps/>
          <w:lang w:val="fr-FR"/>
        </w:rPr>
        <w:t xml:space="preserve">les et décisions </w:t>
      </w:r>
      <w:r w:rsidR="00FD7D6A">
        <w:rPr>
          <w:caps/>
          <w:lang w:val="fr-FR"/>
        </w:rPr>
        <w:br/>
        <w:t>relatives à la </w:t>
      </w:r>
      <w:r w:rsidR="00C323D1" w:rsidRPr="008C3038">
        <w:rPr>
          <w:caps/>
          <w:lang w:val="fr-FR"/>
        </w:rPr>
        <w:t>procédure</w:t>
      </w:r>
    </w:p>
    <w:p w:rsidR="003130D3" w:rsidRPr="008C3038" w:rsidRDefault="003130D3" w:rsidP="007C5858">
      <w:pPr>
        <w:rPr>
          <w:lang w:val="fr-FR"/>
        </w:rPr>
      </w:pPr>
    </w:p>
    <w:p w:rsidR="00FD7D6A" w:rsidRPr="00FD7D6A" w:rsidRDefault="00FD7D6A" w:rsidP="00E62011">
      <w:pPr>
        <w:pStyle w:val="Heading1"/>
      </w:pPr>
      <w:r>
        <w:t>D</w:t>
      </w:r>
      <w:r w:rsidRPr="008C3038">
        <w:t>ispositions juridiques applicables en matière de nomination</w:t>
      </w:r>
    </w:p>
    <w:p w:rsidR="003130D3" w:rsidRPr="00D866DC" w:rsidRDefault="00C323D1" w:rsidP="007C5858">
      <w:pPr>
        <w:pStyle w:val="ONUMFS"/>
        <w:numPr>
          <w:ilvl w:val="0"/>
          <w:numId w:val="8"/>
        </w:numPr>
        <w:rPr>
          <w:lang w:val="fr-FR"/>
        </w:rPr>
      </w:pPr>
      <w:r w:rsidRPr="00D866DC">
        <w:rPr>
          <w:lang w:val="fr-FR"/>
        </w:rPr>
        <w:t>La procédure de nomination d</w:t>
      </w:r>
      <w:r w:rsidR="008C3038" w:rsidRPr="00D866DC">
        <w:rPr>
          <w:lang w:val="fr-FR"/>
        </w:rPr>
        <w:t>’</w:t>
      </w:r>
      <w:r w:rsidRPr="00D866DC">
        <w:rPr>
          <w:lang w:val="fr-FR"/>
        </w:rPr>
        <w:t>un office en qualité d</w:t>
      </w:r>
      <w:r w:rsidR="008C3038" w:rsidRPr="00D866DC">
        <w:rPr>
          <w:lang w:val="fr-FR"/>
        </w:rPr>
        <w:t>’</w:t>
      </w:r>
      <w:r w:rsidRPr="00D866DC">
        <w:rPr>
          <w:lang w:val="fr-FR"/>
        </w:rPr>
        <w:t xml:space="preserve">administration chargée de la </w:t>
      </w:r>
      <w:r w:rsidRPr="001E6881">
        <w:rPr>
          <w:lang w:val="fr-FR"/>
        </w:rPr>
        <w:t>recherche internationale est régie par l</w:t>
      </w:r>
      <w:r w:rsidR="008C3038" w:rsidRPr="001E6881">
        <w:rPr>
          <w:lang w:val="fr-FR"/>
        </w:rPr>
        <w:t>’</w:t>
      </w:r>
      <w:r w:rsidRPr="001E6881">
        <w:rPr>
          <w:lang w:val="fr-FR"/>
        </w:rPr>
        <w:t>article </w:t>
      </w:r>
      <w:r w:rsidR="009A3BB1" w:rsidRPr="001E6881">
        <w:rPr>
          <w:lang w:val="fr-FR"/>
        </w:rPr>
        <w:t>16</w:t>
      </w:r>
      <w:r w:rsidRPr="001E6881">
        <w:rPr>
          <w:lang w:val="fr-FR"/>
        </w:rPr>
        <w:t>.</w:t>
      </w:r>
      <w:r w:rsidR="009A3BB1" w:rsidRPr="001E6881">
        <w:rPr>
          <w:lang w:val="fr-FR"/>
        </w:rPr>
        <w:t>3)</w:t>
      </w:r>
      <w:r w:rsidR="008C3038" w:rsidRPr="001E6881">
        <w:rPr>
          <w:lang w:val="fr-FR"/>
        </w:rPr>
        <w:t xml:space="preserve"> du PCT</w:t>
      </w:r>
      <w:r w:rsidR="009A3BB1" w:rsidRPr="001E6881">
        <w:rPr>
          <w:lang w:val="fr-FR"/>
        </w:rPr>
        <w:t xml:space="preserve">.  </w:t>
      </w:r>
      <w:r w:rsidRPr="001E6881">
        <w:rPr>
          <w:lang w:val="fr-FR"/>
        </w:rPr>
        <w:t>L</w:t>
      </w:r>
      <w:r w:rsidR="008C3038" w:rsidRPr="001E6881">
        <w:rPr>
          <w:lang w:val="fr-FR"/>
        </w:rPr>
        <w:t>’</w:t>
      </w:r>
      <w:r w:rsidRPr="001E6881">
        <w:rPr>
          <w:lang w:val="fr-FR"/>
        </w:rPr>
        <w:t>article 32.</w:t>
      </w:r>
      <w:r w:rsidR="009A3BB1" w:rsidRPr="001E6881">
        <w:rPr>
          <w:lang w:val="fr-FR"/>
        </w:rPr>
        <w:t>3)</w:t>
      </w:r>
      <w:r w:rsidR="00F935C3" w:rsidRPr="001E6881">
        <w:rPr>
          <w:lang w:val="fr-FR"/>
        </w:rPr>
        <w:t xml:space="preserve"> du </w:t>
      </w:r>
      <w:r w:rsidR="001E6881" w:rsidRPr="001E6881">
        <w:rPr>
          <w:lang w:val="fr-FR"/>
        </w:rPr>
        <w:t>T</w:t>
      </w:r>
      <w:r w:rsidR="00F935C3" w:rsidRPr="001E6881">
        <w:rPr>
          <w:lang w:val="fr-FR"/>
        </w:rPr>
        <w:t>raité</w:t>
      </w:r>
      <w:r w:rsidR="009A3BB1" w:rsidRPr="001E6881">
        <w:rPr>
          <w:lang w:val="fr-FR"/>
        </w:rPr>
        <w:t xml:space="preserve"> </w:t>
      </w:r>
      <w:r w:rsidRPr="001E6881">
        <w:rPr>
          <w:lang w:val="fr-FR"/>
        </w:rPr>
        <w:t>prévoit que</w:t>
      </w:r>
      <w:r w:rsidRPr="00D866DC">
        <w:rPr>
          <w:lang w:val="fr-FR"/>
        </w:rPr>
        <w:t xml:space="preserve"> les mêmes dispositions s</w:t>
      </w:r>
      <w:r w:rsidR="008C3038" w:rsidRPr="00D866DC">
        <w:rPr>
          <w:lang w:val="fr-FR"/>
        </w:rPr>
        <w:t>’</w:t>
      </w:r>
      <w:r w:rsidRPr="00D866DC">
        <w:rPr>
          <w:lang w:val="fr-FR"/>
        </w:rPr>
        <w:t>appliquent</w:t>
      </w:r>
      <w:r w:rsidR="009A3BB1" w:rsidRPr="00D866DC">
        <w:rPr>
          <w:lang w:val="fr-FR"/>
        </w:rPr>
        <w:t xml:space="preserve">, </w:t>
      </w:r>
      <w:r w:rsidR="009A3BB1" w:rsidRPr="00D866DC">
        <w:rPr>
          <w:i/>
          <w:lang w:val="fr-FR"/>
        </w:rPr>
        <w:t>mutatis mutandis</w:t>
      </w:r>
      <w:r w:rsidR="009A3BB1" w:rsidRPr="00D866DC">
        <w:rPr>
          <w:lang w:val="fr-FR"/>
        </w:rPr>
        <w:t xml:space="preserve">, </w:t>
      </w:r>
      <w:r w:rsidRPr="00D866DC">
        <w:rPr>
          <w:lang w:val="fr-FR"/>
        </w:rPr>
        <w:t>à la nomination des administrations chargées de l</w:t>
      </w:r>
      <w:r w:rsidR="008C3038" w:rsidRPr="00D866DC">
        <w:rPr>
          <w:lang w:val="fr-FR"/>
        </w:rPr>
        <w:t>’</w:t>
      </w:r>
      <w:r w:rsidRPr="00D866DC">
        <w:rPr>
          <w:lang w:val="fr-FR"/>
        </w:rPr>
        <w:t>examen préliminaire international</w:t>
      </w:r>
      <w:r w:rsidR="009A3BB1" w:rsidRPr="00D866DC">
        <w:rPr>
          <w:lang w:val="fr-FR"/>
        </w:rPr>
        <w:t>.</w:t>
      </w:r>
    </w:p>
    <w:p w:rsidR="003130D3" w:rsidRPr="008C3038" w:rsidRDefault="008C3038" w:rsidP="007C5858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  <w:lang w:val="fr-FR"/>
        </w:rPr>
      </w:pPr>
      <w:r w:rsidRPr="008C3038">
        <w:rPr>
          <w:b/>
          <w:lang w:val="fr-FR"/>
        </w:rPr>
        <w:t>Article</w:t>
      </w:r>
      <w:r>
        <w:rPr>
          <w:b/>
          <w:lang w:val="fr-FR"/>
        </w:rPr>
        <w:t> </w:t>
      </w:r>
      <w:r w:rsidRPr="008C3038">
        <w:rPr>
          <w:b/>
          <w:lang w:val="fr-FR"/>
        </w:rPr>
        <w:t>1</w:t>
      </w:r>
      <w:r w:rsidR="00D9733B" w:rsidRPr="008C3038">
        <w:rPr>
          <w:b/>
          <w:lang w:val="fr-FR"/>
        </w:rPr>
        <w:t>6</w:t>
      </w:r>
      <w:r w:rsidR="00D9733B" w:rsidRPr="008C3038">
        <w:rPr>
          <w:b/>
          <w:lang w:val="fr-FR"/>
        </w:rPr>
        <w:br/>
      </w:r>
      <w:r w:rsidR="00F935C3" w:rsidRPr="008C3038">
        <w:rPr>
          <w:b/>
          <w:lang w:val="fr-FR"/>
        </w:rPr>
        <w:t>Administration chargée de la recherche internationale</w:t>
      </w:r>
    </w:p>
    <w:p w:rsidR="003130D3" w:rsidRPr="008C3038" w:rsidRDefault="00D9733B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>…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>3)a)  </w:t>
      </w:r>
      <w:r w:rsidR="00F935C3" w:rsidRPr="008C3038">
        <w:rPr>
          <w:lang w:val="fr-FR"/>
        </w:rPr>
        <w:t>Les administrations chargées de la recherche internationale sont nommées par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Assembl</w:t>
      </w:r>
      <w:r w:rsidR="00D46AF9" w:rsidRPr="008C3038">
        <w:rPr>
          <w:lang w:val="fr-FR"/>
        </w:rPr>
        <w:t>ée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To</w:t>
      </w:r>
      <w:r w:rsidR="00F935C3" w:rsidRPr="008C3038">
        <w:rPr>
          <w:lang w:val="fr-FR"/>
        </w:rPr>
        <w:t>ut office national et toute organisation intergouvernementale qui satisfont aux exigences visées au sous</w:t>
      </w:r>
      <w:r w:rsidR="00FD7D6A">
        <w:rPr>
          <w:lang w:val="fr-FR"/>
        </w:rPr>
        <w:noBreakHyphen/>
      </w:r>
      <w:r w:rsidR="008C3038" w:rsidRPr="008C3038">
        <w:rPr>
          <w:lang w:val="fr-FR"/>
        </w:rPr>
        <w:t>alinéa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c)</w:t>
      </w:r>
      <w:r w:rsidR="00F935C3" w:rsidRPr="008C3038">
        <w:rPr>
          <w:lang w:val="fr-FR"/>
        </w:rPr>
        <w:t xml:space="preserve"> peuvent être nommés en qualité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administration chargée de la recherche internationale</w:t>
      </w:r>
      <w:r w:rsidRPr="008C3038">
        <w:rPr>
          <w:lang w:val="fr-FR"/>
        </w:rPr>
        <w:t>.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b)  </w:t>
      </w:r>
      <w:r w:rsidR="00F935C3" w:rsidRPr="008C3038">
        <w:rPr>
          <w:lang w:val="fr-FR"/>
        </w:rPr>
        <w:t>La nomination dépend du consentement de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office national ou de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organisation intergouvernementale en cause et de la conclusion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un accord, qui doit être approuvé par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Assemblée, entre cet office ou cette organisation et le Bureau internation</w:t>
      </w:r>
      <w:r w:rsidR="00D46AF9" w:rsidRPr="008C3038">
        <w:rPr>
          <w:lang w:val="fr-FR"/>
        </w:rPr>
        <w:t>al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Ce</w:t>
      </w:r>
      <w:r w:rsidR="00F935C3" w:rsidRPr="008C3038">
        <w:rPr>
          <w:lang w:val="fr-FR"/>
        </w:rPr>
        <w:t>t accord spécifie les droits et obligations des parties et contient en particulier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engagement formel dudit office ou de ladite organisation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appliquer et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observer toutes les règles communes de la recherche internationale</w:t>
      </w:r>
      <w:r w:rsidRPr="008C3038">
        <w:rPr>
          <w:lang w:val="fr-FR"/>
        </w:rPr>
        <w:t>.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c)  </w:t>
      </w:r>
      <w:r w:rsidR="00F935C3" w:rsidRPr="008C3038">
        <w:rPr>
          <w:lang w:val="fr-FR"/>
        </w:rPr>
        <w:t>Le règlement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exécution prescrit les exigences minimales, particulièrement en ce qui concerne le personnel et la documentation, auxquelles chaque office ou organisation doit satisfaire avant qu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il puisse être nommé et auxquelles il doit continuer de satisfaire tant qu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il demeure nommé</w:t>
      </w:r>
      <w:r w:rsidRPr="008C3038">
        <w:rPr>
          <w:lang w:val="fr-FR"/>
        </w:rPr>
        <w:t>.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d)  </w:t>
      </w:r>
      <w:r w:rsidR="00F935C3" w:rsidRPr="008C3038">
        <w:rPr>
          <w:lang w:val="fr-FR"/>
        </w:rPr>
        <w:t>La nomination est faite pour une période déterminée, qui est susceptible de prolongation</w:t>
      </w:r>
      <w:r w:rsidRPr="008C3038">
        <w:rPr>
          <w:lang w:val="fr-FR"/>
        </w:rPr>
        <w:t>.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e)  </w:t>
      </w:r>
      <w:r w:rsidR="00F935C3" w:rsidRPr="008C3038">
        <w:rPr>
          <w:lang w:val="fr-FR"/>
        </w:rPr>
        <w:t>Avant de prendre une décision quant à la nomination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un office national ou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une organisation intergouvernementale ou quant à la prolongation d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une telle nomination, de même qu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avant de laisser une telle nomination prendre fin,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Assemblée entend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office ou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>organisation en cause et prend l</w:t>
      </w:r>
      <w:r w:rsidR="008C3038">
        <w:rPr>
          <w:lang w:val="fr-FR"/>
        </w:rPr>
        <w:t>’</w:t>
      </w:r>
      <w:r w:rsidR="00F935C3" w:rsidRPr="008C3038">
        <w:rPr>
          <w:lang w:val="fr-FR"/>
        </w:rPr>
        <w:t xml:space="preserve">avis du Comité de coopération </w:t>
      </w:r>
      <w:r w:rsidR="00F935C3" w:rsidRPr="007C5858">
        <w:rPr>
          <w:lang w:val="fr-FR"/>
        </w:rPr>
        <w:t>technique visé à l</w:t>
      </w:r>
      <w:r w:rsidR="008C3038" w:rsidRPr="007C5858">
        <w:rPr>
          <w:lang w:val="fr-FR"/>
        </w:rPr>
        <w:t>’article 5</w:t>
      </w:r>
      <w:r w:rsidR="00F935C3" w:rsidRPr="007C5858">
        <w:rPr>
          <w:lang w:val="fr-FR"/>
        </w:rPr>
        <w:t>6, une fois ce Comité établi</w:t>
      </w:r>
      <w:r w:rsidR="00D9733B" w:rsidRPr="007C5858">
        <w:rPr>
          <w:lang w:val="fr-FR"/>
        </w:rPr>
        <w:t>.</w:t>
      </w:r>
    </w:p>
    <w:p w:rsidR="003130D3" w:rsidRPr="008C3038" w:rsidRDefault="00F20390" w:rsidP="007C5858">
      <w:pPr>
        <w:pStyle w:val="ONUMFS"/>
        <w:rPr>
          <w:lang w:val="fr-FR"/>
        </w:rPr>
      </w:pPr>
      <w:r w:rsidRPr="008C3038">
        <w:rPr>
          <w:lang w:val="fr-FR"/>
        </w:rPr>
        <w:t>Les exigences minimales relatives à la nomination en qualité d</w:t>
      </w:r>
      <w:r w:rsidR="008C3038">
        <w:rPr>
          <w:lang w:val="fr-FR"/>
        </w:rPr>
        <w:t>’</w:t>
      </w:r>
      <w:r w:rsidRPr="008C3038">
        <w:rPr>
          <w:lang w:val="fr-FR"/>
        </w:rPr>
        <w:t>administration chargée de la recherche internationale</w:t>
      </w:r>
      <w:r w:rsidR="009A3BB1" w:rsidRPr="008C3038">
        <w:rPr>
          <w:lang w:val="fr-FR"/>
        </w:rPr>
        <w:t xml:space="preserve">, </w:t>
      </w:r>
      <w:r w:rsidRPr="008C3038">
        <w:rPr>
          <w:lang w:val="fr-FR"/>
        </w:rPr>
        <w:t>visées à l</w:t>
      </w:r>
      <w:r w:rsidR="008C3038">
        <w:rPr>
          <w:lang w:val="fr-FR"/>
        </w:rPr>
        <w:t>’</w:t>
      </w:r>
      <w:r w:rsidR="008C3038" w:rsidRPr="008C3038">
        <w:rPr>
          <w:lang w:val="fr-FR"/>
        </w:rPr>
        <w:t>article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1</w:t>
      </w:r>
      <w:r w:rsidR="009A3BB1" w:rsidRPr="008C3038">
        <w:rPr>
          <w:lang w:val="fr-FR"/>
        </w:rPr>
        <w:t>6</w:t>
      </w:r>
      <w:r w:rsidRPr="008C3038">
        <w:rPr>
          <w:lang w:val="fr-FR"/>
        </w:rPr>
        <w:t>.</w:t>
      </w:r>
      <w:r w:rsidR="009A3BB1" w:rsidRPr="008C3038">
        <w:rPr>
          <w:lang w:val="fr-FR"/>
        </w:rPr>
        <w:t xml:space="preserve">3)c), </w:t>
      </w:r>
      <w:r w:rsidRPr="008C3038">
        <w:rPr>
          <w:lang w:val="fr-FR"/>
        </w:rPr>
        <w:t xml:space="preserve">sont énoncées dans la </w:t>
      </w:r>
      <w:r w:rsidR="008C3038" w:rsidRPr="008C3038">
        <w:rPr>
          <w:lang w:val="fr-FR"/>
        </w:rPr>
        <w:t>règle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3</w:t>
      </w:r>
      <w:r w:rsidR="009A3BB1" w:rsidRPr="008C3038">
        <w:rPr>
          <w:lang w:val="fr-FR"/>
        </w:rPr>
        <w:t xml:space="preserve">6.1 </w:t>
      </w:r>
      <w:r w:rsidRPr="008C3038">
        <w:rPr>
          <w:lang w:val="fr-FR"/>
        </w:rPr>
        <w:t xml:space="preserve">du </w:t>
      </w:r>
      <w:r w:rsidR="00084331">
        <w:rPr>
          <w:lang w:val="fr-FR"/>
        </w:rPr>
        <w:t>règle</w:t>
      </w:r>
      <w:r w:rsidRPr="008C3038">
        <w:rPr>
          <w:lang w:val="fr-FR"/>
        </w:rPr>
        <w:t>ment d</w:t>
      </w:r>
      <w:r w:rsidR="008C3038">
        <w:rPr>
          <w:lang w:val="fr-FR"/>
        </w:rPr>
        <w:t>’</w:t>
      </w:r>
      <w:r w:rsidRPr="008C3038">
        <w:rPr>
          <w:lang w:val="fr-FR"/>
        </w:rPr>
        <w:t>exécution</w:t>
      </w:r>
      <w:r w:rsidR="008C3038" w:rsidRPr="008C3038">
        <w:rPr>
          <w:lang w:val="fr-FR"/>
        </w:rPr>
        <w:t xml:space="preserve"> du PCT</w:t>
      </w:r>
      <w:r w:rsidR="0052387F" w:rsidRPr="008C3038">
        <w:rPr>
          <w:lang w:val="fr-FR"/>
        </w:rPr>
        <w:t xml:space="preserve"> reproduite ci</w:t>
      </w:r>
      <w:r w:rsidR="00FD7D6A">
        <w:rPr>
          <w:lang w:val="fr-FR"/>
        </w:rPr>
        <w:noBreakHyphen/>
      </w:r>
      <w:r w:rsidR="0052387F" w:rsidRPr="008C3038">
        <w:rPr>
          <w:lang w:val="fr-FR"/>
        </w:rPr>
        <w:t>après</w:t>
      </w:r>
      <w:r w:rsidRPr="008C3038">
        <w:rPr>
          <w:lang w:val="fr-FR"/>
        </w:rPr>
        <w:t xml:space="preserve"> </w:t>
      </w:r>
      <w:r w:rsidR="009A3BB1" w:rsidRPr="008C3038">
        <w:rPr>
          <w:lang w:val="fr-FR"/>
        </w:rPr>
        <w:t>(</w:t>
      </w:r>
      <w:r w:rsidR="00FF4481" w:rsidRPr="008C3038">
        <w:rPr>
          <w:lang w:val="fr-FR"/>
        </w:rPr>
        <w:t xml:space="preserve">et </w:t>
      </w:r>
      <w:r w:rsidR="0052387F" w:rsidRPr="008C3038">
        <w:rPr>
          <w:lang w:val="fr-FR"/>
        </w:rPr>
        <w:t xml:space="preserve">la </w:t>
      </w:r>
      <w:r w:rsidR="008C3038" w:rsidRPr="008C3038">
        <w:rPr>
          <w:lang w:val="fr-FR"/>
        </w:rPr>
        <w:t>règle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6</w:t>
      </w:r>
      <w:r w:rsidR="009A3BB1" w:rsidRPr="008C3038">
        <w:rPr>
          <w:lang w:val="fr-FR"/>
        </w:rPr>
        <w:t xml:space="preserve">3.1 </w:t>
      </w:r>
      <w:r w:rsidR="00FF4481" w:rsidRPr="008C3038">
        <w:rPr>
          <w:lang w:val="fr-FR"/>
        </w:rPr>
        <w:t>contient des dispositions</w:t>
      </w:r>
      <w:r w:rsidR="0052387F" w:rsidRPr="008C3038">
        <w:rPr>
          <w:lang w:val="fr-FR"/>
        </w:rPr>
        <w:t xml:space="preserve"> similaires pour les administrations chargées de l</w:t>
      </w:r>
      <w:r w:rsidR="008C3038">
        <w:rPr>
          <w:lang w:val="fr-FR"/>
        </w:rPr>
        <w:t>’</w:t>
      </w:r>
      <w:r w:rsidR="0052387F" w:rsidRPr="008C3038">
        <w:rPr>
          <w:lang w:val="fr-FR"/>
        </w:rPr>
        <w:t>examen préliminaire international</w:t>
      </w:r>
      <w:r w:rsidR="009A3BB1" w:rsidRPr="008C3038">
        <w:rPr>
          <w:lang w:val="fr-FR"/>
        </w:rPr>
        <w:t>)</w:t>
      </w:r>
      <w:r w:rsidR="001E6881">
        <w:rPr>
          <w:lang w:val="fr-FR"/>
        </w:rPr>
        <w:t>.</w:t>
      </w:r>
    </w:p>
    <w:p w:rsidR="00D866DC" w:rsidRDefault="00D866DC" w:rsidP="007C5858">
      <w:pPr>
        <w:rPr>
          <w:b/>
          <w:lang w:val="fr-FR"/>
        </w:rPr>
      </w:pPr>
      <w:r>
        <w:rPr>
          <w:b/>
          <w:lang w:val="fr-FR"/>
        </w:rPr>
        <w:br w:type="page"/>
      </w:r>
    </w:p>
    <w:p w:rsidR="003130D3" w:rsidRPr="008C3038" w:rsidRDefault="008C3038" w:rsidP="007C5858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  <w:lang w:val="fr-FR"/>
        </w:rPr>
      </w:pPr>
      <w:r w:rsidRPr="008C3038">
        <w:rPr>
          <w:b/>
          <w:lang w:val="fr-FR"/>
        </w:rPr>
        <w:lastRenderedPageBreak/>
        <w:t>Règle</w:t>
      </w:r>
      <w:r>
        <w:rPr>
          <w:b/>
          <w:lang w:val="fr-FR"/>
        </w:rPr>
        <w:t> </w:t>
      </w:r>
      <w:r w:rsidRPr="008C3038">
        <w:rPr>
          <w:b/>
          <w:lang w:val="fr-FR"/>
        </w:rPr>
        <w:t>3</w:t>
      </w:r>
      <w:r w:rsidR="00D9733B" w:rsidRPr="008C3038">
        <w:rPr>
          <w:b/>
          <w:lang w:val="fr-FR"/>
        </w:rPr>
        <w:t xml:space="preserve">6 </w:t>
      </w:r>
      <w:r w:rsidR="00D9733B" w:rsidRPr="008C3038">
        <w:rPr>
          <w:b/>
          <w:lang w:val="fr-FR"/>
        </w:rPr>
        <w:br/>
      </w:r>
      <w:r w:rsidR="00C307C3" w:rsidRPr="008C3038">
        <w:rPr>
          <w:b/>
          <w:lang w:val="fr-FR"/>
        </w:rPr>
        <w:t>Exigences minimales pour les administrations chargées de la recherche internationale</w:t>
      </w:r>
    </w:p>
    <w:p w:rsidR="003130D3" w:rsidRPr="008C3038" w:rsidRDefault="00D9733B" w:rsidP="007C5858">
      <w:pPr>
        <w:pStyle w:val="ONUME"/>
        <w:numPr>
          <w:ilvl w:val="0"/>
          <w:numId w:val="0"/>
        </w:numPr>
        <w:ind w:left="567"/>
        <w:rPr>
          <w:i/>
          <w:lang w:val="fr-FR"/>
        </w:rPr>
      </w:pPr>
      <w:r w:rsidRPr="008C3038">
        <w:rPr>
          <w:lang w:val="fr-FR"/>
        </w:rPr>
        <w:t>36.1</w:t>
      </w:r>
      <w:r w:rsidR="00D866DC">
        <w:rPr>
          <w:lang w:val="fr-FR"/>
        </w:rPr>
        <w:t>  </w:t>
      </w:r>
      <w:r w:rsidR="000A4306" w:rsidRPr="008C3038">
        <w:rPr>
          <w:i/>
          <w:lang w:val="fr-FR"/>
        </w:rPr>
        <w:t>Définition des exigences minimales</w:t>
      </w:r>
    </w:p>
    <w:p w:rsidR="003130D3" w:rsidRPr="008C3038" w:rsidRDefault="000A4306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>Les exigences minimales mentionnées à l</w:t>
      </w:r>
      <w:r w:rsidR="008C3038">
        <w:rPr>
          <w:lang w:val="fr-FR"/>
        </w:rPr>
        <w:t>’</w:t>
      </w:r>
      <w:r w:rsidR="008C3038" w:rsidRPr="008C3038">
        <w:rPr>
          <w:lang w:val="fr-FR"/>
        </w:rPr>
        <w:t>article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1</w:t>
      </w:r>
      <w:r w:rsidRPr="008C3038">
        <w:rPr>
          <w:lang w:val="fr-FR"/>
        </w:rPr>
        <w:t>6.3)c) sont les suivantes</w:t>
      </w:r>
      <w:r w:rsidR="008C3038">
        <w:rPr>
          <w:lang w:val="fr-FR"/>
        </w:rPr>
        <w:t> :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office national ou 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organisation intergouvernementale doit avoir au moins cent employés à plein temps possédant des qualifications techniques suffisantes pour procéder aux recherches</w:t>
      </w:r>
      <w:r w:rsidRPr="008C3038">
        <w:rPr>
          <w:lang w:val="fr-FR"/>
        </w:rPr>
        <w:t>;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ii)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 xml:space="preserve">cet office ou cette organisation doit avoir en sa possession au moins la documentation minimale de la </w:t>
      </w:r>
      <w:r w:rsidR="008C3038" w:rsidRPr="008C3038">
        <w:rPr>
          <w:lang w:val="fr-FR"/>
        </w:rPr>
        <w:t>règle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3</w:t>
      </w:r>
      <w:r w:rsidR="000A4306" w:rsidRPr="008C3038">
        <w:rPr>
          <w:lang w:val="fr-FR"/>
        </w:rPr>
        <w:t>4, ou avoir accès à cette documentation minimale, laquelle doit être disposée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une manière adéquate aux fins de la recherche et se présenter sur papier, sur microforme ou sur un support électronique</w:t>
      </w:r>
      <w:r w:rsidRPr="008C3038">
        <w:rPr>
          <w:lang w:val="fr-FR"/>
        </w:rPr>
        <w:t>;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iii)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cet office ou cette organisation doit disposer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 xml:space="preserve">un personnel capable de procéder à la recherche dans les domaines techniques sur lesquels la recherche doit porter et possédant les connaissances linguistiques nécessaires à la compréhension au moins des langues dans lesquelles la documentation minimale de la </w:t>
      </w:r>
      <w:r w:rsidR="008C3038" w:rsidRPr="008C3038">
        <w:rPr>
          <w:lang w:val="fr-FR"/>
        </w:rPr>
        <w:t>règle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3</w:t>
      </w:r>
      <w:r w:rsidR="000A4306" w:rsidRPr="008C3038">
        <w:rPr>
          <w:lang w:val="fr-FR"/>
        </w:rPr>
        <w:t>4 est rédigée ou traduite</w:t>
      </w:r>
      <w:r w:rsidRPr="008C3038">
        <w:rPr>
          <w:lang w:val="fr-FR"/>
        </w:rPr>
        <w:t>;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iv)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cet office ou cette organisation doit disposer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un système de gestion de la qualité et de dispositions internes en matière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évaluation conformément aux règles communes de la recherche internationale</w:t>
      </w:r>
      <w:r w:rsidRPr="008C3038">
        <w:rPr>
          <w:lang w:val="fr-FR"/>
        </w:rPr>
        <w:t>;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v)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cet office ou cette organisation doit être nommé en qualité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administration chargée de 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examen préliminaire international</w:t>
      </w:r>
      <w:r w:rsidR="00D9733B" w:rsidRPr="008C3038">
        <w:rPr>
          <w:lang w:val="fr-FR"/>
        </w:rPr>
        <w:t>.</w:t>
      </w:r>
    </w:p>
    <w:p w:rsidR="00D866DC" w:rsidRPr="00D866DC" w:rsidRDefault="00D866DC" w:rsidP="00E62011">
      <w:pPr>
        <w:pStyle w:val="Heading1"/>
      </w:pPr>
      <w:r>
        <w:t>D</w:t>
      </w:r>
      <w:r w:rsidR="000A4306" w:rsidRPr="008C3038">
        <w:t>ispositions juridiques concernant les buts</w:t>
      </w:r>
      <w:r w:rsidR="008C3038" w:rsidRPr="008C3038">
        <w:t xml:space="preserve"> du CTC</w:t>
      </w:r>
    </w:p>
    <w:p w:rsidR="003130D3" w:rsidRPr="008C3038" w:rsidRDefault="000A4306" w:rsidP="007C5858">
      <w:pPr>
        <w:pStyle w:val="ONUMFS"/>
        <w:rPr>
          <w:lang w:val="fr-FR"/>
        </w:rPr>
      </w:pPr>
      <w:r w:rsidRPr="008C3038">
        <w:rPr>
          <w:lang w:val="fr-FR"/>
        </w:rPr>
        <w:t>Les buts du Comité de coopération technique</w:t>
      </w:r>
      <w:r w:rsidR="009A3BB1" w:rsidRPr="008C3038">
        <w:rPr>
          <w:lang w:val="fr-FR"/>
        </w:rPr>
        <w:t xml:space="preserve"> </w:t>
      </w:r>
      <w:r w:rsidRPr="008C3038">
        <w:rPr>
          <w:lang w:val="fr-FR"/>
        </w:rPr>
        <w:t>sont énoncés à l</w:t>
      </w:r>
      <w:r w:rsidR="008C3038">
        <w:rPr>
          <w:lang w:val="fr-FR"/>
        </w:rPr>
        <w:t>’</w:t>
      </w:r>
      <w:r w:rsidR="008C3038" w:rsidRPr="008C3038">
        <w:rPr>
          <w:lang w:val="fr-FR"/>
        </w:rPr>
        <w:t>article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5</w:t>
      </w:r>
      <w:r w:rsidRPr="008C3038">
        <w:rPr>
          <w:lang w:val="fr-FR"/>
        </w:rPr>
        <w:t>6.3)</w:t>
      </w:r>
      <w:r w:rsidR="008C3038" w:rsidRPr="008C3038">
        <w:rPr>
          <w:lang w:val="fr-FR"/>
        </w:rPr>
        <w:t xml:space="preserve"> du PCT</w:t>
      </w:r>
      <w:r w:rsidR="001E6881">
        <w:rPr>
          <w:lang w:val="fr-FR"/>
        </w:rPr>
        <w:t>.</w:t>
      </w:r>
    </w:p>
    <w:p w:rsidR="003130D3" w:rsidRPr="008C3038" w:rsidRDefault="008C3038" w:rsidP="007C5858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  <w:lang w:val="fr-FR"/>
        </w:rPr>
      </w:pPr>
      <w:r w:rsidRPr="008C3038">
        <w:rPr>
          <w:b/>
          <w:lang w:val="fr-FR"/>
        </w:rPr>
        <w:t>Article</w:t>
      </w:r>
      <w:r>
        <w:rPr>
          <w:b/>
          <w:lang w:val="fr-FR"/>
        </w:rPr>
        <w:t> </w:t>
      </w:r>
      <w:r w:rsidRPr="008C3038">
        <w:rPr>
          <w:b/>
          <w:lang w:val="fr-FR"/>
        </w:rPr>
        <w:t>5</w:t>
      </w:r>
      <w:r w:rsidR="00D9733B" w:rsidRPr="008C3038">
        <w:rPr>
          <w:b/>
          <w:lang w:val="fr-FR"/>
        </w:rPr>
        <w:t>6</w:t>
      </w:r>
      <w:r w:rsidR="00D9733B" w:rsidRPr="008C3038">
        <w:rPr>
          <w:b/>
          <w:lang w:val="fr-FR"/>
        </w:rPr>
        <w:br/>
      </w:r>
      <w:r w:rsidR="000A4306" w:rsidRPr="008C3038">
        <w:rPr>
          <w:b/>
          <w:lang w:val="fr-FR"/>
        </w:rPr>
        <w:t>Comité de coopération technique</w:t>
      </w:r>
    </w:p>
    <w:p w:rsidR="003130D3" w:rsidRPr="008C3038" w:rsidRDefault="00D9733B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>…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>3)</w:t>
      </w:r>
      <w:r w:rsidR="00D866DC">
        <w:rPr>
          <w:lang w:val="fr-FR"/>
        </w:rPr>
        <w:t>  </w:t>
      </w:r>
      <w:r w:rsidR="000A4306" w:rsidRPr="008C3038">
        <w:rPr>
          <w:lang w:val="fr-FR"/>
        </w:rPr>
        <w:t>Le Comité a pour but de contribuer, par le moyen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avis et de recommandations</w:t>
      </w:r>
      <w:r w:rsidR="008C3038">
        <w:rPr>
          <w:lang w:val="fr-FR"/>
        </w:rPr>
        <w:t> :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à améliorer constamment les services prévus par le présent traité;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ii)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à obtenir, tant qu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il y a plusieurs administrations chargées de la recherche internationale et plusieurs administrations chargées de 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examen préliminaire international, que leur documentation et leurs méthodes de travail soient aussi uniformes que possible et que leurs rapports soient uniformément de la plus haute qualité possible;</w:t>
      </w:r>
    </w:p>
    <w:p w:rsidR="003130D3" w:rsidRPr="008C3038" w:rsidRDefault="009A3BB1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ab/>
        <w:t>iii)</w:t>
      </w:r>
      <w:r w:rsidRPr="008C3038">
        <w:rPr>
          <w:lang w:val="fr-FR"/>
        </w:rPr>
        <w:tab/>
      </w:r>
      <w:r w:rsidR="000A4306" w:rsidRPr="008C3038">
        <w:rPr>
          <w:lang w:val="fr-FR"/>
        </w:rPr>
        <w:t>sur 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invitation de 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Assemblée ou du Comité exécutif, à résoudre les problèmes techniques spécialement posés par l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institution d</w:t>
      </w:r>
      <w:r w:rsidR="008C3038">
        <w:rPr>
          <w:lang w:val="fr-FR"/>
        </w:rPr>
        <w:t>’</w:t>
      </w:r>
      <w:r w:rsidR="000A4306" w:rsidRPr="008C3038">
        <w:rPr>
          <w:lang w:val="fr-FR"/>
        </w:rPr>
        <w:t>une seule administration chargée de la recherche internationale</w:t>
      </w:r>
      <w:r w:rsidR="00D9733B" w:rsidRPr="008C3038">
        <w:rPr>
          <w:lang w:val="fr-FR"/>
        </w:rPr>
        <w:t>.</w:t>
      </w:r>
    </w:p>
    <w:p w:rsidR="003130D3" w:rsidRPr="008C3038" w:rsidRDefault="00D9733B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C3038">
        <w:rPr>
          <w:lang w:val="fr-FR"/>
        </w:rPr>
        <w:t>…</w:t>
      </w:r>
    </w:p>
    <w:p w:rsidR="00D866DC" w:rsidRPr="00D866DC" w:rsidRDefault="00D866DC" w:rsidP="00E62011">
      <w:pPr>
        <w:pStyle w:val="Heading1"/>
      </w:pPr>
      <w:r>
        <w:lastRenderedPageBreak/>
        <w:t>A</w:t>
      </w:r>
      <w:r w:rsidR="000A4306" w:rsidRPr="008C3038">
        <w:t xml:space="preserve">ccord </w:t>
      </w:r>
      <w:r w:rsidR="001A74EE" w:rsidRPr="008C3038">
        <w:t>de principe concernant</w:t>
      </w:r>
      <w:r w:rsidR="000A4306" w:rsidRPr="008C3038">
        <w:t xml:space="preserve"> les procédures de nomination</w:t>
      </w:r>
      <w:bookmarkStart w:id="6" w:name="_GoBack"/>
      <w:bookmarkEnd w:id="6"/>
    </w:p>
    <w:p w:rsidR="003130D3" w:rsidRPr="008C3038" w:rsidRDefault="00FF7971" w:rsidP="007C5858">
      <w:pPr>
        <w:pStyle w:val="ONUMFS"/>
        <w:rPr>
          <w:lang w:val="fr-FR"/>
        </w:rPr>
      </w:pPr>
      <w:r w:rsidRPr="008C3038">
        <w:rPr>
          <w:lang w:val="fr-FR"/>
        </w:rPr>
        <w:t>L</w:t>
      </w:r>
      <w:r w:rsidR="008C3038">
        <w:rPr>
          <w:lang w:val="fr-FR"/>
        </w:rPr>
        <w:t>’</w:t>
      </w:r>
      <w:r w:rsidRPr="008C3038">
        <w:rPr>
          <w:lang w:val="fr-FR"/>
        </w:rPr>
        <w:t>accord de principe reproduit ci</w:t>
      </w:r>
      <w:r w:rsidR="00FD7D6A">
        <w:rPr>
          <w:lang w:val="fr-FR"/>
        </w:rPr>
        <w:noBreakHyphen/>
      </w:r>
      <w:r w:rsidRPr="008C3038">
        <w:rPr>
          <w:lang w:val="fr-FR"/>
        </w:rPr>
        <w:t>après a été adopté par l</w:t>
      </w:r>
      <w:r w:rsidR="008C3038">
        <w:rPr>
          <w:lang w:val="fr-FR"/>
        </w:rPr>
        <w:t>’</w:t>
      </w:r>
      <w:r w:rsidRPr="008C3038">
        <w:rPr>
          <w:lang w:val="fr-FR"/>
        </w:rPr>
        <w:t xml:space="preserve">Assemblée </w:t>
      </w:r>
      <w:r w:rsidR="00E06043" w:rsidRPr="008C3038">
        <w:rPr>
          <w:lang w:val="fr-FR"/>
        </w:rPr>
        <w:t>de l</w:t>
      </w:r>
      <w:r w:rsidR="008C3038">
        <w:rPr>
          <w:lang w:val="fr-FR"/>
        </w:rPr>
        <w:t>’</w:t>
      </w:r>
      <w:r w:rsidR="00E06043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 xml:space="preserve"> à sa quarante</w:t>
      </w:r>
      <w:r w:rsidR="00FD7D6A">
        <w:rPr>
          <w:lang w:val="fr-FR"/>
        </w:rPr>
        <w:noBreakHyphen/>
      </w:r>
      <w:r w:rsidRPr="008C3038">
        <w:rPr>
          <w:lang w:val="fr-FR"/>
        </w:rPr>
        <w:t>six</w:t>
      </w:r>
      <w:r w:rsidR="008C3038">
        <w:rPr>
          <w:lang w:val="fr-FR"/>
        </w:rPr>
        <w:t>ième session</w:t>
      </w:r>
      <w:r w:rsidRPr="008C3038">
        <w:rPr>
          <w:lang w:val="fr-FR"/>
        </w:rPr>
        <w:t xml:space="preserve"> consacrée aux procédures de nomination des nouvelles administrations international</w:t>
      </w:r>
      <w:r w:rsidR="00D46AF9" w:rsidRPr="008C3038">
        <w:rPr>
          <w:lang w:val="fr-FR"/>
        </w:rPr>
        <w:t>es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Le</w:t>
      </w:r>
      <w:r w:rsidRPr="008C3038">
        <w:rPr>
          <w:lang w:val="fr-FR"/>
        </w:rPr>
        <w:t xml:space="preserve"> Groupe de travail</w:t>
      </w:r>
      <w:r w:rsidR="008C3038" w:rsidRPr="008C3038">
        <w:rPr>
          <w:lang w:val="fr-FR"/>
        </w:rPr>
        <w:t xml:space="preserve"> du PCT</w:t>
      </w:r>
      <w:r w:rsidRPr="008C3038">
        <w:rPr>
          <w:lang w:val="fr-FR"/>
        </w:rPr>
        <w:t xml:space="preserve"> est convenu à sa neuv</w:t>
      </w:r>
      <w:r w:rsidR="008C3038">
        <w:rPr>
          <w:lang w:val="fr-FR"/>
        </w:rPr>
        <w:t>ième session</w:t>
      </w:r>
      <w:r w:rsidRPr="008C3038">
        <w:rPr>
          <w:lang w:val="fr-FR"/>
        </w:rPr>
        <w:t xml:space="preserve"> que des procédures similaires devaient être appliquées aux prolongations de nomination, </w:t>
      </w:r>
      <w:r w:rsidR="0064031D" w:rsidRPr="008C3038">
        <w:rPr>
          <w:lang w:val="fr-FR"/>
        </w:rPr>
        <w:t>en particulier</w:t>
      </w:r>
      <w:r w:rsidRPr="008C3038">
        <w:rPr>
          <w:lang w:val="fr-FR"/>
        </w:rPr>
        <w:t xml:space="preserve"> </w:t>
      </w:r>
      <w:r w:rsidR="00E06043" w:rsidRPr="008C3038">
        <w:rPr>
          <w:lang w:val="fr-FR"/>
        </w:rPr>
        <w:t>concernant</w:t>
      </w:r>
      <w:r w:rsidRPr="008C3038">
        <w:rPr>
          <w:lang w:val="fr-FR"/>
        </w:rPr>
        <w:t xml:space="preserve"> la nécessité </w:t>
      </w:r>
      <w:r w:rsidR="0064031D" w:rsidRPr="008C3038">
        <w:rPr>
          <w:lang w:val="fr-FR"/>
        </w:rPr>
        <w:t>d</w:t>
      </w:r>
      <w:r w:rsidR="008C3038">
        <w:rPr>
          <w:lang w:val="fr-FR"/>
        </w:rPr>
        <w:t>’</w:t>
      </w:r>
      <w:r w:rsidR="0064031D" w:rsidRPr="008C3038">
        <w:rPr>
          <w:lang w:val="fr-FR"/>
        </w:rPr>
        <w:t>indiquer</w:t>
      </w:r>
      <w:r w:rsidR="008C3038" w:rsidRPr="008C3038">
        <w:rPr>
          <w:lang w:val="fr-FR"/>
        </w:rPr>
        <w:t xml:space="preserve"> au PCT</w:t>
      </w:r>
      <w:r w:rsidR="00C30D02" w:rsidRPr="008C3038">
        <w:rPr>
          <w:lang w:val="fr-FR"/>
        </w:rPr>
        <w:t xml:space="preserve">/CTC </w:t>
      </w:r>
      <w:r w:rsidR="0064031D" w:rsidRPr="008C3038">
        <w:rPr>
          <w:lang w:val="fr-FR"/>
        </w:rPr>
        <w:t xml:space="preserve">la </w:t>
      </w:r>
      <w:r w:rsidRPr="008C3038">
        <w:rPr>
          <w:lang w:val="fr-FR"/>
        </w:rPr>
        <w:t xml:space="preserve">mesure </w:t>
      </w:r>
      <w:r w:rsidR="0064031D" w:rsidRPr="008C3038">
        <w:rPr>
          <w:lang w:val="fr-FR"/>
        </w:rPr>
        <w:t xml:space="preserve">dans laquelle </w:t>
      </w:r>
      <w:r w:rsidRPr="008C3038">
        <w:rPr>
          <w:lang w:val="fr-FR"/>
        </w:rPr>
        <w:t>l</w:t>
      </w:r>
      <w:r w:rsidR="008C3038">
        <w:rPr>
          <w:lang w:val="fr-FR"/>
        </w:rPr>
        <w:t>’</w:t>
      </w:r>
      <w:r w:rsidRPr="008C3038">
        <w:rPr>
          <w:lang w:val="fr-FR"/>
        </w:rPr>
        <w:t xml:space="preserve">administration satisfaisait aux exigences minimales </w:t>
      </w:r>
      <w:r w:rsidR="0064031D" w:rsidRPr="008C3038">
        <w:rPr>
          <w:lang w:val="fr-FR"/>
        </w:rPr>
        <w:t xml:space="preserve">en matière </w:t>
      </w:r>
      <w:r w:rsidRPr="008C3038">
        <w:rPr>
          <w:lang w:val="fr-FR"/>
        </w:rPr>
        <w:t xml:space="preserve">de nomination, </w:t>
      </w:r>
      <w:r w:rsidR="0064031D" w:rsidRPr="008C3038">
        <w:rPr>
          <w:lang w:val="fr-FR"/>
        </w:rPr>
        <w:t>pour autant que, concern</w:t>
      </w:r>
      <w:r w:rsidR="00FF4481" w:rsidRPr="008C3038">
        <w:rPr>
          <w:lang w:val="fr-FR"/>
        </w:rPr>
        <w:t>ant</w:t>
      </w:r>
      <w:r w:rsidR="0064031D" w:rsidRPr="008C3038">
        <w:rPr>
          <w:lang w:val="fr-FR"/>
        </w:rPr>
        <w:t xml:space="preserve"> l</w:t>
      </w:r>
      <w:r w:rsidR="00FF4481" w:rsidRPr="008C3038">
        <w:rPr>
          <w:lang w:val="fr-FR"/>
        </w:rPr>
        <w:t>a</w:t>
      </w:r>
      <w:r w:rsidR="0064031D" w:rsidRPr="008C3038">
        <w:rPr>
          <w:lang w:val="fr-FR"/>
        </w:rPr>
        <w:t xml:space="preserve"> </w:t>
      </w:r>
      <w:r w:rsidR="00FF4481" w:rsidRPr="008C3038">
        <w:rPr>
          <w:lang w:val="fr-FR"/>
        </w:rPr>
        <w:t>documentation</w:t>
      </w:r>
      <w:r w:rsidR="0064031D" w:rsidRPr="008C3038">
        <w:rPr>
          <w:lang w:val="fr-FR"/>
        </w:rPr>
        <w:t xml:space="preserve"> </w:t>
      </w:r>
      <w:r w:rsidR="00FF4481" w:rsidRPr="008C3038">
        <w:rPr>
          <w:lang w:val="fr-FR"/>
        </w:rPr>
        <w:t>relative</w:t>
      </w:r>
      <w:r w:rsidR="0064031D" w:rsidRPr="008C3038">
        <w:rPr>
          <w:lang w:val="fr-FR"/>
        </w:rPr>
        <w:t xml:space="preserve"> au système de gestion de la qualité de l</w:t>
      </w:r>
      <w:r w:rsidR="008C3038">
        <w:rPr>
          <w:lang w:val="fr-FR"/>
        </w:rPr>
        <w:t>’</w:t>
      </w:r>
      <w:r w:rsidR="0064031D" w:rsidRPr="008C3038">
        <w:rPr>
          <w:lang w:val="fr-FR"/>
        </w:rPr>
        <w:t xml:space="preserve">administration, il suffise que </w:t>
      </w:r>
      <w:r w:rsidR="00FF4481" w:rsidRPr="008C3038">
        <w:rPr>
          <w:lang w:val="fr-FR"/>
        </w:rPr>
        <w:t>celle</w:t>
      </w:r>
      <w:r w:rsidR="00FD7D6A">
        <w:rPr>
          <w:lang w:val="fr-FR"/>
        </w:rPr>
        <w:noBreakHyphen/>
      </w:r>
      <w:r w:rsidR="00FF4481" w:rsidRPr="008C3038">
        <w:rPr>
          <w:lang w:val="fr-FR"/>
        </w:rPr>
        <w:t>ci</w:t>
      </w:r>
      <w:r w:rsidR="0064031D" w:rsidRPr="008C3038">
        <w:rPr>
          <w:lang w:val="fr-FR"/>
        </w:rPr>
        <w:t xml:space="preserve"> renvoie simplement à son tout dernier rapport soumis au Bureau international conformément au </w:t>
      </w:r>
      <w:r w:rsidR="008C3038" w:rsidRPr="008C3038">
        <w:rPr>
          <w:lang w:val="fr-FR"/>
        </w:rPr>
        <w:t>chapitre</w:t>
      </w:r>
      <w:r w:rsidR="008C3038">
        <w:rPr>
          <w:lang w:val="fr-FR"/>
        </w:rPr>
        <w:t> </w:t>
      </w:r>
      <w:r w:rsidR="008C3038" w:rsidRPr="008C3038">
        <w:rPr>
          <w:lang w:val="fr-FR"/>
        </w:rPr>
        <w:t>2</w:t>
      </w:r>
      <w:r w:rsidR="0064031D" w:rsidRPr="008C3038">
        <w:rPr>
          <w:lang w:val="fr-FR"/>
        </w:rPr>
        <w:t>1 des directives concernant la recherche internationale et l</w:t>
      </w:r>
      <w:r w:rsidR="008C3038">
        <w:rPr>
          <w:lang w:val="fr-FR"/>
        </w:rPr>
        <w:t>’</w:t>
      </w:r>
      <w:r w:rsidR="0064031D" w:rsidRPr="008C3038">
        <w:rPr>
          <w:lang w:val="fr-FR"/>
        </w:rPr>
        <w:t xml:space="preserve">examen préliminaire international selon le </w:t>
      </w:r>
      <w:r w:rsidR="00C30D02" w:rsidRPr="008C3038">
        <w:rPr>
          <w:lang w:val="fr-FR"/>
        </w:rPr>
        <w:t>(paragraph</w:t>
      </w:r>
      <w:r w:rsidR="0064031D" w:rsidRPr="008C3038">
        <w:rPr>
          <w:lang w:val="fr-FR"/>
        </w:rPr>
        <w:t>e</w:t>
      </w:r>
      <w:r w:rsidR="00C30D02" w:rsidRPr="008C3038">
        <w:rPr>
          <w:lang w:val="fr-FR"/>
        </w:rPr>
        <w:t xml:space="preserve">s 9 </w:t>
      </w:r>
      <w:r w:rsidR="0064031D" w:rsidRPr="008C3038">
        <w:rPr>
          <w:lang w:val="fr-FR"/>
        </w:rPr>
        <w:t>et</w:t>
      </w:r>
      <w:r w:rsidR="00C30D02" w:rsidRPr="008C3038">
        <w:rPr>
          <w:lang w:val="fr-FR"/>
        </w:rPr>
        <w:t xml:space="preserve"> 10 </w:t>
      </w:r>
      <w:r w:rsidR="0064031D" w:rsidRPr="008C3038">
        <w:rPr>
          <w:lang w:val="fr-FR"/>
        </w:rPr>
        <w:t>du</w:t>
      </w:r>
      <w:r w:rsidR="00C30D02" w:rsidRPr="008C3038">
        <w:rPr>
          <w:lang w:val="fr-FR"/>
        </w:rPr>
        <w:t xml:space="preserve"> document PCT/WG/9/14).</w:t>
      </w:r>
    </w:p>
    <w:p w:rsidR="003130D3" w:rsidRPr="008C3038" w:rsidRDefault="00D866DC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 w:rsidR="00BA356B" w:rsidRPr="008C3038">
        <w:rPr>
          <w:lang w:val="fr-FR"/>
        </w:rPr>
        <w:t>a</w:t>
      </w:r>
      <w:proofErr w:type="gramEnd"/>
      <w:r w:rsidR="00BA356B" w:rsidRPr="008C3038">
        <w:rPr>
          <w:lang w:val="fr-FR"/>
        </w:rPr>
        <w:t>)</w:t>
      </w:r>
      <w:r w:rsidR="00BA356B" w:rsidRPr="008C3038">
        <w:rPr>
          <w:lang w:val="fr-FR"/>
        </w:rPr>
        <w:tab/>
      </w:r>
      <w:r w:rsidR="00F31429" w:rsidRPr="008C3038">
        <w:rPr>
          <w:lang w:val="fr-FR"/>
        </w:rPr>
        <w:t>Tout office national ou organisation intergouvernementale (ci</w:t>
      </w:r>
      <w:r w:rsidR="00FD7D6A">
        <w:rPr>
          <w:lang w:val="fr-FR"/>
        </w:rPr>
        <w:noBreakHyphen/>
      </w:r>
      <w:r w:rsidR="00F31429" w:rsidRPr="008C3038">
        <w:rPr>
          <w:lang w:val="fr-FR"/>
        </w:rPr>
        <w:t>après dénommés “office”) candidat à la nomination est vivement encouragé à demander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assistance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une ou plusieurs administrations internationales existantes avant de présenter sa candidature formelle, afin de déterminer plus précisément dans quelle mesure il remplit les critères</w:t>
      </w:r>
      <w:r w:rsidR="00BA356B" w:rsidRPr="008C3038">
        <w:rPr>
          <w:lang w:val="fr-FR"/>
        </w:rPr>
        <w:t>.</w:t>
      </w:r>
    </w:p>
    <w:p w:rsidR="003130D3" w:rsidRPr="008C3038" w:rsidRDefault="00D866DC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 w:rsidR="00BA356B" w:rsidRPr="008C3038">
        <w:rPr>
          <w:lang w:val="fr-FR"/>
        </w:rPr>
        <w:t>b</w:t>
      </w:r>
      <w:proofErr w:type="gramEnd"/>
      <w:r w:rsidR="00BA356B" w:rsidRPr="008C3038">
        <w:rPr>
          <w:lang w:val="fr-FR"/>
        </w:rPr>
        <w:t>)</w:t>
      </w:r>
      <w:r w:rsidR="00BA356B" w:rsidRPr="008C3038">
        <w:rPr>
          <w:lang w:val="fr-FR"/>
        </w:rPr>
        <w:tab/>
      </w:r>
      <w:r w:rsidR="00F31429" w:rsidRPr="008C3038">
        <w:rPr>
          <w:lang w:val="fr-FR"/>
        </w:rPr>
        <w:t>Toute candidature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 office en vue de sa nomination en qualité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administration internationale doit être présentée avec une marge suffisante avant sa soumission à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 xml:space="preserve"> afin de laisser au Comité de coopération technique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 xml:space="preserve"> (CTC) le temps de procéder à un examen appropr</w:t>
      </w:r>
      <w:r w:rsidR="00D46AF9" w:rsidRPr="008C3038">
        <w:rPr>
          <w:lang w:val="fr-FR"/>
        </w:rPr>
        <w:t>ié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Le</w:t>
      </w:r>
      <w:r w:rsidR="008C3038" w:rsidRPr="008C3038">
        <w:rPr>
          <w:lang w:val="fr-FR"/>
        </w:rPr>
        <w:t> CTC</w:t>
      </w:r>
      <w:r w:rsidR="00F31429" w:rsidRPr="008C3038">
        <w:rPr>
          <w:lang w:val="fr-FR"/>
        </w:rPr>
        <w:t xml:space="preserve"> devrait se réunir en qualité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organe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experts au moins trois</w:t>
      </w:r>
      <w:r w:rsidR="00084331">
        <w:rPr>
          <w:lang w:val="fr-FR"/>
        </w:rPr>
        <w:t> </w:t>
      </w:r>
      <w:r w:rsidR="00F31429" w:rsidRPr="008C3038">
        <w:rPr>
          <w:lang w:val="fr-FR"/>
        </w:rPr>
        <w:t>mois avant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>, si possible en marge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une session du Groupe de travail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 xml:space="preserve"> (généralement convoquée en mai</w:t>
      </w:r>
      <w:r w:rsidR="00FD7D6A">
        <w:rPr>
          <w:lang w:val="fr-FR"/>
        </w:rPr>
        <w:noBreakHyphen/>
      </w:r>
      <w:r w:rsidR="00F31429" w:rsidRPr="008C3038">
        <w:rPr>
          <w:lang w:val="fr-FR"/>
        </w:rPr>
        <w:t>juin), afin de pouvoir donner à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 xml:space="preserve"> un avis éclairé sur la candidature</w:t>
      </w:r>
      <w:r w:rsidR="00BA356B" w:rsidRPr="008C3038">
        <w:rPr>
          <w:lang w:val="fr-FR"/>
        </w:rPr>
        <w:t>.</w:t>
      </w:r>
    </w:p>
    <w:p w:rsidR="003130D3" w:rsidRPr="008C3038" w:rsidRDefault="00D866DC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r w:rsidR="00BA356B" w:rsidRPr="008C3038">
        <w:rPr>
          <w:lang w:val="fr-FR"/>
        </w:rPr>
        <w:t>c)</w:t>
      </w:r>
      <w:r w:rsidR="00BA356B" w:rsidRPr="008C3038">
        <w:rPr>
          <w:lang w:val="fr-FR"/>
        </w:rPr>
        <w:tab/>
      </w:r>
      <w:r w:rsidR="00F31429" w:rsidRPr="008C3038">
        <w:rPr>
          <w:lang w:val="fr-FR"/>
        </w:rPr>
        <w:t>En conséquence, une demande écrite invitant le Directeur général à convoquer</w:t>
      </w:r>
      <w:r w:rsidR="008C3038" w:rsidRPr="008C3038">
        <w:rPr>
          <w:lang w:val="fr-FR"/>
        </w:rPr>
        <w:t xml:space="preserve"> le CTC</w:t>
      </w:r>
      <w:r w:rsidR="00F31429" w:rsidRPr="008C3038">
        <w:rPr>
          <w:lang w:val="fr-FR"/>
        </w:rPr>
        <w:t xml:space="preserve"> doit être envoyée par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office de préférence avant le</w:t>
      </w:r>
      <w:r w:rsidR="008C3038">
        <w:rPr>
          <w:lang w:val="fr-FR"/>
        </w:rPr>
        <w:t xml:space="preserve"> 1</w:t>
      </w:r>
      <w:r w:rsidR="008C3038" w:rsidRPr="008C3038">
        <w:rPr>
          <w:vertAlign w:val="superscript"/>
          <w:lang w:val="fr-FR"/>
        </w:rPr>
        <w:t>er</w:t>
      </w:r>
      <w:r w:rsidR="008C3038">
        <w:rPr>
          <w:lang w:val="fr-FR"/>
        </w:rPr>
        <w:t> </w:t>
      </w:r>
      <w:r w:rsidR="00F31429" w:rsidRPr="008C3038">
        <w:rPr>
          <w:lang w:val="fr-FR"/>
        </w:rPr>
        <w:t>mars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année au cours de laquelle la candidature doit être examinée par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 xml:space="preserve"> et, en tout état de cause, suffisamment tôt pour permettre au Directeur général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envoyer les lettres de convocation deux</w:t>
      </w:r>
      <w:r w:rsidR="00084331">
        <w:rPr>
          <w:lang w:val="fr-FR"/>
        </w:rPr>
        <w:t> </w:t>
      </w:r>
      <w:r w:rsidR="00F31429" w:rsidRPr="008C3038">
        <w:rPr>
          <w:lang w:val="fr-FR"/>
        </w:rPr>
        <w:t>mois au moins avant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ouverture de la session du comité</w:t>
      </w:r>
      <w:r w:rsidR="00BA356B" w:rsidRPr="008C3038">
        <w:rPr>
          <w:lang w:val="fr-FR"/>
        </w:rPr>
        <w:t>.</w:t>
      </w:r>
    </w:p>
    <w:p w:rsidR="003130D3" w:rsidRPr="008C3038" w:rsidRDefault="00D866DC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 w:rsidR="00BA356B" w:rsidRPr="008C3038">
        <w:rPr>
          <w:lang w:val="fr-FR"/>
        </w:rPr>
        <w:t>d</w:t>
      </w:r>
      <w:proofErr w:type="gramEnd"/>
      <w:r w:rsidR="00BA356B" w:rsidRPr="008C3038">
        <w:rPr>
          <w:lang w:val="fr-FR"/>
        </w:rPr>
        <w:t>)</w:t>
      </w:r>
      <w:r w:rsidR="00BA356B" w:rsidRPr="008C3038">
        <w:rPr>
          <w:lang w:val="fr-FR"/>
        </w:rPr>
        <w:tab/>
      </w:r>
      <w:r w:rsidR="00F31429" w:rsidRPr="008C3038">
        <w:rPr>
          <w:lang w:val="fr-FR"/>
        </w:rPr>
        <w:t>Il est entendu que tout office qui présente sa candidature doit remplir tous les critères matériels applicables au moment de sa nomination par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 et être prêt à débuter ses activités en qualité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administration internationale dans les meilleurs délais, et au plus tard dans les 18</w:t>
      </w:r>
      <w:r w:rsidR="00FD7D6A">
        <w:rPr>
          <w:lang w:val="fr-FR"/>
        </w:rPr>
        <w:t> </w:t>
      </w:r>
      <w:r w:rsidR="00F31429" w:rsidRPr="008C3038">
        <w:rPr>
          <w:lang w:val="fr-FR"/>
        </w:rPr>
        <w:t>mois qui suivent sa nominati</w:t>
      </w:r>
      <w:r w:rsidR="00D46AF9" w:rsidRPr="008C3038">
        <w:rPr>
          <w:lang w:val="fr-FR"/>
        </w:rPr>
        <w:t>on</w:t>
      </w:r>
      <w:r w:rsidR="00D46AF9">
        <w:rPr>
          <w:lang w:val="fr-FR"/>
        </w:rPr>
        <w:t xml:space="preserve">.  </w:t>
      </w:r>
      <w:r w:rsidR="00D46AF9" w:rsidRPr="008C3038">
        <w:rPr>
          <w:lang w:val="fr-FR"/>
        </w:rPr>
        <w:t>En</w:t>
      </w:r>
      <w:r w:rsidR="00F31429" w:rsidRPr="008C3038">
        <w:rPr>
          <w:lang w:val="fr-FR"/>
        </w:rPr>
        <w:t xml:space="preserve"> ce qui concerne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exigence selon laquelle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office qui présente sa candidature doit disposer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 système de gestion de la qualité et de dispositions internes en matière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évaluation conformément aux règles communes de la recherche internationale, lorsqu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 tel système n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est pas encore en place au moment de la nomination par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assemblée, il suffit que ce système soit complètement programmé et, de préférence, que des systèmes similaires soient déjà opérationnels en ce qui concerne les travaux de recherche et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examen nationaux pour témoigner d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une expérience appropriée</w:t>
      </w:r>
      <w:r w:rsidR="00BA356B" w:rsidRPr="008C3038">
        <w:rPr>
          <w:lang w:val="fr-FR"/>
        </w:rPr>
        <w:t>.</w:t>
      </w:r>
    </w:p>
    <w:p w:rsidR="003130D3" w:rsidRPr="008C3038" w:rsidRDefault="00D866DC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proofErr w:type="gramStart"/>
      <w:r w:rsidR="00BA356B" w:rsidRPr="008C3038">
        <w:rPr>
          <w:lang w:val="fr-FR"/>
        </w:rPr>
        <w:t>e</w:t>
      </w:r>
      <w:proofErr w:type="gramEnd"/>
      <w:r w:rsidR="00BA356B" w:rsidRPr="008C3038">
        <w:rPr>
          <w:lang w:val="fr-FR"/>
        </w:rPr>
        <w:t>)</w:t>
      </w:r>
      <w:r w:rsidR="00BA356B" w:rsidRPr="008C3038">
        <w:rPr>
          <w:lang w:val="fr-FR"/>
        </w:rPr>
        <w:tab/>
      </w:r>
      <w:r w:rsidR="00F31429" w:rsidRPr="008C3038">
        <w:rPr>
          <w:lang w:val="fr-FR"/>
        </w:rPr>
        <w:t>Tout document étayant la candidature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office à prendre en considération par</w:t>
      </w:r>
      <w:r w:rsidR="008C3038" w:rsidRPr="008C3038">
        <w:rPr>
          <w:lang w:val="fr-FR"/>
        </w:rPr>
        <w:t xml:space="preserve"> le CTC</w:t>
      </w:r>
      <w:r w:rsidR="00F31429" w:rsidRPr="008C3038">
        <w:rPr>
          <w:lang w:val="fr-FR"/>
        </w:rPr>
        <w:t xml:space="preserve"> doit être soumis au Directeur général au plus tard deux</w:t>
      </w:r>
      <w:r w:rsidR="00084331">
        <w:rPr>
          <w:lang w:val="fr-FR"/>
        </w:rPr>
        <w:t> </w:t>
      </w:r>
      <w:r w:rsidR="00F31429" w:rsidRPr="008C3038">
        <w:rPr>
          <w:lang w:val="fr-FR"/>
        </w:rPr>
        <w:t>mois avant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ouverture de la session</w:t>
      </w:r>
      <w:r w:rsidR="008C3038" w:rsidRPr="008C3038">
        <w:rPr>
          <w:lang w:val="fr-FR"/>
        </w:rPr>
        <w:t xml:space="preserve"> du CTC</w:t>
      </w:r>
      <w:r w:rsidR="00BA356B" w:rsidRPr="008C3038">
        <w:rPr>
          <w:lang w:val="fr-FR"/>
        </w:rPr>
        <w:t>.</w:t>
      </w:r>
    </w:p>
    <w:p w:rsidR="003130D3" w:rsidRPr="008C3038" w:rsidRDefault="00D866DC" w:rsidP="007C5858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r w:rsidR="00BA356B" w:rsidRPr="008C3038">
        <w:rPr>
          <w:lang w:val="fr-FR"/>
        </w:rPr>
        <w:t>f)</w:t>
      </w:r>
      <w:r w:rsidR="00BA356B" w:rsidRPr="008C3038">
        <w:rPr>
          <w:lang w:val="fr-FR"/>
        </w:rPr>
        <w:tab/>
      </w:r>
      <w:r w:rsidR="00F31429" w:rsidRPr="008C3038">
        <w:rPr>
          <w:lang w:val="fr-FR"/>
        </w:rPr>
        <w:t>La candidature doit ensuite être soumise à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Assemblée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Union</w:t>
      </w:r>
      <w:r w:rsidR="008C3038" w:rsidRPr="008C3038">
        <w:rPr>
          <w:lang w:val="fr-FR"/>
        </w:rPr>
        <w:t xml:space="preserve"> du PCT</w:t>
      </w:r>
      <w:r w:rsidR="00F31429" w:rsidRPr="008C3038">
        <w:rPr>
          <w:lang w:val="fr-FR"/>
        </w:rPr>
        <w:t xml:space="preserve"> (habituellement convoquée en septembre</w:t>
      </w:r>
      <w:r w:rsidR="00FD7D6A">
        <w:rPr>
          <w:lang w:val="fr-FR"/>
        </w:rPr>
        <w:noBreakHyphen/>
      </w:r>
      <w:r w:rsidR="00F31429" w:rsidRPr="008C3038">
        <w:rPr>
          <w:lang w:val="fr-FR"/>
        </w:rPr>
        <w:t>octobre), assortie de tout avis à cet égard donné par</w:t>
      </w:r>
      <w:r w:rsidR="008C3038" w:rsidRPr="008C3038">
        <w:rPr>
          <w:lang w:val="fr-FR"/>
        </w:rPr>
        <w:t xml:space="preserve"> le CTC</w:t>
      </w:r>
      <w:r w:rsidR="00F31429" w:rsidRPr="008C3038">
        <w:rPr>
          <w:lang w:val="fr-FR"/>
        </w:rPr>
        <w:t>, afin qu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elle se prononce sur la candidature</w:t>
      </w:r>
      <w:r w:rsidR="00BA356B" w:rsidRPr="008C3038">
        <w:rPr>
          <w:lang w:val="fr-FR"/>
        </w:rPr>
        <w:t>.”</w:t>
      </w:r>
    </w:p>
    <w:p w:rsidR="00D866DC" w:rsidRDefault="00D866DC" w:rsidP="007C5858">
      <w:pPr>
        <w:pStyle w:val="Endofdocument-Annex"/>
        <w:rPr>
          <w:lang w:val="fr-FR"/>
        </w:rPr>
      </w:pPr>
    </w:p>
    <w:p w:rsidR="006649EE" w:rsidRPr="008C3038" w:rsidRDefault="006649EE" w:rsidP="007C5858">
      <w:pPr>
        <w:pStyle w:val="Endofdocument-Annex"/>
        <w:rPr>
          <w:lang w:val="fr-FR"/>
        </w:rPr>
      </w:pPr>
      <w:r w:rsidRPr="008C3038">
        <w:rPr>
          <w:lang w:val="fr-FR"/>
        </w:rPr>
        <w:t>[</w:t>
      </w:r>
      <w:r w:rsidR="00F31429" w:rsidRPr="008C3038">
        <w:rPr>
          <w:lang w:val="fr-FR"/>
        </w:rPr>
        <w:t>Fin de l</w:t>
      </w:r>
      <w:r w:rsidR="008C3038">
        <w:rPr>
          <w:lang w:val="fr-FR"/>
        </w:rPr>
        <w:t>’</w:t>
      </w:r>
      <w:r w:rsidR="00F31429" w:rsidRPr="008C3038">
        <w:rPr>
          <w:lang w:val="fr-FR"/>
        </w:rPr>
        <w:t>annexe et du document</w:t>
      </w:r>
      <w:r w:rsidRPr="008C3038">
        <w:rPr>
          <w:lang w:val="fr-FR"/>
        </w:rPr>
        <w:t>]</w:t>
      </w:r>
    </w:p>
    <w:sectPr w:rsidR="006649EE" w:rsidRPr="008C3038" w:rsidSect="000E5067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79" w:rsidRDefault="00E07079">
      <w:r>
        <w:separator/>
      </w:r>
    </w:p>
  </w:endnote>
  <w:endnote w:type="continuationSeparator" w:id="0">
    <w:p w:rsidR="00E07079" w:rsidRDefault="00E07079" w:rsidP="003B38C1">
      <w:r>
        <w:separator/>
      </w:r>
    </w:p>
    <w:p w:rsidR="00E07079" w:rsidRPr="003B38C1" w:rsidRDefault="00E0707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7079" w:rsidRPr="003B38C1" w:rsidRDefault="00E0707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75" w:rsidRPr="00875575" w:rsidRDefault="00875575" w:rsidP="00875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79" w:rsidRDefault="00E07079">
      <w:r>
        <w:separator/>
      </w:r>
    </w:p>
  </w:footnote>
  <w:footnote w:type="continuationSeparator" w:id="0">
    <w:p w:rsidR="00E07079" w:rsidRDefault="00E07079" w:rsidP="008B60B2">
      <w:r>
        <w:separator/>
      </w:r>
    </w:p>
    <w:p w:rsidR="00E07079" w:rsidRPr="00ED77FB" w:rsidRDefault="00E0707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7079" w:rsidRPr="00ED77FB" w:rsidRDefault="00E0707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07079" w:rsidP="00477D6B">
    <w:pPr>
      <w:jc w:val="right"/>
    </w:pPr>
    <w:bookmarkStart w:id="5" w:name="Code2"/>
    <w:bookmarkEnd w:id="5"/>
    <w:r>
      <w:t>PCT/CTC/30/INF/1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FD7D6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6201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A1D" w:rsidRPr="00E418B8" w:rsidRDefault="00665A1D" w:rsidP="00477D6B">
    <w:pPr>
      <w:jc w:val="right"/>
      <w:rPr>
        <w:lang w:val="fr-FR"/>
      </w:rPr>
    </w:pPr>
    <w:r w:rsidRPr="00E418B8">
      <w:rPr>
        <w:lang w:val="fr-FR"/>
      </w:rPr>
      <w:t>PCT/CTC/30/INF/1</w:t>
    </w:r>
  </w:p>
  <w:p w:rsidR="00665A1D" w:rsidRPr="00E418B8" w:rsidRDefault="00665A1D" w:rsidP="00477D6B">
    <w:pPr>
      <w:jc w:val="right"/>
      <w:rPr>
        <w:lang w:val="fr-FR"/>
      </w:rPr>
    </w:pPr>
    <w:r w:rsidRPr="00E418B8">
      <w:rPr>
        <w:lang w:val="fr-FR"/>
      </w:rPr>
      <w:t>Annex</w:t>
    </w:r>
    <w:r w:rsidR="00FF7971">
      <w:rPr>
        <w:lang w:val="fr-FR"/>
      </w:rPr>
      <w:t>e</w:t>
    </w:r>
    <w:r w:rsidR="00875575">
      <w:rPr>
        <w:lang w:val="fr-FR"/>
      </w:rPr>
      <w:t>, page </w:t>
    </w:r>
    <w:r>
      <w:fldChar w:fldCharType="begin"/>
    </w:r>
    <w:r w:rsidRPr="00E418B8">
      <w:rPr>
        <w:lang w:val="fr-FR"/>
      </w:rPr>
      <w:instrText xml:space="preserve"> PAGE  \* MERGEFORMAT </w:instrText>
    </w:r>
    <w:r>
      <w:fldChar w:fldCharType="separate"/>
    </w:r>
    <w:r w:rsidR="00E62011">
      <w:rPr>
        <w:noProof/>
        <w:lang w:val="fr-FR"/>
      </w:rPr>
      <w:t>3</w:t>
    </w:r>
    <w:r>
      <w:fldChar w:fldCharType="end"/>
    </w:r>
  </w:p>
  <w:p w:rsidR="00665A1D" w:rsidRPr="00E418B8" w:rsidRDefault="00665A1D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3B" w:rsidRDefault="00D9733B" w:rsidP="00D9733B">
    <w:pPr>
      <w:pStyle w:val="Header"/>
      <w:jc w:val="right"/>
    </w:pPr>
    <w:r w:rsidRPr="00D9733B">
      <w:t>PCT/CTC/30/INF/1</w:t>
    </w:r>
  </w:p>
  <w:p w:rsidR="00D9733B" w:rsidRDefault="00FD7D6A" w:rsidP="00D9733B">
    <w:pPr>
      <w:pStyle w:val="Header"/>
      <w:jc w:val="right"/>
    </w:pPr>
    <w:r>
      <w:t>ANNEXE</w:t>
    </w:r>
  </w:p>
  <w:p w:rsidR="00FD7D6A" w:rsidRDefault="00FD7D6A" w:rsidP="00D973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TRADTERM|UPOV_Beta"/>
    <w:docVar w:name="TermBaseURL" w:val="empty"/>
    <w:docVar w:name="TextBases" w:val="Team Server TMs\Default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E07079"/>
    <w:rsid w:val="00043CAA"/>
    <w:rsid w:val="00070AE4"/>
    <w:rsid w:val="00075432"/>
    <w:rsid w:val="00084331"/>
    <w:rsid w:val="00093802"/>
    <w:rsid w:val="000968ED"/>
    <w:rsid w:val="000A4306"/>
    <w:rsid w:val="000B448C"/>
    <w:rsid w:val="000E5067"/>
    <w:rsid w:val="000F5E56"/>
    <w:rsid w:val="00127405"/>
    <w:rsid w:val="001362EE"/>
    <w:rsid w:val="00163762"/>
    <w:rsid w:val="001720C3"/>
    <w:rsid w:val="001832A6"/>
    <w:rsid w:val="001A74EE"/>
    <w:rsid w:val="001D7AC3"/>
    <w:rsid w:val="001E6881"/>
    <w:rsid w:val="001F46E5"/>
    <w:rsid w:val="0021217E"/>
    <w:rsid w:val="002504D8"/>
    <w:rsid w:val="002634C4"/>
    <w:rsid w:val="002928D3"/>
    <w:rsid w:val="002B5A33"/>
    <w:rsid w:val="002D3E2A"/>
    <w:rsid w:val="002F1FE6"/>
    <w:rsid w:val="002F4E68"/>
    <w:rsid w:val="00312F7F"/>
    <w:rsid w:val="003130D3"/>
    <w:rsid w:val="00361450"/>
    <w:rsid w:val="003673CF"/>
    <w:rsid w:val="00375795"/>
    <w:rsid w:val="003845C1"/>
    <w:rsid w:val="00392515"/>
    <w:rsid w:val="003A6F89"/>
    <w:rsid w:val="003B38C1"/>
    <w:rsid w:val="004119D0"/>
    <w:rsid w:val="00423E3E"/>
    <w:rsid w:val="00427AF4"/>
    <w:rsid w:val="004647DA"/>
    <w:rsid w:val="00474062"/>
    <w:rsid w:val="00477D6B"/>
    <w:rsid w:val="005019FF"/>
    <w:rsid w:val="005105D1"/>
    <w:rsid w:val="00511402"/>
    <w:rsid w:val="0052387F"/>
    <w:rsid w:val="0053057A"/>
    <w:rsid w:val="00560A29"/>
    <w:rsid w:val="00584526"/>
    <w:rsid w:val="005C6649"/>
    <w:rsid w:val="005E2268"/>
    <w:rsid w:val="00605827"/>
    <w:rsid w:val="006149E4"/>
    <w:rsid w:val="0064031D"/>
    <w:rsid w:val="00646050"/>
    <w:rsid w:val="006649EE"/>
    <w:rsid w:val="00665A1D"/>
    <w:rsid w:val="006704BC"/>
    <w:rsid w:val="006713CA"/>
    <w:rsid w:val="00676C5C"/>
    <w:rsid w:val="006822E0"/>
    <w:rsid w:val="00734073"/>
    <w:rsid w:val="00754799"/>
    <w:rsid w:val="007C5858"/>
    <w:rsid w:val="007D1613"/>
    <w:rsid w:val="007E4C0E"/>
    <w:rsid w:val="00811F08"/>
    <w:rsid w:val="008235E5"/>
    <w:rsid w:val="00856822"/>
    <w:rsid w:val="00875575"/>
    <w:rsid w:val="008812AC"/>
    <w:rsid w:val="008B2CC1"/>
    <w:rsid w:val="008B60B2"/>
    <w:rsid w:val="008C3038"/>
    <w:rsid w:val="0090731E"/>
    <w:rsid w:val="00916EE2"/>
    <w:rsid w:val="00940EB3"/>
    <w:rsid w:val="00966A22"/>
    <w:rsid w:val="0096722F"/>
    <w:rsid w:val="00980843"/>
    <w:rsid w:val="009A3BB1"/>
    <w:rsid w:val="009B7420"/>
    <w:rsid w:val="009E2791"/>
    <w:rsid w:val="009E3F6F"/>
    <w:rsid w:val="009F499F"/>
    <w:rsid w:val="00A06FA0"/>
    <w:rsid w:val="00A42DAF"/>
    <w:rsid w:val="00A45BD8"/>
    <w:rsid w:val="00A62B55"/>
    <w:rsid w:val="00A869B7"/>
    <w:rsid w:val="00AC205C"/>
    <w:rsid w:val="00AC4C27"/>
    <w:rsid w:val="00AF0A6B"/>
    <w:rsid w:val="00B05A69"/>
    <w:rsid w:val="00B23109"/>
    <w:rsid w:val="00B3656B"/>
    <w:rsid w:val="00B365F3"/>
    <w:rsid w:val="00B7683C"/>
    <w:rsid w:val="00B9734B"/>
    <w:rsid w:val="00BA30E2"/>
    <w:rsid w:val="00BA356B"/>
    <w:rsid w:val="00BD078D"/>
    <w:rsid w:val="00BD2D76"/>
    <w:rsid w:val="00C11BFE"/>
    <w:rsid w:val="00C307C3"/>
    <w:rsid w:val="00C30D02"/>
    <w:rsid w:val="00C323D1"/>
    <w:rsid w:val="00C3633A"/>
    <w:rsid w:val="00C5068F"/>
    <w:rsid w:val="00CD04F1"/>
    <w:rsid w:val="00CE044E"/>
    <w:rsid w:val="00CE40E6"/>
    <w:rsid w:val="00D45252"/>
    <w:rsid w:val="00D46AF9"/>
    <w:rsid w:val="00D71B4D"/>
    <w:rsid w:val="00D866DC"/>
    <w:rsid w:val="00D93D55"/>
    <w:rsid w:val="00D9733B"/>
    <w:rsid w:val="00DA2DE7"/>
    <w:rsid w:val="00DD1399"/>
    <w:rsid w:val="00E06043"/>
    <w:rsid w:val="00E07079"/>
    <w:rsid w:val="00E15015"/>
    <w:rsid w:val="00E335FE"/>
    <w:rsid w:val="00E418B8"/>
    <w:rsid w:val="00E62011"/>
    <w:rsid w:val="00EC4E49"/>
    <w:rsid w:val="00ED77FB"/>
    <w:rsid w:val="00EE45FA"/>
    <w:rsid w:val="00F115AD"/>
    <w:rsid w:val="00F20390"/>
    <w:rsid w:val="00F20845"/>
    <w:rsid w:val="00F31429"/>
    <w:rsid w:val="00F66152"/>
    <w:rsid w:val="00F83723"/>
    <w:rsid w:val="00F935C3"/>
    <w:rsid w:val="00FD7D6A"/>
    <w:rsid w:val="00FF448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C5858"/>
    <w:pPr>
      <w:keepNext/>
      <w:spacing w:before="240"/>
      <w:outlineLvl w:val="0"/>
    </w:pPr>
    <w:rPr>
      <w:b/>
      <w:bCs/>
      <w:caps/>
      <w:color w:val="000000"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0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079"/>
    <w:rPr>
      <w:rFonts w:ascii="Tahoma" w:eastAsia="SimSun" w:hAnsi="Tahoma" w:cs="Tahoma"/>
      <w:sz w:val="16"/>
      <w:szCs w:val="16"/>
      <w:lang w:eastAsia="zh-CN"/>
    </w:rPr>
  </w:style>
  <w:style w:type="paragraph" w:customStyle="1" w:styleId="Leg1">
    <w:name w:val="Leg (1)"/>
    <w:basedOn w:val="Normal"/>
    <w:rsid w:val="009A3BB1"/>
    <w:pPr>
      <w:tabs>
        <w:tab w:val="left" w:pos="397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1a">
    <w:name w:val="Leg (1)(a)"/>
    <w:basedOn w:val="Normal"/>
    <w:rsid w:val="009A3BB1"/>
    <w:pPr>
      <w:tabs>
        <w:tab w:val="left" w:pos="709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a">
    <w:name w:val="Leg (a)"/>
    <w:basedOn w:val="Normal"/>
    <w:rsid w:val="009A3BB1"/>
    <w:pPr>
      <w:tabs>
        <w:tab w:val="left" w:pos="454"/>
      </w:tabs>
      <w:spacing w:before="119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i">
    <w:name w:val="Leg (i)"/>
    <w:basedOn w:val="Normal"/>
    <w:rsid w:val="009A3BB1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A356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8812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812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12A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812AC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D46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C5858"/>
    <w:pPr>
      <w:keepNext/>
      <w:spacing w:before="240"/>
      <w:outlineLvl w:val="0"/>
    </w:pPr>
    <w:rPr>
      <w:b/>
      <w:bCs/>
      <w:caps/>
      <w:color w:val="000000"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0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079"/>
    <w:rPr>
      <w:rFonts w:ascii="Tahoma" w:eastAsia="SimSun" w:hAnsi="Tahoma" w:cs="Tahoma"/>
      <w:sz w:val="16"/>
      <w:szCs w:val="16"/>
      <w:lang w:eastAsia="zh-CN"/>
    </w:rPr>
  </w:style>
  <w:style w:type="paragraph" w:customStyle="1" w:styleId="Leg1">
    <w:name w:val="Leg (1)"/>
    <w:basedOn w:val="Normal"/>
    <w:rsid w:val="009A3BB1"/>
    <w:pPr>
      <w:tabs>
        <w:tab w:val="left" w:pos="397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1a">
    <w:name w:val="Leg (1)(a)"/>
    <w:basedOn w:val="Normal"/>
    <w:rsid w:val="009A3BB1"/>
    <w:pPr>
      <w:tabs>
        <w:tab w:val="left" w:pos="709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a">
    <w:name w:val="Leg (a)"/>
    <w:basedOn w:val="Normal"/>
    <w:rsid w:val="009A3BB1"/>
    <w:pPr>
      <w:tabs>
        <w:tab w:val="left" w:pos="454"/>
      </w:tabs>
      <w:spacing w:before="119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i">
    <w:name w:val="Leg (i)"/>
    <w:basedOn w:val="Normal"/>
    <w:rsid w:val="009A3BB1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A356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8812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812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12A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812AC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D46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7E10-D8AA-4AAA-831D-D56A6290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1</TotalTime>
  <Pages>6</Pages>
  <Words>2145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</vt:lpstr>
    </vt:vector>
  </TitlesOfParts>
  <Company>WIPO</Company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</dc:title>
  <dc:subject>Process and Requirements of Appointment and Extension of Appointment</dc:subject>
  <dc:creator>RICHARDSON Michael</dc:creator>
  <cp:keywords>DB/ko</cp:keywords>
  <cp:lastModifiedBy>MARLOW Thomas</cp:lastModifiedBy>
  <cp:revision>3</cp:revision>
  <cp:lastPrinted>2017-03-06T14:50:00Z</cp:lastPrinted>
  <dcterms:created xsi:type="dcterms:W3CDTF">2017-03-07T10:43:00Z</dcterms:created>
  <dcterms:modified xsi:type="dcterms:W3CDTF">2017-03-07T10:44:00Z</dcterms:modified>
</cp:coreProperties>
</file>