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1060" w:rsidRPr="00EC1060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EC1060" w:rsidRDefault="00E0091A" w:rsidP="00EC1060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EC1060" w:rsidRDefault="00576B58" w:rsidP="00EC1060">
            <w:pPr>
              <w:rPr>
                <w:lang w:val="fr-FR"/>
              </w:rPr>
            </w:pPr>
            <w:r w:rsidRPr="00EC1060">
              <w:rPr>
                <w:noProof/>
                <w:lang w:val="en-US" w:eastAsia="en-US"/>
              </w:rPr>
              <w:drawing>
                <wp:inline distT="0" distB="0" distL="0" distR="0" wp14:anchorId="546AE62F" wp14:editId="240D77B6">
                  <wp:extent cx="1855470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EC1060" w:rsidRDefault="00E0091A" w:rsidP="00EC1060">
            <w:pPr>
              <w:jc w:val="right"/>
              <w:rPr>
                <w:lang w:val="fr-FR"/>
              </w:rPr>
            </w:pPr>
            <w:r w:rsidRPr="00EC1060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EC1060" w:rsidRPr="00EC1060" w:rsidTr="00541348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EC1060" w:rsidRDefault="00576B58" w:rsidP="00EC106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C1060">
              <w:rPr>
                <w:rFonts w:ascii="Arial Black" w:hAnsi="Arial Black"/>
                <w:caps/>
                <w:sz w:val="15"/>
                <w:lang w:val="fr-FR"/>
              </w:rPr>
              <w:t>PCT/WG/10/</w:t>
            </w:r>
            <w:bookmarkStart w:id="1" w:name="Code"/>
            <w:bookmarkEnd w:id="1"/>
            <w:r w:rsidR="0059134D" w:rsidRPr="00EC1060">
              <w:rPr>
                <w:rFonts w:ascii="Arial Black" w:hAnsi="Arial Black"/>
                <w:caps/>
                <w:sz w:val="15"/>
                <w:lang w:val="fr-FR"/>
              </w:rPr>
              <w:t>14</w:t>
            </w:r>
            <w:r w:rsidR="00011B7D" w:rsidRPr="00EC1060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EC1060" w:rsidRPr="00EC1060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EC1060" w:rsidRDefault="008B2CC1" w:rsidP="00EC106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C1060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2E21C9" w:rsidRPr="00EC1060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EC1060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="0059134D" w:rsidRPr="00EC1060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8B2CC1" w:rsidRPr="00EC1060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EC1060" w:rsidRDefault="008B2CC1" w:rsidP="00EC106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C1060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2E21C9" w:rsidRPr="00EC1060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EC1060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="0059134D" w:rsidRPr="00EC1060">
              <w:rPr>
                <w:rFonts w:ascii="Arial Black" w:hAnsi="Arial Black"/>
                <w:caps/>
                <w:sz w:val="15"/>
                <w:lang w:val="fr-FR"/>
              </w:rPr>
              <w:t>4 avril 2017</w:t>
            </w:r>
          </w:p>
        </w:tc>
      </w:tr>
    </w:tbl>
    <w:p w:rsidR="008B2CC1" w:rsidRPr="00EC1060" w:rsidRDefault="008B2CC1" w:rsidP="00EC1060">
      <w:pPr>
        <w:rPr>
          <w:lang w:val="fr-FR"/>
        </w:rPr>
      </w:pPr>
    </w:p>
    <w:p w:rsidR="008B2CC1" w:rsidRPr="00EC1060" w:rsidRDefault="008B2CC1" w:rsidP="00EC1060">
      <w:pPr>
        <w:rPr>
          <w:lang w:val="fr-FR"/>
        </w:rPr>
      </w:pPr>
    </w:p>
    <w:p w:rsidR="008B2CC1" w:rsidRPr="00EC1060" w:rsidRDefault="008B2CC1" w:rsidP="00EC1060">
      <w:pPr>
        <w:rPr>
          <w:lang w:val="fr-FR"/>
        </w:rPr>
      </w:pPr>
    </w:p>
    <w:p w:rsidR="008B2CC1" w:rsidRPr="00EC1060" w:rsidRDefault="008B2CC1" w:rsidP="00EC1060">
      <w:pPr>
        <w:rPr>
          <w:lang w:val="fr-FR"/>
        </w:rPr>
      </w:pPr>
    </w:p>
    <w:p w:rsidR="008B2CC1" w:rsidRPr="00EC1060" w:rsidRDefault="008B2CC1" w:rsidP="00EC1060">
      <w:pPr>
        <w:rPr>
          <w:lang w:val="fr-FR"/>
        </w:rPr>
      </w:pPr>
    </w:p>
    <w:p w:rsidR="008B2CC1" w:rsidRPr="00EC1060" w:rsidRDefault="00576B58" w:rsidP="00EC1060">
      <w:pPr>
        <w:rPr>
          <w:b/>
          <w:sz w:val="28"/>
          <w:szCs w:val="28"/>
          <w:lang w:val="fr-FR"/>
        </w:rPr>
      </w:pPr>
      <w:r w:rsidRPr="00EC1060">
        <w:rPr>
          <w:b/>
          <w:sz w:val="28"/>
          <w:szCs w:val="28"/>
          <w:lang w:val="fr-FR"/>
        </w:rPr>
        <w:t>Groupe de travail du Traité de coopération en matière de brevets (PCT)</w:t>
      </w:r>
    </w:p>
    <w:p w:rsidR="003845C1" w:rsidRPr="00EC1060" w:rsidRDefault="003845C1" w:rsidP="00EC1060">
      <w:pPr>
        <w:rPr>
          <w:lang w:val="fr-FR"/>
        </w:rPr>
      </w:pPr>
    </w:p>
    <w:p w:rsidR="003845C1" w:rsidRPr="00EC1060" w:rsidRDefault="003845C1" w:rsidP="00EC1060">
      <w:pPr>
        <w:rPr>
          <w:lang w:val="fr-FR"/>
        </w:rPr>
      </w:pPr>
    </w:p>
    <w:p w:rsidR="008B2CC1" w:rsidRPr="00EC1060" w:rsidRDefault="00576B58" w:rsidP="00EC1060">
      <w:pPr>
        <w:rPr>
          <w:b/>
          <w:sz w:val="24"/>
          <w:szCs w:val="24"/>
          <w:lang w:val="fr-FR"/>
        </w:rPr>
      </w:pPr>
      <w:r w:rsidRPr="00EC1060">
        <w:rPr>
          <w:b/>
          <w:sz w:val="24"/>
          <w:szCs w:val="24"/>
          <w:lang w:val="fr-FR"/>
        </w:rPr>
        <w:t>Dix</w:t>
      </w:r>
      <w:r w:rsidR="002E21C9" w:rsidRPr="00EC1060">
        <w:rPr>
          <w:b/>
          <w:sz w:val="24"/>
          <w:szCs w:val="24"/>
          <w:lang w:val="fr-FR"/>
        </w:rPr>
        <w:t>ième session</w:t>
      </w:r>
    </w:p>
    <w:p w:rsidR="008B2CC1" w:rsidRPr="00EC1060" w:rsidRDefault="00576B58" w:rsidP="00EC1060">
      <w:pPr>
        <w:rPr>
          <w:b/>
          <w:sz w:val="24"/>
          <w:szCs w:val="24"/>
          <w:lang w:val="fr-FR"/>
        </w:rPr>
      </w:pPr>
      <w:r w:rsidRPr="00EC1060">
        <w:rPr>
          <w:b/>
          <w:sz w:val="24"/>
          <w:szCs w:val="24"/>
          <w:lang w:val="fr-FR"/>
        </w:rPr>
        <w:t>Genève, 8 – 1</w:t>
      </w:r>
      <w:r w:rsidR="002E21C9" w:rsidRPr="00EC1060">
        <w:rPr>
          <w:b/>
          <w:sz w:val="24"/>
          <w:szCs w:val="24"/>
          <w:lang w:val="fr-FR"/>
        </w:rPr>
        <w:t>2 mai 20</w:t>
      </w:r>
      <w:r w:rsidRPr="00EC1060">
        <w:rPr>
          <w:b/>
          <w:sz w:val="24"/>
          <w:szCs w:val="24"/>
          <w:lang w:val="fr-FR"/>
        </w:rPr>
        <w:t>17</w:t>
      </w:r>
    </w:p>
    <w:p w:rsidR="008B2CC1" w:rsidRPr="00EC1060" w:rsidRDefault="008B2CC1" w:rsidP="00EC1060">
      <w:pPr>
        <w:rPr>
          <w:lang w:val="fr-FR"/>
        </w:rPr>
      </w:pPr>
    </w:p>
    <w:p w:rsidR="008B2CC1" w:rsidRPr="00EC1060" w:rsidRDefault="008B2CC1" w:rsidP="00EC1060">
      <w:pPr>
        <w:rPr>
          <w:lang w:val="fr-FR"/>
        </w:rPr>
      </w:pPr>
    </w:p>
    <w:p w:rsidR="008B2CC1" w:rsidRPr="00EC1060" w:rsidRDefault="008B2CC1" w:rsidP="00EC1060">
      <w:pPr>
        <w:rPr>
          <w:lang w:val="fr-FR"/>
        </w:rPr>
      </w:pPr>
    </w:p>
    <w:p w:rsidR="002E21C9" w:rsidRPr="00EC1060" w:rsidRDefault="0059134D" w:rsidP="00EC1060">
      <w:pPr>
        <w:rPr>
          <w:caps/>
          <w:sz w:val="24"/>
          <w:lang w:val="fr-FR"/>
        </w:rPr>
      </w:pPr>
      <w:bookmarkStart w:id="4" w:name="TitleOfDoc"/>
      <w:bookmarkEnd w:id="4"/>
      <w:r w:rsidRPr="00EC1060">
        <w:rPr>
          <w:caps/>
          <w:sz w:val="24"/>
          <w:lang w:val="fr-FR"/>
        </w:rPr>
        <w:t>E</w:t>
      </w:r>
      <w:r w:rsidR="002E21C9" w:rsidRPr="00EC1060">
        <w:rPr>
          <w:caps/>
          <w:sz w:val="24"/>
          <w:lang w:val="fr-FR"/>
        </w:rPr>
        <w:t>nvoi</w:t>
      </w:r>
      <w:r w:rsidRPr="00EC1060">
        <w:rPr>
          <w:caps/>
          <w:sz w:val="24"/>
          <w:lang w:val="fr-FR"/>
        </w:rPr>
        <w:t xml:space="preserve"> d</w:t>
      </w:r>
      <w:r w:rsidR="002E21C9" w:rsidRPr="00EC1060">
        <w:rPr>
          <w:caps/>
          <w:sz w:val="24"/>
          <w:lang w:val="fr-FR"/>
        </w:rPr>
        <w:t>’</w:t>
      </w:r>
      <w:r w:rsidRPr="00EC1060">
        <w:rPr>
          <w:caps/>
          <w:sz w:val="24"/>
          <w:lang w:val="fr-FR"/>
        </w:rPr>
        <w:t>un avis provisoire accompa</w:t>
      </w:r>
      <w:r w:rsidR="000B51EF" w:rsidRPr="00EC1060">
        <w:rPr>
          <w:caps/>
          <w:sz w:val="24"/>
          <w:lang w:val="fr-FR"/>
        </w:rPr>
        <w:t>gnant les résultats partiels de </w:t>
      </w:r>
      <w:r w:rsidRPr="00EC1060">
        <w:rPr>
          <w:caps/>
          <w:sz w:val="24"/>
          <w:lang w:val="fr-FR"/>
        </w:rPr>
        <w:t>recherche</w:t>
      </w:r>
    </w:p>
    <w:p w:rsidR="0059134D" w:rsidRPr="00EC1060" w:rsidRDefault="0059134D" w:rsidP="00EC1060">
      <w:pPr>
        <w:rPr>
          <w:lang w:val="fr-FR"/>
        </w:rPr>
      </w:pPr>
    </w:p>
    <w:p w:rsidR="0059134D" w:rsidRPr="00EC1060" w:rsidRDefault="0059134D" w:rsidP="00EC1060">
      <w:pPr>
        <w:rPr>
          <w:i/>
          <w:lang w:val="fr-FR"/>
        </w:rPr>
      </w:pPr>
      <w:bookmarkStart w:id="5" w:name="Prepared"/>
      <w:bookmarkEnd w:id="5"/>
      <w:r w:rsidRPr="00EC1060">
        <w:rPr>
          <w:i/>
          <w:lang w:val="fr-FR"/>
        </w:rPr>
        <w:t>Document établi par l</w:t>
      </w:r>
      <w:r w:rsidR="002E21C9" w:rsidRPr="00EC1060">
        <w:rPr>
          <w:i/>
          <w:lang w:val="fr-FR"/>
        </w:rPr>
        <w:t>’</w:t>
      </w:r>
      <w:r w:rsidRPr="00EC1060">
        <w:rPr>
          <w:i/>
          <w:lang w:val="fr-FR"/>
        </w:rPr>
        <w:t>Office européen des brevets</w:t>
      </w:r>
    </w:p>
    <w:p w:rsidR="0059134D" w:rsidRPr="00EC1060" w:rsidRDefault="0059134D" w:rsidP="00EC1060">
      <w:pPr>
        <w:rPr>
          <w:lang w:val="fr-FR"/>
        </w:rPr>
      </w:pPr>
    </w:p>
    <w:p w:rsidR="0059134D" w:rsidRPr="00EC1060" w:rsidRDefault="0059134D" w:rsidP="00EC1060">
      <w:pPr>
        <w:rPr>
          <w:lang w:val="fr-FR"/>
        </w:rPr>
      </w:pPr>
    </w:p>
    <w:p w:rsidR="0059134D" w:rsidRPr="00EC1060" w:rsidRDefault="0059134D" w:rsidP="00EC1060">
      <w:pPr>
        <w:rPr>
          <w:lang w:val="fr-FR"/>
        </w:rPr>
      </w:pPr>
    </w:p>
    <w:p w:rsidR="0059134D" w:rsidRPr="00EC1060" w:rsidRDefault="0059134D" w:rsidP="00EC1060">
      <w:pPr>
        <w:pStyle w:val="Heading1"/>
        <w:rPr>
          <w:lang w:val="fr-FR"/>
        </w:rPr>
      </w:pPr>
      <w:r w:rsidRPr="00EC1060">
        <w:rPr>
          <w:lang w:val="fr-FR"/>
        </w:rPr>
        <w:t>Résumé</w:t>
      </w:r>
    </w:p>
    <w:p w:rsidR="002E21C9" w:rsidRPr="00EC1060" w:rsidRDefault="002E21C9" w:rsidP="00EC1060">
      <w:pPr>
        <w:rPr>
          <w:lang w:val="fr-FR"/>
        </w:rPr>
      </w:pPr>
    </w:p>
    <w:p w:rsidR="0059134D" w:rsidRPr="00EC1060" w:rsidRDefault="0059134D" w:rsidP="00EC1060">
      <w:pPr>
        <w:pStyle w:val="ONUMFS"/>
        <w:rPr>
          <w:lang w:val="fr-FR"/>
        </w:rPr>
      </w:pPr>
      <w:r w:rsidRPr="00EC1060">
        <w:rPr>
          <w:lang w:val="fr-FR"/>
        </w:rPr>
        <w:t>Le présent document décrit un nouveau service de l</w:t>
      </w:r>
      <w:r w:rsidR="002E21C9" w:rsidRPr="00EC1060">
        <w:rPr>
          <w:lang w:val="fr-FR"/>
        </w:rPr>
        <w:t>’</w:t>
      </w:r>
      <w:r w:rsidRPr="00EC1060">
        <w:rPr>
          <w:lang w:val="fr-FR"/>
        </w:rPr>
        <w:t>Office européen des brevets, lancé le</w:t>
      </w:r>
      <w:r w:rsidR="002E21C9" w:rsidRPr="00EC1060">
        <w:rPr>
          <w:lang w:val="fr-FR"/>
        </w:rPr>
        <w:t xml:space="preserve"> 1</w:t>
      </w:r>
      <w:r w:rsidR="002E21C9" w:rsidRPr="00EC1060">
        <w:rPr>
          <w:vertAlign w:val="superscript"/>
          <w:lang w:val="fr-FR"/>
        </w:rPr>
        <w:t>er</w:t>
      </w:r>
      <w:r w:rsidR="002E21C9" w:rsidRPr="00EC1060">
        <w:rPr>
          <w:lang w:val="fr-FR"/>
        </w:rPr>
        <w:t> avril 20</w:t>
      </w:r>
      <w:r w:rsidRPr="00EC1060">
        <w:rPr>
          <w:lang w:val="fr-FR"/>
        </w:rPr>
        <w:t>17.  En cas d</w:t>
      </w:r>
      <w:r w:rsidR="002E21C9" w:rsidRPr="00EC1060">
        <w:rPr>
          <w:lang w:val="fr-FR"/>
        </w:rPr>
        <w:t>’</w:t>
      </w:r>
      <w:r w:rsidRPr="00EC1060">
        <w:rPr>
          <w:lang w:val="fr-FR"/>
        </w:rPr>
        <w:t>absence d</w:t>
      </w:r>
      <w:r w:rsidR="002E21C9" w:rsidRPr="00EC1060">
        <w:rPr>
          <w:lang w:val="fr-FR"/>
        </w:rPr>
        <w:t>’</w:t>
      </w:r>
      <w:r w:rsidRPr="00EC1060">
        <w:rPr>
          <w:lang w:val="fr-FR"/>
        </w:rPr>
        <w:t>unité de l</w:t>
      </w:r>
      <w:r w:rsidR="002E21C9" w:rsidRPr="00EC1060">
        <w:rPr>
          <w:lang w:val="fr-FR"/>
        </w:rPr>
        <w:t>’</w:t>
      </w:r>
      <w:r w:rsidRPr="00EC1060">
        <w:rPr>
          <w:lang w:val="fr-FR"/>
        </w:rPr>
        <w:t>invention, en même temps qu</w:t>
      </w:r>
      <w:r w:rsidR="002E21C9" w:rsidRPr="00EC1060">
        <w:rPr>
          <w:lang w:val="fr-FR"/>
        </w:rPr>
        <w:t>’</w:t>
      </w:r>
      <w:r w:rsidRPr="00EC1060">
        <w:rPr>
          <w:lang w:val="fr-FR"/>
        </w:rPr>
        <w:t>il établira le rapport de recherche internationale sur l</w:t>
      </w:r>
      <w:r w:rsidR="002E21C9" w:rsidRPr="00EC1060">
        <w:rPr>
          <w:lang w:val="fr-FR"/>
        </w:rPr>
        <w:t>’</w:t>
      </w:r>
      <w:r w:rsidRPr="00EC1060">
        <w:rPr>
          <w:lang w:val="fr-FR"/>
        </w:rPr>
        <w:t>invention mentionnée en premier lieu dans les revendications, l</w:t>
      </w:r>
      <w:r w:rsidR="002E21C9" w:rsidRPr="00EC1060">
        <w:rPr>
          <w:lang w:val="fr-FR"/>
        </w:rPr>
        <w:t>’</w:t>
      </w:r>
      <w:r w:rsidRPr="00EC1060">
        <w:rPr>
          <w:lang w:val="fr-FR"/>
        </w:rPr>
        <w:t>OEB donnera un avis provisoire sur la brevetabilité de cette invention.</w:t>
      </w:r>
    </w:p>
    <w:p w:rsidR="0059134D" w:rsidRPr="00EC1060" w:rsidRDefault="0059134D" w:rsidP="00EC1060">
      <w:pPr>
        <w:pStyle w:val="Heading1"/>
        <w:rPr>
          <w:lang w:val="fr-FR"/>
        </w:rPr>
      </w:pPr>
      <w:r w:rsidRPr="00EC1060">
        <w:rPr>
          <w:lang w:val="fr-FR"/>
        </w:rPr>
        <w:t>Nouveau service de l</w:t>
      </w:r>
      <w:r w:rsidR="002E21C9" w:rsidRPr="00EC1060">
        <w:rPr>
          <w:lang w:val="fr-FR"/>
        </w:rPr>
        <w:t>’</w:t>
      </w:r>
      <w:r w:rsidRPr="00EC1060">
        <w:rPr>
          <w:lang w:val="fr-FR"/>
        </w:rPr>
        <w:t>Office européen des brevets</w:t>
      </w:r>
    </w:p>
    <w:p w:rsidR="002E21C9" w:rsidRPr="00EC1060" w:rsidRDefault="002E21C9" w:rsidP="00EC1060">
      <w:pPr>
        <w:rPr>
          <w:lang w:val="fr-FR"/>
        </w:rPr>
      </w:pPr>
    </w:p>
    <w:p w:rsidR="002E21C9" w:rsidRPr="00EC1060" w:rsidRDefault="0059134D" w:rsidP="00EC1060">
      <w:pPr>
        <w:pStyle w:val="ONUMFS"/>
        <w:rPr>
          <w:lang w:val="fr-FR"/>
        </w:rPr>
      </w:pPr>
      <w:r w:rsidRPr="00EC1060">
        <w:rPr>
          <w:lang w:val="fr-FR"/>
        </w:rPr>
        <w:t>Le</w:t>
      </w:r>
      <w:r w:rsidR="002E21C9" w:rsidRPr="00EC1060">
        <w:rPr>
          <w:lang w:val="fr-FR"/>
        </w:rPr>
        <w:t xml:space="preserve"> 1</w:t>
      </w:r>
      <w:r w:rsidR="002E21C9" w:rsidRPr="00EC1060">
        <w:rPr>
          <w:vertAlign w:val="superscript"/>
          <w:lang w:val="fr-FR"/>
        </w:rPr>
        <w:t>er</w:t>
      </w:r>
      <w:r w:rsidR="002E21C9" w:rsidRPr="00EC1060">
        <w:rPr>
          <w:lang w:val="fr-FR"/>
        </w:rPr>
        <w:t> avril 20</w:t>
      </w:r>
      <w:r w:rsidRPr="00EC1060">
        <w:rPr>
          <w:lang w:val="fr-FR"/>
        </w:rPr>
        <w:t>17, l</w:t>
      </w:r>
      <w:r w:rsidR="002E21C9" w:rsidRPr="00EC1060">
        <w:rPr>
          <w:lang w:val="fr-FR"/>
        </w:rPr>
        <w:t>’</w:t>
      </w:r>
      <w:r w:rsidRPr="00EC1060">
        <w:rPr>
          <w:lang w:val="fr-FR"/>
        </w:rPr>
        <w:t>Office européen des brevets (OEB), en sa qualité d</w:t>
      </w:r>
      <w:r w:rsidR="002E21C9" w:rsidRPr="00EC1060">
        <w:rPr>
          <w:lang w:val="fr-FR"/>
        </w:rPr>
        <w:t>’</w:t>
      </w:r>
      <w:r w:rsidRPr="00EC1060">
        <w:rPr>
          <w:lang w:val="fr-FR"/>
        </w:rPr>
        <w:t>administration chargée de la recherche internationale, a lancé un nouveau service destiné à améliorer la qualité de ses produits de recherche et la transparence de ses procédures (</w:t>
      </w:r>
      <w:r w:rsidR="000B51EF" w:rsidRPr="00EC1060">
        <w:rPr>
          <w:lang w:val="fr-FR"/>
        </w:rPr>
        <w:t>c</w:t>
      </w:r>
      <w:r w:rsidRPr="00EC1060">
        <w:rPr>
          <w:lang w:val="fr-FR"/>
        </w:rPr>
        <w:t>ommuniqué de l</w:t>
      </w:r>
      <w:r w:rsidR="002E21C9" w:rsidRPr="00EC1060">
        <w:rPr>
          <w:lang w:val="fr-FR"/>
        </w:rPr>
        <w:t>’</w:t>
      </w:r>
      <w:r w:rsidRPr="00EC1060">
        <w:rPr>
          <w:lang w:val="fr-FR"/>
        </w:rPr>
        <w:t xml:space="preserve">Office européen des brevets, daté du </w:t>
      </w:r>
      <w:r w:rsidR="002E21C9" w:rsidRPr="00EC1060">
        <w:rPr>
          <w:lang w:val="fr-FR"/>
        </w:rPr>
        <w:t>3 mars 20</w:t>
      </w:r>
      <w:r w:rsidRPr="00EC1060">
        <w:rPr>
          <w:lang w:val="fr-FR"/>
        </w:rPr>
        <w:t>17, concernant l</w:t>
      </w:r>
      <w:r w:rsidR="002E21C9" w:rsidRPr="00EC1060">
        <w:rPr>
          <w:lang w:val="fr-FR"/>
        </w:rPr>
        <w:t>’</w:t>
      </w:r>
      <w:r w:rsidRPr="00EC1060">
        <w:rPr>
          <w:lang w:val="fr-FR"/>
        </w:rPr>
        <w:t>envoi d</w:t>
      </w:r>
      <w:r w:rsidR="002E21C9" w:rsidRPr="00EC1060">
        <w:rPr>
          <w:lang w:val="fr-FR"/>
        </w:rPr>
        <w:t>’</w:t>
      </w:r>
      <w:r w:rsidRPr="00EC1060">
        <w:rPr>
          <w:lang w:val="fr-FR"/>
        </w:rPr>
        <w:t>un avis provisoire accompagnant les résultats partiels de recherche, JO</w:t>
      </w:r>
      <w:r w:rsidR="000B51EF" w:rsidRPr="00EC1060">
        <w:rPr>
          <w:lang w:val="fr-FR"/>
        </w:rPr>
        <w:t> </w:t>
      </w:r>
      <w:r w:rsidRPr="00EC1060">
        <w:rPr>
          <w:lang w:val="fr-FR"/>
        </w:rPr>
        <w:t>OEB</w:t>
      </w:r>
      <w:r w:rsidR="000B51EF" w:rsidRPr="00EC1060">
        <w:rPr>
          <w:lang w:val="fr-FR"/>
        </w:rPr>
        <w:t> </w:t>
      </w:r>
      <w:r w:rsidRPr="00EC1060">
        <w:rPr>
          <w:lang w:val="fr-FR"/>
        </w:rPr>
        <w:t>2017, A20).  À compter de la date indiquée, en cas d</w:t>
      </w:r>
      <w:r w:rsidR="002E21C9" w:rsidRPr="00EC1060">
        <w:rPr>
          <w:lang w:val="fr-FR"/>
        </w:rPr>
        <w:t>’</w:t>
      </w:r>
      <w:r w:rsidRPr="00EC1060">
        <w:rPr>
          <w:lang w:val="fr-FR"/>
        </w:rPr>
        <w:t>absence d</w:t>
      </w:r>
      <w:r w:rsidR="002E21C9" w:rsidRPr="00EC1060">
        <w:rPr>
          <w:lang w:val="fr-FR"/>
        </w:rPr>
        <w:t>’</w:t>
      </w:r>
      <w:r w:rsidRPr="00EC1060">
        <w:rPr>
          <w:lang w:val="fr-FR"/>
        </w:rPr>
        <w:t>unité de l</w:t>
      </w:r>
      <w:r w:rsidR="002E21C9" w:rsidRPr="00EC1060">
        <w:rPr>
          <w:lang w:val="fr-FR"/>
        </w:rPr>
        <w:t>’</w:t>
      </w:r>
      <w:r w:rsidRPr="00EC1060">
        <w:rPr>
          <w:lang w:val="fr-FR"/>
        </w:rPr>
        <w:t>invention, l</w:t>
      </w:r>
      <w:r w:rsidR="002E21C9" w:rsidRPr="00EC1060">
        <w:rPr>
          <w:lang w:val="fr-FR"/>
        </w:rPr>
        <w:t>’</w:t>
      </w:r>
      <w:r w:rsidRPr="00EC1060">
        <w:rPr>
          <w:lang w:val="fr-FR"/>
        </w:rPr>
        <w:t>OEB adressera aux déposants non seulement un rapport de recherche internationale partiel concernant l</w:t>
      </w:r>
      <w:r w:rsidR="002E21C9" w:rsidRPr="00EC1060">
        <w:rPr>
          <w:lang w:val="fr-FR"/>
        </w:rPr>
        <w:t>’</w:t>
      </w:r>
      <w:r w:rsidRPr="00EC1060">
        <w:rPr>
          <w:lang w:val="fr-FR"/>
        </w:rPr>
        <w:t>invention mentionnée en premier lieu dans les revendications, mais aussi un avis provisoire sur la brevetabilité de cette inventi</w:t>
      </w:r>
      <w:r w:rsidR="00F517BB" w:rsidRPr="00EC1060">
        <w:rPr>
          <w:lang w:val="fr-FR"/>
        </w:rPr>
        <w:t>on.  L’é</w:t>
      </w:r>
      <w:r w:rsidRPr="00EC1060">
        <w:rPr>
          <w:lang w:val="fr-FR"/>
        </w:rPr>
        <w:t>valuation provisoire de la brevetabilité de la première invention constitue une base utile pour les déposants qui doivent, à ce stade de la procédure, prendre des décisions stratégiques concernant l</w:t>
      </w:r>
      <w:r w:rsidR="002E21C9" w:rsidRPr="00EC1060">
        <w:rPr>
          <w:lang w:val="fr-FR"/>
        </w:rPr>
        <w:t>’</w:t>
      </w:r>
      <w:r w:rsidRPr="00EC1060">
        <w:rPr>
          <w:lang w:val="fr-FR"/>
        </w:rPr>
        <w:t>avenir de la demande de brevet, par exemple celle de payer ou non des taxes de recherche additionnelles.</w:t>
      </w:r>
    </w:p>
    <w:p w:rsidR="0059134D" w:rsidRPr="00EC1060" w:rsidRDefault="0059134D" w:rsidP="00EC1060">
      <w:pPr>
        <w:pStyle w:val="ONUMFS"/>
        <w:rPr>
          <w:lang w:val="fr-FR"/>
        </w:rPr>
      </w:pPr>
      <w:r w:rsidRPr="00EC1060">
        <w:rPr>
          <w:lang w:val="fr-FR"/>
        </w:rPr>
        <w:lastRenderedPageBreak/>
        <w:t>La mise en place de ce nouveau service s</w:t>
      </w:r>
      <w:r w:rsidR="002E21C9" w:rsidRPr="00EC1060">
        <w:rPr>
          <w:lang w:val="fr-FR"/>
        </w:rPr>
        <w:t>’</w:t>
      </w:r>
      <w:r w:rsidRPr="00EC1060">
        <w:rPr>
          <w:lang w:val="fr-FR"/>
        </w:rPr>
        <w:t>inscrit dans la lignée des efforts continus entrepris par l</w:t>
      </w:r>
      <w:r w:rsidR="002E21C9" w:rsidRPr="00EC1060">
        <w:rPr>
          <w:lang w:val="fr-FR"/>
        </w:rPr>
        <w:t>’</w:t>
      </w:r>
      <w:r w:rsidRPr="00EC1060">
        <w:rPr>
          <w:lang w:val="fr-FR"/>
        </w:rPr>
        <w:t>OEB pour contribuer au renforcement du système</w:t>
      </w:r>
      <w:r w:rsidR="002E21C9" w:rsidRPr="00EC1060">
        <w:rPr>
          <w:lang w:val="fr-FR"/>
        </w:rPr>
        <w:t xml:space="preserve"> du PCT</w:t>
      </w:r>
      <w:r w:rsidRPr="00EC1060">
        <w:rPr>
          <w:lang w:val="fr-FR"/>
        </w:rPr>
        <w:t xml:space="preserve">, et qui ont notamment donné lieu, </w:t>
      </w:r>
      <w:r w:rsidR="002E21C9" w:rsidRPr="00EC1060">
        <w:rPr>
          <w:lang w:val="fr-FR"/>
        </w:rPr>
        <w:t>en 2015</w:t>
      </w:r>
      <w:r w:rsidRPr="00EC1060">
        <w:rPr>
          <w:lang w:val="fr-FR"/>
        </w:rPr>
        <w:t>, au lancement du programme pilote visant à fournir des informations supplémentaires au sujet de la stratégie de recherche utilisée par les examinateurs (</w:t>
      </w:r>
      <w:r w:rsidR="00EC1060" w:rsidRPr="00EC1060">
        <w:rPr>
          <w:lang w:val="fr-FR"/>
        </w:rPr>
        <w:t>reconduit</w:t>
      </w:r>
      <w:r w:rsidRPr="00EC1060">
        <w:rPr>
          <w:lang w:val="fr-FR"/>
        </w:rPr>
        <w:t xml:space="preserve"> jusqu</w:t>
      </w:r>
      <w:r w:rsidR="002E21C9" w:rsidRPr="00EC1060">
        <w:rPr>
          <w:lang w:val="fr-FR"/>
        </w:rPr>
        <w:t>’</w:t>
      </w:r>
      <w:r w:rsidRPr="00EC1060">
        <w:rPr>
          <w:lang w:val="fr-FR"/>
        </w:rPr>
        <w:t xml:space="preserve">à la fin </w:t>
      </w:r>
      <w:r w:rsidR="002E21C9" w:rsidRPr="00EC1060">
        <w:rPr>
          <w:lang w:val="fr-FR"/>
        </w:rPr>
        <w:t xml:space="preserve">de 2017 – </w:t>
      </w:r>
      <w:r w:rsidRPr="00EC1060">
        <w:rPr>
          <w:lang w:val="fr-FR"/>
        </w:rPr>
        <w:t>JO</w:t>
      </w:r>
      <w:r w:rsidR="000B51EF" w:rsidRPr="00EC1060">
        <w:rPr>
          <w:lang w:val="fr-FR"/>
        </w:rPr>
        <w:t> </w:t>
      </w:r>
      <w:r w:rsidRPr="00EC1060">
        <w:rPr>
          <w:lang w:val="fr-FR"/>
        </w:rPr>
        <w:t>OEB</w:t>
      </w:r>
      <w:r w:rsidR="000B51EF" w:rsidRPr="00EC1060">
        <w:rPr>
          <w:lang w:val="fr-FR"/>
        </w:rPr>
        <w:t> </w:t>
      </w:r>
      <w:r w:rsidRPr="00EC1060">
        <w:rPr>
          <w:lang w:val="fr-FR"/>
        </w:rPr>
        <w:t>2017, A3).  Une autre avancée notable dans cette direction était l</w:t>
      </w:r>
      <w:r w:rsidR="002E21C9" w:rsidRPr="00EC1060">
        <w:rPr>
          <w:lang w:val="fr-FR"/>
        </w:rPr>
        <w:t>’</w:t>
      </w:r>
      <w:r w:rsidRPr="00EC1060">
        <w:rPr>
          <w:lang w:val="fr-FR"/>
        </w:rPr>
        <w:t>introduction du service PCT Direct, grâce auquel le déposant d</w:t>
      </w:r>
      <w:r w:rsidR="002E21C9" w:rsidRPr="00EC1060">
        <w:rPr>
          <w:lang w:val="fr-FR"/>
        </w:rPr>
        <w:t>’</w:t>
      </w:r>
      <w:r w:rsidRPr="00EC1060">
        <w:rPr>
          <w:lang w:val="fr-FR"/>
        </w:rPr>
        <w:t>une demande internationale qui revendique la priorité d</w:t>
      </w:r>
      <w:r w:rsidR="002E21C9" w:rsidRPr="00EC1060">
        <w:rPr>
          <w:lang w:val="fr-FR"/>
        </w:rPr>
        <w:t>’</w:t>
      </w:r>
      <w:r w:rsidRPr="00EC1060">
        <w:rPr>
          <w:lang w:val="fr-FR"/>
        </w:rPr>
        <w:t>une demande antérieure ayant déjà fait l</w:t>
      </w:r>
      <w:r w:rsidR="002E21C9" w:rsidRPr="00EC1060">
        <w:rPr>
          <w:lang w:val="fr-FR"/>
        </w:rPr>
        <w:t>’</w:t>
      </w:r>
      <w:r w:rsidRPr="00EC1060">
        <w:rPr>
          <w:lang w:val="fr-FR"/>
        </w:rPr>
        <w:t>objet d</w:t>
      </w:r>
      <w:r w:rsidR="002E21C9" w:rsidRPr="00EC1060">
        <w:rPr>
          <w:lang w:val="fr-FR"/>
        </w:rPr>
        <w:t>’</w:t>
      </w:r>
      <w:r w:rsidRPr="00EC1060">
        <w:rPr>
          <w:lang w:val="fr-FR"/>
        </w:rPr>
        <w:t>une recherche par l</w:t>
      </w:r>
      <w:r w:rsidR="002E21C9" w:rsidRPr="00EC1060">
        <w:rPr>
          <w:lang w:val="fr-FR"/>
        </w:rPr>
        <w:t>’</w:t>
      </w:r>
      <w:r w:rsidRPr="00EC1060">
        <w:rPr>
          <w:lang w:val="fr-FR"/>
        </w:rPr>
        <w:t>OEB peut répondre à toute objection soulevée dans l</w:t>
      </w:r>
      <w:r w:rsidR="002E21C9" w:rsidRPr="00EC1060">
        <w:rPr>
          <w:lang w:val="fr-FR"/>
        </w:rPr>
        <w:t>’</w:t>
      </w:r>
      <w:r w:rsidRPr="00EC1060">
        <w:rPr>
          <w:lang w:val="fr-FR"/>
        </w:rPr>
        <w:t>avis au stade de la recherche établi pour la demande dont la priorité est revendiquée (voir document PCT/WG/9/21).  Ce service a aussi été amélioré grâce à l</w:t>
      </w:r>
      <w:r w:rsidR="002E21C9" w:rsidRPr="00EC1060">
        <w:rPr>
          <w:lang w:val="fr-FR"/>
        </w:rPr>
        <w:t>’</w:t>
      </w:r>
      <w:r w:rsidRPr="00EC1060">
        <w:rPr>
          <w:lang w:val="fr-FR"/>
        </w:rPr>
        <w:t>autorisation accordée aux examinateurs, à compter du</w:t>
      </w:r>
      <w:r w:rsidR="002E21C9" w:rsidRPr="00EC1060">
        <w:rPr>
          <w:lang w:val="fr-FR"/>
        </w:rPr>
        <w:t xml:space="preserve"> 1</w:t>
      </w:r>
      <w:r w:rsidR="002E21C9" w:rsidRPr="00EC1060">
        <w:rPr>
          <w:vertAlign w:val="superscript"/>
          <w:lang w:val="fr-FR"/>
        </w:rPr>
        <w:t>er</w:t>
      </w:r>
      <w:r w:rsidR="002E21C9" w:rsidRPr="00EC1060">
        <w:rPr>
          <w:lang w:val="fr-FR"/>
        </w:rPr>
        <w:t> avril 20</w:t>
      </w:r>
      <w:r w:rsidRPr="00EC1060">
        <w:rPr>
          <w:lang w:val="fr-FR"/>
        </w:rPr>
        <w:t>17, de faire expressément référence à la lettr</w:t>
      </w:r>
      <w:r w:rsidR="000B51EF" w:rsidRPr="00EC1060">
        <w:rPr>
          <w:lang w:val="fr-FR"/>
        </w:rPr>
        <w:t>e PCT </w:t>
      </w:r>
      <w:r w:rsidRPr="00EC1060">
        <w:rPr>
          <w:lang w:val="fr-FR"/>
        </w:rPr>
        <w:t>Direct dans l</w:t>
      </w:r>
      <w:r w:rsidR="002E21C9" w:rsidRPr="00EC1060">
        <w:rPr>
          <w:lang w:val="fr-FR"/>
        </w:rPr>
        <w:t>’</w:t>
      </w:r>
      <w:r w:rsidRPr="00EC1060">
        <w:rPr>
          <w:lang w:val="fr-FR"/>
        </w:rPr>
        <w:t>opinion écrite, le cas échéant (JO</w:t>
      </w:r>
      <w:r w:rsidR="000B51EF" w:rsidRPr="00EC1060">
        <w:rPr>
          <w:lang w:val="fr-FR"/>
        </w:rPr>
        <w:t> </w:t>
      </w:r>
      <w:r w:rsidRPr="00EC1060">
        <w:rPr>
          <w:lang w:val="fr-FR"/>
        </w:rPr>
        <w:t>OEB</w:t>
      </w:r>
      <w:r w:rsidR="000B51EF" w:rsidRPr="00EC1060">
        <w:rPr>
          <w:lang w:val="fr-FR"/>
        </w:rPr>
        <w:t> </w:t>
      </w:r>
      <w:r w:rsidRPr="00EC1060">
        <w:rPr>
          <w:lang w:val="fr-FR"/>
        </w:rPr>
        <w:t>2017, A21).</w:t>
      </w:r>
    </w:p>
    <w:p w:rsidR="0059134D" w:rsidRPr="00EC1060" w:rsidRDefault="0059134D" w:rsidP="00EC1060">
      <w:pPr>
        <w:pStyle w:val="Heading1"/>
        <w:rPr>
          <w:lang w:val="fr-FR"/>
        </w:rPr>
      </w:pPr>
      <w:r w:rsidRPr="00EC1060">
        <w:rPr>
          <w:lang w:val="fr-FR"/>
        </w:rPr>
        <w:t xml:space="preserve">Contenu et </w:t>
      </w:r>
      <w:r w:rsidR="00F517BB" w:rsidRPr="00EC1060">
        <w:rPr>
          <w:lang w:val="fr-FR"/>
        </w:rPr>
        <w:t>f</w:t>
      </w:r>
      <w:r w:rsidRPr="00EC1060">
        <w:rPr>
          <w:lang w:val="fr-FR"/>
        </w:rPr>
        <w:t>orme</w:t>
      </w:r>
    </w:p>
    <w:p w:rsidR="00F517BB" w:rsidRPr="00EC1060" w:rsidRDefault="00F517BB" w:rsidP="00EC1060">
      <w:pPr>
        <w:rPr>
          <w:lang w:val="fr-FR"/>
        </w:rPr>
      </w:pPr>
    </w:p>
    <w:p w:rsidR="002E21C9" w:rsidRPr="00EC1060" w:rsidRDefault="0059134D" w:rsidP="00EC1060">
      <w:pPr>
        <w:pStyle w:val="ONUMFS"/>
        <w:rPr>
          <w:lang w:val="fr-FR"/>
        </w:rPr>
      </w:pPr>
      <w:r w:rsidRPr="00EC1060">
        <w:rPr>
          <w:lang w:val="fr-FR"/>
        </w:rPr>
        <w:t>Avant le</w:t>
      </w:r>
      <w:r w:rsidR="002E21C9" w:rsidRPr="00EC1060">
        <w:rPr>
          <w:lang w:val="fr-FR"/>
        </w:rPr>
        <w:t xml:space="preserve"> 1</w:t>
      </w:r>
      <w:r w:rsidR="002E21C9" w:rsidRPr="00EC1060">
        <w:rPr>
          <w:vertAlign w:val="superscript"/>
          <w:lang w:val="fr-FR"/>
        </w:rPr>
        <w:t>er</w:t>
      </w:r>
      <w:r w:rsidR="002E21C9" w:rsidRPr="00EC1060">
        <w:rPr>
          <w:lang w:val="fr-FR"/>
        </w:rPr>
        <w:t> avril 20</w:t>
      </w:r>
      <w:r w:rsidRPr="00EC1060">
        <w:rPr>
          <w:lang w:val="fr-FR"/>
        </w:rPr>
        <w:t>17, si une absence d</w:t>
      </w:r>
      <w:r w:rsidR="002E21C9" w:rsidRPr="00EC1060">
        <w:rPr>
          <w:lang w:val="fr-FR"/>
        </w:rPr>
        <w:t>’</w:t>
      </w:r>
      <w:r w:rsidRPr="00EC1060">
        <w:rPr>
          <w:lang w:val="fr-FR"/>
        </w:rPr>
        <w:t>unité de l</w:t>
      </w:r>
      <w:r w:rsidR="002E21C9" w:rsidRPr="00EC1060">
        <w:rPr>
          <w:lang w:val="fr-FR"/>
        </w:rPr>
        <w:t>’</w:t>
      </w:r>
      <w:r w:rsidRPr="00EC1060">
        <w:rPr>
          <w:lang w:val="fr-FR"/>
        </w:rPr>
        <w:t>invention était constatée au stade de la recherche, les déposants ne recevaient l</w:t>
      </w:r>
      <w:r w:rsidR="002E21C9" w:rsidRPr="00EC1060">
        <w:rPr>
          <w:lang w:val="fr-FR"/>
        </w:rPr>
        <w:t>’</w:t>
      </w:r>
      <w:r w:rsidRPr="00EC1060">
        <w:rPr>
          <w:lang w:val="fr-FR"/>
        </w:rPr>
        <w:t>opinion écrite de l</w:t>
      </w:r>
      <w:r w:rsidR="002E21C9" w:rsidRPr="00EC1060">
        <w:rPr>
          <w:lang w:val="fr-FR"/>
        </w:rPr>
        <w:t>’</w:t>
      </w:r>
      <w:r w:rsidRPr="00EC1060">
        <w:rPr>
          <w:lang w:val="fr-FR"/>
        </w:rPr>
        <w:t>administration chargée de la recherche internationale concernant la brevetabilité qu</w:t>
      </w:r>
      <w:r w:rsidR="002E21C9" w:rsidRPr="00EC1060">
        <w:rPr>
          <w:lang w:val="fr-FR"/>
        </w:rPr>
        <w:t>’</w:t>
      </w:r>
      <w:r w:rsidRPr="00EC1060">
        <w:rPr>
          <w:lang w:val="fr-FR"/>
        </w:rPr>
        <w:t xml:space="preserve">avec le rapport de recherche internationale </w:t>
      </w:r>
      <w:r w:rsidR="00FE5BD4" w:rsidRPr="00EC1060">
        <w:rPr>
          <w:lang w:val="fr-FR"/>
        </w:rPr>
        <w:t>“</w:t>
      </w:r>
      <w:r w:rsidRPr="00EC1060">
        <w:rPr>
          <w:lang w:val="fr-FR"/>
        </w:rPr>
        <w:t>définitif</w:t>
      </w:r>
      <w:r w:rsidR="00FE5BD4" w:rsidRPr="00EC1060">
        <w:rPr>
          <w:lang w:val="fr-FR"/>
        </w:rPr>
        <w:t>”</w:t>
      </w:r>
      <w:r w:rsidRPr="00EC1060">
        <w:rPr>
          <w:lang w:val="fr-FR"/>
        </w:rPr>
        <w:t xml:space="preserve"> (</w:t>
      </w:r>
      <w:r w:rsidR="002E21C9" w:rsidRPr="00EC1060">
        <w:rPr>
          <w:lang w:val="fr-FR"/>
        </w:rPr>
        <w:t>règle 4</w:t>
      </w:r>
      <w:r w:rsidRPr="00EC1060">
        <w:rPr>
          <w:lang w:val="fr-FR"/>
        </w:rPr>
        <w:t>3</w:t>
      </w:r>
      <w:r w:rsidRPr="00EC1060">
        <w:rPr>
          <w:i/>
          <w:lang w:val="fr-FR"/>
        </w:rPr>
        <w:t>bis</w:t>
      </w:r>
      <w:r w:rsidRPr="00EC1060">
        <w:rPr>
          <w:lang w:val="fr-FR"/>
        </w:rPr>
        <w:t>.1).  Depuis cette date, l</w:t>
      </w:r>
      <w:r w:rsidR="002E21C9" w:rsidRPr="00EC1060">
        <w:rPr>
          <w:lang w:val="fr-FR"/>
        </w:rPr>
        <w:t>’</w:t>
      </w:r>
      <w:r w:rsidRPr="00EC1060">
        <w:rPr>
          <w:lang w:val="fr-FR"/>
        </w:rPr>
        <w:t>OEB envoie un avis provisoire sur la brevetabilité de l</w:t>
      </w:r>
      <w:r w:rsidR="002E21C9" w:rsidRPr="00EC1060">
        <w:rPr>
          <w:lang w:val="fr-FR"/>
        </w:rPr>
        <w:t>’</w:t>
      </w:r>
      <w:r w:rsidRPr="00EC1060">
        <w:rPr>
          <w:lang w:val="fr-FR"/>
        </w:rPr>
        <w:t>invention (ou de la pluralité d</w:t>
      </w:r>
      <w:r w:rsidR="002E21C9" w:rsidRPr="00EC1060">
        <w:rPr>
          <w:lang w:val="fr-FR"/>
        </w:rPr>
        <w:t>’</w:t>
      </w:r>
      <w:r w:rsidRPr="00EC1060">
        <w:rPr>
          <w:lang w:val="fr-FR"/>
        </w:rPr>
        <w:t>inventions) mentionnée en premier lieu dans les revendications, accompagné de l</w:t>
      </w:r>
      <w:r w:rsidR="002E21C9" w:rsidRPr="00EC1060">
        <w:rPr>
          <w:lang w:val="fr-FR"/>
        </w:rPr>
        <w:t>’</w:t>
      </w:r>
      <w:r w:rsidRPr="00EC1060">
        <w:rPr>
          <w:lang w:val="fr-FR"/>
        </w:rPr>
        <w:t>invitation à payer des taxes additionnelles/autres et des résultats partiels de recherche (formulaire PCT/ISA/206)</w:t>
      </w:r>
      <w:r w:rsidR="00FE5BD4" w:rsidRPr="00EC1060">
        <w:rPr>
          <w:lang w:val="fr-FR"/>
        </w:rPr>
        <w:t xml:space="preserve"> </w:t>
      </w:r>
      <w:r w:rsidRPr="00EC1060">
        <w:rPr>
          <w:lang w:val="fr-FR"/>
        </w:rPr>
        <w:t>dans un nouveau formulaire de l</w:t>
      </w:r>
      <w:r w:rsidR="002E21C9" w:rsidRPr="00EC1060">
        <w:rPr>
          <w:lang w:val="fr-FR"/>
        </w:rPr>
        <w:t>’</w:t>
      </w:r>
      <w:r w:rsidRPr="00EC1060">
        <w:rPr>
          <w:lang w:val="fr-FR"/>
        </w:rPr>
        <w:t>OEB (formulaire n° 1707).  Ce formulaire est accessible au public via l</w:t>
      </w:r>
      <w:r w:rsidR="002E21C9" w:rsidRPr="00EC1060">
        <w:rPr>
          <w:lang w:val="fr-FR"/>
        </w:rPr>
        <w:t>’</w:t>
      </w:r>
      <w:r w:rsidRPr="00EC1060">
        <w:rPr>
          <w:lang w:val="fr-FR"/>
        </w:rPr>
        <w:t>inspection publique en ligne.</w:t>
      </w:r>
    </w:p>
    <w:p w:rsidR="0059134D" w:rsidRPr="00EC1060" w:rsidRDefault="0059134D" w:rsidP="00EC1060">
      <w:pPr>
        <w:pStyle w:val="ONUMFS"/>
        <w:rPr>
          <w:lang w:val="fr-FR"/>
        </w:rPr>
      </w:pPr>
      <w:r w:rsidRPr="00EC1060">
        <w:rPr>
          <w:lang w:val="fr-FR"/>
        </w:rPr>
        <w:t>Il convient cependant de préciser que l</w:t>
      </w:r>
      <w:r w:rsidR="002E21C9" w:rsidRPr="00EC1060">
        <w:rPr>
          <w:lang w:val="fr-FR"/>
        </w:rPr>
        <w:t>’</w:t>
      </w:r>
      <w:r w:rsidRPr="00EC1060">
        <w:rPr>
          <w:lang w:val="fr-FR"/>
        </w:rPr>
        <w:t>avis provisoire est fourni uniquement à titre informatif</w:t>
      </w:r>
      <w:r w:rsidR="00FE5BD4" w:rsidRPr="00EC1060">
        <w:rPr>
          <w:lang w:val="fr-FR"/>
        </w:rPr>
        <w:t> </w:t>
      </w:r>
      <w:r w:rsidRPr="00EC1060">
        <w:rPr>
          <w:lang w:val="fr-FR"/>
        </w:rPr>
        <w:t xml:space="preserve">: le déposant ne peut formuler aucun commentaire répondant aux éléments </w:t>
      </w:r>
      <w:r w:rsidR="00EC1060" w:rsidRPr="00EC1060">
        <w:rPr>
          <w:lang w:val="fr-FR"/>
        </w:rPr>
        <w:t>soulevés</w:t>
      </w:r>
      <w:r w:rsidRPr="00EC1060">
        <w:rPr>
          <w:lang w:val="fr-FR"/>
        </w:rPr>
        <w:t xml:space="preserve"> dans cet avis et, s</w:t>
      </w:r>
      <w:r w:rsidR="002E21C9" w:rsidRPr="00EC1060">
        <w:rPr>
          <w:lang w:val="fr-FR"/>
        </w:rPr>
        <w:t>’</w:t>
      </w:r>
      <w:r w:rsidRPr="00EC1060">
        <w:rPr>
          <w:lang w:val="fr-FR"/>
        </w:rPr>
        <w:t xml:space="preserve">il le fait, ses commentaires ne seront pas pris en </w:t>
      </w:r>
      <w:r w:rsidR="00EC1060" w:rsidRPr="00EC1060">
        <w:rPr>
          <w:lang w:val="fr-FR"/>
        </w:rPr>
        <w:t>considération</w:t>
      </w:r>
      <w:r w:rsidRPr="00EC1060">
        <w:rPr>
          <w:lang w:val="fr-FR"/>
        </w:rPr>
        <w:t xml:space="preserve"> par l</w:t>
      </w:r>
      <w:r w:rsidR="002E21C9" w:rsidRPr="00EC1060">
        <w:rPr>
          <w:lang w:val="fr-FR"/>
        </w:rPr>
        <w:t>’</w:t>
      </w:r>
      <w:r w:rsidRPr="00EC1060">
        <w:rPr>
          <w:lang w:val="fr-FR"/>
        </w:rPr>
        <w:t>examinateur dans son opinion écri</w:t>
      </w:r>
      <w:r w:rsidR="00F517BB" w:rsidRPr="00EC1060">
        <w:rPr>
          <w:lang w:val="fr-FR"/>
        </w:rPr>
        <w:t>te.  To</w:t>
      </w:r>
      <w:r w:rsidRPr="00EC1060">
        <w:rPr>
          <w:lang w:val="fr-FR"/>
        </w:rPr>
        <w:t>ute modification au titre de l</w:t>
      </w:r>
      <w:r w:rsidR="002E21C9" w:rsidRPr="00EC1060">
        <w:rPr>
          <w:lang w:val="fr-FR"/>
        </w:rPr>
        <w:t>’article 1</w:t>
      </w:r>
      <w:r w:rsidRPr="00EC1060">
        <w:rPr>
          <w:lang w:val="fr-FR"/>
        </w:rPr>
        <w:t>9, tout commentaire écrit informel, toute modification ou tout argument au titre de l</w:t>
      </w:r>
      <w:r w:rsidR="002E21C9" w:rsidRPr="00EC1060">
        <w:rPr>
          <w:lang w:val="fr-FR"/>
        </w:rPr>
        <w:t>’article 3</w:t>
      </w:r>
      <w:r w:rsidRPr="00EC1060">
        <w:rPr>
          <w:lang w:val="fr-FR"/>
        </w:rPr>
        <w:t xml:space="preserve">4 et toutes les réponses visées à la </w:t>
      </w:r>
      <w:r w:rsidR="002E21C9" w:rsidRPr="00EC1060">
        <w:rPr>
          <w:lang w:val="fr-FR"/>
        </w:rPr>
        <w:t>règle 1</w:t>
      </w:r>
      <w:r w:rsidRPr="00EC1060">
        <w:rPr>
          <w:lang w:val="fr-FR"/>
        </w:rPr>
        <w:t>61 de la Convention sur le brevet européen devraient par conséquent continuer d</w:t>
      </w:r>
      <w:r w:rsidR="002E21C9" w:rsidRPr="00EC1060">
        <w:rPr>
          <w:lang w:val="fr-FR"/>
        </w:rPr>
        <w:t>’</w:t>
      </w:r>
      <w:r w:rsidRPr="00EC1060">
        <w:rPr>
          <w:lang w:val="fr-FR"/>
        </w:rPr>
        <w:t xml:space="preserve">être présentés après le rapport de recherche internationale </w:t>
      </w:r>
      <w:r w:rsidR="00FE5BD4" w:rsidRPr="00EC1060">
        <w:rPr>
          <w:lang w:val="fr-FR"/>
        </w:rPr>
        <w:t>“</w:t>
      </w:r>
      <w:r w:rsidRPr="00EC1060">
        <w:rPr>
          <w:lang w:val="fr-FR"/>
        </w:rPr>
        <w:t>définitif</w:t>
      </w:r>
      <w:r w:rsidR="00FE5BD4" w:rsidRPr="00EC1060">
        <w:rPr>
          <w:lang w:val="fr-FR"/>
        </w:rPr>
        <w:t>”</w:t>
      </w:r>
      <w:r w:rsidRPr="00EC1060">
        <w:rPr>
          <w:lang w:val="fr-FR"/>
        </w:rPr>
        <w:t xml:space="preserve"> et l</w:t>
      </w:r>
      <w:r w:rsidR="002E21C9" w:rsidRPr="00EC1060">
        <w:rPr>
          <w:lang w:val="fr-FR"/>
        </w:rPr>
        <w:t>’</w:t>
      </w:r>
      <w:r w:rsidRPr="00EC1060">
        <w:rPr>
          <w:lang w:val="fr-FR"/>
        </w:rPr>
        <w:t>opinion écrite de l</w:t>
      </w:r>
      <w:r w:rsidR="002E21C9" w:rsidRPr="00EC1060">
        <w:rPr>
          <w:lang w:val="fr-FR"/>
        </w:rPr>
        <w:t>’</w:t>
      </w:r>
      <w:r w:rsidRPr="00EC1060">
        <w:rPr>
          <w:lang w:val="fr-FR"/>
        </w:rPr>
        <w:t>administration chargée de la recherche internationale.</w:t>
      </w:r>
    </w:p>
    <w:p w:rsidR="002E21C9" w:rsidRPr="00EC1060" w:rsidRDefault="0059134D" w:rsidP="00EC1060">
      <w:pPr>
        <w:pStyle w:val="ONUMFS"/>
        <w:rPr>
          <w:lang w:val="fr-FR"/>
        </w:rPr>
      </w:pPr>
      <w:r w:rsidRPr="00EC1060">
        <w:rPr>
          <w:lang w:val="fr-FR"/>
        </w:rPr>
        <w:t>Ce service additionnel concerne non seulement les produits de recherche fournis par l</w:t>
      </w:r>
      <w:r w:rsidR="002E21C9" w:rsidRPr="00EC1060">
        <w:rPr>
          <w:lang w:val="fr-FR"/>
        </w:rPr>
        <w:t>’</w:t>
      </w:r>
      <w:r w:rsidRPr="00EC1060">
        <w:rPr>
          <w:lang w:val="fr-FR"/>
        </w:rPr>
        <w:t>OEB dans la phase internationale mais aussi les recherches menées dans la phase régionale, pour les demandes euro</w:t>
      </w:r>
      <w:r w:rsidR="000B51EF" w:rsidRPr="00EC1060">
        <w:rPr>
          <w:lang w:val="fr-FR"/>
        </w:rPr>
        <w:noBreakHyphen/>
      </w:r>
      <w:r w:rsidRPr="00EC1060">
        <w:rPr>
          <w:lang w:val="fr-FR"/>
        </w:rPr>
        <w:t>directes et euro</w:t>
      </w:r>
      <w:r w:rsidR="000B51EF" w:rsidRPr="00EC1060">
        <w:rPr>
          <w:lang w:val="fr-FR"/>
        </w:rPr>
        <w:noBreakHyphen/>
      </w:r>
      <w:r w:rsidRPr="00EC1060">
        <w:rPr>
          <w:lang w:val="fr-FR"/>
        </w:rPr>
        <w:t>PCT.</w:t>
      </w:r>
    </w:p>
    <w:p w:rsidR="0059134D" w:rsidRPr="00EC1060" w:rsidRDefault="0059134D" w:rsidP="00EC1060">
      <w:pPr>
        <w:pStyle w:val="ONUMFS"/>
        <w:ind w:left="5533"/>
        <w:rPr>
          <w:i/>
          <w:lang w:val="fr-FR"/>
        </w:rPr>
      </w:pPr>
      <w:r w:rsidRPr="00EC1060">
        <w:rPr>
          <w:i/>
          <w:lang w:val="fr-FR"/>
        </w:rPr>
        <w:t>Le groupe de travail est invité à prendre note du contenu du présent document.</w:t>
      </w:r>
    </w:p>
    <w:p w:rsidR="0059134D" w:rsidRPr="00EC1060" w:rsidRDefault="0059134D" w:rsidP="00EC1060">
      <w:pPr>
        <w:rPr>
          <w:lang w:val="fr-FR"/>
        </w:rPr>
      </w:pPr>
    </w:p>
    <w:p w:rsidR="002E21C9" w:rsidRPr="00EC1060" w:rsidRDefault="002E21C9" w:rsidP="00EC1060">
      <w:pPr>
        <w:rPr>
          <w:lang w:val="fr-FR"/>
        </w:rPr>
      </w:pPr>
    </w:p>
    <w:p w:rsidR="0059134D" w:rsidRPr="00EC1060" w:rsidRDefault="0059134D" w:rsidP="00EC1060">
      <w:pPr>
        <w:pStyle w:val="ONUME"/>
        <w:numPr>
          <w:ilvl w:val="0"/>
          <w:numId w:val="0"/>
        </w:numPr>
        <w:ind w:left="5533"/>
        <w:rPr>
          <w:lang w:val="fr-FR"/>
        </w:rPr>
      </w:pPr>
      <w:r w:rsidRPr="00EC1060">
        <w:rPr>
          <w:lang w:val="fr-FR"/>
        </w:rPr>
        <w:t>[Fin du document]</w:t>
      </w:r>
    </w:p>
    <w:sectPr w:rsidR="0059134D" w:rsidRPr="00EC1060" w:rsidSect="0059134D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4D" w:rsidRDefault="0059134D">
      <w:r>
        <w:separator/>
      </w:r>
    </w:p>
  </w:endnote>
  <w:endnote w:type="continuationSeparator" w:id="0">
    <w:p w:rsidR="0059134D" w:rsidRPr="009D30E6" w:rsidRDefault="0059134D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9134D" w:rsidRPr="009D30E6" w:rsidRDefault="0059134D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59134D" w:rsidRPr="009D30E6" w:rsidRDefault="0059134D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4D" w:rsidRDefault="0059134D">
      <w:r>
        <w:separator/>
      </w:r>
    </w:p>
  </w:footnote>
  <w:footnote w:type="continuationSeparator" w:id="0">
    <w:p w:rsidR="0059134D" w:rsidRDefault="0059134D" w:rsidP="007461F1">
      <w:r>
        <w:separator/>
      </w:r>
    </w:p>
    <w:p w:rsidR="0059134D" w:rsidRPr="009D30E6" w:rsidRDefault="0059134D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59134D" w:rsidRPr="009D30E6" w:rsidRDefault="0059134D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59134D" w:rsidP="00477D6B">
    <w:pPr>
      <w:jc w:val="right"/>
    </w:pPr>
    <w:bookmarkStart w:id="6" w:name="Code2"/>
    <w:bookmarkEnd w:id="6"/>
    <w:r>
      <w:t>PCT/WG/10/14</w:t>
    </w:r>
  </w:p>
  <w:p w:rsidR="00F16975" w:rsidRDefault="00F16975" w:rsidP="00477D6B">
    <w:pPr>
      <w:jc w:val="right"/>
    </w:pPr>
    <w:proofErr w:type="gramStart"/>
    <w:r>
      <w:t>page</w:t>
    </w:r>
    <w:proofErr w:type="gramEnd"/>
    <w:r w:rsidR="000B51EF">
      <w:t> </w:t>
    </w:r>
    <w:r>
      <w:fldChar w:fldCharType="begin"/>
    </w:r>
    <w:r>
      <w:instrText xml:space="preserve"> PAGE  \* MERGEFORMAT </w:instrText>
    </w:r>
    <w:r>
      <w:fldChar w:fldCharType="separate"/>
    </w:r>
    <w:r w:rsidR="0022756D">
      <w:rPr>
        <w:noProof/>
      </w:rPr>
      <w:t>2</w:t>
    </w:r>
    <w:r>
      <w:fldChar w:fldCharType="end"/>
    </w:r>
  </w:p>
  <w:p w:rsidR="00F16975" w:rsidRDefault="00F1697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4D"/>
    <w:rsid w:val="000005EB"/>
    <w:rsid w:val="00011B7D"/>
    <w:rsid w:val="00075432"/>
    <w:rsid w:val="0009458A"/>
    <w:rsid w:val="000B51EF"/>
    <w:rsid w:val="000F5E56"/>
    <w:rsid w:val="001362EE"/>
    <w:rsid w:val="001832A6"/>
    <w:rsid w:val="00195C6E"/>
    <w:rsid w:val="001B266A"/>
    <w:rsid w:val="001D3D56"/>
    <w:rsid w:val="0022756D"/>
    <w:rsid w:val="00240654"/>
    <w:rsid w:val="002634C4"/>
    <w:rsid w:val="002E21C9"/>
    <w:rsid w:val="002E4D1A"/>
    <w:rsid w:val="002F16BC"/>
    <w:rsid w:val="002F4E68"/>
    <w:rsid w:val="00322C0B"/>
    <w:rsid w:val="003845C1"/>
    <w:rsid w:val="003A67A3"/>
    <w:rsid w:val="004008A2"/>
    <w:rsid w:val="004025DF"/>
    <w:rsid w:val="00423E3E"/>
    <w:rsid w:val="00427AF4"/>
    <w:rsid w:val="004647DA"/>
    <w:rsid w:val="00477D6B"/>
    <w:rsid w:val="004906DF"/>
    <w:rsid w:val="004D6471"/>
    <w:rsid w:val="0051455D"/>
    <w:rsid w:val="00525B63"/>
    <w:rsid w:val="00541348"/>
    <w:rsid w:val="005421DD"/>
    <w:rsid w:val="00567A4C"/>
    <w:rsid w:val="00576B58"/>
    <w:rsid w:val="0059134D"/>
    <w:rsid w:val="00595F07"/>
    <w:rsid w:val="005E6516"/>
    <w:rsid w:val="00605827"/>
    <w:rsid w:val="00616671"/>
    <w:rsid w:val="006B0DB5"/>
    <w:rsid w:val="007461F1"/>
    <w:rsid w:val="007D6961"/>
    <w:rsid w:val="007F07CB"/>
    <w:rsid w:val="00810CEF"/>
    <w:rsid w:val="0081208D"/>
    <w:rsid w:val="008B2CC1"/>
    <w:rsid w:val="008E7930"/>
    <w:rsid w:val="0090731E"/>
    <w:rsid w:val="00966A22"/>
    <w:rsid w:val="00974B69"/>
    <w:rsid w:val="00974CD6"/>
    <w:rsid w:val="009D30E6"/>
    <w:rsid w:val="009E3F6F"/>
    <w:rsid w:val="009F499F"/>
    <w:rsid w:val="00AC0AE4"/>
    <w:rsid w:val="00AD61DB"/>
    <w:rsid w:val="00B35AF5"/>
    <w:rsid w:val="00C664C8"/>
    <w:rsid w:val="00CF0460"/>
    <w:rsid w:val="00D43E0F"/>
    <w:rsid w:val="00D45252"/>
    <w:rsid w:val="00D71B4D"/>
    <w:rsid w:val="00D75C1E"/>
    <w:rsid w:val="00D93D55"/>
    <w:rsid w:val="00DD6A16"/>
    <w:rsid w:val="00E0091A"/>
    <w:rsid w:val="00E203AA"/>
    <w:rsid w:val="00E527A5"/>
    <w:rsid w:val="00E76456"/>
    <w:rsid w:val="00EC1060"/>
    <w:rsid w:val="00EE71CB"/>
    <w:rsid w:val="00F16975"/>
    <w:rsid w:val="00F517BB"/>
    <w:rsid w:val="00F66152"/>
    <w:rsid w:val="00FE5BD4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basedOn w:val="DefaultParagraphFont"/>
    <w:rsid w:val="00F517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27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756D"/>
    <w:rPr>
      <w:rFonts w:ascii="Tahoma" w:eastAsia="SimSun" w:hAnsi="Tahoma" w:cs="Tahoma"/>
      <w:sz w:val="16"/>
      <w:szCs w:val="16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basedOn w:val="DefaultParagraphFont"/>
    <w:rsid w:val="00F517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27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756D"/>
    <w:rPr>
      <w:rFonts w:ascii="Tahoma" w:eastAsia="SimSun" w:hAnsi="Tahoma" w:cs="Tahoma"/>
      <w:sz w:val="16"/>
      <w:szCs w:val="16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0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WG 10 (F)</Template>
  <TotalTime>1</TotalTime>
  <Pages>2</Pages>
  <Words>696</Words>
  <Characters>3927</Characters>
  <Application>Microsoft Office Word</Application>
  <DocSecurity>0</DocSecurity>
  <Lines>187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PCT/WG/10/</vt:lpstr>
    </vt:vector>
  </TitlesOfParts>
  <Company>WIPO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PCT/WG/10/14</dc:title>
  <dc:subject>Issuance of a Provisional Opinion Accompanying the Partial Search Results</dc:subject>
  <dc:creator>OLIVIÉ Karen</dc:creator>
  <cp:lastModifiedBy>MARLOW Thomas</cp:lastModifiedBy>
  <cp:revision>2</cp:revision>
  <cp:lastPrinted>2017-04-07T07:47:00Z</cp:lastPrinted>
  <dcterms:created xsi:type="dcterms:W3CDTF">2017-04-11T09:16:00Z</dcterms:created>
  <dcterms:modified xsi:type="dcterms:W3CDTF">2017-04-11T09:16:00Z</dcterms:modified>
</cp:coreProperties>
</file>