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1060" w:rsidRPr="00EC1060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EC1060" w:rsidRDefault="00E0091A" w:rsidP="00EC106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C1060" w:rsidRDefault="00576B58" w:rsidP="00EC1060">
            <w:pPr>
              <w:rPr>
                <w:lang w:val="fr-FR"/>
              </w:rPr>
            </w:pPr>
            <w:r w:rsidRPr="00EC1060">
              <w:rPr>
                <w:noProof/>
                <w:lang w:val="en-US" w:eastAsia="en-US"/>
              </w:rPr>
              <w:drawing>
                <wp:inline distT="0" distB="0" distL="0" distR="0" wp14:anchorId="546AE62F" wp14:editId="240D77B6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C1060" w:rsidRDefault="00E0091A" w:rsidP="00EC1060">
            <w:pPr>
              <w:jc w:val="right"/>
              <w:rPr>
                <w:lang w:val="fr-FR"/>
              </w:rPr>
            </w:pPr>
            <w:r w:rsidRPr="00EC106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C1060" w:rsidRPr="00EC1060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C1060" w:rsidRDefault="00576B58" w:rsidP="00EC106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C1060">
              <w:rPr>
                <w:rFonts w:ascii="Arial Black" w:hAnsi="Arial Black"/>
                <w:caps/>
                <w:sz w:val="15"/>
                <w:lang w:val="fr-FR"/>
              </w:rPr>
              <w:t>PCT/WG/10/</w:t>
            </w:r>
            <w:bookmarkStart w:id="1" w:name="Code"/>
            <w:bookmarkEnd w:id="1"/>
            <w:r w:rsidR="0059134D" w:rsidRPr="00EC1060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r w:rsidR="00011B7D" w:rsidRPr="00EC106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C1060" w:rsidRPr="00EC1060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C1060" w:rsidRDefault="008B2CC1" w:rsidP="00EC106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C106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E21C9" w:rsidRPr="00EC106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C106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59134D" w:rsidRPr="00EC106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EC1060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C1060" w:rsidRDefault="008B2CC1" w:rsidP="00EC106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C106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E21C9" w:rsidRPr="00EC106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C106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59134D" w:rsidRPr="00EC1060">
              <w:rPr>
                <w:rFonts w:ascii="Arial Black" w:hAnsi="Arial Black"/>
                <w:caps/>
                <w:sz w:val="15"/>
                <w:lang w:val="fr-FR"/>
              </w:rPr>
              <w:t>4 avril 2017</w:t>
            </w:r>
          </w:p>
        </w:tc>
      </w:tr>
    </w:tbl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576B58" w:rsidP="00EC1060">
      <w:pPr>
        <w:rPr>
          <w:b/>
          <w:sz w:val="28"/>
          <w:szCs w:val="28"/>
          <w:lang w:val="fr-FR"/>
        </w:rPr>
      </w:pPr>
      <w:r w:rsidRPr="00EC1060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845C1" w:rsidRPr="00EC1060" w:rsidRDefault="003845C1" w:rsidP="00EC1060">
      <w:pPr>
        <w:rPr>
          <w:lang w:val="fr-FR"/>
        </w:rPr>
      </w:pPr>
    </w:p>
    <w:p w:rsidR="003845C1" w:rsidRPr="00EC1060" w:rsidRDefault="003845C1" w:rsidP="00EC1060">
      <w:pPr>
        <w:rPr>
          <w:lang w:val="fr-FR"/>
        </w:rPr>
      </w:pPr>
    </w:p>
    <w:p w:rsidR="008B2CC1" w:rsidRPr="00EC1060" w:rsidRDefault="00576B58" w:rsidP="00EC1060">
      <w:pPr>
        <w:rPr>
          <w:b/>
          <w:sz w:val="24"/>
          <w:szCs w:val="24"/>
          <w:lang w:val="fr-FR"/>
        </w:rPr>
      </w:pPr>
      <w:r w:rsidRPr="00EC1060">
        <w:rPr>
          <w:b/>
          <w:sz w:val="24"/>
          <w:szCs w:val="24"/>
          <w:lang w:val="fr-FR"/>
        </w:rPr>
        <w:t>Dix</w:t>
      </w:r>
      <w:r w:rsidR="002E21C9" w:rsidRPr="00EC1060">
        <w:rPr>
          <w:b/>
          <w:sz w:val="24"/>
          <w:szCs w:val="24"/>
          <w:lang w:val="fr-FR"/>
        </w:rPr>
        <w:t>ième session</w:t>
      </w:r>
    </w:p>
    <w:p w:rsidR="008B2CC1" w:rsidRPr="00EC1060" w:rsidRDefault="00576B58" w:rsidP="00EC1060">
      <w:pPr>
        <w:rPr>
          <w:b/>
          <w:sz w:val="24"/>
          <w:szCs w:val="24"/>
          <w:lang w:val="fr-FR"/>
        </w:rPr>
      </w:pPr>
      <w:r w:rsidRPr="00EC1060">
        <w:rPr>
          <w:b/>
          <w:sz w:val="24"/>
          <w:szCs w:val="24"/>
          <w:lang w:val="fr-FR"/>
        </w:rPr>
        <w:t>Genève, 8 – 1</w:t>
      </w:r>
      <w:r w:rsidR="002E21C9" w:rsidRPr="00EC1060">
        <w:rPr>
          <w:b/>
          <w:sz w:val="24"/>
          <w:szCs w:val="24"/>
          <w:lang w:val="fr-FR"/>
        </w:rPr>
        <w:t>2 mai 20</w:t>
      </w:r>
      <w:r w:rsidRPr="00EC1060">
        <w:rPr>
          <w:b/>
          <w:sz w:val="24"/>
          <w:szCs w:val="24"/>
          <w:lang w:val="fr-FR"/>
        </w:rPr>
        <w:t>17</w:t>
      </w: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8B2CC1" w:rsidRPr="00EC1060" w:rsidRDefault="008B2CC1" w:rsidP="00EC1060">
      <w:pPr>
        <w:rPr>
          <w:lang w:val="fr-FR"/>
        </w:rPr>
      </w:pPr>
    </w:p>
    <w:p w:rsidR="002E21C9" w:rsidRPr="00EC1060" w:rsidRDefault="0059134D" w:rsidP="00EC1060">
      <w:pPr>
        <w:rPr>
          <w:caps/>
          <w:sz w:val="24"/>
          <w:lang w:val="fr-FR"/>
        </w:rPr>
      </w:pPr>
      <w:bookmarkStart w:id="4" w:name="TitleOfDoc"/>
      <w:bookmarkEnd w:id="4"/>
      <w:r w:rsidRPr="00EC1060">
        <w:rPr>
          <w:caps/>
          <w:sz w:val="24"/>
          <w:lang w:val="fr-FR"/>
        </w:rPr>
        <w:t>E</w:t>
      </w:r>
      <w:r w:rsidR="002E21C9" w:rsidRPr="00EC1060">
        <w:rPr>
          <w:caps/>
          <w:sz w:val="24"/>
          <w:lang w:val="fr-FR"/>
        </w:rPr>
        <w:t>nvoi</w:t>
      </w:r>
      <w:r w:rsidRPr="00EC1060">
        <w:rPr>
          <w:caps/>
          <w:sz w:val="24"/>
          <w:lang w:val="fr-FR"/>
        </w:rPr>
        <w:t xml:space="preserve"> d</w:t>
      </w:r>
      <w:r w:rsidR="002E21C9" w:rsidRPr="00EC1060">
        <w:rPr>
          <w:caps/>
          <w:sz w:val="24"/>
          <w:lang w:val="fr-FR"/>
        </w:rPr>
        <w:t>’</w:t>
      </w:r>
      <w:r w:rsidRPr="00EC1060">
        <w:rPr>
          <w:caps/>
          <w:sz w:val="24"/>
          <w:lang w:val="fr-FR"/>
        </w:rPr>
        <w:t>un avis provisoire accompa</w:t>
      </w:r>
      <w:r w:rsidR="000B51EF" w:rsidRPr="00EC1060">
        <w:rPr>
          <w:caps/>
          <w:sz w:val="24"/>
          <w:lang w:val="fr-FR"/>
        </w:rPr>
        <w:t>gnant les résultats partiels de </w:t>
      </w:r>
      <w:r w:rsidRPr="00EC1060">
        <w:rPr>
          <w:caps/>
          <w:sz w:val="24"/>
          <w:lang w:val="fr-FR"/>
        </w:rPr>
        <w:t>recherche</w:t>
      </w:r>
    </w:p>
    <w:p w:rsidR="0059134D" w:rsidRPr="00EC1060" w:rsidRDefault="0059134D" w:rsidP="00EC1060">
      <w:pPr>
        <w:rPr>
          <w:lang w:val="fr-FR"/>
        </w:rPr>
      </w:pPr>
    </w:p>
    <w:p w:rsidR="0059134D" w:rsidRPr="00EC1060" w:rsidRDefault="0059134D" w:rsidP="00EC1060">
      <w:pPr>
        <w:rPr>
          <w:i/>
          <w:lang w:val="fr-FR"/>
        </w:rPr>
      </w:pPr>
      <w:bookmarkStart w:id="5" w:name="Prepared"/>
      <w:bookmarkEnd w:id="5"/>
      <w:r w:rsidRPr="00EC1060">
        <w:rPr>
          <w:i/>
          <w:lang w:val="fr-FR"/>
        </w:rPr>
        <w:t>Document établi par l</w:t>
      </w:r>
      <w:r w:rsidR="002E21C9" w:rsidRPr="00EC1060">
        <w:rPr>
          <w:i/>
          <w:lang w:val="fr-FR"/>
        </w:rPr>
        <w:t>’</w:t>
      </w:r>
      <w:r w:rsidRPr="00EC1060">
        <w:rPr>
          <w:i/>
          <w:lang w:val="fr-FR"/>
        </w:rPr>
        <w:t>Office européen des brevets</w:t>
      </w:r>
    </w:p>
    <w:p w:rsidR="0059134D" w:rsidRPr="00EC1060" w:rsidRDefault="0059134D" w:rsidP="00EC1060">
      <w:pPr>
        <w:rPr>
          <w:lang w:val="fr-FR"/>
        </w:rPr>
      </w:pPr>
    </w:p>
    <w:p w:rsidR="0059134D" w:rsidRPr="00EC1060" w:rsidRDefault="0059134D" w:rsidP="00EC1060">
      <w:pPr>
        <w:rPr>
          <w:lang w:val="fr-FR"/>
        </w:rPr>
      </w:pPr>
    </w:p>
    <w:p w:rsidR="0059134D" w:rsidRPr="00EC1060" w:rsidRDefault="0059134D" w:rsidP="00EC1060">
      <w:pPr>
        <w:rPr>
          <w:lang w:val="fr-FR"/>
        </w:rPr>
      </w:pPr>
    </w:p>
    <w:p w:rsidR="0059134D" w:rsidRPr="00EC1060" w:rsidRDefault="0059134D" w:rsidP="00EC1060">
      <w:pPr>
        <w:pStyle w:val="Heading1"/>
        <w:rPr>
          <w:lang w:val="fr-FR"/>
        </w:rPr>
      </w:pPr>
      <w:r w:rsidRPr="00EC1060">
        <w:rPr>
          <w:lang w:val="fr-FR"/>
        </w:rPr>
        <w:t>Résumé</w:t>
      </w:r>
    </w:p>
    <w:p w:rsidR="002E21C9" w:rsidRPr="00EC1060" w:rsidRDefault="002E21C9" w:rsidP="00EC1060">
      <w:pPr>
        <w:rPr>
          <w:lang w:val="fr-FR"/>
        </w:rPr>
      </w:pPr>
    </w:p>
    <w:p w:rsidR="0059134D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t>Le présent document décrit un nouveau service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Office européen des brevets, lancé le</w:t>
      </w:r>
      <w:r w:rsidR="002E21C9" w:rsidRPr="00EC1060">
        <w:rPr>
          <w:lang w:val="fr-FR"/>
        </w:rPr>
        <w:t xml:space="preserve"> 1</w:t>
      </w:r>
      <w:r w:rsidR="002E21C9" w:rsidRPr="00EC1060">
        <w:rPr>
          <w:vertAlign w:val="superscript"/>
          <w:lang w:val="fr-FR"/>
        </w:rPr>
        <w:t>er</w:t>
      </w:r>
      <w:r w:rsidR="002E21C9" w:rsidRPr="00EC1060">
        <w:rPr>
          <w:lang w:val="fr-FR"/>
        </w:rPr>
        <w:t> avril 20</w:t>
      </w:r>
      <w:r w:rsidRPr="00EC1060">
        <w:rPr>
          <w:lang w:val="fr-FR"/>
        </w:rPr>
        <w:t>17.  En cas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absence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unité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invention, en même temps qu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il établira le rapport de recherche internationale sur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 mentionnée en premier lieu dans les revendications,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donnera un avis provisoire sur la brevetabilité de cette invention.</w:t>
      </w:r>
    </w:p>
    <w:p w:rsidR="0059134D" w:rsidRPr="00EC1060" w:rsidRDefault="0059134D" w:rsidP="00EC1060">
      <w:pPr>
        <w:pStyle w:val="Heading1"/>
        <w:rPr>
          <w:lang w:val="fr-FR"/>
        </w:rPr>
      </w:pPr>
      <w:r w:rsidRPr="00EC1060">
        <w:rPr>
          <w:lang w:val="fr-FR"/>
        </w:rPr>
        <w:t>Nouveau service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Office européen des brevets</w:t>
      </w:r>
    </w:p>
    <w:p w:rsidR="002E21C9" w:rsidRPr="00EC1060" w:rsidRDefault="002E21C9" w:rsidP="00EC1060">
      <w:pPr>
        <w:rPr>
          <w:lang w:val="fr-FR"/>
        </w:rPr>
      </w:pPr>
    </w:p>
    <w:p w:rsidR="002E21C9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t>Le</w:t>
      </w:r>
      <w:r w:rsidR="002E21C9" w:rsidRPr="00EC1060">
        <w:rPr>
          <w:lang w:val="fr-FR"/>
        </w:rPr>
        <w:t xml:space="preserve"> 1</w:t>
      </w:r>
      <w:r w:rsidR="002E21C9" w:rsidRPr="00EC1060">
        <w:rPr>
          <w:vertAlign w:val="superscript"/>
          <w:lang w:val="fr-FR"/>
        </w:rPr>
        <w:t>er</w:t>
      </w:r>
      <w:r w:rsidR="002E21C9" w:rsidRPr="00EC1060">
        <w:rPr>
          <w:lang w:val="fr-FR"/>
        </w:rPr>
        <w:t> avril 20</w:t>
      </w:r>
      <w:r w:rsidRPr="00EC1060">
        <w:rPr>
          <w:lang w:val="fr-FR"/>
        </w:rPr>
        <w:t>17,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Office européen des brevets (OEB), en sa qualité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administration chargée de la recherche internationale, a lancé un nouveau service destiné à améliorer la qualité de ses produits de recherche et la transparence de ses procédures (</w:t>
      </w:r>
      <w:r w:rsidR="000B51EF" w:rsidRPr="00EC1060">
        <w:rPr>
          <w:lang w:val="fr-FR"/>
        </w:rPr>
        <w:t>c</w:t>
      </w:r>
      <w:r w:rsidRPr="00EC1060">
        <w:rPr>
          <w:lang w:val="fr-FR"/>
        </w:rPr>
        <w:t>ommuniqué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 xml:space="preserve">Office européen des brevets, daté du </w:t>
      </w:r>
      <w:r w:rsidR="002E21C9" w:rsidRPr="00EC1060">
        <w:rPr>
          <w:lang w:val="fr-FR"/>
        </w:rPr>
        <w:t>3 mars 20</w:t>
      </w:r>
      <w:r w:rsidRPr="00EC1060">
        <w:rPr>
          <w:lang w:val="fr-FR"/>
        </w:rPr>
        <w:t>17, concernant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envoi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 avis provisoire accompagnant les résultats partiels de recherche, JO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OEB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2017, A20).  À compter de la date indiquée, en cas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absence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unité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invention,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adressera aux déposants non seulement un rapport de recherche internationale partiel concernant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 mentionnée en premier lieu dans les revendications, mais aussi un avis provisoire sur la brevetabilité de cette inventi</w:t>
      </w:r>
      <w:r w:rsidR="00F517BB" w:rsidRPr="00EC1060">
        <w:rPr>
          <w:lang w:val="fr-FR"/>
        </w:rPr>
        <w:t>on.  L’é</w:t>
      </w:r>
      <w:r w:rsidRPr="00EC1060">
        <w:rPr>
          <w:lang w:val="fr-FR"/>
        </w:rPr>
        <w:t>valuation provisoire de la brevetabilité de la première invention constitue une base utile pour les déposants qui doivent, à ce stade de la procédure, prendre des décisions stratégiques concernant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avenir de la demande de brevet, par exemple celle de payer ou non des taxes de recherche additionnelles.</w:t>
      </w:r>
    </w:p>
    <w:p w:rsidR="0059134D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lastRenderedPageBreak/>
        <w:t>La mise en place de ce nouveau service s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inscrit dans la lignée des efforts continus entrepris par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pour contribuer au renforcement du système</w:t>
      </w:r>
      <w:r w:rsidR="002E21C9" w:rsidRPr="00EC1060">
        <w:rPr>
          <w:lang w:val="fr-FR"/>
        </w:rPr>
        <w:t xml:space="preserve"> du PCT</w:t>
      </w:r>
      <w:r w:rsidRPr="00EC1060">
        <w:rPr>
          <w:lang w:val="fr-FR"/>
        </w:rPr>
        <w:t xml:space="preserve">, et qui ont notamment donné lieu, </w:t>
      </w:r>
      <w:r w:rsidR="002E21C9" w:rsidRPr="00EC1060">
        <w:rPr>
          <w:lang w:val="fr-FR"/>
        </w:rPr>
        <w:t>en 2015</w:t>
      </w:r>
      <w:r w:rsidRPr="00EC1060">
        <w:rPr>
          <w:lang w:val="fr-FR"/>
        </w:rPr>
        <w:t>, au lancement du programme pilote visant à fournir des informations supplémentaires au sujet de la stratégie de recherche utilisée par les examinateurs (</w:t>
      </w:r>
      <w:r w:rsidR="00EC1060" w:rsidRPr="00EC1060">
        <w:rPr>
          <w:lang w:val="fr-FR"/>
        </w:rPr>
        <w:t>reconduit</w:t>
      </w:r>
      <w:r w:rsidRPr="00EC1060">
        <w:rPr>
          <w:lang w:val="fr-FR"/>
        </w:rPr>
        <w:t xml:space="preserve"> jusqu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 xml:space="preserve">à la fin </w:t>
      </w:r>
      <w:r w:rsidR="002E21C9" w:rsidRPr="00EC1060">
        <w:rPr>
          <w:lang w:val="fr-FR"/>
        </w:rPr>
        <w:t xml:space="preserve">de 2017 – </w:t>
      </w:r>
      <w:r w:rsidRPr="00EC1060">
        <w:rPr>
          <w:lang w:val="fr-FR"/>
        </w:rPr>
        <w:t>JO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OEB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2017, A3).  Une autre avancée notable dans cette direction était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introduction du service PCT Direct, grâce auquel le déposant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une demande internationale qui revendique la priorité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une demande antérieure ayant déjà fait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objet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une recherche par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peut répondre à toute objection soulevée dans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avis au stade de la recherche établi pour la demande dont la priorité est revendiquée (voir document PCT/WG/9/21).  Ce service a aussi été amélioré grâce à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autorisation accordée aux examinateurs, à compter du</w:t>
      </w:r>
      <w:r w:rsidR="002E21C9" w:rsidRPr="00EC1060">
        <w:rPr>
          <w:lang w:val="fr-FR"/>
        </w:rPr>
        <w:t xml:space="preserve"> 1</w:t>
      </w:r>
      <w:r w:rsidR="002E21C9" w:rsidRPr="00EC1060">
        <w:rPr>
          <w:vertAlign w:val="superscript"/>
          <w:lang w:val="fr-FR"/>
        </w:rPr>
        <w:t>er</w:t>
      </w:r>
      <w:r w:rsidR="002E21C9" w:rsidRPr="00EC1060">
        <w:rPr>
          <w:lang w:val="fr-FR"/>
        </w:rPr>
        <w:t> avril 20</w:t>
      </w:r>
      <w:r w:rsidRPr="00EC1060">
        <w:rPr>
          <w:lang w:val="fr-FR"/>
        </w:rPr>
        <w:t>17, de faire expressément référence à la lettr</w:t>
      </w:r>
      <w:r w:rsidR="000B51EF" w:rsidRPr="00EC1060">
        <w:rPr>
          <w:lang w:val="fr-FR"/>
        </w:rPr>
        <w:t>e PCT </w:t>
      </w:r>
      <w:r w:rsidRPr="00EC1060">
        <w:rPr>
          <w:lang w:val="fr-FR"/>
        </w:rPr>
        <w:t>Direct dans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opinion écrite, le cas échéant (JO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OEB</w:t>
      </w:r>
      <w:r w:rsidR="000B51EF" w:rsidRPr="00EC1060">
        <w:rPr>
          <w:lang w:val="fr-FR"/>
        </w:rPr>
        <w:t> </w:t>
      </w:r>
      <w:r w:rsidRPr="00EC1060">
        <w:rPr>
          <w:lang w:val="fr-FR"/>
        </w:rPr>
        <w:t>2017, A21).</w:t>
      </w:r>
    </w:p>
    <w:p w:rsidR="0059134D" w:rsidRPr="00EC1060" w:rsidRDefault="0059134D" w:rsidP="00EC1060">
      <w:pPr>
        <w:pStyle w:val="Heading1"/>
        <w:rPr>
          <w:lang w:val="fr-FR"/>
        </w:rPr>
      </w:pPr>
      <w:r w:rsidRPr="00EC1060">
        <w:rPr>
          <w:lang w:val="fr-FR"/>
        </w:rPr>
        <w:t xml:space="preserve">Contenu et </w:t>
      </w:r>
      <w:r w:rsidR="00F517BB" w:rsidRPr="00EC1060">
        <w:rPr>
          <w:lang w:val="fr-FR"/>
        </w:rPr>
        <w:t>f</w:t>
      </w:r>
      <w:r w:rsidRPr="00EC1060">
        <w:rPr>
          <w:lang w:val="fr-FR"/>
        </w:rPr>
        <w:t>orme</w:t>
      </w:r>
    </w:p>
    <w:p w:rsidR="00F517BB" w:rsidRPr="00EC1060" w:rsidRDefault="00F517BB" w:rsidP="00EC1060">
      <w:pPr>
        <w:rPr>
          <w:lang w:val="fr-FR"/>
        </w:rPr>
      </w:pPr>
    </w:p>
    <w:p w:rsidR="002E21C9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t>Avant le</w:t>
      </w:r>
      <w:r w:rsidR="002E21C9" w:rsidRPr="00EC1060">
        <w:rPr>
          <w:lang w:val="fr-FR"/>
        </w:rPr>
        <w:t xml:space="preserve"> 1</w:t>
      </w:r>
      <w:r w:rsidR="002E21C9" w:rsidRPr="00EC1060">
        <w:rPr>
          <w:vertAlign w:val="superscript"/>
          <w:lang w:val="fr-FR"/>
        </w:rPr>
        <w:t>er</w:t>
      </w:r>
      <w:r w:rsidR="002E21C9" w:rsidRPr="00EC1060">
        <w:rPr>
          <w:lang w:val="fr-FR"/>
        </w:rPr>
        <w:t> avril 20</w:t>
      </w:r>
      <w:r w:rsidRPr="00EC1060">
        <w:rPr>
          <w:lang w:val="fr-FR"/>
        </w:rPr>
        <w:t>17, si une absence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unité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 était constatée au stade de la recherche, les déposants ne recevaient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opinion écrite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administration chargée de la recherche internationale concernant la brevetabilité qu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 xml:space="preserve">avec le rapport de recherche internationale </w:t>
      </w:r>
      <w:r w:rsidR="00FE5BD4" w:rsidRPr="00EC1060">
        <w:rPr>
          <w:lang w:val="fr-FR"/>
        </w:rPr>
        <w:t>“</w:t>
      </w:r>
      <w:r w:rsidRPr="00EC1060">
        <w:rPr>
          <w:lang w:val="fr-FR"/>
        </w:rPr>
        <w:t>définitif</w:t>
      </w:r>
      <w:r w:rsidR="00FE5BD4" w:rsidRPr="00EC1060">
        <w:rPr>
          <w:lang w:val="fr-FR"/>
        </w:rPr>
        <w:t>”</w:t>
      </w:r>
      <w:r w:rsidRPr="00EC1060">
        <w:rPr>
          <w:lang w:val="fr-FR"/>
        </w:rPr>
        <w:t xml:space="preserve"> (</w:t>
      </w:r>
      <w:r w:rsidR="002E21C9" w:rsidRPr="00EC1060">
        <w:rPr>
          <w:lang w:val="fr-FR"/>
        </w:rPr>
        <w:t>règle 4</w:t>
      </w:r>
      <w:r w:rsidRPr="00EC1060">
        <w:rPr>
          <w:lang w:val="fr-FR"/>
        </w:rPr>
        <w:t>3</w:t>
      </w:r>
      <w:r w:rsidRPr="00EC1060">
        <w:rPr>
          <w:i/>
          <w:lang w:val="fr-FR"/>
        </w:rPr>
        <w:t>bis</w:t>
      </w:r>
      <w:r w:rsidRPr="00EC1060">
        <w:rPr>
          <w:lang w:val="fr-FR"/>
        </w:rPr>
        <w:t>.1).  Depuis cette date,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envoie un avis provisoire sur la brevetabilité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 (ou de la pluralité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inventions) mentionnée en premier lieu dans les revendications, accompagné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invitation à payer des taxes additionnelles/autres et des résultats partiels de recherche (formulaire PCT/ISA/206)</w:t>
      </w:r>
      <w:r w:rsidR="00FE5BD4" w:rsidRPr="00EC1060">
        <w:rPr>
          <w:lang w:val="fr-FR"/>
        </w:rPr>
        <w:t xml:space="preserve"> </w:t>
      </w:r>
      <w:r w:rsidRPr="00EC1060">
        <w:rPr>
          <w:lang w:val="fr-FR"/>
        </w:rPr>
        <w:t>dans un nouveau formulaire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(formulaire n° 1707).  Ce formulaire est accessible au public via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inspection publique en ligne.</w:t>
      </w:r>
    </w:p>
    <w:p w:rsidR="0059134D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t>Il convient cependant de préciser que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avis provisoire est fourni uniquement à titre informatif</w:t>
      </w:r>
      <w:r w:rsidR="00FE5BD4" w:rsidRPr="00EC1060">
        <w:rPr>
          <w:lang w:val="fr-FR"/>
        </w:rPr>
        <w:t> </w:t>
      </w:r>
      <w:r w:rsidRPr="00EC1060">
        <w:rPr>
          <w:lang w:val="fr-FR"/>
        </w:rPr>
        <w:t xml:space="preserve">: le déposant ne peut formuler aucun commentaire répondant aux éléments </w:t>
      </w:r>
      <w:r w:rsidR="00EC1060" w:rsidRPr="00EC1060">
        <w:rPr>
          <w:lang w:val="fr-FR"/>
        </w:rPr>
        <w:t>soulevés</w:t>
      </w:r>
      <w:r w:rsidRPr="00EC1060">
        <w:rPr>
          <w:lang w:val="fr-FR"/>
        </w:rPr>
        <w:t xml:space="preserve"> dans cet avis et, s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 xml:space="preserve">il le fait, ses commentaires ne seront pas pris en </w:t>
      </w:r>
      <w:r w:rsidR="00EC1060" w:rsidRPr="00EC1060">
        <w:rPr>
          <w:lang w:val="fr-FR"/>
        </w:rPr>
        <w:t>considération</w:t>
      </w:r>
      <w:r w:rsidRPr="00EC1060">
        <w:rPr>
          <w:lang w:val="fr-FR"/>
        </w:rPr>
        <w:t xml:space="preserve"> par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examinateur dans son opinion écri</w:t>
      </w:r>
      <w:r w:rsidR="00F517BB" w:rsidRPr="00EC1060">
        <w:rPr>
          <w:lang w:val="fr-FR"/>
        </w:rPr>
        <w:t>te.  To</w:t>
      </w:r>
      <w:r w:rsidRPr="00EC1060">
        <w:rPr>
          <w:lang w:val="fr-FR"/>
        </w:rPr>
        <w:t>ute modification au titre de l</w:t>
      </w:r>
      <w:r w:rsidR="002E21C9" w:rsidRPr="00EC1060">
        <w:rPr>
          <w:lang w:val="fr-FR"/>
        </w:rPr>
        <w:t>’article 1</w:t>
      </w:r>
      <w:r w:rsidRPr="00EC1060">
        <w:rPr>
          <w:lang w:val="fr-FR"/>
        </w:rPr>
        <w:t>9, tout commentaire écrit informel, toute modification ou tout argument au titre de l</w:t>
      </w:r>
      <w:r w:rsidR="002E21C9" w:rsidRPr="00EC1060">
        <w:rPr>
          <w:lang w:val="fr-FR"/>
        </w:rPr>
        <w:t>’article 3</w:t>
      </w:r>
      <w:r w:rsidRPr="00EC1060">
        <w:rPr>
          <w:lang w:val="fr-FR"/>
        </w:rPr>
        <w:t xml:space="preserve">4 et toutes les réponses visées à la </w:t>
      </w:r>
      <w:r w:rsidR="002E21C9" w:rsidRPr="00EC1060">
        <w:rPr>
          <w:lang w:val="fr-FR"/>
        </w:rPr>
        <w:t>règle 1</w:t>
      </w:r>
      <w:r w:rsidRPr="00EC1060">
        <w:rPr>
          <w:lang w:val="fr-FR"/>
        </w:rPr>
        <w:t>61 de la Convention sur le brevet européen devraient par conséquent continuer d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 xml:space="preserve">être présentés après le rapport de recherche internationale </w:t>
      </w:r>
      <w:r w:rsidR="00FE5BD4" w:rsidRPr="00EC1060">
        <w:rPr>
          <w:lang w:val="fr-FR"/>
        </w:rPr>
        <w:t>“</w:t>
      </w:r>
      <w:r w:rsidRPr="00EC1060">
        <w:rPr>
          <w:lang w:val="fr-FR"/>
        </w:rPr>
        <w:t>définitif</w:t>
      </w:r>
      <w:r w:rsidR="00FE5BD4" w:rsidRPr="00EC1060">
        <w:rPr>
          <w:lang w:val="fr-FR"/>
        </w:rPr>
        <w:t>”</w:t>
      </w:r>
      <w:r w:rsidRPr="00EC1060">
        <w:rPr>
          <w:lang w:val="fr-FR"/>
        </w:rPr>
        <w:t xml:space="preserve"> et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opinion écrite de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administration chargée de la recherche internationale.</w:t>
      </w:r>
    </w:p>
    <w:p w:rsidR="002E21C9" w:rsidRPr="00EC1060" w:rsidRDefault="0059134D" w:rsidP="00EC1060">
      <w:pPr>
        <w:pStyle w:val="ONUMFS"/>
        <w:rPr>
          <w:lang w:val="fr-FR"/>
        </w:rPr>
      </w:pPr>
      <w:r w:rsidRPr="00EC1060">
        <w:rPr>
          <w:lang w:val="fr-FR"/>
        </w:rPr>
        <w:t>Ce service additionnel concerne non seulement les produits de recherche fournis par l</w:t>
      </w:r>
      <w:r w:rsidR="002E21C9" w:rsidRPr="00EC1060">
        <w:rPr>
          <w:lang w:val="fr-FR"/>
        </w:rPr>
        <w:t>’</w:t>
      </w:r>
      <w:r w:rsidRPr="00EC1060">
        <w:rPr>
          <w:lang w:val="fr-FR"/>
        </w:rPr>
        <w:t>OEB dans la phase internationale mais aussi les recherches menées dans la phase régionale, pour les demandes euro</w:t>
      </w:r>
      <w:r w:rsidR="000B51EF" w:rsidRPr="00EC1060">
        <w:rPr>
          <w:lang w:val="fr-FR"/>
        </w:rPr>
        <w:noBreakHyphen/>
      </w:r>
      <w:r w:rsidRPr="00EC1060">
        <w:rPr>
          <w:lang w:val="fr-FR"/>
        </w:rPr>
        <w:t>directes et euro</w:t>
      </w:r>
      <w:r w:rsidR="000B51EF" w:rsidRPr="00EC1060">
        <w:rPr>
          <w:lang w:val="fr-FR"/>
        </w:rPr>
        <w:noBreakHyphen/>
      </w:r>
      <w:r w:rsidRPr="00EC1060">
        <w:rPr>
          <w:lang w:val="fr-FR"/>
        </w:rPr>
        <w:t>PCT.</w:t>
      </w:r>
    </w:p>
    <w:p w:rsidR="0059134D" w:rsidRPr="00EC1060" w:rsidRDefault="0059134D" w:rsidP="00EC1060">
      <w:pPr>
        <w:pStyle w:val="ONUMFS"/>
        <w:ind w:left="5533"/>
        <w:rPr>
          <w:i/>
          <w:lang w:val="fr-FR"/>
        </w:rPr>
      </w:pPr>
      <w:r w:rsidRPr="00EC1060">
        <w:rPr>
          <w:i/>
          <w:lang w:val="fr-FR"/>
        </w:rPr>
        <w:t>Le groupe de travail est invité à prendre note du contenu du présent document.</w:t>
      </w:r>
    </w:p>
    <w:p w:rsidR="0059134D" w:rsidRPr="00EC1060" w:rsidRDefault="0059134D" w:rsidP="00EC1060">
      <w:pPr>
        <w:rPr>
          <w:lang w:val="fr-FR"/>
        </w:rPr>
      </w:pPr>
    </w:p>
    <w:p w:rsidR="002E21C9" w:rsidRPr="00EC1060" w:rsidRDefault="002E21C9" w:rsidP="00EC1060">
      <w:pPr>
        <w:rPr>
          <w:lang w:val="fr-FR"/>
        </w:rPr>
      </w:pPr>
    </w:p>
    <w:p w:rsidR="0059134D" w:rsidRPr="00EC1060" w:rsidRDefault="0059134D" w:rsidP="00EC1060">
      <w:pPr>
        <w:pStyle w:val="ONUME"/>
        <w:numPr>
          <w:ilvl w:val="0"/>
          <w:numId w:val="0"/>
        </w:numPr>
        <w:ind w:left="5533"/>
        <w:rPr>
          <w:lang w:val="fr-FR"/>
        </w:rPr>
      </w:pPr>
      <w:r w:rsidRPr="00EC1060">
        <w:rPr>
          <w:lang w:val="fr-FR"/>
        </w:rPr>
        <w:t>[Fin du document]</w:t>
      </w:r>
    </w:p>
    <w:sectPr w:rsidR="0059134D" w:rsidRPr="00EC1060" w:rsidSect="0059134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4D" w:rsidRDefault="0059134D">
      <w:r>
        <w:separator/>
      </w:r>
    </w:p>
  </w:endnote>
  <w:endnote w:type="continuationSeparator" w:id="0">
    <w:p w:rsidR="0059134D" w:rsidRPr="009D30E6" w:rsidRDefault="005913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9134D" w:rsidRPr="009D30E6" w:rsidRDefault="005913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59134D" w:rsidRPr="009D30E6" w:rsidRDefault="005913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4D" w:rsidRDefault="0059134D">
      <w:r>
        <w:separator/>
      </w:r>
    </w:p>
  </w:footnote>
  <w:footnote w:type="continuationSeparator" w:id="0">
    <w:p w:rsidR="0059134D" w:rsidRDefault="0059134D" w:rsidP="007461F1">
      <w:r>
        <w:separator/>
      </w:r>
    </w:p>
    <w:p w:rsidR="0059134D" w:rsidRPr="009D30E6" w:rsidRDefault="005913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59134D" w:rsidRPr="009D30E6" w:rsidRDefault="005913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59134D" w:rsidP="00477D6B">
    <w:pPr>
      <w:jc w:val="right"/>
    </w:pPr>
    <w:bookmarkStart w:id="6" w:name="Code2"/>
    <w:bookmarkEnd w:id="6"/>
    <w:r>
      <w:t>PCT/WG/10/14</w:t>
    </w:r>
  </w:p>
  <w:p w:rsidR="00F16975" w:rsidRDefault="00F16975" w:rsidP="00477D6B">
    <w:pPr>
      <w:jc w:val="right"/>
    </w:pPr>
    <w:proofErr w:type="gramStart"/>
    <w:r>
      <w:t>page</w:t>
    </w:r>
    <w:proofErr w:type="gramEnd"/>
    <w:r w:rsidR="000B51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2756D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D"/>
    <w:rsid w:val="000005EB"/>
    <w:rsid w:val="00011B7D"/>
    <w:rsid w:val="00075432"/>
    <w:rsid w:val="0009458A"/>
    <w:rsid w:val="000B51EF"/>
    <w:rsid w:val="000F5E56"/>
    <w:rsid w:val="001362EE"/>
    <w:rsid w:val="001832A6"/>
    <w:rsid w:val="00195C6E"/>
    <w:rsid w:val="001B266A"/>
    <w:rsid w:val="001D3D56"/>
    <w:rsid w:val="0022756D"/>
    <w:rsid w:val="00240654"/>
    <w:rsid w:val="002634C4"/>
    <w:rsid w:val="002E21C9"/>
    <w:rsid w:val="002E4D1A"/>
    <w:rsid w:val="002F16BC"/>
    <w:rsid w:val="002F4E68"/>
    <w:rsid w:val="00322C0B"/>
    <w:rsid w:val="003845C1"/>
    <w:rsid w:val="003A67A3"/>
    <w:rsid w:val="004008A2"/>
    <w:rsid w:val="004025DF"/>
    <w:rsid w:val="00423E3E"/>
    <w:rsid w:val="00427AF4"/>
    <w:rsid w:val="004647DA"/>
    <w:rsid w:val="00477D6B"/>
    <w:rsid w:val="004906DF"/>
    <w:rsid w:val="004D6471"/>
    <w:rsid w:val="0051455D"/>
    <w:rsid w:val="00525B63"/>
    <w:rsid w:val="00541348"/>
    <w:rsid w:val="005421DD"/>
    <w:rsid w:val="00567A4C"/>
    <w:rsid w:val="00576B58"/>
    <w:rsid w:val="0059134D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B69"/>
    <w:rsid w:val="00974CD6"/>
    <w:rsid w:val="009D30E6"/>
    <w:rsid w:val="009E3F6F"/>
    <w:rsid w:val="009F499F"/>
    <w:rsid w:val="00AC0AE4"/>
    <w:rsid w:val="00AD61DB"/>
    <w:rsid w:val="00B35AF5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C1060"/>
    <w:rsid w:val="00EE71CB"/>
    <w:rsid w:val="00F16975"/>
    <w:rsid w:val="00F517BB"/>
    <w:rsid w:val="00F66152"/>
    <w:rsid w:val="00FE5BD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F517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27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6D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F517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27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6D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10 (F)</Template>
  <TotalTime>1</TotalTime>
  <Pages>2</Pages>
  <Words>696</Words>
  <Characters>3927</Characters>
  <Application>Microsoft Office Word</Application>
  <DocSecurity>0</DocSecurity>
  <Lines>187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PCT/WG/10/14</dc:title>
  <dc:subject>Issuance of a Provisional Opinion Accompanying the Partial Search Results</dc:subject>
  <dc:creator>OLIVIÉ Karen</dc:creator>
  <cp:lastModifiedBy>MARLOW Thomas</cp:lastModifiedBy>
  <cp:revision>2</cp:revision>
  <cp:lastPrinted>2017-04-07T07:47:00Z</cp:lastPrinted>
  <dcterms:created xsi:type="dcterms:W3CDTF">2017-04-11T09:16:00Z</dcterms:created>
  <dcterms:modified xsi:type="dcterms:W3CDTF">2017-04-11T09:16:00Z</dcterms:modified>
</cp:coreProperties>
</file>