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C61D8" w:rsidRPr="00DC61D8" w:rsidTr="00062F14">
        <w:tc>
          <w:tcPr>
            <w:tcW w:w="4513" w:type="dxa"/>
            <w:tcBorders>
              <w:bottom w:val="single" w:sz="4" w:space="0" w:color="auto"/>
            </w:tcBorders>
            <w:tcMar>
              <w:bottom w:w="170" w:type="dxa"/>
            </w:tcMar>
          </w:tcPr>
          <w:p w:rsidR="00DC61D8" w:rsidRPr="00DC61D8" w:rsidRDefault="00DC61D8" w:rsidP="00062F14">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DC61D8" w:rsidRPr="00DC61D8" w:rsidRDefault="00DC61D8" w:rsidP="00062F14">
            <w:pPr>
              <w:rPr>
                <w:lang w:val="fr-FR"/>
              </w:rPr>
            </w:pPr>
            <w:r w:rsidRPr="00DC61D8">
              <w:rPr>
                <w:noProof/>
                <w:lang w:eastAsia="en-US"/>
              </w:rPr>
              <w:drawing>
                <wp:inline distT="0" distB="0" distL="0" distR="0" wp14:anchorId="08C6960A" wp14:editId="4576BB13">
                  <wp:extent cx="1855470"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C61D8" w:rsidRPr="00DC61D8" w:rsidRDefault="00DC61D8" w:rsidP="00062F14">
            <w:pPr>
              <w:jc w:val="right"/>
              <w:rPr>
                <w:lang w:val="fr-FR"/>
              </w:rPr>
            </w:pPr>
            <w:r w:rsidRPr="00DC61D8">
              <w:rPr>
                <w:b/>
                <w:sz w:val="40"/>
                <w:szCs w:val="40"/>
                <w:lang w:val="fr-FR"/>
              </w:rPr>
              <w:t>F</w:t>
            </w:r>
          </w:p>
        </w:tc>
      </w:tr>
      <w:tr w:rsidR="00DC61D8" w:rsidRPr="00DC61D8" w:rsidTr="00062F14">
        <w:trPr>
          <w:trHeight w:hRule="exact" w:val="357"/>
        </w:trPr>
        <w:tc>
          <w:tcPr>
            <w:tcW w:w="9356" w:type="dxa"/>
            <w:gridSpan w:val="3"/>
            <w:tcBorders>
              <w:top w:val="single" w:sz="4" w:space="0" w:color="auto"/>
            </w:tcBorders>
            <w:tcMar>
              <w:top w:w="170" w:type="dxa"/>
              <w:left w:w="0" w:type="dxa"/>
              <w:right w:w="0" w:type="dxa"/>
            </w:tcMar>
            <w:vAlign w:val="bottom"/>
          </w:tcPr>
          <w:p w:rsidR="00DC61D8" w:rsidRPr="00DC61D8" w:rsidRDefault="00DC61D8" w:rsidP="00062F14">
            <w:pPr>
              <w:jc w:val="right"/>
              <w:rPr>
                <w:rFonts w:ascii="Arial Black" w:hAnsi="Arial Black"/>
                <w:caps/>
                <w:sz w:val="15"/>
                <w:lang w:val="fr-FR"/>
              </w:rPr>
            </w:pPr>
            <w:r w:rsidRPr="00DC61D8">
              <w:rPr>
                <w:rFonts w:ascii="Arial Black" w:hAnsi="Arial Black"/>
                <w:caps/>
                <w:sz w:val="15"/>
                <w:lang w:val="fr-FR"/>
              </w:rPr>
              <w:t>PCT/WG/10/</w:t>
            </w:r>
            <w:bookmarkStart w:id="2" w:name="Code"/>
            <w:bookmarkEnd w:id="2"/>
            <w:r w:rsidRPr="00DC61D8">
              <w:rPr>
                <w:rFonts w:ascii="Arial Black" w:hAnsi="Arial Black"/>
                <w:caps/>
                <w:sz w:val="15"/>
                <w:lang w:val="fr-FR"/>
              </w:rPr>
              <w:t xml:space="preserve">18 </w:t>
            </w:r>
          </w:p>
        </w:tc>
      </w:tr>
      <w:tr w:rsidR="00DC61D8" w:rsidRPr="00DC61D8" w:rsidTr="00062F14">
        <w:trPr>
          <w:trHeight w:hRule="exact" w:val="170"/>
        </w:trPr>
        <w:tc>
          <w:tcPr>
            <w:tcW w:w="9356" w:type="dxa"/>
            <w:gridSpan w:val="3"/>
            <w:noWrap/>
            <w:tcMar>
              <w:left w:w="0" w:type="dxa"/>
              <w:right w:w="0" w:type="dxa"/>
            </w:tcMar>
            <w:vAlign w:val="bottom"/>
          </w:tcPr>
          <w:p w:rsidR="00DC61D8" w:rsidRPr="00DC61D8" w:rsidRDefault="00DC61D8" w:rsidP="00062F14">
            <w:pPr>
              <w:jc w:val="right"/>
              <w:rPr>
                <w:rFonts w:ascii="Arial Black" w:hAnsi="Arial Black"/>
                <w:caps/>
                <w:sz w:val="15"/>
                <w:lang w:val="fr-FR"/>
              </w:rPr>
            </w:pPr>
            <w:r w:rsidRPr="00DC61D8">
              <w:rPr>
                <w:rFonts w:ascii="Arial Black" w:hAnsi="Arial Black"/>
                <w:caps/>
                <w:sz w:val="15"/>
                <w:lang w:val="fr-FR"/>
              </w:rPr>
              <w:t>ORIGINAL</w:t>
            </w:r>
            <w:r w:rsidR="00FE2AEC">
              <w:rPr>
                <w:rFonts w:ascii="Arial Black" w:hAnsi="Arial Black"/>
                <w:caps/>
                <w:sz w:val="15"/>
                <w:lang w:val="fr-FR"/>
              </w:rPr>
              <w:t> :</w:t>
            </w:r>
            <w:r w:rsidRPr="00DC61D8">
              <w:rPr>
                <w:rFonts w:ascii="Arial Black" w:hAnsi="Arial Black"/>
                <w:caps/>
                <w:sz w:val="15"/>
                <w:lang w:val="fr-FR"/>
              </w:rPr>
              <w:t xml:space="preserve"> </w:t>
            </w:r>
            <w:bookmarkStart w:id="3" w:name="Original"/>
            <w:bookmarkEnd w:id="3"/>
            <w:r w:rsidRPr="00DC61D8">
              <w:rPr>
                <w:rFonts w:ascii="Arial Black" w:hAnsi="Arial Black"/>
                <w:caps/>
                <w:sz w:val="15"/>
                <w:lang w:val="fr-FR"/>
              </w:rPr>
              <w:t>anglais</w:t>
            </w:r>
          </w:p>
        </w:tc>
      </w:tr>
      <w:tr w:rsidR="00DC61D8" w:rsidRPr="00DC61D8" w:rsidTr="00062F14">
        <w:trPr>
          <w:trHeight w:hRule="exact" w:val="198"/>
        </w:trPr>
        <w:tc>
          <w:tcPr>
            <w:tcW w:w="9356" w:type="dxa"/>
            <w:gridSpan w:val="3"/>
            <w:tcMar>
              <w:left w:w="0" w:type="dxa"/>
              <w:right w:w="0" w:type="dxa"/>
            </w:tcMar>
            <w:vAlign w:val="bottom"/>
          </w:tcPr>
          <w:p w:rsidR="00DC61D8" w:rsidRPr="00DC61D8" w:rsidRDefault="00DC61D8" w:rsidP="00062F14">
            <w:pPr>
              <w:jc w:val="right"/>
              <w:rPr>
                <w:rFonts w:ascii="Arial Black" w:hAnsi="Arial Black"/>
                <w:caps/>
                <w:sz w:val="15"/>
                <w:lang w:val="fr-FR"/>
              </w:rPr>
            </w:pPr>
            <w:r w:rsidRPr="00DC61D8">
              <w:rPr>
                <w:rFonts w:ascii="Arial Black" w:hAnsi="Arial Black"/>
                <w:caps/>
                <w:sz w:val="15"/>
                <w:lang w:val="fr-FR"/>
              </w:rPr>
              <w:t>DATE</w:t>
            </w:r>
            <w:r w:rsidR="00FE2AEC">
              <w:rPr>
                <w:rFonts w:ascii="Arial Black" w:hAnsi="Arial Black"/>
                <w:caps/>
                <w:sz w:val="15"/>
                <w:lang w:val="fr-FR"/>
              </w:rPr>
              <w:t> :</w:t>
            </w:r>
            <w:r w:rsidRPr="00DC61D8">
              <w:rPr>
                <w:rFonts w:ascii="Arial Black" w:hAnsi="Arial Black"/>
                <w:caps/>
                <w:sz w:val="15"/>
                <w:lang w:val="fr-FR"/>
              </w:rPr>
              <w:t xml:space="preserve"> </w:t>
            </w:r>
            <w:bookmarkStart w:id="4" w:name="Date"/>
            <w:bookmarkEnd w:id="4"/>
            <w:r w:rsidRPr="00DC61D8">
              <w:rPr>
                <w:rFonts w:ascii="Arial Black" w:hAnsi="Arial Black"/>
                <w:caps/>
                <w:sz w:val="15"/>
                <w:lang w:val="fr-FR"/>
              </w:rPr>
              <w:t>11 avril 2017</w:t>
            </w:r>
          </w:p>
        </w:tc>
      </w:tr>
    </w:tbl>
    <w:p w:rsidR="00DC61D8" w:rsidRPr="00DC61D8" w:rsidRDefault="00DC61D8" w:rsidP="00DC61D8">
      <w:pPr>
        <w:rPr>
          <w:lang w:val="fr-FR"/>
        </w:rPr>
      </w:pPr>
    </w:p>
    <w:p w:rsidR="00DC61D8" w:rsidRPr="00DC61D8" w:rsidRDefault="00DC61D8" w:rsidP="00DC61D8">
      <w:pPr>
        <w:rPr>
          <w:lang w:val="fr-FR"/>
        </w:rPr>
      </w:pPr>
    </w:p>
    <w:p w:rsidR="00DC61D8" w:rsidRPr="00DC61D8" w:rsidRDefault="00DC61D8" w:rsidP="00DC61D8">
      <w:pPr>
        <w:rPr>
          <w:lang w:val="fr-FR"/>
        </w:rPr>
      </w:pPr>
    </w:p>
    <w:p w:rsidR="00DC61D8" w:rsidRPr="00DC61D8" w:rsidRDefault="00DC61D8" w:rsidP="00DC61D8">
      <w:pPr>
        <w:rPr>
          <w:lang w:val="fr-FR"/>
        </w:rPr>
      </w:pPr>
    </w:p>
    <w:p w:rsidR="00DC61D8" w:rsidRPr="00DC61D8" w:rsidRDefault="00DC61D8" w:rsidP="00DC61D8">
      <w:pPr>
        <w:rPr>
          <w:lang w:val="fr-FR"/>
        </w:rPr>
      </w:pPr>
    </w:p>
    <w:p w:rsidR="00DC61D8" w:rsidRPr="00DC61D8" w:rsidRDefault="00DC61D8" w:rsidP="00DC61D8">
      <w:pPr>
        <w:rPr>
          <w:b/>
          <w:sz w:val="28"/>
          <w:szCs w:val="28"/>
          <w:lang w:val="fr-FR"/>
        </w:rPr>
      </w:pPr>
      <w:r w:rsidRPr="00DC61D8">
        <w:rPr>
          <w:b/>
          <w:sz w:val="28"/>
          <w:szCs w:val="28"/>
          <w:lang w:val="fr-FR"/>
        </w:rPr>
        <w:t>Groupe de travail du Traité de coopération en matière de brevets (PCT)</w:t>
      </w:r>
    </w:p>
    <w:p w:rsidR="00DC61D8" w:rsidRPr="00DC61D8" w:rsidRDefault="00DC61D8" w:rsidP="00DC61D8">
      <w:pPr>
        <w:rPr>
          <w:lang w:val="fr-FR"/>
        </w:rPr>
      </w:pPr>
    </w:p>
    <w:p w:rsidR="00DC61D8" w:rsidRPr="00DC61D8" w:rsidRDefault="00DC61D8" w:rsidP="00DC61D8">
      <w:pPr>
        <w:rPr>
          <w:lang w:val="fr-FR"/>
        </w:rPr>
      </w:pPr>
    </w:p>
    <w:p w:rsidR="00DC61D8" w:rsidRPr="00DC61D8" w:rsidRDefault="00DC61D8" w:rsidP="00DC61D8">
      <w:pPr>
        <w:rPr>
          <w:b/>
          <w:sz w:val="24"/>
          <w:szCs w:val="24"/>
          <w:lang w:val="fr-FR"/>
        </w:rPr>
      </w:pPr>
      <w:r w:rsidRPr="00DC61D8">
        <w:rPr>
          <w:b/>
          <w:sz w:val="24"/>
          <w:szCs w:val="24"/>
          <w:lang w:val="fr-FR"/>
        </w:rPr>
        <w:t>Dix</w:t>
      </w:r>
      <w:r w:rsidR="00FE2AEC">
        <w:rPr>
          <w:b/>
          <w:sz w:val="24"/>
          <w:szCs w:val="24"/>
          <w:lang w:val="fr-FR"/>
        </w:rPr>
        <w:t>ième session</w:t>
      </w:r>
    </w:p>
    <w:p w:rsidR="00DC61D8" w:rsidRPr="00DC61D8" w:rsidRDefault="00DC61D8" w:rsidP="00DC61D8">
      <w:pPr>
        <w:rPr>
          <w:b/>
          <w:sz w:val="24"/>
          <w:szCs w:val="24"/>
          <w:lang w:val="fr-FR"/>
        </w:rPr>
      </w:pPr>
      <w:r w:rsidRPr="00DC61D8">
        <w:rPr>
          <w:b/>
          <w:sz w:val="24"/>
          <w:szCs w:val="24"/>
          <w:lang w:val="fr-FR"/>
        </w:rPr>
        <w:t>Genève, 8 – 1</w:t>
      </w:r>
      <w:r w:rsidR="00FE2AEC" w:rsidRPr="00DC61D8">
        <w:rPr>
          <w:b/>
          <w:sz w:val="24"/>
          <w:szCs w:val="24"/>
          <w:lang w:val="fr-FR"/>
        </w:rPr>
        <w:t>2</w:t>
      </w:r>
      <w:r w:rsidR="00FE2AEC">
        <w:rPr>
          <w:b/>
          <w:sz w:val="24"/>
          <w:szCs w:val="24"/>
          <w:lang w:val="fr-FR"/>
        </w:rPr>
        <w:t> </w:t>
      </w:r>
      <w:r w:rsidR="00FE2AEC" w:rsidRPr="00DC61D8">
        <w:rPr>
          <w:b/>
          <w:sz w:val="24"/>
          <w:szCs w:val="24"/>
          <w:lang w:val="fr-FR"/>
        </w:rPr>
        <w:t>mai</w:t>
      </w:r>
      <w:r w:rsidR="00FE2AEC">
        <w:rPr>
          <w:b/>
          <w:sz w:val="24"/>
          <w:szCs w:val="24"/>
          <w:lang w:val="fr-FR"/>
        </w:rPr>
        <w:t> </w:t>
      </w:r>
      <w:r w:rsidR="00FE2AEC" w:rsidRPr="00DC61D8">
        <w:rPr>
          <w:b/>
          <w:sz w:val="24"/>
          <w:szCs w:val="24"/>
          <w:lang w:val="fr-FR"/>
        </w:rPr>
        <w:t>20</w:t>
      </w:r>
      <w:r w:rsidRPr="00DC61D8">
        <w:rPr>
          <w:b/>
          <w:sz w:val="24"/>
          <w:szCs w:val="24"/>
          <w:lang w:val="fr-FR"/>
        </w:rPr>
        <w:t>17</w:t>
      </w:r>
    </w:p>
    <w:p w:rsidR="00DC61D8" w:rsidRPr="00DC61D8" w:rsidRDefault="00DC61D8" w:rsidP="00DC61D8">
      <w:pPr>
        <w:rPr>
          <w:lang w:val="fr-FR"/>
        </w:rPr>
      </w:pPr>
    </w:p>
    <w:p w:rsidR="00DC61D8" w:rsidRPr="00DC61D8" w:rsidRDefault="00DC61D8" w:rsidP="00DC61D8">
      <w:pPr>
        <w:rPr>
          <w:lang w:val="fr-FR"/>
        </w:rPr>
      </w:pPr>
    </w:p>
    <w:p w:rsidR="00DC61D8" w:rsidRPr="00DC61D8" w:rsidRDefault="00DC61D8" w:rsidP="00DC61D8">
      <w:pPr>
        <w:rPr>
          <w:lang w:val="fr-FR"/>
        </w:rPr>
      </w:pPr>
    </w:p>
    <w:p w:rsidR="004A0AFA" w:rsidRPr="00720288" w:rsidRDefault="00406707" w:rsidP="00720288">
      <w:pPr>
        <w:rPr>
          <w:caps/>
          <w:sz w:val="24"/>
          <w:lang w:val="fr-FR"/>
        </w:rPr>
      </w:pPr>
      <w:r w:rsidRPr="00720288">
        <w:rPr>
          <w:caps/>
          <w:sz w:val="24"/>
          <w:lang w:val="fr-FR"/>
        </w:rPr>
        <w:t>Proposition relative à une politique de taxes du PCT visant à stimuler le dépôt de demandes de brevet par les établissements universitaires de certains pays, notamment les pays en développement et les pays les moins avancés</w:t>
      </w:r>
    </w:p>
    <w:p w:rsidR="004A0AFA" w:rsidRPr="00720288" w:rsidRDefault="004A0AFA" w:rsidP="00720288">
      <w:pPr>
        <w:rPr>
          <w:szCs w:val="22"/>
          <w:lang w:val="fr-FR"/>
        </w:rPr>
      </w:pPr>
    </w:p>
    <w:p w:rsidR="004A0AFA" w:rsidRPr="00720288" w:rsidRDefault="00521342" w:rsidP="00720288">
      <w:pPr>
        <w:rPr>
          <w:i/>
          <w:szCs w:val="22"/>
          <w:lang w:val="fr-FR"/>
        </w:rPr>
      </w:pPr>
      <w:bookmarkStart w:id="5" w:name="Prepared"/>
      <w:bookmarkEnd w:id="5"/>
      <w:r w:rsidRPr="00720288">
        <w:rPr>
          <w:i/>
          <w:szCs w:val="22"/>
          <w:lang w:val="fr-FR"/>
        </w:rPr>
        <w:t xml:space="preserve">Document </w:t>
      </w:r>
      <w:r w:rsidR="0079731C" w:rsidRPr="00720288">
        <w:rPr>
          <w:i/>
          <w:szCs w:val="22"/>
          <w:lang w:val="fr-FR"/>
        </w:rPr>
        <w:t>présenté</w:t>
      </w:r>
      <w:r w:rsidRPr="00720288">
        <w:rPr>
          <w:i/>
          <w:szCs w:val="22"/>
          <w:lang w:val="fr-FR"/>
        </w:rPr>
        <w:t xml:space="preserve"> par le Brésil</w:t>
      </w:r>
    </w:p>
    <w:p w:rsidR="004A0AFA" w:rsidRPr="00720288" w:rsidRDefault="004A0AFA" w:rsidP="00720288">
      <w:pPr>
        <w:rPr>
          <w:szCs w:val="22"/>
          <w:lang w:val="fr-FR"/>
        </w:rPr>
      </w:pPr>
    </w:p>
    <w:p w:rsidR="004A0AFA" w:rsidRPr="00720288" w:rsidRDefault="004A0AFA" w:rsidP="00720288">
      <w:pPr>
        <w:rPr>
          <w:szCs w:val="22"/>
          <w:lang w:val="fr-FR"/>
        </w:rPr>
      </w:pPr>
    </w:p>
    <w:p w:rsidR="004A0AFA" w:rsidRPr="00720288" w:rsidRDefault="004A0AFA" w:rsidP="00720288">
      <w:pPr>
        <w:rPr>
          <w:szCs w:val="22"/>
          <w:lang w:val="fr-FR"/>
        </w:rPr>
      </w:pPr>
    </w:p>
    <w:p w:rsidR="004A0AFA" w:rsidRDefault="00720288" w:rsidP="00720288">
      <w:pPr>
        <w:pStyle w:val="Heading1"/>
        <w:rPr>
          <w:lang w:val="fr-FR"/>
        </w:rPr>
      </w:pPr>
      <w:r>
        <w:rPr>
          <w:lang w:val="fr-FR"/>
        </w:rPr>
        <w:t>R</w:t>
      </w:r>
      <w:r w:rsidR="00521342" w:rsidRPr="00720288">
        <w:rPr>
          <w:lang w:val="fr-FR"/>
        </w:rPr>
        <w:t>ésumé</w:t>
      </w:r>
    </w:p>
    <w:p w:rsidR="00720288" w:rsidRPr="00720288" w:rsidRDefault="00720288" w:rsidP="00720288">
      <w:pPr>
        <w:rPr>
          <w:lang w:val="fr-FR"/>
        </w:rPr>
      </w:pPr>
    </w:p>
    <w:p w:rsidR="004A0AFA" w:rsidRPr="00720288" w:rsidRDefault="00521342" w:rsidP="00720288">
      <w:pPr>
        <w:pStyle w:val="ONUMFS"/>
        <w:rPr>
          <w:szCs w:val="22"/>
          <w:lang w:val="fr-FR"/>
        </w:rPr>
      </w:pPr>
      <w:r w:rsidRPr="00720288">
        <w:rPr>
          <w:szCs w:val="22"/>
          <w:lang w:val="fr-FR"/>
        </w:rPr>
        <w:t>Le groupe de travail est invité à examiner et approuver une réduction de 50% des taxes</w:t>
      </w:r>
      <w:r w:rsidR="00FE2AEC" w:rsidRPr="00720288">
        <w:rPr>
          <w:szCs w:val="22"/>
          <w:lang w:val="fr-FR"/>
        </w:rPr>
        <w:t xml:space="preserve"> du PCT</w:t>
      </w:r>
      <w:r w:rsidRPr="00720288">
        <w:rPr>
          <w:szCs w:val="22"/>
          <w:lang w:val="fr-FR"/>
        </w:rPr>
        <w:t xml:space="preserve"> pour les établissements universitaires de certains pays, notamment les pays en développement et les pays les moins avanc</w:t>
      </w:r>
      <w:r w:rsidR="00406707" w:rsidRPr="00720288">
        <w:rPr>
          <w:szCs w:val="22"/>
          <w:lang w:val="fr-FR"/>
        </w:rPr>
        <w:t>és.  La</w:t>
      </w:r>
      <w:r w:rsidRPr="00720288">
        <w:rPr>
          <w:szCs w:val="22"/>
          <w:lang w:val="fr-FR"/>
        </w:rPr>
        <w:t xml:space="preserve"> proposition a pour objectif</w:t>
      </w:r>
      <w:r w:rsidR="00FE2AEC" w:rsidRPr="00720288">
        <w:rPr>
          <w:szCs w:val="22"/>
          <w:lang w:val="fr-FR"/>
        </w:rPr>
        <w:t> :</w:t>
      </w:r>
      <w:r w:rsidRPr="00720288">
        <w:rPr>
          <w:szCs w:val="22"/>
          <w:lang w:val="fr-FR"/>
        </w:rPr>
        <w:t xml:space="preserve"> i)</w:t>
      </w:r>
      <w:r w:rsidR="003158B4" w:rsidRPr="00720288">
        <w:rPr>
          <w:szCs w:val="22"/>
          <w:lang w:val="fr-FR"/>
        </w:rPr>
        <w:t> </w:t>
      </w:r>
      <w:r w:rsidRPr="00720288">
        <w:rPr>
          <w:szCs w:val="22"/>
          <w:lang w:val="fr-FR"/>
        </w:rPr>
        <w:t>de stimuler l</w:t>
      </w:r>
      <w:r w:rsidR="00FE2AEC" w:rsidRPr="00720288">
        <w:rPr>
          <w:szCs w:val="22"/>
          <w:lang w:val="fr-FR"/>
        </w:rPr>
        <w:t>’</w:t>
      </w:r>
      <w:r w:rsidRPr="00720288">
        <w:rPr>
          <w:szCs w:val="22"/>
          <w:lang w:val="fr-FR"/>
        </w:rPr>
        <w:t>utilisation du système</w:t>
      </w:r>
      <w:r w:rsidR="00FE2AEC" w:rsidRPr="00720288">
        <w:rPr>
          <w:szCs w:val="22"/>
          <w:lang w:val="fr-FR"/>
        </w:rPr>
        <w:t xml:space="preserve"> du PCT</w:t>
      </w:r>
      <w:r w:rsidRPr="00720288">
        <w:rPr>
          <w:szCs w:val="22"/>
          <w:lang w:val="fr-FR"/>
        </w:rPr>
        <w:t xml:space="preserve"> par les établissements universitaires</w:t>
      </w:r>
      <w:r w:rsidR="00F1405A" w:rsidRPr="00720288">
        <w:rPr>
          <w:szCs w:val="22"/>
          <w:lang w:val="fr-FR"/>
        </w:rPr>
        <w:t>;  et </w:t>
      </w:r>
      <w:r w:rsidRPr="00720288">
        <w:rPr>
          <w:szCs w:val="22"/>
          <w:lang w:val="fr-FR"/>
        </w:rPr>
        <w:t>ii)</w:t>
      </w:r>
      <w:r w:rsidR="003158B4" w:rsidRPr="00720288">
        <w:rPr>
          <w:szCs w:val="22"/>
          <w:lang w:val="fr-FR"/>
        </w:rPr>
        <w:t> </w:t>
      </w:r>
      <w:r w:rsidRPr="00720288">
        <w:rPr>
          <w:szCs w:val="22"/>
          <w:lang w:val="fr-FR"/>
        </w:rPr>
        <w:t>d</w:t>
      </w:r>
      <w:r w:rsidR="00FE2AEC" w:rsidRPr="00720288">
        <w:rPr>
          <w:szCs w:val="22"/>
          <w:lang w:val="fr-FR"/>
        </w:rPr>
        <w:t>’</w:t>
      </w:r>
      <w:r w:rsidRPr="00720288">
        <w:rPr>
          <w:szCs w:val="22"/>
          <w:lang w:val="fr-FR"/>
        </w:rPr>
        <w:t>accroître la diversification géographique des demandes de protection par brevet et des activités de dépôt de demandes internationales selon</w:t>
      </w:r>
      <w:r w:rsidR="00FE2AEC" w:rsidRPr="00720288">
        <w:rPr>
          <w:szCs w:val="22"/>
          <w:lang w:val="fr-FR"/>
        </w:rPr>
        <w:t xml:space="preserve"> le PCT</w:t>
      </w:r>
      <w:r w:rsidRPr="00720288">
        <w:rPr>
          <w:szCs w:val="22"/>
          <w:lang w:val="fr-FR"/>
        </w:rPr>
        <w:t>.</w:t>
      </w:r>
    </w:p>
    <w:p w:rsidR="00D27C45" w:rsidRDefault="00521342" w:rsidP="00720288">
      <w:pPr>
        <w:pStyle w:val="Heading1"/>
        <w:rPr>
          <w:lang w:val="fr-FR"/>
        </w:rPr>
      </w:pPr>
      <w:r w:rsidRPr="00720288">
        <w:rPr>
          <w:lang w:val="fr-FR"/>
        </w:rPr>
        <w:t>Rappel</w:t>
      </w:r>
    </w:p>
    <w:p w:rsidR="00720288" w:rsidRPr="00720288" w:rsidRDefault="00720288" w:rsidP="00720288">
      <w:pPr>
        <w:rPr>
          <w:lang w:val="fr-FR"/>
        </w:rPr>
      </w:pPr>
    </w:p>
    <w:p w:rsidR="004A0AFA" w:rsidRPr="00720288" w:rsidRDefault="00521342" w:rsidP="00720288">
      <w:pPr>
        <w:pStyle w:val="ONUMFS"/>
        <w:rPr>
          <w:szCs w:val="22"/>
          <w:lang w:val="fr-FR"/>
        </w:rPr>
      </w:pPr>
      <w:r w:rsidRPr="00720288">
        <w:rPr>
          <w:szCs w:val="22"/>
          <w:lang w:val="fr-FR"/>
        </w:rPr>
        <w:t>À la sept</w:t>
      </w:r>
      <w:r w:rsidR="00FE2AEC" w:rsidRPr="00720288">
        <w:rPr>
          <w:szCs w:val="22"/>
          <w:lang w:val="fr-FR"/>
        </w:rPr>
        <w:t>ième session</w:t>
      </w:r>
      <w:r w:rsidRPr="00720288">
        <w:rPr>
          <w:szCs w:val="22"/>
          <w:lang w:val="fr-FR"/>
        </w:rPr>
        <w:t xml:space="preserve"> du groupe de travail tenue </w:t>
      </w:r>
      <w:r w:rsidR="00FE2AEC" w:rsidRPr="00720288">
        <w:rPr>
          <w:szCs w:val="22"/>
          <w:lang w:val="fr-FR"/>
        </w:rPr>
        <w:t>en 2014</w:t>
      </w:r>
      <w:r w:rsidRPr="00720288">
        <w:rPr>
          <w:szCs w:val="22"/>
          <w:lang w:val="fr-FR"/>
        </w:rPr>
        <w:t>, le Bureau international avait présenté une étude intitulée “Estimer l</w:t>
      </w:r>
      <w:r w:rsidR="00FE2AEC" w:rsidRPr="00720288">
        <w:rPr>
          <w:szCs w:val="22"/>
          <w:lang w:val="fr-FR"/>
        </w:rPr>
        <w:t>’</w:t>
      </w:r>
      <w:r w:rsidRPr="00720288">
        <w:rPr>
          <w:szCs w:val="22"/>
          <w:lang w:val="fr-FR"/>
        </w:rPr>
        <w:t>élasticité par rapport à la taxe de dépôt</w:t>
      </w:r>
      <w:r w:rsidR="00FE2AEC" w:rsidRPr="00720288">
        <w:rPr>
          <w:szCs w:val="22"/>
          <w:lang w:val="fr-FR"/>
        </w:rPr>
        <w:t xml:space="preserve"> du PCT</w:t>
      </w:r>
      <w:r w:rsidRPr="00720288">
        <w:rPr>
          <w:szCs w:val="22"/>
          <w:lang w:val="fr-FR"/>
        </w:rPr>
        <w:t>” (document PCT/WG/7/6), dans laquelle était faite pour la première fois une estimation de l</w:t>
      </w:r>
      <w:r w:rsidR="00FE2AEC" w:rsidRPr="00720288">
        <w:rPr>
          <w:szCs w:val="22"/>
          <w:lang w:val="fr-FR"/>
        </w:rPr>
        <w:t>’</w:t>
      </w:r>
      <w:r w:rsidRPr="00720288">
        <w:rPr>
          <w:szCs w:val="22"/>
          <w:lang w:val="fr-FR"/>
        </w:rPr>
        <w:t>élasticité de la taxe imposée sur les demandes selon</w:t>
      </w:r>
      <w:r w:rsidR="00FE2AEC" w:rsidRPr="00720288">
        <w:rPr>
          <w:szCs w:val="22"/>
          <w:lang w:val="fr-FR"/>
        </w:rPr>
        <w:t xml:space="preserve"> le PCT</w:t>
      </w:r>
      <w:r w:rsidRPr="00720288">
        <w:rPr>
          <w:szCs w:val="22"/>
          <w:lang w:val="fr-FR"/>
        </w:rPr>
        <w:t>, c</w:t>
      </w:r>
      <w:r w:rsidR="00FE2AEC" w:rsidRPr="00720288">
        <w:rPr>
          <w:szCs w:val="22"/>
          <w:lang w:val="fr-FR"/>
        </w:rPr>
        <w:t>’</w:t>
      </w:r>
      <w:r w:rsidRPr="00720288">
        <w:rPr>
          <w:szCs w:val="22"/>
          <w:lang w:val="fr-FR"/>
        </w:rPr>
        <w:t>est</w:t>
      </w:r>
      <w:r w:rsidR="00720288">
        <w:rPr>
          <w:szCs w:val="22"/>
          <w:lang w:val="fr-FR"/>
        </w:rPr>
        <w:noBreakHyphen/>
      </w:r>
      <w:r w:rsidRPr="00720288">
        <w:rPr>
          <w:szCs w:val="22"/>
          <w:lang w:val="fr-FR"/>
        </w:rPr>
        <w:t>à</w:t>
      </w:r>
      <w:r w:rsidR="00720288">
        <w:rPr>
          <w:szCs w:val="22"/>
          <w:lang w:val="fr-FR"/>
        </w:rPr>
        <w:noBreakHyphen/>
      </w:r>
      <w:r w:rsidRPr="00720288">
        <w:rPr>
          <w:szCs w:val="22"/>
          <w:lang w:val="fr-FR"/>
        </w:rPr>
        <w:t>dire de la mesure dans laquelle le choix de déposer une demande de brevet à l</w:t>
      </w:r>
      <w:r w:rsidR="00FE2AEC" w:rsidRPr="00720288">
        <w:rPr>
          <w:szCs w:val="22"/>
          <w:lang w:val="fr-FR"/>
        </w:rPr>
        <w:t>’</w:t>
      </w:r>
      <w:r w:rsidRPr="00720288">
        <w:rPr>
          <w:szCs w:val="22"/>
          <w:lang w:val="fr-FR"/>
        </w:rPr>
        <w:t>étranger par la voie</w:t>
      </w:r>
      <w:r w:rsidR="00FE2AEC" w:rsidRPr="00720288">
        <w:rPr>
          <w:szCs w:val="22"/>
          <w:lang w:val="fr-FR"/>
        </w:rPr>
        <w:t xml:space="preserve"> du PCT</w:t>
      </w:r>
      <w:r w:rsidRPr="00720288">
        <w:rPr>
          <w:szCs w:val="22"/>
          <w:lang w:val="fr-FR"/>
        </w:rPr>
        <w:t xml:space="preserve"> ou celle de la Convention de Paris est influencé par une variation de la taxe internationale de dép</w:t>
      </w:r>
      <w:r w:rsidR="00406707" w:rsidRPr="00720288">
        <w:rPr>
          <w:szCs w:val="22"/>
          <w:lang w:val="fr-FR"/>
        </w:rPr>
        <w:t>ôt.  Ce</w:t>
      </w:r>
      <w:r w:rsidR="00CC78D5" w:rsidRPr="00720288">
        <w:rPr>
          <w:szCs w:val="22"/>
          <w:lang w:val="fr-FR"/>
        </w:rPr>
        <w:t>tte étude a révélé que les établissements universitaires et les organismes de recherche publics sont plus sensibles au prix que les autres déposants.</w:t>
      </w:r>
    </w:p>
    <w:p w:rsidR="004A0AFA" w:rsidRPr="00720288" w:rsidRDefault="00CC78D5" w:rsidP="00720288">
      <w:pPr>
        <w:pStyle w:val="ONUMFS"/>
        <w:rPr>
          <w:szCs w:val="22"/>
          <w:lang w:val="fr-FR"/>
        </w:rPr>
      </w:pPr>
      <w:r w:rsidRPr="00720288">
        <w:rPr>
          <w:szCs w:val="22"/>
          <w:lang w:val="fr-FR"/>
        </w:rPr>
        <w:lastRenderedPageBreak/>
        <w:t>À la huit</w:t>
      </w:r>
      <w:r w:rsidR="00FE2AEC" w:rsidRPr="00720288">
        <w:rPr>
          <w:szCs w:val="22"/>
          <w:lang w:val="fr-FR"/>
        </w:rPr>
        <w:t>ième session</w:t>
      </w:r>
      <w:r w:rsidRPr="00720288">
        <w:rPr>
          <w:szCs w:val="22"/>
          <w:lang w:val="fr-FR"/>
        </w:rPr>
        <w:t xml:space="preserve"> du groupe de travail tenue </w:t>
      </w:r>
      <w:r w:rsidR="00FE2AEC" w:rsidRPr="00720288">
        <w:rPr>
          <w:szCs w:val="22"/>
          <w:lang w:val="fr-FR"/>
        </w:rPr>
        <w:t>en 2015</w:t>
      </w:r>
      <w:r w:rsidRPr="00720288">
        <w:rPr>
          <w:szCs w:val="22"/>
          <w:lang w:val="fr-FR"/>
        </w:rPr>
        <w:t>, le Bureau international a confirmé la conclusion selon laquelle les établissements universitaires et les instituts de recherche publics des pays en développement sont plus sensibles au prix (voir le document PCT/WG/8/11).</w:t>
      </w:r>
      <w:r w:rsidR="00396A89" w:rsidRPr="00720288">
        <w:rPr>
          <w:lang w:val="fr-FR"/>
        </w:rPr>
        <w:t xml:space="preserve">  </w:t>
      </w:r>
      <w:r w:rsidRPr="00720288">
        <w:rPr>
          <w:szCs w:val="22"/>
          <w:lang w:val="fr-FR"/>
        </w:rPr>
        <w:t>Le Secrétariat a estimé qu</w:t>
      </w:r>
      <w:r w:rsidR="00FE2AEC" w:rsidRPr="00720288">
        <w:rPr>
          <w:szCs w:val="22"/>
          <w:lang w:val="fr-FR"/>
        </w:rPr>
        <w:t>’</w:t>
      </w:r>
      <w:r w:rsidRPr="00720288">
        <w:rPr>
          <w:szCs w:val="22"/>
          <w:lang w:val="fr-FR"/>
        </w:rPr>
        <w:t>une réduction de 50% de la taxe donnerait lieu à 139</w:t>
      </w:r>
      <w:r w:rsidR="00F1405A" w:rsidRPr="00720288">
        <w:rPr>
          <w:szCs w:val="22"/>
          <w:lang w:val="fr-FR"/>
        </w:rPr>
        <w:t> </w:t>
      </w:r>
      <w:r w:rsidRPr="00720288">
        <w:rPr>
          <w:szCs w:val="22"/>
          <w:lang w:val="fr-FR"/>
        </w:rPr>
        <w:t>dépôts additionnels par an et à une baisse des recettes de 1 058</w:t>
      </w:r>
      <w:r w:rsidR="00C605C3" w:rsidRPr="00720288">
        <w:rPr>
          <w:szCs w:val="22"/>
          <w:lang w:val="fr-FR"/>
        </w:rPr>
        <w:t> 00</w:t>
      </w:r>
      <w:r w:rsidR="00FE2AEC" w:rsidRPr="00720288">
        <w:rPr>
          <w:szCs w:val="22"/>
          <w:lang w:val="fr-FR"/>
        </w:rPr>
        <w:t>0 franc</w:t>
      </w:r>
      <w:r w:rsidRPr="00720288">
        <w:rPr>
          <w:szCs w:val="22"/>
          <w:lang w:val="fr-FR"/>
        </w:rPr>
        <w:t>s suisses (voir le tableau</w:t>
      </w:r>
      <w:r w:rsidR="003158B4" w:rsidRPr="00720288">
        <w:rPr>
          <w:szCs w:val="22"/>
          <w:lang w:val="fr-FR"/>
        </w:rPr>
        <w:t> </w:t>
      </w:r>
      <w:r w:rsidRPr="00720288">
        <w:rPr>
          <w:szCs w:val="22"/>
          <w:lang w:val="fr-FR"/>
        </w:rPr>
        <w:t>4 du document PCT/WG/8/11).</w:t>
      </w:r>
      <w:r w:rsidR="00396A89" w:rsidRPr="00720288">
        <w:rPr>
          <w:lang w:val="fr-FR"/>
        </w:rPr>
        <w:t xml:space="preserve">  </w:t>
      </w:r>
      <w:r w:rsidRPr="00720288">
        <w:rPr>
          <w:szCs w:val="22"/>
          <w:lang w:val="fr-FR"/>
        </w:rPr>
        <w:t xml:space="preserve">Dans le résumé du président, il est indiqué que “de nombreuses délégations [avaient] appuyé les réductions de taxes pour les </w:t>
      </w:r>
      <w:r w:rsidR="007B6B0B" w:rsidRPr="00720288">
        <w:rPr>
          <w:szCs w:val="22"/>
          <w:lang w:val="fr-FR"/>
        </w:rPr>
        <w:t xml:space="preserve">établissements </w:t>
      </w:r>
      <w:r w:rsidRPr="00720288">
        <w:rPr>
          <w:szCs w:val="22"/>
          <w:lang w:val="fr-FR"/>
        </w:rPr>
        <w:t>universit</w:t>
      </w:r>
      <w:r w:rsidR="007B6B0B" w:rsidRPr="00720288">
        <w:rPr>
          <w:szCs w:val="22"/>
          <w:lang w:val="fr-FR"/>
        </w:rPr>
        <w:t>aires</w:t>
      </w:r>
      <w:r w:rsidRPr="00720288">
        <w:rPr>
          <w:szCs w:val="22"/>
          <w:lang w:val="fr-FR"/>
        </w:rPr>
        <w:t xml:space="preserve"> et les instituts de recherche publics.</w:t>
      </w:r>
      <w:r w:rsidR="00396A89" w:rsidRPr="00720288">
        <w:rPr>
          <w:lang w:val="fr-FR"/>
        </w:rPr>
        <w:t xml:space="preserve"> </w:t>
      </w:r>
      <w:r w:rsidR="003158B4" w:rsidRPr="00720288">
        <w:rPr>
          <w:szCs w:val="22"/>
          <w:lang w:val="fr-FR"/>
        </w:rPr>
        <w:t xml:space="preserve"> </w:t>
      </w:r>
      <w:r w:rsidRPr="00720288">
        <w:rPr>
          <w:szCs w:val="22"/>
          <w:lang w:val="fr-FR"/>
        </w:rPr>
        <w:t>(</w:t>
      </w:r>
      <w:r w:rsidR="003158B4" w:rsidRPr="00720288">
        <w:rPr>
          <w:szCs w:val="22"/>
          <w:lang w:val="fr-FR"/>
        </w:rPr>
        <w:t>…</w:t>
      </w:r>
      <w:r w:rsidRPr="00720288">
        <w:rPr>
          <w:szCs w:val="22"/>
          <w:lang w:val="fr-FR"/>
        </w:rPr>
        <w:t xml:space="preserve">) </w:t>
      </w:r>
      <w:r w:rsidR="00F1405A" w:rsidRPr="00720288">
        <w:rPr>
          <w:szCs w:val="22"/>
          <w:lang w:val="fr-FR"/>
        </w:rPr>
        <w:t xml:space="preserve"> </w:t>
      </w:r>
      <w:r w:rsidRPr="00720288">
        <w:rPr>
          <w:szCs w:val="22"/>
          <w:lang w:val="fr-FR"/>
        </w:rPr>
        <w:t>Le président a invité les États membres à soumettre des propositions à cet égard pour examen lors d</w:t>
      </w:r>
      <w:r w:rsidR="00FE2AEC" w:rsidRPr="00720288">
        <w:rPr>
          <w:szCs w:val="22"/>
          <w:lang w:val="fr-FR"/>
        </w:rPr>
        <w:t>’</w:t>
      </w:r>
      <w:r w:rsidRPr="00720288">
        <w:rPr>
          <w:szCs w:val="22"/>
          <w:lang w:val="fr-FR"/>
        </w:rPr>
        <w:t xml:space="preserve">une future session du groupe de travail” (voir le </w:t>
      </w:r>
      <w:r w:rsidR="00FE2AEC" w:rsidRPr="00720288">
        <w:rPr>
          <w:szCs w:val="22"/>
          <w:lang w:val="fr-FR"/>
        </w:rPr>
        <w:t>paragraphe 1</w:t>
      </w:r>
      <w:r w:rsidRPr="00720288">
        <w:rPr>
          <w:szCs w:val="22"/>
          <w:lang w:val="fr-FR"/>
        </w:rPr>
        <w:t>9 du document PCT/WG/8/25).</w:t>
      </w:r>
    </w:p>
    <w:p w:rsidR="004A0AFA" w:rsidRPr="00720288" w:rsidRDefault="00CC78D5" w:rsidP="00720288">
      <w:pPr>
        <w:pStyle w:val="ONUMFS"/>
        <w:rPr>
          <w:szCs w:val="22"/>
          <w:lang w:val="fr-FR"/>
        </w:rPr>
      </w:pPr>
      <w:r w:rsidRPr="00720288">
        <w:rPr>
          <w:szCs w:val="22"/>
          <w:lang w:val="fr-FR"/>
        </w:rPr>
        <w:t>En réponse à l</w:t>
      </w:r>
      <w:r w:rsidR="00FE2AEC" w:rsidRPr="00720288">
        <w:rPr>
          <w:szCs w:val="22"/>
          <w:lang w:val="fr-FR"/>
        </w:rPr>
        <w:t>’</w:t>
      </w:r>
      <w:r w:rsidRPr="00720288">
        <w:rPr>
          <w:szCs w:val="22"/>
          <w:lang w:val="fr-FR"/>
        </w:rPr>
        <w:t>invitation du président du groupe de travail, à sa neuv</w:t>
      </w:r>
      <w:r w:rsidR="00FE2AEC" w:rsidRPr="00720288">
        <w:rPr>
          <w:szCs w:val="22"/>
          <w:lang w:val="fr-FR"/>
        </w:rPr>
        <w:t>ième session</w:t>
      </w:r>
      <w:r w:rsidRPr="00720288">
        <w:rPr>
          <w:szCs w:val="22"/>
          <w:lang w:val="fr-FR"/>
        </w:rPr>
        <w:t xml:space="preserve">, la délégation du Brésil a </w:t>
      </w:r>
      <w:r w:rsidR="007B6B0B" w:rsidRPr="00720288">
        <w:rPr>
          <w:szCs w:val="22"/>
          <w:lang w:val="fr-FR"/>
        </w:rPr>
        <w:t>communiqué</w:t>
      </w:r>
      <w:r w:rsidRPr="00720288">
        <w:rPr>
          <w:szCs w:val="22"/>
          <w:lang w:val="fr-FR"/>
        </w:rPr>
        <w:t xml:space="preserve"> une proposition relative à une réduction de 50% des taxes pour les établissements universitaires de certains pays (voir le document PCT/WG/9/25).</w:t>
      </w:r>
      <w:r w:rsidR="00396A89" w:rsidRPr="00720288">
        <w:rPr>
          <w:lang w:val="fr-FR"/>
        </w:rPr>
        <w:t xml:space="preserve">  </w:t>
      </w:r>
      <w:r w:rsidRPr="00720288">
        <w:rPr>
          <w:szCs w:val="22"/>
          <w:lang w:val="fr-FR"/>
        </w:rPr>
        <w:t>Les pays potentiellement bénéficiaires de cette mesure ont dans l</w:t>
      </w:r>
      <w:r w:rsidR="00FE2AEC" w:rsidRPr="00720288">
        <w:rPr>
          <w:szCs w:val="22"/>
          <w:lang w:val="fr-FR"/>
        </w:rPr>
        <w:t>’</w:t>
      </w:r>
      <w:r w:rsidRPr="00720288">
        <w:rPr>
          <w:szCs w:val="22"/>
          <w:lang w:val="fr-FR"/>
        </w:rPr>
        <w:t>ensemble réservé un accueil favorable au docume</w:t>
      </w:r>
      <w:r w:rsidR="00406707" w:rsidRPr="00720288">
        <w:rPr>
          <w:szCs w:val="22"/>
          <w:lang w:val="fr-FR"/>
        </w:rPr>
        <w:t>nt.  D’a</w:t>
      </w:r>
      <w:r w:rsidR="00DF0740" w:rsidRPr="00720288">
        <w:rPr>
          <w:szCs w:val="22"/>
          <w:lang w:val="fr-FR"/>
        </w:rPr>
        <w:t>utres ont proposé d</w:t>
      </w:r>
      <w:r w:rsidR="00FE2AEC" w:rsidRPr="00720288">
        <w:rPr>
          <w:szCs w:val="22"/>
          <w:lang w:val="fr-FR"/>
        </w:rPr>
        <w:t>’</w:t>
      </w:r>
      <w:r w:rsidR="00DF0740" w:rsidRPr="00720288">
        <w:rPr>
          <w:szCs w:val="22"/>
          <w:lang w:val="fr-FR"/>
        </w:rPr>
        <w:t>ouvrir l</w:t>
      </w:r>
      <w:r w:rsidR="00C605C3" w:rsidRPr="00720288">
        <w:rPr>
          <w:szCs w:val="22"/>
          <w:lang w:val="fr-FR"/>
        </w:rPr>
        <w:t>a discussion à une réduction de</w:t>
      </w:r>
      <w:r w:rsidR="00DF0740" w:rsidRPr="00720288">
        <w:rPr>
          <w:szCs w:val="22"/>
          <w:lang w:val="fr-FR"/>
        </w:rPr>
        <w:t xml:space="preserve"> taxes </w:t>
      </w:r>
      <w:r w:rsidR="00C605C3" w:rsidRPr="00720288">
        <w:rPr>
          <w:szCs w:val="22"/>
          <w:lang w:val="fr-FR"/>
        </w:rPr>
        <w:t xml:space="preserve">de portée </w:t>
      </w:r>
      <w:r w:rsidR="00DF0740" w:rsidRPr="00720288">
        <w:rPr>
          <w:szCs w:val="22"/>
          <w:lang w:val="fr-FR"/>
        </w:rPr>
        <w:t>plus générale</w:t>
      </w:r>
      <w:r w:rsidR="00C605C3" w:rsidRPr="00720288">
        <w:rPr>
          <w:szCs w:val="22"/>
          <w:lang w:val="fr-FR"/>
        </w:rPr>
        <w:t>,</w:t>
      </w:r>
      <w:r w:rsidR="00DF0740" w:rsidRPr="00720288">
        <w:rPr>
          <w:szCs w:val="22"/>
          <w:lang w:val="fr-FR"/>
        </w:rPr>
        <w:t xml:space="preserve"> qui engloberait les pays développ</w:t>
      </w:r>
      <w:r w:rsidR="00406707" w:rsidRPr="00720288">
        <w:rPr>
          <w:szCs w:val="22"/>
          <w:lang w:val="fr-FR"/>
        </w:rPr>
        <w:t>és.  Ce</w:t>
      </w:r>
      <w:r w:rsidR="00DF0740" w:rsidRPr="00720288">
        <w:rPr>
          <w:szCs w:val="22"/>
          <w:lang w:val="fr-FR"/>
        </w:rPr>
        <w:t xml:space="preserve">rtaines délégations se sont </w:t>
      </w:r>
      <w:r w:rsidR="007058AC" w:rsidRPr="00720288">
        <w:rPr>
          <w:szCs w:val="22"/>
          <w:lang w:val="fr-FR"/>
        </w:rPr>
        <w:t>dites</w:t>
      </w:r>
      <w:r w:rsidR="00DF0740" w:rsidRPr="00720288">
        <w:rPr>
          <w:szCs w:val="22"/>
          <w:lang w:val="fr-FR"/>
        </w:rPr>
        <w:t xml:space="preserve"> préoccupées par la définition de l</w:t>
      </w:r>
      <w:r w:rsidR="00FE2AEC" w:rsidRPr="00720288">
        <w:rPr>
          <w:szCs w:val="22"/>
          <w:lang w:val="fr-FR"/>
        </w:rPr>
        <w:t>’</w:t>
      </w:r>
      <w:r w:rsidR="00DF0740" w:rsidRPr="00720288">
        <w:rPr>
          <w:szCs w:val="22"/>
          <w:lang w:val="fr-FR"/>
        </w:rPr>
        <w:t xml:space="preserve">expression </w:t>
      </w:r>
      <w:r w:rsidR="003158B4" w:rsidRPr="00720288">
        <w:rPr>
          <w:szCs w:val="22"/>
          <w:lang w:val="fr-FR"/>
        </w:rPr>
        <w:t>“</w:t>
      </w:r>
      <w:r w:rsidR="00C605C3" w:rsidRPr="00720288">
        <w:rPr>
          <w:szCs w:val="22"/>
          <w:lang w:val="fr-FR"/>
        </w:rPr>
        <w:t>organismes</w:t>
      </w:r>
      <w:r w:rsidR="00DF0740" w:rsidRPr="00720288">
        <w:rPr>
          <w:szCs w:val="22"/>
          <w:lang w:val="fr-FR"/>
        </w:rPr>
        <w:t xml:space="preserve"> de recherche</w:t>
      </w:r>
      <w:r w:rsidR="007B6B0B" w:rsidRPr="00720288">
        <w:rPr>
          <w:szCs w:val="22"/>
          <w:lang w:val="fr-FR"/>
        </w:rPr>
        <w:t xml:space="preserve"> publics</w:t>
      </w:r>
      <w:r w:rsidR="003158B4" w:rsidRPr="00720288">
        <w:rPr>
          <w:szCs w:val="22"/>
          <w:lang w:val="fr-FR"/>
        </w:rPr>
        <w:t>”</w:t>
      </w:r>
      <w:r w:rsidR="00DF0740" w:rsidRPr="00720288">
        <w:rPr>
          <w:szCs w:val="22"/>
          <w:lang w:val="fr-FR"/>
        </w:rPr>
        <w:t xml:space="preserve"> et par l</w:t>
      </w:r>
      <w:r w:rsidR="00FE2AEC" w:rsidRPr="00720288">
        <w:rPr>
          <w:szCs w:val="22"/>
          <w:lang w:val="fr-FR"/>
        </w:rPr>
        <w:t>’</w:t>
      </w:r>
      <w:r w:rsidR="00DF0740" w:rsidRPr="00720288">
        <w:rPr>
          <w:szCs w:val="22"/>
          <w:lang w:val="fr-FR"/>
        </w:rPr>
        <w:t>incidence financière de la réduction des taxes.</w:t>
      </w:r>
    </w:p>
    <w:p w:rsidR="004A0AFA" w:rsidRPr="00720288" w:rsidRDefault="00DF0740" w:rsidP="00720288">
      <w:pPr>
        <w:pStyle w:val="ONUMFS"/>
        <w:rPr>
          <w:szCs w:val="22"/>
          <w:lang w:val="fr-FR"/>
        </w:rPr>
      </w:pPr>
      <w:r w:rsidRPr="00720288">
        <w:rPr>
          <w:szCs w:val="22"/>
          <w:lang w:val="fr-FR"/>
        </w:rPr>
        <w:t>Le groupe de travail a également examiné à sa neuv</w:t>
      </w:r>
      <w:r w:rsidR="00FE2AEC" w:rsidRPr="00720288">
        <w:rPr>
          <w:szCs w:val="22"/>
          <w:lang w:val="fr-FR"/>
        </w:rPr>
        <w:t>ième session</w:t>
      </w:r>
      <w:r w:rsidRPr="00720288">
        <w:rPr>
          <w:szCs w:val="22"/>
          <w:lang w:val="fr-FR"/>
        </w:rPr>
        <w:t xml:space="preserve"> une proposi</w:t>
      </w:r>
      <w:r w:rsidR="00C605C3" w:rsidRPr="00720288">
        <w:rPr>
          <w:szCs w:val="22"/>
          <w:lang w:val="fr-FR"/>
        </w:rPr>
        <w:t>tion du Secrétariat concernant l</w:t>
      </w:r>
      <w:r w:rsidRPr="00720288">
        <w:rPr>
          <w:szCs w:val="22"/>
          <w:lang w:val="fr-FR"/>
        </w:rPr>
        <w:t xml:space="preserve">es réductions de taxes accordées aux déposants de certains pays (voir le document PCT/WG/9/10), </w:t>
      </w:r>
      <w:r w:rsidR="007B6B0B" w:rsidRPr="00720288">
        <w:rPr>
          <w:szCs w:val="22"/>
          <w:lang w:val="fr-FR"/>
        </w:rPr>
        <w:t>l’objectif étant</w:t>
      </w:r>
      <w:r w:rsidR="00C605C3" w:rsidRPr="00720288">
        <w:rPr>
          <w:szCs w:val="22"/>
          <w:lang w:val="fr-FR"/>
        </w:rPr>
        <w:t xml:space="preserve"> que les déposants qui ne remplissent pas les critères requis </w:t>
      </w:r>
      <w:r w:rsidR="007B6B0B" w:rsidRPr="00720288">
        <w:rPr>
          <w:szCs w:val="22"/>
          <w:lang w:val="fr-FR"/>
        </w:rPr>
        <w:t xml:space="preserve">ne </w:t>
      </w:r>
      <w:r w:rsidR="00C605C3" w:rsidRPr="00720288">
        <w:rPr>
          <w:szCs w:val="22"/>
          <w:lang w:val="fr-FR"/>
        </w:rPr>
        <w:t xml:space="preserve">puissent </w:t>
      </w:r>
      <w:r w:rsidR="007B6B0B" w:rsidRPr="00720288">
        <w:rPr>
          <w:szCs w:val="22"/>
          <w:lang w:val="fr-FR"/>
        </w:rPr>
        <w:t xml:space="preserve">pas </w:t>
      </w:r>
      <w:r w:rsidR="00C605C3" w:rsidRPr="00720288">
        <w:rPr>
          <w:szCs w:val="22"/>
          <w:lang w:val="fr-FR"/>
        </w:rPr>
        <w:t>bénéficier de la réduction d</w:t>
      </w:r>
      <w:r w:rsidRPr="00720288">
        <w:rPr>
          <w:szCs w:val="22"/>
          <w:lang w:val="fr-FR"/>
        </w:rPr>
        <w:t xml:space="preserve">e </w:t>
      </w:r>
      <w:r w:rsidR="00C605C3" w:rsidRPr="00720288">
        <w:rPr>
          <w:szCs w:val="22"/>
          <w:lang w:val="fr-FR"/>
        </w:rPr>
        <w:t>tax</w:t>
      </w:r>
      <w:r w:rsidR="00406707" w:rsidRPr="00720288">
        <w:rPr>
          <w:szCs w:val="22"/>
          <w:lang w:val="fr-FR"/>
        </w:rPr>
        <w:t>es.  Il</w:t>
      </w:r>
      <w:r w:rsidR="00BD0885" w:rsidRPr="00720288">
        <w:rPr>
          <w:szCs w:val="22"/>
          <w:lang w:val="fr-FR"/>
        </w:rPr>
        <w:t xml:space="preserve"> a été convenu que le Secrétariat fournirait des informations supplémentaires sur les incidences potentiellement positives sur les recettes provenant des taxes</w:t>
      </w:r>
      <w:r w:rsidR="00FE2AEC" w:rsidRPr="00720288">
        <w:rPr>
          <w:szCs w:val="22"/>
          <w:lang w:val="fr-FR"/>
        </w:rPr>
        <w:t xml:space="preserve"> du PCT</w:t>
      </w:r>
      <w:r w:rsidR="00BD0885" w:rsidRPr="00720288">
        <w:rPr>
          <w:szCs w:val="22"/>
          <w:lang w:val="fr-FR"/>
        </w:rPr>
        <w:t xml:space="preserve"> d</w:t>
      </w:r>
      <w:r w:rsidR="00FE2AEC" w:rsidRPr="00720288">
        <w:rPr>
          <w:szCs w:val="22"/>
          <w:lang w:val="fr-FR"/>
        </w:rPr>
        <w:t>’</w:t>
      </w:r>
      <w:r w:rsidR="00BD0885" w:rsidRPr="00720288">
        <w:rPr>
          <w:szCs w:val="22"/>
          <w:lang w:val="fr-FR"/>
        </w:rPr>
        <w:t xml:space="preserve">une éventuelle adoption de la modification proposée (voir le </w:t>
      </w:r>
      <w:r w:rsidR="00FE2AEC" w:rsidRPr="00720288">
        <w:rPr>
          <w:szCs w:val="22"/>
          <w:lang w:val="fr-FR"/>
        </w:rPr>
        <w:t>paragraphe 5</w:t>
      </w:r>
      <w:r w:rsidR="00BD0885" w:rsidRPr="00720288">
        <w:rPr>
          <w:szCs w:val="22"/>
          <w:lang w:val="fr-FR"/>
        </w:rPr>
        <w:t>5 du document PCT/WG/9/27).</w:t>
      </w:r>
      <w:r w:rsidR="00CF5E4D" w:rsidRPr="00720288">
        <w:rPr>
          <w:lang w:val="fr-FR"/>
        </w:rPr>
        <w:t xml:space="preserve">  </w:t>
      </w:r>
      <w:r w:rsidR="00BD0885" w:rsidRPr="00720288">
        <w:rPr>
          <w:szCs w:val="22"/>
          <w:lang w:val="fr-FR"/>
        </w:rPr>
        <w:t xml:space="preserve">On trouvera ces informations dans le document PCT/WG/10/8 daté du </w:t>
      </w:r>
      <w:r w:rsidR="00FE2AEC" w:rsidRPr="00720288">
        <w:rPr>
          <w:szCs w:val="22"/>
          <w:lang w:val="fr-FR"/>
        </w:rPr>
        <w:t>4 avril 20</w:t>
      </w:r>
      <w:r w:rsidR="00BD0885" w:rsidRPr="00720288">
        <w:rPr>
          <w:szCs w:val="22"/>
          <w:lang w:val="fr-FR"/>
        </w:rPr>
        <w:t>17.</w:t>
      </w:r>
    </w:p>
    <w:p w:rsidR="004A0AFA" w:rsidRPr="00720288" w:rsidRDefault="00BD0885" w:rsidP="00720288">
      <w:pPr>
        <w:pStyle w:val="ONUMFS"/>
        <w:rPr>
          <w:szCs w:val="22"/>
          <w:lang w:val="fr-FR"/>
        </w:rPr>
      </w:pPr>
      <w:r w:rsidRPr="00720288">
        <w:rPr>
          <w:szCs w:val="22"/>
          <w:lang w:val="fr-FR"/>
        </w:rPr>
        <w:t>Durant les assemblées de l</w:t>
      </w:r>
      <w:r w:rsidR="00FE2AEC" w:rsidRPr="00720288">
        <w:rPr>
          <w:szCs w:val="22"/>
          <w:lang w:val="fr-FR"/>
        </w:rPr>
        <w:t>’</w:t>
      </w:r>
      <w:r w:rsidRPr="00720288">
        <w:rPr>
          <w:szCs w:val="22"/>
          <w:lang w:val="fr-FR"/>
        </w:rPr>
        <w:t xml:space="preserve">OMPI tenues </w:t>
      </w:r>
      <w:r w:rsidR="00FE2AEC" w:rsidRPr="00720288">
        <w:rPr>
          <w:szCs w:val="22"/>
          <w:lang w:val="fr-FR"/>
        </w:rPr>
        <w:t>en 2016</w:t>
      </w:r>
      <w:r w:rsidRPr="00720288">
        <w:rPr>
          <w:szCs w:val="22"/>
          <w:lang w:val="fr-FR"/>
        </w:rPr>
        <w:t>, le document PCT/WG/9/25 a recueilli l</w:t>
      </w:r>
      <w:r w:rsidR="00FE2AEC" w:rsidRPr="00720288">
        <w:rPr>
          <w:szCs w:val="22"/>
          <w:lang w:val="fr-FR"/>
        </w:rPr>
        <w:t>’</w:t>
      </w:r>
      <w:r w:rsidRPr="00720288">
        <w:rPr>
          <w:szCs w:val="22"/>
          <w:lang w:val="fr-FR"/>
        </w:rPr>
        <w:t>adhésion d</w:t>
      </w:r>
      <w:r w:rsidR="00FE2AEC" w:rsidRPr="00720288">
        <w:rPr>
          <w:szCs w:val="22"/>
          <w:lang w:val="fr-FR"/>
        </w:rPr>
        <w:t>’</w:t>
      </w:r>
      <w:r w:rsidRPr="00720288">
        <w:rPr>
          <w:szCs w:val="22"/>
          <w:lang w:val="fr-FR"/>
        </w:rPr>
        <w:t>un grand nombre, outre celui déjà exprimé par le groupe de trava</w:t>
      </w:r>
      <w:r w:rsidR="00406707" w:rsidRPr="00720288">
        <w:rPr>
          <w:szCs w:val="22"/>
          <w:lang w:val="fr-FR"/>
        </w:rPr>
        <w:t>il.  En</w:t>
      </w:r>
      <w:r w:rsidR="00185DFC" w:rsidRPr="00720288">
        <w:rPr>
          <w:szCs w:val="22"/>
          <w:lang w:val="fr-FR"/>
        </w:rPr>
        <w:t xml:space="preserve"> particulier, les membres de quatre</w:t>
      </w:r>
      <w:r w:rsidR="003158B4" w:rsidRPr="00720288">
        <w:rPr>
          <w:szCs w:val="22"/>
          <w:lang w:val="fr-FR"/>
        </w:rPr>
        <w:t> </w:t>
      </w:r>
      <w:r w:rsidR="00185DFC" w:rsidRPr="00720288">
        <w:rPr>
          <w:szCs w:val="22"/>
          <w:lang w:val="fr-FR"/>
        </w:rPr>
        <w:t xml:space="preserve">groupes régionaux ont fait part de leur accord concernant la proposition de réduction soumise (voir les </w:t>
      </w:r>
      <w:r w:rsidR="00FE2AEC" w:rsidRPr="00720288">
        <w:rPr>
          <w:szCs w:val="22"/>
          <w:lang w:val="fr-FR"/>
        </w:rPr>
        <w:t>paragraphes 5</w:t>
      </w:r>
      <w:r w:rsidR="00F1405A" w:rsidRPr="00720288">
        <w:rPr>
          <w:szCs w:val="22"/>
          <w:lang w:val="fr-FR"/>
        </w:rPr>
        <w:t>, 8 et </w:t>
      </w:r>
      <w:r w:rsidR="00185DFC" w:rsidRPr="00720288">
        <w:rPr>
          <w:szCs w:val="22"/>
          <w:lang w:val="fr-FR"/>
        </w:rPr>
        <w:t>106 de l</w:t>
      </w:r>
      <w:r w:rsidR="00FE2AEC" w:rsidRPr="00720288">
        <w:rPr>
          <w:szCs w:val="22"/>
          <w:lang w:val="fr-FR"/>
        </w:rPr>
        <w:t>’annexe I</w:t>
      </w:r>
      <w:r w:rsidR="00185DFC" w:rsidRPr="00720288">
        <w:rPr>
          <w:szCs w:val="22"/>
          <w:lang w:val="fr-FR"/>
        </w:rPr>
        <w:t xml:space="preserve">I du document A/56/17 et les </w:t>
      </w:r>
      <w:r w:rsidR="00FE2AEC" w:rsidRPr="00720288">
        <w:rPr>
          <w:szCs w:val="22"/>
          <w:lang w:val="fr-FR"/>
        </w:rPr>
        <w:t>paragraphes 8</w:t>
      </w:r>
      <w:r w:rsidR="00F1405A" w:rsidRPr="00720288">
        <w:rPr>
          <w:szCs w:val="22"/>
          <w:lang w:val="fr-FR"/>
        </w:rPr>
        <w:t xml:space="preserve"> à </w:t>
      </w:r>
      <w:r w:rsidR="00185DFC" w:rsidRPr="00720288">
        <w:rPr>
          <w:szCs w:val="22"/>
          <w:lang w:val="fr-FR"/>
        </w:rPr>
        <w:t>15 du document PCT/A/48/5).</w:t>
      </w:r>
    </w:p>
    <w:p w:rsidR="004A0AFA" w:rsidRPr="00720288" w:rsidRDefault="00185DFC" w:rsidP="00720288">
      <w:pPr>
        <w:pStyle w:val="ONUMFS"/>
        <w:rPr>
          <w:szCs w:val="22"/>
          <w:lang w:val="fr-FR"/>
        </w:rPr>
      </w:pPr>
      <w:r w:rsidRPr="00720288">
        <w:rPr>
          <w:szCs w:val="22"/>
          <w:lang w:val="fr-FR"/>
        </w:rPr>
        <w:t xml:space="preserve">En </w:t>
      </w:r>
      <w:r w:rsidR="00FE2AEC" w:rsidRPr="00720288">
        <w:rPr>
          <w:szCs w:val="22"/>
          <w:lang w:val="fr-FR"/>
        </w:rPr>
        <w:t>février 20</w:t>
      </w:r>
      <w:r w:rsidRPr="00720288">
        <w:rPr>
          <w:szCs w:val="22"/>
          <w:lang w:val="fr-FR"/>
        </w:rPr>
        <w:t>16, le Directeur général a annoncé que l</w:t>
      </w:r>
      <w:r w:rsidR="00FE2AEC" w:rsidRPr="00720288">
        <w:rPr>
          <w:szCs w:val="22"/>
          <w:lang w:val="fr-FR"/>
        </w:rPr>
        <w:t>’</w:t>
      </w:r>
      <w:r w:rsidRPr="00720288">
        <w:rPr>
          <w:szCs w:val="22"/>
          <w:lang w:val="fr-FR"/>
        </w:rPr>
        <w:t>OMPI avait enregistré un excédent de 8</w:t>
      </w:r>
      <w:r w:rsidR="00FE2AEC" w:rsidRPr="00720288">
        <w:rPr>
          <w:szCs w:val="22"/>
          <w:lang w:val="fr-FR"/>
        </w:rPr>
        <w:t>0 million</w:t>
      </w:r>
      <w:r w:rsidRPr="00720288">
        <w:rPr>
          <w:szCs w:val="22"/>
          <w:lang w:val="fr-FR"/>
        </w:rPr>
        <w:t>s de francs suisses pour l</w:t>
      </w:r>
      <w:r w:rsidR="00FE2AEC" w:rsidRPr="00720288">
        <w:rPr>
          <w:szCs w:val="22"/>
          <w:lang w:val="fr-FR"/>
        </w:rPr>
        <w:t>’</w:t>
      </w:r>
      <w:r w:rsidRPr="00720288">
        <w:rPr>
          <w:szCs w:val="22"/>
          <w:lang w:val="fr-FR"/>
        </w:rPr>
        <w:t xml:space="preserve">exercice </w:t>
      </w:r>
      <w:r w:rsidR="00FE2AEC" w:rsidRPr="00720288">
        <w:rPr>
          <w:szCs w:val="22"/>
          <w:lang w:val="fr-FR"/>
        </w:rPr>
        <w:t>biennal 2014</w:t>
      </w:r>
      <w:r w:rsidR="00720288">
        <w:rPr>
          <w:szCs w:val="22"/>
          <w:lang w:val="fr-FR"/>
        </w:rPr>
        <w:noBreakHyphen/>
      </w:r>
      <w:r w:rsidRPr="00720288">
        <w:rPr>
          <w:szCs w:val="22"/>
          <w:lang w:val="fr-FR"/>
        </w:rPr>
        <w:t>2015.</w:t>
      </w:r>
    </w:p>
    <w:p w:rsidR="00FE2AEC" w:rsidRPr="00720288" w:rsidRDefault="00185DFC" w:rsidP="00720288">
      <w:pPr>
        <w:pStyle w:val="ONUMFS"/>
        <w:rPr>
          <w:szCs w:val="22"/>
          <w:lang w:val="fr-FR"/>
        </w:rPr>
      </w:pPr>
      <w:r w:rsidRPr="00720288">
        <w:rPr>
          <w:szCs w:val="22"/>
          <w:lang w:val="fr-FR"/>
        </w:rPr>
        <w:t>Le deuxième supplément à l</w:t>
      </w:r>
      <w:r w:rsidR="00FE2AEC" w:rsidRPr="00720288">
        <w:rPr>
          <w:szCs w:val="22"/>
          <w:lang w:val="fr-FR"/>
        </w:rPr>
        <w:t>’</w:t>
      </w:r>
      <w:r w:rsidRPr="00720288">
        <w:rPr>
          <w:szCs w:val="22"/>
          <w:lang w:val="fr-FR"/>
        </w:rPr>
        <w:t>étude intitulée “Estimer l</w:t>
      </w:r>
      <w:r w:rsidR="00FE2AEC" w:rsidRPr="00720288">
        <w:rPr>
          <w:szCs w:val="22"/>
          <w:lang w:val="fr-FR"/>
        </w:rPr>
        <w:t>’</w:t>
      </w:r>
      <w:r w:rsidRPr="00720288">
        <w:rPr>
          <w:szCs w:val="22"/>
          <w:lang w:val="fr-FR"/>
        </w:rPr>
        <w:t>élasticité par rapport à la taxe de dépôt</w:t>
      </w:r>
      <w:r w:rsidR="00FE2AEC" w:rsidRPr="00720288">
        <w:rPr>
          <w:szCs w:val="22"/>
          <w:lang w:val="fr-FR"/>
        </w:rPr>
        <w:t xml:space="preserve"> du PCT</w:t>
      </w:r>
      <w:r w:rsidRPr="00720288">
        <w:rPr>
          <w:szCs w:val="22"/>
          <w:lang w:val="fr-FR"/>
        </w:rPr>
        <w:t>” (document PCT/WG/10/2), distribué le 1</w:t>
      </w:r>
      <w:r w:rsidR="00FE2AEC" w:rsidRPr="00720288">
        <w:rPr>
          <w:szCs w:val="22"/>
          <w:lang w:val="fr-FR"/>
        </w:rPr>
        <w:t>1 janvier 20</w:t>
      </w:r>
      <w:r w:rsidRPr="00720288">
        <w:rPr>
          <w:szCs w:val="22"/>
          <w:lang w:val="fr-FR"/>
        </w:rPr>
        <w:t>17, expose des simulations nouvelles concernant le manque à gagner découlant de divers niveaux de réduction appliqués aux établissements universitair</w:t>
      </w:r>
      <w:r w:rsidR="00406707" w:rsidRPr="00720288">
        <w:rPr>
          <w:szCs w:val="22"/>
          <w:lang w:val="fr-FR"/>
        </w:rPr>
        <w:t>es.  Se</w:t>
      </w:r>
      <w:r w:rsidRPr="00720288">
        <w:rPr>
          <w:szCs w:val="22"/>
          <w:lang w:val="fr-FR"/>
        </w:rPr>
        <w:t xml:space="preserve">lon les estimations du Secrétariat, la perte de recettes </w:t>
      </w:r>
      <w:r w:rsidR="007B6B0B" w:rsidRPr="00720288">
        <w:rPr>
          <w:szCs w:val="22"/>
          <w:lang w:val="fr-FR"/>
        </w:rPr>
        <w:t xml:space="preserve">découlant </w:t>
      </w:r>
      <w:r w:rsidRPr="00720288">
        <w:rPr>
          <w:szCs w:val="22"/>
          <w:lang w:val="fr-FR"/>
        </w:rPr>
        <w:t>d</w:t>
      </w:r>
      <w:r w:rsidR="00FE2AEC" w:rsidRPr="00720288">
        <w:rPr>
          <w:szCs w:val="22"/>
          <w:lang w:val="fr-FR"/>
        </w:rPr>
        <w:t>’</w:t>
      </w:r>
      <w:r w:rsidRPr="00720288">
        <w:rPr>
          <w:szCs w:val="22"/>
          <w:lang w:val="fr-FR"/>
        </w:rPr>
        <w:t xml:space="preserve">une réduction </w:t>
      </w:r>
      <w:r w:rsidR="007B6B0B" w:rsidRPr="00720288">
        <w:rPr>
          <w:szCs w:val="22"/>
          <w:lang w:val="fr-FR"/>
        </w:rPr>
        <w:t xml:space="preserve">des taxes </w:t>
      </w:r>
      <w:r w:rsidRPr="00720288">
        <w:rPr>
          <w:szCs w:val="22"/>
          <w:lang w:val="fr-FR"/>
        </w:rPr>
        <w:t>de 50% généralisée à l</w:t>
      </w:r>
      <w:r w:rsidR="00FE2AEC" w:rsidRPr="00720288">
        <w:rPr>
          <w:szCs w:val="22"/>
          <w:lang w:val="fr-FR"/>
        </w:rPr>
        <w:t>’</w:t>
      </w:r>
      <w:r w:rsidRPr="00720288">
        <w:rPr>
          <w:szCs w:val="22"/>
          <w:lang w:val="fr-FR"/>
        </w:rPr>
        <w:t>ensemble des établissements universitaires des pays en développement s</w:t>
      </w:r>
      <w:r w:rsidR="00FE2AEC" w:rsidRPr="00720288">
        <w:rPr>
          <w:szCs w:val="22"/>
          <w:lang w:val="fr-FR"/>
        </w:rPr>
        <w:t>’</w:t>
      </w:r>
      <w:r w:rsidRPr="00720288">
        <w:rPr>
          <w:szCs w:val="22"/>
          <w:lang w:val="fr-FR"/>
        </w:rPr>
        <w:t>élèverait au total à 890 00</w:t>
      </w:r>
      <w:r w:rsidR="00FE2AEC" w:rsidRPr="00720288">
        <w:rPr>
          <w:szCs w:val="22"/>
          <w:lang w:val="fr-FR"/>
        </w:rPr>
        <w:t>0 franc</w:t>
      </w:r>
      <w:r w:rsidRPr="00720288">
        <w:rPr>
          <w:szCs w:val="22"/>
          <w:lang w:val="fr-FR"/>
        </w:rPr>
        <w:t>s suisses (voir le tableau</w:t>
      </w:r>
      <w:r w:rsidR="003158B4" w:rsidRPr="00720288">
        <w:rPr>
          <w:szCs w:val="22"/>
          <w:lang w:val="fr-FR"/>
        </w:rPr>
        <w:t> </w:t>
      </w:r>
      <w:r w:rsidRPr="00720288">
        <w:rPr>
          <w:szCs w:val="22"/>
          <w:lang w:val="fr-FR"/>
        </w:rPr>
        <w:t>3b du document).</w:t>
      </w:r>
    </w:p>
    <w:p w:rsidR="00FE2AEC" w:rsidRPr="00720288" w:rsidRDefault="00650512" w:rsidP="00720288">
      <w:pPr>
        <w:pStyle w:val="ONUMFS"/>
        <w:rPr>
          <w:szCs w:val="22"/>
          <w:lang w:val="fr-FR"/>
        </w:rPr>
      </w:pPr>
      <w:r w:rsidRPr="00720288">
        <w:rPr>
          <w:szCs w:val="22"/>
          <w:lang w:val="fr-FR"/>
        </w:rPr>
        <w:t>Compte tenu de cela, l</w:t>
      </w:r>
      <w:r w:rsidR="007B6B0B" w:rsidRPr="00720288">
        <w:rPr>
          <w:szCs w:val="22"/>
          <w:lang w:val="fr-FR"/>
        </w:rPr>
        <w:t>a</w:t>
      </w:r>
      <w:r w:rsidRPr="00720288">
        <w:rPr>
          <w:szCs w:val="22"/>
          <w:lang w:val="fr-FR"/>
        </w:rPr>
        <w:t xml:space="preserve"> baisse </w:t>
      </w:r>
      <w:r w:rsidR="007B6B0B" w:rsidRPr="00720288">
        <w:rPr>
          <w:szCs w:val="22"/>
          <w:lang w:val="fr-FR"/>
        </w:rPr>
        <w:t xml:space="preserve">potentielle </w:t>
      </w:r>
      <w:r w:rsidRPr="00720288">
        <w:rPr>
          <w:szCs w:val="22"/>
          <w:lang w:val="fr-FR"/>
        </w:rPr>
        <w:t>des recettes représenterait une infime portion de l</w:t>
      </w:r>
      <w:r w:rsidR="00FE2AEC" w:rsidRPr="00720288">
        <w:rPr>
          <w:szCs w:val="22"/>
          <w:lang w:val="fr-FR"/>
        </w:rPr>
        <w:t>’</w:t>
      </w:r>
      <w:r w:rsidRPr="00720288">
        <w:rPr>
          <w:szCs w:val="22"/>
          <w:lang w:val="fr-FR"/>
        </w:rPr>
        <w:t xml:space="preserve">excédent prévu, mais aurait </w:t>
      </w:r>
      <w:r w:rsidR="007B6B0B" w:rsidRPr="00720288">
        <w:rPr>
          <w:szCs w:val="22"/>
          <w:lang w:val="fr-FR"/>
        </w:rPr>
        <w:t xml:space="preserve">en revanche </w:t>
      </w:r>
      <w:r w:rsidRPr="00720288">
        <w:rPr>
          <w:szCs w:val="22"/>
          <w:lang w:val="fr-FR"/>
        </w:rPr>
        <w:t>des effets concrets et positifs sur les dépôts par les établissements universitaires</w:t>
      </w:r>
    </w:p>
    <w:p w:rsidR="004A0AFA" w:rsidRDefault="00650512" w:rsidP="00720288">
      <w:pPr>
        <w:pStyle w:val="Heading1"/>
        <w:rPr>
          <w:lang w:val="fr-FR"/>
        </w:rPr>
      </w:pPr>
      <w:r w:rsidRPr="00720288">
        <w:rPr>
          <w:lang w:val="fr-FR"/>
        </w:rPr>
        <w:t>Proposition</w:t>
      </w:r>
    </w:p>
    <w:p w:rsidR="00720288" w:rsidRPr="00720288" w:rsidRDefault="00720288" w:rsidP="00720288">
      <w:pPr>
        <w:rPr>
          <w:lang w:val="fr-FR"/>
        </w:rPr>
      </w:pPr>
    </w:p>
    <w:p w:rsidR="004A0AFA" w:rsidRPr="00720288" w:rsidRDefault="00650512" w:rsidP="00720288">
      <w:pPr>
        <w:pStyle w:val="ONUMFS"/>
        <w:rPr>
          <w:szCs w:val="22"/>
          <w:lang w:val="fr-FR"/>
        </w:rPr>
      </w:pPr>
      <w:r w:rsidRPr="00720288">
        <w:rPr>
          <w:szCs w:val="22"/>
          <w:lang w:val="fr-FR"/>
        </w:rPr>
        <w:t>Comme suite aux discussions qui ont eu lieu au cours de la neuv</w:t>
      </w:r>
      <w:r w:rsidR="00FE2AEC" w:rsidRPr="00720288">
        <w:rPr>
          <w:szCs w:val="22"/>
          <w:lang w:val="fr-FR"/>
        </w:rPr>
        <w:t>ième session</w:t>
      </w:r>
      <w:r w:rsidRPr="00720288">
        <w:rPr>
          <w:szCs w:val="22"/>
          <w:lang w:val="fr-FR"/>
        </w:rPr>
        <w:t xml:space="preserve"> du groupe de travail, nous proposons une approche progressive.</w:t>
      </w:r>
    </w:p>
    <w:p w:rsidR="004A0AFA" w:rsidRPr="00720288" w:rsidRDefault="007B6B0B" w:rsidP="00720288">
      <w:pPr>
        <w:pStyle w:val="ONUMFS"/>
        <w:rPr>
          <w:szCs w:val="22"/>
          <w:lang w:val="fr-FR"/>
        </w:rPr>
      </w:pPr>
      <w:r w:rsidRPr="00720288">
        <w:rPr>
          <w:szCs w:val="22"/>
          <w:lang w:val="fr-FR"/>
        </w:rPr>
        <w:lastRenderedPageBreak/>
        <w:t>Dans un premier temps, il faudrait</w:t>
      </w:r>
      <w:r w:rsidR="00650512" w:rsidRPr="00720288">
        <w:rPr>
          <w:szCs w:val="22"/>
          <w:lang w:val="fr-FR"/>
        </w:rPr>
        <w:t xml:space="preserve"> approuver la modification à apporter au barème des taxes instituant une réduction de 50% des taxes au moins pour les établissements universitaires de certains pays, notamment les pays en développement et les pays les moins avancés, en s</w:t>
      </w:r>
      <w:r w:rsidR="00FE2AEC" w:rsidRPr="00720288">
        <w:rPr>
          <w:szCs w:val="22"/>
          <w:lang w:val="fr-FR"/>
        </w:rPr>
        <w:t>’</w:t>
      </w:r>
      <w:r w:rsidR="00650512" w:rsidRPr="00720288">
        <w:rPr>
          <w:szCs w:val="22"/>
          <w:lang w:val="fr-FR"/>
        </w:rPr>
        <w:t>appuyant sur les critères par pays actuellement applicables pour les réductions de tax</w:t>
      </w:r>
      <w:r w:rsidR="00406707" w:rsidRPr="00720288">
        <w:rPr>
          <w:szCs w:val="22"/>
          <w:lang w:val="fr-FR"/>
        </w:rPr>
        <w:t>es.  Au</w:t>
      </w:r>
      <w:r w:rsidR="00650512" w:rsidRPr="00720288">
        <w:rPr>
          <w:szCs w:val="22"/>
          <w:lang w:val="fr-FR"/>
        </w:rPr>
        <w:t xml:space="preserve"> cours de cette </w:t>
      </w:r>
      <w:r w:rsidRPr="00720288">
        <w:rPr>
          <w:szCs w:val="22"/>
          <w:lang w:val="fr-FR"/>
        </w:rPr>
        <w:t>étape</w:t>
      </w:r>
      <w:r w:rsidR="00650512" w:rsidRPr="00720288">
        <w:rPr>
          <w:szCs w:val="22"/>
          <w:lang w:val="fr-FR"/>
        </w:rPr>
        <w:t>, l</w:t>
      </w:r>
      <w:r w:rsidR="00FE2AEC" w:rsidRPr="00720288">
        <w:rPr>
          <w:szCs w:val="22"/>
          <w:lang w:val="fr-FR"/>
        </w:rPr>
        <w:t>’</w:t>
      </w:r>
      <w:r w:rsidR="00650512" w:rsidRPr="00720288">
        <w:rPr>
          <w:szCs w:val="22"/>
          <w:lang w:val="fr-FR"/>
        </w:rPr>
        <w:t>incidence économique serait moindre par rapport à une réduction horizontale concernant tous les États membres.</w:t>
      </w:r>
    </w:p>
    <w:p w:rsidR="004A0AFA" w:rsidRPr="00720288" w:rsidRDefault="004A0AFA" w:rsidP="00720288">
      <w:pPr>
        <w:pStyle w:val="ONUMFS"/>
        <w:rPr>
          <w:szCs w:val="22"/>
          <w:lang w:val="fr-FR"/>
        </w:rPr>
      </w:pPr>
      <w:r w:rsidRPr="00720288">
        <w:rPr>
          <w:szCs w:val="22"/>
          <w:lang w:val="fr-FR"/>
        </w:rPr>
        <w:t xml:space="preserve">Dans un deuxième </w:t>
      </w:r>
      <w:r w:rsidR="00C605C3" w:rsidRPr="00720288">
        <w:rPr>
          <w:szCs w:val="22"/>
          <w:lang w:val="fr-FR"/>
        </w:rPr>
        <w:t>temps</w:t>
      </w:r>
      <w:r w:rsidRPr="00720288">
        <w:rPr>
          <w:szCs w:val="22"/>
          <w:lang w:val="fr-FR"/>
        </w:rPr>
        <w:t xml:space="preserve">, </w:t>
      </w:r>
      <w:r w:rsidR="00C605C3" w:rsidRPr="00720288">
        <w:rPr>
          <w:szCs w:val="22"/>
          <w:lang w:val="fr-FR"/>
        </w:rPr>
        <w:t>lors d</w:t>
      </w:r>
      <w:r w:rsidR="00FE2AEC" w:rsidRPr="00720288">
        <w:rPr>
          <w:szCs w:val="22"/>
          <w:lang w:val="fr-FR"/>
        </w:rPr>
        <w:t>’</w:t>
      </w:r>
      <w:r w:rsidRPr="00720288">
        <w:rPr>
          <w:szCs w:val="22"/>
          <w:lang w:val="fr-FR"/>
        </w:rPr>
        <w:t xml:space="preserve">une session du groupe de travail, les États membres évalueraient les résultats de la nouvelle politique en matière de taxes visant à augmenter les dépôts </w:t>
      </w:r>
      <w:r w:rsidR="007B6B0B" w:rsidRPr="00720288">
        <w:rPr>
          <w:szCs w:val="22"/>
          <w:lang w:val="fr-FR"/>
        </w:rPr>
        <w:t>par l</w:t>
      </w:r>
      <w:r w:rsidRPr="00720288">
        <w:rPr>
          <w:szCs w:val="22"/>
          <w:lang w:val="fr-FR"/>
        </w:rPr>
        <w:t>es établissements universitaires et prendraient une décision quant à la question de savoir s</w:t>
      </w:r>
      <w:r w:rsidR="00FE2AEC" w:rsidRPr="00720288">
        <w:rPr>
          <w:szCs w:val="22"/>
          <w:lang w:val="fr-FR"/>
        </w:rPr>
        <w:t>’</w:t>
      </w:r>
      <w:r w:rsidRPr="00720288">
        <w:rPr>
          <w:szCs w:val="22"/>
          <w:lang w:val="fr-FR"/>
        </w:rPr>
        <w:t>il conv</w:t>
      </w:r>
      <w:r w:rsidR="00B77EB6" w:rsidRPr="00720288">
        <w:rPr>
          <w:szCs w:val="22"/>
          <w:lang w:val="fr-FR"/>
        </w:rPr>
        <w:t>ient</w:t>
      </w:r>
      <w:r w:rsidRPr="00720288">
        <w:rPr>
          <w:szCs w:val="22"/>
          <w:lang w:val="fr-FR"/>
        </w:rPr>
        <w:t xml:space="preserve"> d</w:t>
      </w:r>
      <w:r w:rsidR="00FE2AEC" w:rsidRPr="00720288">
        <w:rPr>
          <w:szCs w:val="22"/>
          <w:lang w:val="fr-FR"/>
        </w:rPr>
        <w:t>’</w:t>
      </w:r>
      <w:r w:rsidRPr="00720288">
        <w:rPr>
          <w:szCs w:val="22"/>
          <w:lang w:val="fr-FR"/>
        </w:rPr>
        <w:t>augmenter le taux de réduction ou de l</w:t>
      </w:r>
      <w:r w:rsidR="00FE2AEC" w:rsidRPr="00720288">
        <w:rPr>
          <w:szCs w:val="22"/>
          <w:lang w:val="fr-FR"/>
        </w:rPr>
        <w:t>’</w:t>
      </w:r>
      <w:r w:rsidRPr="00720288">
        <w:rPr>
          <w:szCs w:val="22"/>
          <w:lang w:val="fr-FR"/>
        </w:rPr>
        <w:t>étendre aux établissements universitaires des pays développés.</w:t>
      </w:r>
      <w:r w:rsidR="00295FA6" w:rsidRPr="00720288">
        <w:rPr>
          <w:lang w:val="fr-FR"/>
        </w:rPr>
        <w:t xml:space="preserve">  </w:t>
      </w:r>
      <w:r w:rsidR="00F1405A" w:rsidRPr="00720288">
        <w:rPr>
          <w:szCs w:val="22"/>
          <w:lang w:val="fr-FR"/>
        </w:rPr>
        <w:t>À</w:t>
      </w:r>
      <w:r w:rsidR="00B77EB6" w:rsidRPr="00720288">
        <w:rPr>
          <w:szCs w:val="22"/>
          <w:lang w:val="fr-FR"/>
        </w:rPr>
        <w:t xml:space="preserve"> l</w:t>
      </w:r>
      <w:r w:rsidR="00FE2AEC" w:rsidRPr="00720288">
        <w:rPr>
          <w:szCs w:val="22"/>
          <w:lang w:val="fr-FR"/>
        </w:rPr>
        <w:t>’</w:t>
      </w:r>
      <w:r w:rsidR="00B77EB6" w:rsidRPr="00720288">
        <w:rPr>
          <w:szCs w:val="22"/>
          <w:lang w:val="fr-FR"/>
        </w:rPr>
        <w:t>avenir, l</w:t>
      </w:r>
      <w:r w:rsidRPr="00720288">
        <w:rPr>
          <w:szCs w:val="22"/>
          <w:lang w:val="fr-FR"/>
        </w:rPr>
        <w:t xml:space="preserve">es discussions pourraient également </w:t>
      </w:r>
      <w:r w:rsidR="00B77EB6" w:rsidRPr="00720288">
        <w:rPr>
          <w:szCs w:val="22"/>
          <w:lang w:val="fr-FR"/>
        </w:rPr>
        <w:t>traiter de l</w:t>
      </w:r>
      <w:r w:rsidR="00FE2AEC" w:rsidRPr="00720288">
        <w:rPr>
          <w:szCs w:val="22"/>
          <w:lang w:val="fr-FR"/>
        </w:rPr>
        <w:t>’</w:t>
      </w:r>
      <w:r w:rsidR="00B77EB6" w:rsidRPr="00720288">
        <w:rPr>
          <w:szCs w:val="22"/>
          <w:lang w:val="fr-FR"/>
        </w:rPr>
        <w:t>opportunité</w:t>
      </w:r>
      <w:r w:rsidRPr="00720288">
        <w:rPr>
          <w:szCs w:val="22"/>
          <w:lang w:val="fr-FR"/>
        </w:rPr>
        <w:t xml:space="preserve"> d</w:t>
      </w:r>
      <w:r w:rsidR="00FE2AEC" w:rsidRPr="00720288">
        <w:rPr>
          <w:szCs w:val="22"/>
          <w:lang w:val="fr-FR"/>
        </w:rPr>
        <w:t>’</w:t>
      </w:r>
      <w:r w:rsidRPr="00720288">
        <w:rPr>
          <w:szCs w:val="22"/>
          <w:lang w:val="fr-FR"/>
        </w:rPr>
        <w:t xml:space="preserve">étendre cet avantage aux </w:t>
      </w:r>
      <w:r w:rsidR="00B77EB6" w:rsidRPr="00720288">
        <w:rPr>
          <w:szCs w:val="22"/>
          <w:lang w:val="fr-FR"/>
        </w:rPr>
        <w:t>organismes</w:t>
      </w:r>
      <w:r w:rsidRPr="00720288">
        <w:rPr>
          <w:szCs w:val="22"/>
          <w:lang w:val="fr-FR"/>
        </w:rPr>
        <w:t xml:space="preserve"> de recherche</w:t>
      </w:r>
      <w:r w:rsidR="007B6B0B" w:rsidRPr="00720288">
        <w:rPr>
          <w:szCs w:val="22"/>
          <w:lang w:val="fr-FR"/>
        </w:rPr>
        <w:t xml:space="preserve"> publics</w:t>
      </w:r>
      <w:r w:rsidRPr="00720288">
        <w:rPr>
          <w:szCs w:val="22"/>
          <w:lang w:val="fr-FR"/>
        </w:rPr>
        <w:t>.</w:t>
      </w:r>
    </w:p>
    <w:p w:rsidR="004A0AFA" w:rsidRPr="00720288" w:rsidRDefault="00156E65" w:rsidP="00720288">
      <w:pPr>
        <w:pStyle w:val="ONUMFS"/>
        <w:rPr>
          <w:szCs w:val="22"/>
          <w:lang w:val="fr-FR"/>
        </w:rPr>
      </w:pPr>
      <w:r w:rsidRPr="00720288">
        <w:rPr>
          <w:szCs w:val="22"/>
          <w:lang w:val="fr-FR"/>
        </w:rPr>
        <w:t>Afin de tenir compte des préoccupations concernant l</w:t>
      </w:r>
      <w:r w:rsidR="00FE2AEC" w:rsidRPr="00720288">
        <w:rPr>
          <w:szCs w:val="22"/>
          <w:lang w:val="fr-FR"/>
        </w:rPr>
        <w:t>’</w:t>
      </w:r>
      <w:r w:rsidRPr="00720288">
        <w:rPr>
          <w:szCs w:val="22"/>
          <w:lang w:val="fr-FR"/>
        </w:rPr>
        <w:t>équilibre budgétaire global de l</w:t>
      </w:r>
      <w:r w:rsidR="00FE2AEC" w:rsidRPr="00720288">
        <w:rPr>
          <w:szCs w:val="22"/>
          <w:lang w:val="fr-FR"/>
        </w:rPr>
        <w:t>’</w:t>
      </w:r>
      <w:r w:rsidRPr="00720288">
        <w:rPr>
          <w:szCs w:val="22"/>
          <w:lang w:val="fr-FR"/>
        </w:rPr>
        <w:t xml:space="preserve">Organisation, il est proposé que la réduction des taxes </w:t>
      </w:r>
      <w:r w:rsidR="007B6B0B" w:rsidRPr="00720288">
        <w:rPr>
          <w:szCs w:val="22"/>
          <w:lang w:val="fr-FR"/>
        </w:rPr>
        <w:t>en faveur d</w:t>
      </w:r>
      <w:r w:rsidRPr="00720288">
        <w:rPr>
          <w:szCs w:val="22"/>
          <w:lang w:val="fr-FR"/>
        </w:rPr>
        <w:t>es établissements universitaires soit examinée parallèlement aux mesures proposées en vue de réduire le nombre de réductions de taxes réclamées par des déposants ne remplissant pas les conditions requises pour bénéficier de la réduction, comme indiqué dans le document PCT/WG/10/8.</w:t>
      </w:r>
    </w:p>
    <w:p w:rsidR="004A0AFA" w:rsidRPr="00720288" w:rsidRDefault="00156E65" w:rsidP="00720288">
      <w:pPr>
        <w:pStyle w:val="ONUMFS"/>
        <w:ind w:left="5533"/>
        <w:rPr>
          <w:i/>
          <w:lang w:val="fr-FR"/>
        </w:rPr>
      </w:pPr>
      <w:r w:rsidRPr="00720288">
        <w:rPr>
          <w:i/>
          <w:lang w:val="fr-FR"/>
        </w:rPr>
        <w:t>Le groupe de travail est invité à examiner la proposition énoncée dans le présent document et la modification qu</w:t>
      </w:r>
      <w:r w:rsidR="00FE2AEC" w:rsidRPr="00720288">
        <w:rPr>
          <w:i/>
          <w:lang w:val="fr-FR"/>
        </w:rPr>
        <w:t>’</w:t>
      </w:r>
      <w:r w:rsidRPr="00720288">
        <w:rPr>
          <w:i/>
          <w:lang w:val="fr-FR"/>
        </w:rPr>
        <w:t>il est proposé d</w:t>
      </w:r>
      <w:r w:rsidR="00FE2AEC" w:rsidRPr="00720288">
        <w:rPr>
          <w:i/>
          <w:lang w:val="fr-FR"/>
        </w:rPr>
        <w:t>’</w:t>
      </w:r>
      <w:r w:rsidRPr="00720288">
        <w:rPr>
          <w:i/>
          <w:lang w:val="fr-FR"/>
        </w:rPr>
        <w:t>apporter au barème de taxes figurant dans l</w:t>
      </w:r>
      <w:r w:rsidR="00FE2AEC" w:rsidRPr="00720288">
        <w:rPr>
          <w:i/>
          <w:lang w:val="fr-FR"/>
        </w:rPr>
        <w:t>’</w:t>
      </w:r>
      <w:r w:rsidRPr="00720288">
        <w:rPr>
          <w:i/>
          <w:lang w:val="fr-FR"/>
        </w:rPr>
        <w:t>annexe.</w:t>
      </w:r>
    </w:p>
    <w:p w:rsidR="004A0AFA" w:rsidRPr="00720288" w:rsidRDefault="004A0AFA" w:rsidP="00720288"/>
    <w:p w:rsidR="00C66125" w:rsidRPr="00720288" w:rsidRDefault="00C66125" w:rsidP="00720288"/>
    <w:p w:rsidR="00295FA6" w:rsidRPr="00720288" w:rsidRDefault="00156E65" w:rsidP="00720288">
      <w:pPr>
        <w:pStyle w:val="ONUME"/>
        <w:numPr>
          <w:ilvl w:val="0"/>
          <w:numId w:val="0"/>
        </w:numPr>
        <w:ind w:left="5533"/>
        <w:rPr>
          <w:szCs w:val="22"/>
          <w:lang w:val="fr-FR"/>
        </w:rPr>
        <w:sectPr w:rsidR="00295FA6" w:rsidRPr="00720288" w:rsidSect="00720288">
          <w:headerReference w:type="default" r:id="rId10"/>
          <w:endnotePr>
            <w:numFmt w:val="decimal"/>
          </w:endnotePr>
          <w:pgSz w:w="11907" w:h="16840" w:code="9"/>
          <w:pgMar w:top="567" w:right="1134" w:bottom="1418" w:left="1418" w:header="510" w:footer="1021" w:gutter="0"/>
          <w:cols w:space="720"/>
          <w:titlePg/>
          <w:docGrid w:linePitch="299"/>
        </w:sectPr>
      </w:pPr>
      <w:r w:rsidRPr="00720288">
        <w:rPr>
          <w:szCs w:val="22"/>
          <w:lang w:val="fr-FR"/>
        </w:rPr>
        <w:t>[L</w:t>
      </w:r>
      <w:r w:rsidR="00FE2AEC" w:rsidRPr="00720288">
        <w:rPr>
          <w:szCs w:val="22"/>
          <w:lang w:val="fr-FR"/>
        </w:rPr>
        <w:t>’</w:t>
      </w:r>
      <w:r w:rsidRPr="00720288">
        <w:rPr>
          <w:szCs w:val="22"/>
          <w:lang w:val="fr-FR"/>
        </w:rPr>
        <w:t>annexe suit]</w:t>
      </w:r>
    </w:p>
    <w:p w:rsidR="004A0AFA" w:rsidRPr="00DC61D8" w:rsidRDefault="004A0AFA" w:rsidP="00720288">
      <w:pPr>
        <w:rPr>
          <w:szCs w:val="22"/>
          <w:lang w:val="fr-FR"/>
        </w:rPr>
      </w:pPr>
    </w:p>
    <w:p w:rsidR="004A0AFA" w:rsidRPr="00720288" w:rsidRDefault="00B77EB6" w:rsidP="00720288">
      <w:pPr>
        <w:pStyle w:val="Heading2"/>
        <w:jc w:val="center"/>
        <w:rPr>
          <w:szCs w:val="22"/>
          <w:lang w:val="fr-FR"/>
        </w:rPr>
      </w:pPr>
      <w:r w:rsidRPr="00720288">
        <w:rPr>
          <w:szCs w:val="22"/>
          <w:lang w:val="fr-FR"/>
        </w:rPr>
        <w:t>Proposition</w:t>
      </w:r>
      <w:r w:rsidR="00156E65" w:rsidRPr="00720288">
        <w:rPr>
          <w:szCs w:val="22"/>
          <w:lang w:val="fr-FR"/>
        </w:rPr>
        <w:t xml:space="preserve"> de modification du règlement d</w:t>
      </w:r>
      <w:r w:rsidR="00FE2AEC" w:rsidRPr="00720288">
        <w:rPr>
          <w:szCs w:val="22"/>
          <w:lang w:val="fr-FR"/>
        </w:rPr>
        <w:t>’</w:t>
      </w:r>
      <w:r w:rsidR="00156E65" w:rsidRPr="00720288">
        <w:rPr>
          <w:szCs w:val="22"/>
          <w:lang w:val="fr-FR"/>
        </w:rPr>
        <w:t>exécution</w:t>
      </w:r>
      <w:r w:rsidR="00FE2AEC" w:rsidRPr="00720288">
        <w:rPr>
          <w:szCs w:val="22"/>
          <w:lang w:val="fr-FR"/>
        </w:rPr>
        <w:t xml:space="preserve"> du PCT</w:t>
      </w:r>
    </w:p>
    <w:p w:rsidR="004A0AFA" w:rsidRPr="00720288" w:rsidRDefault="004A0AFA" w:rsidP="00720288">
      <w:pPr>
        <w:rPr>
          <w:szCs w:val="22"/>
          <w:lang w:val="fr-FR"/>
        </w:rPr>
      </w:pPr>
    </w:p>
    <w:p w:rsidR="00295FA6" w:rsidRPr="00720288" w:rsidRDefault="00156E65" w:rsidP="00720288">
      <w:pPr>
        <w:pStyle w:val="LegTitle"/>
        <w:spacing w:after="240"/>
        <w:rPr>
          <w:rFonts w:eastAsia="Arial Unicode MS"/>
          <w:szCs w:val="22"/>
          <w:lang w:val="fr-FR"/>
        </w:rPr>
      </w:pPr>
      <w:r w:rsidRPr="00720288">
        <w:rPr>
          <w:rFonts w:eastAsia="Arial Unicode MS"/>
          <w:szCs w:val="22"/>
          <w:lang w:val="fr-FR"/>
        </w:rPr>
        <w:t>BARÈME DE TAXES</w:t>
      </w:r>
    </w:p>
    <w:tbl>
      <w:tblPr>
        <w:tblW w:w="0" w:type="auto"/>
        <w:jc w:val="center"/>
        <w:tblInd w:w="38" w:type="dxa"/>
        <w:tblLayout w:type="fixed"/>
        <w:tblCellMar>
          <w:left w:w="56" w:type="dxa"/>
          <w:right w:w="56" w:type="dxa"/>
        </w:tblCellMar>
        <w:tblLook w:val="04A0" w:firstRow="1" w:lastRow="0" w:firstColumn="1" w:lastColumn="0" w:noHBand="0" w:noVBand="1"/>
      </w:tblPr>
      <w:tblGrid>
        <w:gridCol w:w="6074"/>
        <w:gridCol w:w="3017"/>
      </w:tblGrid>
      <w:tr w:rsidR="00720288" w:rsidRPr="00720288" w:rsidTr="00720288">
        <w:trPr>
          <w:jc w:val="center"/>
        </w:trPr>
        <w:tc>
          <w:tcPr>
            <w:tcW w:w="6074" w:type="dxa"/>
            <w:hideMark/>
          </w:tcPr>
          <w:p w:rsidR="00295FA6" w:rsidRPr="00720288" w:rsidRDefault="00156E65" w:rsidP="00720288">
            <w:pPr>
              <w:pStyle w:val="LegBasic"/>
              <w:spacing w:after="120" w:line="360" w:lineRule="auto"/>
              <w:rPr>
                <w:rFonts w:eastAsia="SimSun"/>
                <w:b/>
                <w:bCs/>
                <w:szCs w:val="22"/>
                <w:lang w:val="fr-FR"/>
              </w:rPr>
            </w:pPr>
            <w:r w:rsidRPr="00720288">
              <w:rPr>
                <w:rFonts w:eastAsia="SimSun"/>
                <w:b/>
                <w:bCs/>
                <w:szCs w:val="22"/>
                <w:lang w:val="fr-FR"/>
              </w:rPr>
              <w:t>Taxes</w:t>
            </w:r>
          </w:p>
        </w:tc>
        <w:tc>
          <w:tcPr>
            <w:tcW w:w="3017" w:type="dxa"/>
            <w:hideMark/>
          </w:tcPr>
          <w:p w:rsidR="00295FA6" w:rsidRPr="00720288" w:rsidRDefault="00156E65" w:rsidP="00720288">
            <w:pPr>
              <w:pStyle w:val="LegBasic"/>
              <w:spacing w:after="120" w:line="360" w:lineRule="auto"/>
              <w:rPr>
                <w:rFonts w:eastAsia="SimSun"/>
                <w:b/>
                <w:bCs/>
                <w:szCs w:val="22"/>
                <w:lang w:val="fr-FR"/>
              </w:rPr>
            </w:pPr>
            <w:r w:rsidRPr="00720288">
              <w:rPr>
                <w:rFonts w:eastAsia="SimSun"/>
                <w:b/>
                <w:bCs/>
                <w:szCs w:val="22"/>
                <w:lang w:val="fr-FR"/>
              </w:rPr>
              <w:t>Montant</w:t>
            </w:r>
          </w:p>
        </w:tc>
      </w:tr>
      <w:tr w:rsidR="00720288" w:rsidRPr="00720288" w:rsidTr="00720288">
        <w:trPr>
          <w:cantSplit/>
          <w:jc w:val="center"/>
        </w:trPr>
        <w:tc>
          <w:tcPr>
            <w:tcW w:w="9091" w:type="dxa"/>
            <w:gridSpan w:val="2"/>
            <w:hideMark/>
          </w:tcPr>
          <w:p w:rsidR="00295FA6" w:rsidRPr="00720288" w:rsidRDefault="00C66125" w:rsidP="00720288">
            <w:pPr>
              <w:pStyle w:val="LegBasic"/>
              <w:spacing w:after="120" w:line="360" w:lineRule="auto"/>
              <w:rPr>
                <w:szCs w:val="22"/>
                <w:lang w:val="fr-FR"/>
              </w:rPr>
            </w:pPr>
            <w:r w:rsidRPr="00720288">
              <w:rPr>
                <w:szCs w:val="22"/>
                <w:lang w:val="fr-FR"/>
              </w:rPr>
              <w:t>1</w:t>
            </w:r>
            <w:r w:rsidR="00720288">
              <w:rPr>
                <w:szCs w:val="22"/>
                <w:lang w:val="fr-FR"/>
              </w:rPr>
              <w:t>. à </w:t>
            </w:r>
            <w:r w:rsidRPr="00720288">
              <w:rPr>
                <w:szCs w:val="22"/>
                <w:lang w:val="fr-FR"/>
              </w:rPr>
              <w:t>3.   </w:t>
            </w:r>
            <w:r w:rsidR="00156E65" w:rsidRPr="00720288">
              <w:rPr>
                <w:szCs w:val="22"/>
                <w:lang w:val="fr-FR"/>
              </w:rPr>
              <w:t>[Sans changement]</w:t>
            </w:r>
          </w:p>
        </w:tc>
      </w:tr>
      <w:tr w:rsidR="00720288" w:rsidRPr="00720288" w:rsidTr="00720288">
        <w:trPr>
          <w:jc w:val="center"/>
        </w:trPr>
        <w:tc>
          <w:tcPr>
            <w:tcW w:w="6074" w:type="dxa"/>
            <w:hideMark/>
          </w:tcPr>
          <w:p w:rsidR="004A0AFA" w:rsidRPr="00720288" w:rsidRDefault="00156E65" w:rsidP="00720288">
            <w:pPr>
              <w:pStyle w:val="LegBasic"/>
              <w:spacing w:after="120" w:line="360" w:lineRule="auto"/>
              <w:rPr>
                <w:rFonts w:eastAsia="SimSun"/>
                <w:b/>
                <w:bCs/>
                <w:szCs w:val="22"/>
                <w:lang w:val="fr-FR"/>
              </w:rPr>
            </w:pPr>
            <w:r w:rsidRPr="00720288">
              <w:rPr>
                <w:rFonts w:eastAsia="SimSun"/>
                <w:b/>
                <w:bCs/>
                <w:szCs w:val="22"/>
                <w:lang w:val="fr-FR"/>
              </w:rPr>
              <w:t>Réductions</w:t>
            </w:r>
          </w:p>
          <w:p w:rsidR="00295FA6" w:rsidRPr="00720288" w:rsidRDefault="00C66125" w:rsidP="00720288">
            <w:pPr>
              <w:pStyle w:val="LegBasic"/>
              <w:spacing w:after="120" w:line="360" w:lineRule="auto"/>
              <w:rPr>
                <w:rFonts w:eastAsia="SimSun"/>
                <w:bCs/>
                <w:szCs w:val="22"/>
                <w:lang w:val="fr-FR"/>
              </w:rPr>
            </w:pPr>
            <w:r w:rsidRPr="00720288">
              <w:rPr>
                <w:rFonts w:eastAsia="SimSun"/>
                <w:bCs/>
                <w:szCs w:val="22"/>
                <w:lang w:val="fr-FR"/>
              </w:rPr>
              <w:t>4.   </w:t>
            </w:r>
            <w:r w:rsidR="00156E65" w:rsidRPr="00720288">
              <w:rPr>
                <w:rFonts w:eastAsia="SimSun"/>
                <w:bCs/>
                <w:szCs w:val="22"/>
                <w:lang w:val="fr-FR"/>
              </w:rPr>
              <w:t>[Sans changement]</w:t>
            </w:r>
          </w:p>
        </w:tc>
        <w:tc>
          <w:tcPr>
            <w:tcW w:w="3017" w:type="dxa"/>
          </w:tcPr>
          <w:p w:rsidR="00295FA6" w:rsidRPr="00720288" w:rsidRDefault="00295FA6" w:rsidP="00720288">
            <w:pPr>
              <w:pStyle w:val="LegBasic"/>
              <w:spacing w:after="120" w:line="360" w:lineRule="auto"/>
              <w:rPr>
                <w:rFonts w:eastAsia="SimSun"/>
                <w:b/>
                <w:bCs/>
                <w:szCs w:val="22"/>
                <w:lang w:val="fr-FR"/>
              </w:rPr>
            </w:pPr>
          </w:p>
        </w:tc>
      </w:tr>
      <w:tr w:rsidR="00295FA6" w:rsidRPr="00DC61D8" w:rsidTr="00720288">
        <w:trPr>
          <w:cantSplit/>
          <w:jc w:val="center"/>
        </w:trPr>
        <w:tc>
          <w:tcPr>
            <w:tcW w:w="9091" w:type="dxa"/>
            <w:gridSpan w:val="2"/>
            <w:hideMark/>
          </w:tcPr>
          <w:p w:rsidR="004A0AFA" w:rsidRPr="00720288" w:rsidRDefault="00156E65" w:rsidP="00720288">
            <w:pPr>
              <w:pStyle w:val="LegBasic"/>
              <w:spacing w:after="120" w:line="360" w:lineRule="auto"/>
              <w:rPr>
                <w:szCs w:val="22"/>
                <w:lang w:val="fr-FR"/>
              </w:rPr>
            </w:pPr>
            <w:r w:rsidRPr="00720288">
              <w:rPr>
                <w:szCs w:val="22"/>
                <w:lang w:val="fr-FR"/>
              </w:rPr>
              <w:t>5.</w:t>
            </w:r>
            <w:r w:rsidR="00C66125" w:rsidRPr="00720288">
              <w:rPr>
                <w:szCs w:val="22"/>
                <w:lang w:val="fr-FR"/>
              </w:rPr>
              <w:t>   </w:t>
            </w:r>
            <w:r w:rsidRPr="00720288">
              <w:rPr>
                <w:szCs w:val="22"/>
                <w:lang w:val="fr-FR"/>
              </w:rPr>
              <w:t>[Sans changement]</w:t>
            </w:r>
          </w:p>
          <w:p w:rsidR="00295FA6" w:rsidRPr="00720288" w:rsidRDefault="00C66125" w:rsidP="00720288">
            <w:pPr>
              <w:pStyle w:val="LegBasic"/>
              <w:spacing w:after="120" w:line="360" w:lineRule="auto"/>
              <w:rPr>
                <w:rFonts w:eastAsia="SimSun"/>
                <w:color w:val="0000FF"/>
                <w:szCs w:val="22"/>
                <w:u w:val="single"/>
                <w:lang w:val="fr-FR"/>
              </w:rPr>
            </w:pPr>
            <w:r w:rsidRPr="00720288">
              <w:rPr>
                <w:rFonts w:eastAsia="SimSun"/>
                <w:color w:val="0000FF"/>
                <w:szCs w:val="22"/>
                <w:u w:val="single"/>
                <w:lang w:val="fr-FR"/>
              </w:rPr>
              <w:t>6.   </w:t>
            </w:r>
            <w:r w:rsidR="00DB4C3D" w:rsidRPr="00720288">
              <w:rPr>
                <w:rFonts w:eastAsia="SimSun"/>
                <w:color w:val="0000FF"/>
                <w:szCs w:val="22"/>
                <w:u w:val="single"/>
                <w:lang w:val="fr-FR"/>
              </w:rPr>
              <w:t xml:space="preserve">La taxe internationale de dépôt prévue au </w:t>
            </w:r>
            <w:r w:rsidR="00FE2AEC" w:rsidRPr="00720288">
              <w:rPr>
                <w:rFonts w:eastAsia="SimSun"/>
                <w:color w:val="0000FF"/>
                <w:szCs w:val="22"/>
                <w:u w:val="single"/>
                <w:lang w:val="fr-FR"/>
              </w:rPr>
              <w:t>point 1</w:t>
            </w:r>
            <w:r w:rsidR="00DB4C3D" w:rsidRPr="00720288">
              <w:rPr>
                <w:rFonts w:eastAsia="SimSun"/>
                <w:color w:val="0000FF"/>
                <w:szCs w:val="22"/>
                <w:u w:val="single"/>
                <w:lang w:val="fr-FR"/>
              </w:rPr>
              <w:t xml:space="preserve"> (compte tenu, le cas échéant, de la réduction prévue au </w:t>
            </w:r>
            <w:r w:rsidR="00FE2AEC" w:rsidRPr="00720288">
              <w:rPr>
                <w:rFonts w:eastAsia="SimSun"/>
                <w:color w:val="0000FF"/>
                <w:szCs w:val="22"/>
                <w:u w:val="single"/>
                <w:lang w:val="fr-FR"/>
              </w:rPr>
              <w:t>point 4</w:t>
            </w:r>
            <w:r w:rsidR="00DB4C3D" w:rsidRPr="00720288">
              <w:rPr>
                <w:rFonts w:eastAsia="SimSun"/>
                <w:color w:val="0000FF"/>
                <w:szCs w:val="22"/>
                <w:u w:val="single"/>
                <w:lang w:val="fr-FR"/>
              </w:rPr>
              <w:t xml:space="preserve">), la taxe de traitement de la recherche supplémentaire prévue au </w:t>
            </w:r>
            <w:r w:rsidR="00FE2AEC" w:rsidRPr="00720288">
              <w:rPr>
                <w:rFonts w:eastAsia="SimSun"/>
                <w:color w:val="0000FF"/>
                <w:szCs w:val="22"/>
                <w:u w:val="single"/>
                <w:lang w:val="fr-FR"/>
              </w:rPr>
              <w:t>point 2</w:t>
            </w:r>
            <w:r w:rsidR="00DB4C3D" w:rsidRPr="00720288">
              <w:rPr>
                <w:rFonts w:eastAsia="SimSun"/>
                <w:color w:val="0000FF"/>
                <w:szCs w:val="22"/>
                <w:u w:val="single"/>
                <w:lang w:val="fr-FR"/>
              </w:rPr>
              <w:t xml:space="preserve"> et la taxe de traitement prévue au </w:t>
            </w:r>
            <w:r w:rsidR="00FE2AEC" w:rsidRPr="00720288">
              <w:rPr>
                <w:rFonts w:eastAsia="SimSun"/>
                <w:color w:val="0000FF"/>
                <w:szCs w:val="22"/>
                <w:u w:val="single"/>
                <w:lang w:val="fr-FR"/>
              </w:rPr>
              <w:t>point 3</w:t>
            </w:r>
            <w:r w:rsidR="00DB4C3D" w:rsidRPr="00720288">
              <w:rPr>
                <w:rFonts w:eastAsia="SimSun"/>
                <w:color w:val="0000FF"/>
                <w:szCs w:val="22"/>
                <w:u w:val="single"/>
                <w:lang w:val="fr-FR"/>
              </w:rPr>
              <w:t xml:space="preserve"> sont réduites de 50% si la demande internationale est déposée par un </w:t>
            </w:r>
            <w:r w:rsidR="00B77EB6" w:rsidRPr="00720288">
              <w:rPr>
                <w:rFonts w:eastAsia="SimSun"/>
                <w:color w:val="0000FF"/>
                <w:szCs w:val="22"/>
                <w:u w:val="single"/>
                <w:lang w:val="fr-FR"/>
              </w:rPr>
              <w:t>établissement</w:t>
            </w:r>
            <w:r w:rsidR="00DB4C3D" w:rsidRPr="00720288">
              <w:rPr>
                <w:rFonts w:eastAsia="SimSun"/>
                <w:color w:val="0000FF"/>
                <w:szCs w:val="22"/>
                <w:u w:val="single"/>
                <w:lang w:val="fr-FR"/>
              </w:rPr>
              <w:t xml:space="preserve"> universitaire</w:t>
            </w:r>
            <w:r w:rsidR="00B77EB6" w:rsidRPr="00720288">
              <w:rPr>
                <w:rStyle w:val="FootnoteReference"/>
                <w:rFonts w:eastAsia="SimSun"/>
                <w:color w:val="0000FF"/>
                <w:szCs w:val="22"/>
                <w:u w:val="single"/>
                <w:lang w:val="fr-FR"/>
              </w:rPr>
              <w:footnoteReference w:id="2"/>
            </w:r>
            <w:r w:rsidR="00DB4C3D" w:rsidRPr="00720288">
              <w:rPr>
                <w:rFonts w:eastAsia="SimSun"/>
                <w:color w:val="0000FF"/>
                <w:szCs w:val="22"/>
                <w:u w:val="single"/>
                <w:lang w:val="fr-FR"/>
              </w:rPr>
              <w:t xml:space="preserve"> </w:t>
            </w:r>
            <w:r w:rsidR="007B6B0B" w:rsidRPr="00720288">
              <w:rPr>
                <w:rFonts w:eastAsia="SimSun"/>
                <w:color w:val="0000FF"/>
                <w:szCs w:val="22"/>
                <w:u w:val="single"/>
                <w:lang w:val="fr-FR"/>
              </w:rPr>
              <w:t>d’</w:t>
            </w:r>
            <w:r w:rsidR="00DB4C3D" w:rsidRPr="00720288">
              <w:rPr>
                <w:rFonts w:eastAsia="SimSun"/>
                <w:color w:val="0000FF"/>
                <w:szCs w:val="22"/>
                <w:u w:val="single"/>
                <w:lang w:val="fr-FR"/>
              </w:rPr>
              <w:t xml:space="preserve">un des </w:t>
            </w:r>
            <w:r w:rsidR="00B77EB6" w:rsidRPr="00720288">
              <w:rPr>
                <w:rFonts w:eastAsia="SimSun"/>
                <w:color w:val="0000FF"/>
                <w:szCs w:val="22"/>
                <w:u w:val="single"/>
                <w:lang w:val="fr-FR"/>
              </w:rPr>
              <w:t>États</w:t>
            </w:r>
            <w:r w:rsidR="00DB4C3D" w:rsidRPr="00720288">
              <w:rPr>
                <w:rFonts w:eastAsia="SimSun"/>
                <w:color w:val="0000FF"/>
                <w:szCs w:val="22"/>
                <w:u w:val="single"/>
                <w:lang w:val="fr-FR"/>
              </w:rPr>
              <w:t xml:space="preserve"> énumérés au </w:t>
            </w:r>
            <w:r w:rsidR="00FE2AEC" w:rsidRPr="00720288">
              <w:rPr>
                <w:rFonts w:eastAsia="SimSun"/>
                <w:color w:val="0000FF"/>
                <w:szCs w:val="22"/>
                <w:u w:val="single"/>
                <w:lang w:val="fr-FR"/>
              </w:rPr>
              <w:t>point 5</w:t>
            </w:r>
            <w:r w:rsidR="00DB4C3D" w:rsidRPr="00720288">
              <w:rPr>
                <w:rFonts w:eastAsia="SimSun"/>
                <w:color w:val="0000FF"/>
                <w:szCs w:val="22"/>
                <w:u w:val="single"/>
                <w:lang w:val="fr-FR"/>
              </w:rPr>
              <w:t>, sous réserve que le nombre de demandes internationales déposées dans l</w:t>
            </w:r>
            <w:r w:rsidR="00FE2AEC" w:rsidRPr="00720288">
              <w:rPr>
                <w:rFonts w:eastAsia="SimSun"/>
                <w:color w:val="0000FF"/>
                <w:szCs w:val="22"/>
                <w:u w:val="single"/>
                <w:lang w:val="fr-FR"/>
              </w:rPr>
              <w:t>’</w:t>
            </w:r>
            <w:r w:rsidR="00DB4C3D" w:rsidRPr="00720288">
              <w:rPr>
                <w:rFonts w:eastAsia="SimSun"/>
                <w:color w:val="0000FF"/>
                <w:szCs w:val="22"/>
                <w:u w:val="single"/>
                <w:lang w:val="fr-FR"/>
              </w:rPr>
              <w:t xml:space="preserve">année </w:t>
            </w:r>
            <w:r w:rsidR="00B77EB6" w:rsidRPr="00720288">
              <w:rPr>
                <w:rFonts w:eastAsia="SimSun"/>
                <w:color w:val="0000FF"/>
                <w:szCs w:val="22"/>
                <w:u w:val="single"/>
                <w:lang w:val="fr-FR"/>
              </w:rPr>
              <w:t xml:space="preserve">par ce déposant </w:t>
            </w:r>
            <w:r w:rsidR="00720288">
              <w:rPr>
                <w:rFonts w:eastAsia="SimSun"/>
                <w:color w:val="0000FF"/>
                <w:szCs w:val="22"/>
                <w:u w:val="single"/>
                <w:lang w:val="fr-FR"/>
              </w:rPr>
              <w:t>soit inférieur à </w:t>
            </w:r>
            <w:r w:rsidR="00DB4C3D" w:rsidRPr="00720288">
              <w:rPr>
                <w:rFonts w:eastAsia="SimSun"/>
                <w:color w:val="0000FF"/>
                <w:szCs w:val="22"/>
                <w:u w:val="single"/>
                <w:lang w:val="fr-FR"/>
              </w:rPr>
              <w:t>20.</w:t>
            </w:r>
            <w:r w:rsidR="00295FA6" w:rsidRPr="00720288">
              <w:rPr>
                <w:rFonts w:eastAsia="SimSun"/>
                <w:color w:val="0000FF"/>
                <w:szCs w:val="22"/>
                <w:u w:val="single"/>
                <w:lang w:val="fr-FR"/>
              </w:rPr>
              <w:t xml:space="preserve">  </w:t>
            </w:r>
            <w:r w:rsidR="00DB4C3D" w:rsidRPr="00720288">
              <w:rPr>
                <w:rFonts w:eastAsia="SimSun"/>
                <w:color w:val="0000FF"/>
                <w:szCs w:val="22"/>
                <w:u w:val="single"/>
                <w:lang w:val="fr-FR"/>
              </w:rPr>
              <w:t>Les critères énoncés sous ce point s</w:t>
            </w:r>
            <w:r w:rsidR="00B77EB6" w:rsidRPr="00720288">
              <w:rPr>
                <w:rFonts w:eastAsia="SimSun"/>
                <w:color w:val="0000FF"/>
                <w:szCs w:val="22"/>
                <w:u w:val="single"/>
                <w:lang w:val="fr-FR"/>
              </w:rPr>
              <w:t>er</w:t>
            </w:r>
            <w:r w:rsidR="00DB4C3D" w:rsidRPr="00720288">
              <w:rPr>
                <w:rFonts w:eastAsia="SimSun"/>
                <w:color w:val="0000FF"/>
                <w:szCs w:val="22"/>
                <w:u w:val="single"/>
                <w:lang w:val="fr-FR"/>
              </w:rPr>
              <w:t>ont réexaminés par l</w:t>
            </w:r>
            <w:r w:rsidR="00FE2AEC" w:rsidRPr="00720288">
              <w:rPr>
                <w:rFonts w:eastAsia="SimSun"/>
                <w:color w:val="0000FF"/>
                <w:szCs w:val="22"/>
                <w:u w:val="single"/>
                <w:lang w:val="fr-FR"/>
              </w:rPr>
              <w:t>’</w:t>
            </w:r>
            <w:r w:rsidR="00DB4C3D" w:rsidRPr="00720288">
              <w:rPr>
                <w:rFonts w:eastAsia="SimSun"/>
                <w:color w:val="0000FF"/>
                <w:szCs w:val="22"/>
                <w:u w:val="single"/>
                <w:lang w:val="fr-FR"/>
              </w:rPr>
              <w:t>Assemblée au moins tous les cinq</w:t>
            </w:r>
            <w:r w:rsidR="003158B4" w:rsidRPr="00720288">
              <w:rPr>
                <w:rFonts w:eastAsia="SimSun"/>
                <w:color w:val="0000FF"/>
                <w:szCs w:val="22"/>
                <w:u w:val="single"/>
                <w:lang w:val="fr-FR"/>
              </w:rPr>
              <w:t> </w:t>
            </w:r>
            <w:r w:rsidR="00DB4C3D" w:rsidRPr="00720288">
              <w:rPr>
                <w:rFonts w:eastAsia="SimSun"/>
                <w:color w:val="0000FF"/>
                <w:szCs w:val="22"/>
                <w:u w:val="single"/>
                <w:lang w:val="fr-FR"/>
              </w:rPr>
              <w:t>ans.</w:t>
            </w:r>
          </w:p>
        </w:tc>
      </w:tr>
    </w:tbl>
    <w:p w:rsidR="004A0AFA" w:rsidRPr="00C66125" w:rsidRDefault="004A0AFA" w:rsidP="00720288"/>
    <w:p w:rsidR="00C66125" w:rsidRDefault="00C66125" w:rsidP="00720288"/>
    <w:p w:rsidR="00C66125" w:rsidRPr="00C66125" w:rsidRDefault="00C66125" w:rsidP="00720288"/>
    <w:p w:rsidR="00295FA6" w:rsidRPr="00720288" w:rsidRDefault="00DB4C3D" w:rsidP="00720288">
      <w:pPr>
        <w:pStyle w:val="Endofdocument-Annex"/>
        <w:rPr>
          <w:szCs w:val="22"/>
          <w:lang w:val="fr-FR"/>
        </w:rPr>
      </w:pPr>
      <w:r w:rsidRPr="00720288">
        <w:rPr>
          <w:szCs w:val="22"/>
          <w:lang w:val="fr-FR"/>
        </w:rPr>
        <w:t>[Fin de l</w:t>
      </w:r>
      <w:r w:rsidR="00FE2AEC" w:rsidRPr="00720288">
        <w:rPr>
          <w:szCs w:val="22"/>
          <w:lang w:val="fr-FR"/>
        </w:rPr>
        <w:t>’</w:t>
      </w:r>
      <w:r w:rsidRPr="00720288">
        <w:rPr>
          <w:szCs w:val="22"/>
          <w:lang w:val="fr-FR"/>
        </w:rPr>
        <w:t>annexe et du document]</w:t>
      </w:r>
    </w:p>
    <w:sectPr w:rsidR="00295FA6" w:rsidRPr="00720288" w:rsidSect="00720288">
      <w:head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A7C" w:rsidRDefault="009A1A7C">
      <w:r>
        <w:separator/>
      </w:r>
    </w:p>
  </w:endnote>
  <w:endnote w:type="continuationSeparator" w:id="0">
    <w:p w:rsidR="009A1A7C" w:rsidRDefault="009A1A7C" w:rsidP="003B38C1">
      <w:r>
        <w:separator/>
      </w:r>
    </w:p>
    <w:p w:rsidR="009A1A7C" w:rsidRPr="003B38C1" w:rsidRDefault="009A1A7C" w:rsidP="003B38C1">
      <w:pPr>
        <w:spacing w:after="60"/>
        <w:rPr>
          <w:sz w:val="17"/>
        </w:rPr>
      </w:pPr>
      <w:r>
        <w:rPr>
          <w:sz w:val="17"/>
        </w:rPr>
        <w:t>[Endnote continued from previous page]</w:t>
      </w:r>
    </w:p>
  </w:endnote>
  <w:endnote w:type="continuationNotice" w:id="1">
    <w:p w:rsidR="009A1A7C" w:rsidRPr="003B38C1" w:rsidRDefault="009A1A7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707" w:rsidRPr="00406707" w:rsidRDefault="00406707" w:rsidP="00406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A7C" w:rsidRDefault="009A1A7C">
      <w:r>
        <w:separator/>
      </w:r>
    </w:p>
  </w:footnote>
  <w:footnote w:type="continuationSeparator" w:id="0">
    <w:p w:rsidR="009A1A7C" w:rsidRDefault="009A1A7C" w:rsidP="008B60B2">
      <w:r>
        <w:separator/>
      </w:r>
    </w:p>
    <w:p w:rsidR="009A1A7C" w:rsidRPr="00ED77FB" w:rsidRDefault="009A1A7C" w:rsidP="008B60B2">
      <w:pPr>
        <w:spacing w:after="60"/>
        <w:rPr>
          <w:sz w:val="17"/>
          <w:szCs w:val="17"/>
        </w:rPr>
      </w:pPr>
      <w:r w:rsidRPr="00ED77FB">
        <w:rPr>
          <w:sz w:val="17"/>
          <w:szCs w:val="17"/>
        </w:rPr>
        <w:t>[Footnote continued from previous page]</w:t>
      </w:r>
    </w:p>
  </w:footnote>
  <w:footnote w:type="continuationNotice" w:id="1">
    <w:p w:rsidR="009A1A7C" w:rsidRPr="00ED77FB" w:rsidRDefault="009A1A7C" w:rsidP="008B60B2">
      <w:pPr>
        <w:spacing w:before="60"/>
        <w:jc w:val="right"/>
        <w:rPr>
          <w:sz w:val="17"/>
          <w:szCs w:val="17"/>
        </w:rPr>
      </w:pPr>
      <w:r w:rsidRPr="00ED77FB">
        <w:rPr>
          <w:sz w:val="17"/>
          <w:szCs w:val="17"/>
        </w:rPr>
        <w:t>[Footnote continued on next page]</w:t>
      </w:r>
    </w:p>
  </w:footnote>
  <w:footnote w:id="2">
    <w:p w:rsidR="00B77EB6" w:rsidRPr="00DB4C3D" w:rsidRDefault="00B77EB6" w:rsidP="00720288">
      <w:pPr>
        <w:pStyle w:val="FootnoteText"/>
        <w:rPr>
          <w:lang w:val="fr-CH"/>
        </w:rPr>
      </w:pPr>
      <w:r>
        <w:rPr>
          <w:rStyle w:val="FootnoteReference"/>
        </w:rPr>
        <w:footnoteRef/>
      </w:r>
      <w:r w:rsidRPr="00406707">
        <w:t xml:space="preserve"> </w:t>
      </w:r>
      <w:r w:rsidR="00406707">
        <w:tab/>
      </w:r>
      <w:r w:rsidRPr="00DB4C3D">
        <w:rPr>
          <w:color w:val="000000"/>
          <w:lang w:val="fr-CH"/>
        </w:rPr>
        <w:t xml:space="preserve">Aux fins du présent point, on entend par </w:t>
      </w:r>
      <w:r w:rsidR="003158B4">
        <w:rPr>
          <w:color w:val="000000"/>
          <w:lang w:val="fr-CH"/>
        </w:rPr>
        <w:t>“</w:t>
      </w:r>
      <w:r>
        <w:rPr>
          <w:color w:val="000000"/>
          <w:lang w:val="fr-CH"/>
        </w:rPr>
        <w:t>établissement</w:t>
      </w:r>
      <w:r w:rsidRPr="00DB4C3D">
        <w:rPr>
          <w:color w:val="000000"/>
          <w:lang w:val="fr-CH"/>
        </w:rPr>
        <w:t xml:space="preserve"> universitaire</w:t>
      </w:r>
      <w:r w:rsidR="003158B4">
        <w:rPr>
          <w:color w:val="000000"/>
          <w:lang w:val="fr-CH"/>
        </w:rPr>
        <w:t>”</w:t>
      </w:r>
      <w:r w:rsidRPr="00DB4C3D">
        <w:rPr>
          <w:color w:val="000000"/>
          <w:lang w:val="fr-CH"/>
        </w:rPr>
        <w:t xml:space="preserve"> un établissement d</w:t>
      </w:r>
      <w:r w:rsidR="00B02EA9">
        <w:rPr>
          <w:color w:val="000000"/>
          <w:lang w:val="fr-CH"/>
        </w:rPr>
        <w:t>’</w:t>
      </w:r>
      <w:r w:rsidRPr="00DB4C3D">
        <w:rPr>
          <w:color w:val="000000"/>
          <w:lang w:val="fr-CH"/>
        </w:rPr>
        <w:t xml:space="preserve">enseignement supérieur qui propose </w:t>
      </w:r>
      <w:r>
        <w:rPr>
          <w:color w:val="000000"/>
          <w:lang w:val="fr-CH"/>
        </w:rPr>
        <w:t xml:space="preserve">des </w:t>
      </w:r>
      <w:r w:rsidR="007B6B0B">
        <w:rPr>
          <w:color w:val="000000"/>
          <w:lang w:val="fr-CH"/>
        </w:rPr>
        <w:t>programmes d’</w:t>
      </w:r>
      <w:r>
        <w:rPr>
          <w:color w:val="000000"/>
          <w:lang w:val="fr-CH"/>
        </w:rPr>
        <w:t>études postsecondaires et de</w:t>
      </w:r>
      <w:r w:rsidRPr="00DB4C3D">
        <w:rPr>
          <w:color w:val="000000"/>
          <w:lang w:val="fr-CH"/>
        </w:rPr>
        <w:t xml:space="preserve"> recherche</w:t>
      </w:r>
      <w:r>
        <w:rPr>
          <w:color w:val="000000"/>
          <w:lang w:val="fr-CH"/>
        </w:rPr>
        <w:t>, et</w:t>
      </w:r>
      <w:r w:rsidRPr="00DB4C3D">
        <w:rPr>
          <w:color w:val="000000"/>
          <w:lang w:val="fr-CH"/>
        </w:rPr>
        <w:t xml:space="preserve"> qui est reconnu par l</w:t>
      </w:r>
      <w:r w:rsidR="00B02EA9">
        <w:rPr>
          <w:color w:val="000000"/>
          <w:lang w:val="fr-CH"/>
        </w:rPr>
        <w:t>’</w:t>
      </w:r>
      <w:r w:rsidRPr="00DB4C3D">
        <w:rPr>
          <w:color w:val="000000"/>
          <w:lang w:val="fr-CH"/>
        </w:rPr>
        <w:t>administration compétente d</w:t>
      </w:r>
      <w:r w:rsidR="00B02EA9">
        <w:rPr>
          <w:color w:val="000000"/>
          <w:lang w:val="fr-CH"/>
        </w:rPr>
        <w:t>’</w:t>
      </w:r>
      <w:r w:rsidRPr="00DB4C3D">
        <w:rPr>
          <w:color w:val="000000"/>
          <w:lang w:val="fr-CH"/>
        </w:rPr>
        <w:t>une partie comme appartenant à son système d</w:t>
      </w:r>
      <w:r w:rsidR="00B02EA9">
        <w:rPr>
          <w:color w:val="000000"/>
          <w:lang w:val="fr-CH"/>
        </w:rPr>
        <w:t>’</w:t>
      </w:r>
      <w:r w:rsidRPr="00DB4C3D">
        <w:rPr>
          <w:color w:val="000000"/>
          <w:lang w:val="fr-CH"/>
        </w:rPr>
        <w:t>enseignement supérieur.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720288" w:rsidRDefault="00DB4C3D" w:rsidP="00DB4C3D">
    <w:pPr>
      <w:jc w:val="right"/>
    </w:pPr>
    <w:r w:rsidRPr="00720288">
      <w:t>PCT/WG/10/18</w:t>
    </w:r>
  </w:p>
  <w:p w:rsidR="00EC4E49" w:rsidRPr="00720288" w:rsidRDefault="00406707" w:rsidP="00DB4C3D">
    <w:pPr>
      <w:jc w:val="right"/>
    </w:pPr>
    <w:proofErr w:type="gramStart"/>
    <w:r w:rsidRPr="00720288">
      <w:t>p</w:t>
    </w:r>
    <w:r w:rsidR="00DB4C3D" w:rsidRPr="00720288">
      <w:t>age</w:t>
    </w:r>
    <w:proofErr w:type="gramEnd"/>
    <w:r w:rsidRPr="00720288">
      <w:t> </w:t>
    </w:r>
    <w:r w:rsidR="00EC4E49" w:rsidRPr="00720288">
      <w:fldChar w:fldCharType="begin"/>
    </w:r>
    <w:r w:rsidR="00EC4E49" w:rsidRPr="00720288">
      <w:instrText xml:space="preserve"> PAGE  \* MERGEFORMAT </w:instrText>
    </w:r>
    <w:r w:rsidR="00EC4E49" w:rsidRPr="00720288">
      <w:fldChar w:fldCharType="separate"/>
    </w:r>
    <w:r w:rsidR="00233E38">
      <w:rPr>
        <w:noProof/>
      </w:rPr>
      <w:t>2</w:t>
    </w:r>
    <w:r w:rsidR="00EC4E49" w:rsidRPr="00720288">
      <w:fldChar w:fldCharType="end"/>
    </w:r>
  </w:p>
  <w:p w:rsidR="00EC4E49" w:rsidRPr="00720288"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61" w:rsidRDefault="00DB4C3D" w:rsidP="00DB4C3D">
    <w:pPr>
      <w:jc w:val="right"/>
    </w:pPr>
    <w:r w:rsidRPr="00DB4C3D">
      <w:rPr>
        <w:color w:val="800080"/>
      </w:rPr>
      <w:t>PCT/WG//</w:t>
    </w:r>
  </w:p>
  <w:p w:rsidR="00EC4E49" w:rsidRDefault="00DB4C3D" w:rsidP="00DB4C3D">
    <w:pPr>
      <w:jc w:val="right"/>
    </w:pPr>
    <w:proofErr w:type="gramStart"/>
    <w:r w:rsidRPr="00DB4C3D">
      <w:rPr>
        <w:color w:val="800080"/>
      </w:rPr>
      <w:t>page</w:t>
    </w:r>
    <w:proofErr w:type="gramEnd"/>
    <w:r w:rsidRPr="00DB4C3D">
      <w:rPr>
        <w:color w:val="800080"/>
      </w:rPr>
      <w:t xml:space="preserve"> 2</w:t>
    </w:r>
    <w:r w:rsidR="00EC4E49">
      <w:t xml:space="preserve"> </w:t>
    </w:r>
    <w:r w:rsidR="00EC4E49">
      <w:fldChar w:fldCharType="begin"/>
    </w:r>
    <w:r w:rsidR="00EC4E49">
      <w:instrText xml:space="preserve"> PAGE  \* MERGEFORMAT </w:instrText>
    </w:r>
    <w:r w:rsidR="00EC4E49">
      <w:fldChar w:fldCharType="separate"/>
    </w:r>
    <w:r w:rsidR="007B6B0B">
      <w:rPr>
        <w:noProof/>
      </w:rPr>
      <w:t>6</w:t>
    </w:r>
    <w:r w:rsidR="00EC4E49">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FA6" w:rsidRDefault="00295FA6" w:rsidP="00295FA6">
    <w:pPr>
      <w:pStyle w:val="Header"/>
      <w:jc w:val="right"/>
    </w:pPr>
    <w:r>
      <w:t>PCT/WG/10/18</w:t>
    </w:r>
  </w:p>
  <w:p w:rsidR="00295FA6" w:rsidRDefault="00295FA6" w:rsidP="00295FA6">
    <w:pPr>
      <w:pStyle w:val="Header"/>
      <w:jc w:val="right"/>
    </w:pPr>
    <w:r>
      <w:t>ANNEX</w:t>
    </w:r>
    <w:r w:rsidR="00406707">
      <w:t>E</w:t>
    </w:r>
  </w:p>
  <w:p w:rsidR="00295FA6" w:rsidRDefault="00295FA6" w:rsidP="00295FA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Patents &amp; Innovation\PCT|Team Server TMs\French|TextBase TMs\WorkspaceFTS\Patents &amp; Innovation\Patents|TextBase TMs\WorkspaceFTS\Patents &amp; Innovation\CWS|TextBase TMs\WorkspaceFTS\Patents &amp; Innovation\SCP|TextBase TMs\WorkspaceFTS\Patents &amp; Innovation\Budapest|TextBase TMs\WorkspaceFTS\Patents &amp; Innovation\IPC|TextBase TMs\WorkspaceFTS\Outreach\Outreach|TextBase TMs\WorkspaceFTS\Outreach\Communications|TextBase TMs\WorkspaceFTS\Outreach\Publications|TextBase TMs\WorkspaceFTS\Ad-hoc\Assemblies|TextBase TMs\WorkspaceFTS\xLegacy\Patents|TextBase TMs\WorkspaceFTS\Treaties &amp; Laws\WIPO Treaties|TextBase TMs\WorkspaceFTS\Ad-hoc\Glossaires|TextBase TMs\WorkspaceFTS\Brands, Designs &amp; DN\Madrid|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Copyright\Copyright|TextBase TMs\WorkspaceFTS\Development\Development|TextBase TMs\WorkspaceFTS\Outreach\Academy|TextBase TMs\WorkspaceFTS\Outreach\ACE|TextBase TMs\WorkspaceFTS\GRTKF\GRTKF|TextBase TMs\WorkspaceFTS\Treaties &amp; Laws\WIPO Lex|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Trademarks|TextBase TMs\WorkspaceFTS\xLegacy\Treaties|TextBase TMs\WorkspaceFTS\xLegacy\UPOV"/>
    <w:docVar w:name="TextBaseURL" w:val="empty"/>
    <w:docVar w:name="UILng" w:val="en"/>
  </w:docVars>
  <w:rsids>
    <w:rsidRoot w:val="009A1A7C"/>
    <w:rsid w:val="00043CAA"/>
    <w:rsid w:val="00075432"/>
    <w:rsid w:val="000968ED"/>
    <w:rsid w:val="000F5E56"/>
    <w:rsid w:val="001362EE"/>
    <w:rsid w:val="00156E65"/>
    <w:rsid w:val="001832A6"/>
    <w:rsid w:val="00185DFC"/>
    <w:rsid w:val="0021217E"/>
    <w:rsid w:val="00220823"/>
    <w:rsid w:val="00233E38"/>
    <w:rsid w:val="002634C4"/>
    <w:rsid w:val="002928D3"/>
    <w:rsid w:val="00295FA6"/>
    <w:rsid w:val="002B4030"/>
    <w:rsid w:val="002F1FE6"/>
    <w:rsid w:val="002F4E68"/>
    <w:rsid w:val="00312F7F"/>
    <w:rsid w:val="003158B4"/>
    <w:rsid w:val="0033147E"/>
    <w:rsid w:val="0033339D"/>
    <w:rsid w:val="00361450"/>
    <w:rsid w:val="003673CF"/>
    <w:rsid w:val="003845C1"/>
    <w:rsid w:val="00396A89"/>
    <w:rsid w:val="003A6F89"/>
    <w:rsid w:val="003B38C1"/>
    <w:rsid w:val="00406707"/>
    <w:rsid w:val="00420E8B"/>
    <w:rsid w:val="00423E3E"/>
    <w:rsid w:val="00427AF4"/>
    <w:rsid w:val="004647DA"/>
    <w:rsid w:val="00474062"/>
    <w:rsid w:val="00477D6B"/>
    <w:rsid w:val="004960FD"/>
    <w:rsid w:val="004A0AFA"/>
    <w:rsid w:val="005019FF"/>
    <w:rsid w:val="00521342"/>
    <w:rsid w:val="0053057A"/>
    <w:rsid w:val="00560A29"/>
    <w:rsid w:val="005C575B"/>
    <w:rsid w:val="005C6649"/>
    <w:rsid w:val="005F455A"/>
    <w:rsid w:val="00605827"/>
    <w:rsid w:val="00646050"/>
    <w:rsid w:val="00650512"/>
    <w:rsid w:val="006713CA"/>
    <w:rsid w:val="00676C5C"/>
    <w:rsid w:val="007058AC"/>
    <w:rsid w:val="00720288"/>
    <w:rsid w:val="007550CB"/>
    <w:rsid w:val="00776C6C"/>
    <w:rsid w:val="0079731C"/>
    <w:rsid w:val="007B6B0B"/>
    <w:rsid w:val="007C0890"/>
    <w:rsid w:val="007D1613"/>
    <w:rsid w:val="007E4C0E"/>
    <w:rsid w:val="00886156"/>
    <w:rsid w:val="00895BBE"/>
    <w:rsid w:val="008B2CC1"/>
    <w:rsid w:val="008B60B2"/>
    <w:rsid w:val="0090731E"/>
    <w:rsid w:val="00916EE2"/>
    <w:rsid w:val="00966A22"/>
    <w:rsid w:val="0096722F"/>
    <w:rsid w:val="00980843"/>
    <w:rsid w:val="009A1A7C"/>
    <w:rsid w:val="009B2B16"/>
    <w:rsid w:val="009E2791"/>
    <w:rsid w:val="009E3F6F"/>
    <w:rsid w:val="009F499F"/>
    <w:rsid w:val="009F53B8"/>
    <w:rsid w:val="00A0469D"/>
    <w:rsid w:val="00A42DAF"/>
    <w:rsid w:val="00A45BD8"/>
    <w:rsid w:val="00A869B7"/>
    <w:rsid w:val="00AC205C"/>
    <w:rsid w:val="00AF0A6B"/>
    <w:rsid w:val="00B02EA9"/>
    <w:rsid w:val="00B05A69"/>
    <w:rsid w:val="00B51761"/>
    <w:rsid w:val="00B77EB6"/>
    <w:rsid w:val="00B9734B"/>
    <w:rsid w:val="00BA30E2"/>
    <w:rsid w:val="00BD0885"/>
    <w:rsid w:val="00C11BFE"/>
    <w:rsid w:val="00C5068F"/>
    <w:rsid w:val="00C605C3"/>
    <w:rsid w:val="00C66125"/>
    <w:rsid w:val="00CC78D5"/>
    <w:rsid w:val="00CD04F1"/>
    <w:rsid w:val="00CF5E4D"/>
    <w:rsid w:val="00D05CC9"/>
    <w:rsid w:val="00D27C45"/>
    <w:rsid w:val="00D45252"/>
    <w:rsid w:val="00D71B4D"/>
    <w:rsid w:val="00D93D55"/>
    <w:rsid w:val="00DB4C3D"/>
    <w:rsid w:val="00DC61D8"/>
    <w:rsid w:val="00DF0740"/>
    <w:rsid w:val="00E15015"/>
    <w:rsid w:val="00E335FE"/>
    <w:rsid w:val="00E71F56"/>
    <w:rsid w:val="00EB3487"/>
    <w:rsid w:val="00EC4E49"/>
    <w:rsid w:val="00ED77FB"/>
    <w:rsid w:val="00EE45FA"/>
    <w:rsid w:val="00F062A0"/>
    <w:rsid w:val="00F07026"/>
    <w:rsid w:val="00F1405A"/>
    <w:rsid w:val="00F66152"/>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A1A7C"/>
    <w:rPr>
      <w:rFonts w:ascii="Tahoma" w:hAnsi="Tahoma" w:cs="Tahoma"/>
      <w:sz w:val="16"/>
      <w:szCs w:val="16"/>
    </w:rPr>
  </w:style>
  <w:style w:type="character" w:customStyle="1" w:styleId="BalloonTextChar">
    <w:name w:val="Balloon Text Char"/>
    <w:basedOn w:val="DefaultParagraphFont"/>
    <w:link w:val="BalloonText"/>
    <w:rsid w:val="009A1A7C"/>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95FA6"/>
    <w:rPr>
      <w:rFonts w:ascii="Arial" w:eastAsia="SimSun" w:hAnsi="Arial" w:cs="Arial"/>
      <w:sz w:val="18"/>
      <w:lang w:eastAsia="zh-CN"/>
    </w:rPr>
  </w:style>
  <w:style w:type="paragraph" w:customStyle="1" w:styleId="LegTitle">
    <w:name w:val="Leg # Title"/>
    <w:basedOn w:val="Normal"/>
    <w:next w:val="Normal"/>
    <w:rsid w:val="00295FA6"/>
    <w:pPr>
      <w:keepNext/>
      <w:keepLines/>
      <w:suppressAutoHyphens/>
      <w:spacing w:before="240"/>
      <w:jc w:val="center"/>
    </w:pPr>
    <w:rPr>
      <w:rFonts w:eastAsia="Times New Roman" w:cs="Times New Roman"/>
      <w:b/>
      <w:lang w:eastAsia="ja-JP"/>
    </w:rPr>
  </w:style>
  <w:style w:type="paragraph" w:customStyle="1" w:styleId="LegBasic">
    <w:name w:val="Leg Basic"/>
    <w:rsid w:val="00295FA6"/>
    <w:pPr>
      <w:snapToGrid w:val="0"/>
      <w:spacing w:after="480" w:line="480" w:lineRule="auto"/>
    </w:pPr>
    <w:rPr>
      <w:rFonts w:ascii="Arial" w:hAnsi="Arial"/>
      <w:sz w:val="22"/>
    </w:rPr>
  </w:style>
  <w:style w:type="character" w:styleId="FootnoteReference">
    <w:name w:val="footnote reference"/>
    <w:basedOn w:val="DefaultParagraphFont"/>
    <w:unhideWhenUsed/>
    <w:rsid w:val="00295FA6"/>
    <w:rPr>
      <w:vertAlign w:val="superscript"/>
    </w:rPr>
  </w:style>
  <w:style w:type="character" w:styleId="Hyperlink">
    <w:name w:val="Hyperlink"/>
    <w:basedOn w:val="DefaultParagraphFont"/>
    <w:rsid w:val="004067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A1A7C"/>
    <w:rPr>
      <w:rFonts w:ascii="Tahoma" w:hAnsi="Tahoma" w:cs="Tahoma"/>
      <w:sz w:val="16"/>
      <w:szCs w:val="16"/>
    </w:rPr>
  </w:style>
  <w:style w:type="character" w:customStyle="1" w:styleId="BalloonTextChar">
    <w:name w:val="Balloon Text Char"/>
    <w:basedOn w:val="DefaultParagraphFont"/>
    <w:link w:val="BalloonText"/>
    <w:rsid w:val="009A1A7C"/>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295FA6"/>
    <w:rPr>
      <w:rFonts w:ascii="Arial" w:eastAsia="SimSun" w:hAnsi="Arial" w:cs="Arial"/>
      <w:sz w:val="18"/>
      <w:lang w:eastAsia="zh-CN"/>
    </w:rPr>
  </w:style>
  <w:style w:type="paragraph" w:customStyle="1" w:styleId="LegTitle">
    <w:name w:val="Leg # Title"/>
    <w:basedOn w:val="Normal"/>
    <w:next w:val="Normal"/>
    <w:rsid w:val="00295FA6"/>
    <w:pPr>
      <w:keepNext/>
      <w:keepLines/>
      <w:suppressAutoHyphens/>
      <w:spacing w:before="240"/>
      <w:jc w:val="center"/>
    </w:pPr>
    <w:rPr>
      <w:rFonts w:eastAsia="Times New Roman" w:cs="Times New Roman"/>
      <w:b/>
      <w:lang w:eastAsia="ja-JP"/>
    </w:rPr>
  </w:style>
  <w:style w:type="paragraph" w:customStyle="1" w:styleId="LegBasic">
    <w:name w:val="Leg Basic"/>
    <w:rsid w:val="00295FA6"/>
    <w:pPr>
      <w:snapToGrid w:val="0"/>
      <w:spacing w:after="480" w:line="480" w:lineRule="auto"/>
    </w:pPr>
    <w:rPr>
      <w:rFonts w:ascii="Arial" w:hAnsi="Arial"/>
      <w:sz w:val="22"/>
    </w:rPr>
  </w:style>
  <w:style w:type="character" w:styleId="FootnoteReference">
    <w:name w:val="footnote reference"/>
    <w:basedOn w:val="DefaultParagraphFont"/>
    <w:unhideWhenUsed/>
    <w:rsid w:val="00295FA6"/>
    <w:rPr>
      <w:vertAlign w:val="superscript"/>
    </w:rPr>
  </w:style>
  <w:style w:type="character" w:styleId="Hyperlink">
    <w:name w:val="Hyperlink"/>
    <w:basedOn w:val="DefaultParagraphFont"/>
    <w:rsid w:val="004067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9E3F-5388-4318-8AD9-AFB2543A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0</TotalTime>
  <Pages>4</Pages>
  <Words>1228</Words>
  <Characters>6677</Characters>
  <Application>Microsoft Office Word</Application>
  <DocSecurity>0</DocSecurity>
  <Lines>115</Lines>
  <Paragraphs>38</Paragraphs>
  <ScaleCrop>false</ScaleCrop>
  <HeadingPairs>
    <vt:vector size="2" baseType="variant">
      <vt:variant>
        <vt:lpstr>Title</vt:lpstr>
      </vt:variant>
      <vt:variant>
        <vt:i4>1</vt:i4>
      </vt:variant>
    </vt:vector>
  </HeadingPairs>
  <TitlesOfParts>
    <vt:vector size="1" baseType="lpstr">
      <vt:lpstr>PCT/WG/10/18</vt:lpstr>
    </vt:vector>
  </TitlesOfParts>
  <Company>WIPO</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PCT/WG/10/18</dc:title>
  <dc:subject>Proposal on PCT Fee Policy to Stimulate Patent Filing by Universities from Certain Countries, Notably Developing and Least Developed Countries</dc:subject>
  <dc:creator>MARLOW Thomas</dc:creator>
  <cp:keywords>ID/ko</cp:keywords>
  <cp:lastModifiedBy>MARLOW Thomas</cp:lastModifiedBy>
  <cp:revision>2</cp:revision>
  <cp:lastPrinted>2017-04-25T11:31:00Z</cp:lastPrinted>
  <dcterms:created xsi:type="dcterms:W3CDTF">2017-04-25T13:28:00Z</dcterms:created>
  <dcterms:modified xsi:type="dcterms:W3CDTF">2017-04-25T13:28:00Z</dcterms:modified>
</cp:coreProperties>
</file>