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961BC" w:rsidRPr="002961BC" w:rsidTr="00EA10EF">
        <w:tc>
          <w:tcPr>
            <w:tcW w:w="4513" w:type="dxa"/>
            <w:tcBorders>
              <w:bottom w:val="single" w:sz="4" w:space="0" w:color="auto"/>
            </w:tcBorders>
            <w:tcMar>
              <w:bottom w:w="170" w:type="dxa"/>
            </w:tcMar>
          </w:tcPr>
          <w:p w:rsidR="002961BC" w:rsidRPr="002961BC" w:rsidRDefault="002961BC" w:rsidP="00EA10EF">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2961BC" w:rsidRPr="002961BC" w:rsidRDefault="002961BC" w:rsidP="00EA10EF">
            <w:pPr>
              <w:rPr>
                <w:lang w:val="fr-FR"/>
              </w:rPr>
            </w:pPr>
            <w:r w:rsidRPr="002961BC">
              <w:rPr>
                <w:noProof/>
                <w:lang w:val="en-US" w:eastAsia="en-US"/>
              </w:rPr>
              <w:drawing>
                <wp:inline distT="0" distB="0" distL="0" distR="0" wp14:anchorId="077667D1" wp14:editId="64796E3A">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961BC" w:rsidRPr="002961BC" w:rsidRDefault="002961BC" w:rsidP="00EA10EF">
            <w:pPr>
              <w:jc w:val="right"/>
              <w:rPr>
                <w:lang w:val="fr-FR"/>
              </w:rPr>
            </w:pPr>
            <w:r w:rsidRPr="002961BC">
              <w:rPr>
                <w:b/>
                <w:sz w:val="40"/>
                <w:szCs w:val="40"/>
                <w:lang w:val="fr-FR"/>
              </w:rPr>
              <w:t>F</w:t>
            </w:r>
          </w:p>
        </w:tc>
      </w:tr>
      <w:tr w:rsidR="002961BC" w:rsidRPr="002961BC" w:rsidTr="00EA10EF">
        <w:trPr>
          <w:trHeight w:hRule="exact" w:val="340"/>
        </w:trPr>
        <w:tc>
          <w:tcPr>
            <w:tcW w:w="9356" w:type="dxa"/>
            <w:gridSpan w:val="3"/>
            <w:tcBorders>
              <w:top w:val="single" w:sz="4" w:space="0" w:color="auto"/>
            </w:tcBorders>
            <w:tcMar>
              <w:top w:w="170" w:type="dxa"/>
              <w:left w:w="0" w:type="dxa"/>
              <w:right w:w="0" w:type="dxa"/>
            </w:tcMar>
            <w:vAlign w:val="bottom"/>
          </w:tcPr>
          <w:p w:rsidR="002961BC" w:rsidRPr="002961BC" w:rsidRDefault="002961BC" w:rsidP="00EA10EF">
            <w:pPr>
              <w:jc w:val="right"/>
              <w:rPr>
                <w:rFonts w:ascii="Arial Black" w:hAnsi="Arial Black"/>
                <w:caps/>
                <w:sz w:val="15"/>
                <w:lang w:val="fr-FR"/>
              </w:rPr>
            </w:pPr>
            <w:r w:rsidRPr="002961BC">
              <w:rPr>
                <w:rFonts w:ascii="Arial Black" w:hAnsi="Arial Black"/>
                <w:caps/>
                <w:sz w:val="15"/>
                <w:lang w:val="fr-FR"/>
              </w:rPr>
              <w:t>PCT/WG/10/</w:t>
            </w:r>
            <w:bookmarkStart w:id="2" w:name="Code"/>
            <w:bookmarkEnd w:id="2"/>
            <w:r w:rsidRPr="002961BC">
              <w:rPr>
                <w:rFonts w:ascii="Arial Black" w:hAnsi="Arial Black"/>
                <w:caps/>
                <w:sz w:val="15"/>
                <w:lang w:val="fr-FR"/>
              </w:rPr>
              <w:t xml:space="preserve">2 </w:t>
            </w:r>
          </w:p>
        </w:tc>
      </w:tr>
      <w:tr w:rsidR="002961BC" w:rsidRPr="002961BC" w:rsidTr="00EA10EF">
        <w:trPr>
          <w:trHeight w:hRule="exact" w:val="170"/>
        </w:trPr>
        <w:tc>
          <w:tcPr>
            <w:tcW w:w="9356" w:type="dxa"/>
            <w:gridSpan w:val="3"/>
            <w:noWrap/>
            <w:tcMar>
              <w:left w:w="0" w:type="dxa"/>
              <w:right w:w="0" w:type="dxa"/>
            </w:tcMar>
            <w:vAlign w:val="bottom"/>
          </w:tcPr>
          <w:p w:rsidR="002961BC" w:rsidRPr="002961BC" w:rsidRDefault="002961BC" w:rsidP="00EA10EF">
            <w:pPr>
              <w:jc w:val="right"/>
              <w:rPr>
                <w:rFonts w:ascii="Arial Black" w:hAnsi="Arial Black"/>
                <w:caps/>
                <w:sz w:val="15"/>
                <w:lang w:val="fr-FR"/>
              </w:rPr>
            </w:pPr>
            <w:r w:rsidRPr="002961BC">
              <w:rPr>
                <w:rFonts w:ascii="Arial Black" w:hAnsi="Arial Black"/>
                <w:caps/>
                <w:sz w:val="15"/>
                <w:lang w:val="fr-FR"/>
              </w:rPr>
              <w:t>ORIGINAL</w:t>
            </w:r>
            <w:r w:rsidR="00242126">
              <w:rPr>
                <w:rFonts w:ascii="Arial Black" w:hAnsi="Arial Black"/>
                <w:caps/>
                <w:sz w:val="15"/>
                <w:lang w:val="fr-FR"/>
              </w:rPr>
              <w:t> :</w:t>
            </w:r>
            <w:r w:rsidRPr="002961BC">
              <w:rPr>
                <w:rFonts w:ascii="Arial Black" w:hAnsi="Arial Black"/>
                <w:caps/>
                <w:sz w:val="15"/>
                <w:lang w:val="fr-FR"/>
              </w:rPr>
              <w:t xml:space="preserve"> anglais</w:t>
            </w:r>
            <w:bookmarkStart w:id="3" w:name="Original"/>
            <w:bookmarkEnd w:id="3"/>
          </w:p>
        </w:tc>
      </w:tr>
      <w:tr w:rsidR="002961BC" w:rsidRPr="002961BC" w:rsidTr="00EA10EF">
        <w:trPr>
          <w:trHeight w:hRule="exact" w:val="198"/>
        </w:trPr>
        <w:tc>
          <w:tcPr>
            <w:tcW w:w="9356" w:type="dxa"/>
            <w:gridSpan w:val="3"/>
            <w:tcMar>
              <w:left w:w="0" w:type="dxa"/>
              <w:right w:w="0" w:type="dxa"/>
            </w:tcMar>
            <w:vAlign w:val="bottom"/>
          </w:tcPr>
          <w:p w:rsidR="002961BC" w:rsidRPr="002961BC" w:rsidRDefault="002961BC" w:rsidP="007A70ED">
            <w:pPr>
              <w:jc w:val="right"/>
              <w:rPr>
                <w:rFonts w:ascii="Arial Black" w:hAnsi="Arial Black"/>
                <w:caps/>
                <w:sz w:val="15"/>
                <w:lang w:val="fr-FR"/>
              </w:rPr>
            </w:pPr>
            <w:r w:rsidRPr="002961BC">
              <w:rPr>
                <w:rFonts w:ascii="Arial Black" w:hAnsi="Arial Black"/>
                <w:caps/>
                <w:sz w:val="15"/>
                <w:lang w:val="fr-FR"/>
              </w:rPr>
              <w:t>DATE</w:t>
            </w:r>
            <w:r w:rsidR="00242126">
              <w:rPr>
                <w:rFonts w:ascii="Arial Black" w:hAnsi="Arial Black"/>
                <w:caps/>
                <w:sz w:val="15"/>
                <w:lang w:val="fr-FR"/>
              </w:rPr>
              <w:t> :</w:t>
            </w:r>
            <w:r w:rsidRPr="002961BC">
              <w:rPr>
                <w:rFonts w:ascii="Arial Black" w:hAnsi="Arial Black"/>
                <w:caps/>
                <w:sz w:val="15"/>
                <w:lang w:val="fr-FR"/>
              </w:rPr>
              <w:t xml:space="preserve"> </w:t>
            </w:r>
            <w:bookmarkStart w:id="4" w:name="Date"/>
            <w:bookmarkEnd w:id="4"/>
            <w:r w:rsidR="007A70ED">
              <w:rPr>
                <w:rFonts w:ascii="Arial Black" w:hAnsi="Arial Black"/>
                <w:caps/>
                <w:sz w:val="15"/>
                <w:lang w:val="fr-FR"/>
              </w:rPr>
              <w:t>11</w:t>
            </w:r>
            <w:r w:rsidR="00242126">
              <w:rPr>
                <w:rFonts w:ascii="Arial Black" w:hAnsi="Arial Black"/>
                <w:caps/>
                <w:sz w:val="15"/>
                <w:lang w:val="fr-FR"/>
              </w:rPr>
              <w:t> </w:t>
            </w:r>
            <w:r w:rsidR="00242126" w:rsidRPr="002961BC">
              <w:rPr>
                <w:rFonts w:ascii="Arial Black" w:hAnsi="Arial Black"/>
                <w:caps/>
                <w:sz w:val="15"/>
                <w:lang w:val="fr-FR"/>
              </w:rPr>
              <w:t>janvier</w:t>
            </w:r>
            <w:r w:rsidR="00242126">
              <w:rPr>
                <w:rFonts w:ascii="Arial Black" w:hAnsi="Arial Black"/>
                <w:caps/>
                <w:sz w:val="15"/>
                <w:lang w:val="fr-FR"/>
              </w:rPr>
              <w:t> </w:t>
            </w:r>
            <w:r w:rsidR="00242126" w:rsidRPr="002961BC">
              <w:rPr>
                <w:rFonts w:ascii="Arial Black" w:hAnsi="Arial Black"/>
                <w:caps/>
                <w:sz w:val="15"/>
                <w:lang w:val="fr-FR"/>
              </w:rPr>
              <w:t>20</w:t>
            </w:r>
            <w:r w:rsidRPr="002961BC">
              <w:rPr>
                <w:rFonts w:ascii="Arial Black" w:hAnsi="Arial Black"/>
                <w:caps/>
                <w:sz w:val="15"/>
                <w:lang w:val="fr-FR"/>
              </w:rPr>
              <w:t>17</w:t>
            </w:r>
          </w:p>
        </w:tc>
      </w:tr>
    </w:tbl>
    <w:p w:rsidR="002961BC" w:rsidRPr="002961BC" w:rsidRDefault="002961BC" w:rsidP="00D4306D">
      <w:pPr>
        <w:rPr>
          <w:lang w:val="fr-FR"/>
        </w:rPr>
      </w:pPr>
    </w:p>
    <w:p w:rsidR="002961BC" w:rsidRPr="002961BC" w:rsidRDefault="002961BC" w:rsidP="00D4306D">
      <w:pPr>
        <w:rPr>
          <w:lang w:val="fr-FR"/>
        </w:rPr>
      </w:pPr>
    </w:p>
    <w:p w:rsidR="002961BC" w:rsidRPr="002961BC" w:rsidRDefault="002961BC" w:rsidP="00D4306D">
      <w:pPr>
        <w:rPr>
          <w:lang w:val="fr-FR"/>
        </w:rPr>
      </w:pPr>
    </w:p>
    <w:p w:rsidR="002961BC" w:rsidRPr="002961BC" w:rsidRDefault="002961BC" w:rsidP="00D4306D">
      <w:pPr>
        <w:rPr>
          <w:lang w:val="fr-FR"/>
        </w:rPr>
      </w:pPr>
    </w:p>
    <w:p w:rsidR="002961BC" w:rsidRPr="002961BC" w:rsidRDefault="002961BC" w:rsidP="00D4306D">
      <w:pPr>
        <w:rPr>
          <w:lang w:val="fr-FR"/>
        </w:rPr>
      </w:pPr>
    </w:p>
    <w:p w:rsidR="002961BC" w:rsidRPr="002961BC" w:rsidRDefault="002961BC" w:rsidP="00D4306D">
      <w:pPr>
        <w:rPr>
          <w:b/>
          <w:sz w:val="28"/>
          <w:szCs w:val="28"/>
          <w:lang w:val="fr-FR"/>
        </w:rPr>
      </w:pPr>
      <w:r w:rsidRPr="002961BC">
        <w:rPr>
          <w:b/>
          <w:sz w:val="28"/>
          <w:szCs w:val="28"/>
          <w:lang w:val="fr-FR"/>
        </w:rPr>
        <w:t>Groupe de travail du Traité de coopération en matière de brevets (PCT)</w:t>
      </w:r>
    </w:p>
    <w:p w:rsidR="002961BC" w:rsidRPr="002961BC" w:rsidRDefault="002961BC" w:rsidP="00D4306D">
      <w:pPr>
        <w:rPr>
          <w:lang w:val="fr-FR"/>
        </w:rPr>
      </w:pPr>
    </w:p>
    <w:p w:rsidR="002961BC" w:rsidRPr="002961BC" w:rsidRDefault="002961BC" w:rsidP="00D4306D">
      <w:pPr>
        <w:rPr>
          <w:lang w:val="fr-FR"/>
        </w:rPr>
      </w:pPr>
    </w:p>
    <w:p w:rsidR="002961BC" w:rsidRPr="002961BC" w:rsidRDefault="002961BC" w:rsidP="00D4306D">
      <w:pPr>
        <w:rPr>
          <w:b/>
          <w:sz w:val="24"/>
          <w:szCs w:val="24"/>
          <w:lang w:val="fr-FR"/>
        </w:rPr>
      </w:pPr>
      <w:r w:rsidRPr="002961BC">
        <w:rPr>
          <w:b/>
          <w:sz w:val="24"/>
          <w:szCs w:val="24"/>
          <w:lang w:val="fr-FR"/>
        </w:rPr>
        <w:t>Dix</w:t>
      </w:r>
      <w:r w:rsidR="00242126">
        <w:rPr>
          <w:b/>
          <w:sz w:val="24"/>
          <w:szCs w:val="24"/>
          <w:lang w:val="fr-FR"/>
        </w:rPr>
        <w:t>ième session</w:t>
      </w:r>
    </w:p>
    <w:p w:rsidR="002961BC" w:rsidRPr="002961BC" w:rsidRDefault="002961BC" w:rsidP="00D4306D">
      <w:pPr>
        <w:rPr>
          <w:b/>
          <w:sz w:val="24"/>
          <w:szCs w:val="24"/>
          <w:lang w:val="fr-FR"/>
        </w:rPr>
      </w:pPr>
      <w:r w:rsidRPr="002961BC">
        <w:rPr>
          <w:b/>
          <w:sz w:val="24"/>
          <w:szCs w:val="24"/>
          <w:lang w:val="fr-FR"/>
        </w:rPr>
        <w:t>Genève, 8 – 1</w:t>
      </w:r>
      <w:r w:rsidR="00242126" w:rsidRPr="002961BC">
        <w:rPr>
          <w:b/>
          <w:sz w:val="24"/>
          <w:szCs w:val="24"/>
          <w:lang w:val="fr-FR"/>
        </w:rPr>
        <w:t>2</w:t>
      </w:r>
      <w:r w:rsidR="00242126">
        <w:rPr>
          <w:b/>
          <w:sz w:val="24"/>
          <w:szCs w:val="24"/>
          <w:lang w:val="fr-FR"/>
        </w:rPr>
        <w:t> </w:t>
      </w:r>
      <w:r w:rsidR="00242126" w:rsidRPr="002961BC">
        <w:rPr>
          <w:b/>
          <w:sz w:val="24"/>
          <w:szCs w:val="24"/>
          <w:lang w:val="fr-FR"/>
        </w:rPr>
        <w:t>mai</w:t>
      </w:r>
      <w:r w:rsidR="00242126">
        <w:rPr>
          <w:b/>
          <w:sz w:val="24"/>
          <w:szCs w:val="24"/>
          <w:lang w:val="fr-FR"/>
        </w:rPr>
        <w:t> </w:t>
      </w:r>
      <w:r w:rsidR="00242126" w:rsidRPr="002961BC">
        <w:rPr>
          <w:b/>
          <w:sz w:val="24"/>
          <w:szCs w:val="24"/>
          <w:lang w:val="fr-FR"/>
        </w:rPr>
        <w:t>20</w:t>
      </w:r>
      <w:r w:rsidRPr="002961BC">
        <w:rPr>
          <w:b/>
          <w:sz w:val="24"/>
          <w:szCs w:val="24"/>
          <w:lang w:val="fr-FR"/>
        </w:rPr>
        <w:t>17</w:t>
      </w:r>
    </w:p>
    <w:p w:rsidR="002961BC" w:rsidRPr="002961BC" w:rsidRDefault="002961BC" w:rsidP="00D4306D">
      <w:pPr>
        <w:rPr>
          <w:lang w:val="fr-FR"/>
        </w:rPr>
      </w:pPr>
    </w:p>
    <w:p w:rsidR="002961BC" w:rsidRPr="002961BC" w:rsidRDefault="002961BC" w:rsidP="00D4306D">
      <w:pPr>
        <w:rPr>
          <w:lang w:val="fr-FR"/>
        </w:rPr>
      </w:pPr>
    </w:p>
    <w:p w:rsidR="002961BC" w:rsidRPr="00D4306D" w:rsidRDefault="002961BC" w:rsidP="00D4306D">
      <w:pPr>
        <w:rPr>
          <w:lang w:val="fr-FR"/>
        </w:rPr>
      </w:pPr>
    </w:p>
    <w:p w:rsidR="001F55A6" w:rsidRPr="00D4306D" w:rsidRDefault="00283995" w:rsidP="00D4306D">
      <w:pPr>
        <w:rPr>
          <w:caps/>
          <w:sz w:val="24"/>
          <w:lang w:val="fr-FR"/>
        </w:rPr>
      </w:pPr>
      <w:r w:rsidRPr="00D4306D">
        <w:rPr>
          <w:caps/>
          <w:sz w:val="24"/>
          <w:lang w:val="fr-FR"/>
        </w:rPr>
        <w:t>Deuxième supplément à l</w:t>
      </w:r>
      <w:r w:rsidR="00242126" w:rsidRPr="00D4306D">
        <w:rPr>
          <w:caps/>
          <w:sz w:val="24"/>
          <w:lang w:val="fr-FR"/>
        </w:rPr>
        <w:t>’</w:t>
      </w:r>
      <w:r w:rsidRPr="00D4306D">
        <w:rPr>
          <w:caps/>
          <w:sz w:val="24"/>
          <w:lang w:val="fr-FR"/>
        </w:rPr>
        <w:t>étude intitulée “Estimer l</w:t>
      </w:r>
      <w:r w:rsidR="00242126" w:rsidRPr="00D4306D">
        <w:rPr>
          <w:caps/>
          <w:sz w:val="24"/>
          <w:lang w:val="fr-FR"/>
        </w:rPr>
        <w:t>’</w:t>
      </w:r>
      <w:r w:rsidRPr="00D4306D">
        <w:rPr>
          <w:caps/>
          <w:sz w:val="24"/>
          <w:lang w:val="fr-FR"/>
        </w:rPr>
        <w:t>élasticité par rapport à la taxe de dépôt</w:t>
      </w:r>
      <w:r w:rsidR="00242126" w:rsidRPr="00D4306D">
        <w:rPr>
          <w:caps/>
          <w:sz w:val="24"/>
          <w:lang w:val="fr-FR"/>
        </w:rPr>
        <w:t xml:space="preserve"> du PCT</w:t>
      </w:r>
      <w:r w:rsidRPr="00D4306D">
        <w:rPr>
          <w:caps/>
          <w:sz w:val="24"/>
          <w:lang w:val="fr-FR"/>
        </w:rPr>
        <w:t>”</w:t>
      </w:r>
    </w:p>
    <w:p w:rsidR="001F55A6" w:rsidRPr="00D4306D" w:rsidRDefault="001F55A6" w:rsidP="00D4306D">
      <w:pPr>
        <w:rPr>
          <w:lang w:val="fr-FR"/>
        </w:rPr>
      </w:pPr>
    </w:p>
    <w:p w:rsidR="001F55A6" w:rsidRPr="00D4306D" w:rsidRDefault="00283995" w:rsidP="00D4306D">
      <w:pPr>
        <w:rPr>
          <w:i/>
          <w:lang w:val="fr-FR"/>
        </w:rPr>
      </w:pPr>
      <w:bookmarkStart w:id="5" w:name="Prepared"/>
      <w:bookmarkEnd w:id="5"/>
      <w:r w:rsidRPr="00D4306D">
        <w:rPr>
          <w:i/>
          <w:lang w:val="fr-FR"/>
        </w:rPr>
        <w:t>Document établi par le Bureau international</w:t>
      </w:r>
    </w:p>
    <w:p w:rsidR="001F55A6" w:rsidRPr="00D4306D" w:rsidRDefault="001F55A6" w:rsidP="00D4306D">
      <w:pPr>
        <w:rPr>
          <w:lang w:val="fr-FR"/>
        </w:rPr>
      </w:pPr>
    </w:p>
    <w:p w:rsidR="001F55A6" w:rsidRPr="00D4306D" w:rsidRDefault="001F55A6" w:rsidP="00D4306D">
      <w:pPr>
        <w:rPr>
          <w:lang w:val="fr-FR"/>
        </w:rPr>
      </w:pPr>
    </w:p>
    <w:p w:rsidR="001F55A6" w:rsidRPr="00D4306D" w:rsidRDefault="001F55A6" w:rsidP="00D4306D">
      <w:pPr>
        <w:rPr>
          <w:lang w:val="fr-FR"/>
        </w:rPr>
      </w:pPr>
    </w:p>
    <w:p w:rsidR="001F55A6" w:rsidRPr="00D4306D" w:rsidRDefault="00283995" w:rsidP="00D4306D">
      <w:pPr>
        <w:pStyle w:val="Heading1"/>
        <w:rPr>
          <w:lang w:val="fr-FR"/>
        </w:rPr>
      </w:pPr>
      <w:r w:rsidRPr="00D4306D">
        <w:rPr>
          <w:lang w:val="fr-FR"/>
        </w:rPr>
        <w:t>Introduction</w:t>
      </w:r>
    </w:p>
    <w:p w:rsidR="002961BC" w:rsidRPr="00D4306D" w:rsidRDefault="002961BC" w:rsidP="00D4306D">
      <w:pPr>
        <w:rPr>
          <w:lang w:val="fr-FR"/>
        </w:rPr>
      </w:pPr>
    </w:p>
    <w:p w:rsidR="001F55A6" w:rsidRPr="00D4306D" w:rsidRDefault="00283995" w:rsidP="00D4306D">
      <w:pPr>
        <w:pStyle w:val="ONUMFS"/>
        <w:rPr>
          <w:lang w:val="fr-FR"/>
        </w:rPr>
      </w:pPr>
      <w:r w:rsidRPr="00D4306D">
        <w:rPr>
          <w:lang w:val="fr-FR"/>
        </w:rPr>
        <w:t>À la sept</w:t>
      </w:r>
      <w:r w:rsidR="00242126" w:rsidRPr="00D4306D">
        <w:rPr>
          <w:lang w:val="fr-FR"/>
        </w:rPr>
        <w:t>ième session</w:t>
      </w:r>
      <w:r w:rsidRPr="00D4306D">
        <w:rPr>
          <w:lang w:val="fr-FR"/>
        </w:rPr>
        <w:t xml:space="preserve"> du groupe de travail tenue </w:t>
      </w:r>
      <w:r w:rsidR="00242126" w:rsidRPr="00D4306D">
        <w:rPr>
          <w:lang w:val="fr-FR"/>
        </w:rPr>
        <w:t>en 2013</w:t>
      </w:r>
      <w:r w:rsidRPr="00D4306D">
        <w:rPr>
          <w:lang w:val="fr-FR"/>
        </w:rPr>
        <w:t>, le Bureau international avait présenté une étude intitulée “Estimer l</w:t>
      </w:r>
      <w:r w:rsidR="00242126" w:rsidRPr="00D4306D">
        <w:rPr>
          <w:lang w:val="fr-FR"/>
        </w:rPr>
        <w:t>’</w:t>
      </w:r>
      <w:r w:rsidRPr="00D4306D">
        <w:rPr>
          <w:lang w:val="fr-FR"/>
        </w:rPr>
        <w:t>élasticité par rapport à la taxe de dépôt</w:t>
      </w:r>
      <w:r w:rsidR="00242126" w:rsidRPr="00D4306D">
        <w:rPr>
          <w:lang w:val="fr-FR"/>
        </w:rPr>
        <w:t xml:space="preserve"> du PCT</w:t>
      </w:r>
      <w:r w:rsidRPr="00D4306D">
        <w:rPr>
          <w:lang w:val="fr-FR"/>
        </w:rPr>
        <w:t>” (document PCT/WG/7/6), dans laquelle était faite pour la première fois une estimation de l</w:t>
      </w:r>
      <w:r w:rsidR="00242126" w:rsidRPr="00D4306D">
        <w:rPr>
          <w:lang w:val="fr-FR"/>
        </w:rPr>
        <w:t>’</w:t>
      </w:r>
      <w:r w:rsidRPr="00D4306D">
        <w:rPr>
          <w:lang w:val="fr-FR"/>
        </w:rPr>
        <w:t xml:space="preserve">élasticité </w:t>
      </w:r>
      <w:r w:rsidR="00827338" w:rsidRPr="00D4306D">
        <w:rPr>
          <w:lang w:val="fr-FR"/>
        </w:rPr>
        <w:t>des demandes selon</w:t>
      </w:r>
      <w:r w:rsidR="00242126" w:rsidRPr="00D4306D">
        <w:rPr>
          <w:lang w:val="fr-FR"/>
        </w:rPr>
        <w:t xml:space="preserve"> le PCT</w:t>
      </w:r>
      <w:r w:rsidR="00827338" w:rsidRPr="00D4306D">
        <w:rPr>
          <w:lang w:val="fr-FR"/>
        </w:rPr>
        <w:t xml:space="preserve"> par rapport à</w:t>
      </w:r>
      <w:r w:rsidRPr="00D4306D">
        <w:rPr>
          <w:lang w:val="fr-FR"/>
        </w:rPr>
        <w:t xml:space="preserve"> la taxe imposée, c</w:t>
      </w:r>
      <w:r w:rsidR="00242126" w:rsidRPr="00D4306D">
        <w:rPr>
          <w:lang w:val="fr-FR"/>
        </w:rPr>
        <w:t>’</w:t>
      </w:r>
      <w:r w:rsidRPr="00D4306D">
        <w:rPr>
          <w:lang w:val="fr-FR"/>
        </w:rPr>
        <w:t>est</w:t>
      </w:r>
      <w:r w:rsidR="00FB6F91" w:rsidRPr="00D4306D">
        <w:rPr>
          <w:lang w:val="fr-FR"/>
        </w:rPr>
        <w:noBreakHyphen/>
      </w:r>
      <w:r w:rsidRPr="00D4306D">
        <w:rPr>
          <w:lang w:val="fr-FR"/>
        </w:rPr>
        <w:t>à</w:t>
      </w:r>
      <w:r w:rsidR="00FB6F91" w:rsidRPr="00D4306D">
        <w:rPr>
          <w:lang w:val="fr-FR"/>
        </w:rPr>
        <w:noBreakHyphen/>
      </w:r>
      <w:r w:rsidRPr="00D4306D">
        <w:rPr>
          <w:lang w:val="fr-FR"/>
        </w:rPr>
        <w:t>dire de la mesure dans laquelle le choix de déposer une demande de brevet à l</w:t>
      </w:r>
      <w:r w:rsidR="00242126" w:rsidRPr="00D4306D">
        <w:rPr>
          <w:lang w:val="fr-FR"/>
        </w:rPr>
        <w:t>’</w:t>
      </w:r>
      <w:r w:rsidRPr="00D4306D">
        <w:rPr>
          <w:lang w:val="fr-FR"/>
        </w:rPr>
        <w:t>étranger par la voie</w:t>
      </w:r>
      <w:r w:rsidR="00242126" w:rsidRPr="00D4306D">
        <w:rPr>
          <w:lang w:val="fr-FR"/>
        </w:rPr>
        <w:t xml:space="preserve"> du PCT</w:t>
      </w:r>
      <w:r w:rsidRPr="00D4306D">
        <w:rPr>
          <w:lang w:val="fr-FR"/>
        </w:rPr>
        <w:t xml:space="preserve"> ou celle de la Convention de Paris est influencé par une variation de la taxe internationale de dép</w:t>
      </w:r>
      <w:r w:rsidR="005D014A" w:rsidRPr="00D4306D">
        <w:rPr>
          <w:lang w:val="fr-FR"/>
        </w:rPr>
        <w:t>ôt.  Ce</w:t>
      </w:r>
      <w:r w:rsidRPr="00D4306D">
        <w:rPr>
          <w:lang w:val="fr-FR"/>
        </w:rPr>
        <w:t xml:space="preserve">tte étude a révélé que les universités et les organismes de recherche publics </w:t>
      </w:r>
      <w:r w:rsidR="00827338" w:rsidRPr="00D4306D">
        <w:rPr>
          <w:lang w:val="fr-FR"/>
        </w:rPr>
        <w:t>étaient</w:t>
      </w:r>
      <w:r w:rsidRPr="00D4306D">
        <w:rPr>
          <w:lang w:val="fr-FR"/>
        </w:rPr>
        <w:t xml:space="preserve"> plus sensibles au prix que les autres déposants, même si toutes les estimations indiqu</w:t>
      </w:r>
      <w:r w:rsidR="00827338" w:rsidRPr="00D4306D">
        <w:rPr>
          <w:lang w:val="fr-FR"/>
        </w:rPr>
        <w:t>ai</w:t>
      </w:r>
      <w:r w:rsidRPr="00D4306D">
        <w:rPr>
          <w:lang w:val="fr-FR"/>
        </w:rPr>
        <w:t>ent une réponse hautement inélastique aux variations de la taxe.</w:t>
      </w:r>
    </w:p>
    <w:p w:rsidR="001F55A6" w:rsidRPr="00D4306D" w:rsidRDefault="00125B5E" w:rsidP="00D4306D">
      <w:pPr>
        <w:pStyle w:val="ONUMFS"/>
        <w:rPr>
          <w:lang w:val="fr-FR"/>
        </w:rPr>
      </w:pPr>
      <w:r w:rsidRPr="00D4306D">
        <w:rPr>
          <w:lang w:val="fr-FR"/>
        </w:rPr>
        <w:t>À la suite de la présentation de cette étude, le groupe de travail a demandé au Secrétariat de travailler avec l</w:t>
      </w:r>
      <w:r w:rsidR="00242126" w:rsidRPr="00D4306D">
        <w:rPr>
          <w:lang w:val="fr-FR"/>
        </w:rPr>
        <w:t>’</w:t>
      </w:r>
      <w:r w:rsidRPr="00D4306D">
        <w:rPr>
          <w:lang w:val="fr-FR"/>
        </w:rPr>
        <w:t>économiste en chef en vue de la réalisation d</w:t>
      </w:r>
      <w:r w:rsidR="00242126" w:rsidRPr="00D4306D">
        <w:rPr>
          <w:lang w:val="fr-FR"/>
        </w:rPr>
        <w:t>’</w:t>
      </w:r>
      <w:r w:rsidRPr="00D4306D">
        <w:rPr>
          <w:lang w:val="fr-FR"/>
        </w:rPr>
        <w:t>une étude supplémentaire portant sur les effets d</w:t>
      </w:r>
      <w:r w:rsidR="00242126" w:rsidRPr="00D4306D">
        <w:rPr>
          <w:lang w:val="fr-FR"/>
        </w:rPr>
        <w:t>’</w:t>
      </w:r>
      <w:r w:rsidRPr="00D4306D">
        <w:rPr>
          <w:lang w:val="fr-FR"/>
        </w:rPr>
        <w:t>éventuelles réductions de taxes pour les universités et les organismes de recherche publics de divers groupes de pa</w:t>
      </w:r>
      <w:r w:rsidR="005D014A" w:rsidRPr="00D4306D">
        <w:rPr>
          <w:lang w:val="fr-FR"/>
        </w:rPr>
        <w:t>ys.  Ce</w:t>
      </w:r>
      <w:r w:rsidR="00441BB9" w:rsidRPr="00D4306D">
        <w:rPr>
          <w:lang w:val="fr-FR"/>
        </w:rPr>
        <w:t>tte étude supplémentaire (document PCT/WG/8/11) a été présentée à la huit</w:t>
      </w:r>
      <w:r w:rsidR="00242126" w:rsidRPr="00D4306D">
        <w:rPr>
          <w:lang w:val="fr-FR"/>
        </w:rPr>
        <w:t>ième session</w:t>
      </w:r>
      <w:r w:rsidR="00441BB9" w:rsidRPr="00D4306D">
        <w:rPr>
          <w:lang w:val="fr-FR"/>
        </w:rPr>
        <w:t xml:space="preserve"> du groupe de travail </w:t>
      </w:r>
      <w:r w:rsidR="00242126" w:rsidRPr="00D4306D">
        <w:rPr>
          <w:lang w:val="fr-FR"/>
        </w:rPr>
        <w:t>en 2015</w:t>
      </w:r>
      <w:r w:rsidR="00441BB9" w:rsidRPr="00D4306D">
        <w:rPr>
          <w:lang w:val="fr-FR"/>
        </w:rPr>
        <w:t>.</w:t>
      </w:r>
    </w:p>
    <w:p w:rsidR="00242126" w:rsidRDefault="0096190B" w:rsidP="00D4306D">
      <w:pPr>
        <w:pStyle w:val="ONUMFS"/>
        <w:rPr>
          <w:lang w:val="fr-FR"/>
        </w:rPr>
      </w:pPr>
      <w:r w:rsidRPr="00D4306D">
        <w:rPr>
          <w:lang w:val="fr-FR"/>
        </w:rPr>
        <w:t>À sa neuv</w:t>
      </w:r>
      <w:r w:rsidR="00242126" w:rsidRPr="00D4306D">
        <w:rPr>
          <w:lang w:val="fr-FR"/>
        </w:rPr>
        <w:t>ième session</w:t>
      </w:r>
      <w:r w:rsidRPr="00D4306D">
        <w:rPr>
          <w:lang w:val="fr-FR"/>
        </w:rPr>
        <w:t xml:space="preserve"> </w:t>
      </w:r>
      <w:r w:rsidR="00242126" w:rsidRPr="00D4306D">
        <w:rPr>
          <w:lang w:val="fr-FR"/>
        </w:rPr>
        <w:t>en 2016</w:t>
      </w:r>
      <w:r w:rsidRPr="00D4306D">
        <w:rPr>
          <w:lang w:val="fr-FR"/>
        </w:rPr>
        <w:t>, le groupe de travail a examiné une proposition du Brésil relative à une politique de taxes</w:t>
      </w:r>
      <w:r w:rsidR="00242126" w:rsidRPr="00D4306D">
        <w:rPr>
          <w:lang w:val="fr-FR"/>
        </w:rPr>
        <w:t xml:space="preserve"> du PCT</w:t>
      </w:r>
      <w:r w:rsidRPr="00D4306D">
        <w:rPr>
          <w:lang w:val="fr-FR"/>
        </w:rPr>
        <w:t xml:space="preserve"> visant à stimuler le dépôt de demandes de brevet par les établissements universitaires et les instituts de recherche publi</w:t>
      </w:r>
      <w:r w:rsidR="00827338" w:rsidRPr="00D4306D">
        <w:rPr>
          <w:lang w:val="fr-FR"/>
        </w:rPr>
        <w:t>cs de certains pays, notamment d</w:t>
      </w:r>
      <w:r w:rsidRPr="00D4306D">
        <w:rPr>
          <w:lang w:val="fr-FR"/>
        </w:rPr>
        <w:t>e</w:t>
      </w:r>
      <w:r w:rsidR="00FB6F91" w:rsidRPr="00D4306D">
        <w:rPr>
          <w:lang w:val="fr-FR"/>
        </w:rPr>
        <w:t>s</w:t>
      </w:r>
      <w:r w:rsidRPr="00D4306D">
        <w:rPr>
          <w:lang w:val="fr-FR"/>
        </w:rPr>
        <w:t xml:space="preserve"> pays en développement et </w:t>
      </w:r>
      <w:r w:rsidR="00827338" w:rsidRPr="00D4306D">
        <w:rPr>
          <w:lang w:val="fr-FR"/>
        </w:rPr>
        <w:t>de</w:t>
      </w:r>
      <w:r w:rsidR="00FB6F91" w:rsidRPr="00D4306D">
        <w:rPr>
          <w:lang w:val="fr-FR"/>
        </w:rPr>
        <w:t>s</w:t>
      </w:r>
      <w:r w:rsidRPr="00D4306D">
        <w:rPr>
          <w:lang w:val="fr-FR"/>
        </w:rPr>
        <w:t xml:space="preserve"> pays les moins avancés (document PCT/WG/9/25).</w:t>
      </w:r>
      <w:r w:rsidR="00B61B41" w:rsidRPr="00D4306D">
        <w:rPr>
          <w:lang w:val="fr-FR"/>
        </w:rPr>
        <w:t xml:space="preserve">  </w:t>
      </w:r>
      <w:r w:rsidRPr="00D4306D">
        <w:rPr>
          <w:lang w:val="fr-FR"/>
        </w:rPr>
        <w:t xml:space="preserve">Il est rendu compte de ces délibérations </w:t>
      </w:r>
      <w:r w:rsidR="00282618" w:rsidRPr="00D4306D">
        <w:rPr>
          <w:lang w:val="fr-FR"/>
        </w:rPr>
        <w:t>dans les</w:t>
      </w:r>
      <w:r w:rsidRPr="00D4306D">
        <w:rPr>
          <w:lang w:val="fr-FR"/>
        </w:rPr>
        <w:t xml:space="preserve"> paragraphes 85 à 122 du </w:t>
      </w:r>
      <w:r w:rsidRPr="00D4306D">
        <w:rPr>
          <w:lang w:val="fr-FR"/>
        </w:rPr>
        <w:lastRenderedPageBreak/>
        <w:t xml:space="preserve">rapport sur la session (document PCT/WG/9/28) et les paragraphes 119 et 120 reproduits </w:t>
      </w:r>
      <w:r w:rsidRPr="002961BC">
        <w:rPr>
          <w:lang w:val="fr-FR"/>
        </w:rPr>
        <w:t>ci</w:t>
      </w:r>
      <w:r w:rsidR="00FB6F91">
        <w:rPr>
          <w:lang w:val="fr-FR"/>
        </w:rPr>
        <w:noBreakHyphen/>
      </w:r>
      <w:r w:rsidRPr="002961BC">
        <w:rPr>
          <w:lang w:val="fr-FR"/>
        </w:rPr>
        <w:t>dessous présentent les travaux futurs convenus par le groupe de travail</w:t>
      </w:r>
      <w:r w:rsidR="00242126">
        <w:rPr>
          <w:lang w:val="fr-FR"/>
        </w:rPr>
        <w:t> :</w:t>
      </w:r>
    </w:p>
    <w:p w:rsidR="001F55A6" w:rsidRPr="002961BC" w:rsidRDefault="002B6FEC" w:rsidP="00D4306D">
      <w:pPr>
        <w:pStyle w:val="ONUMFS"/>
        <w:numPr>
          <w:ilvl w:val="0"/>
          <w:numId w:val="0"/>
        </w:numPr>
        <w:ind w:left="567"/>
        <w:rPr>
          <w:lang w:val="fr-FR"/>
        </w:rPr>
      </w:pPr>
      <w:r w:rsidRPr="002961BC">
        <w:rPr>
          <w:lang w:val="fr-FR"/>
        </w:rPr>
        <w:t>“119.</w:t>
      </w:r>
      <w:r w:rsidRPr="002961BC">
        <w:rPr>
          <w:lang w:val="fr-FR"/>
        </w:rPr>
        <w:tab/>
      </w:r>
      <w:r w:rsidR="0096190B" w:rsidRPr="002961BC">
        <w:rPr>
          <w:lang w:val="fr-FR"/>
        </w:rPr>
        <w:t>À l</w:t>
      </w:r>
      <w:r w:rsidR="00242126">
        <w:rPr>
          <w:lang w:val="fr-FR"/>
        </w:rPr>
        <w:t>’</w:t>
      </w:r>
      <w:r w:rsidR="0096190B" w:rsidRPr="002961BC">
        <w:rPr>
          <w:lang w:val="fr-FR"/>
        </w:rPr>
        <w:t>issue de discussions informelles, le groupe de travail a prié le Secrétariat de collaborer avec l</w:t>
      </w:r>
      <w:r w:rsidR="00242126">
        <w:rPr>
          <w:lang w:val="fr-FR"/>
        </w:rPr>
        <w:t>’</w:t>
      </w:r>
      <w:r w:rsidR="0096190B" w:rsidRPr="002961BC">
        <w:rPr>
          <w:lang w:val="fr-FR"/>
        </w:rPr>
        <w:t>économiste en chef en vue d</w:t>
      </w:r>
      <w:r w:rsidR="00242126">
        <w:rPr>
          <w:lang w:val="fr-FR"/>
        </w:rPr>
        <w:t>’</w:t>
      </w:r>
      <w:r w:rsidR="0096190B" w:rsidRPr="002961BC">
        <w:rPr>
          <w:lang w:val="fr-FR"/>
        </w:rPr>
        <w:t>établir un supplément à l</w:t>
      </w:r>
      <w:r w:rsidR="00242126">
        <w:rPr>
          <w:lang w:val="fr-FR"/>
        </w:rPr>
        <w:t>’</w:t>
      </w:r>
      <w:r w:rsidR="0096190B" w:rsidRPr="002961BC">
        <w:rPr>
          <w:lang w:val="fr-FR"/>
        </w:rPr>
        <w:t>étude présentée à sa huit</w:t>
      </w:r>
      <w:r w:rsidR="00242126">
        <w:rPr>
          <w:lang w:val="fr-FR"/>
        </w:rPr>
        <w:t>ième session</w:t>
      </w:r>
      <w:r w:rsidR="0096190B" w:rsidRPr="002961BC">
        <w:rPr>
          <w:lang w:val="fr-FR"/>
        </w:rPr>
        <w:t xml:space="preserve"> (document PCT/WG/8/11), pour examen à sa prochaine sessi</w:t>
      </w:r>
      <w:r w:rsidR="005D014A" w:rsidRPr="002961BC">
        <w:rPr>
          <w:lang w:val="fr-FR"/>
        </w:rPr>
        <w:t>on</w:t>
      </w:r>
      <w:r w:rsidR="005D014A">
        <w:rPr>
          <w:lang w:val="fr-FR"/>
        </w:rPr>
        <w:t xml:space="preserve">.  </w:t>
      </w:r>
      <w:r w:rsidR="005D014A" w:rsidRPr="002961BC">
        <w:rPr>
          <w:lang w:val="fr-FR"/>
        </w:rPr>
        <w:t>Ce</w:t>
      </w:r>
      <w:r w:rsidR="0096190B" w:rsidRPr="002961BC">
        <w:rPr>
          <w:lang w:val="fr-FR"/>
        </w:rPr>
        <w:t xml:space="preserve"> supplément devrait contenir les éléments suivants</w:t>
      </w:r>
      <w:r w:rsidR="00242126">
        <w:rPr>
          <w:lang w:val="fr-FR"/>
        </w:rPr>
        <w:t> :</w:t>
      </w:r>
    </w:p>
    <w:p w:rsidR="00242126" w:rsidRDefault="005645FF" w:rsidP="00D4306D">
      <w:pPr>
        <w:pStyle w:val="ONUMFS"/>
        <w:numPr>
          <w:ilvl w:val="0"/>
          <w:numId w:val="0"/>
        </w:numPr>
        <w:ind w:left="1134"/>
        <w:rPr>
          <w:lang w:val="fr-FR"/>
        </w:rPr>
      </w:pPr>
      <w:r>
        <w:rPr>
          <w:lang w:val="fr-FR"/>
        </w:rPr>
        <w:t>“a)</w:t>
      </w:r>
      <w:r>
        <w:rPr>
          <w:lang w:val="fr-FR"/>
        </w:rPr>
        <w:tab/>
      </w:r>
      <w:r w:rsidR="0096190B" w:rsidRPr="002961BC">
        <w:rPr>
          <w:lang w:val="fr-FR"/>
        </w:rPr>
        <w:t>des informations supplémentaires, semblables à celles figurant aux tableaux 4 et 5 du document PCT/WG/8/11, fondées sur les estimations relatives à l</w:t>
      </w:r>
      <w:r w:rsidR="00242126">
        <w:rPr>
          <w:lang w:val="fr-FR"/>
        </w:rPr>
        <w:t>’</w:t>
      </w:r>
      <w:r w:rsidR="0096190B" w:rsidRPr="002961BC">
        <w:rPr>
          <w:lang w:val="fr-FR"/>
        </w:rPr>
        <w:t>élasticité présentées au tableau 3 du document PCT/WG/8/11 pour calculer le nombre de dépôts additionnels, le montant moyen des taxes et l</w:t>
      </w:r>
      <w:r w:rsidR="00242126">
        <w:rPr>
          <w:lang w:val="fr-FR"/>
        </w:rPr>
        <w:t>’</w:t>
      </w:r>
      <w:r w:rsidR="0096190B" w:rsidRPr="002961BC">
        <w:rPr>
          <w:lang w:val="fr-FR"/>
        </w:rPr>
        <w:t>effet sur les recettes, à la fois en termes absolus et relativement au montant total des recettes du PCT, séparément pour les universités et les organismes de recherche publics bénéficiant de la réduction de taxes envisagées, sur la base de diverses réductions hypothétiques, tant pour les pays développés que pour les pays satisfaisant aux critères mentionnés au point 5.a) du barème de taxes du PCT;</w:t>
      </w:r>
    </w:p>
    <w:p w:rsidR="001F55A6" w:rsidRPr="002961BC" w:rsidRDefault="005645FF" w:rsidP="00D4306D">
      <w:pPr>
        <w:pStyle w:val="ONUMFS"/>
        <w:numPr>
          <w:ilvl w:val="0"/>
          <w:numId w:val="0"/>
        </w:numPr>
        <w:ind w:left="1134"/>
        <w:rPr>
          <w:lang w:val="fr-FR"/>
        </w:rPr>
      </w:pPr>
      <w:r>
        <w:rPr>
          <w:lang w:val="fr-FR"/>
        </w:rPr>
        <w:t>“b)</w:t>
      </w:r>
      <w:r>
        <w:rPr>
          <w:lang w:val="fr-FR"/>
        </w:rPr>
        <w:tab/>
      </w:r>
      <w:r w:rsidR="0096190B" w:rsidRPr="002961BC">
        <w:rPr>
          <w:lang w:val="fr-FR"/>
        </w:rPr>
        <w:t>des informations concernant les incidences sur les recettes d</w:t>
      </w:r>
      <w:r w:rsidR="00242126">
        <w:rPr>
          <w:lang w:val="fr-FR"/>
        </w:rPr>
        <w:t>’</w:t>
      </w:r>
      <w:r w:rsidR="0096190B" w:rsidRPr="002961BC">
        <w:rPr>
          <w:lang w:val="fr-FR"/>
        </w:rPr>
        <w:t xml:space="preserve">une limitation hypothétique du nombre de demandes pouvant être déposées par une université ou un organisme de recherche public bénéficiant de la réduction de taxes envisagée à un certain nombre de demandes internationales par an, </w:t>
      </w:r>
      <w:r w:rsidR="00242126">
        <w:rPr>
          <w:lang w:val="fr-FR"/>
        </w:rPr>
        <w:t>y compris</w:t>
      </w:r>
      <w:r w:rsidR="0096190B" w:rsidRPr="002961BC">
        <w:rPr>
          <w:lang w:val="fr-FR"/>
        </w:rPr>
        <w:t xml:space="preserve"> à hauteur de 5, 10 et 20 demandes internationales par an;  et</w:t>
      </w:r>
    </w:p>
    <w:p w:rsidR="001F55A6" w:rsidRPr="002961BC" w:rsidRDefault="005645FF" w:rsidP="00D4306D">
      <w:pPr>
        <w:pStyle w:val="ONUMFS"/>
        <w:numPr>
          <w:ilvl w:val="0"/>
          <w:numId w:val="0"/>
        </w:numPr>
        <w:ind w:left="1134"/>
        <w:rPr>
          <w:lang w:val="fr-FR"/>
        </w:rPr>
      </w:pPr>
      <w:r>
        <w:rPr>
          <w:lang w:val="fr-FR"/>
        </w:rPr>
        <w:t>“</w:t>
      </w:r>
      <w:proofErr w:type="gramStart"/>
      <w:r>
        <w:rPr>
          <w:lang w:val="fr-FR"/>
        </w:rPr>
        <w:t>c</w:t>
      </w:r>
      <w:proofErr w:type="gramEnd"/>
      <w:r>
        <w:rPr>
          <w:lang w:val="fr-FR"/>
        </w:rPr>
        <w:t>)</w:t>
      </w:r>
      <w:r>
        <w:rPr>
          <w:lang w:val="fr-FR"/>
        </w:rPr>
        <w:tab/>
      </w:r>
      <w:r w:rsidR="0096190B" w:rsidRPr="002961BC">
        <w:rPr>
          <w:lang w:val="fr-FR"/>
        </w:rPr>
        <w:t>des informations plus détaillées sur l</w:t>
      </w:r>
      <w:r w:rsidR="00242126">
        <w:rPr>
          <w:lang w:val="fr-FR"/>
        </w:rPr>
        <w:t>’</w:t>
      </w:r>
      <w:r w:rsidR="0096190B" w:rsidRPr="002961BC">
        <w:rPr>
          <w:lang w:val="fr-FR"/>
        </w:rPr>
        <w:t>approche adoptée pour recenser les universités et organismes de recherche publics parmi la totalité des déposants de demandes selon le PCT, comme indiqué au paragraphe</w:t>
      </w:r>
      <w:r w:rsidR="00142609" w:rsidRPr="002961BC">
        <w:rPr>
          <w:lang w:val="fr-FR"/>
        </w:rPr>
        <w:t> 118</w:t>
      </w:r>
      <w:r w:rsidR="0096190B" w:rsidRPr="002961BC">
        <w:rPr>
          <w:lang w:val="fr-FR"/>
        </w:rPr>
        <w:t>.</w:t>
      </w:r>
    </w:p>
    <w:p w:rsidR="001F55A6" w:rsidRPr="002961BC" w:rsidRDefault="002B6FEC" w:rsidP="00D4306D">
      <w:pPr>
        <w:pStyle w:val="ONUMFS"/>
        <w:numPr>
          <w:ilvl w:val="0"/>
          <w:numId w:val="0"/>
        </w:numPr>
        <w:ind w:left="567"/>
        <w:rPr>
          <w:lang w:val="fr-FR"/>
        </w:rPr>
      </w:pPr>
      <w:r w:rsidRPr="002961BC">
        <w:rPr>
          <w:lang w:val="fr-FR"/>
        </w:rPr>
        <w:t>“120.</w:t>
      </w:r>
      <w:r w:rsidRPr="002961BC">
        <w:rPr>
          <w:lang w:val="fr-FR"/>
        </w:rPr>
        <w:tab/>
      </w:r>
      <w:r w:rsidR="0096190B" w:rsidRPr="002961BC">
        <w:rPr>
          <w:lang w:val="fr-FR"/>
        </w:rPr>
        <w:t>Le groupe de travail a en outre prié le Secrétariat de diffuser ce supplément dans un délai suffisant (au moins quatre mois) avant sa prochaine session</w:t>
      </w:r>
      <w:r w:rsidRPr="002961BC">
        <w:rPr>
          <w:lang w:val="fr-FR"/>
        </w:rPr>
        <w:t>.”</w:t>
      </w:r>
    </w:p>
    <w:p w:rsidR="001F55A6" w:rsidRPr="002961BC" w:rsidRDefault="001F55A6" w:rsidP="00D4306D">
      <w:pPr>
        <w:pStyle w:val="ONUMFS"/>
        <w:rPr>
          <w:lang w:val="fr-FR"/>
        </w:rPr>
      </w:pPr>
      <w:r w:rsidRPr="002961BC">
        <w:rPr>
          <w:lang w:val="fr-FR"/>
        </w:rPr>
        <w:t>Le présent document contient l</w:t>
      </w:r>
      <w:r w:rsidR="00242126">
        <w:rPr>
          <w:lang w:val="fr-FR"/>
        </w:rPr>
        <w:t>’</w:t>
      </w:r>
      <w:r w:rsidRPr="002961BC">
        <w:rPr>
          <w:lang w:val="fr-FR"/>
        </w:rPr>
        <w:t xml:space="preserve">étude supplémentaire demandée par le groupe de travail à sa </w:t>
      </w:r>
      <w:r w:rsidRPr="002961BC">
        <w:rPr>
          <w:color w:val="000000"/>
          <w:lang w:val="fr-FR"/>
        </w:rPr>
        <w:t>neuv</w:t>
      </w:r>
      <w:r w:rsidR="00242126">
        <w:rPr>
          <w:color w:val="000000"/>
          <w:lang w:val="fr-FR"/>
        </w:rPr>
        <w:t>ième session</w:t>
      </w:r>
      <w:r w:rsidRPr="002961BC">
        <w:rPr>
          <w:lang w:val="fr-FR"/>
        </w:rPr>
        <w:t>.</w:t>
      </w:r>
    </w:p>
    <w:p w:rsidR="00242126" w:rsidRDefault="00634528" w:rsidP="00D4306D">
      <w:pPr>
        <w:pStyle w:val="ONUMFS"/>
        <w:rPr>
          <w:lang w:val="fr-FR"/>
        </w:rPr>
      </w:pPr>
      <w:r w:rsidRPr="00D4306D">
        <w:rPr>
          <w:lang w:val="fr-FR"/>
        </w:rPr>
        <w:t>Ainsi qu</w:t>
      </w:r>
      <w:r w:rsidR="00242126" w:rsidRPr="00D4306D">
        <w:rPr>
          <w:lang w:val="fr-FR"/>
        </w:rPr>
        <w:t>’</w:t>
      </w:r>
      <w:r w:rsidRPr="00D4306D">
        <w:rPr>
          <w:lang w:val="fr-FR"/>
        </w:rPr>
        <w:t>il a été discuté dans le cadre de la première étude supplémentaire,</w:t>
      </w:r>
      <w:r w:rsidR="00D32900" w:rsidRPr="00D4306D">
        <w:rPr>
          <w:lang w:val="fr-FR"/>
        </w:rPr>
        <w:t xml:space="preserve"> </w:t>
      </w:r>
      <w:r w:rsidRPr="00D4306D">
        <w:rPr>
          <w:lang w:val="fr-FR"/>
        </w:rPr>
        <w:t>il n</w:t>
      </w:r>
      <w:r w:rsidR="00242126" w:rsidRPr="00D4306D">
        <w:rPr>
          <w:lang w:val="fr-FR"/>
        </w:rPr>
        <w:t>’</w:t>
      </w:r>
      <w:r w:rsidRPr="00D4306D">
        <w:rPr>
          <w:lang w:val="fr-FR"/>
        </w:rPr>
        <w:t>est malheureusement pas possible de procéder à des simulations de réduction</w:t>
      </w:r>
      <w:r w:rsidR="009F4F6E" w:rsidRPr="00D4306D">
        <w:rPr>
          <w:lang w:val="fr-FR"/>
        </w:rPr>
        <w:t>s</w:t>
      </w:r>
      <w:r w:rsidRPr="00D4306D">
        <w:rPr>
          <w:lang w:val="fr-FR"/>
        </w:rPr>
        <w:t xml:space="preserve"> hypothétique</w:t>
      </w:r>
      <w:r w:rsidR="009F4F6E" w:rsidRPr="00D4306D">
        <w:rPr>
          <w:lang w:val="fr-FR"/>
        </w:rPr>
        <w:t>s</w:t>
      </w:r>
      <w:r w:rsidRPr="00D4306D">
        <w:rPr>
          <w:lang w:val="fr-FR"/>
        </w:rPr>
        <w:t xml:space="preserve"> des taxes pour les organismes de recherche publics des pays en développeme</w:t>
      </w:r>
      <w:r w:rsidR="005D014A" w:rsidRPr="00D4306D">
        <w:rPr>
          <w:lang w:val="fr-FR"/>
        </w:rPr>
        <w:t>nt.  Ce</w:t>
      </w:r>
      <w:r w:rsidR="001C0BDF" w:rsidRPr="00D4306D">
        <w:rPr>
          <w:lang w:val="fr-FR"/>
        </w:rPr>
        <w:t>la s</w:t>
      </w:r>
      <w:r w:rsidR="00242126" w:rsidRPr="00D4306D">
        <w:rPr>
          <w:lang w:val="fr-FR"/>
        </w:rPr>
        <w:t>’</w:t>
      </w:r>
      <w:r w:rsidR="001C0BDF" w:rsidRPr="00D4306D">
        <w:rPr>
          <w:lang w:val="fr-FR"/>
        </w:rPr>
        <w:t xml:space="preserve">explique par le fait que le résultat du calcul </w:t>
      </w:r>
      <w:r w:rsidR="00282618" w:rsidRPr="00D4306D">
        <w:rPr>
          <w:lang w:val="fr-FR"/>
        </w:rPr>
        <w:t xml:space="preserve">du coefficient sur la variable </w:t>
      </w:r>
      <w:r w:rsidR="00FE6238" w:rsidRPr="00D4306D">
        <w:rPr>
          <w:lang w:val="fr-FR"/>
        </w:rPr>
        <w:t>“</w:t>
      </w:r>
      <w:r w:rsidR="001C0BDF" w:rsidRPr="00D4306D">
        <w:rPr>
          <w:lang w:val="fr-FR"/>
        </w:rPr>
        <w:t>taxe</w:t>
      </w:r>
      <w:r w:rsidR="00FE6238" w:rsidRPr="00D4306D">
        <w:rPr>
          <w:lang w:val="fr-FR"/>
        </w:rPr>
        <w:t>”</w:t>
      </w:r>
      <w:r w:rsidR="001C0BDF" w:rsidRPr="00D4306D">
        <w:rPr>
          <w:lang w:val="fr-FR"/>
        </w:rPr>
        <w:t xml:space="preserve"> dans l</w:t>
      </w:r>
      <w:r w:rsidR="00242126" w:rsidRPr="00D4306D">
        <w:rPr>
          <w:lang w:val="fr-FR"/>
        </w:rPr>
        <w:t>’</w:t>
      </w:r>
      <w:r w:rsidR="001C0BDF" w:rsidRPr="00D4306D">
        <w:rPr>
          <w:lang w:val="fr-FR"/>
        </w:rPr>
        <w:t>étude économétrique sous</w:t>
      </w:r>
      <w:r w:rsidR="00FB6F91" w:rsidRPr="00D4306D">
        <w:rPr>
          <w:lang w:val="fr-FR"/>
        </w:rPr>
        <w:noBreakHyphen/>
      </w:r>
      <w:r w:rsidR="001C0BDF" w:rsidRPr="00D4306D">
        <w:rPr>
          <w:lang w:val="fr-FR"/>
        </w:rPr>
        <w:t>jacente n</w:t>
      </w:r>
      <w:r w:rsidR="00242126" w:rsidRPr="00D4306D">
        <w:rPr>
          <w:lang w:val="fr-FR"/>
        </w:rPr>
        <w:t>’</w:t>
      </w:r>
      <w:r w:rsidR="001C0BDF" w:rsidRPr="00D4306D">
        <w:rPr>
          <w:lang w:val="fr-FR"/>
        </w:rPr>
        <w:t>était pas statistiquement significatif (voir le paragraphe 5 du document PCT/WG/8/11)</w:t>
      </w:r>
      <w:r w:rsidR="00765B9A" w:rsidRPr="00D4306D">
        <w:rPr>
          <w:lang w:val="fr-FR"/>
        </w:rPr>
        <w:t xml:space="preserve">.  </w:t>
      </w:r>
      <w:r w:rsidR="001C0BDF" w:rsidRPr="00D4306D">
        <w:rPr>
          <w:lang w:val="fr-FR"/>
        </w:rPr>
        <w:t>Comme expliqué dans l</w:t>
      </w:r>
      <w:r w:rsidR="00242126" w:rsidRPr="00D4306D">
        <w:rPr>
          <w:lang w:val="fr-FR"/>
        </w:rPr>
        <w:t>’</w:t>
      </w:r>
      <w:r w:rsidR="001C0BDF" w:rsidRPr="00D4306D">
        <w:rPr>
          <w:lang w:val="fr-FR"/>
        </w:rPr>
        <w:t xml:space="preserve">étude, ce résultat ne </w:t>
      </w:r>
      <w:r w:rsidR="00FB6F91" w:rsidRPr="00D4306D">
        <w:rPr>
          <w:lang w:val="fr-FR"/>
        </w:rPr>
        <w:t>signifie très probablement pas que les organismes de recherche publics</w:t>
      </w:r>
      <w:r w:rsidR="00282618" w:rsidRPr="00D4306D">
        <w:rPr>
          <w:lang w:val="fr-FR"/>
        </w:rPr>
        <w:t xml:space="preserve"> </w:t>
      </w:r>
      <w:r w:rsidR="00FB6F91" w:rsidRPr="00D4306D">
        <w:rPr>
          <w:lang w:val="fr-FR"/>
        </w:rPr>
        <w:t xml:space="preserve">qui utilisent le système du PCT </w:t>
      </w:r>
      <w:proofErr w:type="gramStart"/>
      <w:r w:rsidR="00FB6F91" w:rsidRPr="00D4306D">
        <w:rPr>
          <w:lang w:val="fr-FR"/>
        </w:rPr>
        <w:t>sont</w:t>
      </w:r>
      <w:proofErr w:type="gramEnd"/>
      <w:r w:rsidR="00FB6F91" w:rsidRPr="00D4306D">
        <w:rPr>
          <w:lang w:val="fr-FR"/>
        </w:rPr>
        <w:t xml:space="preserve"> insensibles au </w:t>
      </w:r>
      <w:r w:rsidR="00282618" w:rsidRPr="00D4306D">
        <w:rPr>
          <w:lang w:val="fr-FR"/>
        </w:rPr>
        <w:t>montant de la taxe</w:t>
      </w:r>
      <w:r w:rsidR="001C0BDF" w:rsidRPr="00D4306D">
        <w:rPr>
          <w:lang w:val="fr-FR"/>
        </w:rPr>
        <w:t xml:space="preserve">;  il </w:t>
      </w:r>
      <w:r w:rsidR="00282618" w:rsidRPr="00D4306D">
        <w:rPr>
          <w:lang w:val="fr-FR"/>
        </w:rPr>
        <w:t>rend</w:t>
      </w:r>
      <w:r w:rsidR="001C0BDF" w:rsidRPr="00D4306D">
        <w:rPr>
          <w:lang w:val="fr-FR"/>
        </w:rPr>
        <w:t xml:space="preserve"> plutôt </w:t>
      </w:r>
      <w:r w:rsidR="00282618" w:rsidRPr="00D4306D">
        <w:rPr>
          <w:lang w:val="fr-FR"/>
        </w:rPr>
        <w:t xml:space="preserve">compte </w:t>
      </w:r>
      <w:r w:rsidR="00FB6F91" w:rsidRPr="00D4306D">
        <w:rPr>
          <w:lang w:val="fr-FR"/>
        </w:rPr>
        <w:t xml:space="preserve">de l’attitude </w:t>
      </w:r>
      <w:r w:rsidR="00282618" w:rsidRPr="00D4306D">
        <w:rPr>
          <w:lang w:val="fr-FR"/>
        </w:rPr>
        <w:t>du</w:t>
      </w:r>
      <w:r w:rsidR="001C0BDF" w:rsidRPr="00D4306D">
        <w:rPr>
          <w:lang w:val="fr-FR"/>
        </w:rPr>
        <w:t xml:space="preserve"> petit échantillon </w:t>
      </w:r>
      <w:r w:rsidR="001C0BDF" w:rsidRPr="002961BC">
        <w:rPr>
          <w:color w:val="000000"/>
          <w:lang w:val="fr-FR"/>
        </w:rPr>
        <w:t>utilisé pour le calcul qui limite l</w:t>
      </w:r>
      <w:r w:rsidR="00242126">
        <w:rPr>
          <w:color w:val="000000"/>
          <w:lang w:val="fr-FR"/>
        </w:rPr>
        <w:t>’</w:t>
      </w:r>
      <w:r w:rsidR="001C0BDF" w:rsidRPr="002961BC">
        <w:rPr>
          <w:color w:val="000000"/>
          <w:lang w:val="fr-FR"/>
        </w:rPr>
        <w:t>inférence statistique</w:t>
      </w:r>
      <w:r w:rsidR="001C0BDF" w:rsidRPr="002961BC">
        <w:rPr>
          <w:rStyle w:val="FootnoteReference"/>
          <w:color w:val="000000"/>
          <w:lang w:val="fr-FR"/>
        </w:rPr>
        <w:footnoteReference w:id="2"/>
      </w:r>
      <w:r w:rsidR="001C0BDF" w:rsidRPr="002961BC">
        <w:rPr>
          <w:color w:val="000000"/>
          <w:lang w:val="fr-FR"/>
        </w:rPr>
        <w:t>.</w:t>
      </w:r>
      <w:r w:rsidR="00765B9A" w:rsidRPr="005D014A">
        <w:rPr>
          <w:color w:val="000000"/>
          <w:lang w:val="fr-FR"/>
        </w:rPr>
        <w:t xml:space="preserve">  </w:t>
      </w:r>
      <w:r w:rsidR="00142609" w:rsidRPr="002961BC">
        <w:rPr>
          <w:lang w:val="fr-FR"/>
        </w:rPr>
        <w:t>C</w:t>
      </w:r>
      <w:r w:rsidR="00242126">
        <w:rPr>
          <w:lang w:val="fr-FR"/>
        </w:rPr>
        <w:t>’</w:t>
      </w:r>
      <w:r w:rsidR="00142609" w:rsidRPr="002961BC">
        <w:rPr>
          <w:lang w:val="fr-FR"/>
        </w:rPr>
        <w:t>est la raison pour laquelle</w:t>
      </w:r>
      <w:r w:rsidR="00765B9A" w:rsidRPr="002961BC">
        <w:rPr>
          <w:lang w:val="fr-FR"/>
        </w:rPr>
        <w:t xml:space="preserve"> </w:t>
      </w:r>
      <w:r w:rsidR="00142609" w:rsidRPr="002961BC">
        <w:rPr>
          <w:lang w:val="fr-FR"/>
        </w:rPr>
        <w:t xml:space="preserve">les nouvelles simulations figurant dans le présent document sont entièrement axées sur les </w:t>
      </w:r>
      <w:r w:rsidR="00DC3660" w:rsidRPr="002961BC">
        <w:rPr>
          <w:lang w:val="fr-FR"/>
        </w:rPr>
        <w:t>universités utilisant le système</w:t>
      </w:r>
      <w:r w:rsidR="00242126" w:rsidRPr="00242126">
        <w:rPr>
          <w:lang w:val="fr-FR"/>
        </w:rPr>
        <w:t xml:space="preserve"> du PCT</w:t>
      </w:r>
      <w:r w:rsidR="00142609" w:rsidRPr="002961BC">
        <w:rPr>
          <w:lang w:val="fr-FR"/>
        </w:rPr>
        <w:t>.</w:t>
      </w:r>
    </w:p>
    <w:p w:rsidR="001F55A6" w:rsidRPr="002961BC" w:rsidRDefault="00124472" w:rsidP="00D4306D">
      <w:pPr>
        <w:pStyle w:val="ONUMFS"/>
        <w:rPr>
          <w:lang w:val="fr-FR"/>
        </w:rPr>
      </w:pPr>
      <w:r w:rsidRPr="002961BC">
        <w:rPr>
          <w:lang w:val="fr-FR"/>
        </w:rPr>
        <w:t>Cette (deuxième) étude supplémentaire comp</w:t>
      </w:r>
      <w:r w:rsidR="00FB6F91">
        <w:rPr>
          <w:lang w:val="fr-FR"/>
        </w:rPr>
        <w:t>o</w:t>
      </w:r>
      <w:r w:rsidRPr="002961BC">
        <w:rPr>
          <w:lang w:val="fr-FR"/>
        </w:rPr>
        <w:t>r</w:t>
      </w:r>
      <w:r w:rsidR="00FB6F91">
        <w:rPr>
          <w:lang w:val="fr-FR"/>
        </w:rPr>
        <w:t>t</w:t>
      </w:r>
      <w:r w:rsidRPr="002961BC">
        <w:rPr>
          <w:lang w:val="fr-FR"/>
        </w:rPr>
        <w:t>e deux</w:t>
      </w:r>
      <w:r w:rsidR="00FE6238">
        <w:rPr>
          <w:lang w:val="fr-FR"/>
        </w:rPr>
        <w:t> </w:t>
      </w:r>
      <w:r w:rsidRPr="002961BC">
        <w:rPr>
          <w:lang w:val="fr-FR"/>
        </w:rPr>
        <w:t>parti</w:t>
      </w:r>
      <w:r w:rsidR="005D014A" w:rsidRPr="002961BC">
        <w:rPr>
          <w:lang w:val="fr-FR"/>
        </w:rPr>
        <w:t>es</w:t>
      </w:r>
      <w:r w:rsidR="005D014A">
        <w:rPr>
          <w:lang w:val="fr-FR"/>
        </w:rPr>
        <w:t xml:space="preserve">.  </w:t>
      </w:r>
      <w:r w:rsidR="005D014A" w:rsidRPr="002961BC">
        <w:rPr>
          <w:lang w:val="fr-FR"/>
        </w:rPr>
        <w:t>La</w:t>
      </w:r>
      <w:r w:rsidRPr="002961BC">
        <w:rPr>
          <w:lang w:val="fr-FR"/>
        </w:rPr>
        <w:t xml:space="preserve"> première décrit l</w:t>
      </w:r>
      <w:r w:rsidR="00242126">
        <w:rPr>
          <w:lang w:val="fr-FR"/>
        </w:rPr>
        <w:t>’</w:t>
      </w:r>
      <w:r w:rsidRPr="002961BC">
        <w:rPr>
          <w:lang w:val="fr-FR"/>
        </w:rPr>
        <w:t xml:space="preserve">approche adoptée pour identifier les universités et les organismes de recherche publics </w:t>
      </w:r>
      <w:r w:rsidR="004A45DB" w:rsidRPr="002961BC">
        <w:rPr>
          <w:lang w:val="fr-FR"/>
        </w:rPr>
        <w:t xml:space="preserve">parmi les </w:t>
      </w:r>
      <w:r w:rsidRPr="002961BC">
        <w:rPr>
          <w:lang w:val="fr-FR"/>
        </w:rPr>
        <w:t xml:space="preserve">déposants </w:t>
      </w:r>
      <w:r w:rsidR="00282618" w:rsidRPr="002961BC">
        <w:rPr>
          <w:lang w:val="fr-FR"/>
        </w:rPr>
        <w:t xml:space="preserve">de demandes </w:t>
      </w:r>
      <w:r w:rsidRPr="002961BC">
        <w:rPr>
          <w:lang w:val="fr-FR"/>
        </w:rPr>
        <w:t>selon</w:t>
      </w:r>
      <w:r w:rsidR="00242126" w:rsidRPr="00242126">
        <w:rPr>
          <w:lang w:val="fr-FR"/>
        </w:rPr>
        <w:t xml:space="preserve"> le </w:t>
      </w:r>
      <w:r w:rsidR="005D014A" w:rsidRPr="00242126">
        <w:rPr>
          <w:lang w:val="fr-FR"/>
        </w:rPr>
        <w:t>PCT</w:t>
      </w:r>
      <w:r w:rsidR="005D014A">
        <w:rPr>
          <w:lang w:val="fr-FR"/>
        </w:rPr>
        <w:t xml:space="preserve">.  </w:t>
      </w:r>
      <w:r w:rsidR="005D014A" w:rsidRPr="002961BC">
        <w:rPr>
          <w:lang w:val="fr-FR"/>
        </w:rPr>
        <w:t>La</w:t>
      </w:r>
      <w:r w:rsidR="009F4F6E" w:rsidRPr="002961BC">
        <w:rPr>
          <w:lang w:val="fr-FR"/>
        </w:rPr>
        <w:t xml:space="preserve"> seconde présente des résultats </w:t>
      </w:r>
      <w:r w:rsidR="00282618" w:rsidRPr="002961BC">
        <w:rPr>
          <w:lang w:val="fr-FR"/>
        </w:rPr>
        <w:t xml:space="preserve">additionnels </w:t>
      </w:r>
      <w:r w:rsidR="009F4F6E" w:rsidRPr="002961BC">
        <w:rPr>
          <w:lang w:val="fr-FR"/>
        </w:rPr>
        <w:t xml:space="preserve">de simulation sur la base de réductions hypothétiques des taxes, </w:t>
      </w:r>
      <w:r w:rsidR="00C35FC1" w:rsidRPr="002961BC">
        <w:rPr>
          <w:lang w:val="fr-FR"/>
        </w:rPr>
        <w:t xml:space="preserve">notamment </w:t>
      </w:r>
      <w:r w:rsidR="00827338" w:rsidRPr="002961BC">
        <w:rPr>
          <w:lang w:val="fr-FR"/>
        </w:rPr>
        <w:t>d</w:t>
      </w:r>
      <w:r w:rsidR="00282618" w:rsidRPr="002961BC">
        <w:rPr>
          <w:lang w:val="fr-FR"/>
        </w:rPr>
        <w:t>es résultats</w:t>
      </w:r>
      <w:r w:rsidR="00C35FC1" w:rsidRPr="002961BC">
        <w:rPr>
          <w:lang w:val="fr-FR"/>
        </w:rPr>
        <w:t xml:space="preserve"> qui limiteraient ces réductions à un certain nombre de demandes internationales par déposant et par année.</w:t>
      </w:r>
    </w:p>
    <w:p w:rsidR="001F55A6" w:rsidRDefault="00227C2A" w:rsidP="00D4306D">
      <w:pPr>
        <w:pStyle w:val="Heading1"/>
        <w:rPr>
          <w:lang w:val="fr-FR"/>
        </w:rPr>
      </w:pPr>
      <w:r w:rsidRPr="002961BC">
        <w:rPr>
          <w:lang w:val="fr-FR"/>
        </w:rPr>
        <w:lastRenderedPageBreak/>
        <w:t>Identif</w:t>
      </w:r>
      <w:r w:rsidR="00C35FC1" w:rsidRPr="002961BC">
        <w:rPr>
          <w:lang w:val="fr-FR"/>
        </w:rPr>
        <w:t xml:space="preserve">ication des universités et des organismes de recherche publics </w:t>
      </w:r>
      <w:r w:rsidR="004A45DB" w:rsidRPr="002961BC">
        <w:rPr>
          <w:lang w:val="fr-FR"/>
        </w:rPr>
        <w:t>parmi les</w:t>
      </w:r>
      <w:r w:rsidR="00C35FC1" w:rsidRPr="002961BC">
        <w:rPr>
          <w:lang w:val="fr-FR"/>
        </w:rPr>
        <w:t xml:space="preserve"> déposants </w:t>
      </w:r>
      <w:r w:rsidR="00282618" w:rsidRPr="002961BC">
        <w:rPr>
          <w:lang w:val="fr-FR"/>
        </w:rPr>
        <w:t xml:space="preserve">de demandes </w:t>
      </w:r>
      <w:r w:rsidR="002961BC">
        <w:rPr>
          <w:lang w:val="fr-FR"/>
        </w:rPr>
        <w:t>selon le PCT</w:t>
      </w:r>
    </w:p>
    <w:p w:rsidR="002961BC" w:rsidRPr="002961BC" w:rsidRDefault="002961BC" w:rsidP="00D4306D">
      <w:pPr>
        <w:rPr>
          <w:lang w:val="fr-FR"/>
        </w:rPr>
      </w:pPr>
    </w:p>
    <w:p w:rsidR="00C35FC1" w:rsidRPr="002961BC" w:rsidRDefault="00C35FC1" w:rsidP="00D4306D">
      <w:pPr>
        <w:pStyle w:val="ONUMFS"/>
        <w:rPr>
          <w:lang w:val="fr-FR"/>
        </w:rPr>
      </w:pPr>
      <w:r w:rsidRPr="002961BC">
        <w:rPr>
          <w:lang w:val="fr-FR"/>
        </w:rPr>
        <w:t>Les données</w:t>
      </w:r>
      <w:r w:rsidR="00242126" w:rsidRPr="00242126">
        <w:rPr>
          <w:lang w:val="fr-FR"/>
        </w:rPr>
        <w:t xml:space="preserve"> du PCT</w:t>
      </w:r>
      <w:r w:rsidRPr="002961BC">
        <w:rPr>
          <w:lang w:val="fr-FR"/>
        </w:rPr>
        <w:t xml:space="preserve"> ne </w:t>
      </w:r>
      <w:r w:rsidR="00827338" w:rsidRPr="002961BC">
        <w:rPr>
          <w:lang w:val="fr-FR"/>
        </w:rPr>
        <w:t xml:space="preserve">permettent pas de classer </w:t>
      </w:r>
      <w:r w:rsidRPr="002961BC">
        <w:rPr>
          <w:lang w:val="fr-FR"/>
        </w:rPr>
        <w:t xml:space="preserve">les déposants </w:t>
      </w:r>
      <w:r w:rsidR="00827338" w:rsidRPr="002961BC">
        <w:rPr>
          <w:lang w:val="fr-FR"/>
        </w:rPr>
        <w:t xml:space="preserve">par catégorie </w:t>
      </w:r>
      <w:r w:rsidRPr="002961BC">
        <w:rPr>
          <w:lang w:val="fr-FR"/>
        </w:rPr>
        <w:t>institution</w:t>
      </w:r>
      <w:r w:rsidR="004A45DB" w:rsidRPr="002961BC">
        <w:rPr>
          <w:lang w:val="fr-FR"/>
        </w:rPr>
        <w:t>nel</w:t>
      </w:r>
      <w:r w:rsidR="005D014A" w:rsidRPr="002961BC">
        <w:rPr>
          <w:lang w:val="fr-FR"/>
        </w:rPr>
        <w:t>le</w:t>
      </w:r>
      <w:r w:rsidR="005D014A">
        <w:rPr>
          <w:lang w:val="fr-FR"/>
        </w:rPr>
        <w:t xml:space="preserve">.  </w:t>
      </w:r>
      <w:r w:rsidR="005D014A" w:rsidRPr="002961BC">
        <w:rPr>
          <w:lang w:val="fr-FR"/>
        </w:rPr>
        <w:t>Le</w:t>
      </w:r>
      <w:r w:rsidRPr="002961BC">
        <w:rPr>
          <w:lang w:val="fr-FR"/>
        </w:rPr>
        <w:t xml:space="preserve"> seul moyen de les classer </w:t>
      </w:r>
      <w:r w:rsidR="00827338" w:rsidRPr="002961BC">
        <w:rPr>
          <w:lang w:val="fr-FR"/>
        </w:rPr>
        <w:t>selon ce critère</w:t>
      </w:r>
      <w:r w:rsidRPr="002961BC">
        <w:rPr>
          <w:lang w:val="fr-FR"/>
        </w:rPr>
        <w:t xml:space="preserve"> consiste à effectuer une recherche par nom dans les documents PCT et à déterminer, </w:t>
      </w:r>
      <w:r w:rsidR="006E099D" w:rsidRPr="002961BC">
        <w:rPr>
          <w:lang w:val="fr-FR"/>
        </w:rPr>
        <w:t xml:space="preserve">à partir du </w:t>
      </w:r>
      <w:r w:rsidRPr="002961BC">
        <w:rPr>
          <w:lang w:val="fr-FR"/>
        </w:rPr>
        <w:t>nom, si un déposant est une université, un organisme de recherche public, une entreprise ou un particulier.</w:t>
      </w:r>
    </w:p>
    <w:p w:rsidR="001F55A6" w:rsidRPr="002961BC" w:rsidRDefault="006E099D" w:rsidP="00D4306D">
      <w:pPr>
        <w:pStyle w:val="ONUMFS"/>
        <w:rPr>
          <w:lang w:val="fr-FR"/>
        </w:rPr>
      </w:pPr>
      <w:r w:rsidRPr="002961BC">
        <w:rPr>
          <w:lang w:val="fr-FR"/>
        </w:rPr>
        <w:t>La Division de l</w:t>
      </w:r>
      <w:r w:rsidR="00242126">
        <w:rPr>
          <w:lang w:val="fr-FR"/>
        </w:rPr>
        <w:t>’</w:t>
      </w:r>
      <w:r w:rsidRPr="002961BC">
        <w:rPr>
          <w:lang w:val="fr-FR"/>
        </w:rPr>
        <w:t>économie et des statistiques de l</w:t>
      </w:r>
      <w:r w:rsidR="00242126">
        <w:rPr>
          <w:lang w:val="fr-FR"/>
        </w:rPr>
        <w:t>’</w:t>
      </w:r>
      <w:r w:rsidRPr="002961BC">
        <w:rPr>
          <w:lang w:val="fr-FR"/>
        </w:rPr>
        <w:t xml:space="preserve">OMPI applique les procédures </w:t>
      </w:r>
      <w:r w:rsidR="00282618" w:rsidRPr="002961BC">
        <w:rPr>
          <w:lang w:val="fr-FR"/>
        </w:rPr>
        <w:t>ci</w:t>
      </w:r>
      <w:r w:rsidR="00FB6F91">
        <w:rPr>
          <w:lang w:val="fr-FR"/>
        </w:rPr>
        <w:noBreakHyphen/>
      </w:r>
      <w:r w:rsidR="00282618" w:rsidRPr="002961BC">
        <w:rPr>
          <w:lang w:val="fr-FR"/>
        </w:rPr>
        <w:t xml:space="preserve">après </w:t>
      </w:r>
      <w:r w:rsidRPr="002961BC">
        <w:rPr>
          <w:lang w:val="fr-FR"/>
        </w:rPr>
        <w:t xml:space="preserve">pour classer les déposants </w:t>
      </w:r>
      <w:r w:rsidR="00282618" w:rsidRPr="002961BC">
        <w:rPr>
          <w:lang w:val="fr-FR"/>
        </w:rPr>
        <w:t xml:space="preserve">de demandes </w:t>
      </w:r>
      <w:r w:rsidRPr="002961BC">
        <w:rPr>
          <w:lang w:val="fr-FR"/>
        </w:rPr>
        <w:t>selon</w:t>
      </w:r>
      <w:r w:rsidR="00242126" w:rsidRPr="00242126">
        <w:rPr>
          <w:lang w:val="fr-FR"/>
        </w:rPr>
        <w:t xml:space="preserve"> le PCT</w:t>
      </w:r>
      <w:r w:rsidRPr="002961BC">
        <w:rPr>
          <w:lang w:val="fr-FR"/>
        </w:rPr>
        <w:t xml:space="preserve"> dans </w:t>
      </w:r>
      <w:r w:rsidR="00827338" w:rsidRPr="002961BC">
        <w:rPr>
          <w:lang w:val="fr-FR"/>
        </w:rPr>
        <w:t>l</w:t>
      </w:r>
      <w:r w:rsidR="00FB6F91">
        <w:rPr>
          <w:lang w:val="fr-FR"/>
        </w:rPr>
        <w:t>a</w:t>
      </w:r>
      <w:r w:rsidR="00282618" w:rsidRPr="002961BC">
        <w:rPr>
          <w:lang w:val="fr-FR"/>
        </w:rPr>
        <w:t xml:space="preserve"> catégorie</w:t>
      </w:r>
      <w:r w:rsidRPr="002961BC">
        <w:rPr>
          <w:lang w:val="fr-FR"/>
        </w:rPr>
        <w:t xml:space="preserve"> universités ou organismes de recherche publics</w:t>
      </w:r>
      <w:r w:rsidR="00242126">
        <w:rPr>
          <w:lang w:val="fr-FR"/>
        </w:rPr>
        <w:t> :</w:t>
      </w:r>
    </w:p>
    <w:p w:rsidR="0028447B" w:rsidRPr="002961BC" w:rsidRDefault="0028447B" w:rsidP="00D4306D">
      <w:pPr>
        <w:pStyle w:val="ONUMFS"/>
        <w:numPr>
          <w:ilvl w:val="0"/>
          <w:numId w:val="12"/>
        </w:numPr>
        <w:rPr>
          <w:lang w:val="fr-FR"/>
        </w:rPr>
      </w:pPr>
      <w:r w:rsidRPr="002961BC">
        <w:rPr>
          <w:lang w:val="fr-FR"/>
        </w:rPr>
        <w:t>Tout d</w:t>
      </w:r>
      <w:r w:rsidR="00242126">
        <w:rPr>
          <w:lang w:val="fr-FR"/>
        </w:rPr>
        <w:t>’</w:t>
      </w:r>
      <w:r w:rsidRPr="002961BC">
        <w:rPr>
          <w:lang w:val="fr-FR"/>
        </w:rPr>
        <w:t xml:space="preserve">abord, la division harmonise et unifie </w:t>
      </w:r>
      <w:r w:rsidR="00144B57" w:rsidRPr="002961BC">
        <w:rPr>
          <w:lang w:val="fr-FR"/>
        </w:rPr>
        <w:t xml:space="preserve">la présentation de tous </w:t>
      </w:r>
      <w:r w:rsidRPr="002961BC">
        <w:rPr>
          <w:lang w:val="fr-FR"/>
        </w:rPr>
        <w:t xml:space="preserve">les noms </w:t>
      </w:r>
      <w:r w:rsidR="00144B57" w:rsidRPr="002961BC">
        <w:rPr>
          <w:lang w:val="fr-FR"/>
        </w:rPr>
        <w:t>de déposants au moyen d</w:t>
      </w:r>
      <w:r w:rsidR="00242126">
        <w:rPr>
          <w:lang w:val="fr-FR"/>
        </w:rPr>
        <w:t>’</w:t>
      </w:r>
      <w:r w:rsidR="00144B57" w:rsidRPr="002961BC">
        <w:rPr>
          <w:lang w:val="fr-FR"/>
        </w:rPr>
        <w:t xml:space="preserve">algorithmes de nettoyage des noms qui </w:t>
      </w:r>
      <w:r w:rsidR="00282618" w:rsidRPr="002961BC">
        <w:rPr>
          <w:lang w:val="fr-FR"/>
        </w:rPr>
        <w:t>éliminent les différences de typographie et l</w:t>
      </w:r>
      <w:r w:rsidR="00144B57" w:rsidRPr="002961BC">
        <w:rPr>
          <w:lang w:val="fr-FR"/>
        </w:rPr>
        <w:t>es abréviations et autres sources de disparité entre les noms.</w:t>
      </w:r>
    </w:p>
    <w:p w:rsidR="001F55A6" w:rsidRPr="002961BC" w:rsidRDefault="002F6025" w:rsidP="00D4306D">
      <w:pPr>
        <w:pStyle w:val="ONUMFS"/>
        <w:numPr>
          <w:ilvl w:val="0"/>
          <w:numId w:val="12"/>
        </w:numPr>
        <w:rPr>
          <w:lang w:val="fr-FR"/>
        </w:rPr>
      </w:pPr>
      <w:r w:rsidRPr="002961BC">
        <w:rPr>
          <w:lang w:val="fr-FR"/>
        </w:rPr>
        <w:t>Ensuite, les universités et les organismes de recherche publics sont identifiés au moyen d</w:t>
      </w:r>
      <w:r w:rsidR="00242126">
        <w:rPr>
          <w:lang w:val="fr-FR"/>
        </w:rPr>
        <w:t>’</w:t>
      </w:r>
      <w:r w:rsidRPr="002961BC">
        <w:rPr>
          <w:lang w:val="fr-FR"/>
        </w:rPr>
        <w:t>une liste de mots clés pour les universités, les hôpitaux universitaires et les organismes de recherche publi</w:t>
      </w:r>
      <w:r w:rsidR="005D014A" w:rsidRPr="002961BC">
        <w:rPr>
          <w:lang w:val="fr-FR"/>
        </w:rPr>
        <w:t>cs</w:t>
      </w:r>
      <w:r w:rsidR="005D014A">
        <w:rPr>
          <w:lang w:val="fr-FR"/>
        </w:rPr>
        <w:t xml:space="preserve">.  </w:t>
      </w:r>
      <w:r w:rsidR="005D014A" w:rsidRPr="002961BC">
        <w:rPr>
          <w:lang w:val="fr-FR"/>
        </w:rPr>
        <w:t>En</w:t>
      </w:r>
      <w:r w:rsidRPr="002961BC">
        <w:rPr>
          <w:lang w:val="fr-FR"/>
        </w:rPr>
        <w:t xml:space="preserve"> ce qui concerne les universités, ces mots clés </w:t>
      </w:r>
      <w:r w:rsidR="00827338" w:rsidRPr="002961BC">
        <w:rPr>
          <w:lang w:val="fr-FR"/>
        </w:rPr>
        <w:t>couvrent</w:t>
      </w:r>
      <w:r w:rsidRPr="002961BC">
        <w:rPr>
          <w:lang w:val="fr-FR"/>
        </w:rPr>
        <w:t xml:space="preserve"> tous les types d</w:t>
      </w:r>
      <w:r w:rsidR="00242126">
        <w:rPr>
          <w:lang w:val="fr-FR"/>
        </w:rPr>
        <w:t>’</w:t>
      </w:r>
      <w:r w:rsidRPr="002961BC">
        <w:rPr>
          <w:lang w:val="fr-FR"/>
        </w:rPr>
        <w:t xml:space="preserve">entités du domaine éducatif, </w:t>
      </w:r>
      <w:r w:rsidR="00242126">
        <w:rPr>
          <w:lang w:val="fr-FR"/>
        </w:rPr>
        <w:t>y compris</w:t>
      </w:r>
      <w:r w:rsidRPr="002961BC">
        <w:rPr>
          <w:lang w:val="fr-FR"/>
        </w:rPr>
        <w:t xml:space="preserve"> les universités, les facultés, les écoles polytechniques, e</w:t>
      </w:r>
      <w:r w:rsidR="005D014A" w:rsidRPr="002961BC">
        <w:rPr>
          <w:lang w:val="fr-FR"/>
        </w:rPr>
        <w:t>tc</w:t>
      </w:r>
      <w:r w:rsidR="005D014A">
        <w:rPr>
          <w:lang w:val="fr-FR"/>
        </w:rPr>
        <w:t xml:space="preserve">.  </w:t>
      </w:r>
      <w:r w:rsidR="005D014A" w:rsidRPr="002961BC">
        <w:rPr>
          <w:lang w:val="fr-FR"/>
        </w:rPr>
        <w:t>Le</w:t>
      </w:r>
      <w:r w:rsidR="00282618" w:rsidRPr="002961BC">
        <w:rPr>
          <w:lang w:val="fr-FR"/>
        </w:rPr>
        <w:t>s algorithmes</w:t>
      </w:r>
      <w:r w:rsidRPr="002961BC">
        <w:rPr>
          <w:lang w:val="fr-FR"/>
        </w:rPr>
        <w:t xml:space="preserve"> tiennent également compte des différentes langues des noms des déposants </w:t>
      </w:r>
      <w:r w:rsidR="00282618" w:rsidRPr="002961BC">
        <w:rPr>
          <w:lang w:val="fr-FR"/>
        </w:rPr>
        <w:t xml:space="preserve">de demandes </w:t>
      </w:r>
      <w:r w:rsidRPr="002961BC">
        <w:rPr>
          <w:lang w:val="fr-FR"/>
        </w:rPr>
        <w:t>selon</w:t>
      </w:r>
      <w:r w:rsidR="00242126" w:rsidRPr="00242126">
        <w:rPr>
          <w:lang w:val="fr-FR"/>
        </w:rPr>
        <w:t xml:space="preserve"> le PCT</w:t>
      </w:r>
      <w:r w:rsidRPr="002961BC">
        <w:rPr>
          <w:lang w:val="fr-FR"/>
        </w:rPr>
        <w:t>.</w:t>
      </w:r>
    </w:p>
    <w:p w:rsidR="001F55A6" w:rsidRPr="002961BC" w:rsidRDefault="002F6025" w:rsidP="00D4306D">
      <w:pPr>
        <w:pStyle w:val="ONUMFS"/>
        <w:numPr>
          <w:ilvl w:val="0"/>
          <w:numId w:val="12"/>
        </w:numPr>
        <w:rPr>
          <w:lang w:val="fr-FR"/>
        </w:rPr>
      </w:pPr>
      <w:r w:rsidRPr="002961BC">
        <w:rPr>
          <w:lang w:val="fr-FR"/>
        </w:rPr>
        <w:t xml:space="preserve">La liste de mots clés est </w:t>
      </w:r>
      <w:r w:rsidR="00FB6F91">
        <w:rPr>
          <w:lang w:val="fr-FR"/>
        </w:rPr>
        <w:t>sans cesse</w:t>
      </w:r>
      <w:r w:rsidR="00366EE1" w:rsidRPr="002961BC">
        <w:rPr>
          <w:lang w:val="fr-FR"/>
        </w:rPr>
        <w:t xml:space="preserve"> </w:t>
      </w:r>
      <w:r w:rsidR="00282618" w:rsidRPr="002961BC">
        <w:rPr>
          <w:lang w:val="fr-FR"/>
        </w:rPr>
        <w:t>actualisée</w:t>
      </w:r>
      <w:r w:rsidRPr="002961BC">
        <w:rPr>
          <w:lang w:val="fr-FR"/>
        </w:rPr>
        <w:t xml:space="preserve"> pour tenir compte des résultats des vérifications manuelles effectuées, </w:t>
      </w:r>
      <w:r w:rsidR="00282618" w:rsidRPr="002961BC">
        <w:rPr>
          <w:lang w:val="fr-FR"/>
        </w:rPr>
        <w:t>notamment</w:t>
      </w:r>
      <w:r w:rsidRPr="002961BC">
        <w:rPr>
          <w:lang w:val="fr-FR"/>
        </w:rPr>
        <w:t xml:space="preserve"> des recherches sur le Web relatives aux noms de déposants dont le caractère institutionnel est ambigu, </w:t>
      </w:r>
      <w:r w:rsidR="00366EE1" w:rsidRPr="002961BC">
        <w:rPr>
          <w:lang w:val="fr-FR"/>
        </w:rPr>
        <w:t>et de</w:t>
      </w:r>
      <w:r w:rsidR="00827338" w:rsidRPr="002961BC">
        <w:rPr>
          <w:lang w:val="fr-FR"/>
        </w:rPr>
        <w:t>s</w:t>
      </w:r>
      <w:r w:rsidR="00366EE1" w:rsidRPr="002961BC">
        <w:rPr>
          <w:lang w:val="fr-FR"/>
        </w:rPr>
        <w:t xml:space="preserve"> nouvelles données</w:t>
      </w:r>
      <w:r w:rsidR="00242126" w:rsidRPr="00242126">
        <w:rPr>
          <w:lang w:val="fr-FR"/>
        </w:rPr>
        <w:t xml:space="preserve"> du PCT</w:t>
      </w:r>
      <w:r w:rsidR="00827338" w:rsidRPr="002961BC">
        <w:rPr>
          <w:lang w:val="fr-FR"/>
        </w:rPr>
        <w:t xml:space="preserve"> mises à disposition</w:t>
      </w:r>
      <w:r w:rsidR="00366EE1" w:rsidRPr="002961BC">
        <w:rPr>
          <w:lang w:val="fr-FR"/>
        </w:rPr>
        <w:t>.</w:t>
      </w:r>
    </w:p>
    <w:p w:rsidR="001F55A6" w:rsidRPr="002961BC" w:rsidRDefault="00282618" w:rsidP="00D4306D">
      <w:pPr>
        <w:pStyle w:val="ONUMFS"/>
        <w:rPr>
          <w:lang w:val="fr-FR"/>
        </w:rPr>
      </w:pPr>
      <w:r w:rsidRPr="002961BC">
        <w:rPr>
          <w:lang w:val="fr-FR"/>
        </w:rPr>
        <w:t>N</w:t>
      </w:r>
      <w:r w:rsidR="00366EE1" w:rsidRPr="002961BC">
        <w:rPr>
          <w:lang w:val="fr-FR"/>
        </w:rPr>
        <w:t>ature</w:t>
      </w:r>
      <w:r w:rsidRPr="002961BC">
        <w:rPr>
          <w:lang w:val="fr-FR"/>
        </w:rPr>
        <w:t>llement</w:t>
      </w:r>
      <w:r w:rsidR="00366EE1" w:rsidRPr="002961BC">
        <w:rPr>
          <w:lang w:val="fr-FR"/>
        </w:rPr>
        <w:t xml:space="preserve">, les recherches </w:t>
      </w:r>
      <w:r w:rsidRPr="002961BC">
        <w:rPr>
          <w:lang w:val="fr-FR"/>
        </w:rPr>
        <w:t>fondées sur les</w:t>
      </w:r>
      <w:r w:rsidR="00366EE1" w:rsidRPr="002961BC">
        <w:rPr>
          <w:lang w:val="fr-FR"/>
        </w:rPr>
        <w:t xml:space="preserve"> noms conduisent </w:t>
      </w:r>
      <w:r w:rsidR="00827338" w:rsidRPr="002961BC">
        <w:rPr>
          <w:lang w:val="fr-FR"/>
        </w:rPr>
        <w:t>inévitablement</w:t>
      </w:r>
      <w:r w:rsidR="00366EE1" w:rsidRPr="002961BC">
        <w:rPr>
          <w:lang w:val="fr-FR"/>
        </w:rPr>
        <w:t xml:space="preserve"> à de faux positifs (un déposant identifié à tort comme une université ou un organisme de recherche pub</w:t>
      </w:r>
      <w:r w:rsidR="00DC3660" w:rsidRPr="002961BC">
        <w:rPr>
          <w:lang w:val="fr-FR"/>
        </w:rPr>
        <w:t xml:space="preserve">lic) et à de faux négatifs (une </w:t>
      </w:r>
      <w:r w:rsidR="00366EE1" w:rsidRPr="002961BC">
        <w:rPr>
          <w:lang w:val="fr-FR"/>
        </w:rPr>
        <w:t xml:space="preserve">université ou </w:t>
      </w:r>
      <w:r w:rsidR="00DC3660" w:rsidRPr="002961BC">
        <w:rPr>
          <w:lang w:val="fr-FR"/>
        </w:rPr>
        <w:t xml:space="preserve">un </w:t>
      </w:r>
      <w:r w:rsidR="00366EE1" w:rsidRPr="002961BC">
        <w:rPr>
          <w:lang w:val="fr-FR"/>
        </w:rPr>
        <w:t xml:space="preserve">organisme de recherche public </w:t>
      </w:r>
      <w:r w:rsidR="00DC3660" w:rsidRPr="002961BC">
        <w:rPr>
          <w:lang w:val="fr-FR"/>
        </w:rPr>
        <w:t>utilisant le système</w:t>
      </w:r>
      <w:r w:rsidR="00242126" w:rsidRPr="00242126">
        <w:rPr>
          <w:lang w:val="fr-FR"/>
        </w:rPr>
        <w:t xml:space="preserve"> du PCT</w:t>
      </w:r>
      <w:r w:rsidR="00DC3660" w:rsidRPr="002961BC">
        <w:rPr>
          <w:lang w:val="fr-FR"/>
        </w:rPr>
        <w:t xml:space="preserve"> </w:t>
      </w:r>
      <w:r w:rsidR="00366EE1" w:rsidRPr="002961BC">
        <w:rPr>
          <w:lang w:val="fr-FR"/>
        </w:rPr>
        <w:t>qui n</w:t>
      </w:r>
      <w:r w:rsidR="00242126">
        <w:rPr>
          <w:lang w:val="fr-FR"/>
        </w:rPr>
        <w:t>’</w:t>
      </w:r>
      <w:r w:rsidR="00366EE1" w:rsidRPr="002961BC">
        <w:rPr>
          <w:lang w:val="fr-FR"/>
        </w:rPr>
        <w:t>est pas identifié comme t</w:t>
      </w:r>
      <w:r w:rsidR="005D014A" w:rsidRPr="002961BC">
        <w:rPr>
          <w:lang w:val="fr-FR"/>
        </w:rPr>
        <w:t>el)</w:t>
      </w:r>
      <w:r w:rsidR="005D014A">
        <w:rPr>
          <w:lang w:val="fr-FR"/>
        </w:rPr>
        <w:t xml:space="preserve">.  </w:t>
      </w:r>
      <w:r w:rsidR="005D014A" w:rsidRPr="002961BC">
        <w:rPr>
          <w:lang w:val="fr-FR"/>
        </w:rPr>
        <w:t>Ce</w:t>
      </w:r>
      <w:r w:rsidR="00366EE1" w:rsidRPr="002961BC">
        <w:rPr>
          <w:lang w:val="fr-FR"/>
        </w:rPr>
        <w:t>pendant, comme le caractère institutionnel des universités et des organismes de recherche publics transparaît le plus souvent dans leur nom, leur identification à l</w:t>
      </w:r>
      <w:r w:rsidR="00242126">
        <w:rPr>
          <w:lang w:val="fr-FR"/>
        </w:rPr>
        <w:t>’</w:t>
      </w:r>
      <w:r w:rsidR="00366EE1" w:rsidRPr="002961BC">
        <w:rPr>
          <w:lang w:val="fr-FR"/>
        </w:rPr>
        <w:t xml:space="preserve">aide de listes de mots clés </w:t>
      </w:r>
      <w:r w:rsidR="00827338" w:rsidRPr="002961BC">
        <w:rPr>
          <w:lang w:val="fr-FR"/>
        </w:rPr>
        <w:t xml:space="preserve">peut être utile, </w:t>
      </w:r>
      <w:r w:rsidR="00366EE1" w:rsidRPr="002961BC">
        <w:rPr>
          <w:lang w:val="fr-FR"/>
        </w:rPr>
        <w:t>à défaut d</w:t>
      </w:r>
      <w:r w:rsidR="00242126">
        <w:rPr>
          <w:lang w:val="fr-FR"/>
        </w:rPr>
        <w:t>’</w:t>
      </w:r>
      <w:r w:rsidR="00366EE1" w:rsidRPr="002961BC">
        <w:rPr>
          <w:lang w:val="fr-FR"/>
        </w:rPr>
        <w:t>être fiable.</w:t>
      </w:r>
    </w:p>
    <w:p w:rsidR="001F55A6" w:rsidRDefault="004B08C2" w:rsidP="00D4306D">
      <w:pPr>
        <w:pStyle w:val="Heading1"/>
        <w:rPr>
          <w:lang w:val="fr-FR"/>
        </w:rPr>
      </w:pPr>
      <w:r w:rsidRPr="002961BC">
        <w:rPr>
          <w:lang w:val="fr-FR"/>
        </w:rPr>
        <w:t xml:space="preserve">Simulations </w:t>
      </w:r>
      <w:r w:rsidR="00A15B27" w:rsidRPr="002961BC">
        <w:rPr>
          <w:lang w:val="fr-FR"/>
        </w:rPr>
        <w:t>additionnelles du</w:t>
      </w:r>
      <w:r w:rsidRPr="002961BC">
        <w:rPr>
          <w:lang w:val="fr-FR"/>
        </w:rPr>
        <w:t xml:space="preserve"> </w:t>
      </w:r>
      <w:r w:rsidR="005645FF" w:rsidRPr="002961BC">
        <w:rPr>
          <w:lang w:val="fr-FR"/>
        </w:rPr>
        <w:t xml:space="preserve">volume </w:t>
      </w:r>
      <w:r w:rsidR="00A15B27" w:rsidRPr="002961BC">
        <w:rPr>
          <w:lang w:val="fr-FR"/>
        </w:rPr>
        <w:t xml:space="preserve">et effets </w:t>
      </w:r>
      <w:r w:rsidR="00282618" w:rsidRPr="002961BC">
        <w:rPr>
          <w:lang w:val="fr-FR"/>
        </w:rPr>
        <w:t>sur les recettes</w:t>
      </w:r>
      <w:r w:rsidR="00A15B27" w:rsidRPr="002961BC">
        <w:rPr>
          <w:lang w:val="fr-FR"/>
        </w:rPr>
        <w:t xml:space="preserve"> </w:t>
      </w:r>
      <w:r w:rsidR="00E80395" w:rsidRPr="002961BC">
        <w:rPr>
          <w:lang w:val="fr-FR"/>
        </w:rPr>
        <w:t xml:space="preserve">en </w:t>
      </w:r>
      <w:r w:rsidR="00CB511E" w:rsidRPr="002961BC">
        <w:rPr>
          <w:lang w:val="fr-FR"/>
        </w:rPr>
        <w:t>cas</w:t>
      </w:r>
      <w:r w:rsidR="00E80395" w:rsidRPr="002961BC">
        <w:rPr>
          <w:lang w:val="fr-FR"/>
        </w:rPr>
        <w:t xml:space="preserve"> de plafonds de demandes</w:t>
      </w:r>
      <w:r w:rsidR="003A7051" w:rsidRPr="002961BC">
        <w:rPr>
          <w:lang w:val="fr-FR"/>
        </w:rPr>
        <w:t xml:space="preserve"> </w:t>
      </w:r>
      <w:r w:rsidR="002B329B" w:rsidRPr="002961BC">
        <w:rPr>
          <w:lang w:val="fr-FR"/>
        </w:rPr>
        <w:t>remplissant les conditions requises</w:t>
      </w:r>
    </w:p>
    <w:p w:rsidR="002961BC" w:rsidRPr="002961BC" w:rsidRDefault="002961BC" w:rsidP="00D4306D">
      <w:pPr>
        <w:rPr>
          <w:lang w:val="fr-FR"/>
        </w:rPr>
      </w:pPr>
    </w:p>
    <w:p w:rsidR="001F55A6" w:rsidRPr="002961BC" w:rsidRDefault="002C3210" w:rsidP="00D4306D">
      <w:pPr>
        <w:pStyle w:val="ONUMFS"/>
        <w:rPr>
          <w:lang w:val="fr-FR"/>
        </w:rPr>
      </w:pPr>
      <w:r w:rsidRPr="002961BC">
        <w:rPr>
          <w:lang w:val="fr-FR"/>
        </w:rPr>
        <w:t>Pour mieux comprendre comment l</w:t>
      </w:r>
      <w:r w:rsidR="00CB511E" w:rsidRPr="002961BC">
        <w:rPr>
          <w:lang w:val="fr-FR"/>
        </w:rPr>
        <w:t>a variation du plafond</w:t>
      </w:r>
      <w:r w:rsidRPr="002961BC">
        <w:rPr>
          <w:lang w:val="fr-FR"/>
        </w:rPr>
        <w:t xml:space="preserve"> </w:t>
      </w:r>
      <w:r w:rsidR="00CB511E" w:rsidRPr="002961BC">
        <w:rPr>
          <w:lang w:val="fr-FR"/>
        </w:rPr>
        <w:t>relatif</w:t>
      </w:r>
      <w:r w:rsidR="00282618" w:rsidRPr="002961BC">
        <w:rPr>
          <w:lang w:val="fr-FR"/>
        </w:rPr>
        <w:t xml:space="preserve"> au</w:t>
      </w:r>
      <w:r w:rsidRPr="002961BC">
        <w:rPr>
          <w:lang w:val="fr-FR"/>
        </w:rPr>
        <w:t xml:space="preserve"> nombre de demandes par déposant et par année influence le volume</w:t>
      </w:r>
      <w:r w:rsidR="00FB6F91">
        <w:rPr>
          <w:lang w:val="fr-FR"/>
        </w:rPr>
        <w:t xml:space="preserve"> de demandes</w:t>
      </w:r>
      <w:r w:rsidRPr="002961BC">
        <w:rPr>
          <w:lang w:val="fr-FR"/>
        </w:rPr>
        <w:t xml:space="preserve"> et les effets </w:t>
      </w:r>
      <w:r w:rsidR="00282618" w:rsidRPr="002961BC">
        <w:rPr>
          <w:lang w:val="fr-FR"/>
        </w:rPr>
        <w:t>sur les recettes</w:t>
      </w:r>
      <w:r w:rsidRPr="002961BC">
        <w:rPr>
          <w:lang w:val="fr-FR"/>
        </w:rPr>
        <w:t xml:space="preserve"> associés à des réductions hypothétiques des taxes, il est utile</w:t>
      </w:r>
      <w:r w:rsidR="00290A7D" w:rsidRPr="002961BC">
        <w:rPr>
          <w:lang w:val="fr-FR"/>
        </w:rPr>
        <w:t>,</w:t>
      </w:r>
      <w:r w:rsidRPr="002961BC">
        <w:rPr>
          <w:lang w:val="fr-FR"/>
        </w:rPr>
        <w:t xml:space="preserve"> dans un premier temps</w:t>
      </w:r>
      <w:r w:rsidR="00290A7D" w:rsidRPr="002961BC">
        <w:rPr>
          <w:lang w:val="fr-FR"/>
        </w:rPr>
        <w:t>,</w:t>
      </w:r>
      <w:r w:rsidRPr="002961BC">
        <w:rPr>
          <w:lang w:val="fr-FR"/>
        </w:rPr>
        <w:t xml:space="preserve"> d</w:t>
      </w:r>
      <w:r w:rsidR="00242126">
        <w:rPr>
          <w:lang w:val="fr-FR"/>
        </w:rPr>
        <w:t>’</w:t>
      </w:r>
      <w:r w:rsidRPr="002961BC">
        <w:rPr>
          <w:lang w:val="fr-FR"/>
        </w:rPr>
        <w:t>examiner la répartition des demandes selon</w:t>
      </w:r>
      <w:r w:rsidR="00242126" w:rsidRPr="00242126">
        <w:rPr>
          <w:lang w:val="fr-FR"/>
        </w:rPr>
        <w:t xml:space="preserve"> le PCT</w:t>
      </w:r>
      <w:r w:rsidRPr="002961BC">
        <w:rPr>
          <w:lang w:val="fr-FR"/>
        </w:rPr>
        <w:t xml:space="preserve"> </w:t>
      </w:r>
      <w:r w:rsidR="00CB511E" w:rsidRPr="002961BC">
        <w:rPr>
          <w:lang w:val="fr-FR"/>
        </w:rPr>
        <w:t xml:space="preserve">pour </w:t>
      </w:r>
      <w:r w:rsidR="00290A7D" w:rsidRPr="002961BC">
        <w:rPr>
          <w:lang w:val="fr-FR"/>
        </w:rPr>
        <w:t>l</w:t>
      </w:r>
      <w:r w:rsidR="00242126">
        <w:rPr>
          <w:lang w:val="fr-FR"/>
        </w:rPr>
        <w:t>’</w:t>
      </w:r>
      <w:r w:rsidR="00290A7D" w:rsidRPr="002961BC">
        <w:rPr>
          <w:lang w:val="fr-FR"/>
        </w:rPr>
        <w:t xml:space="preserve">ensemble </w:t>
      </w:r>
      <w:r w:rsidRPr="002961BC">
        <w:rPr>
          <w:lang w:val="fr-FR"/>
        </w:rPr>
        <w:t xml:space="preserve">des déposants </w:t>
      </w:r>
      <w:r w:rsidR="00290A7D" w:rsidRPr="002961BC">
        <w:rPr>
          <w:lang w:val="fr-FR"/>
        </w:rPr>
        <w:t xml:space="preserve">de demandes </w:t>
      </w:r>
      <w:r w:rsidRPr="002961BC">
        <w:rPr>
          <w:lang w:val="fr-FR"/>
        </w:rPr>
        <w:t>selon</w:t>
      </w:r>
      <w:r w:rsidR="00242126" w:rsidRPr="00242126">
        <w:rPr>
          <w:lang w:val="fr-FR"/>
        </w:rPr>
        <w:t xml:space="preserve"> le </w:t>
      </w:r>
      <w:r w:rsidR="005D014A" w:rsidRPr="00242126">
        <w:rPr>
          <w:lang w:val="fr-FR"/>
        </w:rPr>
        <w:t>PCT</w:t>
      </w:r>
      <w:r w:rsidR="005D014A">
        <w:rPr>
          <w:lang w:val="fr-FR"/>
        </w:rPr>
        <w:t xml:space="preserve">.  </w:t>
      </w:r>
      <w:r w:rsidR="005D014A" w:rsidRPr="002961BC">
        <w:rPr>
          <w:lang w:val="fr-FR"/>
        </w:rPr>
        <w:t>Le</w:t>
      </w:r>
      <w:r w:rsidRPr="002961BC">
        <w:rPr>
          <w:lang w:val="fr-FR"/>
        </w:rPr>
        <w:t xml:space="preserve"> tableau</w:t>
      </w:r>
      <w:r w:rsidR="00FE6238">
        <w:rPr>
          <w:lang w:val="fr-FR"/>
        </w:rPr>
        <w:t> </w:t>
      </w:r>
      <w:r w:rsidRPr="002961BC">
        <w:rPr>
          <w:lang w:val="fr-FR"/>
        </w:rPr>
        <w:t xml:space="preserve">1a présente cette répartition pour les </w:t>
      </w:r>
      <w:r w:rsidR="00DC3660" w:rsidRPr="002961BC">
        <w:rPr>
          <w:lang w:val="fr-FR"/>
        </w:rPr>
        <w:t xml:space="preserve">universités </w:t>
      </w:r>
      <w:r w:rsidR="00290A7D" w:rsidRPr="002961BC">
        <w:rPr>
          <w:lang w:val="fr-FR"/>
        </w:rPr>
        <w:t>de pays développés qui utilise</w:t>
      </w:r>
      <w:r w:rsidR="00DC3660" w:rsidRPr="002961BC">
        <w:rPr>
          <w:lang w:val="fr-FR"/>
        </w:rPr>
        <w:t>nt le système</w:t>
      </w:r>
      <w:r w:rsidR="00242126" w:rsidRPr="00242126">
        <w:rPr>
          <w:lang w:val="fr-FR"/>
        </w:rPr>
        <w:t xml:space="preserve"> du PCT</w:t>
      </w:r>
      <w:r w:rsidR="00DC3660" w:rsidRPr="002961BC">
        <w:rPr>
          <w:lang w:val="fr-FR"/>
        </w:rPr>
        <w:t xml:space="preserve"> </w:t>
      </w:r>
      <w:r w:rsidRPr="002961BC">
        <w:rPr>
          <w:lang w:val="fr-FR"/>
        </w:rPr>
        <w:t>et le tableau</w:t>
      </w:r>
      <w:r w:rsidR="00FE6238">
        <w:rPr>
          <w:lang w:val="fr-FR"/>
        </w:rPr>
        <w:t> </w:t>
      </w:r>
      <w:r w:rsidRPr="002961BC">
        <w:rPr>
          <w:lang w:val="fr-FR"/>
        </w:rPr>
        <w:t xml:space="preserve">1b pour les </w:t>
      </w:r>
      <w:r w:rsidR="00DC3660" w:rsidRPr="002961BC">
        <w:rPr>
          <w:lang w:val="fr-FR"/>
        </w:rPr>
        <w:t xml:space="preserve">universités </w:t>
      </w:r>
      <w:r w:rsidR="00290A7D" w:rsidRPr="002961BC">
        <w:rPr>
          <w:lang w:val="fr-FR"/>
        </w:rPr>
        <w:t>de pays en développement qui utilise</w:t>
      </w:r>
      <w:r w:rsidR="0064504A" w:rsidRPr="002961BC">
        <w:rPr>
          <w:lang w:val="fr-FR"/>
        </w:rPr>
        <w:t>nt le système</w:t>
      </w:r>
      <w:r w:rsidR="00242126" w:rsidRPr="00242126">
        <w:rPr>
          <w:lang w:val="fr-FR"/>
        </w:rPr>
        <w:t xml:space="preserve"> du PCT</w:t>
      </w:r>
      <w:r w:rsidR="004B08C2" w:rsidRPr="002961BC">
        <w:rPr>
          <w:rStyle w:val="FootnoteReference"/>
          <w:lang w:val="fr-FR"/>
        </w:rPr>
        <w:footnoteReference w:id="3"/>
      </w:r>
      <w:r w:rsidR="004B08C2" w:rsidRPr="002961BC">
        <w:rPr>
          <w:lang w:val="fr-FR"/>
        </w:rPr>
        <w:t>.</w:t>
      </w:r>
    </w:p>
    <w:p w:rsidR="001F55A6" w:rsidRPr="002961BC" w:rsidRDefault="00CB511E" w:rsidP="00D4306D">
      <w:pPr>
        <w:pStyle w:val="ONUMFS"/>
        <w:rPr>
          <w:lang w:val="fr-FR"/>
        </w:rPr>
      </w:pPr>
      <w:r w:rsidRPr="002961BC">
        <w:rPr>
          <w:lang w:val="fr-FR"/>
        </w:rPr>
        <w:lastRenderedPageBreak/>
        <w:t>Dans</w:t>
      </w:r>
      <w:r w:rsidR="006A7035" w:rsidRPr="002961BC">
        <w:rPr>
          <w:lang w:val="fr-FR"/>
        </w:rPr>
        <w:t xml:space="preserve"> les pays développés, environ 64% des universités utilisant le système</w:t>
      </w:r>
      <w:r w:rsidR="00242126" w:rsidRPr="00242126">
        <w:rPr>
          <w:lang w:val="fr-FR"/>
        </w:rPr>
        <w:t xml:space="preserve"> du PCT</w:t>
      </w:r>
      <w:r w:rsidR="006A7035" w:rsidRPr="002961BC">
        <w:rPr>
          <w:lang w:val="fr-FR"/>
        </w:rPr>
        <w:t xml:space="preserve"> dépose</w:t>
      </w:r>
      <w:r w:rsidR="00290A7D" w:rsidRPr="002961BC">
        <w:rPr>
          <w:lang w:val="fr-FR"/>
        </w:rPr>
        <w:t>nt</w:t>
      </w:r>
      <w:r w:rsidR="006A7035" w:rsidRPr="002961BC">
        <w:rPr>
          <w:lang w:val="fr-FR"/>
        </w:rPr>
        <w:t xml:space="preserve"> entre une et cinq</w:t>
      </w:r>
      <w:r w:rsidR="00FE6238">
        <w:rPr>
          <w:lang w:val="fr-FR"/>
        </w:rPr>
        <w:t> </w:t>
      </w:r>
      <w:r w:rsidR="006A7035" w:rsidRPr="002961BC">
        <w:rPr>
          <w:lang w:val="fr-FR"/>
        </w:rPr>
        <w:t>demandes par an</w:t>
      </w:r>
      <w:r w:rsidRPr="002961BC">
        <w:rPr>
          <w:lang w:val="fr-FR"/>
        </w:rPr>
        <w:t>, une</w:t>
      </w:r>
      <w:r w:rsidR="006A7035" w:rsidRPr="002961BC">
        <w:rPr>
          <w:lang w:val="fr-FR"/>
        </w:rPr>
        <w:t xml:space="preserve"> proportion </w:t>
      </w:r>
      <w:r w:rsidRPr="002961BC">
        <w:rPr>
          <w:lang w:val="fr-FR"/>
        </w:rPr>
        <w:t xml:space="preserve">qui </w:t>
      </w:r>
      <w:r w:rsidR="006A7035" w:rsidRPr="002961BC">
        <w:rPr>
          <w:lang w:val="fr-FR"/>
        </w:rPr>
        <w:t xml:space="preserve">est restée </w:t>
      </w:r>
      <w:r w:rsidR="00622B94" w:rsidRPr="002961BC">
        <w:rPr>
          <w:lang w:val="fr-FR"/>
        </w:rPr>
        <w:t>plutôt</w:t>
      </w:r>
      <w:r w:rsidR="006A7035" w:rsidRPr="002961BC">
        <w:rPr>
          <w:lang w:val="fr-FR"/>
        </w:rPr>
        <w:t xml:space="preserve"> stable </w:t>
      </w:r>
      <w:r w:rsidR="00242126" w:rsidRPr="002961BC">
        <w:rPr>
          <w:lang w:val="fr-FR"/>
        </w:rPr>
        <w:t>de</w:t>
      </w:r>
      <w:r w:rsidR="00242126">
        <w:rPr>
          <w:lang w:val="fr-FR"/>
        </w:rPr>
        <w:t> </w:t>
      </w:r>
      <w:r w:rsidR="00242126" w:rsidRPr="002961BC">
        <w:rPr>
          <w:lang w:val="fr-FR"/>
        </w:rPr>
        <w:t>2011</w:t>
      </w:r>
      <w:r w:rsidR="006A7035" w:rsidRPr="002961BC">
        <w:rPr>
          <w:lang w:val="fr-FR"/>
        </w:rPr>
        <w:t xml:space="preserve"> </w:t>
      </w:r>
      <w:r w:rsidRPr="002961BC">
        <w:rPr>
          <w:lang w:val="fr-FR"/>
        </w:rPr>
        <w:t>à</w:t>
      </w:r>
      <w:r w:rsidR="006A7035" w:rsidRPr="002961BC">
        <w:rPr>
          <w:lang w:val="fr-FR"/>
        </w:rPr>
        <w:t xml:space="preserve"> 2015.</w:t>
      </w:r>
      <w:r w:rsidR="00622B94" w:rsidRPr="002961BC">
        <w:rPr>
          <w:lang w:val="fr-FR"/>
        </w:rPr>
        <w:t xml:space="preserve">  La part des </w:t>
      </w:r>
      <w:r w:rsidR="00DC3660" w:rsidRPr="002961BC">
        <w:rPr>
          <w:lang w:val="fr-FR"/>
        </w:rPr>
        <w:t xml:space="preserve">universités </w:t>
      </w:r>
      <w:r w:rsidR="00290A7D" w:rsidRPr="002961BC">
        <w:rPr>
          <w:lang w:val="fr-FR"/>
        </w:rPr>
        <w:t>qui utilise</w:t>
      </w:r>
      <w:r w:rsidR="00DC3660" w:rsidRPr="002961BC">
        <w:rPr>
          <w:lang w:val="fr-FR"/>
        </w:rPr>
        <w:t>nt largement le système</w:t>
      </w:r>
      <w:r w:rsidR="00242126" w:rsidRPr="00242126">
        <w:rPr>
          <w:lang w:val="fr-FR"/>
        </w:rPr>
        <w:t xml:space="preserve"> du PCT</w:t>
      </w:r>
      <w:r w:rsidR="00622B94" w:rsidRPr="002961BC">
        <w:rPr>
          <w:lang w:val="fr-FR"/>
        </w:rPr>
        <w:t>, c</w:t>
      </w:r>
      <w:r w:rsidR="00242126">
        <w:rPr>
          <w:lang w:val="fr-FR"/>
        </w:rPr>
        <w:t>’</w:t>
      </w:r>
      <w:r w:rsidR="00622B94" w:rsidRPr="002961BC">
        <w:rPr>
          <w:lang w:val="fr-FR"/>
        </w:rPr>
        <w:t>est</w:t>
      </w:r>
      <w:r w:rsidR="00FB6F91">
        <w:rPr>
          <w:lang w:val="fr-FR"/>
        </w:rPr>
        <w:noBreakHyphen/>
      </w:r>
      <w:r w:rsidR="00622B94" w:rsidRPr="002961BC">
        <w:rPr>
          <w:lang w:val="fr-FR"/>
        </w:rPr>
        <w:t>à</w:t>
      </w:r>
      <w:r w:rsidR="00FB6F91">
        <w:rPr>
          <w:lang w:val="fr-FR"/>
        </w:rPr>
        <w:noBreakHyphen/>
      </w:r>
      <w:r w:rsidR="00622B94" w:rsidRPr="002961BC">
        <w:rPr>
          <w:lang w:val="fr-FR"/>
        </w:rPr>
        <w:t>dire qui déposent au moins 26</w:t>
      </w:r>
      <w:r w:rsidR="005D014A">
        <w:rPr>
          <w:lang w:val="fr-FR"/>
        </w:rPr>
        <w:t> </w:t>
      </w:r>
      <w:r w:rsidR="00622B94" w:rsidRPr="002961BC">
        <w:rPr>
          <w:lang w:val="fr-FR"/>
        </w:rPr>
        <w:t>demandes, s</w:t>
      </w:r>
      <w:r w:rsidR="00242126">
        <w:rPr>
          <w:lang w:val="fr-FR"/>
        </w:rPr>
        <w:t>’</w:t>
      </w:r>
      <w:r w:rsidR="00622B94" w:rsidRPr="002961BC">
        <w:rPr>
          <w:lang w:val="fr-FR"/>
        </w:rPr>
        <w:t xml:space="preserve">élève à environ 8% et </w:t>
      </w:r>
      <w:r w:rsidR="00290A7D" w:rsidRPr="002961BC">
        <w:rPr>
          <w:lang w:val="fr-FR"/>
        </w:rPr>
        <w:t xml:space="preserve">elle </w:t>
      </w:r>
      <w:r w:rsidR="004A45DB" w:rsidRPr="002961BC">
        <w:rPr>
          <w:lang w:val="fr-FR"/>
        </w:rPr>
        <w:t>aussi</w:t>
      </w:r>
      <w:r w:rsidR="00622B94" w:rsidRPr="002961BC">
        <w:rPr>
          <w:lang w:val="fr-FR"/>
        </w:rPr>
        <w:t xml:space="preserve"> </w:t>
      </w:r>
      <w:r w:rsidR="004A45DB" w:rsidRPr="002961BC">
        <w:rPr>
          <w:lang w:val="fr-FR"/>
        </w:rPr>
        <w:t xml:space="preserve">est </w:t>
      </w:r>
      <w:r w:rsidR="00622B94" w:rsidRPr="002961BC">
        <w:rPr>
          <w:lang w:val="fr-FR"/>
        </w:rPr>
        <w:t>restée stable.</w:t>
      </w:r>
    </w:p>
    <w:p w:rsidR="001F55A6" w:rsidRPr="002961BC" w:rsidRDefault="004F49F0" w:rsidP="00D4306D">
      <w:pPr>
        <w:pStyle w:val="ONUMFS"/>
        <w:rPr>
          <w:lang w:val="fr-FR"/>
        </w:rPr>
      </w:pPr>
      <w:r w:rsidRPr="002961BC">
        <w:rPr>
          <w:lang w:val="fr-FR"/>
        </w:rPr>
        <w:t xml:space="preserve">En revanche, environ 80% des universités </w:t>
      </w:r>
      <w:r w:rsidR="00290A7D" w:rsidRPr="002961BC">
        <w:rPr>
          <w:lang w:val="fr-FR"/>
        </w:rPr>
        <w:t>de</w:t>
      </w:r>
      <w:r w:rsidRPr="002961BC">
        <w:rPr>
          <w:lang w:val="fr-FR"/>
        </w:rPr>
        <w:t xml:space="preserve"> pays en développement </w:t>
      </w:r>
      <w:r w:rsidR="00290A7D" w:rsidRPr="002961BC">
        <w:rPr>
          <w:lang w:val="fr-FR"/>
        </w:rPr>
        <w:t>qui utilisent</w:t>
      </w:r>
      <w:r w:rsidR="00242126" w:rsidRPr="00242126">
        <w:rPr>
          <w:lang w:val="fr-FR"/>
        </w:rPr>
        <w:t xml:space="preserve"> le PCT</w:t>
      </w:r>
      <w:r w:rsidR="00290A7D" w:rsidRPr="002961BC">
        <w:rPr>
          <w:lang w:val="fr-FR"/>
        </w:rPr>
        <w:t xml:space="preserve"> </w:t>
      </w:r>
      <w:r w:rsidRPr="002961BC">
        <w:rPr>
          <w:lang w:val="fr-FR"/>
        </w:rPr>
        <w:t>dépose</w:t>
      </w:r>
      <w:r w:rsidR="00290A7D" w:rsidRPr="002961BC">
        <w:rPr>
          <w:lang w:val="fr-FR"/>
        </w:rPr>
        <w:t>nt</w:t>
      </w:r>
      <w:r w:rsidRPr="002961BC">
        <w:rPr>
          <w:lang w:val="fr-FR"/>
        </w:rPr>
        <w:t xml:space="preserve"> entre une et cinq</w:t>
      </w:r>
      <w:r w:rsidR="00FE6238">
        <w:rPr>
          <w:lang w:val="fr-FR"/>
        </w:rPr>
        <w:t> </w:t>
      </w:r>
      <w:r w:rsidRPr="002961BC">
        <w:rPr>
          <w:lang w:val="fr-FR"/>
        </w:rPr>
        <w:t xml:space="preserve">demandes par an </w:t>
      </w:r>
      <w:r w:rsidR="00CB511E" w:rsidRPr="002961BC">
        <w:rPr>
          <w:lang w:val="fr-FR"/>
        </w:rPr>
        <w:t>mais</w:t>
      </w:r>
      <w:r w:rsidRPr="002961BC">
        <w:rPr>
          <w:lang w:val="fr-FR"/>
        </w:rPr>
        <w:t xml:space="preserve"> cette proportion </w:t>
      </w:r>
      <w:r w:rsidR="00CB511E" w:rsidRPr="002961BC">
        <w:rPr>
          <w:lang w:val="fr-FR"/>
        </w:rPr>
        <w:t>est</w:t>
      </w:r>
      <w:r w:rsidRPr="002961BC">
        <w:rPr>
          <w:lang w:val="fr-FR"/>
        </w:rPr>
        <w:t xml:space="preserve"> </w:t>
      </w:r>
      <w:r w:rsidR="00290A7D" w:rsidRPr="002961BC">
        <w:rPr>
          <w:lang w:val="fr-FR"/>
        </w:rPr>
        <w:t>passée</w:t>
      </w:r>
      <w:r w:rsidR="00CB511E" w:rsidRPr="002961BC">
        <w:rPr>
          <w:lang w:val="fr-FR"/>
        </w:rPr>
        <w:t xml:space="preserve"> de 84% </w:t>
      </w:r>
      <w:r w:rsidR="00242126" w:rsidRPr="002961BC">
        <w:rPr>
          <w:lang w:val="fr-FR"/>
        </w:rPr>
        <w:t>en</w:t>
      </w:r>
      <w:r w:rsidR="00242126">
        <w:rPr>
          <w:lang w:val="fr-FR"/>
        </w:rPr>
        <w:t> </w:t>
      </w:r>
      <w:r w:rsidR="00242126" w:rsidRPr="002961BC">
        <w:rPr>
          <w:lang w:val="fr-FR"/>
        </w:rPr>
        <w:t>2011</w:t>
      </w:r>
      <w:r w:rsidR="0046600D">
        <w:rPr>
          <w:lang w:val="fr-FR"/>
        </w:rPr>
        <w:t xml:space="preserve"> à </w:t>
      </w:r>
      <w:r w:rsidR="00CB511E" w:rsidRPr="002961BC">
        <w:rPr>
          <w:lang w:val="fr-FR"/>
        </w:rPr>
        <w:t>71</w:t>
      </w:r>
      <w:r w:rsidRPr="002961BC">
        <w:rPr>
          <w:lang w:val="fr-FR"/>
        </w:rPr>
        <w:t xml:space="preserve">% </w:t>
      </w:r>
      <w:r w:rsidR="005D014A">
        <w:rPr>
          <w:lang w:val="fr-FR"/>
        </w:rPr>
        <w:t>en </w:t>
      </w:r>
      <w:r w:rsidRPr="002961BC">
        <w:rPr>
          <w:lang w:val="fr-FR"/>
        </w:rPr>
        <w:t xml:space="preserve">2015.  Les </w:t>
      </w:r>
      <w:r w:rsidR="00DC3660" w:rsidRPr="002961BC">
        <w:rPr>
          <w:lang w:val="fr-FR"/>
        </w:rPr>
        <w:t xml:space="preserve">universités </w:t>
      </w:r>
      <w:r w:rsidR="00290A7D" w:rsidRPr="002961BC">
        <w:rPr>
          <w:lang w:val="fr-FR"/>
        </w:rPr>
        <w:t>qui utilise</w:t>
      </w:r>
      <w:r w:rsidR="00DC3660" w:rsidRPr="002961BC">
        <w:rPr>
          <w:lang w:val="fr-FR"/>
        </w:rPr>
        <w:t>nt largement le système</w:t>
      </w:r>
      <w:r w:rsidR="00242126" w:rsidRPr="00242126">
        <w:rPr>
          <w:lang w:val="fr-FR"/>
        </w:rPr>
        <w:t xml:space="preserve"> du PCT</w:t>
      </w:r>
      <w:r w:rsidR="00DC3660" w:rsidRPr="002961BC">
        <w:rPr>
          <w:lang w:val="fr-FR"/>
        </w:rPr>
        <w:t xml:space="preserve"> </w:t>
      </w:r>
      <w:r w:rsidRPr="002961BC">
        <w:rPr>
          <w:lang w:val="fr-FR"/>
        </w:rPr>
        <w:t xml:space="preserve">ne représentent que 3% de </w:t>
      </w:r>
      <w:r w:rsidR="00CB511E" w:rsidRPr="002961BC">
        <w:rPr>
          <w:lang w:val="fr-FR"/>
        </w:rPr>
        <w:t>l</w:t>
      </w:r>
      <w:r w:rsidR="00242126">
        <w:rPr>
          <w:lang w:val="fr-FR"/>
        </w:rPr>
        <w:t>’</w:t>
      </w:r>
      <w:r w:rsidR="00CB511E" w:rsidRPr="002961BC">
        <w:rPr>
          <w:lang w:val="fr-FR"/>
        </w:rPr>
        <w:t xml:space="preserve">ensemble </w:t>
      </w:r>
      <w:r w:rsidRPr="002961BC">
        <w:rPr>
          <w:lang w:val="fr-FR"/>
        </w:rPr>
        <w:t xml:space="preserve">des universités </w:t>
      </w:r>
      <w:r w:rsidR="00290A7D" w:rsidRPr="002961BC">
        <w:rPr>
          <w:lang w:val="fr-FR"/>
        </w:rPr>
        <w:t xml:space="preserve">de </w:t>
      </w:r>
      <w:r w:rsidRPr="002961BC">
        <w:rPr>
          <w:lang w:val="fr-FR"/>
        </w:rPr>
        <w:t>pays en développement</w:t>
      </w:r>
      <w:r w:rsidR="00290A7D" w:rsidRPr="002961BC">
        <w:rPr>
          <w:lang w:val="fr-FR"/>
        </w:rPr>
        <w:t xml:space="preserve"> qui utilisent le système</w:t>
      </w:r>
      <w:r w:rsidR="00242126" w:rsidRPr="00242126">
        <w:rPr>
          <w:lang w:val="fr-FR"/>
        </w:rPr>
        <w:t xml:space="preserve"> du PCT</w:t>
      </w:r>
      <w:r w:rsidRPr="002961BC">
        <w:rPr>
          <w:lang w:val="fr-FR"/>
        </w:rPr>
        <w:t xml:space="preserve">, bien que cette part </w:t>
      </w:r>
      <w:r w:rsidR="004A45DB" w:rsidRPr="002961BC">
        <w:rPr>
          <w:lang w:val="fr-FR"/>
        </w:rPr>
        <w:t>soit passée</w:t>
      </w:r>
      <w:r w:rsidRPr="002961BC">
        <w:rPr>
          <w:lang w:val="fr-FR"/>
        </w:rPr>
        <w:t xml:space="preserve"> de 2% </w:t>
      </w:r>
      <w:r w:rsidR="00242126" w:rsidRPr="002961BC">
        <w:rPr>
          <w:lang w:val="fr-FR"/>
        </w:rPr>
        <w:t>en</w:t>
      </w:r>
      <w:r w:rsidR="00242126">
        <w:rPr>
          <w:lang w:val="fr-FR"/>
        </w:rPr>
        <w:t> </w:t>
      </w:r>
      <w:r w:rsidR="00242126" w:rsidRPr="002961BC">
        <w:rPr>
          <w:lang w:val="fr-FR"/>
        </w:rPr>
        <w:t>2011</w:t>
      </w:r>
      <w:r w:rsidR="0046600D">
        <w:rPr>
          <w:lang w:val="fr-FR"/>
        </w:rPr>
        <w:t xml:space="preserve"> à </w:t>
      </w:r>
      <w:r w:rsidRPr="002961BC">
        <w:rPr>
          <w:lang w:val="fr-FR"/>
        </w:rPr>
        <w:t xml:space="preserve">5% </w:t>
      </w:r>
      <w:r w:rsidR="00242126" w:rsidRPr="002961BC">
        <w:rPr>
          <w:lang w:val="fr-FR"/>
        </w:rPr>
        <w:t>en</w:t>
      </w:r>
      <w:r w:rsidR="00242126">
        <w:rPr>
          <w:lang w:val="fr-FR"/>
        </w:rPr>
        <w:t> </w:t>
      </w:r>
      <w:r w:rsidR="00242126" w:rsidRPr="002961BC">
        <w:rPr>
          <w:lang w:val="fr-FR"/>
        </w:rPr>
        <w:t>2015</w:t>
      </w:r>
      <w:r w:rsidRPr="002961BC">
        <w:rPr>
          <w:lang w:val="fr-FR"/>
        </w:rPr>
        <w:t>.</w:t>
      </w:r>
    </w:p>
    <w:p w:rsidR="001F55A6" w:rsidRPr="002961BC" w:rsidRDefault="004A45DB" w:rsidP="00D4306D">
      <w:pPr>
        <w:pStyle w:val="ONUMFS"/>
        <w:rPr>
          <w:lang w:val="fr-FR"/>
        </w:rPr>
      </w:pPr>
      <w:r w:rsidRPr="002961BC">
        <w:rPr>
          <w:lang w:val="fr-FR"/>
        </w:rPr>
        <w:t>Il n</w:t>
      </w:r>
      <w:r w:rsidR="00242126">
        <w:rPr>
          <w:lang w:val="fr-FR"/>
        </w:rPr>
        <w:t>’</w:t>
      </w:r>
      <w:r w:rsidRPr="002961BC">
        <w:rPr>
          <w:lang w:val="fr-FR"/>
        </w:rPr>
        <w:t>est pas facile de s</w:t>
      </w:r>
      <w:r w:rsidR="003A7051" w:rsidRPr="002961BC">
        <w:rPr>
          <w:lang w:val="fr-FR"/>
        </w:rPr>
        <w:t>imuler l</w:t>
      </w:r>
      <w:r w:rsidR="00242126">
        <w:rPr>
          <w:lang w:val="fr-FR"/>
        </w:rPr>
        <w:t>’</w:t>
      </w:r>
      <w:r w:rsidR="003A7051" w:rsidRPr="002961BC">
        <w:rPr>
          <w:lang w:val="fr-FR"/>
        </w:rPr>
        <w:t>effet d</w:t>
      </w:r>
      <w:r w:rsidR="00242126">
        <w:rPr>
          <w:lang w:val="fr-FR"/>
        </w:rPr>
        <w:t>’</w:t>
      </w:r>
      <w:r w:rsidR="003A7051" w:rsidRPr="002961BC">
        <w:rPr>
          <w:lang w:val="fr-FR"/>
        </w:rPr>
        <w:t xml:space="preserve">une réduction hypothétique de taxe avec un plafond de demandes </w:t>
      </w:r>
      <w:r w:rsidR="002B329B" w:rsidRPr="002961BC">
        <w:rPr>
          <w:lang w:val="fr-FR"/>
        </w:rPr>
        <w:t>remplissant les conditions requises</w:t>
      </w:r>
      <w:r w:rsidR="003A7051" w:rsidRPr="002961BC">
        <w:rPr>
          <w:lang w:val="fr-FR"/>
        </w:rPr>
        <w:t xml:space="preserve"> par </w:t>
      </w:r>
      <w:r w:rsidR="005D014A" w:rsidRPr="002961BC">
        <w:rPr>
          <w:lang w:val="fr-FR"/>
        </w:rPr>
        <w:t>an</w:t>
      </w:r>
      <w:r w:rsidR="005D014A">
        <w:rPr>
          <w:lang w:val="fr-FR"/>
        </w:rPr>
        <w:t xml:space="preserve">.  </w:t>
      </w:r>
      <w:r w:rsidR="005D014A" w:rsidRPr="002961BC">
        <w:rPr>
          <w:lang w:val="fr-FR"/>
        </w:rPr>
        <w:t>Le</w:t>
      </w:r>
      <w:r w:rsidR="00CB511E" w:rsidRPr="002961BC">
        <w:rPr>
          <w:lang w:val="fr-FR"/>
        </w:rPr>
        <w:t>s estimations d</w:t>
      </w:r>
      <w:r w:rsidR="00242126">
        <w:rPr>
          <w:lang w:val="fr-FR"/>
        </w:rPr>
        <w:t>’</w:t>
      </w:r>
      <w:r w:rsidR="00373401" w:rsidRPr="002961BC">
        <w:rPr>
          <w:lang w:val="fr-FR"/>
        </w:rPr>
        <w:t xml:space="preserve">élasticité </w:t>
      </w:r>
      <w:r w:rsidR="00290A7D" w:rsidRPr="002961BC">
        <w:rPr>
          <w:lang w:val="fr-FR"/>
        </w:rPr>
        <w:t xml:space="preserve">par rapport au montant </w:t>
      </w:r>
      <w:r w:rsidR="00373401" w:rsidRPr="002961BC">
        <w:rPr>
          <w:lang w:val="fr-FR"/>
        </w:rPr>
        <w:t xml:space="preserve">de la taxe </w:t>
      </w:r>
      <w:r w:rsidRPr="002961BC">
        <w:rPr>
          <w:lang w:val="fr-FR"/>
        </w:rPr>
        <w:t>d</w:t>
      </w:r>
      <w:r w:rsidR="00FB6F91">
        <w:rPr>
          <w:lang w:val="fr-FR"/>
        </w:rPr>
        <w:t>ans</w:t>
      </w:r>
      <w:r w:rsidR="00373401" w:rsidRPr="002961BC">
        <w:rPr>
          <w:lang w:val="fr-FR"/>
        </w:rPr>
        <w:t xml:space="preserve"> la première étude supplémentaire s</w:t>
      </w:r>
      <w:r w:rsidR="00242126">
        <w:rPr>
          <w:lang w:val="fr-FR"/>
        </w:rPr>
        <w:t>’</w:t>
      </w:r>
      <w:r w:rsidR="00373401" w:rsidRPr="002961BC">
        <w:rPr>
          <w:lang w:val="fr-FR"/>
        </w:rPr>
        <w:t>appliquai</w:t>
      </w:r>
      <w:r w:rsidR="00CB511E" w:rsidRPr="002961BC">
        <w:rPr>
          <w:lang w:val="fr-FR"/>
        </w:rPr>
        <w:t>en</w:t>
      </w:r>
      <w:r w:rsidR="00373401" w:rsidRPr="002961BC">
        <w:rPr>
          <w:lang w:val="fr-FR"/>
        </w:rPr>
        <w:t>t à l</w:t>
      </w:r>
      <w:r w:rsidR="00242126">
        <w:rPr>
          <w:lang w:val="fr-FR"/>
        </w:rPr>
        <w:t>’</w:t>
      </w:r>
      <w:r w:rsidR="00373401" w:rsidRPr="002961BC">
        <w:rPr>
          <w:lang w:val="fr-FR"/>
        </w:rPr>
        <w:t xml:space="preserve">ensemble des </w:t>
      </w:r>
      <w:r w:rsidR="00DC3660" w:rsidRPr="002961BC">
        <w:rPr>
          <w:lang w:val="fr-FR"/>
        </w:rPr>
        <w:t>universités utilisant le système</w:t>
      </w:r>
      <w:r w:rsidR="00242126" w:rsidRPr="00242126">
        <w:rPr>
          <w:lang w:val="fr-FR"/>
        </w:rPr>
        <w:t xml:space="preserve"> du PCT</w:t>
      </w:r>
      <w:r w:rsidR="00DC3660" w:rsidRPr="002961BC">
        <w:rPr>
          <w:lang w:val="fr-FR"/>
        </w:rPr>
        <w:t xml:space="preserve"> </w:t>
      </w:r>
      <w:r w:rsidR="00373401" w:rsidRPr="002961BC">
        <w:rPr>
          <w:lang w:val="fr-FR"/>
        </w:rPr>
        <w:t>de</w:t>
      </w:r>
      <w:r w:rsidR="00CB511E" w:rsidRPr="002961BC">
        <w:rPr>
          <w:lang w:val="fr-FR"/>
        </w:rPr>
        <w:t>s</w:t>
      </w:r>
      <w:r w:rsidR="00373401" w:rsidRPr="002961BC">
        <w:rPr>
          <w:lang w:val="fr-FR"/>
        </w:rPr>
        <w:t xml:space="preserve"> deux</w:t>
      </w:r>
      <w:r w:rsidR="00FE6238">
        <w:rPr>
          <w:lang w:val="fr-FR"/>
        </w:rPr>
        <w:t> </w:t>
      </w:r>
      <w:r w:rsidR="00373401" w:rsidRPr="002961BC">
        <w:rPr>
          <w:lang w:val="fr-FR"/>
        </w:rPr>
        <w:t>groupes de pays, indépendamment du volume de demandes déposé</w:t>
      </w:r>
      <w:r w:rsidR="005D014A" w:rsidRPr="002961BC">
        <w:rPr>
          <w:lang w:val="fr-FR"/>
        </w:rPr>
        <w:t>es</w:t>
      </w:r>
      <w:r w:rsidR="005D014A">
        <w:rPr>
          <w:lang w:val="fr-FR"/>
        </w:rPr>
        <w:t xml:space="preserve">.  </w:t>
      </w:r>
      <w:r w:rsidR="005D014A" w:rsidRPr="002961BC">
        <w:rPr>
          <w:lang w:val="fr-FR"/>
        </w:rPr>
        <w:t>En</w:t>
      </w:r>
      <w:r w:rsidR="00373401" w:rsidRPr="002961BC">
        <w:rPr>
          <w:lang w:val="fr-FR"/>
        </w:rPr>
        <w:t xml:space="preserve"> pratique, les </w:t>
      </w:r>
      <w:r w:rsidR="00DC3660" w:rsidRPr="002961BC">
        <w:rPr>
          <w:lang w:val="fr-FR"/>
        </w:rPr>
        <w:t>universités qui utilisent largement ou peu le système</w:t>
      </w:r>
      <w:r w:rsidR="00242126" w:rsidRPr="00242126">
        <w:rPr>
          <w:lang w:val="fr-FR"/>
        </w:rPr>
        <w:t xml:space="preserve"> du PCT</w:t>
      </w:r>
      <w:r w:rsidR="00DC3660" w:rsidRPr="002961BC">
        <w:rPr>
          <w:lang w:val="fr-FR"/>
        </w:rPr>
        <w:t xml:space="preserve"> </w:t>
      </w:r>
      <w:r w:rsidR="00373401" w:rsidRPr="002961BC">
        <w:rPr>
          <w:lang w:val="fr-FR"/>
        </w:rPr>
        <w:t xml:space="preserve">et </w:t>
      </w:r>
      <w:r w:rsidR="00DC3660" w:rsidRPr="002961BC">
        <w:rPr>
          <w:lang w:val="fr-FR"/>
        </w:rPr>
        <w:t>celles</w:t>
      </w:r>
      <w:r w:rsidR="00373401" w:rsidRPr="002961BC">
        <w:rPr>
          <w:lang w:val="fr-FR"/>
        </w:rPr>
        <w:t xml:space="preserve"> qui n</w:t>
      </w:r>
      <w:r w:rsidR="00DC3660" w:rsidRPr="002961BC">
        <w:rPr>
          <w:lang w:val="fr-FR"/>
        </w:rPr>
        <w:t>e l</w:t>
      </w:r>
      <w:r w:rsidR="00242126">
        <w:rPr>
          <w:lang w:val="fr-FR"/>
        </w:rPr>
        <w:t>’</w:t>
      </w:r>
      <w:r w:rsidR="00373401" w:rsidRPr="002961BC">
        <w:rPr>
          <w:lang w:val="fr-FR"/>
        </w:rPr>
        <w:t xml:space="preserve">utilisent pas actuellement </w:t>
      </w:r>
      <w:r w:rsidR="00112C40" w:rsidRPr="002961BC">
        <w:rPr>
          <w:lang w:val="fr-FR"/>
        </w:rPr>
        <w:t>peuvent faire état d</w:t>
      </w:r>
      <w:r w:rsidR="00242126">
        <w:rPr>
          <w:lang w:val="fr-FR"/>
        </w:rPr>
        <w:t>’</w:t>
      </w:r>
      <w:r w:rsidR="00FB6F91">
        <w:rPr>
          <w:lang w:val="fr-FR"/>
        </w:rPr>
        <w:t xml:space="preserve">une </w:t>
      </w:r>
      <w:r w:rsidR="00373401" w:rsidRPr="002961BC">
        <w:rPr>
          <w:lang w:val="fr-FR"/>
        </w:rPr>
        <w:t xml:space="preserve">élasticité </w:t>
      </w:r>
      <w:r w:rsidR="00FB6F91">
        <w:rPr>
          <w:lang w:val="fr-FR"/>
        </w:rPr>
        <w:t>variable</w:t>
      </w:r>
      <w:r w:rsidR="00112C40" w:rsidRPr="002961BC">
        <w:rPr>
          <w:lang w:val="fr-FR"/>
        </w:rPr>
        <w:t xml:space="preserve"> par rapport </w:t>
      </w:r>
      <w:r w:rsidR="00373401" w:rsidRPr="002961BC">
        <w:rPr>
          <w:lang w:val="fr-FR"/>
        </w:rPr>
        <w:t>à la ta</w:t>
      </w:r>
      <w:r w:rsidR="005D014A" w:rsidRPr="002961BC">
        <w:rPr>
          <w:lang w:val="fr-FR"/>
        </w:rPr>
        <w:t>xe</w:t>
      </w:r>
      <w:r w:rsidR="005D014A">
        <w:rPr>
          <w:lang w:val="fr-FR"/>
        </w:rPr>
        <w:t xml:space="preserve">.  </w:t>
      </w:r>
      <w:r w:rsidR="005D014A" w:rsidRPr="002961BC">
        <w:rPr>
          <w:lang w:val="fr-FR"/>
        </w:rPr>
        <w:t>Da</w:t>
      </w:r>
      <w:r w:rsidR="001E4A84" w:rsidRPr="002961BC">
        <w:rPr>
          <w:lang w:val="fr-FR"/>
        </w:rPr>
        <w:t>ns la mesure où l</w:t>
      </w:r>
      <w:r w:rsidR="00242126">
        <w:rPr>
          <w:lang w:val="fr-FR"/>
        </w:rPr>
        <w:t>’</w:t>
      </w:r>
      <w:r w:rsidR="001E4A84" w:rsidRPr="002961BC">
        <w:rPr>
          <w:lang w:val="fr-FR"/>
        </w:rPr>
        <w:t>introduction d</w:t>
      </w:r>
      <w:r w:rsidR="00242126">
        <w:rPr>
          <w:lang w:val="fr-FR"/>
        </w:rPr>
        <w:t>’</w:t>
      </w:r>
      <w:r w:rsidR="001E4A84" w:rsidRPr="002961BC">
        <w:rPr>
          <w:lang w:val="fr-FR"/>
        </w:rPr>
        <w:t>un plafond impliquerait une réduction de taxe plus forte pour certaines universités que pour d</w:t>
      </w:r>
      <w:r w:rsidR="00242126">
        <w:rPr>
          <w:lang w:val="fr-FR"/>
        </w:rPr>
        <w:t>’</w:t>
      </w:r>
      <w:r w:rsidR="001E4A84" w:rsidRPr="002961BC">
        <w:rPr>
          <w:lang w:val="fr-FR"/>
        </w:rPr>
        <w:t xml:space="preserve">autres, cela pourrait </w:t>
      </w:r>
      <w:r w:rsidR="00CB511E" w:rsidRPr="002961BC">
        <w:rPr>
          <w:lang w:val="fr-FR"/>
        </w:rPr>
        <w:t>fausser</w:t>
      </w:r>
      <w:r w:rsidR="00112C40" w:rsidRPr="002961BC">
        <w:rPr>
          <w:lang w:val="fr-FR"/>
        </w:rPr>
        <w:t xml:space="preserve"> </w:t>
      </w:r>
      <w:r w:rsidR="001E4A84" w:rsidRPr="002961BC">
        <w:rPr>
          <w:lang w:val="fr-FR"/>
        </w:rPr>
        <w:t>l</w:t>
      </w:r>
      <w:r w:rsidR="00242126">
        <w:rPr>
          <w:lang w:val="fr-FR"/>
        </w:rPr>
        <w:t>’</w:t>
      </w:r>
      <w:r w:rsidR="001E4A84" w:rsidRPr="002961BC">
        <w:rPr>
          <w:lang w:val="fr-FR"/>
        </w:rPr>
        <w:t>analyse de la simulation</w:t>
      </w:r>
      <w:r w:rsidR="004B08C2" w:rsidRPr="002961BC">
        <w:rPr>
          <w:rStyle w:val="FootnoteReference"/>
          <w:lang w:val="fr-FR"/>
        </w:rPr>
        <w:footnoteReference w:id="4"/>
      </w:r>
      <w:r w:rsidR="004B08C2" w:rsidRPr="002961BC">
        <w:rPr>
          <w:lang w:val="fr-FR"/>
        </w:rPr>
        <w:t>.</w:t>
      </w:r>
    </w:p>
    <w:p w:rsidR="001F55A6" w:rsidRPr="002961BC" w:rsidRDefault="00C017BE" w:rsidP="00D4306D">
      <w:pPr>
        <w:pStyle w:val="ONUMFS"/>
        <w:rPr>
          <w:lang w:val="fr-FR"/>
        </w:rPr>
      </w:pPr>
      <w:r w:rsidRPr="002961BC">
        <w:rPr>
          <w:lang w:val="fr-FR"/>
        </w:rPr>
        <w:t>En l</w:t>
      </w:r>
      <w:r w:rsidR="00242126">
        <w:rPr>
          <w:lang w:val="fr-FR"/>
        </w:rPr>
        <w:t>’</w:t>
      </w:r>
      <w:r w:rsidRPr="002961BC">
        <w:rPr>
          <w:lang w:val="fr-FR"/>
        </w:rPr>
        <w:t>absence d</w:t>
      </w:r>
      <w:r w:rsidR="00242126">
        <w:rPr>
          <w:lang w:val="fr-FR"/>
        </w:rPr>
        <w:t>’</w:t>
      </w:r>
      <w:r w:rsidRPr="002961BC">
        <w:rPr>
          <w:lang w:val="fr-FR"/>
        </w:rPr>
        <w:t xml:space="preserve">une meilleure solution, le présent document contient une simulation de réduction hypothétique de la taxe avec </w:t>
      </w:r>
      <w:r w:rsidR="00112C40" w:rsidRPr="002961BC">
        <w:rPr>
          <w:lang w:val="fr-FR"/>
        </w:rPr>
        <w:t xml:space="preserve">un </w:t>
      </w:r>
      <w:r w:rsidRPr="002961BC">
        <w:rPr>
          <w:lang w:val="fr-FR"/>
        </w:rPr>
        <w:t>plafond</w:t>
      </w:r>
      <w:r w:rsidR="007B15DE" w:rsidRPr="002961BC">
        <w:rPr>
          <w:lang w:val="fr-FR"/>
        </w:rPr>
        <w:t>,</w:t>
      </w:r>
      <w:r w:rsidRPr="002961BC">
        <w:rPr>
          <w:lang w:val="fr-FR"/>
        </w:rPr>
        <w:t xml:space="preserve"> dans laquelle </w:t>
      </w:r>
      <w:r w:rsidR="00DB193F" w:rsidRPr="002961BC">
        <w:rPr>
          <w:lang w:val="fr-FR"/>
        </w:rPr>
        <w:t>la</w:t>
      </w:r>
      <w:r w:rsidRPr="002961BC">
        <w:rPr>
          <w:lang w:val="fr-FR"/>
        </w:rPr>
        <w:t xml:space="preserve"> réduction de la taxe est appliquée uniquement </w:t>
      </w:r>
      <w:r w:rsidR="00DB193F" w:rsidRPr="002961BC">
        <w:rPr>
          <w:lang w:val="fr-FR"/>
        </w:rPr>
        <w:t>aux</w:t>
      </w:r>
      <w:r w:rsidRPr="002961BC">
        <w:rPr>
          <w:lang w:val="fr-FR"/>
        </w:rPr>
        <w:t xml:space="preserve"> demandes </w:t>
      </w:r>
      <w:r w:rsidR="002B329B" w:rsidRPr="002961BC">
        <w:rPr>
          <w:lang w:val="fr-FR"/>
        </w:rPr>
        <w:t>remplissant les conditions requises</w:t>
      </w:r>
      <w:r w:rsidR="00FB6F91">
        <w:rPr>
          <w:lang w:val="fr-FR"/>
        </w:rPr>
        <w:t xml:space="preserve"> qui sont</w:t>
      </w:r>
      <w:r w:rsidR="00DB193F" w:rsidRPr="002961BC">
        <w:rPr>
          <w:lang w:val="fr-FR"/>
        </w:rPr>
        <w:t xml:space="preserve"> </w:t>
      </w:r>
      <w:r w:rsidR="007B15DE" w:rsidRPr="002961BC">
        <w:rPr>
          <w:lang w:val="fr-FR"/>
        </w:rPr>
        <w:t xml:space="preserve">déposées par </w:t>
      </w:r>
      <w:r w:rsidRPr="002961BC">
        <w:rPr>
          <w:lang w:val="fr-FR"/>
        </w:rPr>
        <w:t xml:space="preserve">des universités </w:t>
      </w:r>
      <w:r w:rsidR="00DB193F" w:rsidRPr="002961BC">
        <w:rPr>
          <w:lang w:val="fr-FR"/>
        </w:rPr>
        <w:t>jusqu</w:t>
      </w:r>
      <w:r w:rsidR="00242126">
        <w:rPr>
          <w:lang w:val="fr-FR"/>
        </w:rPr>
        <w:t>’</w:t>
      </w:r>
      <w:r w:rsidR="00DB193F" w:rsidRPr="002961BC">
        <w:rPr>
          <w:lang w:val="fr-FR"/>
        </w:rPr>
        <w:t>au</w:t>
      </w:r>
      <w:r w:rsidRPr="002961BC">
        <w:rPr>
          <w:lang w:val="fr-FR"/>
        </w:rPr>
        <w:t xml:space="preserve"> plafo</w:t>
      </w:r>
      <w:r w:rsidR="005D014A" w:rsidRPr="002961BC">
        <w:rPr>
          <w:lang w:val="fr-FR"/>
        </w:rPr>
        <w:t>nd</w:t>
      </w:r>
      <w:r w:rsidR="005D014A">
        <w:rPr>
          <w:lang w:val="fr-FR"/>
        </w:rPr>
        <w:t xml:space="preserve">.  </w:t>
      </w:r>
      <w:r w:rsidR="005D014A" w:rsidRPr="002961BC">
        <w:rPr>
          <w:lang w:val="fr-FR"/>
        </w:rPr>
        <w:t>Pa</w:t>
      </w:r>
      <w:r w:rsidR="00112C40" w:rsidRPr="002961BC">
        <w:rPr>
          <w:lang w:val="fr-FR"/>
        </w:rPr>
        <w:t xml:space="preserve">r </w:t>
      </w:r>
      <w:r w:rsidR="00D5108A" w:rsidRPr="002961BC">
        <w:rPr>
          <w:lang w:val="fr-FR"/>
        </w:rPr>
        <w:t xml:space="preserve">exemple, il y </w:t>
      </w:r>
      <w:r w:rsidR="005D014A">
        <w:rPr>
          <w:lang w:val="fr-FR"/>
        </w:rPr>
        <w:t>a e</w:t>
      </w:r>
      <w:r w:rsidR="00D5108A" w:rsidRPr="002961BC">
        <w:rPr>
          <w:lang w:val="fr-FR"/>
        </w:rPr>
        <w:t>u 1693</w:t>
      </w:r>
      <w:r w:rsidR="005D014A">
        <w:rPr>
          <w:lang w:val="fr-FR"/>
        </w:rPr>
        <w:t> </w:t>
      </w:r>
      <w:r w:rsidR="00D5108A" w:rsidRPr="002961BC">
        <w:rPr>
          <w:lang w:val="fr-FR"/>
        </w:rPr>
        <w:t>dépôts</w:t>
      </w:r>
      <w:r w:rsidR="00A752E1" w:rsidRPr="002961BC">
        <w:rPr>
          <w:lang w:val="fr-FR"/>
        </w:rPr>
        <w:t xml:space="preserve"> selon</w:t>
      </w:r>
      <w:r w:rsidR="00242126" w:rsidRPr="00242126">
        <w:rPr>
          <w:lang w:val="fr-FR"/>
        </w:rPr>
        <w:t xml:space="preserve"> le PCT</w:t>
      </w:r>
      <w:r w:rsidR="00A752E1" w:rsidRPr="002961BC">
        <w:rPr>
          <w:lang w:val="fr-FR"/>
        </w:rPr>
        <w:t xml:space="preserve"> émanant d</w:t>
      </w:r>
      <w:r w:rsidR="00242126">
        <w:rPr>
          <w:lang w:val="fr-FR"/>
        </w:rPr>
        <w:t>’</w:t>
      </w:r>
      <w:r w:rsidR="00A752E1" w:rsidRPr="002961BC">
        <w:rPr>
          <w:lang w:val="fr-FR"/>
        </w:rPr>
        <w:t xml:space="preserve">universités de pays en développement </w:t>
      </w:r>
      <w:r w:rsidR="00242126" w:rsidRPr="002961BC">
        <w:rPr>
          <w:lang w:val="fr-FR"/>
        </w:rPr>
        <w:t>en</w:t>
      </w:r>
      <w:r w:rsidR="00242126">
        <w:rPr>
          <w:lang w:val="fr-FR"/>
        </w:rPr>
        <w:t> </w:t>
      </w:r>
      <w:r w:rsidR="00242126" w:rsidRPr="002961BC">
        <w:rPr>
          <w:lang w:val="fr-FR"/>
        </w:rPr>
        <w:t>2015</w:t>
      </w:r>
      <w:r w:rsidR="00A752E1" w:rsidRPr="002961BC">
        <w:rPr>
          <w:lang w:val="fr-FR"/>
        </w:rPr>
        <w:t>.  Si une réduction de taxe avait été appliquée jusqu</w:t>
      </w:r>
      <w:r w:rsidR="00242126">
        <w:rPr>
          <w:lang w:val="fr-FR"/>
        </w:rPr>
        <w:t>’</w:t>
      </w:r>
      <w:r w:rsidR="00112C40" w:rsidRPr="002961BC">
        <w:rPr>
          <w:lang w:val="fr-FR"/>
        </w:rPr>
        <w:t>à cinq</w:t>
      </w:r>
      <w:r w:rsidR="00FE6238">
        <w:rPr>
          <w:lang w:val="fr-FR"/>
        </w:rPr>
        <w:t> </w:t>
      </w:r>
      <w:r w:rsidR="00112C40" w:rsidRPr="002961BC">
        <w:rPr>
          <w:lang w:val="fr-FR"/>
        </w:rPr>
        <w:t>demandes par université</w:t>
      </w:r>
      <w:r w:rsidR="00A752E1" w:rsidRPr="002961BC">
        <w:rPr>
          <w:lang w:val="fr-FR"/>
        </w:rPr>
        <w:t>, 698</w:t>
      </w:r>
      <w:r w:rsidR="005D014A">
        <w:rPr>
          <w:lang w:val="fr-FR"/>
        </w:rPr>
        <w:t> </w:t>
      </w:r>
      <w:r w:rsidR="00A752E1" w:rsidRPr="002961BC">
        <w:rPr>
          <w:lang w:val="fr-FR"/>
        </w:rPr>
        <w:t>demandes</w:t>
      </w:r>
      <w:r w:rsidR="00242126">
        <w:rPr>
          <w:lang w:val="fr-FR"/>
        </w:rPr>
        <w:t xml:space="preserve"> – </w:t>
      </w:r>
      <w:r w:rsidR="00A752E1" w:rsidRPr="002961BC">
        <w:rPr>
          <w:lang w:val="fr-FR"/>
        </w:rPr>
        <w:t>soit 41,2% du total</w:t>
      </w:r>
      <w:r w:rsidR="00242126">
        <w:rPr>
          <w:lang w:val="fr-FR"/>
        </w:rPr>
        <w:t xml:space="preserve"> – </w:t>
      </w:r>
      <w:r w:rsidR="00A752E1" w:rsidRPr="002961BC">
        <w:rPr>
          <w:lang w:val="fr-FR"/>
        </w:rPr>
        <w:t>auraient rempli les conditio</w:t>
      </w:r>
      <w:r w:rsidR="005D014A" w:rsidRPr="002961BC">
        <w:rPr>
          <w:lang w:val="fr-FR"/>
        </w:rPr>
        <w:t>ns</w:t>
      </w:r>
      <w:r w:rsidR="005D014A">
        <w:rPr>
          <w:lang w:val="fr-FR"/>
        </w:rPr>
        <w:t xml:space="preserve">.  </w:t>
      </w:r>
      <w:r w:rsidR="005D014A" w:rsidRPr="002961BC">
        <w:rPr>
          <w:lang w:val="fr-FR"/>
        </w:rPr>
        <w:t>En</w:t>
      </w:r>
      <w:r w:rsidR="004850B1" w:rsidRPr="002961BC">
        <w:rPr>
          <w:lang w:val="fr-FR"/>
        </w:rPr>
        <w:t xml:space="preserve"> utilisant l</w:t>
      </w:r>
      <w:r w:rsidR="00242126">
        <w:rPr>
          <w:lang w:val="fr-FR"/>
        </w:rPr>
        <w:t>’</w:t>
      </w:r>
      <w:r w:rsidR="004850B1" w:rsidRPr="002961BC">
        <w:rPr>
          <w:lang w:val="fr-FR"/>
        </w:rPr>
        <w:t>estimation de l</w:t>
      </w:r>
      <w:r w:rsidR="00242126">
        <w:rPr>
          <w:lang w:val="fr-FR"/>
        </w:rPr>
        <w:t>’</w:t>
      </w:r>
      <w:r w:rsidR="004850B1" w:rsidRPr="002961BC">
        <w:rPr>
          <w:lang w:val="fr-FR"/>
        </w:rPr>
        <w:t>élasticité établie à</w:t>
      </w:r>
      <w:r w:rsidR="003F0F8D" w:rsidRPr="002961BC">
        <w:rPr>
          <w:lang w:val="fr-FR"/>
        </w:rPr>
        <w:t xml:space="preserve"> </w:t>
      </w:r>
      <w:r w:rsidR="00FB6F91">
        <w:rPr>
          <w:lang w:val="fr-FR"/>
        </w:rPr>
        <w:noBreakHyphen/>
      </w:r>
      <w:r w:rsidR="003F0F8D" w:rsidRPr="002961BC">
        <w:rPr>
          <w:lang w:val="fr-FR"/>
        </w:rPr>
        <w:t>0</w:t>
      </w:r>
      <w:r w:rsidR="004850B1" w:rsidRPr="002961BC">
        <w:rPr>
          <w:lang w:val="fr-FR"/>
        </w:rPr>
        <w:t>,</w:t>
      </w:r>
      <w:r w:rsidR="003F0F8D" w:rsidRPr="002961BC">
        <w:rPr>
          <w:lang w:val="fr-FR"/>
        </w:rPr>
        <w:t xml:space="preserve">164 </w:t>
      </w:r>
      <w:r w:rsidR="004850B1" w:rsidRPr="002961BC">
        <w:rPr>
          <w:lang w:val="fr-FR"/>
        </w:rPr>
        <w:t>dans la première étude supplémentaire</w:t>
      </w:r>
      <w:r w:rsidR="003F0F8D" w:rsidRPr="002961BC">
        <w:rPr>
          <w:lang w:val="fr-FR"/>
        </w:rPr>
        <w:t xml:space="preserve"> (</w:t>
      </w:r>
      <w:r w:rsidR="004850B1" w:rsidRPr="002961BC">
        <w:rPr>
          <w:lang w:val="fr-FR"/>
        </w:rPr>
        <w:t>voir le tableau</w:t>
      </w:r>
      <w:r w:rsidR="003F0F8D" w:rsidRPr="002961BC">
        <w:rPr>
          <w:lang w:val="fr-FR"/>
        </w:rPr>
        <w:t xml:space="preserve"> 3 </w:t>
      </w:r>
      <w:r w:rsidR="004850B1" w:rsidRPr="002961BC">
        <w:rPr>
          <w:lang w:val="fr-FR"/>
        </w:rPr>
        <w:t>du</w:t>
      </w:r>
      <w:r w:rsidR="003F0F8D" w:rsidRPr="002961BC">
        <w:rPr>
          <w:lang w:val="fr-FR"/>
        </w:rPr>
        <w:t xml:space="preserve"> document PCT/WG/8/11), </w:t>
      </w:r>
      <w:r w:rsidR="00203980" w:rsidRPr="002961BC">
        <w:rPr>
          <w:lang w:val="fr-FR"/>
        </w:rPr>
        <w:t>une réduction de taxe de 25% aurait permis 29</w:t>
      </w:r>
      <w:r w:rsidR="005D014A">
        <w:rPr>
          <w:lang w:val="fr-FR"/>
        </w:rPr>
        <w:t> </w:t>
      </w:r>
      <w:r w:rsidR="00203980" w:rsidRPr="002961BC">
        <w:rPr>
          <w:lang w:val="fr-FR"/>
        </w:rPr>
        <w:t>dépôts supplémentair</w:t>
      </w:r>
      <w:r w:rsidR="005D014A" w:rsidRPr="002961BC">
        <w:rPr>
          <w:lang w:val="fr-FR"/>
        </w:rPr>
        <w:t>es</w:t>
      </w:r>
      <w:r w:rsidR="005D014A">
        <w:rPr>
          <w:lang w:val="fr-FR"/>
        </w:rPr>
        <w:t xml:space="preserve">.  </w:t>
      </w:r>
      <w:r w:rsidR="005D014A" w:rsidRPr="002961BC">
        <w:rPr>
          <w:lang w:val="fr-FR"/>
        </w:rPr>
        <w:t>Pa</w:t>
      </w:r>
      <w:r w:rsidR="00203980" w:rsidRPr="002961BC">
        <w:rPr>
          <w:lang w:val="fr-FR"/>
        </w:rPr>
        <w:t xml:space="preserve">r conséquent, avec une taxe de dépôt moyenne </w:t>
      </w:r>
      <w:r w:rsidR="00242126" w:rsidRPr="002961BC">
        <w:rPr>
          <w:lang w:val="fr-FR"/>
        </w:rPr>
        <w:t>de</w:t>
      </w:r>
      <w:r w:rsidR="00242126">
        <w:rPr>
          <w:lang w:val="fr-FR"/>
        </w:rPr>
        <w:t> </w:t>
      </w:r>
      <w:r w:rsidR="00242126" w:rsidRPr="002961BC">
        <w:rPr>
          <w:lang w:val="fr-FR"/>
        </w:rPr>
        <w:t>1150</w:t>
      </w:r>
      <w:r w:rsidR="00242126">
        <w:rPr>
          <w:lang w:val="fr-FR"/>
        </w:rPr>
        <w:t> </w:t>
      </w:r>
      <w:r w:rsidR="00242126" w:rsidRPr="002961BC">
        <w:rPr>
          <w:lang w:val="fr-FR"/>
        </w:rPr>
        <w:t>franc</w:t>
      </w:r>
      <w:r w:rsidR="00203980" w:rsidRPr="002961BC">
        <w:rPr>
          <w:lang w:val="fr-FR"/>
        </w:rPr>
        <w:t xml:space="preserve">s suisses </w:t>
      </w:r>
      <w:r w:rsidR="00242126" w:rsidRPr="002961BC">
        <w:rPr>
          <w:lang w:val="fr-FR"/>
        </w:rPr>
        <w:t>en</w:t>
      </w:r>
      <w:r w:rsidR="00242126">
        <w:rPr>
          <w:lang w:val="fr-FR"/>
        </w:rPr>
        <w:t> </w:t>
      </w:r>
      <w:r w:rsidR="00242126" w:rsidRPr="002961BC">
        <w:rPr>
          <w:lang w:val="fr-FR"/>
        </w:rPr>
        <w:t>2015</w:t>
      </w:r>
      <w:r w:rsidR="00203980" w:rsidRPr="002961BC">
        <w:rPr>
          <w:lang w:val="fr-FR"/>
        </w:rPr>
        <w:t xml:space="preserve">, les </w:t>
      </w:r>
      <w:r w:rsidR="00112C40" w:rsidRPr="002961BC">
        <w:rPr>
          <w:lang w:val="fr-FR"/>
        </w:rPr>
        <w:t>recette</w:t>
      </w:r>
      <w:r w:rsidR="00DB193F" w:rsidRPr="002961BC">
        <w:rPr>
          <w:lang w:val="fr-FR"/>
        </w:rPr>
        <w:t>s</w:t>
      </w:r>
      <w:r w:rsidR="00242126" w:rsidRPr="00242126">
        <w:rPr>
          <w:lang w:val="fr-FR"/>
        </w:rPr>
        <w:t xml:space="preserve"> du PCT</w:t>
      </w:r>
      <w:r w:rsidR="00203980" w:rsidRPr="002961BC">
        <w:rPr>
          <w:lang w:val="fr-FR"/>
        </w:rPr>
        <w:t xml:space="preserve"> </w:t>
      </w:r>
      <w:r w:rsidR="00FB6F91">
        <w:rPr>
          <w:lang w:val="fr-FR"/>
        </w:rPr>
        <w:t>au</w:t>
      </w:r>
      <w:r w:rsidR="004A45DB" w:rsidRPr="002961BC">
        <w:rPr>
          <w:lang w:val="fr-FR"/>
        </w:rPr>
        <w:t>raient</w:t>
      </w:r>
      <w:r w:rsidR="00FB6F91">
        <w:rPr>
          <w:lang w:val="fr-FR"/>
        </w:rPr>
        <w:t xml:space="preserve"> été moins</w:t>
      </w:r>
      <w:r w:rsidR="004A45DB" w:rsidRPr="002961BC">
        <w:rPr>
          <w:lang w:val="fr-FR"/>
        </w:rPr>
        <w:t xml:space="preserve"> élevées </w:t>
      </w:r>
      <w:r w:rsidR="00FB6F91">
        <w:rPr>
          <w:lang w:val="fr-FR"/>
        </w:rPr>
        <w:t>de</w:t>
      </w:r>
      <w:r w:rsidR="00203980" w:rsidRPr="002961BC">
        <w:rPr>
          <w:lang w:val="fr-FR"/>
        </w:rPr>
        <w:t xml:space="preserve"> </w:t>
      </w:r>
      <w:r w:rsidR="003F0F8D" w:rsidRPr="002961BC">
        <w:rPr>
          <w:lang w:val="fr-FR"/>
        </w:rPr>
        <w:t>200</w:t>
      </w:r>
      <w:r w:rsidR="00203980" w:rsidRPr="002961BC">
        <w:rPr>
          <w:lang w:val="fr-FR"/>
        </w:rPr>
        <w:t> </w:t>
      </w:r>
      <w:r w:rsidR="003F0F8D" w:rsidRPr="002961BC">
        <w:rPr>
          <w:lang w:val="fr-FR"/>
        </w:rPr>
        <w:t>57</w:t>
      </w:r>
      <w:r w:rsidR="00242126" w:rsidRPr="002961BC">
        <w:rPr>
          <w:lang w:val="fr-FR"/>
        </w:rPr>
        <w:t>9</w:t>
      </w:r>
      <w:r w:rsidR="00242126">
        <w:rPr>
          <w:lang w:val="fr-FR"/>
        </w:rPr>
        <w:t> </w:t>
      </w:r>
      <w:r w:rsidR="00242126" w:rsidRPr="002961BC">
        <w:rPr>
          <w:lang w:val="fr-FR"/>
        </w:rPr>
        <w:t>franc</w:t>
      </w:r>
      <w:r w:rsidR="00203980" w:rsidRPr="002961BC">
        <w:rPr>
          <w:lang w:val="fr-FR"/>
        </w:rPr>
        <w:t>s suisses</w:t>
      </w:r>
      <w:r w:rsidR="003F0F8D" w:rsidRPr="002961BC">
        <w:rPr>
          <w:lang w:val="fr-FR"/>
        </w:rPr>
        <w:t>.</w:t>
      </w:r>
    </w:p>
    <w:p w:rsidR="00242126" w:rsidRDefault="0066730D" w:rsidP="00D4306D">
      <w:pPr>
        <w:pStyle w:val="ONUMFS"/>
        <w:rPr>
          <w:lang w:val="fr-FR"/>
        </w:rPr>
      </w:pPr>
      <w:r w:rsidRPr="002961BC">
        <w:rPr>
          <w:lang w:val="fr-FR"/>
        </w:rPr>
        <w:t>Les tableaux</w:t>
      </w:r>
      <w:r w:rsidR="003F0F8D" w:rsidRPr="002961BC">
        <w:rPr>
          <w:lang w:val="fr-FR"/>
        </w:rPr>
        <w:t xml:space="preserve"> 2a </w:t>
      </w:r>
      <w:r w:rsidRPr="002961BC">
        <w:rPr>
          <w:lang w:val="fr-FR"/>
        </w:rPr>
        <w:t>et</w:t>
      </w:r>
      <w:r w:rsidR="0046600D">
        <w:rPr>
          <w:lang w:val="fr-FR"/>
        </w:rPr>
        <w:t> </w:t>
      </w:r>
      <w:r w:rsidR="003F0F8D" w:rsidRPr="002961BC">
        <w:rPr>
          <w:lang w:val="fr-FR"/>
        </w:rPr>
        <w:t xml:space="preserve">2b </w:t>
      </w:r>
      <w:r w:rsidR="00DB193F" w:rsidRPr="002961BC">
        <w:rPr>
          <w:lang w:val="fr-FR"/>
        </w:rPr>
        <w:t>contiennent</w:t>
      </w:r>
      <w:r w:rsidR="0029336F" w:rsidRPr="002961BC">
        <w:rPr>
          <w:lang w:val="fr-FR"/>
        </w:rPr>
        <w:t xml:space="preserve"> les données de référence pour l</w:t>
      </w:r>
      <w:r w:rsidR="00242126">
        <w:rPr>
          <w:lang w:val="fr-FR"/>
        </w:rPr>
        <w:t>’</w:t>
      </w:r>
      <w:r w:rsidR="0029336F" w:rsidRPr="002961BC">
        <w:rPr>
          <w:lang w:val="fr-FR"/>
        </w:rPr>
        <w:t xml:space="preserve">analyse de </w:t>
      </w:r>
      <w:r w:rsidR="00112C40" w:rsidRPr="002961BC">
        <w:rPr>
          <w:lang w:val="fr-FR"/>
        </w:rPr>
        <w:t xml:space="preserve">la </w:t>
      </w:r>
      <w:r w:rsidR="0029336F" w:rsidRPr="002961BC">
        <w:rPr>
          <w:lang w:val="fr-FR"/>
        </w:rPr>
        <w:t xml:space="preserve">simulation, </w:t>
      </w:r>
      <w:r w:rsidR="004A45DB" w:rsidRPr="002961BC">
        <w:rPr>
          <w:lang w:val="fr-FR"/>
        </w:rPr>
        <w:t>c</w:t>
      </w:r>
      <w:r w:rsidR="00242126">
        <w:rPr>
          <w:lang w:val="fr-FR"/>
        </w:rPr>
        <w:t>’</w:t>
      </w:r>
      <w:r w:rsidR="004A45DB" w:rsidRPr="002961BC">
        <w:rPr>
          <w:lang w:val="fr-FR"/>
        </w:rPr>
        <w:t>est</w:t>
      </w:r>
      <w:r w:rsidR="00FB6F91">
        <w:rPr>
          <w:lang w:val="fr-FR"/>
        </w:rPr>
        <w:noBreakHyphen/>
      </w:r>
      <w:r w:rsidR="004A45DB" w:rsidRPr="002961BC">
        <w:rPr>
          <w:lang w:val="fr-FR"/>
        </w:rPr>
        <w:t>à</w:t>
      </w:r>
      <w:r w:rsidR="00FB6F91">
        <w:rPr>
          <w:lang w:val="fr-FR"/>
        </w:rPr>
        <w:noBreakHyphen/>
      </w:r>
      <w:r w:rsidR="004A45DB" w:rsidRPr="002961BC">
        <w:rPr>
          <w:lang w:val="fr-FR"/>
        </w:rPr>
        <w:t>dire</w:t>
      </w:r>
      <w:r w:rsidR="0029336F" w:rsidRPr="002961BC">
        <w:rPr>
          <w:lang w:val="fr-FR"/>
        </w:rPr>
        <w:t xml:space="preserve"> les chiffres réels des dépôts </w:t>
      </w:r>
      <w:r w:rsidR="00242126" w:rsidRPr="002961BC">
        <w:rPr>
          <w:lang w:val="fr-FR"/>
        </w:rPr>
        <w:t>de</w:t>
      </w:r>
      <w:r w:rsidR="00242126">
        <w:rPr>
          <w:lang w:val="fr-FR"/>
        </w:rPr>
        <w:t> </w:t>
      </w:r>
      <w:r w:rsidR="00242126" w:rsidRPr="002961BC">
        <w:rPr>
          <w:lang w:val="fr-FR"/>
        </w:rPr>
        <w:t>2011</w:t>
      </w:r>
      <w:r w:rsidR="0046600D">
        <w:rPr>
          <w:lang w:val="fr-FR"/>
        </w:rPr>
        <w:t xml:space="preserve"> à </w:t>
      </w:r>
      <w:r w:rsidR="0029336F" w:rsidRPr="002961BC">
        <w:rPr>
          <w:lang w:val="fr-FR"/>
        </w:rPr>
        <w:t xml:space="preserve">2015, les </w:t>
      </w:r>
      <w:r w:rsidR="00112C40" w:rsidRPr="002961BC">
        <w:rPr>
          <w:lang w:val="fr-FR"/>
        </w:rPr>
        <w:t>recettes</w:t>
      </w:r>
      <w:r w:rsidR="0029336F" w:rsidRPr="002961BC">
        <w:rPr>
          <w:lang w:val="fr-FR"/>
        </w:rPr>
        <w:t xml:space="preserve"> </w:t>
      </w:r>
      <w:r w:rsidR="00DB193F" w:rsidRPr="002961BC">
        <w:rPr>
          <w:lang w:val="fr-FR"/>
        </w:rPr>
        <w:t>provenant</w:t>
      </w:r>
      <w:r w:rsidR="0029336F" w:rsidRPr="002961BC">
        <w:rPr>
          <w:lang w:val="fr-FR"/>
        </w:rPr>
        <w:t xml:space="preserve"> de ces dépôts, le montant de la taxe moyenne </w:t>
      </w:r>
      <w:r w:rsidR="00DB193F" w:rsidRPr="002961BC">
        <w:rPr>
          <w:lang w:val="fr-FR"/>
        </w:rPr>
        <w:t>implicite, ainsi que</w:t>
      </w:r>
      <w:r w:rsidR="0029336F" w:rsidRPr="002961BC">
        <w:rPr>
          <w:lang w:val="fr-FR"/>
        </w:rPr>
        <w:t xml:space="preserve"> le nombre absolu</w:t>
      </w:r>
      <w:r w:rsidR="00DB193F" w:rsidRPr="002961BC">
        <w:rPr>
          <w:lang w:val="fr-FR"/>
        </w:rPr>
        <w:t xml:space="preserve"> et </w:t>
      </w:r>
      <w:r w:rsidR="0029336F" w:rsidRPr="002961BC">
        <w:rPr>
          <w:lang w:val="fr-FR"/>
        </w:rPr>
        <w:t xml:space="preserve">la part des demandes qui auraient </w:t>
      </w:r>
      <w:r w:rsidR="002B329B" w:rsidRPr="002961BC">
        <w:rPr>
          <w:lang w:val="fr-FR"/>
        </w:rPr>
        <w:t>rempli les conditions requises</w:t>
      </w:r>
      <w:r w:rsidR="00226A6B" w:rsidRPr="002961BC">
        <w:rPr>
          <w:lang w:val="fr-FR"/>
        </w:rPr>
        <w:t xml:space="preserve"> </w:t>
      </w:r>
      <w:r w:rsidR="004A45DB" w:rsidRPr="002961BC">
        <w:rPr>
          <w:lang w:val="fr-FR"/>
        </w:rPr>
        <w:t>selon</w:t>
      </w:r>
      <w:r w:rsidR="00226A6B" w:rsidRPr="002961BC">
        <w:rPr>
          <w:lang w:val="fr-FR"/>
        </w:rPr>
        <w:t xml:space="preserve"> différents plafonds</w:t>
      </w:r>
      <w:r w:rsidR="003F0F8D" w:rsidRPr="002961BC">
        <w:rPr>
          <w:rStyle w:val="FootnoteReference"/>
          <w:lang w:val="fr-FR"/>
        </w:rPr>
        <w:footnoteReference w:id="5"/>
      </w:r>
      <w:r w:rsidR="003F0F8D" w:rsidRPr="002961BC">
        <w:rPr>
          <w:lang w:val="fr-FR"/>
        </w:rPr>
        <w:t xml:space="preserve">.  </w:t>
      </w:r>
      <w:r w:rsidR="00FB6F91">
        <w:rPr>
          <w:lang w:val="fr-FR"/>
        </w:rPr>
        <w:t>Si l’on r</w:t>
      </w:r>
      <w:r w:rsidR="00D02A0E" w:rsidRPr="002961BC">
        <w:rPr>
          <w:lang w:val="fr-FR"/>
        </w:rPr>
        <w:t>epren</w:t>
      </w:r>
      <w:r w:rsidR="00FB6F91">
        <w:rPr>
          <w:lang w:val="fr-FR"/>
        </w:rPr>
        <w:t>d</w:t>
      </w:r>
      <w:r w:rsidR="00D02A0E" w:rsidRPr="002961BC">
        <w:rPr>
          <w:lang w:val="fr-FR"/>
        </w:rPr>
        <w:t xml:space="preserve"> les répartitions figurant dans les tableaux</w:t>
      </w:r>
      <w:r w:rsidR="003F0F8D" w:rsidRPr="002961BC">
        <w:rPr>
          <w:lang w:val="fr-FR"/>
        </w:rPr>
        <w:t xml:space="preserve"> 1a </w:t>
      </w:r>
      <w:r w:rsidR="00D02A0E" w:rsidRPr="002961BC">
        <w:rPr>
          <w:lang w:val="fr-FR"/>
        </w:rPr>
        <w:t>et</w:t>
      </w:r>
      <w:r w:rsidR="003F0F8D" w:rsidRPr="002961BC">
        <w:rPr>
          <w:lang w:val="fr-FR"/>
        </w:rPr>
        <w:t xml:space="preserve"> 1b, </w:t>
      </w:r>
      <w:r w:rsidR="00D02A0E" w:rsidRPr="002961BC">
        <w:rPr>
          <w:lang w:val="fr-FR"/>
        </w:rPr>
        <w:t>un pourcentage plus élevé de demandes d</w:t>
      </w:r>
      <w:r w:rsidR="00242126">
        <w:rPr>
          <w:lang w:val="fr-FR"/>
        </w:rPr>
        <w:t>’</w:t>
      </w:r>
      <w:r w:rsidR="00D02A0E" w:rsidRPr="002961BC">
        <w:rPr>
          <w:lang w:val="fr-FR"/>
        </w:rPr>
        <w:t>universités de pays en développement aurait rempli les conditions requises pour la réduction de taxe</w:t>
      </w:r>
      <w:r w:rsidR="00FB6F91" w:rsidRPr="00FB6F91">
        <w:rPr>
          <w:lang w:val="fr-FR"/>
        </w:rPr>
        <w:t xml:space="preserve"> </w:t>
      </w:r>
      <w:r w:rsidR="00FB6F91" w:rsidRPr="002961BC">
        <w:rPr>
          <w:lang w:val="fr-FR"/>
        </w:rPr>
        <w:t>quelle que soit la valeur du plafond</w:t>
      </w:r>
      <w:r w:rsidR="003F0F8D" w:rsidRPr="002961BC">
        <w:rPr>
          <w:lang w:val="fr-FR"/>
        </w:rPr>
        <w:t>.</w:t>
      </w:r>
    </w:p>
    <w:p w:rsidR="0046600D" w:rsidRDefault="0046600D">
      <w:pPr>
        <w:rPr>
          <w:lang w:val="fr-FR"/>
        </w:rPr>
      </w:pPr>
      <w:r>
        <w:rPr>
          <w:lang w:val="fr-FR"/>
        </w:rPr>
        <w:br w:type="page"/>
      </w:r>
    </w:p>
    <w:p w:rsidR="001F55A6" w:rsidRPr="002961BC" w:rsidRDefault="005213D6" w:rsidP="00D4306D">
      <w:pPr>
        <w:pStyle w:val="ONUMFS"/>
        <w:rPr>
          <w:lang w:val="fr-FR"/>
        </w:rPr>
      </w:pPr>
      <w:r w:rsidRPr="002961BC">
        <w:rPr>
          <w:lang w:val="fr-FR"/>
        </w:rPr>
        <w:lastRenderedPageBreak/>
        <w:t xml:space="preserve">Les figures 1a et 1b indiquent le nombre de dépôts additionnels selon </w:t>
      </w:r>
      <w:r w:rsidR="004A45DB" w:rsidRPr="002961BC">
        <w:rPr>
          <w:lang w:val="fr-FR"/>
        </w:rPr>
        <w:t>l</w:t>
      </w:r>
      <w:r w:rsidR="00242126">
        <w:rPr>
          <w:lang w:val="fr-FR"/>
        </w:rPr>
        <w:t>’</w:t>
      </w:r>
      <w:r w:rsidR="004A45DB" w:rsidRPr="002961BC">
        <w:rPr>
          <w:lang w:val="fr-FR"/>
        </w:rPr>
        <w:t>importance de la réduction de</w:t>
      </w:r>
      <w:r w:rsidRPr="002961BC">
        <w:rPr>
          <w:lang w:val="fr-FR"/>
        </w:rPr>
        <w:t xml:space="preserve"> taxe </w:t>
      </w:r>
      <w:r w:rsidR="004A45DB" w:rsidRPr="002961BC">
        <w:rPr>
          <w:lang w:val="fr-FR"/>
        </w:rPr>
        <w:t>avec</w:t>
      </w:r>
      <w:r w:rsidRPr="002961BC">
        <w:rPr>
          <w:lang w:val="fr-FR"/>
        </w:rPr>
        <w:t xml:space="preserve"> des plafonds de 5,</w:t>
      </w:r>
      <w:r w:rsidR="0049064B" w:rsidRPr="002961BC">
        <w:rPr>
          <w:lang w:val="fr-FR"/>
        </w:rPr>
        <w:t xml:space="preserve"> </w:t>
      </w:r>
      <w:r w:rsidRPr="002961BC">
        <w:rPr>
          <w:lang w:val="fr-FR"/>
        </w:rPr>
        <w:t>10, 20 et 30</w:t>
      </w:r>
      <w:r w:rsidR="005D014A">
        <w:rPr>
          <w:lang w:val="fr-FR"/>
        </w:rPr>
        <w:t> </w:t>
      </w:r>
      <w:r w:rsidRPr="002961BC">
        <w:rPr>
          <w:lang w:val="fr-FR"/>
        </w:rPr>
        <w:t>demand</w:t>
      </w:r>
      <w:r w:rsidR="005D014A" w:rsidRPr="002961BC">
        <w:rPr>
          <w:lang w:val="fr-FR"/>
        </w:rPr>
        <w:t>es</w:t>
      </w:r>
      <w:r w:rsidR="005D014A">
        <w:rPr>
          <w:lang w:val="fr-FR"/>
        </w:rPr>
        <w:t xml:space="preserve">.  </w:t>
      </w:r>
      <w:r w:rsidR="005D014A" w:rsidRPr="002961BC">
        <w:rPr>
          <w:lang w:val="fr-FR"/>
        </w:rPr>
        <w:t xml:space="preserve">À </w:t>
      </w:r>
      <w:r w:rsidRPr="002961BC">
        <w:rPr>
          <w:lang w:val="fr-FR"/>
        </w:rPr>
        <w:t>des fins de comparaison, les figures montrent également l</w:t>
      </w:r>
      <w:r w:rsidR="00242126">
        <w:rPr>
          <w:lang w:val="fr-FR"/>
        </w:rPr>
        <w:t>’</w:t>
      </w:r>
      <w:r w:rsidRPr="002961BC">
        <w:rPr>
          <w:lang w:val="fr-FR"/>
        </w:rPr>
        <w:t xml:space="preserve">effet sur les dépôts </w:t>
      </w:r>
      <w:r w:rsidR="00DB193F" w:rsidRPr="002961BC">
        <w:rPr>
          <w:lang w:val="fr-FR"/>
        </w:rPr>
        <w:t>en l</w:t>
      </w:r>
      <w:r w:rsidR="00242126">
        <w:rPr>
          <w:lang w:val="fr-FR"/>
        </w:rPr>
        <w:t>’</w:t>
      </w:r>
      <w:r w:rsidR="00DB193F" w:rsidRPr="002961BC">
        <w:rPr>
          <w:lang w:val="fr-FR"/>
        </w:rPr>
        <w:t>absence de tout</w:t>
      </w:r>
      <w:r w:rsidRPr="002961BC">
        <w:rPr>
          <w:lang w:val="fr-FR"/>
        </w:rPr>
        <w:t xml:space="preserve"> plafo</w:t>
      </w:r>
      <w:r w:rsidR="005D014A" w:rsidRPr="002961BC">
        <w:rPr>
          <w:lang w:val="fr-FR"/>
        </w:rPr>
        <w:t>nd</w:t>
      </w:r>
      <w:r w:rsidR="005D014A">
        <w:rPr>
          <w:lang w:val="fr-FR"/>
        </w:rPr>
        <w:t xml:space="preserve">.  </w:t>
      </w:r>
      <w:r w:rsidR="005D014A" w:rsidRPr="002961BC">
        <w:rPr>
          <w:lang w:val="fr-FR"/>
        </w:rPr>
        <w:t>Po</w:t>
      </w:r>
      <w:r w:rsidRPr="002961BC">
        <w:rPr>
          <w:lang w:val="fr-FR"/>
        </w:rPr>
        <w:t xml:space="preserve">ur une </w:t>
      </w:r>
      <w:r w:rsidR="00DB193F" w:rsidRPr="002961BC">
        <w:rPr>
          <w:lang w:val="fr-FR"/>
        </w:rPr>
        <w:t>meilleure efficacité</w:t>
      </w:r>
      <w:r w:rsidRPr="002961BC">
        <w:rPr>
          <w:lang w:val="fr-FR"/>
        </w:rPr>
        <w:t xml:space="preserve">, seuls les résultats en rapport avec la référence </w:t>
      </w:r>
      <w:r w:rsidR="00242126" w:rsidRPr="002961BC">
        <w:rPr>
          <w:lang w:val="fr-FR"/>
        </w:rPr>
        <w:t>de</w:t>
      </w:r>
      <w:r w:rsidR="00242126">
        <w:rPr>
          <w:lang w:val="fr-FR"/>
        </w:rPr>
        <w:t> </w:t>
      </w:r>
      <w:r w:rsidR="00242126" w:rsidRPr="002961BC">
        <w:rPr>
          <w:lang w:val="fr-FR"/>
        </w:rPr>
        <w:t>2015</w:t>
      </w:r>
      <w:r w:rsidRPr="002961BC">
        <w:rPr>
          <w:lang w:val="fr-FR"/>
        </w:rPr>
        <w:t xml:space="preserve"> sont </w:t>
      </w:r>
      <w:r w:rsidR="00DB193F" w:rsidRPr="002961BC">
        <w:rPr>
          <w:lang w:val="fr-FR"/>
        </w:rPr>
        <w:t>présent</w:t>
      </w:r>
      <w:r w:rsidR="005D014A" w:rsidRPr="002961BC">
        <w:rPr>
          <w:lang w:val="fr-FR"/>
        </w:rPr>
        <w:t>és</w:t>
      </w:r>
      <w:r w:rsidR="005D014A">
        <w:rPr>
          <w:lang w:val="fr-FR"/>
        </w:rPr>
        <w:t xml:space="preserve">.  </w:t>
      </w:r>
      <w:r w:rsidR="005D014A" w:rsidRPr="002961BC">
        <w:rPr>
          <w:lang w:val="fr-FR"/>
        </w:rPr>
        <w:t>En</w:t>
      </w:r>
      <w:r w:rsidRPr="002961BC">
        <w:rPr>
          <w:lang w:val="fr-FR"/>
        </w:rPr>
        <w:t xml:space="preserve"> outre, si du point de vue mathématique il est possible d</w:t>
      </w:r>
      <w:r w:rsidR="00242126">
        <w:rPr>
          <w:lang w:val="fr-FR"/>
        </w:rPr>
        <w:t>’</w:t>
      </w:r>
      <w:r w:rsidRPr="002961BC">
        <w:rPr>
          <w:lang w:val="fr-FR"/>
        </w:rPr>
        <w:t>appliquer l</w:t>
      </w:r>
      <w:r w:rsidR="00242126">
        <w:rPr>
          <w:lang w:val="fr-FR"/>
        </w:rPr>
        <w:t>’</w:t>
      </w:r>
      <w:r w:rsidRPr="002961BC">
        <w:rPr>
          <w:lang w:val="fr-FR"/>
        </w:rPr>
        <w:t>estimation d</w:t>
      </w:r>
      <w:r w:rsidR="00242126">
        <w:rPr>
          <w:lang w:val="fr-FR"/>
        </w:rPr>
        <w:t>’</w:t>
      </w:r>
      <w:r w:rsidRPr="002961BC">
        <w:rPr>
          <w:lang w:val="fr-FR"/>
        </w:rPr>
        <w:t xml:space="preserve">élasticité </w:t>
      </w:r>
      <w:r w:rsidR="0049064B" w:rsidRPr="002961BC">
        <w:rPr>
          <w:lang w:val="fr-FR"/>
        </w:rPr>
        <w:t xml:space="preserve">par rapport </w:t>
      </w:r>
      <w:r w:rsidRPr="002961BC">
        <w:rPr>
          <w:lang w:val="fr-FR"/>
        </w:rPr>
        <w:t>à toute réduction de taxe, les figures s</w:t>
      </w:r>
      <w:r w:rsidR="00242126">
        <w:rPr>
          <w:lang w:val="fr-FR"/>
        </w:rPr>
        <w:t>’</w:t>
      </w:r>
      <w:r w:rsidRPr="002961BC">
        <w:rPr>
          <w:lang w:val="fr-FR"/>
        </w:rPr>
        <w:t xml:space="preserve">arrêtent à 75%.  </w:t>
      </w:r>
      <w:r w:rsidR="0054659A" w:rsidRPr="002961BC">
        <w:rPr>
          <w:lang w:val="fr-FR"/>
        </w:rPr>
        <w:t xml:space="preserve">Comme indiqué dans la première étude supplémentaire, le modèle économétrique à </w:t>
      </w:r>
      <w:r w:rsidR="00DB193F" w:rsidRPr="002961BC">
        <w:rPr>
          <w:lang w:val="fr-FR"/>
        </w:rPr>
        <w:t>la base</w:t>
      </w:r>
      <w:r w:rsidR="0054659A" w:rsidRPr="002961BC">
        <w:rPr>
          <w:lang w:val="fr-FR"/>
        </w:rPr>
        <w:t xml:space="preserve"> de l</w:t>
      </w:r>
      <w:r w:rsidR="00242126">
        <w:rPr>
          <w:lang w:val="fr-FR"/>
        </w:rPr>
        <w:t>’</w:t>
      </w:r>
      <w:r w:rsidR="0054659A" w:rsidRPr="002961BC">
        <w:rPr>
          <w:lang w:val="fr-FR"/>
        </w:rPr>
        <w:t>estimation de l</w:t>
      </w:r>
      <w:r w:rsidR="00242126">
        <w:rPr>
          <w:lang w:val="fr-FR"/>
        </w:rPr>
        <w:t>’</w:t>
      </w:r>
      <w:r w:rsidR="0054659A" w:rsidRPr="002961BC">
        <w:rPr>
          <w:lang w:val="fr-FR"/>
        </w:rPr>
        <w:t xml:space="preserve">élasticité </w:t>
      </w:r>
      <w:r w:rsidR="0049064B" w:rsidRPr="002961BC">
        <w:rPr>
          <w:lang w:val="fr-FR"/>
        </w:rPr>
        <w:t>par rapport au montant de</w:t>
      </w:r>
      <w:r w:rsidR="0054659A" w:rsidRPr="002961BC">
        <w:rPr>
          <w:lang w:val="fr-FR"/>
        </w:rPr>
        <w:t xml:space="preserve"> la taxe impose une forme de fonction log</w:t>
      </w:r>
      <w:r w:rsidR="00FB6F91">
        <w:rPr>
          <w:lang w:val="fr-FR"/>
        </w:rPr>
        <w:noBreakHyphen/>
      </w:r>
      <w:r w:rsidR="0054659A" w:rsidRPr="002961BC">
        <w:rPr>
          <w:lang w:val="fr-FR"/>
        </w:rPr>
        <w:t xml:space="preserve">linéaire </w:t>
      </w:r>
      <w:r w:rsidR="009F6DB0" w:rsidRPr="002961BC">
        <w:rPr>
          <w:lang w:val="fr-FR"/>
        </w:rPr>
        <w:t>aux effets</w:t>
      </w:r>
      <w:r w:rsidR="0054659A" w:rsidRPr="002961BC">
        <w:rPr>
          <w:lang w:val="fr-FR"/>
        </w:rPr>
        <w:t xml:space="preserve"> de la taxe internationale de dép</w:t>
      </w:r>
      <w:r w:rsidR="005D014A" w:rsidRPr="002961BC">
        <w:rPr>
          <w:lang w:val="fr-FR"/>
        </w:rPr>
        <w:t>ôt</w:t>
      </w:r>
      <w:r w:rsidR="005D014A">
        <w:rPr>
          <w:lang w:val="fr-FR"/>
        </w:rPr>
        <w:t xml:space="preserve">.  </w:t>
      </w:r>
      <w:r w:rsidR="005D014A" w:rsidRPr="002961BC">
        <w:rPr>
          <w:lang w:val="fr-FR"/>
        </w:rPr>
        <w:t>Ce</w:t>
      </w:r>
      <w:r w:rsidR="00D055AE" w:rsidRPr="002961BC">
        <w:rPr>
          <w:lang w:val="fr-FR"/>
        </w:rPr>
        <w:t>tte hypothèse, qui explique l</w:t>
      </w:r>
      <w:r w:rsidR="00242126">
        <w:rPr>
          <w:lang w:val="fr-FR"/>
        </w:rPr>
        <w:t>’</w:t>
      </w:r>
      <w:r w:rsidR="00D055AE" w:rsidRPr="002961BC">
        <w:rPr>
          <w:lang w:val="fr-FR"/>
        </w:rPr>
        <w:t>impact linéaire des réductions de taxe dans les figures</w:t>
      </w:r>
      <w:r w:rsidR="003F0F8D" w:rsidRPr="002961BC">
        <w:rPr>
          <w:lang w:val="fr-FR"/>
        </w:rPr>
        <w:t xml:space="preserve"> 1a </w:t>
      </w:r>
      <w:r w:rsidR="00D055AE" w:rsidRPr="002961BC">
        <w:rPr>
          <w:lang w:val="fr-FR"/>
        </w:rPr>
        <w:t>et</w:t>
      </w:r>
      <w:r w:rsidR="003F0F8D" w:rsidRPr="002961BC">
        <w:rPr>
          <w:lang w:val="fr-FR"/>
        </w:rPr>
        <w:t> 1b</w:t>
      </w:r>
      <w:r w:rsidR="00D055AE" w:rsidRPr="002961BC">
        <w:rPr>
          <w:lang w:val="fr-FR"/>
        </w:rPr>
        <w:t>, peut être sérieusement mise en doute dans le cas de variations importantes du montant de la taxe qui dépasseraient celles qui ont été enregistrées dans le pas</w:t>
      </w:r>
      <w:r w:rsidR="005D014A" w:rsidRPr="002961BC">
        <w:rPr>
          <w:lang w:val="fr-FR"/>
        </w:rPr>
        <w:t>sé</w:t>
      </w:r>
      <w:r w:rsidR="005D014A">
        <w:rPr>
          <w:lang w:val="fr-FR"/>
        </w:rPr>
        <w:t xml:space="preserve">.  </w:t>
      </w:r>
      <w:r w:rsidR="005D014A" w:rsidRPr="002961BC">
        <w:rPr>
          <w:lang w:val="fr-FR"/>
        </w:rPr>
        <w:t>C</w:t>
      </w:r>
      <w:r w:rsidR="005D014A">
        <w:rPr>
          <w:lang w:val="fr-FR"/>
        </w:rPr>
        <w:t>’</w:t>
      </w:r>
      <w:r w:rsidR="005D014A" w:rsidRPr="002961BC">
        <w:rPr>
          <w:lang w:val="fr-FR"/>
        </w:rPr>
        <w:t>e</w:t>
      </w:r>
      <w:r w:rsidR="00D055AE" w:rsidRPr="002961BC">
        <w:rPr>
          <w:lang w:val="fr-FR"/>
        </w:rPr>
        <w:t>st la raison pour laquelle la simulation de dépôts additionnels pour d</w:t>
      </w:r>
      <w:r w:rsidR="00242126">
        <w:rPr>
          <w:lang w:val="fr-FR"/>
        </w:rPr>
        <w:t>’</w:t>
      </w:r>
      <w:r w:rsidR="00D055AE" w:rsidRPr="002961BC">
        <w:rPr>
          <w:lang w:val="fr-FR"/>
        </w:rPr>
        <w:t xml:space="preserve">importantes réductions de taxe, </w:t>
      </w:r>
      <w:r w:rsidR="00DB193F" w:rsidRPr="002961BC">
        <w:rPr>
          <w:lang w:val="fr-FR"/>
        </w:rPr>
        <w:t>notamment</w:t>
      </w:r>
      <w:r w:rsidR="00D055AE" w:rsidRPr="002961BC">
        <w:rPr>
          <w:lang w:val="fr-FR"/>
        </w:rPr>
        <w:t xml:space="preserve"> de</w:t>
      </w:r>
      <w:r w:rsidR="005522A2" w:rsidRPr="002961BC">
        <w:rPr>
          <w:lang w:val="fr-FR"/>
        </w:rPr>
        <w:t>s réductions de 50</w:t>
      </w:r>
      <w:r w:rsidR="00D055AE" w:rsidRPr="002961BC">
        <w:rPr>
          <w:lang w:val="fr-FR"/>
        </w:rPr>
        <w:t xml:space="preserve">% et plus, doit être </w:t>
      </w:r>
      <w:r w:rsidR="005522A2" w:rsidRPr="002961BC">
        <w:rPr>
          <w:lang w:val="fr-FR"/>
        </w:rPr>
        <w:t>traitée</w:t>
      </w:r>
      <w:r w:rsidR="00D055AE" w:rsidRPr="002961BC">
        <w:rPr>
          <w:lang w:val="fr-FR"/>
        </w:rPr>
        <w:t xml:space="preserve"> avec prudence.</w:t>
      </w:r>
    </w:p>
    <w:p w:rsidR="00242126" w:rsidRDefault="00A236F8" w:rsidP="00D4306D">
      <w:pPr>
        <w:pStyle w:val="ONUMFS"/>
        <w:rPr>
          <w:lang w:val="fr-FR"/>
        </w:rPr>
      </w:pPr>
      <w:r>
        <w:rPr>
          <w:lang w:val="fr-FR"/>
        </w:rPr>
        <w:t xml:space="preserve">Se traduisant par </w:t>
      </w:r>
      <w:r w:rsidR="000232F0" w:rsidRPr="002961BC">
        <w:rPr>
          <w:lang w:val="fr-FR"/>
        </w:rPr>
        <w:t>un nombre total de dépôts d</w:t>
      </w:r>
      <w:r w:rsidR="00242126">
        <w:rPr>
          <w:lang w:val="fr-FR"/>
        </w:rPr>
        <w:t>’</w:t>
      </w:r>
      <w:r w:rsidR="000232F0" w:rsidRPr="002961BC">
        <w:rPr>
          <w:lang w:val="fr-FR"/>
        </w:rPr>
        <w:t xml:space="preserve">universités inférieur mais une élasticité </w:t>
      </w:r>
      <w:r w:rsidR="0049064B" w:rsidRPr="002961BC">
        <w:rPr>
          <w:lang w:val="fr-FR"/>
        </w:rPr>
        <w:t xml:space="preserve">plus importante par rapport au montant </w:t>
      </w:r>
      <w:r w:rsidR="000232F0" w:rsidRPr="002961BC">
        <w:rPr>
          <w:lang w:val="fr-FR"/>
        </w:rPr>
        <w:t xml:space="preserve">de la taxe, </w:t>
      </w:r>
      <w:r w:rsidR="004A45DB" w:rsidRPr="002961BC">
        <w:rPr>
          <w:lang w:val="fr-FR"/>
        </w:rPr>
        <w:t>une</w:t>
      </w:r>
      <w:r w:rsidR="000232F0" w:rsidRPr="002961BC">
        <w:rPr>
          <w:lang w:val="fr-FR"/>
        </w:rPr>
        <w:t xml:space="preserve"> même réduction de taxe produit un nombre absolu de dépôts inférieur mais une </w:t>
      </w:r>
      <w:r w:rsidR="0049064B" w:rsidRPr="002961BC">
        <w:rPr>
          <w:lang w:val="fr-FR"/>
        </w:rPr>
        <w:t>sensibilité</w:t>
      </w:r>
      <w:r w:rsidR="000232F0" w:rsidRPr="002961BC">
        <w:rPr>
          <w:lang w:val="fr-FR"/>
        </w:rPr>
        <w:t xml:space="preserve"> relative plus </w:t>
      </w:r>
      <w:r w:rsidR="0049064B" w:rsidRPr="002961BC">
        <w:rPr>
          <w:lang w:val="fr-FR"/>
        </w:rPr>
        <w:t xml:space="preserve">forte </w:t>
      </w:r>
      <w:r w:rsidR="000232F0" w:rsidRPr="002961BC">
        <w:rPr>
          <w:lang w:val="fr-FR"/>
        </w:rPr>
        <w:t>dans les pays en développement que dans les pays développ</w:t>
      </w:r>
      <w:r w:rsidR="005D014A" w:rsidRPr="002961BC">
        <w:rPr>
          <w:lang w:val="fr-FR"/>
        </w:rPr>
        <w:t>és</w:t>
      </w:r>
      <w:r w:rsidR="005D014A">
        <w:rPr>
          <w:lang w:val="fr-FR"/>
        </w:rPr>
        <w:t xml:space="preserve">.  </w:t>
      </w:r>
      <w:r w:rsidR="005D014A" w:rsidRPr="002961BC">
        <w:rPr>
          <w:lang w:val="fr-FR"/>
        </w:rPr>
        <w:t>En</w:t>
      </w:r>
      <w:r w:rsidR="000232F0" w:rsidRPr="002961BC">
        <w:rPr>
          <w:lang w:val="fr-FR"/>
        </w:rPr>
        <w:t xml:space="preserve"> outre, plus le plafond est bas pour les demandes </w:t>
      </w:r>
      <w:r w:rsidR="002B329B" w:rsidRPr="002961BC">
        <w:rPr>
          <w:lang w:val="fr-FR"/>
        </w:rPr>
        <w:t>remplissant les conditions requises</w:t>
      </w:r>
      <w:r w:rsidR="000232F0" w:rsidRPr="002961BC">
        <w:rPr>
          <w:lang w:val="fr-FR"/>
        </w:rPr>
        <w:t>, plus l</w:t>
      </w:r>
      <w:r>
        <w:rPr>
          <w:lang w:val="fr-FR"/>
        </w:rPr>
        <w:t>’inciden</w:t>
      </w:r>
      <w:r w:rsidR="000232F0" w:rsidRPr="002961BC">
        <w:rPr>
          <w:lang w:val="fr-FR"/>
        </w:rPr>
        <w:t xml:space="preserve">ce </w:t>
      </w:r>
      <w:r w:rsidR="00DB193F" w:rsidRPr="002961BC">
        <w:rPr>
          <w:lang w:val="fr-FR"/>
        </w:rPr>
        <w:t xml:space="preserve">est faible </w:t>
      </w:r>
      <w:r w:rsidR="000232F0" w:rsidRPr="002961BC">
        <w:rPr>
          <w:lang w:val="fr-FR"/>
        </w:rPr>
        <w:t>en termes de dépôts.</w:t>
      </w:r>
    </w:p>
    <w:p w:rsidR="0046600D" w:rsidRDefault="0046600D">
      <w:pPr>
        <w:rPr>
          <w:noProof/>
          <w:lang w:val="fr-FR" w:eastAsia="fr-FR"/>
        </w:rPr>
      </w:pPr>
      <w:r>
        <w:rPr>
          <w:noProof/>
          <w:lang w:val="fr-FR" w:eastAsia="fr-FR"/>
        </w:rPr>
        <w:br w:type="page"/>
      </w:r>
    </w:p>
    <w:p w:rsidR="001F55A6" w:rsidRPr="002961BC" w:rsidRDefault="005645FF" w:rsidP="00D4306D">
      <w:pPr>
        <w:pStyle w:val="ONUMFS"/>
        <w:numPr>
          <w:ilvl w:val="0"/>
          <w:numId w:val="0"/>
        </w:numPr>
        <w:rPr>
          <w:lang w:val="fr-FR"/>
        </w:rPr>
      </w:pPr>
      <w:r w:rsidRPr="005645FF">
        <w:rPr>
          <w:noProof/>
          <w:lang w:val="en-US" w:eastAsia="en-US"/>
        </w:rPr>
        <w:lastRenderedPageBreak/>
        <w:drawing>
          <wp:inline distT="0" distB="0" distL="0" distR="0" wp14:anchorId="0A502BED" wp14:editId="40B1D5AD">
            <wp:extent cx="5934075" cy="3962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3962400"/>
                    </a:xfrm>
                    <a:prstGeom prst="rect">
                      <a:avLst/>
                    </a:prstGeom>
                    <a:noFill/>
                    <a:ln>
                      <a:noFill/>
                    </a:ln>
                  </pic:spPr>
                </pic:pic>
              </a:graphicData>
            </a:graphic>
          </wp:inline>
        </w:drawing>
      </w:r>
    </w:p>
    <w:p w:rsidR="001F55A6" w:rsidRPr="002961BC" w:rsidRDefault="005645FF" w:rsidP="00D4306D">
      <w:pPr>
        <w:pStyle w:val="ONUMFS"/>
        <w:numPr>
          <w:ilvl w:val="0"/>
          <w:numId w:val="0"/>
        </w:numPr>
        <w:rPr>
          <w:lang w:val="fr-FR"/>
        </w:rPr>
      </w:pPr>
      <w:r w:rsidRPr="005645FF">
        <w:rPr>
          <w:noProof/>
          <w:lang w:val="en-US" w:eastAsia="en-US"/>
        </w:rPr>
        <w:drawing>
          <wp:inline distT="0" distB="0" distL="0" distR="0" wp14:anchorId="19444F0B" wp14:editId="6C992186">
            <wp:extent cx="5857875" cy="3562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7875" cy="3562350"/>
                    </a:xfrm>
                    <a:prstGeom prst="rect">
                      <a:avLst/>
                    </a:prstGeom>
                    <a:noFill/>
                    <a:ln>
                      <a:noFill/>
                    </a:ln>
                  </pic:spPr>
                </pic:pic>
              </a:graphicData>
            </a:graphic>
          </wp:inline>
        </w:drawing>
      </w:r>
    </w:p>
    <w:p w:rsidR="001F55A6" w:rsidRPr="002961BC" w:rsidRDefault="00040ADC" w:rsidP="00D4306D">
      <w:pPr>
        <w:pStyle w:val="ONUMFS"/>
        <w:numPr>
          <w:ilvl w:val="0"/>
          <w:numId w:val="0"/>
        </w:numPr>
        <w:jc w:val="center"/>
        <w:rPr>
          <w:lang w:val="fr-FR"/>
        </w:rPr>
      </w:pPr>
      <w:r w:rsidRPr="002961BC">
        <w:rPr>
          <w:lang w:val="fr-FR"/>
        </w:rPr>
        <w:t>Table</w:t>
      </w:r>
      <w:r w:rsidR="0046600D">
        <w:rPr>
          <w:lang w:val="fr-FR"/>
        </w:rPr>
        <w:t>au</w:t>
      </w:r>
      <w:r w:rsidRPr="002961BC">
        <w:rPr>
          <w:lang w:val="fr-FR"/>
        </w:rPr>
        <w:t xml:space="preserve"> 1a</w:t>
      </w:r>
      <w:r w:rsidR="00242126">
        <w:rPr>
          <w:lang w:val="fr-FR"/>
        </w:rPr>
        <w:t> :</w:t>
      </w:r>
      <w:r w:rsidRPr="002961BC">
        <w:rPr>
          <w:lang w:val="fr-FR"/>
        </w:rPr>
        <w:t xml:space="preserve"> </w:t>
      </w:r>
      <w:r w:rsidR="00DC42EA" w:rsidRPr="002961BC">
        <w:rPr>
          <w:lang w:val="fr-FR"/>
        </w:rPr>
        <w:t xml:space="preserve">Répartition des </w:t>
      </w:r>
      <w:r w:rsidR="00DC3660" w:rsidRPr="002961BC">
        <w:rPr>
          <w:lang w:val="fr-FR"/>
        </w:rPr>
        <w:t>universités utilisant le système</w:t>
      </w:r>
      <w:r w:rsidR="00242126" w:rsidRPr="00242126">
        <w:rPr>
          <w:lang w:val="fr-FR"/>
        </w:rPr>
        <w:t xml:space="preserve"> du PCT</w:t>
      </w:r>
      <w:r w:rsidRPr="002961BC">
        <w:rPr>
          <w:lang w:val="fr-FR"/>
        </w:rPr>
        <w:t xml:space="preserve">, </w:t>
      </w:r>
      <w:r w:rsidR="00DC42EA" w:rsidRPr="002961BC">
        <w:rPr>
          <w:lang w:val="fr-FR"/>
        </w:rPr>
        <w:t>pays développés</w:t>
      </w:r>
    </w:p>
    <w:p w:rsidR="001F55A6" w:rsidRPr="002961BC" w:rsidRDefault="005645FF" w:rsidP="00D4306D">
      <w:pPr>
        <w:pStyle w:val="ONUMFS"/>
        <w:numPr>
          <w:ilvl w:val="0"/>
          <w:numId w:val="0"/>
        </w:numPr>
        <w:rPr>
          <w:lang w:val="fr-FR"/>
        </w:rPr>
      </w:pPr>
      <w:r w:rsidRPr="005645FF">
        <w:rPr>
          <w:noProof/>
          <w:lang w:val="en-US" w:eastAsia="en-US"/>
        </w:rPr>
        <w:lastRenderedPageBreak/>
        <w:drawing>
          <wp:inline distT="0" distB="0" distL="0" distR="0" wp14:anchorId="49A80B4A" wp14:editId="4EC5E83A">
            <wp:extent cx="5934075" cy="3962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3962400"/>
                    </a:xfrm>
                    <a:prstGeom prst="rect">
                      <a:avLst/>
                    </a:prstGeom>
                    <a:noFill/>
                    <a:ln>
                      <a:noFill/>
                    </a:ln>
                  </pic:spPr>
                </pic:pic>
              </a:graphicData>
            </a:graphic>
          </wp:inline>
        </w:drawing>
      </w:r>
    </w:p>
    <w:p w:rsidR="001F55A6" w:rsidRPr="002961BC" w:rsidRDefault="005645FF" w:rsidP="00D4306D">
      <w:pPr>
        <w:pStyle w:val="ONUMFS"/>
        <w:numPr>
          <w:ilvl w:val="0"/>
          <w:numId w:val="0"/>
        </w:numPr>
        <w:rPr>
          <w:lang w:val="fr-FR"/>
        </w:rPr>
      </w:pPr>
      <w:r w:rsidRPr="005645FF">
        <w:rPr>
          <w:noProof/>
          <w:lang w:val="en-US" w:eastAsia="en-US"/>
        </w:rPr>
        <w:drawing>
          <wp:inline distT="0" distB="0" distL="0" distR="0" wp14:anchorId="196AEAD0" wp14:editId="35BEFD10">
            <wp:extent cx="5857875" cy="3562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7875" cy="3562350"/>
                    </a:xfrm>
                    <a:prstGeom prst="rect">
                      <a:avLst/>
                    </a:prstGeom>
                    <a:noFill/>
                    <a:ln>
                      <a:noFill/>
                    </a:ln>
                  </pic:spPr>
                </pic:pic>
              </a:graphicData>
            </a:graphic>
          </wp:inline>
        </w:drawing>
      </w:r>
    </w:p>
    <w:p w:rsidR="001F55A6" w:rsidRDefault="00040ADC" w:rsidP="00D4306D">
      <w:pPr>
        <w:pStyle w:val="ONUMFS"/>
        <w:numPr>
          <w:ilvl w:val="0"/>
          <w:numId w:val="0"/>
        </w:numPr>
        <w:jc w:val="center"/>
        <w:rPr>
          <w:lang w:val="fr-FR"/>
        </w:rPr>
      </w:pPr>
      <w:r w:rsidRPr="002961BC">
        <w:rPr>
          <w:lang w:val="fr-FR"/>
        </w:rPr>
        <w:t>Table</w:t>
      </w:r>
      <w:r w:rsidR="0046600D">
        <w:rPr>
          <w:lang w:val="fr-FR"/>
        </w:rPr>
        <w:t>au</w:t>
      </w:r>
      <w:r w:rsidRPr="002961BC">
        <w:rPr>
          <w:lang w:val="fr-FR"/>
        </w:rPr>
        <w:t xml:space="preserve"> 1b</w:t>
      </w:r>
      <w:r w:rsidR="00242126">
        <w:rPr>
          <w:lang w:val="fr-FR"/>
        </w:rPr>
        <w:t> :</w:t>
      </w:r>
      <w:r w:rsidRPr="002961BC">
        <w:rPr>
          <w:lang w:val="fr-FR"/>
        </w:rPr>
        <w:t xml:space="preserve"> </w:t>
      </w:r>
      <w:r w:rsidR="00DC42EA" w:rsidRPr="002961BC">
        <w:rPr>
          <w:lang w:val="fr-FR"/>
        </w:rPr>
        <w:t xml:space="preserve">Répartition des </w:t>
      </w:r>
      <w:r w:rsidR="00DC3660" w:rsidRPr="002961BC">
        <w:rPr>
          <w:lang w:val="fr-FR"/>
        </w:rPr>
        <w:t>universités utilisant le système</w:t>
      </w:r>
      <w:r w:rsidR="00242126" w:rsidRPr="00242126">
        <w:rPr>
          <w:lang w:val="fr-FR"/>
        </w:rPr>
        <w:t xml:space="preserve"> du PCT</w:t>
      </w:r>
      <w:r w:rsidR="00DC42EA" w:rsidRPr="002961BC">
        <w:rPr>
          <w:lang w:val="fr-FR"/>
        </w:rPr>
        <w:t>, pays en développement</w:t>
      </w:r>
    </w:p>
    <w:p w:rsidR="005645FF" w:rsidRPr="002961BC" w:rsidRDefault="005645FF" w:rsidP="00D4306D">
      <w:pPr>
        <w:rPr>
          <w:lang w:val="fr-FR"/>
        </w:rPr>
      </w:pPr>
    </w:p>
    <w:p w:rsidR="003F0F8D" w:rsidRPr="002961BC" w:rsidRDefault="003F0F8D" w:rsidP="00D4306D">
      <w:pPr>
        <w:pStyle w:val="ONUMFS"/>
        <w:numPr>
          <w:ilvl w:val="0"/>
          <w:numId w:val="0"/>
        </w:numPr>
        <w:rPr>
          <w:lang w:val="fr-FR"/>
        </w:rPr>
        <w:sectPr w:rsidR="003F0F8D" w:rsidRPr="002961BC" w:rsidSect="00324A31">
          <w:headerReference w:type="default" r:id="rId14"/>
          <w:pgSz w:w="11907" w:h="16839" w:code="9"/>
          <w:pgMar w:top="567" w:right="1134" w:bottom="1418" w:left="1418" w:header="510" w:footer="1021" w:gutter="0"/>
          <w:cols w:space="720"/>
          <w:titlePg/>
          <w:docGrid w:linePitch="360"/>
        </w:sectPr>
      </w:pPr>
    </w:p>
    <w:p w:rsidR="001F55A6" w:rsidRPr="002961BC" w:rsidRDefault="003F0F8D" w:rsidP="00D4306D">
      <w:pPr>
        <w:pStyle w:val="ONUMFS"/>
        <w:numPr>
          <w:ilvl w:val="0"/>
          <w:numId w:val="0"/>
        </w:numPr>
        <w:jc w:val="center"/>
        <w:rPr>
          <w:lang w:val="fr-FR"/>
        </w:rPr>
      </w:pPr>
      <w:r w:rsidRPr="002961BC">
        <w:rPr>
          <w:lang w:val="fr-FR"/>
        </w:rPr>
        <w:lastRenderedPageBreak/>
        <w:t>Table</w:t>
      </w:r>
      <w:r w:rsidR="006C32C6" w:rsidRPr="002961BC">
        <w:rPr>
          <w:lang w:val="fr-FR"/>
        </w:rPr>
        <w:t>au</w:t>
      </w:r>
      <w:r w:rsidR="00FE6238">
        <w:rPr>
          <w:lang w:val="fr-FR"/>
        </w:rPr>
        <w:t> </w:t>
      </w:r>
      <w:r w:rsidRPr="002961BC">
        <w:rPr>
          <w:lang w:val="fr-FR"/>
        </w:rPr>
        <w:t>2a</w:t>
      </w:r>
      <w:r w:rsidR="00242126">
        <w:rPr>
          <w:lang w:val="fr-FR"/>
        </w:rPr>
        <w:t> :</w:t>
      </w:r>
      <w:r w:rsidRPr="002961BC">
        <w:rPr>
          <w:lang w:val="fr-FR"/>
        </w:rPr>
        <w:t xml:space="preserve"> </w:t>
      </w:r>
      <w:r w:rsidR="006C32C6" w:rsidRPr="002961BC">
        <w:rPr>
          <w:lang w:val="fr-FR"/>
        </w:rPr>
        <w:t>Niveaux de référence pour la simulation, pays développés</w:t>
      </w:r>
    </w:p>
    <w:tbl>
      <w:tblPr>
        <w:tblW w:w="4634" w:type="pct"/>
        <w:tblCellMar>
          <w:left w:w="28" w:type="dxa"/>
          <w:right w:w="28" w:type="dxa"/>
        </w:tblCellMar>
        <w:tblLook w:val="0000" w:firstRow="0" w:lastRow="0" w:firstColumn="0" w:lastColumn="0" w:noHBand="0" w:noVBand="0"/>
      </w:tblPr>
      <w:tblGrid>
        <w:gridCol w:w="737"/>
        <w:gridCol w:w="1235"/>
        <w:gridCol w:w="1416"/>
        <w:gridCol w:w="1327"/>
        <w:gridCol w:w="1255"/>
        <w:gridCol w:w="887"/>
        <w:gridCol w:w="1255"/>
        <w:gridCol w:w="887"/>
        <w:gridCol w:w="1255"/>
        <w:gridCol w:w="887"/>
        <w:gridCol w:w="1181"/>
        <w:gridCol w:w="971"/>
      </w:tblGrid>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p>
        </w:tc>
        <w:tc>
          <w:tcPr>
            <w:tcW w:w="1260" w:type="dxa"/>
            <w:tcBorders>
              <w:top w:val="nil"/>
              <w:left w:val="nil"/>
              <w:right w:val="nil"/>
            </w:tcBorders>
          </w:tcPr>
          <w:p w:rsidR="003F0F8D" w:rsidRPr="002961BC" w:rsidRDefault="003F0F8D" w:rsidP="00D4306D">
            <w:pPr>
              <w:autoSpaceDE w:val="0"/>
              <w:autoSpaceDN w:val="0"/>
              <w:adjustRightInd w:val="0"/>
              <w:spacing w:after="40"/>
              <w:jc w:val="right"/>
              <w:rPr>
                <w:color w:val="000000"/>
                <w:lang w:val="fr-FR"/>
              </w:rPr>
            </w:pPr>
          </w:p>
        </w:tc>
        <w:tc>
          <w:tcPr>
            <w:tcW w:w="1440" w:type="dxa"/>
            <w:tcBorders>
              <w:top w:val="nil"/>
              <w:left w:val="nil"/>
              <w:right w:val="nil"/>
            </w:tcBorders>
          </w:tcPr>
          <w:p w:rsidR="003F0F8D" w:rsidRPr="002961BC" w:rsidRDefault="003F0F8D" w:rsidP="00D4306D">
            <w:pPr>
              <w:autoSpaceDE w:val="0"/>
              <w:autoSpaceDN w:val="0"/>
              <w:adjustRightInd w:val="0"/>
              <w:spacing w:after="40"/>
              <w:jc w:val="right"/>
              <w:rPr>
                <w:color w:val="000000"/>
                <w:lang w:val="fr-FR"/>
              </w:rPr>
            </w:pPr>
          </w:p>
        </w:tc>
        <w:tc>
          <w:tcPr>
            <w:tcW w:w="1350" w:type="dxa"/>
            <w:tcBorders>
              <w:top w:val="nil"/>
              <w:left w:val="nil"/>
            </w:tcBorders>
          </w:tcPr>
          <w:p w:rsidR="003F0F8D" w:rsidRPr="002961BC" w:rsidRDefault="003F0F8D" w:rsidP="00D4306D">
            <w:pPr>
              <w:autoSpaceDE w:val="0"/>
              <w:autoSpaceDN w:val="0"/>
              <w:adjustRightInd w:val="0"/>
              <w:spacing w:after="40"/>
              <w:jc w:val="right"/>
              <w:rPr>
                <w:color w:val="000000"/>
                <w:lang w:val="fr-FR"/>
              </w:rPr>
            </w:pP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5</w:t>
            </w: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10</w:t>
            </w: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20</w:t>
            </w: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30</w:t>
            </w:r>
          </w:p>
        </w:tc>
      </w:tr>
      <w:tr w:rsidR="003F0F8D" w:rsidRPr="002961BC" w:rsidTr="005645FF">
        <w:trPr>
          <w:cantSplit/>
        </w:trPr>
        <w:tc>
          <w:tcPr>
            <w:tcW w:w="750" w:type="dxa"/>
            <w:tcBorders>
              <w:top w:val="nil"/>
              <w:left w:val="nil"/>
              <w:bottom w:val="nil"/>
              <w:right w:val="nil"/>
            </w:tcBorders>
            <w:vAlign w:val="bottom"/>
          </w:tcPr>
          <w:p w:rsidR="003F0F8D" w:rsidRPr="002961BC" w:rsidRDefault="003F0F8D" w:rsidP="00D4306D">
            <w:pPr>
              <w:autoSpaceDE w:val="0"/>
              <w:autoSpaceDN w:val="0"/>
              <w:adjustRightInd w:val="0"/>
              <w:spacing w:after="40"/>
              <w:jc w:val="right"/>
              <w:rPr>
                <w:color w:val="000000"/>
                <w:lang w:val="fr-FR"/>
              </w:rPr>
            </w:pPr>
          </w:p>
        </w:tc>
        <w:tc>
          <w:tcPr>
            <w:tcW w:w="1260" w:type="dxa"/>
            <w:tcBorders>
              <w:top w:val="nil"/>
              <w:left w:val="nil"/>
              <w:bottom w:val="single" w:sz="4" w:space="0" w:color="auto"/>
              <w:right w:val="nil"/>
            </w:tcBorders>
            <w:vAlign w:val="bottom"/>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N</w:t>
            </w:r>
            <w:r w:rsidR="006C32C6" w:rsidRPr="002961BC">
              <w:rPr>
                <w:color w:val="000000"/>
                <w:lang w:val="fr-FR"/>
              </w:rPr>
              <w:t xml:space="preserve">ombre de dépôts </w:t>
            </w:r>
            <w:r w:rsidR="005407C8" w:rsidRPr="002961BC">
              <w:rPr>
                <w:color w:val="000000"/>
                <w:lang w:val="fr-FR"/>
              </w:rPr>
              <w:t>selon</w:t>
            </w:r>
            <w:r w:rsidR="00242126" w:rsidRPr="00242126">
              <w:rPr>
                <w:color w:val="000000"/>
                <w:lang w:val="fr-FR"/>
              </w:rPr>
              <w:t xml:space="preserve"> le PCT</w:t>
            </w:r>
            <w:r w:rsidRPr="002961BC">
              <w:rPr>
                <w:color w:val="000000"/>
                <w:lang w:val="fr-FR"/>
              </w:rPr>
              <w:t xml:space="preserve"> </w:t>
            </w:r>
          </w:p>
        </w:tc>
        <w:tc>
          <w:tcPr>
            <w:tcW w:w="1440" w:type="dxa"/>
            <w:tcBorders>
              <w:top w:val="nil"/>
              <w:left w:val="nil"/>
              <w:bottom w:val="single" w:sz="4" w:space="0" w:color="auto"/>
              <w:right w:val="nil"/>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Re</w:t>
            </w:r>
            <w:r w:rsidR="006A13C2" w:rsidRPr="002961BC">
              <w:rPr>
                <w:color w:val="000000"/>
                <w:lang w:val="fr-FR"/>
              </w:rPr>
              <w:t>cettes</w:t>
            </w:r>
            <w:r w:rsidRPr="002961BC">
              <w:rPr>
                <w:color w:val="000000"/>
                <w:lang w:val="fr-FR"/>
              </w:rPr>
              <w:t xml:space="preserve"> provenant de ces dépôts</w:t>
            </w:r>
            <w:r w:rsidR="003F0F8D" w:rsidRPr="002961BC">
              <w:rPr>
                <w:color w:val="000000"/>
                <w:lang w:val="fr-FR"/>
              </w:rPr>
              <w:br/>
              <w:t xml:space="preserve"> (</w:t>
            </w:r>
            <w:r w:rsidRPr="002961BC">
              <w:rPr>
                <w:color w:val="000000"/>
                <w:lang w:val="fr-FR"/>
              </w:rPr>
              <w:t xml:space="preserve">en </w:t>
            </w:r>
            <w:r w:rsidR="003F0F8D" w:rsidRPr="002961BC">
              <w:rPr>
                <w:color w:val="000000"/>
                <w:lang w:val="fr-FR"/>
              </w:rPr>
              <w:t>millions</w:t>
            </w:r>
            <w:r w:rsidRPr="002961BC">
              <w:rPr>
                <w:color w:val="000000"/>
                <w:lang w:val="fr-FR"/>
              </w:rPr>
              <w:t xml:space="preserve"> de francs suisses</w:t>
            </w:r>
            <w:r w:rsidR="003F0F8D" w:rsidRPr="002961BC">
              <w:rPr>
                <w:color w:val="000000"/>
                <w:lang w:val="fr-FR"/>
              </w:rPr>
              <w:t>)</w:t>
            </w:r>
          </w:p>
        </w:tc>
        <w:tc>
          <w:tcPr>
            <w:tcW w:w="1350" w:type="dxa"/>
            <w:tcBorders>
              <w:top w:val="nil"/>
              <w:left w:val="nil"/>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Taxe moyenne implicite</w:t>
            </w:r>
            <w:r w:rsidR="003F0F8D" w:rsidRPr="002961BC">
              <w:rPr>
                <w:color w:val="000000"/>
                <w:lang w:val="fr-FR"/>
              </w:rPr>
              <w:t xml:space="preserve"> </w:t>
            </w:r>
            <w:r w:rsidR="005645FF">
              <w:rPr>
                <w:color w:val="000000"/>
                <w:lang w:val="fr-FR"/>
              </w:rPr>
              <w:br/>
            </w:r>
            <w:r w:rsidR="003F0F8D" w:rsidRPr="002961BC">
              <w:rPr>
                <w:color w:val="000000"/>
                <w:lang w:val="fr-FR"/>
              </w:rPr>
              <w:t>(</w:t>
            </w:r>
            <w:r w:rsidRPr="002961BC">
              <w:rPr>
                <w:color w:val="000000"/>
                <w:lang w:val="fr-FR"/>
              </w:rPr>
              <w:t>en francs suisses</w:t>
            </w:r>
            <w:r w:rsidR="003F0F8D" w:rsidRPr="002961BC">
              <w:rPr>
                <w:color w:val="000000"/>
                <w:lang w:val="fr-FR"/>
              </w:rPr>
              <w:t>)</w:t>
            </w:r>
          </w:p>
        </w:tc>
        <w:tc>
          <w:tcPr>
            <w:tcW w:w="1260" w:type="dxa"/>
            <w:tcBorders>
              <w:bottom w:val="single" w:sz="4" w:space="0" w:color="auto"/>
              <w:right w:val="nil"/>
            </w:tcBorders>
            <w:vAlign w:val="bottom"/>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N</w:t>
            </w:r>
            <w:r w:rsidR="006C32C6" w:rsidRPr="002961BC">
              <w:rPr>
                <w:color w:val="000000"/>
                <w:lang w:val="fr-FR"/>
              </w:rPr>
              <w:t xml:space="preserve">ombre de dépôts </w:t>
            </w:r>
            <w:r w:rsidR="002B329B" w:rsidRPr="002961BC">
              <w:rPr>
                <w:color w:val="000000"/>
                <w:lang w:val="fr-FR"/>
              </w:rPr>
              <w:t>remplissant les conditions requises</w:t>
            </w:r>
          </w:p>
        </w:tc>
        <w:tc>
          <w:tcPr>
            <w:tcW w:w="900" w:type="dxa"/>
            <w:tcBorders>
              <w:left w:val="nil"/>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Part</w:t>
            </w:r>
          </w:p>
        </w:tc>
        <w:tc>
          <w:tcPr>
            <w:tcW w:w="126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00" w:type="dxa"/>
            <w:tcBorders>
              <w:bottom w:val="single" w:sz="4" w:space="0" w:color="auto"/>
            </w:tcBorders>
            <w:vAlign w:val="bottom"/>
          </w:tcPr>
          <w:p w:rsidR="003F0F8D" w:rsidRPr="002961BC" w:rsidRDefault="005407C8" w:rsidP="00D4306D">
            <w:pPr>
              <w:autoSpaceDE w:val="0"/>
              <w:autoSpaceDN w:val="0"/>
              <w:adjustRightInd w:val="0"/>
              <w:spacing w:after="40"/>
              <w:jc w:val="right"/>
              <w:rPr>
                <w:color w:val="000000"/>
                <w:lang w:val="fr-FR"/>
              </w:rPr>
            </w:pPr>
            <w:r w:rsidRPr="002961BC">
              <w:rPr>
                <w:color w:val="000000"/>
                <w:lang w:val="fr-FR"/>
              </w:rPr>
              <w:t>Part</w:t>
            </w:r>
          </w:p>
        </w:tc>
        <w:tc>
          <w:tcPr>
            <w:tcW w:w="126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00" w:type="dxa"/>
            <w:tcBorders>
              <w:bottom w:val="single" w:sz="4" w:space="0" w:color="auto"/>
            </w:tcBorders>
            <w:vAlign w:val="bottom"/>
          </w:tcPr>
          <w:p w:rsidR="003F0F8D" w:rsidRPr="002961BC" w:rsidRDefault="005407C8" w:rsidP="00D4306D">
            <w:pPr>
              <w:autoSpaceDE w:val="0"/>
              <w:autoSpaceDN w:val="0"/>
              <w:adjustRightInd w:val="0"/>
              <w:spacing w:after="40"/>
              <w:jc w:val="right"/>
              <w:rPr>
                <w:color w:val="000000"/>
                <w:lang w:val="fr-FR"/>
              </w:rPr>
            </w:pPr>
            <w:r w:rsidRPr="002961BC">
              <w:rPr>
                <w:color w:val="000000"/>
                <w:lang w:val="fr-FR"/>
              </w:rPr>
              <w:t>Part</w:t>
            </w:r>
          </w:p>
        </w:tc>
        <w:tc>
          <w:tcPr>
            <w:tcW w:w="117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90" w:type="dxa"/>
            <w:tcBorders>
              <w:bottom w:val="single" w:sz="4" w:space="0" w:color="auto"/>
            </w:tcBorders>
            <w:vAlign w:val="bottom"/>
          </w:tcPr>
          <w:p w:rsidR="003F0F8D" w:rsidRPr="002961BC" w:rsidRDefault="005407C8" w:rsidP="00D4306D">
            <w:pPr>
              <w:autoSpaceDE w:val="0"/>
              <w:autoSpaceDN w:val="0"/>
              <w:adjustRightInd w:val="0"/>
              <w:spacing w:after="40"/>
              <w:jc w:val="right"/>
              <w:rPr>
                <w:color w:val="000000"/>
                <w:lang w:val="fr-FR"/>
              </w:rPr>
            </w:pPr>
            <w:r w:rsidRPr="002961BC">
              <w:rPr>
                <w:color w:val="000000"/>
                <w:lang w:val="fr-FR"/>
              </w:rPr>
              <w:t>Part</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2011</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7</w:t>
            </w:r>
            <w:r w:rsidR="005645FF">
              <w:rPr>
                <w:lang w:val="fr-FR"/>
              </w:rPr>
              <w:t> </w:t>
            </w:r>
            <w:r w:rsidRPr="002961BC">
              <w:rPr>
                <w:lang w:val="fr-FR"/>
              </w:rPr>
              <w:t>742</w:t>
            </w:r>
          </w:p>
        </w:tc>
        <w:tc>
          <w:tcPr>
            <w:tcW w:w="144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8</w:t>
            </w:r>
            <w:r w:rsidR="005645FF">
              <w:rPr>
                <w:lang w:val="fr-FR"/>
              </w:rPr>
              <w:t>,</w:t>
            </w:r>
            <w:r w:rsidRPr="002961BC">
              <w:rPr>
                <w:lang w:val="fr-FR"/>
              </w:rPr>
              <w:t>9</w:t>
            </w:r>
          </w:p>
        </w:tc>
        <w:tc>
          <w:tcPr>
            <w:tcW w:w="135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146</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2</w:t>
            </w:r>
            <w:r w:rsidR="005645FF">
              <w:rPr>
                <w:lang w:val="fr-FR"/>
              </w:rPr>
              <w:t> </w:t>
            </w:r>
            <w:r w:rsidRPr="002961BC">
              <w:rPr>
                <w:lang w:val="fr-FR"/>
              </w:rPr>
              <w:t>788</w:t>
            </w:r>
          </w:p>
        </w:tc>
        <w:tc>
          <w:tcPr>
            <w:tcW w:w="90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36</w:t>
            </w:r>
            <w:r w:rsidR="005645FF">
              <w:rPr>
                <w:lang w:val="fr-FR"/>
              </w:rPr>
              <w:t>,</w:t>
            </w:r>
            <w:r w:rsidRPr="002961BC">
              <w:rPr>
                <w:lang w:val="fr-FR"/>
              </w:rPr>
              <w:t>0%</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4</w:t>
            </w:r>
            <w:r w:rsidR="005645FF">
              <w:rPr>
                <w:lang w:val="fr-FR"/>
              </w:rPr>
              <w:t> </w:t>
            </w:r>
            <w:r w:rsidRPr="002961BC">
              <w:rPr>
                <w:lang w:val="fr-FR"/>
              </w:rPr>
              <w:t>033</w:t>
            </w:r>
          </w:p>
        </w:tc>
        <w:tc>
          <w:tcPr>
            <w:tcW w:w="90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52</w:t>
            </w:r>
            <w:r w:rsidR="005645FF">
              <w:rPr>
                <w:lang w:val="fr-FR"/>
              </w:rPr>
              <w:t>,</w:t>
            </w:r>
            <w:r w:rsidRPr="002961BC">
              <w:rPr>
                <w:lang w:val="fr-FR"/>
              </w:rPr>
              <w:t>1%</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5</w:t>
            </w:r>
            <w:r w:rsidR="005645FF">
              <w:rPr>
                <w:lang w:val="fr-FR"/>
              </w:rPr>
              <w:t> </w:t>
            </w:r>
            <w:r w:rsidRPr="002961BC">
              <w:rPr>
                <w:lang w:val="fr-FR"/>
              </w:rPr>
              <w:t>436</w:t>
            </w:r>
          </w:p>
        </w:tc>
        <w:tc>
          <w:tcPr>
            <w:tcW w:w="90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70</w:t>
            </w:r>
            <w:r w:rsidR="005645FF">
              <w:rPr>
                <w:lang w:val="fr-FR"/>
              </w:rPr>
              <w:t>,</w:t>
            </w:r>
            <w:r w:rsidRPr="002961BC">
              <w:rPr>
                <w:lang w:val="fr-FR"/>
              </w:rPr>
              <w:t>2%</w:t>
            </w:r>
          </w:p>
        </w:tc>
        <w:tc>
          <w:tcPr>
            <w:tcW w:w="117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6</w:t>
            </w:r>
            <w:r w:rsidR="005645FF">
              <w:rPr>
                <w:lang w:val="fr-FR"/>
              </w:rPr>
              <w:t> </w:t>
            </w:r>
            <w:r w:rsidRPr="002961BC">
              <w:rPr>
                <w:lang w:val="fr-FR"/>
              </w:rPr>
              <w:t>165</w:t>
            </w:r>
          </w:p>
        </w:tc>
        <w:tc>
          <w:tcPr>
            <w:tcW w:w="99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79</w:t>
            </w:r>
            <w:r w:rsidR="005645FF">
              <w:rPr>
                <w:lang w:val="fr-FR"/>
              </w:rPr>
              <w:t>,</w:t>
            </w:r>
            <w:r w:rsidRPr="002961BC">
              <w:rPr>
                <w:lang w:val="fr-FR"/>
              </w:rPr>
              <w:t>6%</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2012</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w:t>
            </w:r>
            <w:r w:rsidR="005645FF">
              <w:rPr>
                <w:lang w:val="fr-FR"/>
              </w:rPr>
              <w:t> </w:t>
            </w:r>
            <w:r w:rsidRPr="002961BC">
              <w:rPr>
                <w:lang w:val="fr-FR"/>
              </w:rPr>
              <w:t>186</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w:t>
            </w:r>
            <w:r w:rsidR="005645FF">
              <w:rPr>
                <w:lang w:val="fr-FR"/>
              </w:rPr>
              <w:t>,</w:t>
            </w:r>
            <w:r w:rsidRPr="002961BC">
              <w:rPr>
                <w:lang w:val="fr-FR"/>
              </w:rPr>
              <w:t>7</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181</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2</w:t>
            </w:r>
            <w:r w:rsidR="005645FF">
              <w:rPr>
                <w:lang w:val="fr-FR"/>
              </w:rPr>
              <w:t> </w:t>
            </w:r>
            <w:r w:rsidRPr="002961BC">
              <w:rPr>
                <w:lang w:val="fr-FR"/>
              </w:rPr>
              <w:t>931</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35</w:t>
            </w:r>
            <w:r w:rsidR="005645FF">
              <w:rPr>
                <w:lang w:val="fr-FR"/>
              </w:rPr>
              <w:t>,</w:t>
            </w:r>
            <w:r w:rsidRPr="002961BC">
              <w:rPr>
                <w:lang w:val="fr-FR"/>
              </w:rPr>
              <w:t>8%</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w:t>
            </w:r>
            <w:r w:rsidR="005645FF">
              <w:rPr>
                <w:lang w:val="fr-FR"/>
              </w:rPr>
              <w:t> </w:t>
            </w:r>
            <w:r w:rsidRPr="002961BC">
              <w:rPr>
                <w:lang w:val="fr-FR"/>
              </w:rPr>
              <w:t>232</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51</w:t>
            </w:r>
            <w:r w:rsidR="005645FF">
              <w:rPr>
                <w:lang w:val="fr-FR"/>
              </w:rPr>
              <w:t>,</w:t>
            </w:r>
            <w:r w:rsidRPr="002961BC">
              <w:rPr>
                <w:lang w:val="fr-FR"/>
              </w:rPr>
              <w:t>7%</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w:t>
            </w:r>
            <w:r w:rsidR="005645FF">
              <w:rPr>
                <w:lang w:val="fr-FR"/>
              </w:rPr>
              <w:t> </w:t>
            </w:r>
            <w:r w:rsidRPr="002961BC">
              <w:rPr>
                <w:lang w:val="fr-FR"/>
              </w:rPr>
              <w:t>654</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69</w:t>
            </w:r>
            <w:r w:rsidR="005645FF">
              <w:rPr>
                <w:lang w:val="fr-FR"/>
              </w:rPr>
              <w:t>,</w:t>
            </w:r>
            <w:r w:rsidRPr="002961BC">
              <w:rPr>
                <w:lang w:val="fr-FR"/>
              </w:rPr>
              <w:t>1%</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w:t>
            </w:r>
            <w:r w:rsidR="005645FF">
              <w:rPr>
                <w:lang w:val="fr-FR"/>
              </w:rPr>
              <w:t> </w:t>
            </w:r>
            <w:r w:rsidRPr="002961BC">
              <w:rPr>
                <w:lang w:val="fr-FR"/>
              </w:rPr>
              <w:t>405</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78</w:t>
            </w:r>
            <w:r w:rsidR="005645FF">
              <w:rPr>
                <w:lang w:val="fr-FR"/>
              </w:rPr>
              <w:t>,</w:t>
            </w:r>
            <w:r w:rsidRPr="002961BC">
              <w:rPr>
                <w:lang w:val="fr-FR"/>
              </w:rPr>
              <w:t>2%</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2013</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w:t>
            </w:r>
            <w:r w:rsidR="005645FF">
              <w:rPr>
                <w:lang w:val="fr-FR"/>
              </w:rPr>
              <w:t> </w:t>
            </w:r>
            <w:r w:rsidRPr="002961BC">
              <w:rPr>
                <w:lang w:val="fr-FR"/>
              </w:rPr>
              <w:t>012</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w:t>
            </w:r>
            <w:r w:rsidR="005645FF">
              <w:rPr>
                <w:lang w:val="fr-FR"/>
              </w:rPr>
              <w:t>,</w:t>
            </w:r>
            <w:r w:rsidRPr="002961BC">
              <w:rPr>
                <w:lang w:val="fr-FR"/>
              </w:rPr>
              <w:t>2</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144</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2</w:t>
            </w:r>
            <w:r w:rsidR="005645FF">
              <w:rPr>
                <w:lang w:val="fr-FR"/>
              </w:rPr>
              <w:t> </w:t>
            </w:r>
            <w:r w:rsidRPr="002961BC">
              <w:rPr>
                <w:lang w:val="fr-FR"/>
              </w:rPr>
              <w:t>886</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36</w:t>
            </w:r>
            <w:r w:rsidR="005645FF">
              <w:rPr>
                <w:lang w:val="fr-FR"/>
              </w:rPr>
              <w:t>,</w:t>
            </w:r>
            <w:r w:rsidRPr="002961BC">
              <w:rPr>
                <w:lang w:val="fr-FR"/>
              </w:rPr>
              <w:t>0%</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w:t>
            </w:r>
            <w:r w:rsidR="005645FF">
              <w:rPr>
                <w:lang w:val="fr-FR"/>
              </w:rPr>
              <w:t> </w:t>
            </w:r>
            <w:r w:rsidRPr="002961BC">
              <w:rPr>
                <w:lang w:val="fr-FR"/>
              </w:rPr>
              <w:t>165</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52</w:t>
            </w:r>
            <w:r w:rsidR="005645FF">
              <w:rPr>
                <w:lang w:val="fr-FR"/>
              </w:rPr>
              <w:t>,</w:t>
            </w:r>
            <w:r w:rsidRPr="002961BC">
              <w:rPr>
                <w:lang w:val="fr-FR"/>
              </w:rPr>
              <w:t>0%</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w:t>
            </w:r>
            <w:r w:rsidR="005645FF">
              <w:rPr>
                <w:lang w:val="fr-FR"/>
              </w:rPr>
              <w:t> </w:t>
            </w:r>
            <w:r w:rsidRPr="002961BC">
              <w:rPr>
                <w:lang w:val="fr-FR"/>
              </w:rPr>
              <w:t>486</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68</w:t>
            </w:r>
            <w:r w:rsidR="005645FF">
              <w:rPr>
                <w:lang w:val="fr-FR"/>
              </w:rPr>
              <w:t>,</w:t>
            </w:r>
            <w:r w:rsidRPr="002961BC">
              <w:rPr>
                <w:lang w:val="fr-FR"/>
              </w:rPr>
              <w:t>5%</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w:t>
            </w:r>
            <w:r w:rsidR="005645FF">
              <w:rPr>
                <w:lang w:val="fr-FR"/>
              </w:rPr>
              <w:t> </w:t>
            </w:r>
            <w:r w:rsidRPr="002961BC">
              <w:rPr>
                <w:lang w:val="fr-FR"/>
              </w:rPr>
              <w:t>217</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77</w:t>
            </w:r>
            <w:r w:rsidR="005645FF">
              <w:rPr>
                <w:lang w:val="fr-FR"/>
              </w:rPr>
              <w:t>,</w:t>
            </w:r>
            <w:r w:rsidRPr="002961BC">
              <w:rPr>
                <w:lang w:val="fr-FR"/>
              </w:rPr>
              <w:t>6%</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2014</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w:t>
            </w:r>
            <w:r w:rsidR="005645FF">
              <w:rPr>
                <w:lang w:val="fr-FR"/>
              </w:rPr>
              <w:t> </w:t>
            </w:r>
            <w:r w:rsidRPr="002961BC">
              <w:rPr>
                <w:lang w:val="fr-FR"/>
              </w:rPr>
              <w:t>272</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w:t>
            </w:r>
            <w:r w:rsidR="005645FF">
              <w:rPr>
                <w:lang w:val="fr-FR"/>
              </w:rPr>
              <w:t>,</w:t>
            </w:r>
            <w:r w:rsidRPr="002961BC">
              <w:rPr>
                <w:lang w:val="fr-FR"/>
              </w:rPr>
              <w:t>6</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167</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2</w:t>
            </w:r>
            <w:r w:rsidR="005645FF">
              <w:rPr>
                <w:lang w:val="fr-FR"/>
              </w:rPr>
              <w:t> </w:t>
            </w:r>
            <w:r w:rsidRPr="002961BC">
              <w:rPr>
                <w:lang w:val="fr-FR"/>
              </w:rPr>
              <w:t>842</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34</w:t>
            </w:r>
            <w:r w:rsidR="005645FF">
              <w:rPr>
                <w:lang w:val="fr-FR"/>
              </w:rPr>
              <w:t>,</w:t>
            </w:r>
            <w:r w:rsidRPr="002961BC">
              <w:rPr>
                <w:lang w:val="fr-FR"/>
              </w:rPr>
              <w:t>4%</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w:t>
            </w:r>
            <w:r w:rsidR="005645FF">
              <w:rPr>
                <w:lang w:val="fr-FR"/>
              </w:rPr>
              <w:t> </w:t>
            </w:r>
            <w:r w:rsidRPr="002961BC">
              <w:rPr>
                <w:lang w:val="fr-FR"/>
              </w:rPr>
              <w:t>129</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49</w:t>
            </w:r>
            <w:r w:rsidR="005645FF">
              <w:rPr>
                <w:lang w:val="fr-FR"/>
              </w:rPr>
              <w:t>,</w:t>
            </w:r>
            <w:r w:rsidRPr="002961BC">
              <w:rPr>
                <w:lang w:val="fr-FR"/>
              </w:rPr>
              <w:t>9%</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w:t>
            </w:r>
            <w:r w:rsidR="005645FF">
              <w:rPr>
                <w:lang w:val="fr-FR"/>
              </w:rPr>
              <w:t> </w:t>
            </w:r>
            <w:r w:rsidRPr="002961BC">
              <w:rPr>
                <w:lang w:val="fr-FR"/>
              </w:rPr>
              <w:t>539</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67</w:t>
            </w:r>
            <w:r w:rsidR="005645FF">
              <w:rPr>
                <w:lang w:val="fr-FR"/>
              </w:rPr>
              <w:t>,</w:t>
            </w:r>
            <w:r w:rsidRPr="002961BC">
              <w:rPr>
                <w:lang w:val="fr-FR"/>
              </w:rPr>
              <w:t>0%</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w:t>
            </w:r>
            <w:r w:rsidR="005645FF">
              <w:rPr>
                <w:lang w:val="fr-FR"/>
              </w:rPr>
              <w:t> </w:t>
            </w:r>
            <w:r w:rsidRPr="002961BC">
              <w:rPr>
                <w:lang w:val="fr-FR"/>
              </w:rPr>
              <w:t>264</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75</w:t>
            </w:r>
            <w:r w:rsidR="005645FF">
              <w:rPr>
                <w:lang w:val="fr-FR"/>
              </w:rPr>
              <w:t>,</w:t>
            </w:r>
            <w:r w:rsidRPr="002961BC">
              <w:rPr>
                <w:lang w:val="fr-FR"/>
              </w:rPr>
              <w:t>7%</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2015</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w:t>
            </w:r>
            <w:r w:rsidR="005645FF">
              <w:rPr>
                <w:lang w:val="fr-FR"/>
              </w:rPr>
              <w:t> </w:t>
            </w:r>
            <w:r w:rsidRPr="002961BC">
              <w:rPr>
                <w:lang w:val="fr-FR"/>
              </w:rPr>
              <w:t>188</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w:t>
            </w:r>
            <w:r w:rsidR="005645FF">
              <w:rPr>
                <w:lang w:val="fr-FR"/>
              </w:rPr>
              <w:t>,</w:t>
            </w:r>
            <w:r w:rsidRPr="002961BC">
              <w:rPr>
                <w:lang w:val="fr-FR"/>
              </w:rPr>
              <w:t>3</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139</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2</w:t>
            </w:r>
            <w:r w:rsidR="005645FF">
              <w:rPr>
                <w:lang w:val="fr-FR"/>
              </w:rPr>
              <w:t> </w:t>
            </w:r>
            <w:r w:rsidRPr="002961BC">
              <w:rPr>
                <w:lang w:val="fr-FR"/>
              </w:rPr>
              <w:t>841</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34</w:t>
            </w:r>
            <w:r w:rsidR="005645FF">
              <w:rPr>
                <w:lang w:val="fr-FR"/>
              </w:rPr>
              <w:t>,</w:t>
            </w:r>
            <w:r w:rsidRPr="002961BC">
              <w:rPr>
                <w:lang w:val="fr-FR"/>
              </w:rPr>
              <w:t>7%</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w:t>
            </w:r>
            <w:r w:rsidR="005645FF">
              <w:rPr>
                <w:lang w:val="fr-FR"/>
              </w:rPr>
              <w:t> </w:t>
            </w:r>
            <w:r w:rsidRPr="002961BC">
              <w:rPr>
                <w:lang w:val="fr-FR"/>
              </w:rPr>
              <w:t>147</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50</w:t>
            </w:r>
            <w:r w:rsidR="005645FF">
              <w:rPr>
                <w:lang w:val="fr-FR"/>
              </w:rPr>
              <w:t>,</w:t>
            </w:r>
            <w:r w:rsidRPr="002961BC">
              <w:rPr>
                <w:lang w:val="fr-FR"/>
              </w:rPr>
              <w:t>6%</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w:t>
            </w:r>
            <w:r w:rsidR="005645FF">
              <w:rPr>
                <w:lang w:val="fr-FR"/>
              </w:rPr>
              <w:t> </w:t>
            </w:r>
            <w:r w:rsidRPr="002961BC">
              <w:rPr>
                <w:lang w:val="fr-FR"/>
              </w:rPr>
              <w:t>553</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67</w:t>
            </w:r>
            <w:r w:rsidR="005645FF">
              <w:rPr>
                <w:lang w:val="fr-FR"/>
              </w:rPr>
              <w:t>,</w:t>
            </w:r>
            <w:r w:rsidRPr="002961BC">
              <w:rPr>
                <w:lang w:val="fr-FR"/>
              </w:rPr>
              <w:t>8%</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w:t>
            </w:r>
            <w:r w:rsidR="005645FF">
              <w:rPr>
                <w:lang w:val="fr-FR"/>
              </w:rPr>
              <w:t> </w:t>
            </w:r>
            <w:r w:rsidRPr="002961BC">
              <w:rPr>
                <w:lang w:val="fr-FR"/>
              </w:rPr>
              <w:t>300</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76</w:t>
            </w:r>
            <w:r w:rsidR="005645FF">
              <w:rPr>
                <w:lang w:val="fr-FR"/>
              </w:rPr>
              <w:t>,</w:t>
            </w:r>
            <w:r w:rsidRPr="002961BC">
              <w:rPr>
                <w:lang w:val="fr-FR"/>
              </w:rPr>
              <w:t>9%</w:t>
            </w:r>
          </w:p>
        </w:tc>
      </w:tr>
    </w:tbl>
    <w:p w:rsidR="001F55A6" w:rsidRPr="002961BC" w:rsidRDefault="001F55A6" w:rsidP="00D4306D">
      <w:pPr>
        <w:jc w:val="center"/>
        <w:rPr>
          <w:lang w:val="fr-FR"/>
        </w:rPr>
      </w:pPr>
    </w:p>
    <w:p w:rsidR="001F55A6" w:rsidRPr="002961BC" w:rsidRDefault="003F0F8D" w:rsidP="00D4306D">
      <w:pPr>
        <w:pStyle w:val="ONUMFS"/>
        <w:numPr>
          <w:ilvl w:val="0"/>
          <w:numId w:val="0"/>
        </w:numPr>
        <w:jc w:val="center"/>
        <w:rPr>
          <w:lang w:val="fr-FR"/>
        </w:rPr>
      </w:pPr>
      <w:r w:rsidRPr="002961BC">
        <w:rPr>
          <w:lang w:val="fr-FR"/>
        </w:rPr>
        <w:t>Table</w:t>
      </w:r>
      <w:r w:rsidR="00FB4F3B" w:rsidRPr="002961BC">
        <w:rPr>
          <w:lang w:val="fr-FR"/>
        </w:rPr>
        <w:t>au</w:t>
      </w:r>
      <w:r w:rsidR="00FE6238">
        <w:rPr>
          <w:lang w:val="fr-FR"/>
        </w:rPr>
        <w:t> </w:t>
      </w:r>
      <w:r w:rsidRPr="002961BC">
        <w:rPr>
          <w:lang w:val="fr-FR"/>
        </w:rPr>
        <w:t>2b</w:t>
      </w:r>
      <w:r w:rsidR="00242126">
        <w:rPr>
          <w:lang w:val="fr-FR"/>
        </w:rPr>
        <w:t> :</w:t>
      </w:r>
      <w:r w:rsidR="00854327" w:rsidRPr="002961BC">
        <w:rPr>
          <w:lang w:val="fr-FR"/>
        </w:rPr>
        <w:t xml:space="preserve"> </w:t>
      </w:r>
      <w:r w:rsidR="006C32C6" w:rsidRPr="002961BC">
        <w:rPr>
          <w:lang w:val="fr-FR"/>
        </w:rPr>
        <w:t>Niveaux de référence pour la si</w:t>
      </w:r>
      <w:r w:rsidR="00854327" w:rsidRPr="002961BC">
        <w:rPr>
          <w:lang w:val="fr-FR"/>
        </w:rPr>
        <w:t xml:space="preserve">mulation, </w:t>
      </w:r>
      <w:r w:rsidR="006C32C6" w:rsidRPr="002961BC">
        <w:rPr>
          <w:lang w:val="fr-FR"/>
        </w:rPr>
        <w:t>pays en développement</w:t>
      </w:r>
    </w:p>
    <w:tbl>
      <w:tblPr>
        <w:tblW w:w="4634" w:type="pct"/>
        <w:tblCellMar>
          <w:left w:w="28" w:type="dxa"/>
          <w:right w:w="28" w:type="dxa"/>
        </w:tblCellMar>
        <w:tblLook w:val="0000" w:firstRow="0" w:lastRow="0" w:firstColumn="0" w:lastColumn="0" w:noHBand="0" w:noVBand="0"/>
      </w:tblPr>
      <w:tblGrid>
        <w:gridCol w:w="737"/>
        <w:gridCol w:w="1235"/>
        <w:gridCol w:w="1416"/>
        <w:gridCol w:w="1327"/>
        <w:gridCol w:w="1255"/>
        <w:gridCol w:w="887"/>
        <w:gridCol w:w="1255"/>
        <w:gridCol w:w="887"/>
        <w:gridCol w:w="1255"/>
        <w:gridCol w:w="887"/>
        <w:gridCol w:w="1181"/>
        <w:gridCol w:w="971"/>
      </w:tblGrid>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p>
        </w:tc>
        <w:tc>
          <w:tcPr>
            <w:tcW w:w="1260" w:type="dxa"/>
            <w:tcBorders>
              <w:top w:val="nil"/>
              <w:left w:val="nil"/>
              <w:right w:val="nil"/>
            </w:tcBorders>
          </w:tcPr>
          <w:p w:rsidR="003F0F8D" w:rsidRPr="002961BC" w:rsidRDefault="003F0F8D" w:rsidP="00D4306D">
            <w:pPr>
              <w:autoSpaceDE w:val="0"/>
              <w:autoSpaceDN w:val="0"/>
              <w:adjustRightInd w:val="0"/>
              <w:spacing w:after="40"/>
              <w:jc w:val="right"/>
              <w:rPr>
                <w:color w:val="000000"/>
                <w:lang w:val="fr-FR"/>
              </w:rPr>
            </w:pPr>
          </w:p>
        </w:tc>
        <w:tc>
          <w:tcPr>
            <w:tcW w:w="1440" w:type="dxa"/>
            <w:tcBorders>
              <w:top w:val="nil"/>
              <w:left w:val="nil"/>
              <w:right w:val="nil"/>
            </w:tcBorders>
          </w:tcPr>
          <w:p w:rsidR="003F0F8D" w:rsidRPr="002961BC" w:rsidRDefault="003F0F8D" w:rsidP="00D4306D">
            <w:pPr>
              <w:autoSpaceDE w:val="0"/>
              <w:autoSpaceDN w:val="0"/>
              <w:adjustRightInd w:val="0"/>
              <w:spacing w:after="40"/>
              <w:jc w:val="right"/>
              <w:rPr>
                <w:color w:val="000000"/>
                <w:lang w:val="fr-FR"/>
              </w:rPr>
            </w:pPr>
          </w:p>
        </w:tc>
        <w:tc>
          <w:tcPr>
            <w:tcW w:w="1350" w:type="dxa"/>
            <w:tcBorders>
              <w:top w:val="nil"/>
              <w:left w:val="nil"/>
            </w:tcBorders>
          </w:tcPr>
          <w:p w:rsidR="003F0F8D" w:rsidRPr="002961BC" w:rsidRDefault="003F0F8D" w:rsidP="00D4306D">
            <w:pPr>
              <w:autoSpaceDE w:val="0"/>
              <w:autoSpaceDN w:val="0"/>
              <w:adjustRightInd w:val="0"/>
              <w:spacing w:after="40"/>
              <w:jc w:val="right"/>
              <w:rPr>
                <w:color w:val="000000"/>
                <w:lang w:val="fr-FR"/>
              </w:rPr>
            </w:pP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5</w:t>
            </w: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10</w:t>
            </w: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20</w:t>
            </w:r>
          </w:p>
        </w:tc>
        <w:tc>
          <w:tcPr>
            <w:tcW w:w="2160" w:type="dxa"/>
            <w:gridSpan w:val="2"/>
          </w:tcPr>
          <w:p w:rsidR="003F0F8D" w:rsidRPr="002961BC" w:rsidRDefault="006C32C6" w:rsidP="00D4306D">
            <w:pPr>
              <w:autoSpaceDE w:val="0"/>
              <w:autoSpaceDN w:val="0"/>
              <w:adjustRightInd w:val="0"/>
              <w:spacing w:after="40"/>
              <w:jc w:val="center"/>
              <w:rPr>
                <w:color w:val="000000"/>
                <w:u w:val="single"/>
                <w:lang w:val="fr-FR"/>
              </w:rPr>
            </w:pPr>
            <w:r w:rsidRPr="002961BC">
              <w:rPr>
                <w:color w:val="000000"/>
                <w:u w:val="single"/>
                <w:lang w:val="fr-FR"/>
              </w:rPr>
              <w:t xml:space="preserve">Plafond de </w:t>
            </w:r>
            <w:r w:rsidR="003F0F8D" w:rsidRPr="002961BC">
              <w:rPr>
                <w:color w:val="000000"/>
                <w:u w:val="single"/>
                <w:lang w:val="fr-FR"/>
              </w:rPr>
              <w:t>30</w:t>
            </w:r>
          </w:p>
        </w:tc>
      </w:tr>
      <w:tr w:rsidR="003F0F8D" w:rsidRPr="002961BC" w:rsidTr="005645FF">
        <w:trPr>
          <w:cantSplit/>
        </w:trPr>
        <w:tc>
          <w:tcPr>
            <w:tcW w:w="750" w:type="dxa"/>
            <w:tcBorders>
              <w:top w:val="nil"/>
              <w:left w:val="nil"/>
              <w:bottom w:val="nil"/>
              <w:right w:val="nil"/>
            </w:tcBorders>
            <w:vAlign w:val="bottom"/>
          </w:tcPr>
          <w:p w:rsidR="003F0F8D" w:rsidRPr="002961BC" w:rsidRDefault="003F0F8D" w:rsidP="00D4306D">
            <w:pPr>
              <w:autoSpaceDE w:val="0"/>
              <w:autoSpaceDN w:val="0"/>
              <w:adjustRightInd w:val="0"/>
              <w:spacing w:after="40"/>
              <w:jc w:val="right"/>
              <w:rPr>
                <w:color w:val="000000"/>
                <w:lang w:val="fr-FR"/>
              </w:rPr>
            </w:pPr>
          </w:p>
        </w:tc>
        <w:tc>
          <w:tcPr>
            <w:tcW w:w="1260" w:type="dxa"/>
            <w:tcBorders>
              <w:top w:val="nil"/>
              <w:left w:val="nil"/>
              <w:bottom w:val="single" w:sz="4" w:space="0" w:color="auto"/>
              <w:right w:val="nil"/>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5407C8" w:rsidRPr="002961BC">
              <w:rPr>
                <w:color w:val="000000"/>
                <w:lang w:val="fr-FR"/>
              </w:rPr>
              <w:t>selon</w:t>
            </w:r>
            <w:r w:rsidR="00242126" w:rsidRPr="00242126">
              <w:rPr>
                <w:color w:val="000000"/>
                <w:lang w:val="fr-FR"/>
              </w:rPr>
              <w:t xml:space="preserve"> le PCT</w:t>
            </w:r>
          </w:p>
        </w:tc>
        <w:tc>
          <w:tcPr>
            <w:tcW w:w="1440" w:type="dxa"/>
            <w:tcBorders>
              <w:top w:val="nil"/>
              <w:left w:val="nil"/>
              <w:bottom w:val="single" w:sz="4" w:space="0" w:color="auto"/>
              <w:right w:val="nil"/>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Re</w:t>
            </w:r>
            <w:r w:rsidR="006A13C2" w:rsidRPr="002961BC">
              <w:rPr>
                <w:color w:val="000000"/>
                <w:lang w:val="fr-FR"/>
              </w:rPr>
              <w:t>cettes</w:t>
            </w:r>
            <w:r w:rsidRPr="002961BC">
              <w:rPr>
                <w:color w:val="000000"/>
                <w:lang w:val="fr-FR"/>
              </w:rPr>
              <w:t xml:space="preserve"> provenant de ces dépôts</w:t>
            </w:r>
            <w:r w:rsidRPr="002961BC">
              <w:rPr>
                <w:color w:val="000000"/>
                <w:lang w:val="fr-FR"/>
              </w:rPr>
              <w:br/>
              <w:t xml:space="preserve"> (en millions de francs suisses)</w:t>
            </w:r>
          </w:p>
        </w:tc>
        <w:tc>
          <w:tcPr>
            <w:tcW w:w="1350" w:type="dxa"/>
            <w:tcBorders>
              <w:top w:val="nil"/>
              <w:left w:val="nil"/>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Taxe moyenne implicite </w:t>
            </w:r>
            <w:r w:rsidR="005645FF">
              <w:rPr>
                <w:color w:val="000000"/>
                <w:lang w:val="fr-FR"/>
              </w:rPr>
              <w:br/>
            </w:r>
            <w:r w:rsidRPr="002961BC">
              <w:rPr>
                <w:color w:val="000000"/>
                <w:lang w:val="fr-FR"/>
              </w:rPr>
              <w:t>(en francs suisses)</w:t>
            </w:r>
          </w:p>
        </w:tc>
        <w:tc>
          <w:tcPr>
            <w:tcW w:w="1260" w:type="dxa"/>
            <w:tcBorders>
              <w:bottom w:val="single" w:sz="4" w:space="0" w:color="auto"/>
              <w:right w:val="nil"/>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00" w:type="dxa"/>
            <w:tcBorders>
              <w:left w:val="nil"/>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Part</w:t>
            </w:r>
          </w:p>
        </w:tc>
        <w:tc>
          <w:tcPr>
            <w:tcW w:w="126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0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Part</w:t>
            </w:r>
          </w:p>
        </w:tc>
        <w:tc>
          <w:tcPr>
            <w:tcW w:w="126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0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Part</w:t>
            </w:r>
          </w:p>
        </w:tc>
        <w:tc>
          <w:tcPr>
            <w:tcW w:w="117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 xml:space="preserve">Nombre de dépôts </w:t>
            </w:r>
            <w:r w:rsidR="002B329B" w:rsidRPr="002961BC">
              <w:rPr>
                <w:color w:val="000000"/>
                <w:lang w:val="fr-FR"/>
              </w:rPr>
              <w:t>remplissant les conditions requises</w:t>
            </w:r>
          </w:p>
        </w:tc>
        <w:tc>
          <w:tcPr>
            <w:tcW w:w="990" w:type="dxa"/>
            <w:tcBorders>
              <w:bottom w:val="single" w:sz="4" w:space="0" w:color="auto"/>
            </w:tcBorders>
            <w:vAlign w:val="bottom"/>
          </w:tcPr>
          <w:p w:rsidR="003F0F8D" w:rsidRPr="002961BC" w:rsidRDefault="006C32C6" w:rsidP="00D4306D">
            <w:pPr>
              <w:autoSpaceDE w:val="0"/>
              <w:autoSpaceDN w:val="0"/>
              <w:adjustRightInd w:val="0"/>
              <w:spacing w:after="40"/>
              <w:jc w:val="right"/>
              <w:rPr>
                <w:color w:val="000000"/>
                <w:lang w:val="fr-FR"/>
              </w:rPr>
            </w:pPr>
            <w:r w:rsidRPr="002961BC">
              <w:rPr>
                <w:color w:val="000000"/>
                <w:lang w:val="fr-FR"/>
              </w:rPr>
              <w:t>Part</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2011</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099</w:t>
            </w:r>
          </w:p>
        </w:tc>
        <w:tc>
          <w:tcPr>
            <w:tcW w:w="144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w:t>
            </w:r>
            <w:r w:rsidRPr="002961BC">
              <w:rPr>
                <w:lang w:val="fr-FR"/>
              </w:rPr>
              <w:t>3</w:t>
            </w:r>
          </w:p>
        </w:tc>
        <w:tc>
          <w:tcPr>
            <w:tcW w:w="135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180</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636</w:t>
            </w:r>
          </w:p>
        </w:tc>
        <w:tc>
          <w:tcPr>
            <w:tcW w:w="90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57</w:t>
            </w:r>
            <w:r w:rsidR="005645FF">
              <w:rPr>
                <w:lang w:val="fr-FR"/>
              </w:rPr>
              <w:t>,</w:t>
            </w:r>
            <w:r w:rsidRPr="002961BC">
              <w:rPr>
                <w:lang w:val="fr-FR"/>
              </w:rPr>
              <w:t>9%</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812</w:t>
            </w:r>
          </w:p>
        </w:tc>
        <w:tc>
          <w:tcPr>
            <w:tcW w:w="90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73</w:t>
            </w:r>
            <w:r w:rsidR="005645FF">
              <w:rPr>
                <w:lang w:val="fr-FR"/>
              </w:rPr>
              <w:t>,</w:t>
            </w:r>
            <w:r w:rsidRPr="002961BC">
              <w:rPr>
                <w:lang w:val="fr-FR"/>
              </w:rPr>
              <w:t>9%</w:t>
            </w:r>
          </w:p>
        </w:tc>
        <w:tc>
          <w:tcPr>
            <w:tcW w:w="126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957</w:t>
            </w:r>
          </w:p>
        </w:tc>
        <w:tc>
          <w:tcPr>
            <w:tcW w:w="90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87</w:t>
            </w:r>
            <w:r w:rsidR="005645FF">
              <w:rPr>
                <w:lang w:val="fr-FR"/>
              </w:rPr>
              <w:t>,</w:t>
            </w:r>
            <w:r w:rsidRPr="002961BC">
              <w:rPr>
                <w:lang w:val="fr-FR"/>
              </w:rPr>
              <w:t>1%</w:t>
            </w:r>
          </w:p>
        </w:tc>
        <w:tc>
          <w:tcPr>
            <w:tcW w:w="117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015</w:t>
            </w:r>
          </w:p>
        </w:tc>
        <w:tc>
          <w:tcPr>
            <w:tcW w:w="990" w:type="dxa"/>
            <w:tcBorders>
              <w:top w:val="single" w:sz="4" w:space="0" w:color="auto"/>
              <w:left w:val="nil"/>
              <w:bottom w:val="nil"/>
              <w:right w:val="nil"/>
            </w:tcBorders>
          </w:tcPr>
          <w:p w:rsidR="003F0F8D" w:rsidRPr="002961BC" w:rsidRDefault="003F0F8D" w:rsidP="00D4306D">
            <w:pPr>
              <w:spacing w:after="40"/>
              <w:jc w:val="right"/>
              <w:rPr>
                <w:lang w:val="fr-FR"/>
              </w:rPr>
            </w:pPr>
            <w:r w:rsidRPr="002961BC">
              <w:rPr>
                <w:lang w:val="fr-FR"/>
              </w:rPr>
              <w:t>92</w:t>
            </w:r>
            <w:r w:rsidR="005645FF">
              <w:rPr>
                <w:lang w:val="fr-FR"/>
              </w:rPr>
              <w:t>,</w:t>
            </w:r>
            <w:r w:rsidRPr="002961BC">
              <w:rPr>
                <w:lang w:val="fr-FR"/>
              </w:rPr>
              <w:t>4%</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2012</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030</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w:t>
            </w:r>
            <w:r w:rsidRPr="002961BC">
              <w:rPr>
                <w:lang w:val="fr-FR"/>
              </w:rPr>
              <w:t>2</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176</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653</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63</w:t>
            </w:r>
            <w:r w:rsidR="005645FF">
              <w:rPr>
                <w:lang w:val="fr-FR"/>
              </w:rPr>
              <w:t>,</w:t>
            </w:r>
            <w:r w:rsidRPr="002961BC">
              <w:rPr>
                <w:lang w:val="fr-FR"/>
              </w:rPr>
              <w:t>4%</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830</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80</w:t>
            </w:r>
            <w:r w:rsidR="005645FF">
              <w:rPr>
                <w:lang w:val="fr-FR"/>
              </w:rPr>
              <w:t>,</w:t>
            </w:r>
            <w:r w:rsidRPr="002961BC">
              <w:rPr>
                <w:lang w:val="fr-FR"/>
              </w:rPr>
              <w:t>6%</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958</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93</w:t>
            </w:r>
            <w:r w:rsidR="005645FF">
              <w:rPr>
                <w:lang w:val="fr-FR"/>
              </w:rPr>
              <w:t>,</w:t>
            </w:r>
            <w:r w:rsidRPr="002961BC">
              <w:rPr>
                <w:lang w:val="fr-FR"/>
              </w:rPr>
              <w:t>0%</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009</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98</w:t>
            </w:r>
            <w:r w:rsidR="005645FF">
              <w:rPr>
                <w:lang w:val="fr-FR"/>
              </w:rPr>
              <w:t>,</w:t>
            </w:r>
            <w:r w:rsidRPr="002961BC">
              <w:rPr>
                <w:lang w:val="fr-FR"/>
              </w:rPr>
              <w:t>0%</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2013</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189</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w:t>
            </w:r>
            <w:r w:rsidRPr="002961BC">
              <w:rPr>
                <w:lang w:val="fr-FR"/>
              </w:rPr>
              <w:t>4</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140</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690</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58</w:t>
            </w:r>
            <w:r w:rsidR="005645FF">
              <w:rPr>
                <w:lang w:val="fr-FR"/>
              </w:rPr>
              <w:t>,</w:t>
            </w:r>
            <w:r w:rsidRPr="002961BC">
              <w:rPr>
                <w:lang w:val="fr-FR"/>
              </w:rPr>
              <w:t>0%</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884</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74</w:t>
            </w:r>
            <w:r w:rsidR="005645FF">
              <w:rPr>
                <w:lang w:val="fr-FR"/>
              </w:rPr>
              <w:t>,</w:t>
            </w:r>
            <w:r w:rsidRPr="002961BC">
              <w:rPr>
                <w:lang w:val="fr-FR"/>
              </w:rPr>
              <w:t>3%</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055</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88</w:t>
            </w:r>
            <w:r w:rsidR="005645FF">
              <w:rPr>
                <w:lang w:val="fr-FR"/>
              </w:rPr>
              <w:t>,</w:t>
            </w:r>
            <w:r w:rsidRPr="002961BC">
              <w:rPr>
                <w:lang w:val="fr-FR"/>
              </w:rPr>
              <w:t>7%</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122</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94</w:t>
            </w:r>
            <w:r w:rsidR="005645FF">
              <w:rPr>
                <w:lang w:val="fr-FR"/>
              </w:rPr>
              <w:t>,</w:t>
            </w:r>
            <w:r w:rsidRPr="002961BC">
              <w:rPr>
                <w:lang w:val="fr-FR"/>
              </w:rPr>
              <w:t>4%</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2014</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547</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w:t>
            </w:r>
            <w:r w:rsidRPr="002961BC">
              <w:rPr>
                <w:lang w:val="fr-FR"/>
              </w:rPr>
              <w:t>9</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208</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754</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48</w:t>
            </w:r>
            <w:r w:rsidR="005645FF">
              <w:rPr>
                <w:lang w:val="fr-FR"/>
              </w:rPr>
              <w:t>,</w:t>
            </w:r>
            <w:r w:rsidRPr="002961BC">
              <w:rPr>
                <w:lang w:val="fr-FR"/>
              </w:rPr>
              <w:t>7%</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029</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66</w:t>
            </w:r>
            <w:r w:rsidR="005645FF">
              <w:rPr>
                <w:lang w:val="fr-FR"/>
              </w:rPr>
              <w:t>,</w:t>
            </w:r>
            <w:r w:rsidRPr="002961BC">
              <w:rPr>
                <w:lang w:val="fr-FR"/>
              </w:rPr>
              <w:t>5%</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270</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82</w:t>
            </w:r>
            <w:r w:rsidR="005645FF">
              <w:rPr>
                <w:lang w:val="fr-FR"/>
              </w:rPr>
              <w:t>,</w:t>
            </w:r>
            <w:r w:rsidRPr="002961BC">
              <w:rPr>
                <w:lang w:val="fr-FR"/>
              </w:rPr>
              <w:t>1%</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401</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90</w:t>
            </w:r>
            <w:r w:rsidR="005645FF">
              <w:rPr>
                <w:lang w:val="fr-FR"/>
              </w:rPr>
              <w:t>,</w:t>
            </w:r>
            <w:r w:rsidRPr="002961BC">
              <w:rPr>
                <w:lang w:val="fr-FR"/>
              </w:rPr>
              <w:t>6%</w:t>
            </w:r>
          </w:p>
        </w:tc>
      </w:tr>
      <w:tr w:rsidR="003F0F8D" w:rsidRPr="002961BC" w:rsidTr="005645FF">
        <w:trPr>
          <w:cantSplit/>
        </w:trPr>
        <w:tc>
          <w:tcPr>
            <w:tcW w:w="750" w:type="dxa"/>
            <w:tcBorders>
              <w:top w:val="nil"/>
              <w:left w:val="nil"/>
              <w:bottom w:val="nil"/>
              <w:right w:val="nil"/>
            </w:tcBorders>
          </w:tcPr>
          <w:p w:rsidR="003F0F8D" w:rsidRPr="002961BC" w:rsidRDefault="003F0F8D" w:rsidP="00D4306D">
            <w:pPr>
              <w:autoSpaceDE w:val="0"/>
              <w:autoSpaceDN w:val="0"/>
              <w:adjustRightInd w:val="0"/>
              <w:spacing w:after="40"/>
              <w:jc w:val="right"/>
              <w:rPr>
                <w:color w:val="000000"/>
                <w:lang w:val="fr-FR"/>
              </w:rPr>
            </w:pPr>
            <w:r w:rsidRPr="002961BC">
              <w:rPr>
                <w:color w:val="000000"/>
                <w:lang w:val="fr-FR"/>
              </w:rPr>
              <w:t>2015</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693</w:t>
            </w:r>
          </w:p>
        </w:tc>
        <w:tc>
          <w:tcPr>
            <w:tcW w:w="144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w:t>
            </w:r>
            <w:r w:rsidRPr="002961BC">
              <w:rPr>
                <w:lang w:val="fr-FR"/>
              </w:rPr>
              <w:t>9</w:t>
            </w:r>
          </w:p>
        </w:tc>
        <w:tc>
          <w:tcPr>
            <w:tcW w:w="135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150</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698</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41</w:t>
            </w:r>
            <w:r w:rsidR="005645FF">
              <w:rPr>
                <w:lang w:val="fr-FR"/>
              </w:rPr>
              <w:t>,</w:t>
            </w:r>
            <w:r w:rsidRPr="002961BC">
              <w:rPr>
                <w:lang w:val="fr-FR"/>
              </w:rPr>
              <w:t>2%</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980</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57</w:t>
            </w:r>
            <w:r w:rsidR="005645FF">
              <w:rPr>
                <w:lang w:val="fr-FR"/>
              </w:rPr>
              <w:t>,</w:t>
            </w:r>
            <w:r w:rsidRPr="002961BC">
              <w:rPr>
                <w:lang w:val="fr-FR"/>
              </w:rPr>
              <w:t>9%</w:t>
            </w:r>
          </w:p>
        </w:tc>
        <w:tc>
          <w:tcPr>
            <w:tcW w:w="126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253</w:t>
            </w:r>
          </w:p>
        </w:tc>
        <w:tc>
          <w:tcPr>
            <w:tcW w:w="90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74</w:t>
            </w:r>
            <w:r w:rsidR="005645FF">
              <w:rPr>
                <w:lang w:val="fr-FR"/>
              </w:rPr>
              <w:t>,</w:t>
            </w:r>
            <w:r w:rsidRPr="002961BC">
              <w:rPr>
                <w:lang w:val="fr-FR"/>
              </w:rPr>
              <w:t>0%</w:t>
            </w:r>
          </w:p>
        </w:tc>
        <w:tc>
          <w:tcPr>
            <w:tcW w:w="117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1</w:t>
            </w:r>
            <w:r w:rsidR="005645FF">
              <w:rPr>
                <w:lang w:val="fr-FR"/>
              </w:rPr>
              <w:t> </w:t>
            </w:r>
            <w:r w:rsidRPr="002961BC">
              <w:rPr>
                <w:lang w:val="fr-FR"/>
              </w:rPr>
              <w:t>382</w:t>
            </w:r>
          </w:p>
        </w:tc>
        <w:tc>
          <w:tcPr>
            <w:tcW w:w="990" w:type="dxa"/>
            <w:tcBorders>
              <w:top w:val="nil"/>
              <w:left w:val="nil"/>
              <w:bottom w:val="nil"/>
              <w:right w:val="nil"/>
            </w:tcBorders>
          </w:tcPr>
          <w:p w:rsidR="003F0F8D" w:rsidRPr="002961BC" w:rsidRDefault="003F0F8D" w:rsidP="00D4306D">
            <w:pPr>
              <w:spacing w:after="40"/>
              <w:jc w:val="right"/>
              <w:rPr>
                <w:lang w:val="fr-FR"/>
              </w:rPr>
            </w:pPr>
            <w:r w:rsidRPr="002961BC">
              <w:rPr>
                <w:lang w:val="fr-FR"/>
              </w:rPr>
              <w:t>81</w:t>
            </w:r>
            <w:r w:rsidR="005645FF">
              <w:rPr>
                <w:lang w:val="fr-FR"/>
              </w:rPr>
              <w:t>,</w:t>
            </w:r>
            <w:r w:rsidRPr="002961BC">
              <w:rPr>
                <w:lang w:val="fr-FR"/>
              </w:rPr>
              <w:t>6%</w:t>
            </w:r>
          </w:p>
        </w:tc>
      </w:tr>
    </w:tbl>
    <w:p w:rsidR="003F0F8D" w:rsidRPr="002961BC" w:rsidRDefault="003F0F8D" w:rsidP="00D4306D">
      <w:pPr>
        <w:rPr>
          <w:lang w:val="fr-FR"/>
        </w:rPr>
        <w:sectPr w:rsidR="003F0F8D" w:rsidRPr="002961BC" w:rsidSect="00324A31">
          <w:pgSz w:w="16839" w:h="11907" w:orient="landscape" w:code="9"/>
          <w:pgMar w:top="567" w:right="1134" w:bottom="1418" w:left="1418" w:header="510" w:footer="1021" w:gutter="0"/>
          <w:cols w:space="720"/>
          <w:docGrid w:linePitch="360"/>
        </w:sectPr>
      </w:pPr>
    </w:p>
    <w:p w:rsidR="005645FF" w:rsidRDefault="00A6521E" w:rsidP="00D4306D">
      <w:pPr>
        <w:pStyle w:val="ONUMFS"/>
        <w:numPr>
          <w:ilvl w:val="0"/>
          <w:numId w:val="0"/>
        </w:numPr>
        <w:rPr>
          <w:lang w:val="fr-FR"/>
        </w:rPr>
      </w:pPr>
      <w:r w:rsidRPr="00A6521E">
        <w:rPr>
          <w:noProof/>
          <w:lang w:val="en-US" w:eastAsia="en-US"/>
        </w:rPr>
        <w:lastRenderedPageBreak/>
        <w:drawing>
          <wp:inline distT="0" distB="0" distL="0" distR="0" wp14:anchorId="7AFF1DEF" wp14:editId="282C52D6">
            <wp:extent cx="5940425" cy="3409847"/>
            <wp:effectExtent l="0" t="0" r="317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409847"/>
                    </a:xfrm>
                    <a:prstGeom prst="rect">
                      <a:avLst/>
                    </a:prstGeom>
                    <a:noFill/>
                    <a:ln>
                      <a:noFill/>
                    </a:ln>
                  </pic:spPr>
                </pic:pic>
              </a:graphicData>
            </a:graphic>
          </wp:inline>
        </w:drawing>
      </w:r>
    </w:p>
    <w:p w:rsidR="005645FF" w:rsidRDefault="003F0F8D" w:rsidP="00D4306D">
      <w:pPr>
        <w:pStyle w:val="ONUMFS"/>
        <w:numPr>
          <w:ilvl w:val="0"/>
          <w:numId w:val="0"/>
        </w:numPr>
        <w:jc w:val="center"/>
        <w:rPr>
          <w:lang w:val="fr-FR"/>
        </w:rPr>
      </w:pPr>
      <w:r w:rsidRPr="002961BC">
        <w:rPr>
          <w:lang w:val="fr-FR"/>
        </w:rPr>
        <w:t>Figure</w:t>
      </w:r>
      <w:r w:rsidR="00FE6238">
        <w:rPr>
          <w:lang w:val="fr-FR"/>
        </w:rPr>
        <w:t> </w:t>
      </w:r>
      <w:r w:rsidRPr="002961BC">
        <w:rPr>
          <w:lang w:val="fr-FR"/>
        </w:rPr>
        <w:t>1a</w:t>
      </w:r>
      <w:r w:rsidR="00242126">
        <w:rPr>
          <w:lang w:val="fr-FR"/>
        </w:rPr>
        <w:t> :</w:t>
      </w:r>
      <w:r w:rsidRPr="002961BC">
        <w:rPr>
          <w:lang w:val="fr-FR"/>
        </w:rPr>
        <w:t xml:space="preserve"> </w:t>
      </w:r>
      <w:r w:rsidR="002E11FE" w:rsidRPr="002961BC">
        <w:rPr>
          <w:lang w:val="fr-FR"/>
        </w:rPr>
        <w:t>Dépôts additionnels engendrés par des réductions hypothétiques de</w:t>
      </w:r>
      <w:r w:rsidR="0041660A" w:rsidRPr="002961BC">
        <w:rPr>
          <w:lang w:val="fr-FR"/>
        </w:rPr>
        <w:t>s</w:t>
      </w:r>
      <w:r w:rsidR="002E11FE" w:rsidRPr="002961BC">
        <w:rPr>
          <w:lang w:val="fr-FR"/>
        </w:rPr>
        <w:t xml:space="preserve"> taxes</w:t>
      </w:r>
      <w:r w:rsidRPr="002961BC">
        <w:rPr>
          <w:lang w:val="fr-FR"/>
        </w:rPr>
        <w:t xml:space="preserve">, </w:t>
      </w:r>
      <w:r w:rsidR="002E11FE" w:rsidRPr="002961BC">
        <w:rPr>
          <w:lang w:val="fr-FR"/>
        </w:rPr>
        <w:t xml:space="preserve">pays </w:t>
      </w:r>
      <w:r w:rsidR="0041660A" w:rsidRPr="002961BC">
        <w:rPr>
          <w:lang w:val="fr-FR"/>
        </w:rPr>
        <w:t>développés</w:t>
      </w:r>
      <w:r w:rsidRPr="002961BC">
        <w:rPr>
          <w:lang w:val="fr-FR"/>
        </w:rPr>
        <w:t>, 2015</w:t>
      </w:r>
    </w:p>
    <w:p w:rsidR="005645FF" w:rsidRDefault="00A6521E" w:rsidP="00D4306D">
      <w:pPr>
        <w:pStyle w:val="ONUMFS"/>
        <w:numPr>
          <w:ilvl w:val="0"/>
          <w:numId w:val="0"/>
        </w:numPr>
        <w:rPr>
          <w:lang w:val="fr-FR"/>
        </w:rPr>
      </w:pPr>
      <w:r w:rsidRPr="00A6521E">
        <w:rPr>
          <w:noProof/>
          <w:lang w:val="en-US" w:eastAsia="en-US"/>
        </w:rPr>
        <w:drawing>
          <wp:inline distT="0" distB="0" distL="0" distR="0" wp14:anchorId="47729CB4" wp14:editId="12F291BD">
            <wp:extent cx="5940425" cy="3409847"/>
            <wp:effectExtent l="0" t="0" r="317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3409847"/>
                    </a:xfrm>
                    <a:prstGeom prst="rect">
                      <a:avLst/>
                    </a:prstGeom>
                    <a:noFill/>
                    <a:ln>
                      <a:noFill/>
                    </a:ln>
                  </pic:spPr>
                </pic:pic>
              </a:graphicData>
            </a:graphic>
          </wp:inline>
        </w:drawing>
      </w:r>
    </w:p>
    <w:p w:rsidR="005645FF" w:rsidRDefault="003F0F8D" w:rsidP="00D4306D">
      <w:pPr>
        <w:pStyle w:val="ONUMFS"/>
        <w:numPr>
          <w:ilvl w:val="0"/>
          <w:numId w:val="0"/>
        </w:numPr>
        <w:jc w:val="center"/>
        <w:rPr>
          <w:lang w:val="fr-FR"/>
        </w:rPr>
      </w:pPr>
      <w:r w:rsidRPr="002961BC">
        <w:rPr>
          <w:lang w:val="fr-FR"/>
        </w:rPr>
        <w:t>Figure</w:t>
      </w:r>
      <w:r w:rsidR="00FE6238">
        <w:rPr>
          <w:lang w:val="fr-FR"/>
        </w:rPr>
        <w:t> </w:t>
      </w:r>
      <w:r w:rsidRPr="002961BC">
        <w:rPr>
          <w:lang w:val="fr-FR"/>
        </w:rPr>
        <w:t>1b</w:t>
      </w:r>
      <w:r w:rsidR="00242126">
        <w:rPr>
          <w:lang w:val="fr-FR"/>
        </w:rPr>
        <w:t> :</w:t>
      </w:r>
      <w:r w:rsidRPr="002961BC">
        <w:rPr>
          <w:lang w:val="fr-FR"/>
        </w:rPr>
        <w:t xml:space="preserve"> </w:t>
      </w:r>
      <w:r w:rsidR="0041660A" w:rsidRPr="002961BC">
        <w:rPr>
          <w:lang w:val="fr-FR"/>
        </w:rPr>
        <w:t>Dépôts additionnels engendrés par des réductions hypothétiques des taxes, pays en développement</w:t>
      </w:r>
      <w:r w:rsidRPr="002961BC">
        <w:rPr>
          <w:lang w:val="fr-FR"/>
        </w:rPr>
        <w:t>, 2015</w:t>
      </w:r>
    </w:p>
    <w:p w:rsidR="00A236F8" w:rsidRDefault="00A236F8" w:rsidP="00D4306D">
      <w:pPr>
        <w:pStyle w:val="ONUMFS"/>
        <w:numPr>
          <w:ilvl w:val="0"/>
          <w:numId w:val="0"/>
        </w:numPr>
        <w:jc w:val="center"/>
        <w:rPr>
          <w:lang w:val="fr-FR"/>
        </w:rPr>
      </w:pPr>
      <w:r w:rsidRPr="00A236F8">
        <w:rPr>
          <w:noProof/>
          <w:lang w:val="en-US" w:eastAsia="en-US"/>
        </w:rPr>
        <w:lastRenderedPageBreak/>
        <w:drawing>
          <wp:inline distT="0" distB="0" distL="0" distR="0" wp14:anchorId="7ECDCC29" wp14:editId="381E2C31">
            <wp:extent cx="5940425" cy="364276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642765"/>
                    </a:xfrm>
                    <a:prstGeom prst="rect">
                      <a:avLst/>
                    </a:prstGeom>
                    <a:noFill/>
                    <a:ln>
                      <a:noFill/>
                    </a:ln>
                  </pic:spPr>
                </pic:pic>
              </a:graphicData>
            </a:graphic>
          </wp:inline>
        </w:drawing>
      </w:r>
    </w:p>
    <w:p w:rsidR="005645FF" w:rsidRDefault="00854327" w:rsidP="00D4306D">
      <w:pPr>
        <w:pStyle w:val="ONUMFS"/>
        <w:numPr>
          <w:ilvl w:val="0"/>
          <w:numId w:val="0"/>
        </w:numPr>
        <w:jc w:val="center"/>
        <w:rPr>
          <w:lang w:val="fr-FR"/>
        </w:rPr>
      </w:pPr>
      <w:r w:rsidRPr="002961BC">
        <w:rPr>
          <w:lang w:val="fr-FR"/>
        </w:rPr>
        <w:t>Figure</w:t>
      </w:r>
      <w:r w:rsidR="00FE6238">
        <w:rPr>
          <w:lang w:val="fr-FR"/>
        </w:rPr>
        <w:t> </w:t>
      </w:r>
      <w:r w:rsidRPr="002961BC">
        <w:rPr>
          <w:lang w:val="fr-FR"/>
        </w:rPr>
        <w:t>2a</w:t>
      </w:r>
      <w:r w:rsidR="00242126">
        <w:rPr>
          <w:lang w:val="fr-FR"/>
        </w:rPr>
        <w:t> :</w:t>
      </w:r>
      <w:r w:rsidRPr="002961BC">
        <w:rPr>
          <w:lang w:val="fr-FR"/>
        </w:rPr>
        <w:t xml:space="preserve"> </w:t>
      </w:r>
      <w:r w:rsidR="001B0F65" w:rsidRPr="002961BC">
        <w:rPr>
          <w:lang w:val="fr-FR"/>
        </w:rPr>
        <w:t xml:space="preserve">Perte de </w:t>
      </w:r>
      <w:r w:rsidR="006A13C2" w:rsidRPr="002961BC">
        <w:rPr>
          <w:lang w:val="fr-FR"/>
        </w:rPr>
        <w:t>recettes</w:t>
      </w:r>
      <w:r w:rsidR="001B0F65" w:rsidRPr="002961BC">
        <w:rPr>
          <w:lang w:val="fr-FR"/>
        </w:rPr>
        <w:t xml:space="preserve"> provenant de réductions hypothétiques des taxes</w:t>
      </w:r>
      <w:r w:rsidRPr="002961BC">
        <w:rPr>
          <w:lang w:val="fr-FR"/>
        </w:rPr>
        <w:t>,</w:t>
      </w:r>
      <w:r w:rsidR="001B0F65" w:rsidRPr="002961BC">
        <w:rPr>
          <w:lang w:val="fr-FR"/>
        </w:rPr>
        <w:t xml:space="preserve"> pays développés</w:t>
      </w:r>
      <w:r w:rsidRPr="002961BC">
        <w:rPr>
          <w:lang w:val="fr-FR"/>
        </w:rPr>
        <w:t>, 2015</w:t>
      </w:r>
    </w:p>
    <w:p w:rsidR="00A236F8" w:rsidRDefault="00A236F8" w:rsidP="00D4306D">
      <w:pPr>
        <w:pStyle w:val="ONUMFS"/>
        <w:numPr>
          <w:ilvl w:val="0"/>
          <w:numId w:val="0"/>
        </w:numPr>
        <w:jc w:val="center"/>
        <w:rPr>
          <w:lang w:val="fr-FR"/>
        </w:rPr>
      </w:pPr>
      <w:r w:rsidRPr="00A236F8">
        <w:rPr>
          <w:noProof/>
          <w:lang w:val="en-US" w:eastAsia="en-US"/>
        </w:rPr>
        <w:drawing>
          <wp:inline distT="0" distB="0" distL="0" distR="0" wp14:anchorId="789231D5" wp14:editId="1B8EB703">
            <wp:extent cx="5940425" cy="371697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3716972"/>
                    </a:xfrm>
                    <a:prstGeom prst="rect">
                      <a:avLst/>
                    </a:prstGeom>
                    <a:noFill/>
                    <a:ln>
                      <a:noFill/>
                    </a:ln>
                  </pic:spPr>
                </pic:pic>
              </a:graphicData>
            </a:graphic>
          </wp:inline>
        </w:drawing>
      </w:r>
    </w:p>
    <w:p w:rsidR="001F55A6" w:rsidRPr="002961BC" w:rsidRDefault="00854327" w:rsidP="00D4306D">
      <w:pPr>
        <w:pStyle w:val="ONUMFS"/>
        <w:numPr>
          <w:ilvl w:val="0"/>
          <w:numId w:val="0"/>
        </w:numPr>
        <w:jc w:val="center"/>
        <w:rPr>
          <w:lang w:val="fr-FR"/>
        </w:rPr>
      </w:pPr>
      <w:r w:rsidRPr="002961BC">
        <w:rPr>
          <w:lang w:val="fr-FR"/>
        </w:rPr>
        <w:t>Figure</w:t>
      </w:r>
      <w:r w:rsidR="00FE6238">
        <w:rPr>
          <w:lang w:val="fr-FR"/>
        </w:rPr>
        <w:t> </w:t>
      </w:r>
      <w:r w:rsidRPr="002961BC">
        <w:rPr>
          <w:lang w:val="fr-FR"/>
        </w:rPr>
        <w:t>2b</w:t>
      </w:r>
      <w:r w:rsidR="00242126">
        <w:rPr>
          <w:lang w:val="fr-FR"/>
        </w:rPr>
        <w:t> :</w:t>
      </w:r>
      <w:r w:rsidRPr="002961BC">
        <w:rPr>
          <w:lang w:val="fr-FR"/>
        </w:rPr>
        <w:t xml:space="preserve"> </w:t>
      </w:r>
      <w:r w:rsidR="001B0F65" w:rsidRPr="002961BC">
        <w:rPr>
          <w:lang w:val="fr-FR"/>
        </w:rPr>
        <w:t xml:space="preserve">Perte de </w:t>
      </w:r>
      <w:r w:rsidR="006A13C2" w:rsidRPr="002961BC">
        <w:rPr>
          <w:lang w:val="fr-FR"/>
        </w:rPr>
        <w:t>recettes</w:t>
      </w:r>
      <w:r w:rsidR="001B0F65" w:rsidRPr="002961BC">
        <w:rPr>
          <w:lang w:val="fr-FR"/>
        </w:rPr>
        <w:t xml:space="preserve"> provenant de réductions hypothétiques des taxes, pays en développement</w:t>
      </w:r>
      <w:r w:rsidRPr="002961BC">
        <w:rPr>
          <w:lang w:val="fr-FR"/>
        </w:rPr>
        <w:t>, 2015</w:t>
      </w:r>
    </w:p>
    <w:p w:rsidR="001F55A6" w:rsidRPr="002961BC" w:rsidRDefault="00E2289D" w:rsidP="00D4306D">
      <w:pPr>
        <w:pStyle w:val="ONUMFS"/>
        <w:keepLines/>
        <w:rPr>
          <w:lang w:val="fr-FR"/>
        </w:rPr>
      </w:pPr>
      <w:r w:rsidRPr="002961BC">
        <w:rPr>
          <w:lang w:val="fr-FR"/>
        </w:rPr>
        <w:lastRenderedPageBreak/>
        <w:t>Les f</w:t>
      </w:r>
      <w:r w:rsidR="006F17FC" w:rsidRPr="002961BC">
        <w:rPr>
          <w:lang w:val="fr-FR"/>
        </w:rPr>
        <w:t xml:space="preserve">igures 2a </w:t>
      </w:r>
      <w:r w:rsidRPr="002961BC">
        <w:rPr>
          <w:lang w:val="fr-FR"/>
        </w:rPr>
        <w:t>et</w:t>
      </w:r>
      <w:r w:rsidR="006F17FC" w:rsidRPr="002961BC">
        <w:rPr>
          <w:lang w:val="fr-FR"/>
        </w:rPr>
        <w:t xml:space="preserve"> 2b </w:t>
      </w:r>
      <w:r w:rsidR="00807751" w:rsidRPr="002961BC">
        <w:rPr>
          <w:lang w:val="fr-FR"/>
        </w:rPr>
        <w:t>indiquent</w:t>
      </w:r>
      <w:r w:rsidRPr="002961BC">
        <w:rPr>
          <w:lang w:val="fr-FR"/>
        </w:rPr>
        <w:t xml:space="preserve"> la perte de </w:t>
      </w:r>
      <w:r w:rsidR="00282618" w:rsidRPr="002961BC">
        <w:rPr>
          <w:lang w:val="fr-FR"/>
        </w:rPr>
        <w:t>recettes</w:t>
      </w:r>
      <w:r w:rsidRPr="002961BC">
        <w:rPr>
          <w:lang w:val="fr-FR"/>
        </w:rPr>
        <w:t xml:space="preserve"> associée aux mêmes réductions hypothétiques de</w:t>
      </w:r>
      <w:r w:rsidR="00A236F8">
        <w:rPr>
          <w:lang w:val="fr-FR"/>
        </w:rPr>
        <w:t>s</w:t>
      </w:r>
      <w:r w:rsidRPr="002961BC">
        <w:rPr>
          <w:lang w:val="fr-FR"/>
        </w:rPr>
        <w:t xml:space="preserve"> taxe</w:t>
      </w:r>
      <w:r w:rsidR="00A236F8">
        <w:rPr>
          <w:lang w:val="fr-FR"/>
        </w:rPr>
        <w:t>s</w:t>
      </w:r>
      <w:r w:rsidRPr="002961BC">
        <w:rPr>
          <w:lang w:val="fr-FR"/>
        </w:rPr>
        <w:t xml:space="preserve">, à la fois en termes absolus (axe </w:t>
      </w:r>
      <w:r w:rsidR="00807751" w:rsidRPr="002961BC">
        <w:rPr>
          <w:lang w:val="fr-FR"/>
        </w:rPr>
        <w:t xml:space="preserve">des ordonnées </w:t>
      </w:r>
      <w:r w:rsidR="005407C8" w:rsidRPr="002961BC">
        <w:rPr>
          <w:lang w:val="fr-FR"/>
        </w:rPr>
        <w:t xml:space="preserve">à </w:t>
      </w:r>
      <w:r w:rsidRPr="002961BC">
        <w:rPr>
          <w:lang w:val="fr-FR"/>
        </w:rPr>
        <w:t xml:space="preserve">gauche) et </w:t>
      </w:r>
      <w:r w:rsidR="00282618" w:rsidRPr="002961BC">
        <w:rPr>
          <w:lang w:val="fr-FR"/>
        </w:rPr>
        <w:t>relativement au</w:t>
      </w:r>
      <w:r w:rsidRPr="002961BC">
        <w:rPr>
          <w:lang w:val="fr-FR"/>
        </w:rPr>
        <w:t xml:space="preserve"> montant total des </w:t>
      </w:r>
      <w:r w:rsidR="00807751" w:rsidRPr="002961BC">
        <w:rPr>
          <w:lang w:val="fr-FR"/>
        </w:rPr>
        <w:t>recettes</w:t>
      </w:r>
      <w:r w:rsidR="00242126" w:rsidRPr="00242126">
        <w:rPr>
          <w:lang w:val="fr-FR"/>
        </w:rPr>
        <w:t xml:space="preserve"> du PCT</w:t>
      </w:r>
      <w:r w:rsidRPr="002961BC">
        <w:rPr>
          <w:lang w:val="fr-FR"/>
        </w:rPr>
        <w:t xml:space="preserve"> (axe </w:t>
      </w:r>
      <w:r w:rsidR="00807751" w:rsidRPr="002961BC">
        <w:rPr>
          <w:lang w:val="fr-FR"/>
        </w:rPr>
        <w:t>des ordonnées</w:t>
      </w:r>
      <w:r w:rsidRPr="002961BC">
        <w:rPr>
          <w:lang w:val="fr-FR"/>
        </w:rPr>
        <w:t xml:space="preserve"> </w:t>
      </w:r>
      <w:r w:rsidR="005407C8" w:rsidRPr="002961BC">
        <w:rPr>
          <w:lang w:val="fr-FR"/>
        </w:rPr>
        <w:t xml:space="preserve">à </w:t>
      </w:r>
      <w:r w:rsidRPr="002961BC">
        <w:rPr>
          <w:lang w:val="fr-FR"/>
        </w:rPr>
        <w:t>droit</w:t>
      </w:r>
      <w:r w:rsidR="005407C8" w:rsidRPr="002961BC">
        <w:rPr>
          <w:lang w:val="fr-FR"/>
        </w:rPr>
        <w:t>e</w:t>
      </w:r>
      <w:r w:rsidRPr="002961BC">
        <w:rPr>
          <w:lang w:val="fr-FR"/>
        </w:rPr>
        <w:t>)</w:t>
      </w:r>
      <w:r w:rsidR="006F17FC" w:rsidRPr="002961BC">
        <w:rPr>
          <w:rStyle w:val="FootnoteReference"/>
          <w:lang w:val="fr-FR"/>
        </w:rPr>
        <w:footnoteReference w:id="6"/>
      </w:r>
      <w:r w:rsidR="006F17FC" w:rsidRPr="002961BC">
        <w:rPr>
          <w:lang w:val="fr-FR"/>
        </w:rPr>
        <w:t xml:space="preserve">.  </w:t>
      </w:r>
      <w:r w:rsidR="005407C8" w:rsidRPr="002961BC">
        <w:rPr>
          <w:lang w:val="fr-FR"/>
        </w:rPr>
        <w:t xml:space="preserve">Compte tenu </w:t>
      </w:r>
      <w:r w:rsidR="00BA7A4E" w:rsidRPr="002961BC">
        <w:rPr>
          <w:lang w:val="fr-FR"/>
        </w:rPr>
        <w:t xml:space="preserve">des volumes de dépôts moins importants, </w:t>
      </w:r>
      <w:r w:rsidR="004A45DB" w:rsidRPr="002961BC">
        <w:rPr>
          <w:lang w:val="fr-FR"/>
        </w:rPr>
        <w:t>une</w:t>
      </w:r>
      <w:r w:rsidR="00BA7A4E" w:rsidRPr="002961BC">
        <w:rPr>
          <w:lang w:val="fr-FR"/>
        </w:rPr>
        <w:t xml:space="preserve"> même réduction de taxe </w:t>
      </w:r>
      <w:r w:rsidR="005407C8" w:rsidRPr="002961BC">
        <w:rPr>
          <w:lang w:val="fr-FR"/>
        </w:rPr>
        <w:t>génère</w:t>
      </w:r>
      <w:r w:rsidR="00BA7A4E" w:rsidRPr="002961BC">
        <w:rPr>
          <w:lang w:val="fr-FR"/>
        </w:rPr>
        <w:t xml:space="preserve"> des pertes de </w:t>
      </w:r>
      <w:r w:rsidR="00807751" w:rsidRPr="002961BC">
        <w:rPr>
          <w:lang w:val="fr-FR"/>
        </w:rPr>
        <w:t>recettes</w:t>
      </w:r>
      <w:r w:rsidR="00BA7A4E" w:rsidRPr="002961BC">
        <w:rPr>
          <w:lang w:val="fr-FR"/>
        </w:rPr>
        <w:t xml:space="preserve"> moins élevées </w:t>
      </w:r>
      <w:r w:rsidR="00807751" w:rsidRPr="002961BC">
        <w:rPr>
          <w:lang w:val="fr-FR"/>
        </w:rPr>
        <w:t>dans</w:t>
      </w:r>
      <w:r w:rsidR="00BA7A4E" w:rsidRPr="002961BC">
        <w:rPr>
          <w:lang w:val="fr-FR"/>
        </w:rPr>
        <w:t xml:space="preserve"> les pays en développement que </w:t>
      </w:r>
      <w:r w:rsidR="00807751" w:rsidRPr="002961BC">
        <w:rPr>
          <w:lang w:val="fr-FR"/>
        </w:rPr>
        <w:t>dans</w:t>
      </w:r>
      <w:r w:rsidR="00BA7A4E" w:rsidRPr="002961BC">
        <w:rPr>
          <w:lang w:val="fr-FR"/>
        </w:rPr>
        <w:t xml:space="preserve"> les pays développés.</w:t>
      </w:r>
    </w:p>
    <w:p w:rsidR="001F55A6" w:rsidRPr="002961BC" w:rsidRDefault="00BA7A4E" w:rsidP="00D4306D">
      <w:pPr>
        <w:pStyle w:val="ONUMFS"/>
        <w:rPr>
          <w:lang w:val="fr-FR"/>
        </w:rPr>
      </w:pPr>
      <w:r w:rsidRPr="002961BC">
        <w:rPr>
          <w:lang w:val="fr-FR"/>
        </w:rPr>
        <w:t xml:space="preserve">Enfin, il est </w:t>
      </w:r>
      <w:r w:rsidR="00807751" w:rsidRPr="002961BC">
        <w:rPr>
          <w:lang w:val="fr-FR"/>
        </w:rPr>
        <w:t>intéressant</w:t>
      </w:r>
      <w:r w:rsidRPr="002961BC">
        <w:rPr>
          <w:lang w:val="fr-FR"/>
        </w:rPr>
        <w:t xml:space="preserve"> de calculer le coût des dépôts additionnels en termes de perte implicite de </w:t>
      </w:r>
      <w:r w:rsidR="00807751" w:rsidRPr="002961BC">
        <w:rPr>
          <w:lang w:val="fr-FR"/>
        </w:rPr>
        <w:t>recettes</w:t>
      </w:r>
      <w:r w:rsidRPr="002961BC">
        <w:rPr>
          <w:lang w:val="fr-FR"/>
        </w:rPr>
        <w:t xml:space="preserve"> par demande additionnelle prév</w:t>
      </w:r>
      <w:r w:rsidR="005D014A" w:rsidRPr="002961BC">
        <w:rPr>
          <w:lang w:val="fr-FR"/>
        </w:rPr>
        <w:t>ue</w:t>
      </w:r>
      <w:r w:rsidR="005D014A">
        <w:rPr>
          <w:lang w:val="fr-FR"/>
        </w:rPr>
        <w:t xml:space="preserve">.  </w:t>
      </w:r>
      <w:r w:rsidR="005D014A" w:rsidRPr="002961BC">
        <w:rPr>
          <w:lang w:val="fr-FR"/>
        </w:rPr>
        <w:t>Da</w:t>
      </w:r>
      <w:r w:rsidR="00807751" w:rsidRPr="002961BC">
        <w:rPr>
          <w:lang w:val="fr-FR"/>
        </w:rPr>
        <w:t>ns</w:t>
      </w:r>
      <w:r w:rsidRPr="002961BC">
        <w:rPr>
          <w:lang w:val="fr-FR"/>
        </w:rPr>
        <w:t xml:space="preserve"> les pays développés, ce coût varie entre 27 34</w:t>
      </w:r>
      <w:r w:rsidR="00242126" w:rsidRPr="002961BC">
        <w:rPr>
          <w:lang w:val="fr-FR"/>
        </w:rPr>
        <w:t>0</w:t>
      </w:r>
      <w:r w:rsidR="00242126">
        <w:rPr>
          <w:lang w:val="fr-FR"/>
        </w:rPr>
        <w:t> </w:t>
      </w:r>
      <w:r w:rsidR="00242126" w:rsidRPr="002961BC">
        <w:rPr>
          <w:lang w:val="fr-FR"/>
        </w:rPr>
        <w:t>franc</w:t>
      </w:r>
      <w:r w:rsidRPr="002961BC">
        <w:rPr>
          <w:lang w:val="fr-FR"/>
        </w:rPr>
        <w:t>s suisses par dépôt pour une réduction de taxe proche de zéro et 28 48</w:t>
      </w:r>
      <w:r w:rsidR="00242126" w:rsidRPr="002961BC">
        <w:rPr>
          <w:lang w:val="fr-FR"/>
        </w:rPr>
        <w:t>0</w:t>
      </w:r>
      <w:r w:rsidR="00242126">
        <w:rPr>
          <w:lang w:val="fr-FR"/>
        </w:rPr>
        <w:t> </w:t>
      </w:r>
      <w:r w:rsidR="00242126" w:rsidRPr="002961BC">
        <w:rPr>
          <w:lang w:val="fr-FR"/>
        </w:rPr>
        <w:t>franc</w:t>
      </w:r>
      <w:r w:rsidRPr="002961BC">
        <w:rPr>
          <w:lang w:val="fr-FR"/>
        </w:rPr>
        <w:t xml:space="preserve">s suisses par dépôt pour une réduction de taxe de 100%.  </w:t>
      </w:r>
      <w:r w:rsidR="00807751" w:rsidRPr="002961BC">
        <w:rPr>
          <w:lang w:val="fr-FR"/>
        </w:rPr>
        <w:t>Dans</w:t>
      </w:r>
      <w:r w:rsidRPr="002961BC">
        <w:rPr>
          <w:lang w:val="fr-FR"/>
        </w:rPr>
        <w:t xml:space="preserve"> les pays en développement, il varie entre 586</w:t>
      </w:r>
      <w:r w:rsidR="00242126" w:rsidRPr="002961BC">
        <w:rPr>
          <w:lang w:val="fr-FR"/>
        </w:rPr>
        <w:t>0</w:t>
      </w:r>
      <w:r w:rsidR="00242126">
        <w:rPr>
          <w:lang w:val="fr-FR"/>
        </w:rPr>
        <w:t> </w:t>
      </w:r>
      <w:r w:rsidR="00242126" w:rsidRPr="002961BC">
        <w:rPr>
          <w:lang w:val="fr-FR"/>
        </w:rPr>
        <w:t>franc</w:t>
      </w:r>
      <w:r w:rsidRPr="002961BC">
        <w:rPr>
          <w:lang w:val="fr-FR"/>
        </w:rPr>
        <w:t>s suisses par dépôt pour une réduction de taxe proche de zéro et 701</w:t>
      </w:r>
      <w:r w:rsidR="00242126" w:rsidRPr="002961BC">
        <w:rPr>
          <w:lang w:val="fr-FR"/>
        </w:rPr>
        <w:t>0</w:t>
      </w:r>
      <w:r w:rsidR="00242126">
        <w:rPr>
          <w:lang w:val="fr-FR"/>
        </w:rPr>
        <w:t> </w:t>
      </w:r>
      <w:r w:rsidR="00242126" w:rsidRPr="002961BC">
        <w:rPr>
          <w:lang w:val="fr-FR"/>
        </w:rPr>
        <w:t>franc</w:t>
      </w:r>
      <w:r w:rsidRPr="002961BC">
        <w:rPr>
          <w:lang w:val="fr-FR"/>
        </w:rPr>
        <w:t xml:space="preserve">s suisses pour une réduction de taxe de 100%.  </w:t>
      </w:r>
      <w:r w:rsidR="00556F49" w:rsidRPr="002961BC">
        <w:rPr>
          <w:lang w:val="fr-FR"/>
        </w:rPr>
        <w:t xml:space="preserve">Il </w:t>
      </w:r>
      <w:r w:rsidR="005407C8" w:rsidRPr="002961BC">
        <w:rPr>
          <w:lang w:val="fr-FR"/>
        </w:rPr>
        <w:t>apparaît</w:t>
      </w:r>
      <w:r w:rsidR="00556F49" w:rsidRPr="002961BC">
        <w:rPr>
          <w:lang w:val="fr-FR"/>
        </w:rPr>
        <w:t xml:space="preserve"> que ce coût par demande ne dépend pas de l</w:t>
      </w:r>
      <w:r w:rsidR="00242126">
        <w:rPr>
          <w:lang w:val="fr-FR"/>
        </w:rPr>
        <w:t>’</w:t>
      </w:r>
      <w:r w:rsidR="00556F49" w:rsidRPr="002961BC">
        <w:rPr>
          <w:lang w:val="fr-FR"/>
        </w:rPr>
        <w:t>existence et de la valeur d</w:t>
      </w:r>
      <w:r w:rsidR="00242126">
        <w:rPr>
          <w:lang w:val="fr-FR"/>
        </w:rPr>
        <w:t>’</w:t>
      </w:r>
      <w:r w:rsidR="00556F49" w:rsidRPr="002961BC">
        <w:rPr>
          <w:lang w:val="fr-FR"/>
        </w:rPr>
        <w:t xml:space="preserve">un plafond </w:t>
      </w:r>
      <w:r w:rsidR="00807751" w:rsidRPr="002961BC">
        <w:rPr>
          <w:lang w:val="fr-FR"/>
        </w:rPr>
        <w:t xml:space="preserve">de demandes </w:t>
      </w:r>
      <w:r w:rsidR="002B329B" w:rsidRPr="002961BC">
        <w:rPr>
          <w:lang w:val="fr-FR"/>
        </w:rPr>
        <w:t>remplissant les conditions requis</w:t>
      </w:r>
      <w:r w:rsidR="005D014A" w:rsidRPr="002961BC">
        <w:rPr>
          <w:lang w:val="fr-FR"/>
        </w:rPr>
        <w:t>es</w:t>
      </w:r>
      <w:r w:rsidR="005D014A">
        <w:rPr>
          <w:lang w:val="fr-FR"/>
        </w:rPr>
        <w:t xml:space="preserve">.  </w:t>
      </w:r>
      <w:r w:rsidR="005D014A" w:rsidRPr="002961BC">
        <w:rPr>
          <w:lang w:val="fr-FR"/>
        </w:rPr>
        <w:t>Na</w:t>
      </w:r>
      <w:r w:rsidR="005407C8" w:rsidRPr="002961BC">
        <w:rPr>
          <w:lang w:val="fr-FR"/>
        </w:rPr>
        <w:t>turellement</w:t>
      </w:r>
      <w:r w:rsidR="00556F49" w:rsidRPr="002961BC">
        <w:rPr>
          <w:lang w:val="fr-FR"/>
        </w:rPr>
        <w:t xml:space="preserve">, </w:t>
      </w:r>
      <w:r w:rsidR="005407C8" w:rsidRPr="002961BC">
        <w:rPr>
          <w:lang w:val="fr-FR"/>
        </w:rPr>
        <w:t>un</w:t>
      </w:r>
      <w:r w:rsidR="00556F49" w:rsidRPr="002961BC">
        <w:rPr>
          <w:lang w:val="fr-FR"/>
        </w:rPr>
        <w:t xml:space="preserve"> plafond réduit la perte de </w:t>
      </w:r>
      <w:r w:rsidR="00807751" w:rsidRPr="002961BC">
        <w:rPr>
          <w:lang w:val="fr-FR"/>
        </w:rPr>
        <w:t>recettes</w:t>
      </w:r>
      <w:r w:rsidR="00556F49" w:rsidRPr="002961BC">
        <w:rPr>
          <w:lang w:val="fr-FR"/>
        </w:rPr>
        <w:t xml:space="preserve"> associée à une réduction de taxe</w:t>
      </w:r>
      <w:r w:rsidR="00807751" w:rsidRPr="002961BC">
        <w:rPr>
          <w:lang w:val="fr-FR"/>
        </w:rPr>
        <w:t>,</w:t>
      </w:r>
      <w:r w:rsidR="00556F49" w:rsidRPr="002961BC">
        <w:rPr>
          <w:lang w:val="fr-FR"/>
        </w:rPr>
        <w:t xml:space="preserve"> mais également le nombre de dépôts additionnels;  les deux</w:t>
      </w:r>
      <w:r w:rsidR="00FE6238">
        <w:rPr>
          <w:lang w:val="fr-FR"/>
        </w:rPr>
        <w:t> </w:t>
      </w:r>
      <w:r w:rsidR="00556F49" w:rsidRPr="002961BC">
        <w:rPr>
          <w:lang w:val="fr-FR"/>
        </w:rPr>
        <w:t xml:space="preserve">effets se compensent </w:t>
      </w:r>
      <w:r w:rsidR="005407C8" w:rsidRPr="002961BC">
        <w:rPr>
          <w:lang w:val="fr-FR"/>
        </w:rPr>
        <w:t>parfaitement</w:t>
      </w:r>
      <w:r w:rsidR="00854327" w:rsidRPr="002961BC">
        <w:rPr>
          <w:rStyle w:val="FootnoteReference"/>
          <w:lang w:val="fr-FR"/>
        </w:rPr>
        <w:footnoteReference w:id="7"/>
      </w:r>
      <w:r w:rsidR="00854327" w:rsidRPr="002961BC">
        <w:rPr>
          <w:lang w:val="fr-FR"/>
        </w:rPr>
        <w:t xml:space="preserve">.  </w:t>
      </w:r>
      <w:r w:rsidR="0017138A" w:rsidRPr="002961BC">
        <w:rPr>
          <w:lang w:val="fr-FR"/>
        </w:rPr>
        <w:t xml:space="preserve">Il est également important de souligner que la différence </w:t>
      </w:r>
      <w:r w:rsidR="00807751" w:rsidRPr="002961BC">
        <w:rPr>
          <w:lang w:val="fr-FR"/>
        </w:rPr>
        <w:t>de</w:t>
      </w:r>
      <w:r w:rsidR="0017138A" w:rsidRPr="002961BC">
        <w:rPr>
          <w:lang w:val="fr-FR"/>
        </w:rPr>
        <w:t xml:space="preserve"> perte de </w:t>
      </w:r>
      <w:r w:rsidR="00807751" w:rsidRPr="002961BC">
        <w:rPr>
          <w:lang w:val="fr-FR"/>
        </w:rPr>
        <w:t>recettes</w:t>
      </w:r>
      <w:r w:rsidR="0017138A" w:rsidRPr="002961BC">
        <w:rPr>
          <w:lang w:val="fr-FR"/>
        </w:rPr>
        <w:t xml:space="preserve"> par demande entre pays développés </w:t>
      </w:r>
      <w:r w:rsidR="00807751" w:rsidRPr="002961BC">
        <w:rPr>
          <w:lang w:val="fr-FR"/>
        </w:rPr>
        <w:t>et</w:t>
      </w:r>
      <w:r w:rsidR="0017138A" w:rsidRPr="002961BC">
        <w:rPr>
          <w:lang w:val="fr-FR"/>
        </w:rPr>
        <w:t xml:space="preserve"> pays en développement est principalement due à la différence de valeur de l</w:t>
      </w:r>
      <w:r w:rsidR="00242126">
        <w:rPr>
          <w:lang w:val="fr-FR"/>
        </w:rPr>
        <w:t>’</w:t>
      </w:r>
      <w:r w:rsidR="0017138A" w:rsidRPr="002961BC">
        <w:rPr>
          <w:lang w:val="fr-FR"/>
        </w:rPr>
        <w:t xml:space="preserve">élasticité </w:t>
      </w:r>
      <w:r w:rsidR="00807751" w:rsidRPr="002961BC">
        <w:rPr>
          <w:lang w:val="fr-FR"/>
        </w:rPr>
        <w:t>par rapport à</w:t>
      </w:r>
      <w:r w:rsidR="0017138A" w:rsidRPr="002961BC">
        <w:rPr>
          <w:lang w:val="fr-FR"/>
        </w:rPr>
        <w:t xml:space="preserve"> la taxe entre ces deux</w:t>
      </w:r>
      <w:r w:rsidR="00FE6238">
        <w:rPr>
          <w:lang w:val="fr-FR"/>
        </w:rPr>
        <w:t> </w:t>
      </w:r>
      <w:r w:rsidR="0017138A" w:rsidRPr="002961BC">
        <w:rPr>
          <w:lang w:val="fr-FR"/>
        </w:rPr>
        <w:t>groupes de pays</w:t>
      </w:r>
      <w:r w:rsidR="008B05FB" w:rsidRPr="002961BC">
        <w:rPr>
          <w:rStyle w:val="FootnoteReference"/>
          <w:lang w:val="fr-FR"/>
        </w:rPr>
        <w:footnoteReference w:id="8"/>
      </w:r>
      <w:r w:rsidR="008B05FB" w:rsidRPr="002961BC">
        <w:rPr>
          <w:lang w:val="fr-FR"/>
        </w:rPr>
        <w:t xml:space="preserve">.  </w:t>
      </w:r>
      <w:r w:rsidR="0017138A" w:rsidRPr="002961BC">
        <w:rPr>
          <w:lang w:val="fr-FR"/>
        </w:rPr>
        <w:t>Des distorsions possibles de l</w:t>
      </w:r>
      <w:r w:rsidR="00242126">
        <w:rPr>
          <w:lang w:val="fr-FR"/>
        </w:rPr>
        <w:t>’</w:t>
      </w:r>
      <w:r w:rsidR="0017138A" w:rsidRPr="002961BC">
        <w:rPr>
          <w:lang w:val="fr-FR"/>
        </w:rPr>
        <w:t>estimation relative à l</w:t>
      </w:r>
      <w:r w:rsidR="00242126">
        <w:rPr>
          <w:lang w:val="fr-FR"/>
        </w:rPr>
        <w:t>’</w:t>
      </w:r>
      <w:r w:rsidR="0017138A" w:rsidRPr="002961BC">
        <w:rPr>
          <w:lang w:val="fr-FR"/>
        </w:rPr>
        <w:t xml:space="preserve">élasticité </w:t>
      </w:r>
      <w:r w:rsidR="00807751" w:rsidRPr="002961BC">
        <w:rPr>
          <w:lang w:val="fr-FR"/>
        </w:rPr>
        <w:t>par rapport au montant de</w:t>
      </w:r>
      <w:r w:rsidR="0017138A" w:rsidRPr="002961BC">
        <w:rPr>
          <w:lang w:val="fr-FR"/>
        </w:rPr>
        <w:t xml:space="preserve"> la taxe, comme indiqué ci</w:t>
      </w:r>
      <w:r w:rsidR="00FB6F91">
        <w:rPr>
          <w:lang w:val="fr-FR"/>
        </w:rPr>
        <w:noBreakHyphen/>
      </w:r>
      <w:r w:rsidR="0017138A" w:rsidRPr="002961BC">
        <w:rPr>
          <w:lang w:val="fr-FR"/>
        </w:rPr>
        <w:t>dessus, peuvent donc avoir un impact important sur la perte</w:t>
      </w:r>
      <w:r w:rsidR="00807751" w:rsidRPr="002961BC">
        <w:rPr>
          <w:lang w:val="fr-FR"/>
        </w:rPr>
        <w:t xml:space="preserve"> estimée</w:t>
      </w:r>
      <w:r w:rsidR="0017138A" w:rsidRPr="002961BC">
        <w:rPr>
          <w:lang w:val="fr-FR"/>
        </w:rPr>
        <w:t>.</w:t>
      </w:r>
    </w:p>
    <w:p w:rsidR="008B05FB" w:rsidRPr="002961BC" w:rsidRDefault="0017138A" w:rsidP="00D4306D">
      <w:pPr>
        <w:pStyle w:val="ONUMFS"/>
        <w:rPr>
          <w:lang w:val="fr-FR"/>
        </w:rPr>
      </w:pPr>
      <w:r w:rsidRPr="002961BC">
        <w:rPr>
          <w:lang w:val="fr-FR"/>
        </w:rPr>
        <w:t xml:space="preserve">En </w:t>
      </w:r>
      <w:r w:rsidR="00A236F8">
        <w:rPr>
          <w:lang w:val="fr-FR"/>
        </w:rPr>
        <w:t>résumé</w:t>
      </w:r>
      <w:r w:rsidRPr="002961BC">
        <w:rPr>
          <w:lang w:val="fr-FR"/>
        </w:rPr>
        <w:t>, les tableaux</w:t>
      </w:r>
      <w:r w:rsidR="00854327" w:rsidRPr="002961BC">
        <w:rPr>
          <w:lang w:val="fr-FR"/>
        </w:rPr>
        <w:t xml:space="preserve"> 3a </w:t>
      </w:r>
      <w:r w:rsidRPr="002961BC">
        <w:rPr>
          <w:lang w:val="fr-FR"/>
        </w:rPr>
        <w:t>et</w:t>
      </w:r>
      <w:r w:rsidR="00854327" w:rsidRPr="002961BC">
        <w:rPr>
          <w:lang w:val="fr-FR"/>
        </w:rPr>
        <w:t xml:space="preserve"> 3b </w:t>
      </w:r>
      <w:r w:rsidR="00A236F8">
        <w:rPr>
          <w:lang w:val="fr-FR"/>
        </w:rPr>
        <w:t>contiennent une</w:t>
      </w:r>
      <w:r w:rsidRPr="002961BC">
        <w:rPr>
          <w:lang w:val="fr-FR"/>
        </w:rPr>
        <w:t xml:space="preserve"> simulation de</w:t>
      </w:r>
      <w:r w:rsidR="00A236F8">
        <w:rPr>
          <w:lang w:val="fr-FR"/>
        </w:rPr>
        <w:t>s</w:t>
      </w:r>
      <w:r w:rsidRPr="002961BC">
        <w:rPr>
          <w:lang w:val="fr-FR"/>
        </w:rPr>
        <w:t xml:space="preserve"> perte</w:t>
      </w:r>
      <w:r w:rsidR="0046600D">
        <w:rPr>
          <w:lang w:val="fr-FR"/>
        </w:rPr>
        <w:t>s</w:t>
      </w:r>
      <w:r w:rsidRPr="002961BC">
        <w:rPr>
          <w:lang w:val="fr-FR"/>
        </w:rPr>
        <w:t xml:space="preserve"> de </w:t>
      </w:r>
      <w:r w:rsidR="00807751" w:rsidRPr="002961BC">
        <w:rPr>
          <w:lang w:val="fr-FR"/>
        </w:rPr>
        <w:t>recettes</w:t>
      </w:r>
      <w:r w:rsidRPr="002961BC">
        <w:rPr>
          <w:lang w:val="fr-FR"/>
        </w:rPr>
        <w:t xml:space="preserve"> </w:t>
      </w:r>
      <w:r w:rsidR="00854327" w:rsidRPr="002961BC">
        <w:rPr>
          <w:lang w:val="fr-FR"/>
        </w:rPr>
        <w:t xml:space="preserve">– </w:t>
      </w:r>
      <w:r w:rsidRPr="002961BC">
        <w:rPr>
          <w:lang w:val="fr-FR"/>
        </w:rPr>
        <w:t xml:space="preserve">par demande et au total </w:t>
      </w:r>
      <w:r w:rsidR="00854327" w:rsidRPr="002961BC">
        <w:rPr>
          <w:lang w:val="fr-FR"/>
        </w:rPr>
        <w:t xml:space="preserve">– </w:t>
      </w:r>
      <w:r w:rsidRPr="002961BC">
        <w:rPr>
          <w:lang w:val="fr-FR"/>
        </w:rPr>
        <w:t>pour des réductions de taxe de</w:t>
      </w:r>
      <w:r w:rsidR="00854327" w:rsidRPr="002961BC">
        <w:rPr>
          <w:lang w:val="fr-FR"/>
        </w:rPr>
        <w:t> 25</w:t>
      </w:r>
      <w:r w:rsidR="00807751" w:rsidRPr="002961BC">
        <w:rPr>
          <w:lang w:val="fr-FR"/>
        </w:rPr>
        <w:t>%</w:t>
      </w:r>
      <w:r w:rsidR="00854327" w:rsidRPr="002961BC">
        <w:rPr>
          <w:lang w:val="fr-FR"/>
        </w:rPr>
        <w:t>, 50</w:t>
      </w:r>
      <w:r w:rsidR="00807751" w:rsidRPr="002961BC">
        <w:rPr>
          <w:lang w:val="fr-FR"/>
        </w:rPr>
        <w:t>%</w:t>
      </w:r>
      <w:r w:rsidRPr="002961BC">
        <w:rPr>
          <w:lang w:val="fr-FR"/>
        </w:rPr>
        <w:t xml:space="preserve"> et </w:t>
      </w:r>
      <w:r w:rsidR="00854327" w:rsidRPr="002961BC">
        <w:rPr>
          <w:lang w:val="fr-FR"/>
        </w:rPr>
        <w:t>75</w:t>
      </w:r>
      <w:r w:rsidR="00807751" w:rsidRPr="002961BC">
        <w:rPr>
          <w:lang w:val="fr-FR"/>
        </w:rPr>
        <w:t>%</w:t>
      </w:r>
      <w:r w:rsidR="00854327" w:rsidRPr="002961BC">
        <w:rPr>
          <w:lang w:val="fr-FR"/>
        </w:rPr>
        <w:t>.</w:t>
      </w:r>
    </w:p>
    <w:tbl>
      <w:tblPr>
        <w:tblW w:w="5000" w:type="pct"/>
        <w:tblCellMar>
          <w:left w:w="28" w:type="dxa"/>
          <w:right w:w="28" w:type="dxa"/>
        </w:tblCellMar>
        <w:tblLook w:val="04A0" w:firstRow="1" w:lastRow="0" w:firstColumn="1" w:lastColumn="0" w:noHBand="0" w:noVBand="1"/>
      </w:tblPr>
      <w:tblGrid>
        <w:gridCol w:w="1740"/>
        <w:gridCol w:w="1912"/>
        <w:gridCol w:w="1183"/>
        <w:gridCol w:w="1184"/>
        <w:gridCol w:w="1184"/>
        <w:gridCol w:w="1184"/>
        <w:gridCol w:w="1184"/>
      </w:tblGrid>
      <w:tr w:rsidR="008B05FB" w:rsidRPr="002961BC" w:rsidTr="00842DA4">
        <w:trPr>
          <w:cantSplit/>
        </w:trPr>
        <w:tc>
          <w:tcPr>
            <w:tcW w:w="1740" w:type="dxa"/>
            <w:vMerge w:val="restart"/>
            <w:tcMar>
              <w:top w:w="0" w:type="dxa"/>
              <w:left w:w="108" w:type="dxa"/>
              <w:bottom w:w="0" w:type="dxa"/>
              <w:right w:w="108" w:type="dxa"/>
            </w:tcMar>
            <w:vAlign w:val="bottom"/>
            <w:hideMark/>
          </w:tcPr>
          <w:p w:rsidR="008B05FB" w:rsidRPr="002961BC" w:rsidRDefault="00DC5C21" w:rsidP="00D4306D">
            <w:pPr>
              <w:keepNext/>
              <w:keepLines/>
              <w:jc w:val="center"/>
              <w:rPr>
                <w:sz w:val="20"/>
                <w:lang w:val="fr-FR"/>
              </w:rPr>
            </w:pPr>
            <w:r w:rsidRPr="002961BC">
              <w:rPr>
                <w:sz w:val="20"/>
                <w:lang w:val="fr-FR"/>
              </w:rPr>
              <w:t xml:space="preserve">Réduction de taxe </w:t>
            </w:r>
            <w:r w:rsidR="008B05FB" w:rsidRPr="002961BC">
              <w:rPr>
                <w:sz w:val="20"/>
                <w:lang w:val="fr-FR"/>
              </w:rPr>
              <w:t>(</w:t>
            </w:r>
            <w:r w:rsidRPr="002961BC">
              <w:rPr>
                <w:sz w:val="20"/>
                <w:lang w:val="fr-FR"/>
              </w:rPr>
              <w:t>en</w:t>
            </w:r>
            <w:r w:rsidR="00842DA4">
              <w:rPr>
                <w:sz w:val="20"/>
                <w:lang w:val="fr-FR"/>
              </w:rPr>
              <w:t> </w:t>
            </w:r>
            <w:r w:rsidRPr="002961BC">
              <w:rPr>
                <w:sz w:val="20"/>
                <w:lang w:val="fr-FR"/>
              </w:rPr>
              <w:t>pourcentage</w:t>
            </w:r>
            <w:r w:rsidR="008B05FB" w:rsidRPr="002961BC">
              <w:rPr>
                <w:sz w:val="20"/>
                <w:lang w:val="fr-FR"/>
              </w:rPr>
              <w:t>)</w:t>
            </w:r>
          </w:p>
        </w:tc>
        <w:tc>
          <w:tcPr>
            <w:tcW w:w="1912" w:type="dxa"/>
            <w:vMerge w:val="restart"/>
            <w:tcMar>
              <w:top w:w="0" w:type="dxa"/>
              <w:left w:w="108" w:type="dxa"/>
              <w:bottom w:w="0" w:type="dxa"/>
              <w:right w:w="108" w:type="dxa"/>
            </w:tcMar>
            <w:vAlign w:val="bottom"/>
            <w:hideMark/>
          </w:tcPr>
          <w:p w:rsidR="008B05FB" w:rsidRPr="002961BC" w:rsidRDefault="00DC5C21" w:rsidP="00D4306D">
            <w:pPr>
              <w:keepNext/>
              <w:keepLines/>
              <w:jc w:val="center"/>
              <w:rPr>
                <w:sz w:val="20"/>
                <w:lang w:val="fr-FR"/>
              </w:rPr>
            </w:pPr>
            <w:r w:rsidRPr="002961BC">
              <w:rPr>
                <w:sz w:val="20"/>
                <w:lang w:val="fr-FR"/>
              </w:rPr>
              <w:t xml:space="preserve">Perte de </w:t>
            </w:r>
            <w:r w:rsidR="00807751" w:rsidRPr="002961BC">
              <w:rPr>
                <w:sz w:val="20"/>
                <w:lang w:val="fr-FR"/>
              </w:rPr>
              <w:t>recettes</w:t>
            </w:r>
            <w:r w:rsidRPr="002961BC">
              <w:rPr>
                <w:sz w:val="20"/>
                <w:lang w:val="fr-FR"/>
              </w:rPr>
              <w:t xml:space="preserve"> par demande </w:t>
            </w:r>
            <w:r w:rsidR="008B05FB" w:rsidRPr="002961BC">
              <w:rPr>
                <w:sz w:val="20"/>
                <w:lang w:val="fr-FR"/>
              </w:rPr>
              <w:t>(</w:t>
            </w:r>
            <w:r w:rsidRPr="002961BC">
              <w:rPr>
                <w:sz w:val="20"/>
                <w:lang w:val="fr-FR"/>
              </w:rPr>
              <w:t>en</w:t>
            </w:r>
            <w:r w:rsidR="00842DA4">
              <w:rPr>
                <w:sz w:val="20"/>
                <w:lang w:val="fr-FR"/>
              </w:rPr>
              <w:t> </w:t>
            </w:r>
            <w:r w:rsidRPr="002961BC">
              <w:rPr>
                <w:sz w:val="20"/>
                <w:lang w:val="fr-FR"/>
              </w:rPr>
              <w:t>francs suisses</w:t>
            </w:r>
            <w:r w:rsidR="008B05FB" w:rsidRPr="002961BC">
              <w:rPr>
                <w:sz w:val="20"/>
                <w:lang w:val="fr-FR"/>
              </w:rPr>
              <w:t>)</w:t>
            </w:r>
          </w:p>
        </w:tc>
        <w:tc>
          <w:tcPr>
            <w:tcW w:w="5919" w:type="dxa"/>
            <w:gridSpan w:val="5"/>
            <w:tcBorders>
              <w:bottom w:val="single" w:sz="4" w:space="0" w:color="auto"/>
            </w:tcBorders>
            <w:tcMar>
              <w:top w:w="0" w:type="dxa"/>
              <w:left w:w="108" w:type="dxa"/>
              <w:bottom w:w="0" w:type="dxa"/>
              <w:right w:w="108" w:type="dxa"/>
            </w:tcMar>
            <w:vAlign w:val="bottom"/>
            <w:hideMark/>
          </w:tcPr>
          <w:p w:rsidR="008B05FB" w:rsidRPr="002961BC" w:rsidRDefault="00DC5C21" w:rsidP="00D4306D">
            <w:pPr>
              <w:keepNext/>
              <w:keepLines/>
              <w:jc w:val="center"/>
              <w:rPr>
                <w:sz w:val="20"/>
                <w:lang w:val="fr-FR"/>
              </w:rPr>
            </w:pPr>
            <w:r w:rsidRPr="002961BC">
              <w:rPr>
                <w:sz w:val="20"/>
                <w:lang w:val="fr-FR"/>
              </w:rPr>
              <w:t xml:space="preserve">Perte de </w:t>
            </w:r>
            <w:r w:rsidR="00807751" w:rsidRPr="002961BC">
              <w:rPr>
                <w:sz w:val="20"/>
                <w:lang w:val="fr-FR"/>
              </w:rPr>
              <w:t>recettes</w:t>
            </w:r>
            <w:r w:rsidRPr="002961BC">
              <w:rPr>
                <w:sz w:val="20"/>
                <w:lang w:val="fr-FR"/>
              </w:rPr>
              <w:t xml:space="preserve"> </w:t>
            </w:r>
            <w:r w:rsidR="008B05FB" w:rsidRPr="002961BC">
              <w:rPr>
                <w:sz w:val="20"/>
                <w:lang w:val="fr-FR"/>
              </w:rPr>
              <w:t>(</w:t>
            </w:r>
            <w:r w:rsidRPr="002961BC">
              <w:rPr>
                <w:sz w:val="20"/>
                <w:lang w:val="fr-FR"/>
              </w:rPr>
              <w:t xml:space="preserve">en </w:t>
            </w:r>
            <w:r w:rsidR="008B05FB" w:rsidRPr="002961BC">
              <w:rPr>
                <w:sz w:val="20"/>
                <w:lang w:val="fr-FR"/>
              </w:rPr>
              <w:t>millions</w:t>
            </w:r>
            <w:r w:rsidRPr="002961BC">
              <w:rPr>
                <w:sz w:val="20"/>
                <w:lang w:val="fr-FR"/>
              </w:rPr>
              <w:t xml:space="preserve"> de francs suisses</w:t>
            </w:r>
            <w:r w:rsidR="008B05FB" w:rsidRPr="002961BC">
              <w:rPr>
                <w:sz w:val="20"/>
                <w:lang w:val="fr-FR"/>
              </w:rPr>
              <w:t>)</w:t>
            </w:r>
          </w:p>
        </w:tc>
      </w:tr>
      <w:tr w:rsidR="008B05FB" w:rsidRPr="002961BC" w:rsidTr="00842DA4">
        <w:trPr>
          <w:cantSplit/>
        </w:trPr>
        <w:tc>
          <w:tcPr>
            <w:tcW w:w="1740" w:type="dxa"/>
            <w:vMerge/>
            <w:tcBorders>
              <w:bottom w:val="single" w:sz="4" w:space="0" w:color="auto"/>
            </w:tcBorders>
            <w:vAlign w:val="center"/>
            <w:hideMark/>
          </w:tcPr>
          <w:p w:rsidR="008B05FB" w:rsidRPr="002961BC" w:rsidRDefault="008B05FB" w:rsidP="00D4306D">
            <w:pPr>
              <w:jc w:val="center"/>
              <w:rPr>
                <w:sz w:val="20"/>
                <w:lang w:val="fr-FR"/>
              </w:rPr>
            </w:pPr>
          </w:p>
        </w:tc>
        <w:tc>
          <w:tcPr>
            <w:tcW w:w="1912" w:type="dxa"/>
            <w:vMerge/>
            <w:tcBorders>
              <w:bottom w:val="single" w:sz="4" w:space="0" w:color="auto"/>
            </w:tcBorders>
            <w:vAlign w:val="center"/>
            <w:hideMark/>
          </w:tcPr>
          <w:p w:rsidR="008B05FB" w:rsidRPr="002961BC" w:rsidRDefault="008B05FB" w:rsidP="00D4306D">
            <w:pPr>
              <w:jc w:val="center"/>
              <w:rPr>
                <w:sz w:val="20"/>
                <w:lang w:val="fr-FR"/>
              </w:rPr>
            </w:pPr>
          </w:p>
        </w:tc>
        <w:tc>
          <w:tcPr>
            <w:tcW w:w="1183" w:type="dxa"/>
            <w:tcBorders>
              <w:top w:val="single" w:sz="4" w:space="0" w:color="auto"/>
              <w:bottom w:val="single" w:sz="4" w:space="0" w:color="auto"/>
            </w:tcBorders>
            <w:tcMar>
              <w:top w:w="0" w:type="dxa"/>
              <w:left w:w="108" w:type="dxa"/>
              <w:bottom w:w="0" w:type="dxa"/>
              <w:right w:w="108" w:type="dxa"/>
            </w:tcMar>
            <w:hideMark/>
          </w:tcPr>
          <w:p w:rsidR="008B05FB" w:rsidRPr="002961BC" w:rsidRDefault="00DC5C21" w:rsidP="00D4306D">
            <w:pPr>
              <w:jc w:val="center"/>
              <w:rPr>
                <w:sz w:val="20"/>
                <w:lang w:val="fr-FR"/>
              </w:rPr>
            </w:pPr>
            <w:r w:rsidRPr="002961BC">
              <w:rPr>
                <w:sz w:val="20"/>
                <w:lang w:val="fr-FR"/>
              </w:rPr>
              <w:t xml:space="preserve">Plafond </w:t>
            </w:r>
            <w:r w:rsidR="00842DA4">
              <w:rPr>
                <w:sz w:val="20"/>
                <w:lang w:val="fr-FR"/>
              </w:rPr>
              <w:br/>
            </w:r>
            <w:r w:rsidRPr="002961BC">
              <w:rPr>
                <w:sz w:val="20"/>
                <w:lang w:val="fr-FR"/>
              </w:rPr>
              <w:t xml:space="preserve">de </w:t>
            </w:r>
            <w:r w:rsidR="008B05FB" w:rsidRPr="002961BC">
              <w:rPr>
                <w:sz w:val="20"/>
                <w:lang w:val="fr-FR"/>
              </w:rPr>
              <w:t>5</w:t>
            </w:r>
          </w:p>
        </w:tc>
        <w:tc>
          <w:tcPr>
            <w:tcW w:w="1184" w:type="dxa"/>
            <w:tcBorders>
              <w:top w:val="single" w:sz="4" w:space="0" w:color="auto"/>
              <w:bottom w:val="single" w:sz="4" w:space="0" w:color="auto"/>
            </w:tcBorders>
            <w:tcMar>
              <w:top w:w="0" w:type="dxa"/>
              <w:left w:w="108" w:type="dxa"/>
              <w:bottom w:w="0" w:type="dxa"/>
              <w:right w:w="108" w:type="dxa"/>
            </w:tcMar>
            <w:hideMark/>
          </w:tcPr>
          <w:p w:rsidR="008B05FB" w:rsidRPr="002961BC" w:rsidRDefault="00DC5C21" w:rsidP="00D4306D">
            <w:pPr>
              <w:jc w:val="center"/>
              <w:rPr>
                <w:sz w:val="20"/>
                <w:lang w:val="fr-FR"/>
              </w:rPr>
            </w:pPr>
            <w:r w:rsidRPr="002961BC">
              <w:rPr>
                <w:sz w:val="20"/>
                <w:lang w:val="fr-FR"/>
              </w:rPr>
              <w:t xml:space="preserve">Plafond </w:t>
            </w:r>
            <w:r w:rsidR="00842DA4">
              <w:rPr>
                <w:sz w:val="20"/>
                <w:lang w:val="fr-FR"/>
              </w:rPr>
              <w:br/>
            </w:r>
            <w:r w:rsidRPr="002961BC">
              <w:rPr>
                <w:sz w:val="20"/>
                <w:lang w:val="fr-FR"/>
              </w:rPr>
              <w:t xml:space="preserve">de </w:t>
            </w:r>
            <w:r w:rsidR="008B05FB" w:rsidRPr="002961BC">
              <w:rPr>
                <w:sz w:val="20"/>
                <w:lang w:val="fr-FR"/>
              </w:rPr>
              <w:t>10</w:t>
            </w:r>
          </w:p>
        </w:tc>
        <w:tc>
          <w:tcPr>
            <w:tcW w:w="1184" w:type="dxa"/>
            <w:tcBorders>
              <w:top w:val="single" w:sz="4" w:space="0" w:color="auto"/>
              <w:bottom w:val="single" w:sz="4" w:space="0" w:color="auto"/>
            </w:tcBorders>
            <w:tcMar>
              <w:top w:w="0" w:type="dxa"/>
              <w:left w:w="108" w:type="dxa"/>
              <w:bottom w:w="0" w:type="dxa"/>
              <w:right w:w="108" w:type="dxa"/>
            </w:tcMar>
            <w:hideMark/>
          </w:tcPr>
          <w:p w:rsidR="008B05FB" w:rsidRPr="002961BC" w:rsidRDefault="00DC5C21" w:rsidP="00D4306D">
            <w:pPr>
              <w:jc w:val="center"/>
              <w:rPr>
                <w:sz w:val="20"/>
                <w:lang w:val="fr-FR"/>
              </w:rPr>
            </w:pPr>
            <w:r w:rsidRPr="002961BC">
              <w:rPr>
                <w:sz w:val="20"/>
                <w:lang w:val="fr-FR"/>
              </w:rPr>
              <w:t xml:space="preserve">Plafond </w:t>
            </w:r>
            <w:r w:rsidR="00842DA4">
              <w:rPr>
                <w:sz w:val="20"/>
                <w:lang w:val="fr-FR"/>
              </w:rPr>
              <w:br/>
            </w:r>
            <w:r w:rsidRPr="002961BC">
              <w:rPr>
                <w:sz w:val="20"/>
                <w:lang w:val="fr-FR"/>
              </w:rPr>
              <w:t xml:space="preserve">de </w:t>
            </w:r>
            <w:r w:rsidR="008B05FB" w:rsidRPr="002961BC">
              <w:rPr>
                <w:sz w:val="20"/>
                <w:lang w:val="fr-FR"/>
              </w:rPr>
              <w:t>20</w:t>
            </w:r>
          </w:p>
        </w:tc>
        <w:tc>
          <w:tcPr>
            <w:tcW w:w="1184" w:type="dxa"/>
            <w:tcBorders>
              <w:top w:val="single" w:sz="4" w:space="0" w:color="auto"/>
              <w:bottom w:val="single" w:sz="4" w:space="0" w:color="auto"/>
            </w:tcBorders>
            <w:tcMar>
              <w:top w:w="0" w:type="dxa"/>
              <w:left w:w="108" w:type="dxa"/>
              <w:bottom w:w="0" w:type="dxa"/>
              <w:right w:w="108" w:type="dxa"/>
            </w:tcMar>
            <w:hideMark/>
          </w:tcPr>
          <w:p w:rsidR="008B05FB" w:rsidRPr="002961BC" w:rsidRDefault="00DC5C21" w:rsidP="00D4306D">
            <w:pPr>
              <w:jc w:val="center"/>
              <w:rPr>
                <w:sz w:val="20"/>
                <w:lang w:val="fr-FR"/>
              </w:rPr>
            </w:pPr>
            <w:r w:rsidRPr="002961BC">
              <w:rPr>
                <w:sz w:val="20"/>
                <w:lang w:val="fr-FR"/>
              </w:rPr>
              <w:t xml:space="preserve">Plafond </w:t>
            </w:r>
            <w:r w:rsidR="00842DA4">
              <w:rPr>
                <w:sz w:val="20"/>
                <w:lang w:val="fr-FR"/>
              </w:rPr>
              <w:br/>
            </w:r>
            <w:r w:rsidRPr="002961BC">
              <w:rPr>
                <w:sz w:val="20"/>
                <w:lang w:val="fr-FR"/>
              </w:rPr>
              <w:t xml:space="preserve">de </w:t>
            </w:r>
            <w:r w:rsidR="008B05FB" w:rsidRPr="002961BC">
              <w:rPr>
                <w:sz w:val="20"/>
                <w:lang w:val="fr-FR"/>
              </w:rPr>
              <w:t>30</w:t>
            </w:r>
          </w:p>
        </w:tc>
        <w:tc>
          <w:tcPr>
            <w:tcW w:w="1184" w:type="dxa"/>
            <w:tcBorders>
              <w:top w:val="single" w:sz="4" w:space="0" w:color="auto"/>
              <w:bottom w:val="single" w:sz="4" w:space="0" w:color="auto"/>
            </w:tcBorders>
          </w:tcPr>
          <w:p w:rsidR="008B05FB" w:rsidRPr="002961BC" w:rsidRDefault="00DC5C21" w:rsidP="00D4306D">
            <w:pPr>
              <w:jc w:val="center"/>
              <w:rPr>
                <w:sz w:val="20"/>
                <w:lang w:val="fr-FR"/>
              </w:rPr>
            </w:pPr>
            <w:r w:rsidRPr="002961BC">
              <w:rPr>
                <w:sz w:val="20"/>
                <w:lang w:val="fr-FR"/>
              </w:rPr>
              <w:t>Pas de plafond</w:t>
            </w:r>
          </w:p>
        </w:tc>
      </w:tr>
      <w:tr w:rsidR="008B05FB" w:rsidRPr="002961BC" w:rsidTr="00842DA4">
        <w:trPr>
          <w:cantSplit/>
        </w:trPr>
        <w:tc>
          <w:tcPr>
            <w:tcW w:w="1740" w:type="dxa"/>
            <w:tcBorders>
              <w:top w:val="single" w:sz="4" w:space="0" w:color="auto"/>
            </w:tcBorders>
            <w:tcMar>
              <w:top w:w="0" w:type="dxa"/>
              <w:left w:w="108" w:type="dxa"/>
              <w:bottom w:w="0" w:type="dxa"/>
              <w:right w:w="108" w:type="dxa"/>
            </w:tcMar>
            <w:hideMark/>
          </w:tcPr>
          <w:p w:rsidR="008B05FB" w:rsidRPr="002961BC" w:rsidRDefault="008B05FB" w:rsidP="00D4306D">
            <w:pPr>
              <w:spacing w:before="40" w:after="40"/>
              <w:jc w:val="center"/>
              <w:rPr>
                <w:sz w:val="20"/>
                <w:lang w:val="fr-FR"/>
              </w:rPr>
            </w:pPr>
            <w:r w:rsidRPr="002961BC">
              <w:rPr>
                <w:sz w:val="20"/>
                <w:lang w:val="fr-FR"/>
              </w:rPr>
              <w:t>25</w:t>
            </w:r>
          </w:p>
        </w:tc>
        <w:tc>
          <w:tcPr>
            <w:tcW w:w="1912" w:type="dxa"/>
            <w:tcBorders>
              <w:top w:val="single" w:sz="4" w:space="0" w:color="auto"/>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27</w:t>
            </w:r>
            <w:r w:rsidR="00842DA4">
              <w:rPr>
                <w:sz w:val="20"/>
                <w:lang w:val="fr-FR"/>
              </w:rPr>
              <w:t> </w:t>
            </w:r>
            <w:r w:rsidRPr="002961BC">
              <w:rPr>
                <w:sz w:val="20"/>
                <w:lang w:val="fr-FR"/>
              </w:rPr>
              <w:t>625</w:t>
            </w:r>
          </w:p>
        </w:tc>
        <w:tc>
          <w:tcPr>
            <w:tcW w:w="1183" w:type="dxa"/>
            <w:tcBorders>
              <w:top w:val="single" w:sz="4" w:space="0" w:color="auto"/>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0</w:t>
            </w:r>
            <w:r w:rsidR="00842DA4">
              <w:rPr>
                <w:sz w:val="20"/>
                <w:lang w:val="fr-FR"/>
              </w:rPr>
              <w:t>,</w:t>
            </w:r>
            <w:r w:rsidRPr="002961BC">
              <w:rPr>
                <w:sz w:val="20"/>
                <w:lang w:val="fr-FR"/>
              </w:rPr>
              <w:t>78</w:t>
            </w:r>
          </w:p>
        </w:tc>
        <w:tc>
          <w:tcPr>
            <w:tcW w:w="1184" w:type="dxa"/>
            <w:tcBorders>
              <w:top w:val="single" w:sz="4" w:space="0" w:color="auto"/>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1</w:t>
            </w:r>
            <w:r w:rsidR="00842DA4">
              <w:rPr>
                <w:sz w:val="20"/>
                <w:lang w:val="fr-FR"/>
              </w:rPr>
              <w:t>,</w:t>
            </w:r>
            <w:r w:rsidRPr="002961BC">
              <w:rPr>
                <w:sz w:val="20"/>
                <w:lang w:val="fr-FR"/>
              </w:rPr>
              <w:t>15</w:t>
            </w:r>
          </w:p>
        </w:tc>
        <w:tc>
          <w:tcPr>
            <w:tcW w:w="1184" w:type="dxa"/>
            <w:tcBorders>
              <w:top w:val="single" w:sz="4" w:space="0" w:color="auto"/>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1</w:t>
            </w:r>
            <w:r w:rsidR="00842DA4">
              <w:rPr>
                <w:sz w:val="20"/>
                <w:lang w:val="fr-FR"/>
              </w:rPr>
              <w:t>,</w:t>
            </w:r>
            <w:r w:rsidRPr="002961BC">
              <w:rPr>
                <w:sz w:val="20"/>
                <w:lang w:val="fr-FR"/>
              </w:rPr>
              <w:t>35</w:t>
            </w:r>
          </w:p>
        </w:tc>
        <w:tc>
          <w:tcPr>
            <w:tcW w:w="1184" w:type="dxa"/>
            <w:tcBorders>
              <w:top w:val="single" w:sz="4" w:space="0" w:color="auto"/>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1</w:t>
            </w:r>
            <w:r w:rsidR="00842DA4">
              <w:rPr>
                <w:sz w:val="20"/>
                <w:lang w:val="fr-FR"/>
              </w:rPr>
              <w:t>,</w:t>
            </w:r>
            <w:r w:rsidRPr="002961BC">
              <w:rPr>
                <w:sz w:val="20"/>
                <w:lang w:val="fr-FR"/>
              </w:rPr>
              <w:t>74</w:t>
            </w:r>
          </w:p>
        </w:tc>
        <w:tc>
          <w:tcPr>
            <w:tcW w:w="1184" w:type="dxa"/>
            <w:tcBorders>
              <w:top w:val="single" w:sz="4" w:space="0" w:color="auto"/>
            </w:tcBorders>
          </w:tcPr>
          <w:p w:rsidR="008B05FB" w:rsidRPr="002961BC" w:rsidRDefault="008B05FB" w:rsidP="00D4306D">
            <w:pPr>
              <w:spacing w:before="40" w:after="40"/>
              <w:jc w:val="center"/>
              <w:rPr>
                <w:sz w:val="20"/>
                <w:lang w:val="fr-FR"/>
              </w:rPr>
            </w:pPr>
            <w:r w:rsidRPr="002961BC">
              <w:rPr>
                <w:sz w:val="20"/>
                <w:lang w:val="fr-FR"/>
              </w:rPr>
              <w:t>2</w:t>
            </w:r>
            <w:r w:rsidR="00842DA4">
              <w:rPr>
                <w:sz w:val="20"/>
                <w:lang w:val="fr-FR"/>
              </w:rPr>
              <w:t>,</w:t>
            </w:r>
            <w:r w:rsidRPr="002961BC">
              <w:rPr>
                <w:sz w:val="20"/>
                <w:lang w:val="fr-FR"/>
              </w:rPr>
              <w:t>26</w:t>
            </w:r>
          </w:p>
        </w:tc>
      </w:tr>
      <w:tr w:rsidR="008B05FB" w:rsidRPr="002961BC" w:rsidTr="00842DA4">
        <w:trPr>
          <w:cantSplit/>
        </w:trPr>
        <w:tc>
          <w:tcPr>
            <w:tcW w:w="1740" w:type="dxa"/>
            <w:tcBorders>
              <w:top w:val="nil"/>
            </w:tcBorders>
            <w:tcMar>
              <w:top w:w="0" w:type="dxa"/>
              <w:left w:w="108" w:type="dxa"/>
              <w:bottom w:w="0" w:type="dxa"/>
              <w:right w:w="108" w:type="dxa"/>
            </w:tcMar>
            <w:hideMark/>
          </w:tcPr>
          <w:p w:rsidR="008B05FB" w:rsidRPr="002961BC" w:rsidRDefault="008B05FB" w:rsidP="00D4306D">
            <w:pPr>
              <w:spacing w:before="40" w:after="40"/>
              <w:jc w:val="center"/>
              <w:rPr>
                <w:sz w:val="20"/>
                <w:lang w:val="fr-FR"/>
              </w:rPr>
            </w:pPr>
            <w:r w:rsidRPr="002961BC">
              <w:rPr>
                <w:sz w:val="20"/>
                <w:lang w:val="fr-FR"/>
              </w:rPr>
              <w:t>50</w:t>
            </w:r>
          </w:p>
        </w:tc>
        <w:tc>
          <w:tcPr>
            <w:tcW w:w="1912"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27</w:t>
            </w:r>
            <w:r w:rsidR="00842DA4">
              <w:rPr>
                <w:sz w:val="20"/>
                <w:lang w:val="fr-FR"/>
              </w:rPr>
              <w:t> </w:t>
            </w:r>
            <w:r w:rsidRPr="002961BC">
              <w:rPr>
                <w:sz w:val="20"/>
                <w:lang w:val="fr-FR"/>
              </w:rPr>
              <w:t>910</w:t>
            </w:r>
          </w:p>
        </w:tc>
        <w:tc>
          <w:tcPr>
            <w:tcW w:w="1183"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1</w:t>
            </w:r>
            <w:r w:rsidR="00842DA4">
              <w:rPr>
                <w:sz w:val="20"/>
                <w:lang w:val="fr-FR"/>
              </w:rPr>
              <w:t>,</w:t>
            </w:r>
            <w:r w:rsidRPr="002961BC">
              <w:rPr>
                <w:sz w:val="20"/>
                <w:lang w:val="fr-FR"/>
              </w:rPr>
              <w:t>59</w:t>
            </w:r>
          </w:p>
        </w:tc>
        <w:tc>
          <w:tcPr>
            <w:tcW w:w="1184"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2</w:t>
            </w:r>
            <w:r w:rsidR="00842DA4">
              <w:rPr>
                <w:sz w:val="20"/>
                <w:lang w:val="fr-FR"/>
              </w:rPr>
              <w:t>,</w:t>
            </w:r>
            <w:r w:rsidRPr="002961BC">
              <w:rPr>
                <w:sz w:val="20"/>
                <w:lang w:val="fr-FR"/>
              </w:rPr>
              <w:t>31</w:t>
            </w:r>
          </w:p>
        </w:tc>
        <w:tc>
          <w:tcPr>
            <w:tcW w:w="1184"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3</w:t>
            </w:r>
            <w:r w:rsidR="00842DA4">
              <w:rPr>
                <w:sz w:val="20"/>
                <w:lang w:val="fr-FR"/>
              </w:rPr>
              <w:t>,</w:t>
            </w:r>
            <w:r w:rsidRPr="002961BC">
              <w:rPr>
                <w:sz w:val="20"/>
                <w:lang w:val="fr-FR"/>
              </w:rPr>
              <w:t>10</w:t>
            </w:r>
          </w:p>
        </w:tc>
        <w:tc>
          <w:tcPr>
            <w:tcW w:w="1184"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3</w:t>
            </w:r>
            <w:r w:rsidR="00842DA4">
              <w:rPr>
                <w:sz w:val="20"/>
                <w:lang w:val="fr-FR"/>
              </w:rPr>
              <w:t>,</w:t>
            </w:r>
            <w:r w:rsidRPr="002961BC">
              <w:rPr>
                <w:sz w:val="20"/>
                <w:lang w:val="fr-FR"/>
              </w:rPr>
              <w:t>52</w:t>
            </w:r>
          </w:p>
        </w:tc>
        <w:tc>
          <w:tcPr>
            <w:tcW w:w="1184" w:type="dxa"/>
            <w:tcBorders>
              <w:top w:val="nil"/>
            </w:tcBorders>
          </w:tcPr>
          <w:p w:rsidR="008B05FB" w:rsidRPr="002961BC" w:rsidRDefault="008B05FB" w:rsidP="00D4306D">
            <w:pPr>
              <w:spacing w:before="40" w:after="40"/>
              <w:jc w:val="center"/>
              <w:rPr>
                <w:sz w:val="20"/>
                <w:lang w:val="fr-FR"/>
              </w:rPr>
            </w:pPr>
            <w:r w:rsidRPr="002961BC">
              <w:rPr>
                <w:sz w:val="20"/>
                <w:lang w:val="fr-FR"/>
              </w:rPr>
              <w:t>4</w:t>
            </w:r>
            <w:r w:rsidR="00842DA4">
              <w:rPr>
                <w:sz w:val="20"/>
                <w:lang w:val="fr-FR"/>
              </w:rPr>
              <w:t>,</w:t>
            </w:r>
            <w:r w:rsidRPr="002961BC">
              <w:rPr>
                <w:sz w:val="20"/>
                <w:lang w:val="fr-FR"/>
              </w:rPr>
              <w:t>57</w:t>
            </w:r>
          </w:p>
        </w:tc>
      </w:tr>
      <w:tr w:rsidR="008B05FB" w:rsidRPr="002961BC" w:rsidTr="00842DA4">
        <w:trPr>
          <w:cantSplit/>
        </w:trPr>
        <w:tc>
          <w:tcPr>
            <w:tcW w:w="1740" w:type="dxa"/>
            <w:tcBorders>
              <w:top w:val="nil"/>
            </w:tcBorders>
            <w:tcMar>
              <w:top w:w="0" w:type="dxa"/>
              <w:left w:w="108" w:type="dxa"/>
              <w:bottom w:w="0" w:type="dxa"/>
              <w:right w:w="108" w:type="dxa"/>
            </w:tcMar>
            <w:hideMark/>
          </w:tcPr>
          <w:p w:rsidR="008B05FB" w:rsidRPr="002961BC" w:rsidRDefault="008B05FB" w:rsidP="00D4306D">
            <w:pPr>
              <w:spacing w:before="40" w:after="40"/>
              <w:jc w:val="center"/>
              <w:rPr>
                <w:sz w:val="20"/>
                <w:lang w:val="fr-FR"/>
              </w:rPr>
            </w:pPr>
            <w:r w:rsidRPr="002961BC">
              <w:rPr>
                <w:sz w:val="20"/>
                <w:lang w:val="fr-FR"/>
              </w:rPr>
              <w:t>75</w:t>
            </w:r>
          </w:p>
        </w:tc>
        <w:tc>
          <w:tcPr>
            <w:tcW w:w="1912"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28</w:t>
            </w:r>
            <w:r w:rsidR="00842DA4">
              <w:rPr>
                <w:sz w:val="20"/>
                <w:lang w:val="fr-FR"/>
              </w:rPr>
              <w:t> </w:t>
            </w:r>
            <w:r w:rsidRPr="002961BC">
              <w:rPr>
                <w:sz w:val="20"/>
                <w:lang w:val="fr-FR"/>
              </w:rPr>
              <w:t>195</w:t>
            </w:r>
          </w:p>
        </w:tc>
        <w:tc>
          <w:tcPr>
            <w:tcW w:w="1183"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2</w:t>
            </w:r>
            <w:r w:rsidR="00842DA4">
              <w:rPr>
                <w:sz w:val="20"/>
                <w:lang w:val="fr-FR"/>
              </w:rPr>
              <w:t>,</w:t>
            </w:r>
            <w:r w:rsidRPr="002961BC">
              <w:rPr>
                <w:sz w:val="20"/>
                <w:lang w:val="fr-FR"/>
              </w:rPr>
              <w:t>40</w:t>
            </w:r>
          </w:p>
        </w:tc>
        <w:tc>
          <w:tcPr>
            <w:tcW w:w="1184"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3</w:t>
            </w:r>
            <w:r w:rsidR="00842DA4">
              <w:rPr>
                <w:sz w:val="20"/>
                <w:lang w:val="fr-FR"/>
              </w:rPr>
              <w:t>,</w:t>
            </w:r>
            <w:r w:rsidRPr="002961BC">
              <w:rPr>
                <w:sz w:val="20"/>
                <w:lang w:val="fr-FR"/>
              </w:rPr>
              <w:t>51</w:t>
            </w:r>
          </w:p>
        </w:tc>
        <w:tc>
          <w:tcPr>
            <w:tcW w:w="1184"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4</w:t>
            </w:r>
            <w:r w:rsidR="00842DA4">
              <w:rPr>
                <w:sz w:val="20"/>
                <w:lang w:val="fr-FR"/>
              </w:rPr>
              <w:t>,</w:t>
            </w:r>
            <w:r w:rsidRPr="002961BC">
              <w:rPr>
                <w:sz w:val="20"/>
                <w:lang w:val="fr-FR"/>
              </w:rPr>
              <w:t>70</w:t>
            </w:r>
          </w:p>
        </w:tc>
        <w:tc>
          <w:tcPr>
            <w:tcW w:w="1184" w:type="dxa"/>
            <w:tcBorders>
              <w:top w:val="nil"/>
            </w:tcBorders>
            <w:tcMar>
              <w:top w:w="0" w:type="dxa"/>
              <w:left w:w="108" w:type="dxa"/>
              <w:bottom w:w="0" w:type="dxa"/>
              <w:right w:w="108" w:type="dxa"/>
            </w:tcMar>
          </w:tcPr>
          <w:p w:rsidR="008B05FB" w:rsidRPr="002961BC" w:rsidRDefault="008B05FB" w:rsidP="00D4306D">
            <w:pPr>
              <w:spacing w:before="40" w:after="40"/>
              <w:jc w:val="center"/>
              <w:rPr>
                <w:sz w:val="20"/>
                <w:lang w:val="fr-FR"/>
              </w:rPr>
            </w:pPr>
            <w:r w:rsidRPr="002961BC">
              <w:rPr>
                <w:sz w:val="20"/>
                <w:lang w:val="fr-FR"/>
              </w:rPr>
              <w:t>5</w:t>
            </w:r>
            <w:r w:rsidR="00842DA4">
              <w:rPr>
                <w:sz w:val="20"/>
                <w:lang w:val="fr-FR"/>
              </w:rPr>
              <w:t>,</w:t>
            </w:r>
            <w:r w:rsidRPr="002961BC">
              <w:rPr>
                <w:sz w:val="20"/>
                <w:lang w:val="fr-FR"/>
              </w:rPr>
              <w:t>33</w:t>
            </w:r>
          </w:p>
        </w:tc>
        <w:tc>
          <w:tcPr>
            <w:tcW w:w="1184" w:type="dxa"/>
            <w:tcBorders>
              <w:top w:val="nil"/>
            </w:tcBorders>
          </w:tcPr>
          <w:p w:rsidR="008B05FB" w:rsidRPr="002961BC" w:rsidRDefault="008B05FB" w:rsidP="00D4306D">
            <w:pPr>
              <w:spacing w:before="40" w:after="40"/>
              <w:jc w:val="center"/>
              <w:rPr>
                <w:sz w:val="20"/>
                <w:lang w:val="fr-FR"/>
              </w:rPr>
            </w:pPr>
            <w:r w:rsidRPr="002961BC">
              <w:rPr>
                <w:sz w:val="20"/>
                <w:lang w:val="fr-FR"/>
              </w:rPr>
              <w:t>6</w:t>
            </w:r>
            <w:r w:rsidR="00842DA4">
              <w:rPr>
                <w:sz w:val="20"/>
                <w:lang w:val="fr-FR"/>
              </w:rPr>
              <w:t>,</w:t>
            </w:r>
            <w:r w:rsidRPr="002961BC">
              <w:rPr>
                <w:sz w:val="20"/>
                <w:lang w:val="fr-FR"/>
              </w:rPr>
              <w:t>93</w:t>
            </w:r>
          </w:p>
        </w:tc>
      </w:tr>
    </w:tbl>
    <w:p w:rsidR="001F55A6" w:rsidRPr="002961BC" w:rsidRDefault="001F55A6" w:rsidP="00D4306D">
      <w:pPr>
        <w:rPr>
          <w:lang w:val="fr-FR"/>
        </w:rPr>
      </w:pPr>
    </w:p>
    <w:p w:rsidR="001F55A6" w:rsidRPr="002961BC" w:rsidRDefault="008B05FB" w:rsidP="00D4306D">
      <w:pPr>
        <w:pStyle w:val="ONUMFS"/>
        <w:numPr>
          <w:ilvl w:val="0"/>
          <w:numId w:val="0"/>
        </w:numPr>
        <w:jc w:val="center"/>
        <w:rPr>
          <w:lang w:val="fr-FR"/>
        </w:rPr>
      </w:pPr>
      <w:r w:rsidRPr="002961BC">
        <w:rPr>
          <w:lang w:val="fr-FR"/>
        </w:rPr>
        <w:t>Table</w:t>
      </w:r>
      <w:r w:rsidR="00DC5C21" w:rsidRPr="002961BC">
        <w:rPr>
          <w:lang w:val="fr-FR"/>
        </w:rPr>
        <w:t>au</w:t>
      </w:r>
      <w:r w:rsidR="00FE6238">
        <w:rPr>
          <w:lang w:val="fr-FR"/>
        </w:rPr>
        <w:t> </w:t>
      </w:r>
      <w:r w:rsidRPr="002961BC">
        <w:rPr>
          <w:lang w:val="fr-FR"/>
        </w:rPr>
        <w:t>3a</w:t>
      </w:r>
      <w:r w:rsidR="00242126">
        <w:rPr>
          <w:lang w:val="fr-FR"/>
        </w:rPr>
        <w:t> :</w:t>
      </w:r>
      <w:r w:rsidRPr="002961BC">
        <w:rPr>
          <w:lang w:val="fr-FR"/>
        </w:rPr>
        <w:t xml:space="preserve"> </w:t>
      </w:r>
      <w:r w:rsidR="00DF0044" w:rsidRPr="002961BC">
        <w:rPr>
          <w:lang w:val="fr-FR"/>
        </w:rPr>
        <w:t xml:space="preserve">Simulation de perte de </w:t>
      </w:r>
      <w:r w:rsidR="00807751" w:rsidRPr="002961BC">
        <w:rPr>
          <w:lang w:val="fr-FR"/>
        </w:rPr>
        <w:t>recettes</w:t>
      </w:r>
      <w:r w:rsidR="00DF0044" w:rsidRPr="002961BC">
        <w:rPr>
          <w:lang w:val="fr-FR"/>
        </w:rPr>
        <w:t xml:space="preserve"> pour différents niveaux de réduction</w:t>
      </w:r>
      <w:r w:rsidRPr="002961BC">
        <w:rPr>
          <w:lang w:val="fr-FR"/>
        </w:rPr>
        <w:t xml:space="preserve"> </w:t>
      </w:r>
      <w:r w:rsidR="00DF0044" w:rsidRPr="002961BC">
        <w:rPr>
          <w:lang w:val="fr-FR"/>
        </w:rPr>
        <w:t>et de plafond</w:t>
      </w:r>
      <w:r w:rsidRPr="002961BC">
        <w:rPr>
          <w:lang w:val="fr-FR"/>
        </w:rPr>
        <w:t>,</w:t>
      </w:r>
      <w:r w:rsidR="00DF0044" w:rsidRPr="002961BC">
        <w:rPr>
          <w:lang w:val="fr-FR"/>
        </w:rPr>
        <w:t xml:space="preserve"> pays développés</w:t>
      </w:r>
      <w:r w:rsidRPr="002961BC">
        <w:rPr>
          <w:lang w:val="fr-FR"/>
        </w:rPr>
        <w:t>, 2015</w:t>
      </w:r>
    </w:p>
    <w:tbl>
      <w:tblPr>
        <w:tblW w:w="5000" w:type="pct"/>
        <w:tblCellMar>
          <w:left w:w="28" w:type="dxa"/>
          <w:right w:w="28" w:type="dxa"/>
        </w:tblCellMar>
        <w:tblLook w:val="04A0" w:firstRow="1" w:lastRow="0" w:firstColumn="1" w:lastColumn="0" w:noHBand="0" w:noVBand="1"/>
      </w:tblPr>
      <w:tblGrid>
        <w:gridCol w:w="1746"/>
        <w:gridCol w:w="1904"/>
        <w:gridCol w:w="1184"/>
        <w:gridCol w:w="1184"/>
        <w:gridCol w:w="1184"/>
        <w:gridCol w:w="1184"/>
        <w:gridCol w:w="1185"/>
      </w:tblGrid>
      <w:tr w:rsidR="00DF0044" w:rsidRPr="002961BC" w:rsidTr="00842DA4">
        <w:trPr>
          <w:cantSplit/>
        </w:trPr>
        <w:tc>
          <w:tcPr>
            <w:tcW w:w="1746" w:type="dxa"/>
            <w:vMerge w:val="restart"/>
            <w:tcMar>
              <w:top w:w="0" w:type="dxa"/>
              <w:left w:w="108" w:type="dxa"/>
              <w:bottom w:w="0" w:type="dxa"/>
              <w:right w:w="108" w:type="dxa"/>
            </w:tcMar>
            <w:vAlign w:val="bottom"/>
            <w:hideMark/>
          </w:tcPr>
          <w:p w:rsidR="00DF0044" w:rsidRPr="002961BC" w:rsidRDefault="00DF0044" w:rsidP="00D4306D">
            <w:pPr>
              <w:keepNext/>
              <w:jc w:val="center"/>
              <w:rPr>
                <w:sz w:val="20"/>
                <w:lang w:val="fr-FR"/>
              </w:rPr>
            </w:pPr>
            <w:r w:rsidRPr="002961BC">
              <w:rPr>
                <w:sz w:val="20"/>
                <w:lang w:val="fr-FR"/>
              </w:rPr>
              <w:lastRenderedPageBreak/>
              <w:t>Réduction de taxe (en</w:t>
            </w:r>
            <w:r w:rsidR="00842DA4">
              <w:rPr>
                <w:sz w:val="20"/>
                <w:lang w:val="fr-FR"/>
              </w:rPr>
              <w:t> </w:t>
            </w:r>
            <w:r w:rsidRPr="002961BC">
              <w:rPr>
                <w:sz w:val="20"/>
                <w:lang w:val="fr-FR"/>
              </w:rPr>
              <w:t>pourcentage)</w:t>
            </w:r>
          </w:p>
        </w:tc>
        <w:tc>
          <w:tcPr>
            <w:tcW w:w="1904" w:type="dxa"/>
            <w:vMerge w:val="restart"/>
            <w:tcMar>
              <w:top w:w="0" w:type="dxa"/>
              <w:left w:w="108" w:type="dxa"/>
              <w:bottom w:w="0" w:type="dxa"/>
              <w:right w:w="108" w:type="dxa"/>
            </w:tcMar>
            <w:vAlign w:val="bottom"/>
            <w:hideMark/>
          </w:tcPr>
          <w:p w:rsidR="00DF0044" w:rsidRPr="002961BC" w:rsidRDefault="00DF0044" w:rsidP="00D4306D">
            <w:pPr>
              <w:keepNext/>
              <w:jc w:val="center"/>
              <w:rPr>
                <w:sz w:val="20"/>
                <w:lang w:val="fr-FR"/>
              </w:rPr>
            </w:pPr>
            <w:r w:rsidRPr="002961BC">
              <w:rPr>
                <w:sz w:val="20"/>
                <w:lang w:val="fr-FR"/>
              </w:rPr>
              <w:t xml:space="preserve">Perte de </w:t>
            </w:r>
            <w:r w:rsidR="00807751" w:rsidRPr="002961BC">
              <w:rPr>
                <w:sz w:val="20"/>
                <w:lang w:val="fr-FR"/>
              </w:rPr>
              <w:t>recettes</w:t>
            </w:r>
            <w:r w:rsidRPr="002961BC">
              <w:rPr>
                <w:sz w:val="20"/>
                <w:lang w:val="fr-FR"/>
              </w:rPr>
              <w:t xml:space="preserve"> par demande (en francs suisses)</w:t>
            </w:r>
          </w:p>
        </w:tc>
        <w:tc>
          <w:tcPr>
            <w:tcW w:w="5921" w:type="dxa"/>
            <w:gridSpan w:val="5"/>
            <w:tcBorders>
              <w:bottom w:val="single" w:sz="4" w:space="0" w:color="auto"/>
            </w:tcBorders>
            <w:tcMar>
              <w:top w:w="0" w:type="dxa"/>
              <w:left w:w="108" w:type="dxa"/>
              <w:bottom w:w="0" w:type="dxa"/>
              <w:right w:w="108" w:type="dxa"/>
            </w:tcMar>
            <w:vAlign w:val="bottom"/>
            <w:hideMark/>
          </w:tcPr>
          <w:p w:rsidR="00DF0044" w:rsidRPr="002961BC" w:rsidRDefault="00DF0044" w:rsidP="00D4306D">
            <w:pPr>
              <w:keepNext/>
              <w:jc w:val="center"/>
              <w:rPr>
                <w:sz w:val="20"/>
                <w:lang w:val="fr-FR"/>
              </w:rPr>
            </w:pPr>
            <w:r w:rsidRPr="002961BC">
              <w:rPr>
                <w:sz w:val="20"/>
                <w:lang w:val="fr-FR"/>
              </w:rPr>
              <w:t xml:space="preserve">Perte de </w:t>
            </w:r>
            <w:r w:rsidR="00807751" w:rsidRPr="002961BC">
              <w:rPr>
                <w:sz w:val="20"/>
                <w:lang w:val="fr-FR"/>
              </w:rPr>
              <w:t>recettes</w:t>
            </w:r>
            <w:r w:rsidRPr="002961BC">
              <w:rPr>
                <w:sz w:val="20"/>
                <w:lang w:val="fr-FR"/>
              </w:rPr>
              <w:t xml:space="preserve"> (en millions de francs suisses)</w:t>
            </w:r>
          </w:p>
        </w:tc>
      </w:tr>
      <w:tr w:rsidR="00842DA4" w:rsidRPr="002961BC" w:rsidTr="00842DA4">
        <w:trPr>
          <w:cantSplit/>
        </w:trPr>
        <w:tc>
          <w:tcPr>
            <w:tcW w:w="1746" w:type="dxa"/>
            <w:vMerge/>
            <w:tcBorders>
              <w:bottom w:val="single" w:sz="4" w:space="0" w:color="auto"/>
            </w:tcBorders>
            <w:vAlign w:val="center"/>
            <w:hideMark/>
          </w:tcPr>
          <w:p w:rsidR="00842DA4" w:rsidRPr="002961BC" w:rsidRDefault="00842DA4" w:rsidP="00D4306D">
            <w:pPr>
              <w:keepNext/>
              <w:jc w:val="center"/>
              <w:rPr>
                <w:sz w:val="20"/>
                <w:lang w:val="fr-FR"/>
              </w:rPr>
            </w:pPr>
          </w:p>
        </w:tc>
        <w:tc>
          <w:tcPr>
            <w:tcW w:w="1904" w:type="dxa"/>
            <w:vMerge/>
            <w:tcBorders>
              <w:bottom w:val="single" w:sz="4" w:space="0" w:color="auto"/>
            </w:tcBorders>
            <w:vAlign w:val="center"/>
            <w:hideMark/>
          </w:tcPr>
          <w:p w:rsidR="00842DA4" w:rsidRPr="002961BC" w:rsidRDefault="00842DA4" w:rsidP="00D4306D">
            <w:pPr>
              <w:keepNext/>
              <w:jc w:val="center"/>
              <w:rPr>
                <w:sz w:val="20"/>
                <w:lang w:val="fr-FR"/>
              </w:rPr>
            </w:pPr>
          </w:p>
        </w:tc>
        <w:tc>
          <w:tcPr>
            <w:tcW w:w="1184" w:type="dxa"/>
            <w:tcBorders>
              <w:top w:val="single" w:sz="4" w:space="0" w:color="auto"/>
              <w:bottom w:val="single" w:sz="4" w:space="0" w:color="auto"/>
            </w:tcBorders>
            <w:tcMar>
              <w:top w:w="0" w:type="dxa"/>
              <w:left w:w="108" w:type="dxa"/>
              <w:bottom w:w="0" w:type="dxa"/>
              <w:right w:w="108" w:type="dxa"/>
            </w:tcMar>
            <w:hideMark/>
          </w:tcPr>
          <w:p w:rsidR="00842DA4" w:rsidRPr="002961BC" w:rsidRDefault="00842DA4" w:rsidP="00D4306D">
            <w:pPr>
              <w:jc w:val="center"/>
              <w:rPr>
                <w:sz w:val="20"/>
                <w:lang w:val="fr-FR"/>
              </w:rPr>
            </w:pPr>
            <w:r w:rsidRPr="002961BC">
              <w:rPr>
                <w:sz w:val="20"/>
                <w:lang w:val="fr-FR"/>
              </w:rPr>
              <w:t xml:space="preserve">Plafond </w:t>
            </w:r>
            <w:r>
              <w:rPr>
                <w:sz w:val="20"/>
                <w:lang w:val="fr-FR"/>
              </w:rPr>
              <w:br/>
            </w:r>
            <w:r w:rsidRPr="002961BC">
              <w:rPr>
                <w:sz w:val="20"/>
                <w:lang w:val="fr-FR"/>
              </w:rPr>
              <w:t>de 5</w:t>
            </w:r>
          </w:p>
        </w:tc>
        <w:tc>
          <w:tcPr>
            <w:tcW w:w="1184" w:type="dxa"/>
            <w:tcBorders>
              <w:top w:val="single" w:sz="4" w:space="0" w:color="auto"/>
              <w:bottom w:val="single" w:sz="4" w:space="0" w:color="auto"/>
            </w:tcBorders>
            <w:tcMar>
              <w:top w:w="0" w:type="dxa"/>
              <w:left w:w="108" w:type="dxa"/>
              <w:bottom w:w="0" w:type="dxa"/>
              <w:right w:w="108" w:type="dxa"/>
            </w:tcMar>
            <w:hideMark/>
          </w:tcPr>
          <w:p w:rsidR="00842DA4" w:rsidRPr="002961BC" w:rsidRDefault="00842DA4" w:rsidP="00D4306D">
            <w:pPr>
              <w:jc w:val="center"/>
              <w:rPr>
                <w:sz w:val="20"/>
                <w:lang w:val="fr-FR"/>
              </w:rPr>
            </w:pPr>
            <w:r w:rsidRPr="002961BC">
              <w:rPr>
                <w:sz w:val="20"/>
                <w:lang w:val="fr-FR"/>
              </w:rPr>
              <w:t xml:space="preserve">Plafond </w:t>
            </w:r>
            <w:r>
              <w:rPr>
                <w:sz w:val="20"/>
                <w:lang w:val="fr-FR"/>
              </w:rPr>
              <w:br/>
            </w:r>
            <w:r w:rsidRPr="002961BC">
              <w:rPr>
                <w:sz w:val="20"/>
                <w:lang w:val="fr-FR"/>
              </w:rPr>
              <w:t>de 10</w:t>
            </w:r>
          </w:p>
        </w:tc>
        <w:tc>
          <w:tcPr>
            <w:tcW w:w="1184" w:type="dxa"/>
            <w:tcBorders>
              <w:top w:val="single" w:sz="4" w:space="0" w:color="auto"/>
              <w:bottom w:val="single" w:sz="4" w:space="0" w:color="auto"/>
            </w:tcBorders>
            <w:tcMar>
              <w:top w:w="0" w:type="dxa"/>
              <w:left w:w="108" w:type="dxa"/>
              <w:bottom w:w="0" w:type="dxa"/>
              <w:right w:w="108" w:type="dxa"/>
            </w:tcMar>
            <w:hideMark/>
          </w:tcPr>
          <w:p w:rsidR="00842DA4" w:rsidRPr="002961BC" w:rsidRDefault="00842DA4" w:rsidP="00D4306D">
            <w:pPr>
              <w:jc w:val="center"/>
              <w:rPr>
                <w:sz w:val="20"/>
                <w:lang w:val="fr-FR"/>
              </w:rPr>
            </w:pPr>
            <w:r w:rsidRPr="002961BC">
              <w:rPr>
                <w:sz w:val="20"/>
                <w:lang w:val="fr-FR"/>
              </w:rPr>
              <w:t xml:space="preserve">Plafond </w:t>
            </w:r>
            <w:r>
              <w:rPr>
                <w:sz w:val="20"/>
                <w:lang w:val="fr-FR"/>
              </w:rPr>
              <w:br/>
            </w:r>
            <w:r w:rsidRPr="002961BC">
              <w:rPr>
                <w:sz w:val="20"/>
                <w:lang w:val="fr-FR"/>
              </w:rPr>
              <w:t>de 20</w:t>
            </w:r>
          </w:p>
        </w:tc>
        <w:tc>
          <w:tcPr>
            <w:tcW w:w="1184" w:type="dxa"/>
            <w:tcBorders>
              <w:top w:val="single" w:sz="4" w:space="0" w:color="auto"/>
              <w:bottom w:val="single" w:sz="4" w:space="0" w:color="auto"/>
            </w:tcBorders>
            <w:tcMar>
              <w:top w:w="0" w:type="dxa"/>
              <w:left w:w="108" w:type="dxa"/>
              <w:bottom w:w="0" w:type="dxa"/>
              <w:right w:w="108" w:type="dxa"/>
            </w:tcMar>
            <w:hideMark/>
          </w:tcPr>
          <w:p w:rsidR="00842DA4" w:rsidRPr="002961BC" w:rsidRDefault="00842DA4" w:rsidP="00D4306D">
            <w:pPr>
              <w:jc w:val="center"/>
              <w:rPr>
                <w:sz w:val="20"/>
                <w:lang w:val="fr-FR"/>
              </w:rPr>
            </w:pPr>
            <w:r w:rsidRPr="002961BC">
              <w:rPr>
                <w:sz w:val="20"/>
                <w:lang w:val="fr-FR"/>
              </w:rPr>
              <w:t xml:space="preserve">Plafond </w:t>
            </w:r>
            <w:r>
              <w:rPr>
                <w:sz w:val="20"/>
                <w:lang w:val="fr-FR"/>
              </w:rPr>
              <w:br/>
            </w:r>
            <w:r w:rsidRPr="002961BC">
              <w:rPr>
                <w:sz w:val="20"/>
                <w:lang w:val="fr-FR"/>
              </w:rPr>
              <w:t>de 30</w:t>
            </w:r>
          </w:p>
        </w:tc>
        <w:tc>
          <w:tcPr>
            <w:tcW w:w="1185" w:type="dxa"/>
            <w:tcBorders>
              <w:top w:val="single" w:sz="4" w:space="0" w:color="auto"/>
              <w:bottom w:val="single" w:sz="4" w:space="0" w:color="auto"/>
            </w:tcBorders>
          </w:tcPr>
          <w:p w:rsidR="00842DA4" w:rsidRPr="002961BC" w:rsidRDefault="00842DA4" w:rsidP="00D4306D">
            <w:pPr>
              <w:jc w:val="center"/>
              <w:rPr>
                <w:sz w:val="20"/>
                <w:lang w:val="fr-FR"/>
              </w:rPr>
            </w:pPr>
            <w:r w:rsidRPr="002961BC">
              <w:rPr>
                <w:sz w:val="20"/>
                <w:lang w:val="fr-FR"/>
              </w:rPr>
              <w:t>Pas de plafond</w:t>
            </w:r>
          </w:p>
        </w:tc>
      </w:tr>
      <w:tr w:rsidR="00842DA4" w:rsidRPr="002961BC" w:rsidTr="00842DA4">
        <w:trPr>
          <w:cantSplit/>
        </w:trPr>
        <w:tc>
          <w:tcPr>
            <w:tcW w:w="1746" w:type="dxa"/>
            <w:tcBorders>
              <w:top w:val="single" w:sz="4" w:space="0" w:color="auto"/>
            </w:tcBorders>
            <w:tcMar>
              <w:top w:w="0" w:type="dxa"/>
              <w:left w:w="108" w:type="dxa"/>
              <w:bottom w:w="0" w:type="dxa"/>
              <w:right w:w="108" w:type="dxa"/>
            </w:tcMar>
            <w:hideMark/>
          </w:tcPr>
          <w:p w:rsidR="00842DA4" w:rsidRPr="002961BC" w:rsidRDefault="00842DA4" w:rsidP="00D4306D">
            <w:pPr>
              <w:keepNext/>
              <w:spacing w:before="40" w:after="40"/>
              <w:jc w:val="center"/>
              <w:rPr>
                <w:sz w:val="20"/>
                <w:lang w:val="fr-FR"/>
              </w:rPr>
            </w:pPr>
            <w:r w:rsidRPr="002961BC">
              <w:rPr>
                <w:sz w:val="20"/>
                <w:lang w:val="fr-FR"/>
              </w:rPr>
              <w:t>25</w:t>
            </w:r>
          </w:p>
        </w:tc>
        <w:tc>
          <w:tcPr>
            <w:tcW w:w="1904" w:type="dxa"/>
            <w:tcBorders>
              <w:top w:val="single" w:sz="4" w:space="0" w:color="auto"/>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6</w:t>
            </w:r>
            <w:r>
              <w:rPr>
                <w:sz w:val="20"/>
                <w:lang w:val="fr-FR"/>
              </w:rPr>
              <w:t> </w:t>
            </w:r>
            <w:r w:rsidRPr="002961BC">
              <w:rPr>
                <w:sz w:val="20"/>
                <w:lang w:val="fr-FR"/>
              </w:rPr>
              <w:t>147</w:t>
            </w:r>
          </w:p>
        </w:tc>
        <w:tc>
          <w:tcPr>
            <w:tcW w:w="1184" w:type="dxa"/>
            <w:tcBorders>
              <w:top w:val="single" w:sz="4" w:space="0" w:color="auto"/>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18</w:t>
            </w:r>
          </w:p>
        </w:tc>
        <w:tc>
          <w:tcPr>
            <w:tcW w:w="1184" w:type="dxa"/>
            <w:tcBorders>
              <w:top w:val="single" w:sz="4" w:space="0" w:color="auto"/>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25</w:t>
            </w:r>
          </w:p>
        </w:tc>
        <w:tc>
          <w:tcPr>
            <w:tcW w:w="1184" w:type="dxa"/>
            <w:tcBorders>
              <w:top w:val="single" w:sz="4" w:space="0" w:color="auto"/>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32</w:t>
            </w:r>
          </w:p>
        </w:tc>
        <w:tc>
          <w:tcPr>
            <w:tcW w:w="1184" w:type="dxa"/>
            <w:tcBorders>
              <w:top w:val="single" w:sz="4" w:space="0" w:color="auto"/>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35</w:t>
            </w:r>
          </w:p>
        </w:tc>
        <w:tc>
          <w:tcPr>
            <w:tcW w:w="1185" w:type="dxa"/>
            <w:tcBorders>
              <w:top w:val="single" w:sz="4" w:space="0" w:color="auto"/>
            </w:tcBorders>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43</w:t>
            </w:r>
          </w:p>
        </w:tc>
      </w:tr>
      <w:tr w:rsidR="00842DA4" w:rsidRPr="002961BC" w:rsidTr="00842DA4">
        <w:trPr>
          <w:cantSplit/>
        </w:trPr>
        <w:tc>
          <w:tcPr>
            <w:tcW w:w="1746" w:type="dxa"/>
            <w:tcBorders>
              <w:top w:val="nil"/>
            </w:tcBorders>
            <w:tcMar>
              <w:top w:w="0" w:type="dxa"/>
              <w:left w:w="108" w:type="dxa"/>
              <w:bottom w:w="0" w:type="dxa"/>
              <w:right w:w="108" w:type="dxa"/>
            </w:tcMar>
            <w:hideMark/>
          </w:tcPr>
          <w:p w:rsidR="00842DA4" w:rsidRPr="002961BC" w:rsidRDefault="00842DA4" w:rsidP="00D4306D">
            <w:pPr>
              <w:keepNext/>
              <w:spacing w:before="40" w:after="40"/>
              <w:jc w:val="center"/>
              <w:rPr>
                <w:sz w:val="20"/>
                <w:lang w:val="fr-FR"/>
              </w:rPr>
            </w:pPr>
            <w:r w:rsidRPr="002961BC">
              <w:rPr>
                <w:sz w:val="20"/>
                <w:lang w:val="fr-FR"/>
              </w:rPr>
              <w:t>50</w:t>
            </w:r>
          </w:p>
        </w:tc>
        <w:tc>
          <w:tcPr>
            <w:tcW w:w="190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6</w:t>
            </w:r>
            <w:r>
              <w:rPr>
                <w:sz w:val="20"/>
                <w:lang w:val="fr-FR"/>
              </w:rPr>
              <w:t> </w:t>
            </w:r>
            <w:r w:rsidRPr="002961BC">
              <w:rPr>
                <w:sz w:val="20"/>
                <w:lang w:val="fr-FR"/>
              </w:rPr>
              <w:t>435</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37</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52</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66</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73</w:t>
            </w:r>
          </w:p>
        </w:tc>
        <w:tc>
          <w:tcPr>
            <w:tcW w:w="1185" w:type="dxa"/>
            <w:tcBorders>
              <w:top w:val="nil"/>
            </w:tcBorders>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89</w:t>
            </w:r>
          </w:p>
        </w:tc>
      </w:tr>
      <w:tr w:rsidR="00842DA4" w:rsidRPr="002961BC" w:rsidTr="00842DA4">
        <w:trPr>
          <w:cantSplit/>
        </w:trPr>
        <w:tc>
          <w:tcPr>
            <w:tcW w:w="1746" w:type="dxa"/>
            <w:tcBorders>
              <w:top w:val="nil"/>
            </w:tcBorders>
            <w:tcMar>
              <w:top w:w="0" w:type="dxa"/>
              <w:left w:w="108" w:type="dxa"/>
              <w:bottom w:w="0" w:type="dxa"/>
              <w:right w:w="108" w:type="dxa"/>
            </w:tcMar>
            <w:hideMark/>
          </w:tcPr>
          <w:p w:rsidR="00842DA4" w:rsidRPr="002961BC" w:rsidRDefault="00842DA4" w:rsidP="00D4306D">
            <w:pPr>
              <w:keepNext/>
              <w:spacing w:before="40" w:after="40"/>
              <w:jc w:val="center"/>
              <w:rPr>
                <w:sz w:val="20"/>
                <w:lang w:val="fr-FR"/>
              </w:rPr>
            </w:pPr>
            <w:r w:rsidRPr="002961BC">
              <w:rPr>
                <w:sz w:val="20"/>
                <w:lang w:val="fr-FR"/>
              </w:rPr>
              <w:t>75</w:t>
            </w:r>
          </w:p>
        </w:tc>
        <w:tc>
          <w:tcPr>
            <w:tcW w:w="190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6</w:t>
            </w:r>
            <w:r>
              <w:rPr>
                <w:sz w:val="20"/>
                <w:lang w:val="fr-FR"/>
              </w:rPr>
              <w:t> </w:t>
            </w:r>
            <w:r w:rsidRPr="002961BC">
              <w:rPr>
                <w:sz w:val="20"/>
                <w:lang w:val="fr-FR"/>
              </w:rPr>
              <w:t>722</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58</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0</w:t>
            </w:r>
            <w:r>
              <w:rPr>
                <w:sz w:val="20"/>
                <w:lang w:val="fr-FR"/>
              </w:rPr>
              <w:t>,</w:t>
            </w:r>
            <w:r w:rsidRPr="002961BC">
              <w:rPr>
                <w:sz w:val="20"/>
                <w:lang w:val="fr-FR"/>
              </w:rPr>
              <w:t>81</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1</w:t>
            </w:r>
            <w:r>
              <w:rPr>
                <w:sz w:val="20"/>
                <w:lang w:val="fr-FR"/>
              </w:rPr>
              <w:t>,</w:t>
            </w:r>
            <w:r w:rsidRPr="002961BC">
              <w:rPr>
                <w:sz w:val="20"/>
                <w:lang w:val="fr-FR"/>
              </w:rPr>
              <w:t>04</w:t>
            </w:r>
          </w:p>
        </w:tc>
        <w:tc>
          <w:tcPr>
            <w:tcW w:w="1184" w:type="dxa"/>
            <w:tcBorders>
              <w:top w:val="nil"/>
            </w:tcBorders>
            <w:tcMar>
              <w:top w:w="0" w:type="dxa"/>
              <w:left w:w="108" w:type="dxa"/>
              <w:bottom w:w="0" w:type="dxa"/>
              <w:right w:w="108" w:type="dxa"/>
            </w:tcMar>
          </w:tcPr>
          <w:p w:rsidR="00842DA4" w:rsidRPr="002961BC" w:rsidRDefault="00842DA4" w:rsidP="00D4306D">
            <w:pPr>
              <w:keepNext/>
              <w:spacing w:before="40" w:after="40"/>
              <w:jc w:val="center"/>
              <w:rPr>
                <w:sz w:val="20"/>
                <w:lang w:val="fr-FR"/>
              </w:rPr>
            </w:pPr>
            <w:r w:rsidRPr="002961BC">
              <w:rPr>
                <w:sz w:val="20"/>
                <w:lang w:val="fr-FR"/>
              </w:rPr>
              <w:t>1</w:t>
            </w:r>
            <w:r>
              <w:rPr>
                <w:sz w:val="20"/>
                <w:lang w:val="fr-FR"/>
              </w:rPr>
              <w:t>,</w:t>
            </w:r>
            <w:r w:rsidRPr="002961BC">
              <w:rPr>
                <w:sz w:val="20"/>
                <w:lang w:val="fr-FR"/>
              </w:rPr>
              <w:t>14</w:t>
            </w:r>
          </w:p>
        </w:tc>
        <w:tc>
          <w:tcPr>
            <w:tcW w:w="1185" w:type="dxa"/>
            <w:tcBorders>
              <w:top w:val="nil"/>
            </w:tcBorders>
          </w:tcPr>
          <w:p w:rsidR="00842DA4" w:rsidRPr="002961BC" w:rsidRDefault="00842DA4" w:rsidP="00D4306D">
            <w:pPr>
              <w:keepNext/>
              <w:spacing w:before="40" w:after="40"/>
              <w:jc w:val="center"/>
              <w:rPr>
                <w:sz w:val="20"/>
                <w:lang w:val="fr-FR"/>
              </w:rPr>
            </w:pPr>
            <w:r w:rsidRPr="002961BC">
              <w:rPr>
                <w:sz w:val="20"/>
                <w:lang w:val="fr-FR"/>
              </w:rPr>
              <w:t>1</w:t>
            </w:r>
            <w:r>
              <w:rPr>
                <w:sz w:val="20"/>
                <w:lang w:val="fr-FR"/>
              </w:rPr>
              <w:t>,</w:t>
            </w:r>
            <w:r w:rsidRPr="002961BC">
              <w:rPr>
                <w:sz w:val="20"/>
                <w:lang w:val="fr-FR"/>
              </w:rPr>
              <w:t>40</w:t>
            </w:r>
          </w:p>
        </w:tc>
      </w:tr>
    </w:tbl>
    <w:p w:rsidR="001F55A6" w:rsidRPr="002961BC" w:rsidRDefault="001F55A6" w:rsidP="00D4306D">
      <w:pPr>
        <w:keepNext/>
        <w:rPr>
          <w:lang w:val="fr-FR"/>
        </w:rPr>
      </w:pPr>
    </w:p>
    <w:p w:rsidR="001F55A6" w:rsidRPr="002961BC" w:rsidRDefault="008B05FB" w:rsidP="00D4306D">
      <w:pPr>
        <w:pStyle w:val="ONUMFS"/>
        <w:numPr>
          <w:ilvl w:val="0"/>
          <w:numId w:val="0"/>
        </w:numPr>
        <w:jc w:val="center"/>
        <w:rPr>
          <w:lang w:val="fr-FR"/>
        </w:rPr>
      </w:pPr>
      <w:r w:rsidRPr="002961BC">
        <w:rPr>
          <w:lang w:val="fr-FR"/>
        </w:rPr>
        <w:t>Table</w:t>
      </w:r>
      <w:r w:rsidR="0046600D">
        <w:rPr>
          <w:lang w:val="fr-FR"/>
        </w:rPr>
        <w:t>au</w:t>
      </w:r>
      <w:r w:rsidRPr="002961BC">
        <w:rPr>
          <w:lang w:val="fr-FR"/>
        </w:rPr>
        <w:t xml:space="preserve"> 3b</w:t>
      </w:r>
      <w:r w:rsidR="00242126">
        <w:rPr>
          <w:lang w:val="fr-FR"/>
        </w:rPr>
        <w:t> :</w:t>
      </w:r>
      <w:r w:rsidRPr="002961BC">
        <w:rPr>
          <w:lang w:val="fr-FR"/>
        </w:rPr>
        <w:t xml:space="preserve"> </w:t>
      </w:r>
      <w:r w:rsidR="00DF0044" w:rsidRPr="002961BC">
        <w:rPr>
          <w:lang w:val="fr-FR"/>
        </w:rPr>
        <w:t xml:space="preserve">Simulation de perte de </w:t>
      </w:r>
      <w:r w:rsidR="00807751" w:rsidRPr="002961BC">
        <w:rPr>
          <w:lang w:val="fr-FR"/>
        </w:rPr>
        <w:t xml:space="preserve">recettes </w:t>
      </w:r>
      <w:r w:rsidR="00DF0044" w:rsidRPr="002961BC">
        <w:rPr>
          <w:lang w:val="fr-FR"/>
        </w:rPr>
        <w:t xml:space="preserve">pour différents niveaux de réduction et de plafond, </w:t>
      </w:r>
      <w:r w:rsidR="00DF0044" w:rsidRPr="002961BC">
        <w:rPr>
          <w:lang w:val="fr-FR"/>
        </w:rPr>
        <w:br/>
        <w:t>pays en développement, 2015</w:t>
      </w:r>
    </w:p>
    <w:p w:rsidR="001F55A6" w:rsidRDefault="004A21BF" w:rsidP="00D4306D">
      <w:pPr>
        <w:pStyle w:val="Heading1"/>
        <w:rPr>
          <w:lang w:val="fr-FR"/>
        </w:rPr>
      </w:pPr>
      <w:r w:rsidRPr="002961BC">
        <w:rPr>
          <w:lang w:val="fr-FR"/>
        </w:rPr>
        <w:t>Conclusion</w:t>
      </w:r>
    </w:p>
    <w:p w:rsidR="00A6521E" w:rsidRPr="00A6521E" w:rsidRDefault="00A6521E" w:rsidP="00D4306D">
      <w:pPr>
        <w:rPr>
          <w:lang w:val="fr-FR"/>
        </w:rPr>
      </w:pPr>
    </w:p>
    <w:p w:rsidR="001F55A6" w:rsidRPr="002961BC" w:rsidRDefault="00807751" w:rsidP="00D4306D">
      <w:pPr>
        <w:pStyle w:val="ONUMFS"/>
        <w:rPr>
          <w:lang w:val="fr-FR"/>
        </w:rPr>
      </w:pPr>
      <w:r w:rsidRPr="002961BC">
        <w:rPr>
          <w:lang w:val="fr-FR"/>
        </w:rPr>
        <w:t>L</w:t>
      </w:r>
      <w:r w:rsidR="005407C8" w:rsidRPr="002961BC">
        <w:rPr>
          <w:lang w:val="fr-FR"/>
        </w:rPr>
        <w:t>e</w:t>
      </w:r>
      <w:r w:rsidR="004A21BF" w:rsidRPr="002961BC">
        <w:rPr>
          <w:lang w:val="fr-FR"/>
        </w:rPr>
        <w:t xml:space="preserve"> principal</w:t>
      </w:r>
      <w:r w:rsidR="005407C8" w:rsidRPr="002961BC">
        <w:rPr>
          <w:lang w:val="fr-FR"/>
        </w:rPr>
        <w:t xml:space="preserve"> intérêt </w:t>
      </w:r>
      <w:r w:rsidR="004A21BF" w:rsidRPr="002961BC">
        <w:rPr>
          <w:lang w:val="fr-FR"/>
        </w:rPr>
        <w:t xml:space="preserve">de cette deuxième étude supplémentaire est </w:t>
      </w:r>
      <w:r w:rsidR="005407C8" w:rsidRPr="002961BC">
        <w:rPr>
          <w:lang w:val="fr-FR"/>
        </w:rPr>
        <w:t>qu</w:t>
      </w:r>
      <w:r w:rsidR="00242126">
        <w:rPr>
          <w:lang w:val="fr-FR"/>
        </w:rPr>
        <w:t>’</w:t>
      </w:r>
      <w:r w:rsidR="005407C8" w:rsidRPr="002961BC">
        <w:rPr>
          <w:lang w:val="fr-FR"/>
        </w:rPr>
        <w:t>elle fournit</w:t>
      </w:r>
      <w:r w:rsidR="004A21BF" w:rsidRPr="002961BC">
        <w:rPr>
          <w:lang w:val="fr-FR"/>
        </w:rPr>
        <w:t xml:space="preserve"> des simulations sur les effets de réductions hypothétiques de taxe en </w:t>
      </w:r>
      <w:r w:rsidR="005407C8" w:rsidRPr="002961BC">
        <w:rPr>
          <w:lang w:val="fr-FR"/>
        </w:rPr>
        <w:t>cas</w:t>
      </w:r>
      <w:r w:rsidR="004A21BF" w:rsidRPr="002961BC">
        <w:rPr>
          <w:lang w:val="fr-FR"/>
        </w:rPr>
        <w:t xml:space="preserve"> de plafonds </w:t>
      </w:r>
      <w:r w:rsidR="00A236F8">
        <w:rPr>
          <w:lang w:val="fr-FR"/>
        </w:rPr>
        <w:t>d</w:t>
      </w:r>
      <w:r w:rsidR="004A21BF" w:rsidRPr="002961BC">
        <w:rPr>
          <w:lang w:val="fr-FR"/>
        </w:rPr>
        <w:t>e demandes</w:t>
      </w:r>
      <w:r w:rsidRPr="002961BC">
        <w:rPr>
          <w:lang w:val="fr-FR"/>
        </w:rPr>
        <w:t xml:space="preserve"> </w:t>
      </w:r>
      <w:r w:rsidR="002B329B" w:rsidRPr="002961BC">
        <w:rPr>
          <w:lang w:val="fr-FR"/>
        </w:rPr>
        <w:t>remplissant les conditions requis</w:t>
      </w:r>
      <w:r w:rsidR="005D014A" w:rsidRPr="002961BC">
        <w:rPr>
          <w:lang w:val="fr-FR"/>
        </w:rPr>
        <w:t>es</w:t>
      </w:r>
      <w:r w:rsidR="005D014A">
        <w:rPr>
          <w:lang w:val="fr-FR"/>
        </w:rPr>
        <w:t xml:space="preserve">.  </w:t>
      </w:r>
      <w:r w:rsidR="005D014A" w:rsidRPr="002961BC">
        <w:rPr>
          <w:lang w:val="fr-FR"/>
        </w:rPr>
        <w:t>Co</w:t>
      </w:r>
      <w:r w:rsidR="004A21BF" w:rsidRPr="002961BC">
        <w:rPr>
          <w:lang w:val="fr-FR"/>
        </w:rPr>
        <w:t>mme l</w:t>
      </w:r>
      <w:r w:rsidR="00242126">
        <w:rPr>
          <w:lang w:val="fr-FR"/>
        </w:rPr>
        <w:t>’</w:t>
      </w:r>
      <w:r w:rsidR="004A21BF" w:rsidRPr="002961BC">
        <w:rPr>
          <w:lang w:val="fr-FR"/>
        </w:rPr>
        <w:t>on pouvait s</w:t>
      </w:r>
      <w:r w:rsidR="00242126">
        <w:rPr>
          <w:lang w:val="fr-FR"/>
        </w:rPr>
        <w:t>’</w:t>
      </w:r>
      <w:r w:rsidR="004A21BF" w:rsidRPr="002961BC">
        <w:rPr>
          <w:lang w:val="fr-FR"/>
        </w:rPr>
        <w:t>y attendre, l</w:t>
      </w:r>
      <w:r w:rsidR="00242126">
        <w:rPr>
          <w:lang w:val="fr-FR"/>
        </w:rPr>
        <w:t>’</w:t>
      </w:r>
      <w:r w:rsidR="004A21BF" w:rsidRPr="002961BC">
        <w:rPr>
          <w:lang w:val="fr-FR"/>
        </w:rPr>
        <w:t>introduction d</w:t>
      </w:r>
      <w:r w:rsidR="00242126">
        <w:rPr>
          <w:lang w:val="fr-FR"/>
        </w:rPr>
        <w:t>’</w:t>
      </w:r>
      <w:r w:rsidR="004A21BF" w:rsidRPr="002961BC">
        <w:rPr>
          <w:lang w:val="fr-FR"/>
        </w:rPr>
        <w:t xml:space="preserve">un tel plafond limite le nombre de dépôts additionnels et les pertes de </w:t>
      </w:r>
      <w:r w:rsidRPr="002961BC">
        <w:rPr>
          <w:lang w:val="fr-FR"/>
        </w:rPr>
        <w:t xml:space="preserve">recettes </w:t>
      </w:r>
      <w:r w:rsidR="004A21BF" w:rsidRPr="002961BC">
        <w:rPr>
          <w:lang w:val="fr-FR"/>
        </w:rPr>
        <w:t>engendrées par ces réductio</w:t>
      </w:r>
      <w:r w:rsidR="005D014A" w:rsidRPr="002961BC">
        <w:rPr>
          <w:lang w:val="fr-FR"/>
        </w:rPr>
        <w:t>ns</w:t>
      </w:r>
      <w:r w:rsidR="005D014A">
        <w:rPr>
          <w:lang w:val="fr-FR"/>
        </w:rPr>
        <w:t xml:space="preserve">.  </w:t>
      </w:r>
      <w:r w:rsidR="005D014A" w:rsidRPr="002961BC">
        <w:rPr>
          <w:lang w:val="fr-FR"/>
        </w:rPr>
        <w:t>Le</w:t>
      </w:r>
      <w:r w:rsidR="004A21BF" w:rsidRPr="002961BC">
        <w:rPr>
          <w:lang w:val="fr-FR"/>
        </w:rPr>
        <w:t>s f</w:t>
      </w:r>
      <w:r w:rsidR="008B05FB" w:rsidRPr="002961BC">
        <w:rPr>
          <w:lang w:val="fr-FR"/>
        </w:rPr>
        <w:t>igures 1a, 1b, 2a</w:t>
      </w:r>
      <w:r w:rsidR="004A21BF" w:rsidRPr="002961BC">
        <w:rPr>
          <w:lang w:val="fr-FR"/>
        </w:rPr>
        <w:t xml:space="preserve"> et</w:t>
      </w:r>
      <w:r w:rsidR="008B05FB" w:rsidRPr="002961BC">
        <w:rPr>
          <w:lang w:val="fr-FR"/>
        </w:rPr>
        <w:t xml:space="preserve"> 2b </w:t>
      </w:r>
      <w:r w:rsidR="005407C8" w:rsidRPr="002961BC">
        <w:rPr>
          <w:lang w:val="fr-FR"/>
        </w:rPr>
        <w:t>fournissent</w:t>
      </w:r>
      <w:r w:rsidR="004A21BF" w:rsidRPr="002961BC">
        <w:rPr>
          <w:lang w:val="fr-FR"/>
        </w:rPr>
        <w:t xml:space="preserve"> des </w:t>
      </w:r>
      <w:r w:rsidR="005407C8" w:rsidRPr="002961BC">
        <w:rPr>
          <w:lang w:val="fr-FR"/>
        </w:rPr>
        <w:t xml:space="preserve">informations </w:t>
      </w:r>
      <w:r w:rsidR="004A21BF" w:rsidRPr="002961BC">
        <w:rPr>
          <w:lang w:val="fr-FR"/>
        </w:rPr>
        <w:t>quantitatives à ce</w:t>
      </w:r>
      <w:r w:rsidR="008B05FB" w:rsidRPr="002961BC">
        <w:rPr>
          <w:lang w:val="fr-FR"/>
        </w:rPr>
        <w:t xml:space="preserve"> </w:t>
      </w:r>
      <w:r w:rsidR="00A236F8">
        <w:rPr>
          <w:lang w:val="fr-FR"/>
        </w:rPr>
        <w:t>sujet</w:t>
      </w:r>
      <w:r w:rsidR="008B05FB" w:rsidRPr="002961BC">
        <w:rPr>
          <w:lang w:val="fr-FR"/>
        </w:rPr>
        <w:t>.</w:t>
      </w:r>
    </w:p>
    <w:p w:rsidR="001F55A6" w:rsidRPr="002961BC" w:rsidRDefault="00BE38C9" w:rsidP="00D4306D">
      <w:pPr>
        <w:pStyle w:val="ONUMFS"/>
        <w:rPr>
          <w:lang w:val="fr-FR"/>
        </w:rPr>
      </w:pPr>
      <w:r w:rsidRPr="002961BC">
        <w:rPr>
          <w:lang w:val="fr-FR"/>
        </w:rPr>
        <w:t xml:space="preserve">Cependant, </w:t>
      </w:r>
      <w:r w:rsidR="00807751" w:rsidRPr="002961BC">
        <w:rPr>
          <w:lang w:val="fr-FR"/>
        </w:rPr>
        <w:t xml:space="preserve">des avertissements importants doivent accompagner </w:t>
      </w:r>
      <w:r w:rsidRPr="002961BC">
        <w:rPr>
          <w:lang w:val="fr-FR"/>
        </w:rPr>
        <w:t>les simulatio</w:t>
      </w:r>
      <w:r w:rsidR="005D014A" w:rsidRPr="002961BC">
        <w:rPr>
          <w:lang w:val="fr-FR"/>
        </w:rPr>
        <w:t>ns</w:t>
      </w:r>
      <w:r w:rsidR="005D014A">
        <w:rPr>
          <w:lang w:val="fr-FR"/>
        </w:rPr>
        <w:t xml:space="preserve">.  </w:t>
      </w:r>
      <w:r w:rsidR="005D014A" w:rsidRPr="002961BC">
        <w:rPr>
          <w:lang w:val="fr-FR"/>
        </w:rPr>
        <w:t>To</w:t>
      </w:r>
      <w:r w:rsidRPr="002961BC">
        <w:rPr>
          <w:lang w:val="fr-FR"/>
        </w:rPr>
        <w:t>ut d</w:t>
      </w:r>
      <w:r w:rsidR="00242126">
        <w:rPr>
          <w:lang w:val="fr-FR"/>
        </w:rPr>
        <w:t>’</w:t>
      </w:r>
      <w:r w:rsidRPr="002961BC">
        <w:rPr>
          <w:lang w:val="fr-FR"/>
        </w:rPr>
        <w:t xml:space="preserve">abord, </w:t>
      </w:r>
      <w:r w:rsidR="00E62632" w:rsidRPr="002961BC">
        <w:rPr>
          <w:lang w:val="fr-FR"/>
        </w:rPr>
        <w:t>l</w:t>
      </w:r>
      <w:r w:rsidR="00242126">
        <w:rPr>
          <w:lang w:val="fr-FR"/>
        </w:rPr>
        <w:t>’</w:t>
      </w:r>
      <w:r w:rsidR="00807751" w:rsidRPr="002961BC">
        <w:rPr>
          <w:lang w:val="fr-FR"/>
        </w:rPr>
        <w:t xml:space="preserve">application </w:t>
      </w:r>
      <w:r w:rsidRPr="002961BC">
        <w:rPr>
          <w:lang w:val="fr-FR"/>
        </w:rPr>
        <w:t>d</w:t>
      </w:r>
      <w:r w:rsidR="00242126">
        <w:rPr>
          <w:lang w:val="fr-FR"/>
        </w:rPr>
        <w:t>’</w:t>
      </w:r>
      <w:r w:rsidRPr="002961BC">
        <w:rPr>
          <w:lang w:val="fr-FR"/>
        </w:rPr>
        <w:t>un plafond entraîne une forte réduction de taxe pour certain</w:t>
      </w:r>
      <w:r w:rsidR="00E62632" w:rsidRPr="002961BC">
        <w:rPr>
          <w:lang w:val="fr-FR"/>
        </w:rPr>
        <w:t>e</w:t>
      </w:r>
      <w:r w:rsidRPr="002961BC">
        <w:rPr>
          <w:lang w:val="fr-FR"/>
        </w:rPr>
        <w:t>s université</w:t>
      </w:r>
      <w:r w:rsidR="00E62632" w:rsidRPr="002961BC">
        <w:rPr>
          <w:lang w:val="fr-FR"/>
        </w:rPr>
        <w:t>s</w:t>
      </w:r>
      <w:r w:rsidRPr="002961BC">
        <w:rPr>
          <w:lang w:val="fr-FR"/>
        </w:rPr>
        <w:t xml:space="preserve"> par rapport à d</w:t>
      </w:r>
      <w:r w:rsidR="00242126">
        <w:rPr>
          <w:lang w:val="fr-FR"/>
        </w:rPr>
        <w:t>’</w:t>
      </w:r>
      <w:r w:rsidRPr="002961BC">
        <w:rPr>
          <w:lang w:val="fr-FR"/>
        </w:rPr>
        <w:t>autr</w:t>
      </w:r>
      <w:r w:rsidR="005D014A" w:rsidRPr="002961BC">
        <w:rPr>
          <w:lang w:val="fr-FR"/>
        </w:rPr>
        <w:t>es</w:t>
      </w:r>
      <w:r w:rsidR="005D014A">
        <w:rPr>
          <w:lang w:val="fr-FR"/>
        </w:rPr>
        <w:t xml:space="preserve">.  </w:t>
      </w:r>
      <w:r w:rsidR="005D014A" w:rsidRPr="002961BC">
        <w:rPr>
          <w:lang w:val="fr-FR"/>
        </w:rPr>
        <w:t>L</w:t>
      </w:r>
      <w:r w:rsidR="005D014A">
        <w:rPr>
          <w:lang w:val="fr-FR"/>
        </w:rPr>
        <w:t>’</w:t>
      </w:r>
      <w:r w:rsidR="005D014A" w:rsidRPr="002961BC">
        <w:rPr>
          <w:lang w:val="fr-FR"/>
        </w:rPr>
        <w:t>a</w:t>
      </w:r>
      <w:r w:rsidR="00E62632" w:rsidRPr="002961BC">
        <w:rPr>
          <w:lang w:val="fr-FR"/>
        </w:rPr>
        <w:t>pplication d</w:t>
      </w:r>
      <w:r w:rsidR="005407C8" w:rsidRPr="002961BC">
        <w:rPr>
          <w:lang w:val="fr-FR"/>
        </w:rPr>
        <w:t>e l</w:t>
      </w:r>
      <w:r w:rsidR="00242126">
        <w:rPr>
          <w:lang w:val="fr-FR"/>
        </w:rPr>
        <w:t>’</w:t>
      </w:r>
      <w:r w:rsidR="00E62632" w:rsidRPr="002961BC">
        <w:rPr>
          <w:lang w:val="fr-FR"/>
        </w:rPr>
        <w:t xml:space="preserve">élasticité moyenne </w:t>
      </w:r>
      <w:r w:rsidR="00807751" w:rsidRPr="002961BC">
        <w:rPr>
          <w:lang w:val="fr-FR"/>
        </w:rPr>
        <w:t xml:space="preserve">par rapport à </w:t>
      </w:r>
      <w:r w:rsidR="00E62632" w:rsidRPr="002961BC">
        <w:rPr>
          <w:lang w:val="fr-FR"/>
        </w:rPr>
        <w:t>la taxe à l</w:t>
      </w:r>
      <w:r w:rsidR="00242126">
        <w:rPr>
          <w:lang w:val="fr-FR"/>
        </w:rPr>
        <w:t>’</w:t>
      </w:r>
      <w:r w:rsidR="00E62632" w:rsidRPr="002961BC">
        <w:rPr>
          <w:lang w:val="fr-FR"/>
        </w:rPr>
        <w:t>ensemble des universités des deux</w:t>
      </w:r>
      <w:r w:rsidR="00FE6238">
        <w:rPr>
          <w:lang w:val="fr-FR"/>
        </w:rPr>
        <w:t> </w:t>
      </w:r>
      <w:r w:rsidR="00E62632" w:rsidRPr="002961BC">
        <w:rPr>
          <w:lang w:val="fr-FR"/>
        </w:rPr>
        <w:t>groupes de pays peut fausser l</w:t>
      </w:r>
      <w:r w:rsidR="00242126">
        <w:rPr>
          <w:lang w:val="fr-FR"/>
        </w:rPr>
        <w:t>’</w:t>
      </w:r>
      <w:r w:rsidR="00E62632" w:rsidRPr="002961BC">
        <w:rPr>
          <w:lang w:val="fr-FR"/>
        </w:rPr>
        <w:t>estimation de la sensibilité à la ta</w:t>
      </w:r>
      <w:r w:rsidR="005D014A" w:rsidRPr="002961BC">
        <w:rPr>
          <w:lang w:val="fr-FR"/>
        </w:rPr>
        <w:t>xe</w:t>
      </w:r>
      <w:r w:rsidR="005D014A">
        <w:rPr>
          <w:lang w:val="fr-FR"/>
        </w:rPr>
        <w:t xml:space="preserve">.  </w:t>
      </w:r>
      <w:r w:rsidR="005D014A" w:rsidRPr="002961BC">
        <w:rPr>
          <w:lang w:val="fr-FR"/>
        </w:rPr>
        <w:t>En</w:t>
      </w:r>
      <w:r w:rsidR="00E62632" w:rsidRPr="002961BC">
        <w:rPr>
          <w:lang w:val="fr-FR"/>
        </w:rPr>
        <w:t>suite, la forme de fonction log</w:t>
      </w:r>
      <w:r w:rsidR="00FB6F91">
        <w:rPr>
          <w:lang w:val="fr-FR"/>
        </w:rPr>
        <w:noBreakHyphen/>
      </w:r>
      <w:r w:rsidR="00E62632" w:rsidRPr="002961BC">
        <w:rPr>
          <w:lang w:val="fr-FR"/>
        </w:rPr>
        <w:t xml:space="preserve">linéaire à </w:t>
      </w:r>
      <w:r w:rsidR="004A45DB" w:rsidRPr="002961BC">
        <w:rPr>
          <w:lang w:val="fr-FR"/>
        </w:rPr>
        <w:t>la base</w:t>
      </w:r>
      <w:r w:rsidR="00E62632" w:rsidRPr="002961BC">
        <w:rPr>
          <w:lang w:val="fr-FR"/>
        </w:rPr>
        <w:t xml:space="preserve"> de l</w:t>
      </w:r>
      <w:r w:rsidR="00242126">
        <w:rPr>
          <w:lang w:val="fr-FR"/>
        </w:rPr>
        <w:t>’</w:t>
      </w:r>
      <w:r w:rsidR="00E62632" w:rsidRPr="002961BC">
        <w:rPr>
          <w:lang w:val="fr-FR"/>
        </w:rPr>
        <w:t>estimation d</w:t>
      </w:r>
      <w:r w:rsidR="00242126">
        <w:rPr>
          <w:lang w:val="fr-FR"/>
        </w:rPr>
        <w:t>’</w:t>
      </w:r>
      <w:r w:rsidR="00E62632" w:rsidRPr="002961BC">
        <w:rPr>
          <w:lang w:val="fr-FR"/>
        </w:rPr>
        <w:t xml:space="preserve">élasticité </w:t>
      </w:r>
      <w:r w:rsidR="00807751" w:rsidRPr="002961BC">
        <w:rPr>
          <w:lang w:val="fr-FR"/>
        </w:rPr>
        <w:t>par rapport au montant de</w:t>
      </w:r>
      <w:r w:rsidR="00E62632" w:rsidRPr="002961BC">
        <w:rPr>
          <w:lang w:val="fr-FR"/>
        </w:rPr>
        <w:t xml:space="preserve"> la taxe peut rendre particulièrement peu fiable</w:t>
      </w:r>
      <w:r w:rsidR="005407C8" w:rsidRPr="002961BC">
        <w:rPr>
          <w:lang w:val="fr-FR"/>
        </w:rPr>
        <w:t>s</w:t>
      </w:r>
      <w:r w:rsidR="00E62632" w:rsidRPr="002961BC">
        <w:rPr>
          <w:lang w:val="fr-FR"/>
        </w:rPr>
        <w:t xml:space="preserve"> les simulations de forte</w:t>
      </w:r>
      <w:r w:rsidR="0076389A" w:rsidRPr="002961BC">
        <w:rPr>
          <w:lang w:val="fr-FR"/>
        </w:rPr>
        <w:t>s</w:t>
      </w:r>
      <w:r w:rsidR="00E62632" w:rsidRPr="002961BC">
        <w:rPr>
          <w:lang w:val="fr-FR"/>
        </w:rPr>
        <w:t xml:space="preserve"> réduction</w:t>
      </w:r>
      <w:r w:rsidR="0076389A" w:rsidRPr="002961BC">
        <w:rPr>
          <w:lang w:val="fr-FR"/>
        </w:rPr>
        <w:t>s</w:t>
      </w:r>
      <w:r w:rsidR="00E62632" w:rsidRPr="002961BC">
        <w:rPr>
          <w:lang w:val="fr-FR"/>
        </w:rPr>
        <w:t xml:space="preserve"> de taxe</w:t>
      </w:r>
      <w:r w:rsidR="0076389A" w:rsidRPr="002961BC">
        <w:rPr>
          <w:lang w:val="fr-FR"/>
        </w:rPr>
        <w:t xml:space="preserve"> qui dépassent celles qui ont été enregistrées dans le passé</w:t>
      </w:r>
      <w:r w:rsidR="000C519D" w:rsidRPr="002961BC">
        <w:rPr>
          <w:rStyle w:val="FootnoteReference"/>
          <w:lang w:val="fr-FR"/>
        </w:rPr>
        <w:footnoteReference w:id="9"/>
      </w:r>
      <w:r w:rsidR="000C519D" w:rsidRPr="002961BC">
        <w:rPr>
          <w:lang w:val="fr-FR"/>
        </w:rPr>
        <w:t>.</w:t>
      </w:r>
    </w:p>
    <w:p w:rsidR="005645FF" w:rsidRPr="00A6521E" w:rsidRDefault="00776355" w:rsidP="00D4306D">
      <w:pPr>
        <w:pStyle w:val="ONUMFS"/>
        <w:ind w:left="5533"/>
        <w:rPr>
          <w:i/>
          <w:lang w:val="fr-FR"/>
        </w:rPr>
      </w:pPr>
      <w:r w:rsidRPr="00A6521E">
        <w:rPr>
          <w:i/>
          <w:lang w:val="fr-FR"/>
        </w:rPr>
        <w:t>Le groupe de travail est invité à prendre note du contenu du présent document</w:t>
      </w:r>
      <w:r w:rsidR="000C519D" w:rsidRPr="00A6521E">
        <w:rPr>
          <w:i/>
          <w:lang w:val="fr-FR"/>
        </w:rPr>
        <w:t>.</w:t>
      </w:r>
    </w:p>
    <w:p w:rsidR="00324A31" w:rsidRDefault="00324A31" w:rsidP="00D4306D">
      <w:pPr>
        <w:rPr>
          <w:lang w:val="fr-FR"/>
        </w:rPr>
      </w:pPr>
    </w:p>
    <w:p w:rsidR="00A6521E" w:rsidRPr="002961BC" w:rsidRDefault="00A6521E" w:rsidP="00D4306D">
      <w:pPr>
        <w:rPr>
          <w:lang w:val="fr-FR"/>
        </w:rPr>
      </w:pPr>
    </w:p>
    <w:p w:rsidR="005645FF" w:rsidRDefault="000C519D" w:rsidP="00D4306D">
      <w:pPr>
        <w:pStyle w:val="ONUME"/>
        <w:numPr>
          <w:ilvl w:val="0"/>
          <w:numId w:val="0"/>
        </w:numPr>
        <w:ind w:left="5533"/>
        <w:rPr>
          <w:lang w:val="fr-FR"/>
        </w:rPr>
      </w:pPr>
      <w:r w:rsidRPr="002961BC">
        <w:rPr>
          <w:lang w:val="fr-FR"/>
        </w:rPr>
        <w:t>[</w:t>
      </w:r>
      <w:r w:rsidR="00776355" w:rsidRPr="002961BC">
        <w:rPr>
          <w:lang w:val="fr-FR"/>
        </w:rPr>
        <w:t>Fin du</w:t>
      </w:r>
      <w:r w:rsidRPr="002961BC">
        <w:rPr>
          <w:lang w:val="fr-FR"/>
        </w:rPr>
        <w:t xml:space="preserve"> document]</w:t>
      </w:r>
    </w:p>
    <w:sectPr w:rsidR="005645FF" w:rsidSect="00324A31">
      <w:head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C2" w:rsidRDefault="006A13C2">
      <w:r>
        <w:separator/>
      </w:r>
    </w:p>
  </w:endnote>
  <w:endnote w:type="continuationSeparator" w:id="0">
    <w:p w:rsidR="006A13C2" w:rsidRDefault="006A13C2" w:rsidP="003B38C1">
      <w:r>
        <w:separator/>
      </w:r>
    </w:p>
    <w:p w:rsidR="006A13C2" w:rsidRPr="003B38C1" w:rsidRDefault="006A13C2"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6A13C2" w:rsidRPr="003B38C1" w:rsidRDefault="006A13C2"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3E" w:rsidRPr="00EC3B3E" w:rsidRDefault="00EC3B3E" w:rsidP="00EC3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C2" w:rsidRDefault="006A13C2">
      <w:r>
        <w:separator/>
      </w:r>
    </w:p>
  </w:footnote>
  <w:footnote w:type="continuationSeparator" w:id="0">
    <w:p w:rsidR="006A13C2" w:rsidRDefault="006A13C2" w:rsidP="008B60B2">
      <w:r>
        <w:separator/>
      </w:r>
    </w:p>
    <w:p w:rsidR="006A13C2" w:rsidRPr="00ED77FB" w:rsidRDefault="006A13C2"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6A13C2" w:rsidRPr="00ED77FB" w:rsidRDefault="006A13C2"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t>Plus précisément, l</w:t>
      </w:r>
      <w:r w:rsidR="004C5580">
        <w:rPr>
          <w:lang w:val="fr-FR"/>
        </w:rPr>
        <w:t>’</w:t>
      </w:r>
      <w:r w:rsidRPr="002C3210">
        <w:rPr>
          <w:lang w:val="fr-FR"/>
        </w:rPr>
        <w:t>estimation économétrique ne portait que sur 78</w:t>
      </w:r>
      <w:r w:rsidR="005D014A">
        <w:rPr>
          <w:lang w:val="fr-FR"/>
        </w:rPr>
        <w:t> </w:t>
      </w:r>
      <w:r w:rsidRPr="002C3210">
        <w:rPr>
          <w:lang w:val="fr-FR"/>
        </w:rPr>
        <w:t>familles de brevets d</w:t>
      </w:r>
      <w:r w:rsidR="004C5580">
        <w:rPr>
          <w:lang w:val="fr-FR"/>
        </w:rPr>
        <w:t>’</w:t>
      </w:r>
      <w:r w:rsidRPr="002C3210">
        <w:rPr>
          <w:lang w:val="fr-FR"/>
        </w:rPr>
        <w:t>organismes de recherche publics provenant de pays en développement, dont 90% avaient un équivalent PCT.</w:t>
      </w:r>
    </w:p>
  </w:footnote>
  <w:footnote w:id="3">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t>Comme dans le document PCT/WG/8/11, on entend par pays en développement dans le présent document les pays énumérés dans les Notifications officielles (Gazette</w:t>
      </w:r>
      <w:r w:rsidR="004C5580" w:rsidRPr="004C5580">
        <w:rPr>
          <w:lang w:val="fr-FR"/>
        </w:rPr>
        <w:t xml:space="preserve"> du PCT</w:t>
      </w:r>
      <w:r w:rsidRPr="002C3210">
        <w:rPr>
          <w:lang w:val="fr-FR"/>
        </w:rPr>
        <w:t xml:space="preserve">) – 12 février 2015;  </w:t>
      </w:r>
      <w:r>
        <w:rPr>
          <w:lang w:val="fr-FR"/>
        </w:rPr>
        <w:t>tous les autres pays sont définis comme des pays développés.  Le présent document s</w:t>
      </w:r>
      <w:r w:rsidR="004C5580">
        <w:rPr>
          <w:lang w:val="fr-FR"/>
        </w:rPr>
        <w:t>’</w:t>
      </w:r>
      <w:r>
        <w:rPr>
          <w:lang w:val="fr-FR"/>
        </w:rPr>
        <w:t xml:space="preserve">appuie sur les </w:t>
      </w:r>
      <w:r w:rsidRPr="00FB4A2F">
        <w:rPr>
          <w:lang w:val="fr-FR"/>
        </w:rPr>
        <w:t xml:space="preserve">données </w:t>
      </w:r>
      <w:r>
        <w:rPr>
          <w:lang w:val="fr-FR"/>
        </w:rPr>
        <w:t>relatives aux</w:t>
      </w:r>
      <w:r w:rsidRPr="00FB4A2F">
        <w:rPr>
          <w:lang w:val="fr-FR"/>
        </w:rPr>
        <w:t xml:space="preserve"> dépôts selon</w:t>
      </w:r>
      <w:r w:rsidR="004C5580" w:rsidRPr="004C5580">
        <w:rPr>
          <w:lang w:val="fr-FR"/>
        </w:rPr>
        <w:t xml:space="preserve"> le PCT</w:t>
      </w:r>
      <w:r>
        <w:rPr>
          <w:lang w:val="fr-FR"/>
        </w:rPr>
        <w:t xml:space="preserve"> effectués entre </w:t>
      </w:r>
      <w:r w:rsidRPr="002C3210">
        <w:rPr>
          <w:lang w:val="fr-FR"/>
        </w:rPr>
        <w:t xml:space="preserve">2011 </w:t>
      </w:r>
      <w:r>
        <w:rPr>
          <w:lang w:val="fr-FR"/>
        </w:rPr>
        <w:t>et</w:t>
      </w:r>
      <w:r w:rsidR="0046600D">
        <w:rPr>
          <w:lang w:val="fr-FR"/>
        </w:rPr>
        <w:t> </w:t>
      </w:r>
      <w:r w:rsidRPr="002C3210">
        <w:rPr>
          <w:lang w:val="fr-FR"/>
        </w:rPr>
        <w:t xml:space="preserve">2015.  </w:t>
      </w:r>
    </w:p>
  </w:footnote>
  <w:footnote w:id="4">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r>
      <w:r w:rsidR="00DB193F">
        <w:rPr>
          <w:lang w:val="fr-FR"/>
        </w:rPr>
        <w:t>Il n</w:t>
      </w:r>
      <w:r w:rsidR="004C5580">
        <w:rPr>
          <w:lang w:val="fr-FR"/>
        </w:rPr>
        <w:t>’</w:t>
      </w:r>
      <w:r w:rsidR="00DB193F">
        <w:rPr>
          <w:lang w:val="fr-FR"/>
        </w:rPr>
        <w:t>est pas facile d</w:t>
      </w:r>
      <w:r w:rsidR="004C5580">
        <w:rPr>
          <w:lang w:val="fr-FR"/>
        </w:rPr>
        <w:t>’</w:t>
      </w:r>
      <w:r w:rsidR="00DB193F">
        <w:rPr>
          <w:lang w:val="fr-FR"/>
        </w:rPr>
        <w:t xml:space="preserve">effectuer une </w:t>
      </w:r>
      <w:r>
        <w:rPr>
          <w:lang w:val="fr-FR"/>
        </w:rPr>
        <w:t xml:space="preserve">estimation </w:t>
      </w:r>
      <w:r w:rsidR="00DB193F">
        <w:rPr>
          <w:lang w:val="fr-FR"/>
        </w:rPr>
        <w:t xml:space="preserve">de la variation </w:t>
      </w:r>
      <w:r>
        <w:rPr>
          <w:lang w:val="fr-FR"/>
        </w:rPr>
        <w:t>d</w:t>
      </w:r>
      <w:r w:rsidR="004C5580">
        <w:rPr>
          <w:lang w:val="fr-FR"/>
        </w:rPr>
        <w:t>’</w:t>
      </w:r>
      <w:r>
        <w:rPr>
          <w:lang w:val="fr-FR"/>
        </w:rPr>
        <w:t>élasticité par rapport au montant de la taxe pour divers sous</w:t>
      </w:r>
      <w:r w:rsidR="004C5580">
        <w:rPr>
          <w:lang w:val="fr-FR"/>
        </w:rPr>
        <w:t>-</w:t>
      </w:r>
      <w:r>
        <w:rPr>
          <w:lang w:val="fr-FR"/>
        </w:rPr>
        <w:t>groupes de déposants</w:t>
      </w:r>
      <w:r w:rsidRPr="002C3210">
        <w:rPr>
          <w:lang w:val="fr-FR"/>
        </w:rPr>
        <w:t xml:space="preserve"> (</w:t>
      </w:r>
      <w:r>
        <w:rPr>
          <w:lang w:val="fr-FR"/>
        </w:rPr>
        <w:t>par exemple, selon les volumes annuels de dépôts</w:t>
      </w:r>
      <w:r w:rsidRPr="002C3210">
        <w:rPr>
          <w:lang w:val="fr-FR"/>
        </w:rPr>
        <w:t xml:space="preserve">) </w:t>
      </w:r>
      <w:r>
        <w:rPr>
          <w:lang w:val="fr-FR"/>
        </w:rPr>
        <w:t>parce que certains déposants changent de groupe d</w:t>
      </w:r>
      <w:r w:rsidR="004C5580">
        <w:rPr>
          <w:lang w:val="fr-FR"/>
        </w:rPr>
        <w:t>’</w:t>
      </w:r>
      <w:r>
        <w:rPr>
          <w:lang w:val="fr-FR"/>
        </w:rPr>
        <w:t>une année à l</w:t>
      </w:r>
      <w:r w:rsidR="004C5580">
        <w:rPr>
          <w:lang w:val="fr-FR"/>
        </w:rPr>
        <w:t>’</w:t>
      </w:r>
      <w:r>
        <w:rPr>
          <w:lang w:val="fr-FR"/>
        </w:rPr>
        <w:t>autre et que subdiviser le groupe des universités de</w:t>
      </w:r>
      <w:r w:rsidR="00DB193F">
        <w:rPr>
          <w:lang w:val="fr-FR"/>
        </w:rPr>
        <w:t>s</w:t>
      </w:r>
      <w:r>
        <w:rPr>
          <w:lang w:val="fr-FR"/>
        </w:rPr>
        <w:t xml:space="preserve"> pays en développement qui utilisent le système</w:t>
      </w:r>
      <w:r w:rsidR="004C5580" w:rsidRPr="004C5580">
        <w:rPr>
          <w:lang w:val="fr-FR"/>
        </w:rPr>
        <w:t xml:space="preserve"> du PCT</w:t>
      </w:r>
      <w:r>
        <w:rPr>
          <w:lang w:val="fr-FR"/>
        </w:rPr>
        <w:t xml:space="preserve"> réduirait l</w:t>
      </w:r>
      <w:r w:rsidR="004C5580">
        <w:rPr>
          <w:lang w:val="fr-FR"/>
        </w:rPr>
        <w:t>’</w:t>
      </w:r>
      <w:r>
        <w:rPr>
          <w:lang w:val="fr-FR"/>
        </w:rPr>
        <w:t>inférence statistique</w:t>
      </w:r>
      <w:r w:rsidRPr="002C3210">
        <w:rPr>
          <w:lang w:val="fr-FR"/>
        </w:rPr>
        <w:t>.</w:t>
      </w:r>
    </w:p>
  </w:footnote>
  <w:footnote w:id="5">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r>
      <w:r>
        <w:rPr>
          <w:lang w:val="fr-FR"/>
        </w:rPr>
        <w:t>Il est à noter que les données relatives aux dépôts</w:t>
      </w:r>
      <w:r w:rsidR="00A236F8">
        <w:rPr>
          <w:lang w:val="fr-FR"/>
        </w:rPr>
        <w:t xml:space="preserve"> qui sont</w:t>
      </w:r>
      <w:r>
        <w:rPr>
          <w:lang w:val="fr-FR"/>
        </w:rPr>
        <w:t xml:space="preserve"> indiquées dans le présent document diffèrent de celles </w:t>
      </w:r>
      <w:r w:rsidR="00DB193F">
        <w:rPr>
          <w:lang w:val="fr-FR"/>
        </w:rPr>
        <w:t>du</w:t>
      </w:r>
      <w:r>
        <w:rPr>
          <w:lang w:val="fr-FR"/>
        </w:rPr>
        <w:t xml:space="preserve"> document </w:t>
      </w:r>
      <w:r w:rsidRPr="002C3210">
        <w:rPr>
          <w:lang w:val="fr-FR"/>
        </w:rPr>
        <w:t>PCT/WG/8/11</w:t>
      </w:r>
      <w:r>
        <w:rPr>
          <w:lang w:val="fr-FR"/>
        </w:rPr>
        <w:t xml:space="preserve"> pour deux</w:t>
      </w:r>
      <w:r w:rsidR="00FE6238">
        <w:rPr>
          <w:lang w:val="fr-FR"/>
        </w:rPr>
        <w:t> </w:t>
      </w:r>
      <w:r>
        <w:rPr>
          <w:lang w:val="fr-FR"/>
        </w:rPr>
        <w:t xml:space="preserve">raisons.  Premièrement, les données sont </w:t>
      </w:r>
      <w:r w:rsidR="00DB193F">
        <w:rPr>
          <w:lang w:val="fr-FR"/>
        </w:rPr>
        <w:t xml:space="preserve">davantage </w:t>
      </w:r>
      <w:r>
        <w:rPr>
          <w:lang w:val="fr-FR"/>
        </w:rPr>
        <w:t xml:space="preserve">actualisées et </w:t>
      </w:r>
      <w:r w:rsidR="00DB193F">
        <w:rPr>
          <w:lang w:val="fr-FR"/>
        </w:rPr>
        <w:t>prennent</w:t>
      </w:r>
      <w:r>
        <w:rPr>
          <w:lang w:val="fr-FR"/>
        </w:rPr>
        <w:t xml:space="preserve"> donc </w:t>
      </w:r>
      <w:r w:rsidR="00DB193F">
        <w:rPr>
          <w:lang w:val="fr-FR"/>
        </w:rPr>
        <w:t xml:space="preserve">en considération </w:t>
      </w:r>
      <w:r>
        <w:rPr>
          <w:lang w:val="fr-FR"/>
        </w:rPr>
        <w:t>les informations additionnelles reçues par le Bureau international, notamment sur les changements de titulaire.  Deuxièmement, la définition des universités qui utilisent le système</w:t>
      </w:r>
      <w:r w:rsidR="004C5580" w:rsidRPr="004C5580">
        <w:rPr>
          <w:lang w:val="fr-FR"/>
        </w:rPr>
        <w:t xml:space="preserve"> du PCT</w:t>
      </w:r>
      <w:r w:rsidR="00DB193F">
        <w:rPr>
          <w:lang w:val="fr-FR"/>
        </w:rPr>
        <w:t xml:space="preserve"> </w:t>
      </w:r>
      <w:r>
        <w:rPr>
          <w:lang w:val="fr-FR"/>
        </w:rPr>
        <w:t>varie.  Plus précisément, dans l</w:t>
      </w:r>
      <w:r w:rsidR="004C5580">
        <w:rPr>
          <w:lang w:val="fr-FR"/>
        </w:rPr>
        <w:t>’</w:t>
      </w:r>
      <w:r>
        <w:rPr>
          <w:lang w:val="fr-FR"/>
        </w:rPr>
        <w:t xml:space="preserve">étude supplémentaire précédente, une demande </w:t>
      </w:r>
      <w:r w:rsidR="00DB193F">
        <w:rPr>
          <w:lang w:val="fr-FR"/>
        </w:rPr>
        <w:t>selon</w:t>
      </w:r>
      <w:r w:rsidR="004C5580" w:rsidRPr="004C5580">
        <w:rPr>
          <w:lang w:val="fr-FR"/>
        </w:rPr>
        <w:t xml:space="preserve"> le PCT</w:t>
      </w:r>
      <w:r>
        <w:rPr>
          <w:lang w:val="fr-FR"/>
        </w:rPr>
        <w:t xml:space="preserve"> était considérée comme un dépôt d</w:t>
      </w:r>
      <w:r w:rsidR="004C5580">
        <w:rPr>
          <w:lang w:val="fr-FR"/>
        </w:rPr>
        <w:t>’</w:t>
      </w:r>
      <w:r>
        <w:rPr>
          <w:lang w:val="fr-FR"/>
        </w:rPr>
        <w:t xml:space="preserve">université si au moins </w:t>
      </w:r>
      <w:r w:rsidR="00A236F8">
        <w:rPr>
          <w:lang w:val="fr-FR"/>
        </w:rPr>
        <w:t>l’</w:t>
      </w:r>
      <w:r>
        <w:rPr>
          <w:lang w:val="fr-FR"/>
        </w:rPr>
        <w:t>un des déposants était une université</w:t>
      </w:r>
      <w:r w:rsidR="00DB193F">
        <w:rPr>
          <w:lang w:val="fr-FR"/>
        </w:rPr>
        <w:t xml:space="preserve">; </w:t>
      </w:r>
      <w:r>
        <w:rPr>
          <w:lang w:val="fr-FR"/>
        </w:rPr>
        <w:t xml:space="preserve"> </w:t>
      </w:r>
      <w:r w:rsidR="00DB193F">
        <w:rPr>
          <w:lang w:val="fr-FR"/>
        </w:rPr>
        <w:t>dans le présent document, une demande selon</w:t>
      </w:r>
      <w:r w:rsidR="004C5580" w:rsidRPr="004C5580">
        <w:rPr>
          <w:lang w:val="fr-FR"/>
        </w:rPr>
        <w:t xml:space="preserve"> le PCT</w:t>
      </w:r>
      <w:r w:rsidR="00DB193F">
        <w:rPr>
          <w:lang w:val="fr-FR"/>
        </w:rPr>
        <w:t xml:space="preserve"> est considérée comme un dépôt d</w:t>
      </w:r>
      <w:r w:rsidR="004C5580">
        <w:rPr>
          <w:lang w:val="fr-FR"/>
        </w:rPr>
        <w:t>’</w:t>
      </w:r>
      <w:r w:rsidR="00DB193F">
        <w:rPr>
          <w:lang w:val="fr-FR"/>
        </w:rPr>
        <w:t xml:space="preserve">université si au moins </w:t>
      </w:r>
      <w:r w:rsidR="00A236F8">
        <w:rPr>
          <w:lang w:val="fr-FR"/>
        </w:rPr>
        <w:t>l’</w:t>
      </w:r>
      <w:r w:rsidR="00DB193F">
        <w:rPr>
          <w:lang w:val="fr-FR"/>
        </w:rPr>
        <w:t xml:space="preserve">un des déposants est une université </w:t>
      </w:r>
      <w:r>
        <w:rPr>
          <w:lang w:val="fr-FR"/>
        </w:rPr>
        <w:t xml:space="preserve">et </w:t>
      </w:r>
      <w:r w:rsidR="00A236F8">
        <w:rPr>
          <w:lang w:val="fr-FR"/>
        </w:rPr>
        <w:t>qu’</w:t>
      </w:r>
      <w:r>
        <w:rPr>
          <w:lang w:val="fr-FR"/>
        </w:rPr>
        <w:t xml:space="preserve">aucun des </w:t>
      </w:r>
      <w:proofErr w:type="spellStart"/>
      <w:r>
        <w:rPr>
          <w:lang w:val="fr-FR"/>
        </w:rPr>
        <w:t>co</w:t>
      </w:r>
      <w:proofErr w:type="spellEnd"/>
      <w:r w:rsidR="004C5580">
        <w:rPr>
          <w:lang w:val="fr-FR"/>
        </w:rPr>
        <w:t>-</w:t>
      </w:r>
      <w:r>
        <w:rPr>
          <w:lang w:val="fr-FR"/>
        </w:rPr>
        <w:t>déposants (le cas échéant) n</w:t>
      </w:r>
      <w:r w:rsidR="004C5580">
        <w:rPr>
          <w:lang w:val="fr-FR"/>
        </w:rPr>
        <w:t>’</w:t>
      </w:r>
      <w:r w:rsidR="00DB193F">
        <w:rPr>
          <w:lang w:val="fr-FR"/>
        </w:rPr>
        <w:t>est</w:t>
      </w:r>
      <w:r>
        <w:rPr>
          <w:lang w:val="fr-FR"/>
        </w:rPr>
        <w:t xml:space="preserve"> une personne morale.  Cela reflète la pratique a</w:t>
      </w:r>
      <w:r w:rsidR="00DB193F">
        <w:rPr>
          <w:lang w:val="fr-FR"/>
        </w:rPr>
        <w:t>ctuelle consistant à appliquer d</w:t>
      </w:r>
      <w:r>
        <w:rPr>
          <w:lang w:val="fr-FR"/>
        </w:rPr>
        <w:t xml:space="preserve">es réductions de taxe uniquement aux demandes pour lesquelles tous les déposants remplissent les conditions </w:t>
      </w:r>
      <w:r w:rsidR="004A45DB">
        <w:rPr>
          <w:lang w:val="fr-FR"/>
        </w:rPr>
        <w:t>requises</w:t>
      </w:r>
      <w:r>
        <w:rPr>
          <w:lang w:val="fr-FR"/>
        </w:rPr>
        <w:t xml:space="preserve">.  </w:t>
      </w:r>
      <w:r w:rsidR="00F72F7D">
        <w:rPr>
          <w:lang w:val="fr-FR"/>
        </w:rPr>
        <w:t>Pour autant</w:t>
      </w:r>
      <w:r>
        <w:rPr>
          <w:lang w:val="fr-FR"/>
        </w:rPr>
        <w:t xml:space="preserve">, cela ne préjuge pas des critères </w:t>
      </w:r>
      <w:r w:rsidR="004A45DB">
        <w:rPr>
          <w:lang w:val="fr-FR"/>
        </w:rPr>
        <w:t xml:space="preserve">applicables à </w:t>
      </w:r>
      <w:r>
        <w:rPr>
          <w:lang w:val="fr-FR"/>
        </w:rPr>
        <w:t>de futures réductions de taxe.</w:t>
      </w:r>
    </w:p>
  </w:footnote>
  <w:footnote w:id="6">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r>
      <w:r>
        <w:rPr>
          <w:lang w:val="fr-FR"/>
        </w:rPr>
        <w:t>Il convient de noter que</w:t>
      </w:r>
      <w:r w:rsidR="00A236F8">
        <w:rPr>
          <w:lang w:val="fr-FR"/>
        </w:rPr>
        <w:t>,</w:t>
      </w:r>
      <w:r w:rsidR="00A236F8" w:rsidRPr="00A236F8">
        <w:rPr>
          <w:lang w:val="fr-FR"/>
        </w:rPr>
        <w:t xml:space="preserve"> </w:t>
      </w:r>
      <w:r w:rsidR="00A236F8">
        <w:rPr>
          <w:lang w:val="fr-FR"/>
        </w:rPr>
        <w:t>dans le présent document,</w:t>
      </w:r>
      <w:r>
        <w:rPr>
          <w:lang w:val="fr-FR"/>
        </w:rPr>
        <w:t xml:space="preserve"> les données relatives aux </w:t>
      </w:r>
      <w:r w:rsidR="00807751">
        <w:rPr>
          <w:lang w:val="fr-FR"/>
        </w:rPr>
        <w:t>recettes provenant</w:t>
      </w:r>
      <w:r>
        <w:rPr>
          <w:lang w:val="fr-FR"/>
        </w:rPr>
        <w:t xml:space="preserve"> des taxes qui sont utilisées </w:t>
      </w:r>
      <w:r w:rsidR="005407C8">
        <w:rPr>
          <w:lang w:val="fr-FR"/>
        </w:rPr>
        <w:t>portent sur</w:t>
      </w:r>
      <w:r>
        <w:rPr>
          <w:lang w:val="fr-FR"/>
        </w:rPr>
        <w:t xml:space="preserve"> les réductions de taxe pour les dépôts électroniques.  Cela explique pourquoi les taxes annuelles moyennes dans les tableaux 2a et 2b et les pertes de </w:t>
      </w:r>
      <w:r w:rsidR="00807751">
        <w:rPr>
          <w:lang w:val="fr-FR"/>
        </w:rPr>
        <w:t xml:space="preserve">recettes </w:t>
      </w:r>
      <w:r>
        <w:rPr>
          <w:lang w:val="fr-FR"/>
        </w:rPr>
        <w:t>dans les figures</w:t>
      </w:r>
      <w:r w:rsidR="005D014A">
        <w:rPr>
          <w:lang w:val="fr-FR"/>
        </w:rPr>
        <w:t> </w:t>
      </w:r>
      <w:r>
        <w:rPr>
          <w:lang w:val="fr-FR"/>
        </w:rPr>
        <w:t xml:space="preserve">2a et 2b sont quelque peu inférieures aux données </w:t>
      </w:r>
      <w:r w:rsidR="004A45DB">
        <w:rPr>
          <w:lang w:val="fr-FR"/>
        </w:rPr>
        <w:t>du</w:t>
      </w:r>
      <w:r>
        <w:rPr>
          <w:lang w:val="fr-FR"/>
        </w:rPr>
        <w:t xml:space="preserve"> tableau</w:t>
      </w:r>
      <w:r w:rsidR="00FE6238">
        <w:rPr>
          <w:lang w:val="fr-FR"/>
        </w:rPr>
        <w:t> </w:t>
      </w:r>
      <w:r>
        <w:rPr>
          <w:lang w:val="fr-FR"/>
        </w:rPr>
        <w:t>4 du document</w:t>
      </w:r>
      <w:r w:rsidRPr="002C3210">
        <w:rPr>
          <w:lang w:val="fr-FR"/>
        </w:rPr>
        <w:t xml:space="preserve"> PCT/WG/8/11 </w:t>
      </w:r>
      <w:r>
        <w:rPr>
          <w:lang w:val="fr-FR"/>
        </w:rPr>
        <w:t xml:space="preserve">qui ne prend pas en considération ces réductions. </w:t>
      </w:r>
      <w:r w:rsidR="00FE6238">
        <w:rPr>
          <w:lang w:val="fr-FR"/>
        </w:rPr>
        <w:t xml:space="preserve"> </w:t>
      </w:r>
    </w:p>
  </w:footnote>
  <w:footnote w:id="7">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t>Math</w:t>
      </w:r>
      <w:r>
        <w:rPr>
          <w:lang w:val="fr-FR"/>
        </w:rPr>
        <w:t>é</w:t>
      </w:r>
      <w:r w:rsidRPr="002C3210">
        <w:rPr>
          <w:lang w:val="fr-FR"/>
        </w:rPr>
        <w:t>mati</w:t>
      </w:r>
      <w:r>
        <w:rPr>
          <w:lang w:val="fr-FR"/>
        </w:rPr>
        <w:t xml:space="preserve">quement, si </w:t>
      </w:r>
      <w:r w:rsidRPr="002C3210">
        <w:rPr>
          <w:i/>
          <w:lang w:val="fr-FR"/>
        </w:rPr>
        <w:t>E</w:t>
      </w:r>
      <w:r w:rsidRPr="002C3210">
        <w:rPr>
          <w:lang w:val="fr-FR"/>
        </w:rPr>
        <w:t xml:space="preserve"> </w:t>
      </w:r>
      <w:r w:rsidR="005407C8">
        <w:rPr>
          <w:lang w:val="fr-FR"/>
        </w:rPr>
        <w:t>désigne</w:t>
      </w:r>
      <w:r>
        <w:rPr>
          <w:lang w:val="fr-FR"/>
        </w:rPr>
        <w:t xml:space="preserve"> le nombre de demandes </w:t>
      </w:r>
      <w:r w:rsidR="00A236F8">
        <w:rPr>
          <w:lang w:val="fr-FR"/>
        </w:rPr>
        <w:t>ouvrant</w:t>
      </w:r>
      <w:r>
        <w:rPr>
          <w:lang w:val="fr-FR"/>
        </w:rPr>
        <w:t xml:space="preserve"> droit à une réduction de taxe, </w:t>
      </w:r>
      <w:r w:rsidRPr="002C3210">
        <w:rPr>
          <w:i/>
          <w:lang w:val="fr-FR"/>
        </w:rPr>
        <w:t>f</w:t>
      </w:r>
      <w:r w:rsidRPr="002C3210">
        <w:rPr>
          <w:lang w:val="fr-FR"/>
        </w:rPr>
        <w:t xml:space="preserve"> </w:t>
      </w:r>
      <w:r>
        <w:rPr>
          <w:lang w:val="fr-FR"/>
        </w:rPr>
        <w:t>le pourcentage de réduction de la taxe</w:t>
      </w:r>
      <w:r w:rsidRPr="002C3210">
        <w:rPr>
          <w:lang w:val="fr-FR"/>
        </w:rPr>
        <w:t xml:space="preserve">, </w:t>
      </w:r>
      <w:r w:rsidRPr="002C3210">
        <w:rPr>
          <w:i/>
          <w:lang w:val="fr-FR"/>
        </w:rPr>
        <w:t>ε</w:t>
      </w:r>
      <w:r w:rsidRPr="002C3210">
        <w:rPr>
          <w:lang w:val="fr-FR"/>
        </w:rPr>
        <w:t xml:space="preserve"> </w:t>
      </w:r>
      <w:r>
        <w:rPr>
          <w:lang w:val="fr-FR"/>
        </w:rPr>
        <w:t>l</w:t>
      </w:r>
      <w:r w:rsidR="004C5580">
        <w:rPr>
          <w:lang w:val="fr-FR"/>
        </w:rPr>
        <w:t>’</w:t>
      </w:r>
      <w:r>
        <w:rPr>
          <w:lang w:val="fr-FR"/>
        </w:rPr>
        <w:t>estimation d</w:t>
      </w:r>
      <w:r w:rsidR="004C5580">
        <w:rPr>
          <w:lang w:val="fr-FR"/>
        </w:rPr>
        <w:t>’</w:t>
      </w:r>
      <w:r>
        <w:rPr>
          <w:lang w:val="fr-FR"/>
        </w:rPr>
        <w:t xml:space="preserve">élasticité </w:t>
      </w:r>
      <w:r w:rsidR="00807751">
        <w:rPr>
          <w:lang w:val="fr-FR"/>
        </w:rPr>
        <w:t>par rapport à</w:t>
      </w:r>
      <w:r>
        <w:rPr>
          <w:lang w:val="fr-FR"/>
        </w:rPr>
        <w:t xml:space="preserve"> la taxe</w:t>
      </w:r>
      <w:r w:rsidRPr="002C3210">
        <w:rPr>
          <w:lang w:val="fr-FR"/>
        </w:rPr>
        <w:t xml:space="preserve"> </w:t>
      </w:r>
      <w:r>
        <w:rPr>
          <w:lang w:val="fr-FR"/>
        </w:rPr>
        <w:t>et</w:t>
      </w:r>
      <w:r w:rsidRPr="002C3210">
        <w:rPr>
          <w:lang w:val="fr-FR"/>
        </w:rPr>
        <w:t xml:space="preserve"> </w:t>
      </w:r>
      <w:proofErr w:type="spellStart"/>
      <w:r w:rsidRPr="002C3210">
        <w:rPr>
          <w:i/>
          <w:lang w:val="fr-FR"/>
        </w:rPr>
        <w:t>a</w:t>
      </w:r>
      <w:proofErr w:type="spellEnd"/>
      <w:r w:rsidRPr="002C3210">
        <w:rPr>
          <w:lang w:val="fr-FR"/>
        </w:rPr>
        <w:t xml:space="preserve"> </w:t>
      </w:r>
      <w:r>
        <w:rPr>
          <w:lang w:val="fr-FR"/>
        </w:rPr>
        <w:t>la taxe moyenne</w:t>
      </w:r>
      <w:r w:rsidRPr="002C3210">
        <w:rPr>
          <w:lang w:val="fr-FR"/>
        </w:rPr>
        <w:t xml:space="preserve">, </w:t>
      </w:r>
      <w:r>
        <w:rPr>
          <w:lang w:val="fr-FR"/>
        </w:rPr>
        <w:t>le nombre de dépôts additionnels</w:t>
      </w:r>
      <w:r w:rsidR="00A236F8">
        <w:rPr>
          <w:lang w:val="fr-FR"/>
        </w:rPr>
        <w:t xml:space="preserve"> </w:t>
      </w:r>
      <w:r>
        <w:rPr>
          <w:lang w:val="fr-FR"/>
        </w:rPr>
        <w:t>engendrés par la réduction de taxe</w:t>
      </w:r>
      <w:r w:rsidR="00A236F8" w:rsidRPr="002C3210">
        <w:rPr>
          <w:lang w:val="fr-FR"/>
        </w:rPr>
        <w:t xml:space="preserve">, </w:t>
      </w:r>
      <w:r w:rsidR="00A236F8" w:rsidRPr="002C3210">
        <w:rPr>
          <w:i/>
          <w:lang w:val="fr-FR"/>
        </w:rPr>
        <w:t>X</w:t>
      </w:r>
      <w:r w:rsidR="00A236F8" w:rsidRPr="002C3210">
        <w:rPr>
          <w:lang w:val="fr-FR"/>
        </w:rPr>
        <w:t xml:space="preserve">, </w:t>
      </w:r>
      <w:r>
        <w:rPr>
          <w:lang w:val="fr-FR"/>
        </w:rPr>
        <w:t>est obtenu avec la formule</w:t>
      </w:r>
      <w:r w:rsidRPr="002C3210">
        <w:rPr>
          <w:lang w:val="fr-FR"/>
        </w:rPr>
        <w:t xml:space="preserve"> </w:t>
      </w:r>
      <w:r w:rsidRPr="002C3210">
        <w:rPr>
          <w:i/>
          <w:lang w:val="fr-FR"/>
        </w:rPr>
        <w:t>X</w:t>
      </w:r>
      <w:r w:rsidRPr="002C3210">
        <w:rPr>
          <w:lang w:val="fr-FR"/>
        </w:rPr>
        <w:t>=</w:t>
      </w:r>
      <w:r w:rsidRPr="002C3210">
        <w:rPr>
          <w:i/>
          <w:lang w:val="fr-FR"/>
        </w:rPr>
        <w:t>f*E* ε</w:t>
      </w:r>
      <w:r w:rsidRPr="002C3210">
        <w:rPr>
          <w:lang w:val="fr-FR"/>
        </w:rPr>
        <w:t xml:space="preserve"> </w:t>
      </w:r>
      <w:r>
        <w:rPr>
          <w:lang w:val="fr-FR"/>
        </w:rPr>
        <w:t xml:space="preserve">et la perte (nette) de </w:t>
      </w:r>
      <w:r w:rsidR="005407C8">
        <w:rPr>
          <w:lang w:val="fr-FR"/>
        </w:rPr>
        <w:t>recettes</w:t>
      </w:r>
      <w:r w:rsidRPr="002C3210">
        <w:rPr>
          <w:lang w:val="fr-FR"/>
        </w:rPr>
        <w:t xml:space="preserve">, </w:t>
      </w:r>
      <w:r w:rsidRPr="002C3210">
        <w:rPr>
          <w:i/>
          <w:lang w:val="fr-FR"/>
        </w:rPr>
        <w:t>I</w:t>
      </w:r>
      <w:r w:rsidRPr="002C3210">
        <w:rPr>
          <w:lang w:val="fr-FR"/>
        </w:rPr>
        <w:t xml:space="preserve">, </w:t>
      </w:r>
      <w:r>
        <w:rPr>
          <w:lang w:val="fr-FR"/>
        </w:rPr>
        <w:t xml:space="preserve">par la formule </w:t>
      </w:r>
      <w:r w:rsidRPr="002C3210">
        <w:rPr>
          <w:lang w:val="fr-FR"/>
        </w:rPr>
        <w:t>I=</w:t>
      </w:r>
      <w:r w:rsidRPr="002C3210">
        <w:rPr>
          <w:i/>
          <w:lang w:val="fr-FR"/>
        </w:rPr>
        <w:t>f</w:t>
      </w:r>
      <w:r w:rsidRPr="002C3210">
        <w:rPr>
          <w:lang w:val="fr-FR"/>
        </w:rPr>
        <w:t>*</w:t>
      </w:r>
      <w:r w:rsidRPr="002C3210">
        <w:rPr>
          <w:i/>
          <w:lang w:val="fr-FR"/>
        </w:rPr>
        <w:t>a</w:t>
      </w:r>
      <w:r w:rsidRPr="002C3210">
        <w:rPr>
          <w:lang w:val="fr-FR"/>
        </w:rPr>
        <w:t>*</w:t>
      </w:r>
      <w:r w:rsidRPr="002C3210">
        <w:rPr>
          <w:i/>
          <w:lang w:val="fr-FR"/>
        </w:rPr>
        <w:t>E</w:t>
      </w:r>
      <w:r w:rsidRPr="002C3210">
        <w:rPr>
          <w:lang w:val="fr-FR"/>
        </w:rPr>
        <w:t xml:space="preserve"> – (1</w:t>
      </w:r>
      <w:r w:rsidR="004C5580">
        <w:rPr>
          <w:lang w:val="fr-FR"/>
        </w:rPr>
        <w:t>-</w:t>
      </w:r>
      <w:r w:rsidRPr="002C3210">
        <w:rPr>
          <w:i/>
          <w:lang w:val="fr-FR"/>
        </w:rPr>
        <w:t>f</w:t>
      </w:r>
      <w:r w:rsidRPr="002C3210">
        <w:rPr>
          <w:lang w:val="fr-FR"/>
        </w:rPr>
        <w:t>)*</w:t>
      </w:r>
      <w:r w:rsidRPr="002C3210">
        <w:rPr>
          <w:i/>
          <w:lang w:val="fr-FR"/>
        </w:rPr>
        <w:t>a</w:t>
      </w:r>
      <w:r w:rsidRPr="002C3210">
        <w:rPr>
          <w:lang w:val="fr-FR"/>
        </w:rPr>
        <w:t>*</w:t>
      </w:r>
      <w:r w:rsidRPr="002C3210">
        <w:rPr>
          <w:i/>
          <w:lang w:val="fr-FR"/>
        </w:rPr>
        <w:t>X</w:t>
      </w:r>
      <w:r w:rsidRPr="002C3210">
        <w:rPr>
          <w:lang w:val="fr-FR"/>
        </w:rPr>
        <w:t xml:space="preserve">.  </w:t>
      </w:r>
      <w:r>
        <w:rPr>
          <w:lang w:val="fr-FR"/>
        </w:rPr>
        <w:t xml:space="preserve">Il est alors facile de montrer que la perte de </w:t>
      </w:r>
      <w:r w:rsidR="00807751">
        <w:rPr>
          <w:lang w:val="fr-FR"/>
        </w:rPr>
        <w:t xml:space="preserve">recettes </w:t>
      </w:r>
      <w:r>
        <w:rPr>
          <w:lang w:val="fr-FR"/>
        </w:rPr>
        <w:t>par demande s</w:t>
      </w:r>
      <w:r w:rsidR="004C5580">
        <w:rPr>
          <w:lang w:val="fr-FR"/>
        </w:rPr>
        <w:t>’</w:t>
      </w:r>
      <w:r>
        <w:rPr>
          <w:lang w:val="fr-FR"/>
        </w:rPr>
        <w:t>élève à</w:t>
      </w:r>
      <w:r w:rsidRPr="002C3210">
        <w:rPr>
          <w:lang w:val="fr-FR"/>
        </w:rPr>
        <w:t xml:space="preserve"> </w:t>
      </w:r>
      <w:r w:rsidRPr="002C3210">
        <w:rPr>
          <w:i/>
          <w:lang w:val="fr-FR"/>
        </w:rPr>
        <w:t>I</w:t>
      </w:r>
      <w:r w:rsidRPr="002C3210">
        <w:rPr>
          <w:lang w:val="fr-FR"/>
        </w:rPr>
        <w:t>/</w:t>
      </w:r>
      <w:r w:rsidRPr="002C3210">
        <w:rPr>
          <w:i/>
          <w:lang w:val="fr-FR"/>
        </w:rPr>
        <w:t>X</w:t>
      </w:r>
      <w:r w:rsidRPr="002C3210">
        <w:rPr>
          <w:lang w:val="fr-FR"/>
        </w:rPr>
        <w:t>=</w:t>
      </w:r>
      <w:r w:rsidRPr="002C3210">
        <w:rPr>
          <w:i/>
          <w:lang w:val="fr-FR"/>
        </w:rPr>
        <w:t>a</w:t>
      </w:r>
      <w:r w:rsidRPr="002C3210">
        <w:rPr>
          <w:lang w:val="fr-FR"/>
        </w:rPr>
        <w:t>*(1</w:t>
      </w:r>
      <w:r w:rsidR="004C5580">
        <w:rPr>
          <w:lang w:val="fr-FR"/>
        </w:rPr>
        <w:t>-</w:t>
      </w:r>
      <w:r w:rsidRPr="002C3210">
        <w:rPr>
          <w:lang w:val="fr-FR"/>
        </w:rPr>
        <w:t>(1</w:t>
      </w:r>
      <w:r w:rsidR="004C5580">
        <w:rPr>
          <w:lang w:val="fr-FR"/>
        </w:rPr>
        <w:t>-</w:t>
      </w:r>
      <w:r w:rsidRPr="002C3210">
        <w:rPr>
          <w:i/>
          <w:lang w:val="fr-FR"/>
        </w:rPr>
        <w:t>f</w:t>
      </w:r>
      <w:r w:rsidRPr="002C3210">
        <w:rPr>
          <w:lang w:val="fr-FR"/>
        </w:rPr>
        <w:t>)*</w:t>
      </w:r>
      <w:r w:rsidRPr="002C3210">
        <w:rPr>
          <w:i/>
          <w:lang w:val="fr-FR"/>
        </w:rPr>
        <w:t xml:space="preserve"> ε</w:t>
      </w:r>
      <w:r w:rsidRPr="002C3210">
        <w:rPr>
          <w:lang w:val="fr-FR"/>
        </w:rPr>
        <w:t>)/</w:t>
      </w:r>
      <w:r w:rsidRPr="002C3210">
        <w:rPr>
          <w:i/>
          <w:lang w:val="fr-FR"/>
        </w:rPr>
        <w:t xml:space="preserve"> ε</w:t>
      </w:r>
      <w:r w:rsidRPr="002C3210">
        <w:rPr>
          <w:lang w:val="fr-FR"/>
        </w:rPr>
        <w:t xml:space="preserve">, </w:t>
      </w:r>
      <w:r>
        <w:rPr>
          <w:lang w:val="fr-FR"/>
        </w:rPr>
        <w:t xml:space="preserve">ce résultat étant indépendant du nombre de dépôts </w:t>
      </w:r>
      <w:r w:rsidR="002B329B">
        <w:rPr>
          <w:lang w:val="fr-FR"/>
        </w:rPr>
        <w:t>remplissant les conditions requises</w:t>
      </w:r>
      <w:r w:rsidR="00A236F8">
        <w:rPr>
          <w:lang w:val="fr-FR"/>
        </w:rPr>
        <w:t>,</w:t>
      </w:r>
      <w:r w:rsidR="005D014A">
        <w:rPr>
          <w:lang w:val="fr-FR"/>
        </w:rPr>
        <w:t> </w:t>
      </w:r>
      <w:r w:rsidRPr="002C3210">
        <w:rPr>
          <w:i/>
          <w:lang w:val="fr-FR"/>
        </w:rPr>
        <w:t>E</w:t>
      </w:r>
      <w:r w:rsidRPr="002C3210">
        <w:rPr>
          <w:lang w:val="fr-FR"/>
        </w:rPr>
        <w:t>.</w:t>
      </w:r>
    </w:p>
  </w:footnote>
  <w:footnote w:id="8">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r>
      <w:r>
        <w:rPr>
          <w:lang w:val="fr-FR"/>
        </w:rPr>
        <w:t xml:space="preserve">Comme indiqué dans la note de bas de page précédente, la perte de </w:t>
      </w:r>
      <w:r w:rsidR="00807751">
        <w:rPr>
          <w:lang w:val="fr-FR"/>
        </w:rPr>
        <w:t xml:space="preserve">recettes </w:t>
      </w:r>
      <w:r>
        <w:rPr>
          <w:lang w:val="fr-FR"/>
        </w:rPr>
        <w:t>par demande dépend de la taxe moyenne dans le scénario des niveaux de référence et de la valeur d</w:t>
      </w:r>
      <w:r w:rsidR="004C5580">
        <w:rPr>
          <w:lang w:val="fr-FR"/>
        </w:rPr>
        <w:t>’</w:t>
      </w:r>
      <w:r>
        <w:rPr>
          <w:lang w:val="fr-FR"/>
        </w:rPr>
        <w:t>élasticité.  La taxe moyenne entre les deux</w:t>
      </w:r>
      <w:r w:rsidR="00FE6238">
        <w:rPr>
          <w:lang w:val="fr-FR"/>
        </w:rPr>
        <w:t> </w:t>
      </w:r>
      <w:r>
        <w:rPr>
          <w:lang w:val="fr-FR"/>
        </w:rPr>
        <w:t>groupes de pays ét</w:t>
      </w:r>
      <w:r w:rsidR="00807751">
        <w:rPr>
          <w:lang w:val="fr-FR"/>
        </w:rPr>
        <w:t>ant</w:t>
      </w:r>
      <w:r>
        <w:rPr>
          <w:lang w:val="fr-FR"/>
        </w:rPr>
        <w:t xml:space="preserve"> similaire, la principale différence </w:t>
      </w:r>
      <w:r w:rsidR="005407C8">
        <w:rPr>
          <w:lang w:val="fr-FR"/>
        </w:rPr>
        <w:t>concernant</w:t>
      </w:r>
      <w:r>
        <w:rPr>
          <w:lang w:val="fr-FR"/>
        </w:rPr>
        <w:t xml:space="preserve"> la perte de </w:t>
      </w:r>
      <w:r w:rsidR="00807751">
        <w:rPr>
          <w:lang w:val="fr-FR"/>
        </w:rPr>
        <w:t xml:space="preserve">recettes </w:t>
      </w:r>
      <w:r>
        <w:rPr>
          <w:lang w:val="fr-FR"/>
        </w:rPr>
        <w:t>est due à la valeur de l</w:t>
      </w:r>
      <w:r w:rsidR="004C5580">
        <w:rPr>
          <w:lang w:val="fr-FR"/>
        </w:rPr>
        <w:t>’</w:t>
      </w:r>
      <w:r>
        <w:rPr>
          <w:lang w:val="fr-FR"/>
        </w:rPr>
        <w:t>élasticité.</w:t>
      </w:r>
    </w:p>
  </w:footnote>
  <w:footnote w:id="9">
    <w:p w:rsidR="006A13C2" w:rsidRPr="002C3210" w:rsidRDefault="006A13C2" w:rsidP="00D4306D">
      <w:pPr>
        <w:pStyle w:val="FootnoteText"/>
        <w:rPr>
          <w:lang w:val="fr-FR"/>
        </w:rPr>
      </w:pPr>
      <w:r w:rsidRPr="002C3210">
        <w:rPr>
          <w:rStyle w:val="FootnoteReference"/>
          <w:lang w:val="fr-FR"/>
        </w:rPr>
        <w:footnoteRef/>
      </w:r>
      <w:r w:rsidRPr="002C3210">
        <w:rPr>
          <w:lang w:val="fr-FR"/>
        </w:rPr>
        <w:t xml:space="preserve"> </w:t>
      </w:r>
      <w:r w:rsidRPr="002C3210">
        <w:rPr>
          <w:lang w:val="fr-FR"/>
        </w:rPr>
        <w:tab/>
      </w:r>
      <w:r>
        <w:rPr>
          <w:lang w:val="fr-FR"/>
        </w:rPr>
        <w:t xml:space="preserve">Comme indiqué dans le </w:t>
      </w:r>
      <w:r w:rsidRPr="002C3210">
        <w:rPr>
          <w:lang w:val="fr-FR"/>
        </w:rPr>
        <w:t xml:space="preserve">document PCT/WG/8/11, </w:t>
      </w:r>
      <w:r>
        <w:rPr>
          <w:lang w:val="fr-FR"/>
        </w:rPr>
        <w:t xml:space="preserve">une autre limitation réside dans le fait que le modèle économétrique </w:t>
      </w:r>
      <w:r w:rsidR="00A236F8">
        <w:rPr>
          <w:lang w:val="fr-FR"/>
        </w:rPr>
        <w:t xml:space="preserve">qui est </w:t>
      </w:r>
      <w:r>
        <w:rPr>
          <w:lang w:val="fr-FR"/>
        </w:rPr>
        <w:t xml:space="preserve">à </w:t>
      </w:r>
      <w:r w:rsidR="005407C8">
        <w:rPr>
          <w:lang w:val="fr-FR"/>
        </w:rPr>
        <w:t>la base</w:t>
      </w:r>
      <w:r>
        <w:rPr>
          <w:lang w:val="fr-FR"/>
        </w:rPr>
        <w:t xml:space="preserve"> des estimations de l</w:t>
      </w:r>
      <w:r w:rsidR="004C5580">
        <w:rPr>
          <w:lang w:val="fr-FR"/>
        </w:rPr>
        <w:t>’</w:t>
      </w:r>
      <w:r>
        <w:rPr>
          <w:lang w:val="fr-FR"/>
        </w:rPr>
        <w:t xml:space="preserve">élasticité </w:t>
      </w:r>
      <w:r w:rsidR="00E1732B">
        <w:rPr>
          <w:lang w:val="fr-FR"/>
        </w:rPr>
        <w:t>par rapport au montant de</w:t>
      </w:r>
      <w:r>
        <w:rPr>
          <w:lang w:val="fr-FR"/>
        </w:rPr>
        <w:t xml:space="preserve"> la taxe tient compte du choix que les déposants ont à faire entre la voie de Paris et celle</w:t>
      </w:r>
      <w:r w:rsidR="004C5580" w:rsidRPr="004C5580">
        <w:rPr>
          <w:lang w:val="fr-FR"/>
        </w:rPr>
        <w:t xml:space="preserve"> du PCT</w:t>
      </w:r>
      <w:r>
        <w:rPr>
          <w:lang w:val="fr-FR"/>
        </w:rPr>
        <w:t xml:space="preserve"> concernant le dépôt international des </w:t>
      </w:r>
      <w:r w:rsidR="005407C8">
        <w:rPr>
          <w:lang w:val="fr-FR"/>
        </w:rPr>
        <w:t>demandes de brevet</w:t>
      </w:r>
      <w:r>
        <w:rPr>
          <w:lang w:val="fr-FR"/>
        </w:rPr>
        <w:t>;  il ne tient pas compte du fait que le niveau de la taxe</w:t>
      </w:r>
      <w:r w:rsidR="004C5580" w:rsidRPr="004C5580">
        <w:rPr>
          <w:lang w:val="fr-FR"/>
        </w:rPr>
        <w:t xml:space="preserve"> du PCT</w:t>
      </w:r>
      <w:r>
        <w:rPr>
          <w:lang w:val="fr-FR"/>
        </w:rPr>
        <w:t xml:space="preserve"> peut influenc</w:t>
      </w:r>
      <w:r w:rsidR="005407C8">
        <w:rPr>
          <w:lang w:val="fr-FR"/>
        </w:rPr>
        <w:t>er</w:t>
      </w:r>
      <w:r>
        <w:rPr>
          <w:lang w:val="fr-FR"/>
        </w:rPr>
        <w:t xml:space="preserve"> la décision des déposants de déposer ou non une demande de protection par brevet au niveau international </w:t>
      </w:r>
      <w:r w:rsidR="00A236F8">
        <w:rPr>
          <w:lang w:val="fr-FR"/>
        </w:rPr>
        <w:t>au</w:t>
      </w:r>
      <w:r>
        <w:rPr>
          <w:lang w:val="fr-FR"/>
        </w:rPr>
        <w:t xml:space="preserve"> départ.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3C2" w:rsidRDefault="006A13C2" w:rsidP="00E74A2A">
    <w:pPr>
      <w:pStyle w:val="Header"/>
      <w:jc w:val="right"/>
    </w:pPr>
    <w:r>
      <w:t>PCT/WG/10/2</w:t>
    </w:r>
  </w:p>
  <w:p w:rsidR="006A13C2" w:rsidRDefault="006A13C2" w:rsidP="00E74A2A">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FC3DE1">
      <w:rPr>
        <w:noProof/>
      </w:rPr>
      <w:t>2</w:t>
    </w:r>
    <w:r>
      <w:rPr>
        <w:noProof/>
      </w:rPr>
      <w:fldChar w:fldCharType="end"/>
    </w:r>
  </w:p>
  <w:p w:rsidR="005645FF" w:rsidRDefault="005645FF" w:rsidP="00E74A2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3C2" w:rsidRDefault="006A13C2" w:rsidP="00477D6B">
    <w:pPr>
      <w:jc w:val="right"/>
    </w:pPr>
    <w:bookmarkStart w:id="6" w:name="Code2"/>
    <w:bookmarkEnd w:id="6"/>
    <w:r>
      <w:t>PCT/WG/10/2</w:t>
    </w:r>
  </w:p>
  <w:p w:rsidR="006A13C2" w:rsidRDefault="006A13C2" w:rsidP="00477D6B">
    <w:pPr>
      <w:jc w:val="right"/>
    </w:pPr>
    <w:proofErr w:type="gramStart"/>
    <w:r>
      <w:t>page</w:t>
    </w:r>
    <w:proofErr w:type="gramEnd"/>
    <w:r>
      <w:t xml:space="preserve"> </w:t>
    </w:r>
    <w:r>
      <w:fldChar w:fldCharType="begin"/>
    </w:r>
    <w:r>
      <w:instrText xml:space="preserve"> PAGE  \* MERGEFORMAT </w:instrText>
    </w:r>
    <w:r>
      <w:fldChar w:fldCharType="separate"/>
    </w:r>
    <w:r w:rsidR="00FC3DE1">
      <w:rPr>
        <w:noProof/>
      </w:rPr>
      <w:t>10</w:t>
    </w:r>
    <w:r>
      <w:fldChar w:fldCharType="end"/>
    </w:r>
  </w:p>
  <w:p w:rsidR="006A13C2" w:rsidRDefault="006A13C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3C2" w:rsidRDefault="006A13C2" w:rsidP="005645FF">
    <w:pPr>
      <w:pStyle w:val="Header"/>
      <w:jc w:val="right"/>
    </w:pPr>
    <w:r>
      <w:t>PCT/WG/10/2</w:t>
    </w:r>
  </w:p>
  <w:p w:rsidR="006A13C2" w:rsidRDefault="006A13C2" w:rsidP="005645FF">
    <w:pPr>
      <w:pStyle w:val="Header"/>
      <w:jc w:val="right"/>
    </w:pPr>
    <w:proofErr w:type="gramStart"/>
    <w:r>
      <w:t>page</w:t>
    </w:r>
    <w:proofErr w:type="gramEnd"/>
    <w:r>
      <w:t xml:space="preserve"> </w:t>
    </w:r>
    <w:r>
      <w:fldChar w:fldCharType="begin"/>
    </w:r>
    <w:r>
      <w:instrText xml:space="preserve"> PAGE   \* MERGEFORMAT </w:instrText>
    </w:r>
    <w:r>
      <w:fldChar w:fldCharType="separate"/>
    </w:r>
    <w:r w:rsidR="00FC3DE1">
      <w:rPr>
        <w:noProof/>
      </w:rPr>
      <w:t>9</w:t>
    </w:r>
    <w:r>
      <w:rPr>
        <w:noProof/>
      </w:rPr>
      <w:fldChar w:fldCharType="end"/>
    </w:r>
  </w:p>
  <w:p w:rsidR="006A13C2" w:rsidRDefault="006A13C2" w:rsidP="005645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7A60D81"/>
    <w:multiLevelType w:val="hybridMultilevel"/>
    <w:tmpl w:val="6EDA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0228E8"/>
    <w:multiLevelType w:val="hybridMultilevel"/>
    <w:tmpl w:val="50788684"/>
    <w:lvl w:ilvl="0" w:tplc="5944FE02">
      <w:start w:val="1"/>
      <w:numFmt w:val="bullet"/>
      <w:lvlText w:val=""/>
      <w:lvlJc w:val="left"/>
      <w:pPr>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6"/>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4AF857B-0358-46A5-945B-9D3AEDC0362B}"/>
    <w:docVar w:name="dgnword-eventsink" w:val="121894776"/>
    <w:docVar w:name="SourceLng" w:val="eng"/>
    <w:docVar w:name="TargetLng" w:val="fra"/>
    <w:docVar w:name="TermBases" w:val="DB|TRADTERM|WIPONew|UPOV_Beta"/>
    <w:docVar w:name="TermBaseURL" w:val="empty"/>
    <w:docVar w:name="TextBases" w:val="Team Server TMs\Default|Team Server TMs\French|Team Server TMs\Spanis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154B1"/>
    <w:rsid w:val="00017DE1"/>
    <w:rsid w:val="000232F0"/>
    <w:rsid w:val="0002650E"/>
    <w:rsid w:val="000276D2"/>
    <w:rsid w:val="00036C25"/>
    <w:rsid w:val="00040ADC"/>
    <w:rsid w:val="00043CAA"/>
    <w:rsid w:val="00047921"/>
    <w:rsid w:val="00075432"/>
    <w:rsid w:val="000968ED"/>
    <w:rsid w:val="000C519D"/>
    <w:rsid w:val="000F5E56"/>
    <w:rsid w:val="00112C40"/>
    <w:rsid w:val="00124472"/>
    <w:rsid w:val="00125B5E"/>
    <w:rsid w:val="001362EE"/>
    <w:rsid w:val="00142609"/>
    <w:rsid w:val="00144B57"/>
    <w:rsid w:val="0016673D"/>
    <w:rsid w:val="0017138A"/>
    <w:rsid w:val="001832A6"/>
    <w:rsid w:val="001B0F65"/>
    <w:rsid w:val="001C0BDF"/>
    <w:rsid w:val="001E4A84"/>
    <w:rsid w:val="001F55A6"/>
    <w:rsid w:val="00203980"/>
    <w:rsid w:val="002154B1"/>
    <w:rsid w:val="00226A6B"/>
    <w:rsid w:val="00227C2A"/>
    <w:rsid w:val="00242126"/>
    <w:rsid w:val="002634C4"/>
    <w:rsid w:val="00282618"/>
    <w:rsid w:val="00283995"/>
    <w:rsid w:val="0028447B"/>
    <w:rsid w:val="00290A7D"/>
    <w:rsid w:val="002924F1"/>
    <w:rsid w:val="002928D3"/>
    <w:rsid w:val="00292D82"/>
    <w:rsid w:val="0029336F"/>
    <w:rsid w:val="002961BC"/>
    <w:rsid w:val="002B329B"/>
    <w:rsid w:val="002B39EA"/>
    <w:rsid w:val="002B6FEC"/>
    <w:rsid w:val="002C3210"/>
    <w:rsid w:val="002C771C"/>
    <w:rsid w:val="002E11FE"/>
    <w:rsid w:val="002F1FE6"/>
    <w:rsid w:val="002F4E68"/>
    <w:rsid w:val="002F6025"/>
    <w:rsid w:val="00312F7F"/>
    <w:rsid w:val="00324A31"/>
    <w:rsid w:val="00361450"/>
    <w:rsid w:val="00366EE1"/>
    <w:rsid w:val="003673CF"/>
    <w:rsid w:val="00373401"/>
    <w:rsid w:val="003845C1"/>
    <w:rsid w:val="0039400D"/>
    <w:rsid w:val="003A15A9"/>
    <w:rsid w:val="003A6F89"/>
    <w:rsid w:val="003A7051"/>
    <w:rsid w:val="003B38C1"/>
    <w:rsid w:val="003C0467"/>
    <w:rsid w:val="003F0F8D"/>
    <w:rsid w:val="00404407"/>
    <w:rsid w:val="0041660A"/>
    <w:rsid w:val="00423E3E"/>
    <w:rsid w:val="00427AF4"/>
    <w:rsid w:val="00434E46"/>
    <w:rsid w:val="00441BB9"/>
    <w:rsid w:val="004647DA"/>
    <w:rsid w:val="0046600D"/>
    <w:rsid w:val="00474062"/>
    <w:rsid w:val="00477D6B"/>
    <w:rsid w:val="004850B1"/>
    <w:rsid w:val="0049064B"/>
    <w:rsid w:val="004A21BF"/>
    <w:rsid w:val="004A45DB"/>
    <w:rsid w:val="004B08C2"/>
    <w:rsid w:val="004B7D0B"/>
    <w:rsid w:val="004C5580"/>
    <w:rsid w:val="004F49F0"/>
    <w:rsid w:val="005019FF"/>
    <w:rsid w:val="00505EE8"/>
    <w:rsid w:val="005213D6"/>
    <w:rsid w:val="0053057A"/>
    <w:rsid w:val="0053481F"/>
    <w:rsid w:val="005407C8"/>
    <w:rsid w:val="0054659A"/>
    <w:rsid w:val="005522A2"/>
    <w:rsid w:val="00556F49"/>
    <w:rsid w:val="00560A29"/>
    <w:rsid w:val="005645FF"/>
    <w:rsid w:val="005746C2"/>
    <w:rsid w:val="00584187"/>
    <w:rsid w:val="005A38B8"/>
    <w:rsid w:val="005C6649"/>
    <w:rsid w:val="005D014A"/>
    <w:rsid w:val="00605827"/>
    <w:rsid w:val="006067F7"/>
    <w:rsid w:val="00622B94"/>
    <w:rsid w:val="00634528"/>
    <w:rsid w:val="0064504A"/>
    <w:rsid w:val="00646050"/>
    <w:rsid w:val="006656AB"/>
    <w:rsid w:val="0066730D"/>
    <w:rsid w:val="006713CA"/>
    <w:rsid w:val="00676C5C"/>
    <w:rsid w:val="006A13C2"/>
    <w:rsid w:val="006A7035"/>
    <w:rsid w:val="006A7D5D"/>
    <w:rsid w:val="006C32C6"/>
    <w:rsid w:val="006E099D"/>
    <w:rsid w:val="006F17FC"/>
    <w:rsid w:val="0076389A"/>
    <w:rsid w:val="00765B9A"/>
    <w:rsid w:val="00776355"/>
    <w:rsid w:val="0078562E"/>
    <w:rsid w:val="007A70ED"/>
    <w:rsid w:val="007B15DE"/>
    <w:rsid w:val="007D1613"/>
    <w:rsid w:val="00807751"/>
    <w:rsid w:val="00822918"/>
    <w:rsid w:val="00827338"/>
    <w:rsid w:val="00842DA4"/>
    <w:rsid w:val="00854327"/>
    <w:rsid w:val="008B05FB"/>
    <w:rsid w:val="008B2CC1"/>
    <w:rsid w:val="008B60B2"/>
    <w:rsid w:val="0090731E"/>
    <w:rsid w:val="00916EE2"/>
    <w:rsid w:val="0096190B"/>
    <w:rsid w:val="00966A22"/>
    <w:rsid w:val="0096722F"/>
    <w:rsid w:val="00980843"/>
    <w:rsid w:val="009E2791"/>
    <w:rsid w:val="009E3F6F"/>
    <w:rsid w:val="009F499F"/>
    <w:rsid w:val="009F4F6E"/>
    <w:rsid w:val="009F6DB0"/>
    <w:rsid w:val="00A15B27"/>
    <w:rsid w:val="00A22FF7"/>
    <w:rsid w:val="00A236F8"/>
    <w:rsid w:val="00A417F1"/>
    <w:rsid w:val="00A42DAF"/>
    <w:rsid w:val="00A45BD8"/>
    <w:rsid w:val="00A6521E"/>
    <w:rsid w:val="00A65C60"/>
    <w:rsid w:val="00A752E1"/>
    <w:rsid w:val="00A869B7"/>
    <w:rsid w:val="00AC205C"/>
    <w:rsid w:val="00AF0A6B"/>
    <w:rsid w:val="00B03487"/>
    <w:rsid w:val="00B05A69"/>
    <w:rsid w:val="00B61B41"/>
    <w:rsid w:val="00B9734B"/>
    <w:rsid w:val="00BA7A4E"/>
    <w:rsid w:val="00BD3406"/>
    <w:rsid w:val="00BE38C9"/>
    <w:rsid w:val="00C017BE"/>
    <w:rsid w:val="00C11BFE"/>
    <w:rsid w:val="00C33100"/>
    <w:rsid w:val="00C35FC1"/>
    <w:rsid w:val="00C42204"/>
    <w:rsid w:val="00C461E0"/>
    <w:rsid w:val="00C90534"/>
    <w:rsid w:val="00CB511E"/>
    <w:rsid w:val="00CC7C85"/>
    <w:rsid w:val="00CD212A"/>
    <w:rsid w:val="00D02A0E"/>
    <w:rsid w:val="00D055AE"/>
    <w:rsid w:val="00D32900"/>
    <w:rsid w:val="00D4306D"/>
    <w:rsid w:val="00D45252"/>
    <w:rsid w:val="00D5108A"/>
    <w:rsid w:val="00D71B4D"/>
    <w:rsid w:val="00D82479"/>
    <w:rsid w:val="00D93D55"/>
    <w:rsid w:val="00DB193F"/>
    <w:rsid w:val="00DC009E"/>
    <w:rsid w:val="00DC3660"/>
    <w:rsid w:val="00DC42EA"/>
    <w:rsid w:val="00DC5C21"/>
    <w:rsid w:val="00DF0044"/>
    <w:rsid w:val="00E1732B"/>
    <w:rsid w:val="00E2289D"/>
    <w:rsid w:val="00E335FE"/>
    <w:rsid w:val="00E62632"/>
    <w:rsid w:val="00E661B8"/>
    <w:rsid w:val="00E74A2A"/>
    <w:rsid w:val="00E80395"/>
    <w:rsid w:val="00EC3B3E"/>
    <w:rsid w:val="00EC4E49"/>
    <w:rsid w:val="00ED77FB"/>
    <w:rsid w:val="00EE45FA"/>
    <w:rsid w:val="00F12FED"/>
    <w:rsid w:val="00F1521B"/>
    <w:rsid w:val="00F46583"/>
    <w:rsid w:val="00F66152"/>
    <w:rsid w:val="00F72F7D"/>
    <w:rsid w:val="00F76939"/>
    <w:rsid w:val="00FB4A2F"/>
    <w:rsid w:val="00FB4F3B"/>
    <w:rsid w:val="00FB6F91"/>
    <w:rsid w:val="00FC3DE1"/>
    <w:rsid w:val="00FE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1BC"/>
    <w:rPr>
      <w:rFonts w:ascii="Arial" w:eastAsia="SimSun" w:hAnsi="Arial" w:cs="Arial"/>
      <w:sz w:val="22"/>
      <w:lang w:val="fr-CH" w:eastAsia="zh-CN"/>
    </w:rPr>
  </w:style>
  <w:style w:type="paragraph" w:styleId="Heading1">
    <w:name w:val="heading 1"/>
    <w:basedOn w:val="Normal"/>
    <w:next w:val="Normal"/>
    <w:link w:val="Heading1Char"/>
    <w:qFormat/>
    <w:rsid w:val="002961BC"/>
    <w:pPr>
      <w:keepNext/>
      <w:spacing w:before="240" w:after="60"/>
      <w:outlineLvl w:val="0"/>
    </w:pPr>
    <w:rPr>
      <w:b/>
      <w:bCs/>
      <w:caps/>
      <w:kern w:val="32"/>
      <w:szCs w:val="32"/>
    </w:rPr>
  </w:style>
  <w:style w:type="paragraph" w:styleId="Heading2">
    <w:name w:val="heading 2"/>
    <w:basedOn w:val="Normal"/>
    <w:next w:val="Normal"/>
    <w:link w:val="Heading2Char"/>
    <w:qFormat/>
    <w:rsid w:val="002961BC"/>
    <w:pPr>
      <w:keepNext/>
      <w:spacing w:before="240" w:after="60"/>
      <w:outlineLvl w:val="1"/>
    </w:pPr>
    <w:rPr>
      <w:bCs/>
      <w:iCs/>
      <w:caps/>
      <w:szCs w:val="28"/>
    </w:rPr>
  </w:style>
  <w:style w:type="paragraph" w:styleId="Heading3">
    <w:name w:val="heading 3"/>
    <w:basedOn w:val="Normal"/>
    <w:next w:val="Normal"/>
    <w:link w:val="Heading3Char"/>
    <w:qFormat/>
    <w:rsid w:val="002961BC"/>
    <w:pPr>
      <w:keepNext/>
      <w:spacing w:before="240" w:after="60"/>
      <w:outlineLvl w:val="2"/>
    </w:pPr>
    <w:rPr>
      <w:bCs/>
      <w:szCs w:val="26"/>
      <w:u w:val="single"/>
    </w:rPr>
  </w:style>
  <w:style w:type="paragraph" w:styleId="Heading4">
    <w:name w:val="heading 4"/>
    <w:basedOn w:val="Normal"/>
    <w:next w:val="Normal"/>
    <w:link w:val="Heading4Char"/>
    <w:qFormat/>
    <w:rsid w:val="002961B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961BC"/>
    <w:pPr>
      <w:ind w:left="5534"/>
    </w:pPr>
    <w:rPr>
      <w:lang w:val="en-US"/>
    </w:rPr>
  </w:style>
  <w:style w:type="paragraph" w:styleId="BodyText">
    <w:name w:val="Body Text"/>
    <w:basedOn w:val="Normal"/>
    <w:link w:val="BodyTextChar"/>
    <w:rsid w:val="002961BC"/>
    <w:pPr>
      <w:spacing w:after="220"/>
    </w:pPr>
  </w:style>
  <w:style w:type="paragraph" w:styleId="Caption">
    <w:name w:val="caption"/>
    <w:basedOn w:val="Normal"/>
    <w:next w:val="Normal"/>
    <w:qFormat/>
    <w:rsid w:val="002961BC"/>
    <w:rPr>
      <w:b/>
      <w:bCs/>
      <w:sz w:val="18"/>
    </w:rPr>
  </w:style>
  <w:style w:type="paragraph" w:styleId="CommentText">
    <w:name w:val="annotation text"/>
    <w:basedOn w:val="Normal"/>
    <w:link w:val="CommentTextChar"/>
    <w:semiHidden/>
    <w:rsid w:val="002961BC"/>
    <w:rPr>
      <w:sz w:val="18"/>
    </w:rPr>
  </w:style>
  <w:style w:type="paragraph" w:styleId="EndnoteText">
    <w:name w:val="endnote text"/>
    <w:basedOn w:val="Normal"/>
    <w:link w:val="EndnoteTextChar"/>
    <w:semiHidden/>
    <w:rsid w:val="002961BC"/>
    <w:rPr>
      <w:sz w:val="18"/>
    </w:rPr>
  </w:style>
  <w:style w:type="paragraph" w:styleId="Footer">
    <w:name w:val="footer"/>
    <w:basedOn w:val="Normal"/>
    <w:link w:val="FooterChar"/>
    <w:rsid w:val="002961BC"/>
    <w:pPr>
      <w:tabs>
        <w:tab w:val="center" w:pos="4320"/>
        <w:tab w:val="right" w:pos="8640"/>
      </w:tabs>
    </w:pPr>
  </w:style>
  <w:style w:type="paragraph" w:styleId="FootnoteText">
    <w:name w:val="footnote text"/>
    <w:basedOn w:val="Normal"/>
    <w:link w:val="FootnoteTextChar"/>
    <w:semiHidden/>
    <w:rsid w:val="002961BC"/>
    <w:rPr>
      <w:sz w:val="18"/>
    </w:rPr>
  </w:style>
  <w:style w:type="paragraph" w:styleId="Header">
    <w:name w:val="header"/>
    <w:basedOn w:val="Normal"/>
    <w:link w:val="HeaderChar"/>
    <w:semiHidden/>
    <w:rsid w:val="002961BC"/>
    <w:pPr>
      <w:tabs>
        <w:tab w:val="center" w:pos="4536"/>
        <w:tab w:val="right" w:pos="9072"/>
      </w:tabs>
    </w:pPr>
  </w:style>
  <w:style w:type="paragraph" w:styleId="ListNumber">
    <w:name w:val="List Number"/>
    <w:basedOn w:val="Normal"/>
    <w:semiHidden/>
    <w:rsid w:val="002961BC"/>
    <w:pPr>
      <w:numPr>
        <w:numId w:val="9"/>
      </w:numPr>
    </w:pPr>
  </w:style>
  <w:style w:type="paragraph" w:customStyle="1" w:styleId="ONUME">
    <w:name w:val="ONUM E"/>
    <w:basedOn w:val="BodyText"/>
    <w:link w:val="ONUMEChar"/>
    <w:rsid w:val="002961BC"/>
    <w:pPr>
      <w:numPr>
        <w:numId w:val="10"/>
      </w:numPr>
    </w:pPr>
  </w:style>
  <w:style w:type="paragraph" w:customStyle="1" w:styleId="ONUMFS">
    <w:name w:val="ONUM FS"/>
    <w:basedOn w:val="BodyText"/>
    <w:rsid w:val="002961BC"/>
    <w:pPr>
      <w:numPr>
        <w:numId w:val="11"/>
      </w:numPr>
    </w:pPr>
  </w:style>
  <w:style w:type="paragraph" w:styleId="Salutation">
    <w:name w:val="Salutation"/>
    <w:basedOn w:val="Normal"/>
    <w:next w:val="Normal"/>
    <w:link w:val="SalutationChar"/>
    <w:semiHidden/>
    <w:rsid w:val="002961BC"/>
  </w:style>
  <w:style w:type="paragraph" w:styleId="Signature">
    <w:name w:val="Signature"/>
    <w:basedOn w:val="Normal"/>
    <w:link w:val="SignatureChar"/>
    <w:semiHidden/>
    <w:rsid w:val="002961B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2B6FEC"/>
    <w:rPr>
      <w:rFonts w:ascii="Arial" w:eastAsia="SimSun" w:hAnsi="Arial" w:cs="Arial"/>
      <w:sz w:val="22"/>
      <w:lang w:val="fr-CH" w:eastAsia="zh-CN"/>
    </w:rPr>
  </w:style>
  <w:style w:type="character" w:styleId="FootnoteReference">
    <w:name w:val="footnote reference"/>
    <w:basedOn w:val="DefaultParagraphFont"/>
    <w:rsid w:val="00227C2A"/>
    <w:rPr>
      <w:vertAlign w:val="superscript"/>
    </w:rPr>
  </w:style>
  <w:style w:type="paragraph" w:styleId="ListParagraph">
    <w:name w:val="List Paragraph"/>
    <w:basedOn w:val="Normal"/>
    <w:uiPriority w:val="34"/>
    <w:qFormat/>
    <w:rsid w:val="002961BC"/>
    <w:pPr>
      <w:ind w:left="720"/>
      <w:contextualSpacing/>
    </w:pPr>
  </w:style>
  <w:style w:type="character" w:customStyle="1" w:styleId="FooterChar">
    <w:name w:val="Footer Char"/>
    <w:basedOn w:val="DefaultParagraphFont"/>
    <w:link w:val="Footer"/>
    <w:rsid w:val="002961BC"/>
    <w:rPr>
      <w:rFonts w:ascii="Arial" w:eastAsia="SimSun" w:hAnsi="Arial" w:cs="Arial"/>
      <w:sz w:val="22"/>
      <w:lang w:val="fr-CH" w:eastAsia="zh-CN"/>
    </w:rPr>
  </w:style>
  <w:style w:type="character" w:customStyle="1" w:styleId="BodyTextChar">
    <w:name w:val="Body Text Char"/>
    <w:basedOn w:val="DefaultParagraphFont"/>
    <w:link w:val="BodyText"/>
    <w:rsid w:val="002961BC"/>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2961BC"/>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2961BC"/>
    <w:rPr>
      <w:rFonts w:ascii="Arial" w:eastAsia="SimSun" w:hAnsi="Arial" w:cs="Arial"/>
      <w:sz w:val="18"/>
      <w:lang w:val="fr-CH" w:eastAsia="zh-CN"/>
    </w:rPr>
  </w:style>
  <w:style w:type="character" w:customStyle="1" w:styleId="FootnoteTextChar">
    <w:name w:val="Footnote Text Char"/>
    <w:basedOn w:val="DefaultParagraphFont"/>
    <w:link w:val="FootnoteText"/>
    <w:semiHidden/>
    <w:rsid w:val="002961BC"/>
    <w:rPr>
      <w:rFonts w:ascii="Arial" w:eastAsia="SimSun" w:hAnsi="Arial" w:cs="Arial"/>
      <w:sz w:val="18"/>
      <w:lang w:val="fr-CH" w:eastAsia="zh-CN"/>
    </w:rPr>
  </w:style>
  <w:style w:type="character" w:customStyle="1" w:styleId="HeaderChar">
    <w:name w:val="Header Char"/>
    <w:basedOn w:val="DefaultParagraphFont"/>
    <w:link w:val="Header"/>
    <w:semiHidden/>
    <w:rsid w:val="002961BC"/>
    <w:rPr>
      <w:rFonts w:ascii="Arial" w:eastAsia="SimSun" w:hAnsi="Arial" w:cs="Arial"/>
      <w:sz w:val="22"/>
      <w:lang w:val="fr-CH" w:eastAsia="zh-CN"/>
    </w:rPr>
  </w:style>
  <w:style w:type="character" w:customStyle="1" w:styleId="Heading1Char">
    <w:name w:val="Heading 1 Char"/>
    <w:basedOn w:val="DefaultParagraphFont"/>
    <w:link w:val="Heading1"/>
    <w:rsid w:val="002961BC"/>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2961BC"/>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2961BC"/>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2961BC"/>
    <w:rPr>
      <w:rFonts w:ascii="Arial" w:eastAsia="SimSun" w:hAnsi="Arial" w:cs="Arial"/>
      <w:bCs/>
      <w:i/>
      <w:sz w:val="22"/>
      <w:szCs w:val="28"/>
      <w:lang w:val="fr-CH" w:eastAsia="zh-CN"/>
    </w:rPr>
  </w:style>
  <w:style w:type="paragraph" w:customStyle="1" w:styleId="Meetingplacedate">
    <w:name w:val="Meeting place &amp; date"/>
    <w:basedOn w:val="Normal"/>
    <w:next w:val="Normal"/>
    <w:rsid w:val="002961B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961BC"/>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2961BC"/>
    <w:rPr>
      <w:rFonts w:ascii="Arial" w:eastAsia="SimSun" w:hAnsi="Arial" w:cs="Arial"/>
      <w:sz w:val="22"/>
      <w:lang w:val="fr-CH" w:eastAsia="zh-CN"/>
    </w:rPr>
  </w:style>
  <w:style w:type="character" w:customStyle="1" w:styleId="SignatureChar">
    <w:name w:val="Signature Char"/>
    <w:basedOn w:val="DefaultParagraphFont"/>
    <w:link w:val="Signature"/>
    <w:semiHidden/>
    <w:rsid w:val="002961BC"/>
    <w:rPr>
      <w:rFonts w:ascii="Arial" w:eastAsia="SimSun" w:hAnsi="Arial" w:cs="Arial"/>
      <w:sz w:val="22"/>
      <w:lang w:val="fr-CH" w:eastAsia="zh-CN"/>
    </w:rPr>
  </w:style>
  <w:style w:type="character" w:styleId="Hyperlink">
    <w:name w:val="Hyperlink"/>
    <w:basedOn w:val="DefaultParagraphFont"/>
    <w:rsid w:val="005D0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1BC"/>
    <w:rPr>
      <w:rFonts w:ascii="Arial" w:eastAsia="SimSun" w:hAnsi="Arial" w:cs="Arial"/>
      <w:sz w:val="22"/>
      <w:lang w:val="fr-CH" w:eastAsia="zh-CN"/>
    </w:rPr>
  </w:style>
  <w:style w:type="paragraph" w:styleId="Heading1">
    <w:name w:val="heading 1"/>
    <w:basedOn w:val="Normal"/>
    <w:next w:val="Normal"/>
    <w:link w:val="Heading1Char"/>
    <w:qFormat/>
    <w:rsid w:val="002961BC"/>
    <w:pPr>
      <w:keepNext/>
      <w:spacing w:before="240" w:after="60"/>
      <w:outlineLvl w:val="0"/>
    </w:pPr>
    <w:rPr>
      <w:b/>
      <w:bCs/>
      <w:caps/>
      <w:kern w:val="32"/>
      <w:szCs w:val="32"/>
    </w:rPr>
  </w:style>
  <w:style w:type="paragraph" w:styleId="Heading2">
    <w:name w:val="heading 2"/>
    <w:basedOn w:val="Normal"/>
    <w:next w:val="Normal"/>
    <w:link w:val="Heading2Char"/>
    <w:qFormat/>
    <w:rsid w:val="002961BC"/>
    <w:pPr>
      <w:keepNext/>
      <w:spacing w:before="240" w:after="60"/>
      <w:outlineLvl w:val="1"/>
    </w:pPr>
    <w:rPr>
      <w:bCs/>
      <w:iCs/>
      <w:caps/>
      <w:szCs w:val="28"/>
    </w:rPr>
  </w:style>
  <w:style w:type="paragraph" w:styleId="Heading3">
    <w:name w:val="heading 3"/>
    <w:basedOn w:val="Normal"/>
    <w:next w:val="Normal"/>
    <w:link w:val="Heading3Char"/>
    <w:qFormat/>
    <w:rsid w:val="002961BC"/>
    <w:pPr>
      <w:keepNext/>
      <w:spacing w:before="240" w:after="60"/>
      <w:outlineLvl w:val="2"/>
    </w:pPr>
    <w:rPr>
      <w:bCs/>
      <w:szCs w:val="26"/>
      <w:u w:val="single"/>
    </w:rPr>
  </w:style>
  <w:style w:type="paragraph" w:styleId="Heading4">
    <w:name w:val="heading 4"/>
    <w:basedOn w:val="Normal"/>
    <w:next w:val="Normal"/>
    <w:link w:val="Heading4Char"/>
    <w:qFormat/>
    <w:rsid w:val="002961B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961BC"/>
    <w:pPr>
      <w:ind w:left="5534"/>
    </w:pPr>
    <w:rPr>
      <w:lang w:val="en-US"/>
    </w:rPr>
  </w:style>
  <w:style w:type="paragraph" w:styleId="BodyText">
    <w:name w:val="Body Text"/>
    <w:basedOn w:val="Normal"/>
    <w:link w:val="BodyTextChar"/>
    <w:rsid w:val="002961BC"/>
    <w:pPr>
      <w:spacing w:after="220"/>
    </w:pPr>
  </w:style>
  <w:style w:type="paragraph" w:styleId="Caption">
    <w:name w:val="caption"/>
    <w:basedOn w:val="Normal"/>
    <w:next w:val="Normal"/>
    <w:qFormat/>
    <w:rsid w:val="002961BC"/>
    <w:rPr>
      <w:b/>
      <w:bCs/>
      <w:sz w:val="18"/>
    </w:rPr>
  </w:style>
  <w:style w:type="paragraph" w:styleId="CommentText">
    <w:name w:val="annotation text"/>
    <w:basedOn w:val="Normal"/>
    <w:link w:val="CommentTextChar"/>
    <w:semiHidden/>
    <w:rsid w:val="002961BC"/>
    <w:rPr>
      <w:sz w:val="18"/>
    </w:rPr>
  </w:style>
  <w:style w:type="paragraph" w:styleId="EndnoteText">
    <w:name w:val="endnote text"/>
    <w:basedOn w:val="Normal"/>
    <w:link w:val="EndnoteTextChar"/>
    <w:semiHidden/>
    <w:rsid w:val="002961BC"/>
    <w:rPr>
      <w:sz w:val="18"/>
    </w:rPr>
  </w:style>
  <w:style w:type="paragraph" w:styleId="Footer">
    <w:name w:val="footer"/>
    <w:basedOn w:val="Normal"/>
    <w:link w:val="FooterChar"/>
    <w:rsid w:val="002961BC"/>
    <w:pPr>
      <w:tabs>
        <w:tab w:val="center" w:pos="4320"/>
        <w:tab w:val="right" w:pos="8640"/>
      </w:tabs>
    </w:pPr>
  </w:style>
  <w:style w:type="paragraph" w:styleId="FootnoteText">
    <w:name w:val="footnote text"/>
    <w:basedOn w:val="Normal"/>
    <w:link w:val="FootnoteTextChar"/>
    <w:semiHidden/>
    <w:rsid w:val="002961BC"/>
    <w:rPr>
      <w:sz w:val="18"/>
    </w:rPr>
  </w:style>
  <w:style w:type="paragraph" w:styleId="Header">
    <w:name w:val="header"/>
    <w:basedOn w:val="Normal"/>
    <w:link w:val="HeaderChar"/>
    <w:semiHidden/>
    <w:rsid w:val="002961BC"/>
    <w:pPr>
      <w:tabs>
        <w:tab w:val="center" w:pos="4536"/>
        <w:tab w:val="right" w:pos="9072"/>
      </w:tabs>
    </w:pPr>
  </w:style>
  <w:style w:type="paragraph" w:styleId="ListNumber">
    <w:name w:val="List Number"/>
    <w:basedOn w:val="Normal"/>
    <w:semiHidden/>
    <w:rsid w:val="002961BC"/>
    <w:pPr>
      <w:numPr>
        <w:numId w:val="9"/>
      </w:numPr>
    </w:pPr>
  </w:style>
  <w:style w:type="paragraph" w:customStyle="1" w:styleId="ONUME">
    <w:name w:val="ONUM E"/>
    <w:basedOn w:val="BodyText"/>
    <w:link w:val="ONUMEChar"/>
    <w:rsid w:val="002961BC"/>
    <w:pPr>
      <w:numPr>
        <w:numId w:val="10"/>
      </w:numPr>
    </w:pPr>
  </w:style>
  <w:style w:type="paragraph" w:customStyle="1" w:styleId="ONUMFS">
    <w:name w:val="ONUM FS"/>
    <w:basedOn w:val="BodyText"/>
    <w:rsid w:val="002961BC"/>
    <w:pPr>
      <w:numPr>
        <w:numId w:val="11"/>
      </w:numPr>
    </w:pPr>
  </w:style>
  <w:style w:type="paragraph" w:styleId="Salutation">
    <w:name w:val="Salutation"/>
    <w:basedOn w:val="Normal"/>
    <w:next w:val="Normal"/>
    <w:link w:val="SalutationChar"/>
    <w:semiHidden/>
    <w:rsid w:val="002961BC"/>
  </w:style>
  <w:style w:type="paragraph" w:styleId="Signature">
    <w:name w:val="Signature"/>
    <w:basedOn w:val="Normal"/>
    <w:link w:val="SignatureChar"/>
    <w:semiHidden/>
    <w:rsid w:val="002961B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2B6FEC"/>
    <w:rPr>
      <w:rFonts w:ascii="Arial" w:eastAsia="SimSun" w:hAnsi="Arial" w:cs="Arial"/>
      <w:sz w:val="22"/>
      <w:lang w:val="fr-CH" w:eastAsia="zh-CN"/>
    </w:rPr>
  </w:style>
  <w:style w:type="character" w:styleId="FootnoteReference">
    <w:name w:val="footnote reference"/>
    <w:basedOn w:val="DefaultParagraphFont"/>
    <w:rsid w:val="00227C2A"/>
    <w:rPr>
      <w:vertAlign w:val="superscript"/>
    </w:rPr>
  </w:style>
  <w:style w:type="paragraph" w:styleId="ListParagraph">
    <w:name w:val="List Paragraph"/>
    <w:basedOn w:val="Normal"/>
    <w:uiPriority w:val="34"/>
    <w:qFormat/>
    <w:rsid w:val="002961BC"/>
    <w:pPr>
      <w:ind w:left="720"/>
      <w:contextualSpacing/>
    </w:pPr>
  </w:style>
  <w:style w:type="character" w:customStyle="1" w:styleId="FooterChar">
    <w:name w:val="Footer Char"/>
    <w:basedOn w:val="DefaultParagraphFont"/>
    <w:link w:val="Footer"/>
    <w:rsid w:val="002961BC"/>
    <w:rPr>
      <w:rFonts w:ascii="Arial" w:eastAsia="SimSun" w:hAnsi="Arial" w:cs="Arial"/>
      <w:sz w:val="22"/>
      <w:lang w:val="fr-CH" w:eastAsia="zh-CN"/>
    </w:rPr>
  </w:style>
  <w:style w:type="character" w:customStyle="1" w:styleId="BodyTextChar">
    <w:name w:val="Body Text Char"/>
    <w:basedOn w:val="DefaultParagraphFont"/>
    <w:link w:val="BodyText"/>
    <w:rsid w:val="002961BC"/>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2961BC"/>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2961BC"/>
    <w:rPr>
      <w:rFonts w:ascii="Arial" w:eastAsia="SimSun" w:hAnsi="Arial" w:cs="Arial"/>
      <w:sz w:val="18"/>
      <w:lang w:val="fr-CH" w:eastAsia="zh-CN"/>
    </w:rPr>
  </w:style>
  <w:style w:type="character" w:customStyle="1" w:styleId="FootnoteTextChar">
    <w:name w:val="Footnote Text Char"/>
    <w:basedOn w:val="DefaultParagraphFont"/>
    <w:link w:val="FootnoteText"/>
    <w:semiHidden/>
    <w:rsid w:val="002961BC"/>
    <w:rPr>
      <w:rFonts w:ascii="Arial" w:eastAsia="SimSun" w:hAnsi="Arial" w:cs="Arial"/>
      <w:sz w:val="18"/>
      <w:lang w:val="fr-CH" w:eastAsia="zh-CN"/>
    </w:rPr>
  </w:style>
  <w:style w:type="character" w:customStyle="1" w:styleId="HeaderChar">
    <w:name w:val="Header Char"/>
    <w:basedOn w:val="DefaultParagraphFont"/>
    <w:link w:val="Header"/>
    <w:semiHidden/>
    <w:rsid w:val="002961BC"/>
    <w:rPr>
      <w:rFonts w:ascii="Arial" w:eastAsia="SimSun" w:hAnsi="Arial" w:cs="Arial"/>
      <w:sz w:val="22"/>
      <w:lang w:val="fr-CH" w:eastAsia="zh-CN"/>
    </w:rPr>
  </w:style>
  <w:style w:type="character" w:customStyle="1" w:styleId="Heading1Char">
    <w:name w:val="Heading 1 Char"/>
    <w:basedOn w:val="DefaultParagraphFont"/>
    <w:link w:val="Heading1"/>
    <w:rsid w:val="002961BC"/>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2961BC"/>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2961BC"/>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2961BC"/>
    <w:rPr>
      <w:rFonts w:ascii="Arial" w:eastAsia="SimSun" w:hAnsi="Arial" w:cs="Arial"/>
      <w:bCs/>
      <w:i/>
      <w:sz w:val="22"/>
      <w:szCs w:val="28"/>
      <w:lang w:val="fr-CH" w:eastAsia="zh-CN"/>
    </w:rPr>
  </w:style>
  <w:style w:type="paragraph" w:customStyle="1" w:styleId="Meetingplacedate">
    <w:name w:val="Meeting place &amp; date"/>
    <w:basedOn w:val="Normal"/>
    <w:next w:val="Normal"/>
    <w:rsid w:val="002961B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961BC"/>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2961BC"/>
    <w:rPr>
      <w:rFonts w:ascii="Arial" w:eastAsia="SimSun" w:hAnsi="Arial" w:cs="Arial"/>
      <w:sz w:val="22"/>
      <w:lang w:val="fr-CH" w:eastAsia="zh-CN"/>
    </w:rPr>
  </w:style>
  <w:style w:type="character" w:customStyle="1" w:styleId="SignatureChar">
    <w:name w:val="Signature Char"/>
    <w:basedOn w:val="DefaultParagraphFont"/>
    <w:link w:val="Signature"/>
    <w:semiHidden/>
    <w:rsid w:val="002961BC"/>
    <w:rPr>
      <w:rFonts w:ascii="Arial" w:eastAsia="SimSun" w:hAnsi="Arial" w:cs="Arial"/>
      <w:sz w:val="22"/>
      <w:lang w:val="fr-CH" w:eastAsia="zh-CN"/>
    </w:rPr>
  </w:style>
  <w:style w:type="character" w:styleId="Hyperlink">
    <w:name w:val="Hyperlink"/>
    <w:basedOn w:val="DefaultParagraphFont"/>
    <w:rsid w:val="005D0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D839A-4F8B-4309-9901-DDC4F823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3169</Words>
  <Characters>16338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Second Supplement to "Estimating a PCT Fee Elasticity" Study</dc:subject>
  <dc:creator>MARLOW Thomas</dc:creator>
  <cp:keywords>DB/sc/ko</cp:keywords>
  <cp:lastModifiedBy>MARLOW Thomas</cp:lastModifiedBy>
  <cp:revision>2</cp:revision>
  <cp:lastPrinted>2017-01-12T09:53:00Z</cp:lastPrinted>
  <dcterms:created xsi:type="dcterms:W3CDTF">2017-01-13T09:41:00Z</dcterms:created>
  <dcterms:modified xsi:type="dcterms:W3CDTF">2017-01-13T09:41:00Z</dcterms:modified>
</cp:coreProperties>
</file>