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76109" w:rsidRPr="00C76109" w:rsidTr="00AA5C2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55596" w:rsidRPr="00C76109" w:rsidRDefault="00955596" w:rsidP="00AA5C22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5596" w:rsidRPr="00C76109" w:rsidRDefault="00955596" w:rsidP="00AA5C22">
            <w:pPr>
              <w:rPr>
                <w:lang w:val="fr-FR"/>
              </w:rPr>
            </w:pPr>
            <w:r w:rsidRPr="00C76109">
              <w:rPr>
                <w:noProof/>
                <w:lang w:eastAsia="en-US"/>
              </w:rPr>
              <w:drawing>
                <wp:inline distT="0" distB="0" distL="0" distR="0" wp14:anchorId="7A6CA225" wp14:editId="34955E3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5596" w:rsidRPr="00C76109" w:rsidRDefault="00955596" w:rsidP="00AA5C22">
            <w:pPr>
              <w:jc w:val="right"/>
              <w:rPr>
                <w:lang w:val="fr-FR"/>
              </w:rPr>
            </w:pPr>
            <w:r w:rsidRPr="00C7610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76109" w:rsidRPr="00C76109" w:rsidTr="00AA5C2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55596" w:rsidRPr="00C76109" w:rsidRDefault="00955596" w:rsidP="0095559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76109">
              <w:rPr>
                <w:rFonts w:ascii="Arial Black" w:hAnsi="Arial Black"/>
                <w:caps/>
                <w:sz w:val="15"/>
                <w:lang w:val="fr-FR"/>
              </w:rPr>
              <w:t>PCT/WG/11/</w:t>
            </w:r>
            <w:bookmarkStart w:id="1" w:name="Code"/>
            <w:bookmarkEnd w:id="1"/>
            <w:r w:rsidRPr="00C76109">
              <w:rPr>
                <w:rFonts w:ascii="Arial Black" w:hAnsi="Arial Black"/>
                <w:caps/>
                <w:sz w:val="15"/>
                <w:lang w:val="fr-FR"/>
              </w:rPr>
              <w:t>9</w:t>
            </w:r>
          </w:p>
        </w:tc>
      </w:tr>
      <w:tr w:rsidR="00C76109" w:rsidRPr="00C76109" w:rsidTr="00AA5C2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55596" w:rsidRPr="00C76109" w:rsidRDefault="00955596" w:rsidP="00AA5C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7610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306570" w:rsidRPr="00C7610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7610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C76109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955596" w:rsidRPr="00C76109" w:rsidTr="00AA5C2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55596" w:rsidRPr="00C76109" w:rsidRDefault="00955596" w:rsidP="0095559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7610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306570" w:rsidRPr="00C7610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7610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C76109">
              <w:rPr>
                <w:rFonts w:ascii="Arial Black" w:hAnsi="Arial Black"/>
                <w:caps/>
                <w:sz w:val="15"/>
                <w:lang w:val="fr-FR"/>
              </w:rPr>
              <w:t xml:space="preserve">18 avril 2018 </w:t>
            </w:r>
          </w:p>
        </w:tc>
      </w:tr>
    </w:tbl>
    <w:p w:rsidR="00955596" w:rsidRPr="00C76109" w:rsidRDefault="00955596" w:rsidP="00955596">
      <w:pPr>
        <w:rPr>
          <w:lang w:val="fr-FR"/>
        </w:rPr>
      </w:pPr>
    </w:p>
    <w:p w:rsidR="00955596" w:rsidRPr="00C76109" w:rsidRDefault="00955596" w:rsidP="00955596">
      <w:pPr>
        <w:rPr>
          <w:lang w:val="fr-FR"/>
        </w:rPr>
      </w:pPr>
    </w:p>
    <w:p w:rsidR="00955596" w:rsidRPr="00C76109" w:rsidRDefault="00955596" w:rsidP="00955596">
      <w:pPr>
        <w:rPr>
          <w:lang w:val="fr-FR"/>
        </w:rPr>
      </w:pPr>
    </w:p>
    <w:p w:rsidR="00955596" w:rsidRPr="00C76109" w:rsidRDefault="00955596" w:rsidP="00955596">
      <w:pPr>
        <w:rPr>
          <w:lang w:val="fr-FR"/>
        </w:rPr>
      </w:pPr>
    </w:p>
    <w:p w:rsidR="00955596" w:rsidRPr="00C76109" w:rsidRDefault="00955596" w:rsidP="00955596">
      <w:pPr>
        <w:rPr>
          <w:lang w:val="fr-FR"/>
        </w:rPr>
      </w:pPr>
    </w:p>
    <w:p w:rsidR="00955596" w:rsidRPr="00C76109" w:rsidRDefault="00955596" w:rsidP="00955596">
      <w:pPr>
        <w:rPr>
          <w:b/>
          <w:sz w:val="28"/>
          <w:szCs w:val="28"/>
          <w:lang w:val="fr-FR"/>
        </w:rPr>
      </w:pPr>
      <w:r w:rsidRPr="00C76109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955596" w:rsidRPr="00C76109" w:rsidRDefault="00955596" w:rsidP="00955596">
      <w:pPr>
        <w:rPr>
          <w:lang w:val="fr-FR"/>
        </w:rPr>
      </w:pPr>
    </w:p>
    <w:p w:rsidR="00955596" w:rsidRPr="00C76109" w:rsidRDefault="00955596" w:rsidP="00955596">
      <w:pPr>
        <w:rPr>
          <w:lang w:val="fr-FR"/>
        </w:rPr>
      </w:pPr>
    </w:p>
    <w:p w:rsidR="00955596" w:rsidRPr="00C76109" w:rsidRDefault="00955596" w:rsidP="00955596">
      <w:pPr>
        <w:rPr>
          <w:b/>
          <w:sz w:val="24"/>
          <w:szCs w:val="24"/>
          <w:lang w:val="fr-FR"/>
        </w:rPr>
      </w:pPr>
      <w:r w:rsidRPr="00C76109">
        <w:rPr>
          <w:b/>
          <w:sz w:val="24"/>
          <w:szCs w:val="24"/>
          <w:lang w:val="fr-FR"/>
        </w:rPr>
        <w:t>Onz</w:t>
      </w:r>
      <w:r w:rsidR="00306570" w:rsidRPr="00C76109">
        <w:rPr>
          <w:b/>
          <w:sz w:val="24"/>
          <w:szCs w:val="24"/>
          <w:lang w:val="fr-FR"/>
        </w:rPr>
        <w:t>ième session</w:t>
      </w:r>
    </w:p>
    <w:p w:rsidR="00955596" w:rsidRPr="00C76109" w:rsidRDefault="00955596" w:rsidP="00955596">
      <w:pPr>
        <w:rPr>
          <w:b/>
          <w:sz w:val="24"/>
          <w:szCs w:val="24"/>
          <w:lang w:val="fr-FR"/>
        </w:rPr>
      </w:pPr>
      <w:r w:rsidRPr="00C76109">
        <w:rPr>
          <w:b/>
          <w:sz w:val="24"/>
          <w:szCs w:val="24"/>
          <w:lang w:val="fr-FR"/>
        </w:rPr>
        <w:t>Genève, 18 – 22 juin 2018</w:t>
      </w:r>
    </w:p>
    <w:p w:rsidR="00955596" w:rsidRPr="00C76109" w:rsidRDefault="00955596" w:rsidP="00955596">
      <w:pPr>
        <w:rPr>
          <w:lang w:val="fr-FR"/>
        </w:rPr>
      </w:pPr>
    </w:p>
    <w:p w:rsidR="00955596" w:rsidRPr="00C76109" w:rsidRDefault="00955596" w:rsidP="00955596">
      <w:pPr>
        <w:rPr>
          <w:lang w:val="fr-FR"/>
        </w:rPr>
      </w:pPr>
    </w:p>
    <w:p w:rsidR="00955596" w:rsidRPr="00C76109" w:rsidRDefault="00955596" w:rsidP="00955596">
      <w:pPr>
        <w:rPr>
          <w:lang w:val="fr-FR"/>
        </w:rPr>
      </w:pPr>
    </w:p>
    <w:p w:rsidR="00637150" w:rsidRPr="00C76109" w:rsidRDefault="00501EA2" w:rsidP="00501EA2">
      <w:pPr>
        <w:rPr>
          <w:caps/>
          <w:sz w:val="24"/>
          <w:lang w:val="fr-FR"/>
        </w:rPr>
      </w:pPr>
      <w:r w:rsidRPr="00C76109">
        <w:rPr>
          <w:caps/>
          <w:sz w:val="24"/>
          <w:lang w:val="fr-FR"/>
        </w:rPr>
        <w:t>Services en ligne</w:t>
      </w:r>
      <w:r w:rsidR="00306570" w:rsidRPr="00C76109">
        <w:rPr>
          <w:caps/>
          <w:sz w:val="24"/>
          <w:lang w:val="fr-FR"/>
        </w:rPr>
        <w:t xml:space="preserve"> du PCT</w:t>
      </w:r>
    </w:p>
    <w:p w:rsidR="00637150" w:rsidRPr="00C76109" w:rsidRDefault="00637150" w:rsidP="008B2CC1">
      <w:pPr>
        <w:rPr>
          <w:lang w:val="fr-FR"/>
        </w:rPr>
      </w:pPr>
    </w:p>
    <w:p w:rsidR="00637150" w:rsidRPr="00C76109" w:rsidRDefault="00501EA2" w:rsidP="00501EA2">
      <w:pPr>
        <w:rPr>
          <w:i/>
          <w:lang w:val="fr-FR"/>
        </w:rPr>
      </w:pPr>
      <w:bookmarkStart w:id="4" w:name="Prepared"/>
      <w:bookmarkEnd w:id="4"/>
      <w:r w:rsidRPr="00C76109">
        <w:rPr>
          <w:i/>
          <w:lang w:val="fr-FR"/>
        </w:rPr>
        <w:t>Document établi par le Bureau international</w:t>
      </w:r>
    </w:p>
    <w:p w:rsidR="00637150" w:rsidRPr="00C76109" w:rsidRDefault="00637150">
      <w:pPr>
        <w:rPr>
          <w:lang w:val="fr-FR"/>
        </w:rPr>
      </w:pPr>
    </w:p>
    <w:p w:rsidR="00637150" w:rsidRPr="00C76109" w:rsidRDefault="00637150">
      <w:pPr>
        <w:rPr>
          <w:lang w:val="fr-FR"/>
        </w:rPr>
      </w:pPr>
    </w:p>
    <w:p w:rsidR="00637150" w:rsidRPr="00C76109" w:rsidRDefault="00637150">
      <w:pPr>
        <w:rPr>
          <w:lang w:val="fr-FR"/>
        </w:rPr>
      </w:pPr>
    </w:p>
    <w:p w:rsidR="00637150" w:rsidRPr="00C76109" w:rsidRDefault="00637150" w:rsidP="0053057A">
      <w:pPr>
        <w:rPr>
          <w:lang w:val="fr-FR"/>
        </w:rPr>
      </w:pPr>
    </w:p>
    <w:p w:rsidR="00892A7C" w:rsidRPr="00892A7C" w:rsidRDefault="00501EA2" w:rsidP="005C11F7">
      <w:pPr>
        <w:pStyle w:val="Heading1"/>
        <w:spacing w:before="360"/>
        <w:rPr>
          <w:lang w:val="fr-FR"/>
        </w:rPr>
      </w:pPr>
      <w:r w:rsidRPr="00C76109">
        <w:rPr>
          <w:lang w:val="fr-FR"/>
        </w:rPr>
        <w:t>Résumé</w:t>
      </w:r>
    </w:p>
    <w:p w:rsidR="00637150" w:rsidRPr="00C76109" w:rsidRDefault="00974972" w:rsidP="00216B3A">
      <w:pPr>
        <w:pStyle w:val="ONUMFS"/>
        <w:rPr>
          <w:lang w:val="fr-FR"/>
        </w:rPr>
      </w:pPr>
      <w:r w:rsidRPr="00C76109">
        <w:rPr>
          <w:lang w:val="fr-FR"/>
        </w:rPr>
        <w:t>Les services en ligne</w:t>
      </w:r>
      <w:r w:rsidR="00306570" w:rsidRPr="00C76109">
        <w:rPr>
          <w:lang w:val="fr-FR"/>
        </w:rPr>
        <w:t xml:space="preserve"> du PCT</w:t>
      </w:r>
      <w:r w:rsidRPr="00C76109">
        <w:rPr>
          <w:lang w:val="fr-FR"/>
        </w:rPr>
        <w:t xml:space="preserve"> fonctionnent de manière fiable et couvrent la </w:t>
      </w:r>
      <w:r w:rsidR="002A023F" w:rsidRPr="00C76109">
        <w:rPr>
          <w:lang w:val="fr-FR"/>
        </w:rPr>
        <w:t xml:space="preserve">grande </w:t>
      </w:r>
      <w:r w:rsidRPr="00C76109">
        <w:rPr>
          <w:lang w:val="fr-FR"/>
        </w:rPr>
        <w:t>majorité de tous les transfer</w:t>
      </w:r>
      <w:r w:rsidR="0022482B" w:rsidRPr="00C76109">
        <w:rPr>
          <w:lang w:val="fr-FR"/>
        </w:rPr>
        <w:t>t</w:t>
      </w:r>
      <w:r w:rsidRPr="00C76109">
        <w:rPr>
          <w:lang w:val="fr-FR"/>
        </w:rPr>
        <w:t xml:space="preserve">s de documents entre </w:t>
      </w:r>
      <w:r w:rsidR="0022482B" w:rsidRPr="00C76109">
        <w:rPr>
          <w:lang w:val="fr-FR"/>
        </w:rPr>
        <w:t xml:space="preserve">les </w:t>
      </w:r>
      <w:r w:rsidRPr="00C76109">
        <w:rPr>
          <w:lang w:val="fr-FR"/>
        </w:rPr>
        <w:t>offic</w:t>
      </w:r>
      <w:r w:rsidR="00091022" w:rsidRPr="00C76109">
        <w:rPr>
          <w:lang w:val="fr-FR"/>
        </w:rPr>
        <w:t>es.  To</w:t>
      </w:r>
      <w:r w:rsidR="006F0155" w:rsidRPr="00C76109">
        <w:rPr>
          <w:lang w:val="fr-FR"/>
        </w:rPr>
        <w:t>ute</w:t>
      </w:r>
      <w:r w:rsidRPr="00C76109">
        <w:rPr>
          <w:lang w:val="fr-FR"/>
        </w:rPr>
        <w:t xml:space="preserve"> nouvelle amélioration signi</w:t>
      </w:r>
      <w:r w:rsidR="006F0155" w:rsidRPr="00C76109">
        <w:rPr>
          <w:lang w:val="fr-FR"/>
        </w:rPr>
        <w:t>ficative</w:t>
      </w:r>
      <w:r w:rsidRPr="00C76109">
        <w:rPr>
          <w:lang w:val="fr-FR"/>
        </w:rPr>
        <w:t xml:space="preserve"> nécess</w:t>
      </w:r>
      <w:r w:rsidR="006F0155" w:rsidRPr="00C76109">
        <w:rPr>
          <w:lang w:val="fr-FR"/>
        </w:rPr>
        <w:t>ite</w:t>
      </w:r>
      <w:r w:rsidRPr="00C76109">
        <w:rPr>
          <w:lang w:val="fr-FR"/>
        </w:rPr>
        <w:t xml:space="preserve"> de s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éloigner du transfert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images équivalentes aux formulaires papier traditionnels et de s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orienter vers des données homogènes, bien partagées et pouvant être traitées directement</w:t>
      </w:r>
      <w:r w:rsidR="0092686B" w:rsidRPr="00C76109">
        <w:rPr>
          <w:lang w:val="fr-FR"/>
        </w:rPr>
        <w:t>,</w:t>
      </w:r>
      <w:r w:rsidRPr="00C76109">
        <w:rPr>
          <w:lang w:val="fr-FR"/>
        </w:rPr>
        <w:t xml:space="preserve"> </w:t>
      </w:r>
      <w:r w:rsidR="0022482B" w:rsidRPr="00C76109">
        <w:rPr>
          <w:lang w:val="fr-FR"/>
        </w:rPr>
        <w:t xml:space="preserve">afin </w:t>
      </w:r>
      <w:r w:rsidRPr="00C76109">
        <w:rPr>
          <w:lang w:val="fr-FR"/>
        </w:rPr>
        <w:t xml:space="preserve">de réduire les retards liés à des opérations de </w:t>
      </w:r>
      <w:r w:rsidR="00ED57C2" w:rsidRPr="00C76109">
        <w:rPr>
          <w:lang w:val="fr-FR"/>
        </w:rPr>
        <w:t xml:space="preserve">traitement par lots </w:t>
      </w:r>
      <w:r w:rsidRPr="00C76109">
        <w:rPr>
          <w:lang w:val="fr-FR"/>
        </w:rPr>
        <w:t>effectuées à intervalles éloignés.</w:t>
      </w:r>
    </w:p>
    <w:p w:rsidR="00637150" w:rsidRPr="00216B3A" w:rsidRDefault="00974972" w:rsidP="00216B3A">
      <w:pPr>
        <w:pStyle w:val="ONUMFS"/>
        <w:rPr>
          <w:lang w:val="fr-FR"/>
        </w:rPr>
      </w:pPr>
      <w:r w:rsidRPr="00216B3A">
        <w:rPr>
          <w:lang w:val="fr-FR"/>
        </w:rPr>
        <w:t>Les</w:t>
      </w:r>
      <w:r w:rsidR="0092686B" w:rsidRPr="00216B3A">
        <w:rPr>
          <w:lang w:val="fr-FR"/>
        </w:rPr>
        <w:t xml:space="preserve"> principaux</w:t>
      </w:r>
      <w:r w:rsidRPr="00216B3A">
        <w:rPr>
          <w:lang w:val="fr-FR"/>
        </w:rPr>
        <w:t xml:space="preserve"> él</w:t>
      </w:r>
      <w:r w:rsidR="002A023F" w:rsidRPr="00216B3A">
        <w:rPr>
          <w:lang w:val="fr-FR"/>
        </w:rPr>
        <w:t>éments revêtant actuellement un</w:t>
      </w:r>
      <w:r w:rsidRPr="00216B3A">
        <w:rPr>
          <w:lang w:val="fr-FR"/>
        </w:rPr>
        <w:t xml:space="preserve"> </w:t>
      </w:r>
      <w:r w:rsidR="002A023F" w:rsidRPr="00216B3A">
        <w:rPr>
          <w:lang w:val="fr-FR"/>
        </w:rPr>
        <w:t>caractère</w:t>
      </w:r>
      <w:r w:rsidRPr="00216B3A">
        <w:rPr>
          <w:lang w:val="fr-FR"/>
        </w:rPr>
        <w:t xml:space="preserve"> </w:t>
      </w:r>
      <w:r w:rsidR="002A023F" w:rsidRPr="00216B3A">
        <w:rPr>
          <w:lang w:val="fr-FR"/>
        </w:rPr>
        <w:t>prioritaire</w:t>
      </w:r>
      <w:r w:rsidRPr="00216B3A">
        <w:rPr>
          <w:lang w:val="fr-FR"/>
        </w:rPr>
        <w:t xml:space="preserve"> sont les suivants</w:t>
      </w:r>
      <w:r w:rsidR="00306570" w:rsidRPr="00216B3A">
        <w:rPr>
          <w:lang w:val="fr-FR"/>
        </w:rPr>
        <w:t> :</w:t>
      </w:r>
    </w:p>
    <w:p w:rsidR="00637150" w:rsidRPr="00C76109" w:rsidRDefault="0022482B" w:rsidP="00216B3A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efficacité du traitement en texte intégral, avec</w:t>
      </w:r>
      <w:r w:rsidR="002A023F" w:rsidRPr="00C76109">
        <w:rPr>
          <w:lang w:val="fr-FR"/>
        </w:rPr>
        <w:t xml:space="preserve"> la</w:t>
      </w:r>
      <w:r w:rsidRPr="00C76109">
        <w:rPr>
          <w:lang w:val="fr-FR"/>
        </w:rPr>
        <w:t xml:space="preserve"> reconnaissance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Office</w:t>
      </w:r>
      <w:r w:rsidR="00D2626A" w:rsidRPr="00C76109">
        <w:rPr>
          <w:lang w:val="fr-FR"/>
        </w:rPr>
        <w:t> </w:t>
      </w:r>
      <w:r w:rsidRPr="00C76109">
        <w:rPr>
          <w:lang w:val="fr-FR"/>
        </w:rPr>
        <w:t>Open</w:t>
      </w:r>
      <w:r w:rsidR="00D2626A" w:rsidRPr="00C76109">
        <w:rPr>
          <w:lang w:val="fr-FR"/>
        </w:rPr>
        <w:t> </w:t>
      </w:r>
      <w:r w:rsidRPr="00C76109">
        <w:rPr>
          <w:lang w:val="fr-FR"/>
        </w:rPr>
        <w:t xml:space="preserve">XML (DOCX) en tant que format </w:t>
      </w:r>
      <w:r w:rsidR="002A023F" w:rsidRPr="00C76109">
        <w:rPr>
          <w:lang w:val="fr-FR"/>
        </w:rPr>
        <w:t xml:space="preserve">de rédaction </w:t>
      </w:r>
      <w:r w:rsidRPr="00C76109">
        <w:rPr>
          <w:lang w:val="fr-FR"/>
        </w:rPr>
        <w:t>principal;</w:t>
      </w:r>
    </w:p>
    <w:p w:rsidR="00306570" w:rsidRPr="00C76109" w:rsidRDefault="0092686B" w:rsidP="00216B3A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l</w:t>
      </w:r>
      <w:r w:rsidR="00306570" w:rsidRPr="00C76109">
        <w:rPr>
          <w:lang w:val="fr-FR"/>
        </w:rPr>
        <w:t>’</w:t>
      </w:r>
      <w:r w:rsidR="0022482B" w:rsidRPr="00C76109">
        <w:rPr>
          <w:lang w:val="fr-FR"/>
        </w:rPr>
        <w:t>utilisation élargie et améliorée du format XML pour les</w:t>
      </w:r>
      <w:r w:rsidRPr="00C76109">
        <w:rPr>
          <w:lang w:val="fr-FR"/>
        </w:rPr>
        <w:t xml:space="preserve"> données et</w:t>
      </w:r>
      <w:r w:rsidR="0022482B" w:rsidRPr="00C76109">
        <w:rPr>
          <w:lang w:val="fr-FR"/>
        </w:rPr>
        <w:t xml:space="preserve"> documents essentiels, plus particulièrement les rapports de recherche internationale, les opinions écrites et les documents connexes;</w:t>
      </w:r>
    </w:p>
    <w:p w:rsidR="00637150" w:rsidRPr="00C76109" w:rsidRDefault="0022482B" w:rsidP="00216B3A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améliora</w:t>
      </w:r>
      <w:r w:rsidR="0092686B" w:rsidRPr="00C76109">
        <w:rPr>
          <w:lang w:val="fr-FR"/>
        </w:rPr>
        <w:t>ti</w:t>
      </w:r>
      <w:r w:rsidRPr="00C76109">
        <w:rPr>
          <w:lang w:val="fr-FR"/>
        </w:rPr>
        <w:t xml:space="preserve">on de la fonctionnalité ePCT pour les offices, </w:t>
      </w:r>
      <w:r w:rsidR="00CE10EB" w:rsidRPr="00C76109">
        <w:rPr>
          <w:lang w:val="fr-FR"/>
        </w:rPr>
        <w:t>avec</w:t>
      </w:r>
      <w:r w:rsidRPr="00C76109">
        <w:rPr>
          <w:lang w:val="fr-FR"/>
        </w:rPr>
        <w:t xml:space="preserve"> notamment la fonctionn</w:t>
      </w:r>
      <w:r w:rsidR="00CE10EB" w:rsidRPr="00C76109">
        <w:rPr>
          <w:lang w:val="fr-FR"/>
        </w:rPr>
        <w:t xml:space="preserve">alité de </w:t>
      </w:r>
      <w:r w:rsidR="00306570" w:rsidRPr="00C76109">
        <w:rPr>
          <w:lang w:val="fr-FR"/>
        </w:rPr>
        <w:t>“s</w:t>
      </w:r>
      <w:r w:rsidR="00CE10EB" w:rsidRPr="00C76109">
        <w:rPr>
          <w:lang w:val="fr-FR"/>
        </w:rPr>
        <w:t>équençage des tâche</w:t>
      </w:r>
      <w:r w:rsidR="00306570" w:rsidRPr="00C76109">
        <w:rPr>
          <w:lang w:val="fr-FR"/>
        </w:rPr>
        <w:t>s”</w:t>
      </w:r>
      <w:r w:rsidR="00CE10EB" w:rsidRPr="00C76109">
        <w:rPr>
          <w:lang w:val="fr-FR"/>
        </w:rPr>
        <w:t xml:space="preserve"> et </w:t>
      </w:r>
      <w:r w:rsidRPr="00C76109">
        <w:rPr>
          <w:lang w:val="fr-FR"/>
        </w:rPr>
        <w:t xml:space="preserve">la </w:t>
      </w:r>
      <w:r w:rsidR="0092686B" w:rsidRPr="00C76109">
        <w:rPr>
          <w:lang w:val="fr-FR"/>
        </w:rPr>
        <w:t>possibilité d</w:t>
      </w:r>
      <w:r w:rsidR="00306570" w:rsidRPr="00C76109">
        <w:rPr>
          <w:lang w:val="fr-FR"/>
        </w:rPr>
        <w:t>’</w:t>
      </w:r>
      <w:r w:rsidR="00CE10EB" w:rsidRPr="00C76109">
        <w:rPr>
          <w:lang w:val="fr-FR"/>
        </w:rPr>
        <w:t>assign</w:t>
      </w:r>
      <w:r w:rsidR="0092686B" w:rsidRPr="00C76109">
        <w:rPr>
          <w:lang w:val="fr-FR"/>
        </w:rPr>
        <w:t xml:space="preserve">er </w:t>
      </w:r>
      <w:r w:rsidR="00ED57C2" w:rsidRPr="00C76109">
        <w:rPr>
          <w:lang w:val="fr-FR"/>
        </w:rPr>
        <w:t>d</w:t>
      </w:r>
      <w:r w:rsidRPr="00C76109">
        <w:rPr>
          <w:lang w:val="fr-FR"/>
        </w:rPr>
        <w:t>es tâches à des personnes regroupées au sein d</w:t>
      </w:r>
      <w:r w:rsidR="00CE10EB" w:rsidRPr="00C76109">
        <w:rPr>
          <w:lang w:val="fr-FR"/>
        </w:rPr>
        <w:t xml:space="preserve">e grandes </w:t>
      </w:r>
      <w:r w:rsidRPr="00C76109">
        <w:rPr>
          <w:lang w:val="fr-FR"/>
        </w:rPr>
        <w:t>équipes;</w:t>
      </w:r>
    </w:p>
    <w:p w:rsidR="00637150" w:rsidRPr="00C76109" w:rsidRDefault="0092686B" w:rsidP="00216B3A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efficacité des procédures et outils communs, afin de réduire au maximum la répétition des travaux et les divergences entre les principales normes </w:t>
      </w:r>
      <w:r w:rsidR="00CE10EB" w:rsidRPr="00C76109">
        <w:rPr>
          <w:lang w:val="fr-FR"/>
        </w:rPr>
        <w:t>informatiques</w:t>
      </w:r>
      <w:r w:rsidRPr="00C76109">
        <w:rPr>
          <w:lang w:val="fr-FR"/>
        </w:rPr>
        <w:t>;</w:t>
      </w:r>
    </w:p>
    <w:p w:rsidR="00637150" w:rsidRPr="00C76109" w:rsidRDefault="0092686B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lastRenderedPageBreak/>
        <w:t xml:space="preserve">la sécurité des services </w:t>
      </w:r>
      <w:r w:rsidR="00CE10EB" w:rsidRPr="00C76109">
        <w:rPr>
          <w:lang w:val="fr-FR"/>
        </w:rPr>
        <w:t>Web</w:t>
      </w:r>
      <w:r w:rsidRPr="00C76109">
        <w:rPr>
          <w:lang w:val="fr-FR"/>
        </w:rPr>
        <w:t xml:space="preserve"> pour la communication </w:t>
      </w:r>
      <w:r w:rsidR="00CE10EB" w:rsidRPr="00C76109">
        <w:rPr>
          <w:lang w:val="fr-FR"/>
        </w:rPr>
        <w:t>de poste</w:t>
      </w:r>
      <w:r w:rsidRPr="00C76109">
        <w:rPr>
          <w:lang w:val="fr-FR"/>
        </w:rPr>
        <w:t xml:space="preserve"> à </w:t>
      </w:r>
      <w:r w:rsidR="00CE10EB" w:rsidRPr="00C76109">
        <w:rPr>
          <w:lang w:val="fr-FR"/>
        </w:rPr>
        <w:t>poste</w:t>
      </w:r>
      <w:r w:rsidRPr="00C76109">
        <w:rPr>
          <w:lang w:val="fr-FR"/>
        </w:rPr>
        <w:t>;</w:t>
      </w:r>
    </w:p>
    <w:p w:rsidR="00637150" w:rsidRPr="00C76109" w:rsidRDefault="0092686B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amélioration de la qualité des renseignements sur la phase nationale.</w:t>
      </w:r>
    </w:p>
    <w:p w:rsidR="00306570" w:rsidRPr="00C76109" w:rsidRDefault="0093382C" w:rsidP="001370E3">
      <w:pPr>
        <w:pStyle w:val="Heading1"/>
        <w:spacing w:before="360"/>
        <w:rPr>
          <w:lang w:val="fr-FR"/>
        </w:rPr>
      </w:pPr>
      <w:r w:rsidRPr="00C76109">
        <w:rPr>
          <w:lang w:val="fr-FR"/>
        </w:rPr>
        <w:t xml:space="preserve">Situation des principaux </w:t>
      </w:r>
      <w:r w:rsidR="0092686B" w:rsidRPr="00C76109">
        <w:rPr>
          <w:lang w:val="fr-FR"/>
        </w:rPr>
        <w:t>services en ligne</w:t>
      </w:r>
    </w:p>
    <w:p w:rsidR="00637150" w:rsidRPr="00C76109" w:rsidRDefault="0092686B" w:rsidP="0092686B">
      <w:pPr>
        <w:pStyle w:val="Heading3"/>
        <w:rPr>
          <w:lang w:val="fr-FR"/>
        </w:rPr>
      </w:pPr>
      <w:r w:rsidRPr="00C76109">
        <w:rPr>
          <w:lang w:val="fr-FR"/>
        </w:rPr>
        <w:t>Système ePCT</w:t>
      </w:r>
    </w:p>
    <w:p w:rsidR="00637150" w:rsidRPr="00C76109" w:rsidRDefault="0092686B" w:rsidP="00DF6A22">
      <w:pPr>
        <w:pStyle w:val="ONUMFS"/>
        <w:rPr>
          <w:lang w:val="fr-FR"/>
        </w:rPr>
      </w:pPr>
      <w:r w:rsidRPr="00C76109">
        <w:rPr>
          <w:lang w:val="fr-FR"/>
        </w:rPr>
        <w:t>L</w:t>
      </w:r>
      <w:r w:rsidR="00ED57C2" w:rsidRPr="00C76109">
        <w:rPr>
          <w:lang w:val="fr-FR"/>
        </w:rPr>
        <w:t>a version sur navigateur du</w:t>
      </w:r>
      <w:r w:rsidR="00CE10EB" w:rsidRPr="00C76109">
        <w:rPr>
          <w:lang w:val="fr-FR"/>
        </w:rPr>
        <w:t xml:space="preserve"> service ePCT </w:t>
      </w:r>
      <w:r w:rsidRPr="00C76109">
        <w:rPr>
          <w:lang w:val="fr-FR"/>
        </w:rPr>
        <w:t>est aujourd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hui un système stable, qui offre des services aux déposants, aux offices et aux tie</w:t>
      </w:r>
      <w:r w:rsidR="00091022" w:rsidRPr="00C76109">
        <w:rPr>
          <w:lang w:val="fr-FR"/>
        </w:rPr>
        <w:t>rs.  De</w:t>
      </w:r>
      <w:r w:rsidRPr="00C76109">
        <w:rPr>
          <w:lang w:val="fr-FR"/>
        </w:rPr>
        <w:t>puis la précédente session du groupe de travail, de nombreuses améliorations fonctionnelles mineures ont été apportées au système, aussi bien pour les déposants que pour les offices.</w:t>
      </w:r>
    </w:p>
    <w:p w:rsidR="00637150" w:rsidRPr="00C76109" w:rsidRDefault="00455BBF" w:rsidP="00DF6A22">
      <w:pPr>
        <w:pStyle w:val="ONUMFS"/>
        <w:rPr>
          <w:lang w:val="fr-FR"/>
        </w:rPr>
      </w:pPr>
      <w:r w:rsidRPr="00C76109">
        <w:rPr>
          <w:lang w:val="fr-FR"/>
        </w:rPr>
        <w:t>Le système ePCT a grandement accru la disponibilité géographique des services électroniqu</w:t>
      </w:r>
      <w:r w:rsidR="00091022" w:rsidRPr="00C76109">
        <w:rPr>
          <w:lang w:val="fr-FR"/>
        </w:rPr>
        <w:t>es.  Au</w:t>
      </w:r>
      <w:r w:rsidRPr="00C76109">
        <w:rPr>
          <w:lang w:val="fr-FR"/>
        </w:rPr>
        <w:t xml:space="preserve"> début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année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 xml:space="preserve">2010, les dépôts entièrement électroniques </w:t>
      </w:r>
      <w:r w:rsidR="00FA1285" w:rsidRPr="00C76109">
        <w:rPr>
          <w:lang w:val="fr-FR"/>
        </w:rPr>
        <w:t>n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étaient </w:t>
      </w:r>
      <w:r w:rsidR="00FA1285" w:rsidRPr="00C76109">
        <w:rPr>
          <w:lang w:val="fr-FR"/>
        </w:rPr>
        <w:t>disponibles que d</w:t>
      </w:r>
      <w:r w:rsidRPr="00C76109">
        <w:rPr>
          <w:lang w:val="fr-FR"/>
        </w:rPr>
        <w:t>a</w:t>
      </w:r>
      <w:r w:rsidR="00FA1285" w:rsidRPr="00C76109">
        <w:rPr>
          <w:lang w:val="fr-FR"/>
        </w:rPr>
        <w:t>ns</w:t>
      </w:r>
      <w:r w:rsidRPr="00C76109">
        <w:rPr>
          <w:lang w:val="fr-FR"/>
        </w:rPr>
        <w:t xml:space="preserve"> 21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offices récepteu</w:t>
      </w:r>
      <w:r w:rsidR="00091022" w:rsidRPr="00C76109">
        <w:rPr>
          <w:lang w:val="fr-FR"/>
        </w:rPr>
        <w:t xml:space="preserve">rs.  À </w:t>
      </w:r>
      <w:r w:rsidRPr="00C76109">
        <w:rPr>
          <w:lang w:val="fr-FR"/>
        </w:rPr>
        <w:t>la fin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année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 xml:space="preserve">2017, le système de dépôt ePCT offrait des </w:t>
      </w:r>
      <w:r w:rsidR="00FA1285" w:rsidRPr="00C76109">
        <w:rPr>
          <w:lang w:val="fr-FR"/>
        </w:rPr>
        <w:t>services</w:t>
      </w:r>
      <w:r w:rsidRPr="00C76109">
        <w:rPr>
          <w:lang w:val="fr-FR"/>
        </w:rPr>
        <w:t xml:space="preserve"> de dépôt </w:t>
      </w:r>
      <w:r w:rsidR="00FA1285" w:rsidRPr="00C76109">
        <w:rPr>
          <w:lang w:val="fr-FR"/>
        </w:rPr>
        <w:t xml:space="preserve">entièrement </w:t>
      </w:r>
      <w:r w:rsidRPr="00C76109">
        <w:rPr>
          <w:lang w:val="fr-FR"/>
        </w:rPr>
        <w:t>électronique à 53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 xml:space="preserve">offices récepteurs </w:t>
      </w:r>
      <w:r w:rsidR="00FA1285" w:rsidRPr="00C76109">
        <w:rPr>
          <w:lang w:val="fr-FR"/>
        </w:rPr>
        <w:t xml:space="preserve">répartis </w:t>
      </w:r>
      <w:r w:rsidRPr="00C76109">
        <w:rPr>
          <w:lang w:val="fr-FR"/>
        </w:rPr>
        <w:t xml:space="preserve">dans le monde et représentait plus de 64% de toutes les demandes internationales </w:t>
      </w:r>
      <w:r w:rsidR="00FA1285" w:rsidRPr="00C76109">
        <w:rPr>
          <w:lang w:val="fr-FR"/>
        </w:rPr>
        <w:t>déposées</w:t>
      </w:r>
      <w:r w:rsidRPr="00C76109">
        <w:rPr>
          <w:lang w:val="fr-FR"/>
        </w:rPr>
        <w:t xml:space="preserve"> auprès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offices récepteurs qui ne proposaient pas le dépôt électronique </w:t>
      </w:r>
      <w:r w:rsidR="00306570" w:rsidRPr="00C76109">
        <w:rPr>
          <w:lang w:val="fr-FR"/>
        </w:rPr>
        <w:t>en 2010</w:t>
      </w:r>
      <w:r w:rsidRPr="00C76109">
        <w:rPr>
          <w:lang w:val="fr-FR"/>
        </w:rPr>
        <w:t>.</w:t>
      </w:r>
      <w:r w:rsidR="007535CD" w:rsidRPr="00C76109">
        <w:rPr>
          <w:lang w:val="fr-FR"/>
        </w:rPr>
        <w:t xml:space="preserve">  </w:t>
      </w:r>
      <w:r w:rsidRPr="00C76109">
        <w:rPr>
          <w:lang w:val="fr-FR"/>
        </w:rPr>
        <w:t xml:space="preserve">Les documents déposés </w:t>
      </w:r>
      <w:r w:rsidR="00ED57C2" w:rsidRPr="00C76109">
        <w:rPr>
          <w:lang w:val="fr-FR"/>
        </w:rPr>
        <w:t>post</w:t>
      </w:r>
      <w:r w:rsidRPr="00C76109">
        <w:rPr>
          <w:lang w:val="fr-FR"/>
        </w:rPr>
        <w:t xml:space="preserve">érieurement peuvent être téléchargés au moyen du système ePCT pour être </w:t>
      </w:r>
      <w:r w:rsidR="00FA1285" w:rsidRPr="00C76109">
        <w:rPr>
          <w:lang w:val="fr-FR"/>
        </w:rPr>
        <w:t>trans</w:t>
      </w:r>
      <w:r w:rsidRPr="00C76109">
        <w:rPr>
          <w:lang w:val="fr-FR"/>
        </w:rPr>
        <w:t>mis à 64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offices agissant en leur qualité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offices récepteurs ou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administrations chargées de la recherche internationale et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examen préliminaire international.</w:t>
      </w:r>
    </w:p>
    <w:p w:rsidR="00637150" w:rsidRPr="00C76109" w:rsidRDefault="003742F1" w:rsidP="00DF6A22">
      <w:pPr>
        <w:pStyle w:val="ONUMFS"/>
        <w:rPr>
          <w:lang w:val="fr-FR"/>
        </w:rPr>
      </w:pPr>
      <w:r w:rsidRPr="00C76109">
        <w:rPr>
          <w:lang w:val="fr-FR"/>
        </w:rPr>
        <w:t>Soixante</w:t>
      </w:r>
      <w:r w:rsidR="00A75C04" w:rsidRPr="00C76109">
        <w:rPr>
          <w:lang w:val="fr-FR"/>
        </w:rPr>
        <w:noBreakHyphen/>
      </w:r>
      <w:r w:rsidRPr="00C76109">
        <w:rPr>
          <w:lang w:val="fr-FR"/>
        </w:rPr>
        <w:t>seize offices ont désormais accès aux services ePCT à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intention des offices en leur qualité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offices récepteurs,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administrations chargées de la recherche internationale ou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offices</w:t>
      </w:r>
      <w:r w:rsidR="00FA1285" w:rsidRPr="00C76109">
        <w:rPr>
          <w:lang w:val="fr-FR"/>
        </w:rPr>
        <w:t xml:space="preserve"> désignés ou</w:t>
      </w:r>
      <w:r w:rsidRPr="00C76109">
        <w:rPr>
          <w:lang w:val="fr-FR"/>
        </w:rPr>
        <w:t xml:space="preserve"> él</w:t>
      </w:r>
      <w:r w:rsidR="00091022" w:rsidRPr="00C76109">
        <w:rPr>
          <w:lang w:val="fr-FR"/>
        </w:rPr>
        <w:t>us.  Pl</w:t>
      </w:r>
      <w:r w:rsidR="00845FBA" w:rsidRPr="00C76109">
        <w:rPr>
          <w:lang w:val="fr-FR"/>
        </w:rPr>
        <w:t xml:space="preserve">us </w:t>
      </w:r>
      <w:r w:rsidR="00FA1285" w:rsidRPr="00C76109">
        <w:rPr>
          <w:lang w:val="fr-FR"/>
        </w:rPr>
        <w:t>de 50 de ces offices utilisent l</w:t>
      </w:r>
      <w:r w:rsidR="00ED57C2" w:rsidRPr="00C76109">
        <w:rPr>
          <w:lang w:val="fr-FR"/>
        </w:rPr>
        <w:t>a version</w:t>
      </w:r>
      <w:r w:rsidR="00845FBA" w:rsidRPr="00C76109">
        <w:rPr>
          <w:lang w:val="fr-FR"/>
        </w:rPr>
        <w:t xml:space="preserve"> sur navigateur </w:t>
      </w:r>
      <w:r w:rsidR="00FA1285" w:rsidRPr="00C76109">
        <w:rPr>
          <w:lang w:val="fr-FR"/>
        </w:rPr>
        <w:t>en tant qu</w:t>
      </w:r>
      <w:r w:rsidR="00306570" w:rsidRPr="00C76109">
        <w:rPr>
          <w:lang w:val="fr-FR"/>
        </w:rPr>
        <w:t>’</w:t>
      </w:r>
      <w:r w:rsidR="00FA1285" w:rsidRPr="00C76109">
        <w:rPr>
          <w:lang w:val="fr-FR"/>
        </w:rPr>
        <w:t>outil principal pour le traitement d</w:t>
      </w:r>
      <w:r w:rsidR="00845FBA" w:rsidRPr="00C76109">
        <w:rPr>
          <w:lang w:val="fr-FR"/>
        </w:rPr>
        <w:t>es dem</w:t>
      </w:r>
      <w:r w:rsidR="00FA1285" w:rsidRPr="00C76109">
        <w:rPr>
          <w:lang w:val="fr-FR"/>
        </w:rPr>
        <w:t>andes internationales</w:t>
      </w:r>
      <w:r w:rsidR="00ED57C2" w:rsidRPr="00C76109">
        <w:rPr>
          <w:lang w:val="fr-FR"/>
        </w:rPr>
        <w:t>,</w:t>
      </w:r>
      <w:r w:rsidR="00FA1285" w:rsidRPr="00C76109">
        <w:rPr>
          <w:lang w:val="fr-FR"/>
        </w:rPr>
        <w:t xml:space="preserve"> en leur qu</w:t>
      </w:r>
      <w:r w:rsidR="00845FBA" w:rsidRPr="00C76109">
        <w:rPr>
          <w:lang w:val="fr-FR"/>
        </w:rPr>
        <w:t>alité d</w:t>
      </w:r>
      <w:r w:rsidR="00306570" w:rsidRPr="00C76109">
        <w:rPr>
          <w:lang w:val="fr-FR"/>
        </w:rPr>
        <w:t>’</w:t>
      </w:r>
      <w:r w:rsidR="00845FBA" w:rsidRPr="00C76109">
        <w:rPr>
          <w:lang w:val="fr-FR"/>
        </w:rPr>
        <w:t>office</w:t>
      </w:r>
      <w:r w:rsidR="00FA1285" w:rsidRPr="00C76109">
        <w:rPr>
          <w:lang w:val="fr-FR"/>
        </w:rPr>
        <w:t>s</w:t>
      </w:r>
      <w:r w:rsidR="00845FBA" w:rsidRPr="00C76109">
        <w:rPr>
          <w:lang w:val="fr-FR"/>
        </w:rPr>
        <w:t xml:space="preserve"> récepteu</w:t>
      </w:r>
      <w:r w:rsidR="00091022" w:rsidRPr="00C76109">
        <w:rPr>
          <w:lang w:val="fr-FR"/>
        </w:rPr>
        <w:t>rs.  Ci</w:t>
      </w:r>
      <w:r w:rsidR="00AD7A3C" w:rsidRPr="00C76109">
        <w:rPr>
          <w:lang w:val="fr-FR"/>
        </w:rPr>
        <w:t>nq</w:t>
      </w:r>
      <w:r w:rsidR="00BE1E5C" w:rsidRPr="00C76109">
        <w:rPr>
          <w:lang w:val="fr-FR"/>
        </w:rPr>
        <w:t> </w:t>
      </w:r>
      <w:r w:rsidR="00AD7A3C" w:rsidRPr="00C76109">
        <w:rPr>
          <w:lang w:val="fr-FR"/>
        </w:rPr>
        <w:t>offices ont mis en place des administrateurs capables d</w:t>
      </w:r>
      <w:r w:rsidR="00306570" w:rsidRPr="00C76109">
        <w:rPr>
          <w:lang w:val="fr-FR"/>
        </w:rPr>
        <w:t>’</w:t>
      </w:r>
      <w:r w:rsidR="00AD7A3C" w:rsidRPr="00C76109">
        <w:rPr>
          <w:lang w:val="fr-FR"/>
        </w:rPr>
        <w:t>administrer les droits d</w:t>
      </w:r>
      <w:r w:rsidR="00306570" w:rsidRPr="00C76109">
        <w:rPr>
          <w:lang w:val="fr-FR"/>
        </w:rPr>
        <w:t>’</w:t>
      </w:r>
      <w:r w:rsidR="00AD7A3C" w:rsidRPr="00C76109">
        <w:rPr>
          <w:lang w:val="fr-FR"/>
        </w:rPr>
        <w:t>accès de leur personnel d</w:t>
      </w:r>
      <w:r w:rsidR="00FA1285" w:rsidRPr="00C76109">
        <w:rPr>
          <w:lang w:val="fr-FR"/>
        </w:rPr>
        <w:t>irectement, s</w:t>
      </w:r>
      <w:r w:rsidR="00AD7A3C" w:rsidRPr="00C76109">
        <w:rPr>
          <w:lang w:val="fr-FR"/>
        </w:rPr>
        <w:t>ans l</w:t>
      </w:r>
      <w:r w:rsidR="00306570" w:rsidRPr="00C76109">
        <w:rPr>
          <w:lang w:val="fr-FR"/>
        </w:rPr>
        <w:t>’</w:t>
      </w:r>
      <w:r w:rsidR="00AD7A3C" w:rsidRPr="00C76109">
        <w:rPr>
          <w:lang w:val="fr-FR"/>
        </w:rPr>
        <w:t>intervention du Bureau international.</w:t>
      </w:r>
    </w:p>
    <w:p w:rsidR="00637150" w:rsidRPr="00C76109" w:rsidRDefault="002219CB" w:rsidP="00DF6A22">
      <w:pPr>
        <w:pStyle w:val="ONUMFS"/>
        <w:rPr>
          <w:lang w:val="fr-FR"/>
        </w:rPr>
      </w:pPr>
      <w:r w:rsidRPr="00C76109">
        <w:rPr>
          <w:lang w:val="fr-FR"/>
        </w:rPr>
        <w:t xml:space="preserve">Un certain nombre de services Web sécurisés sont actuellement utilisés pour </w:t>
      </w:r>
      <w:r w:rsidR="0037254A" w:rsidRPr="00C76109">
        <w:rPr>
          <w:lang w:val="fr-FR"/>
        </w:rPr>
        <w:t>d</w:t>
      </w:r>
      <w:r w:rsidRPr="00C76109">
        <w:rPr>
          <w:lang w:val="fr-FR"/>
        </w:rPr>
        <w:t xml:space="preserve">es essais à petite échelle menés en conditions réelles avec les offices et les déposants, permettant une automatisation </w:t>
      </w:r>
      <w:r w:rsidR="0037254A" w:rsidRPr="00C76109">
        <w:rPr>
          <w:lang w:val="fr-FR"/>
        </w:rPr>
        <w:t xml:space="preserve">en temps </w:t>
      </w:r>
      <w:r w:rsidR="00D55AE1" w:rsidRPr="00C76109">
        <w:rPr>
          <w:lang w:val="fr-FR"/>
        </w:rPr>
        <w:t xml:space="preserve">quasi </w:t>
      </w:r>
      <w:r w:rsidR="0037254A" w:rsidRPr="00C76109">
        <w:rPr>
          <w:lang w:val="fr-FR"/>
        </w:rPr>
        <w:t xml:space="preserve">réel </w:t>
      </w:r>
      <w:r w:rsidRPr="00C76109">
        <w:rPr>
          <w:lang w:val="fr-FR"/>
        </w:rPr>
        <w:t>de certains services de poste à poste, équivalent</w:t>
      </w:r>
      <w:r w:rsidR="0037254A" w:rsidRPr="00C76109">
        <w:rPr>
          <w:lang w:val="fr-FR"/>
        </w:rPr>
        <w:t>s</w:t>
      </w:r>
      <w:r w:rsidRPr="00C76109">
        <w:rPr>
          <w:lang w:val="fr-FR"/>
        </w:rPr>
        <w:t xml:space="preserve"> à </w:t>
      </w:r>
      <w:r w:rsidR="0037254A" w:rsidRPr="00C76109">
        <w:rPr>
          <w:lang w:val="fr-FR"/>
        </w:rPr>
        <w:t>ceux</w:t>
      </w:r>
      <w:r w:rsidRPr="00C76109">
        <w:rPr>
          <w:lang w:val="fr-FR"/>
        </w:rPr>
        <w:t xml:space="preserve"> </w:t>
      </w:r>
      <w:r w:rsidR="0037254A" w:rsidRPr="00C76109">
        <w:rPr>
          <w:lang w:val="fr-FR"/>
        </w:rPr>
        <w:t>disponibles</w:t>
      </w:r>
      <w:r w:rsidRPr="00C76109">
        <w:rPr>
          <w:lang w:val="fr-FR"/>
        </w:rPr>
        <w:t xml:space="preserve"> </w:t>
      </w:r>
      <w:r w:rsidR="0037254A" w:rsidRPr="00C76109">
        <w:rPr>
          <w:lang w:val="fr-FR"/>
        </w:rPr>
        <w:t>à l</w:t>
      </w:r>
      <w:r w:rsidR="00306570" w:rsidRPr="00C76109">
        <w:rPr>
          <w:lang w:val="fr-FR"/>
        </w:rPr>
        <w:t>’</w:t>
      </w:r>
      <w:r w:rsidR="0037254A" w:rsidRPr="00C76109">
        <w:rPr>
          <w:lang w:val="fr-FR"/>
        </w:rPr>
        <w:t>aide du</w:t>
      </w:r>
      <w:r w:rsidRPr="00C76109">
        <w:rPr>
          <w:lang w:val="fr-FR"/>
        </w:rPr>
        <w:t xml:space="preserve"> navigateur. </w:t>
      </w:r>
      <w:r w:rsidR="007535CD" w:rsidRPr="00C76109">
        <w:rPr>
          <w:lang w:val="fr-FR"/>
        </w:rPr>
        <w:t xml:space="preserve"> </w:t>
      </w:r>
      <w:r w:rsidR="002938E2" w:rsidRPr="00C76109">
        <w:rPr>
          <w:lang w:val="fr-FR"/>
        </w:rPr>
        <w:t>Des projets pilotes sont également menés avec plusieurs offices récepteurs pour étudier la possibilité d</w:t>
      </w:r>
      <w:r w:rsidR="00306570" w:rsidRPr="00C76109">
        <w:rPr>
          <w:lang w:val="fr-FR"/>
        </w:rPr>
        <w:t>’</w:t>
      </w:r>
      <w:r w:rsidR="002938E2" w:rsidRPr="00C76109">
        <w:rPr>
          <w:lang w:val="fr-FR"/>
        </w:rPr>
        <w:t xml:space="preserve">intégrer les services ePCT aux portails en ligne des offices nationaux, </w:t>
      </w:r>
      <w:r w:rsidR="006F0155" w:rsidRPr="00C76109">
        <w:rPr>
          <w:lang w:val="fr-FR"/>
        </w:rPr>
        <w:t>le but étant de permettre</w:t>
      </w:r>
      <w:r w:rsidR="002938E2" w:rsidRPr="00C76109">
        <w:rPr>
          <w:lang w:val="fr-FR"/>
        </w:rPr>
        <w:t xml:space="preserve"> à ces offices de réduire leurs frais en matière de développement et d</w:t>
      </w:r>
      <w:r w:rsidR="00306570" w:rsidRPr="00C76109">
        <w:rPr>
          <w:lang w:val="fr-FR"/>
        </w:rPr>
        <w:t>’</w:t>
      </w:r>
      <w:r w:rsidR="002938E2" w:rsidRPr="00C76109">
        <w:rPr>
          <w:lang w:val="fr-FR"/>
        </w:rPr>
        <w:t xml:space="preserve">appui et de garantir la pleine conformité avec les règles et normes </w:t>
      </w:r>
      <w:r w:rsidR="0037254A" w:rsidRPr="00C76109">
        <w:rPr>
          <w:lang w:val="fr-FR"/>
        </w:rPr>
        <w:t>actuelles</w:t>
      </w:r>
      <w:r w:rsidR="00306570" w:rsidRPr="00C76109">
        <w:rPr>
          <w:lang w:val="fr-FR"/>
        </w:rPr>
        <w:t xml:space="preserve"> du PCT</w:t>
      </w:r>
      <w:r w:rsidR="002938E2" w:rsidRPr="00C76109">
        <w:rPr>
          <w:lang w:val="fr-FR"/>
        </w:rPr>
        <w:t>, tout en gardant la maîtrise totale de leurs données au sein d</w:t>
      </w:r>
      <w:r w:rsidR="00306570" w:rsidRPr="00C76109">
        <w:rPr>
          <w:lang w:val="fr-FR"/>
        </w:rPr>
        <w:t>’</w:t>
      </w:r>
      <w:r w:rsidR="002938E2" w:rsidRPr="00C76109">
        <w:rPr>
          <w:lang w:val="fr-FR"/>
        </w:rPr>
        <w:t>un portail intégr</w:t>
      </w:r>
      <w:r w:rsidR="00ED57C2" w:rsidRPr="00C76109">
        <w:rPr>
          <w:lang w:val="fr-FR"/>
        </w:rPr>
        <w:t xml:space="preserve">é </w:t>
      </w:r>
      <w:r w:rsidR="002938E2" w:rsidRPr="00C76109">
        <w:rPr>
          <w:lang w:val="fr-FR"/>
        </w:rPr>
        <w:t xml:space="preserve">pour leurs services </w:t>
      </w:r>
      <w:r w:rsidR="0037254A" w:rsidRPr="00C76109">
        <w:rPr>
          <w:lang w:val="fr-FR"/>
        </w:rPr>
        <w:t>nationaux</w:t>
      </w:r>
      <w:r w:rsidR="002938E2" w:rsidRPr="00C76109">
        <w:rPr>
          <w:lang w:val="fr-FR"/>
        </w:rPr>
        <w:t>.</w:t>
      </w:r>
    </w:p>
    <w:p w:rsidR="00637150" w:rsidRPr="00C76109" w:rsidRDefault="002938E2" w:rsidP="002938E2">
      <w:pPr>
        <w:pStyle w:val="Heading3"/>
        <w:rPr>
          <w:lang w:val="fr-FR"/>
        </w:rPr>
      </w:pPr>
      <w:r w:rsidRPr="00C76109">
        <w:rPr>
          <w:lang w:val="fr-FR"/>
        </w:rPr>
        <w:t>eSearchCopy</w:t>
      </w:r>
    </w:p>
    <w:p w:rsidR="00637150" w:rsidRPr="00C76109" w:rsidRDefault="002938E2" w:rsidP="00DF6A22">
      <w:pPr>
        <w:pStyle w:val="ONUMFS"/>
        <w:rPr>
          <w:lang w:val="fr-FR"/>
        </w:rPr>
      </w:pPr>
      <w:r w:rsidRPr="00C76109">
        <w:rPr>
          <w:lang w:val="fr-FR"/>
        </w:rPr>
        <w:t xml:space="preserve">Le </w:t>
      </w:r>
      <w:r w:rsidR="00105175" w:rsidRPr="00C76109">
        <w:rPr>
          <w:lang w:val="fr-FR"/>
        </w:rPr>
        <w:t xml:space="preserve">service </w:t>
      </w:r>
      <w:r w:rsidRPr="00C76109">
        <w:rPr>
          <w:lang w:val="fr-FR"/>
        </w:rPr>
        <w:t>eSearchCopy est maintenant utilisé dans 161 des 370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paires possibles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offices récepteurs et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administrations chargées de la recherche internationale</w:t>
      </w:r>
      <w:r w:rsidR="00ED57C2" w:rsidRPr="00C76109">
        <w:rPr>
          <w:lang w:val="fr-FR"/>
        </w:rPr>
        <w:t>,</w:t>
      </w:r>
      <w:r w:rsidRPr="00C76109">
        <w:rPr>
          <w:lang w:val="fr-FR"/>
        </w:rPr>
        <w:t xml:space="preserve"> lorsque ces rôles ne </w:t>
      </w:r>
      <w:r w:rsidR="0037254A" w:rsidRPr="00C76109">
        <w:rPr>
          <w:lang w:val="fr-FR"/>
        </w:rPr>
        <w:t>sont</w:t>
      </w:r>
      <w:r w:rsidRPr="00C76109">
        <w:rPr>
          <w:lang w:val="fr-FR"/>
        </w:rPr>
        <w:t xml:space="preserve"> pas </w:t>
      </w:r>
      <w:r w:rsidR="0037254A" w:rsidRPr="00C76109">
        <w:rPr>
          <w:lang w:val="fr-FR"/>
        </w:rPr>
        <w:t>joués par le</w:t>
      </w:r>
      <w:r w:rsidRPr="00C76109">
        <w:rPr>
          <w:lang w:val="fr-FR"/>
        </w:rPr>
        <w:t xml:space="preserve"> même offi</w:t>
      </w:r>
      <w:r w:rsidR="00091022" w:rsidRPr="00C76109">
        <w:rPr>
          <w:lang w:val="fr-FR"/>
        </w:rPr>
        <w:t>ce.  Ce</w:t>
      </w:r>
      <w:r w:rsidRPr="00C76109">
        <w:rPr>
          <w:lang w:val="fr-FR"/>
        </w:rPr>
        <w:t>s voies</w:t>
      </w:r>
      <w:r w:rsidR="0037254A" w:rsidRPr="00C76109">
        <w:rPr>
          <w:lang w:val="fr-FR"/>
        </w:rPr>
        <w:t xml:space="preserve"> de transmission</w:t>
      </w:r>
      <w:r w:rsidRPr="00C76109">
        <w:rPr>
          <w:lang w:val="fr-FR"/>
        </w:rPr>
        <w:t xml:space="preserve"> représentent presque 50% du volume total des transmissions de copies de recherche entre les différents offic</w:t>
      </w:r>
      <w:r w:rsidR="00091022" w:rsidRPr="00C76109">
        <w:rPr>
          <w:lang w:val="fr-FR"/>
        </w:rPr>
        <w:t>es.  Pa</w:t>
      </w:r>
      <w:r w:rsidRPr="00C76109">
        <w:rPr>
          <w:lang w:val="fr-FR"/>
        </w:rPr>
        <w:t>r</w:t>
      </w:r>
      <w:r w:rsidR="00D2626A" w:rsidRPr="00C76109">
        <w:rPr>
          <w:lang w:val="fr-FR"/>
        </w:rPr>
        <w:t> </w:t>
      </w:r>
      <w:r w:rsidRPr="00C76109">
        <w:rPr>
          <w:lang w:val="fr-FR"/>
        </w:rPr>
        <w:t xml:space="preserve">ailleurs, 40% supplémentaires des copies de recherche transmises entre offices sont envoyées au moyen de services bilatéraux en ligne préexistants (qui devraient être intégrés </w:t>
      </w:r>
      <w:r w:rsidR="00105175" w:rsidRPr="00C76109">
        <w:rPr>
          <w:lang w:val="fr-FR"/>
        </w:rPr>
        <w:t>à</w:t>
      </w:r>
      <w:r w:rsidR="00D2626A" w:rsidRPr="00C76109">
        <w:rPr>
          <w:lang w:val="fr-FR"/>
        </w:rPr>
        <w:t> </w:t>
      </w:r>
      <w:r w:rsidRPr="00C76109">
        <w:rPr>
          <w:lang w:val="fr-FR"/>
        </w:rPr>
        <w:t>eSearchCopy dans le cou</w:t>
      </w:r>
      <w:r w:rsidR="00853A9D" w:rsidRPr="00C76109">
        <w:rPr>
          <w:lang w:val="fr-FR"/>
        </w:rPr>
        <w:t>rant de l</w:t>
      </w:r>
      <w:r w:rsidR="00306570" w:rsidRPr="00C76109">
        <w:rPr>
          <w:lang w:val="fr-FR"/>
        </w:rPr>
        <w:t>’</w:t>
      </w:r>
      <w:r w:rsidR="00853A9D" w:rsidRPr="00C76109">
        <w:rPr>
          <w:lang w:val="fr-FR"/>
        </w:rPr>
        <w:t>année</w:t>
      </w:r>
      <w:r w:rsidR="00130590" w:rsidRPr="00C76109">
        <w:rPr>
          <w:lang w:val="fr-FR"/>
        </w:rPr>
        <w:t> </w:t>
      </w:r>
      <w:r w:rsidR="00853A9D" w:rsidRPr="00C76109">
        <w:rPr>
          <w:lang w:val="fr-FR"/>
        </w:rPr>
        <w:t>2018)</w:t>
      </w:r>
      <w:r w:rsidR="007535CD" w:rsidRPr="00C76109">
        <w:rPr>
          <w:lang w:val="fr-FR"/>
        </w:rPr>
        <w:t>.</w:t>
      </w:r>
      <w:r w:rsidR="00853A9D" w:rsidRPr="00C76109">
        <w:rPr>
          <w:lang w:val="fr-FR"/>
        </w:rPr>
        <w:t xml:space="preserve"> </w:t>
      </w:r>
      <w:r w:rsidR="007535CD" w:rsidRPr="00C76109">
        <w:rPr>
          <w:lang w:val="fr-FR"/>
        </w:rPr>
        <w:t xml:space="preserve"> </w:t>
      </w:r>
      <w:r w:rsidRPr="00C76109">
        <w:rPr>
          <w:lang w:val="fr-FR"/>
        </w:rPr>
        <w:t>En conséquence, seul</w:t>
      </w:r>
      <w:r w:rsidR="00105175" w:rsidRPr="00C76109">
        <w:rPr>
          <w:lang w:val="fr-FR"/>
        </w:rPr>
        <w:t>e</w:t>
      </w:r>
      <w:r w:rsidRPr="00C76109">
        <w:rPr>
          <w:lang w:val="fr-FR"/>
        </w:rPr>
        <w:t>s 10% environ des copies de recherche transmises entre les différents offices continuent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être envoyées par la poste (et certaines sont envoyées sur disque plutôt que sur papier, ce qui élimine au moins les </w:t>
      </w:r>
      <w:r w:rsidR="00105175" w:rsidRPr="00C76109">
        <w:rPr>
          <w:lang w:val="fr-FR"/>
        </w:rPr>
        <w:t>considérations relatives à la</w:t>
      </w:r>
      <w:r w:rsidRPr="00C76109">
        <w:rPr>
          <w:lang w:val="fr-FR"/>
        </w:rPr>
        <w:t xml:space="preserve"> numérisation).</w:t>
      </w:r>
    </w:p>
    <w:p w:rsidR="00637150" w:rsidRPr="00C76109" w:rsidRDefault="002938E2" w:rsidP="00A950FD">
      <w:pPr>
        <w:pStyle w:val="ONUMFS"/>
        <w:keepLines/>
        <w:rPr>
          <w:lang w:val="fr-FR"/>
        </w:rPr>
      </w:pPr>
      <w:r w:rsidRPr="00C76109">
        <w:rPr>
          <w:lang w:val="fr-FR"/>
        </w:rPr>
        <w:lastRenderedPageBreak/>
        <w:t xml:space="preserve">Le </w:t>
      </w:r>
      <w:r w:rsidR="00105175" w:rsidRPr="00C76109">
        <w:rPr>
          <w:lang w:val="fr-FR"/>
        </w:rPr>
        <w:t xml:space="preserve">service </w:t>
      </w:r>
      <w:r w:rsidRPr="00C76109">
        <w:rPr>
          <w:lang w:val="fr-FR"/>
        </w:rPr>
        <w:t xml:space="preserve">eSearchCopy </w:t>
      </w:r>
      <w:r w:rsidR="00105175" w:rsidRPr="00C76109">
        <w:rPr>
          <w:lang w:val="fr-FR"/>
        </w:rPr>
        <w:t>comprend</w:t>
      </w:r>
      <w:r w:rsidRPr="00C76109">
        <w:rPr>
          <w:lang w:val="fr-FR"/>
        </w:rPr>
        <w:t xml:space="preserve"> désormais </w:t>
      </w:r>
      <w:r w:rsidR="00105175" w:rsidRPr="00C76109">
        <w:rPr>
          <w:lang w:val="fr-FR"/>
        </w:rPr>
        <w:t>les transmissions</w:t>
      </w:r>
      <w:r w:rsidRPr="00C76109">
        <w:rPr>
          <w:lang w:val="fr-FR"/>
        </w:rPr>
        <w:t xml:space="preserve"> </w:t>
      </w:r>
      <w:r w:rsidR="00105175" w:rsidRPr="00C76109">
        <w:rPr>
          <w:lang w:val="fr-FR"/>
        </w:rPr>
        <w:t>entre</w:t>
      </w:r>
      <w:r w:rsidRPr="00C76109">
        <w:rPr>
          <w:lang w:val="fr-FR"/>
        </w:rPr>
        <w:t xml:space="preserve">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office récepteur du Bureau international </w:t>
      </w:r>
      <w:r w:rsidR="00105175" w:rsidRPr="00C76109">
        <w:rPr>
          <w:lang w:val="fr-FR"/>
        </w:rPr>
        <w:t>et</w:t>
      </w:r>
      <w:r w:rsidRPr="00C76109">
        <w:rPr>
          <w:lang w:val="fr-FR"/>
        </w:rPr>
        <w:t xml:space="preserve"> toutes les administrations chargées de la recherche internationale </w:t>
      </w:r>
      <w:r w:rsidR="00105175" w:rsidRPr="00C76109">
        <w:rPr>
          <w:lang w:val="fr-FR"/>
        </w:rPr>
        <w:t>à</w:t>
      </w:r>
      <w:r w:rsidR="00D2626A" w:rsidRPr="00C76109">
        <w:rPr>
          <w:lang w:val="fr-FR"/>
        </w:rPr>
        <w:t> </w:t>
      </w:r>
      <w:r w:rsidR="00105175" w:rsidRPr="00C76109">
        <w:rPr>
          <w:lang w:val="fr-FR"/>
        </w:rPr>
        <w:t>l</w:t>
      </w:r>
      <w:r w:rsidR="00306570" w:rsidRPr="00C76109">
        <w:rPr>
          <w:lang w:val="fr-FR"/>
        </w:rPr>
        <w:t>’</w:t>
      </w:r>
      <w:r w:rsidR="00105175" w:rsidRPr="00C76109">
        <w:rPr>
          <w:lang w:val="fr-FR"/>
        </w:rPr>
        <w:t>exception de</w:t>
      </w:r>
      <w:r w:rsidRPr="00C76109">
        <w:rPr>
          <w:lang w:val="fr-FR"/>
        </w:rPr>
        <w:t xml:space="preserve"> deux</w:t>
      </w:r>
      <w:r w:rsidR="00BE1E5C" w:rsidRPr="00C76109">
        <w:rPr>
          <w:lang w:val="fr-FR"/>
        </w:rPr>
        <w:t> </w:t>
      </w:r>
      <w:r w:rsidR="00105175" w:rsidRPr="00C76109">
        <w:rPr>
          <w:lang w:val="fr-FR"/>
        </w:rPr>
        <w:t>d</w:t>
      </w:r>
      <w:r w:rsidR="00306570" w:rsidRPr="00C76109">
        <w:rPr>
          <w:lang w:val="fr-FR"/>
        </w:rPr>
        <w:t>’</w:t>
      </w:r>
      <w:r w:rsidR="00105175" w:rsidRPr="00C76109">
        <w:rPr>
          <w:lang w:val="fr-FR"/>
        </w:rPr>
        <w:t>entre</w:t>
      </w:r>
      <w:r w:rsidR="00130590" w:rsidRPr="00C76109">
        <w:rPr>
          <w:lang w:val="fr-FR"/>
        </w:rPr>
        <w:t xml:space="preserve"> </w:t>
      </w:r>
      <w:r w:rsidR="00105175" w:rsidRPr="00C76109">
        <w:rPr>
          <w:lang w:val="fr-FR"/>
        </w:rPr>
        <w:t>elles</w:t>
      </w:r>
      <w:r w:rsidRPr="00C76109">
        <w:rPr>
          <w:lang w:val="fr-FR"/>
        </w:rPr>
        <w:t>, qui testent le nouveau système parallèlement à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anci</w:t>
      </w:r>
      <w:r w:rsidR="00091022" w:rsidRPr="00C76109">
        <w:rPr>
          <w:lang w:val="fr-FR"/>
        </w:rPr>
        <w:t>en.  Lo</w:t>
      </w:r>
      <w:r w:rsidR="00853A9D" w:rsidRPr="00C76109">
        <w:rPr>
          <w:lang w:val="fr-FR"/>
        </w:rPr>
        <w:t xml:space="preserve">rsque </w:t>
      </w:r>
      <w:r w:rsidR="00105175" w:rsidRPr="00C76109">
        <w:rPr>
          <w:lang w:val="fr-FR"/>
        </w:rPr>
        <w:t>ces</w:t>
      </w:r>
      <w:r w:rsidR="00853A9D" w:rsidRPr="00C76109">
        <w:rPr>
          <w:lang w:val="fr-FR"/>
        </w:rPr>
        <w:t xml:space="preserve"> </w:t>
      </w:r>
      <w:r w:rsidR="00105175" w:rsidRPr="00C76109">
        <w:rPr>
          <w:lang w:val="fr-FR"/>
        </w:rPr>
        <w:t>deux administrations</w:t>
      </w:r>
      <w:r w:rsidR="00853A9D" w:rsidRPr="00C76109">
        <w:rPr>
          <w:lang w:val="fr-FR"/>
        </w:rPr>
        <w:t xml:space="preserve"> </w:t>
      </w:r>
      <w:r w:rsidR="00105175" w:rsidRPr="00C76109">
        <w:rPr>
          <w:lang w:val="fr-FR"/>
        </w:rPr>
        <w:t>se</w:t>
      </w:r>
      <w:r w:rsidR="00853A9D" w:rsidRPr="00C76109">
        <w:rPr>
          <w:lang w:val="fr-FR"/>
        </w:rPr>
        <w:t>r</w:t>
      </w:r>
      <w:r w:rsidR="00105175" w:rsidRPr="00C76109">
        <w:rPr>
          <w:lang w:val="fr-FR"/>
        </w:rPr>
        <w:t>ont</w:t>
      </w:r>
      <w:r w:rsidR="00853A9D" w:rsidRPr="00C76109">
        <w:rPr>
          <w:lang w:val="fr-FR"/>
        </w:rPr>
        <w:t xml:space="preserve"> </w:t>
      </w:r>
      <w:r w:rsidR="00105175" w:rsidRPr="00C76109">
        <w:rPr>
          <w:lang w:val="fr-FR"/>
        </w:rPr>
        <w:t>passées au nouveau système,</w:t>
      </w:r>
      <w:r w:rsidR="00853A9D" w:rsidRPr="00C76109">
        <w:rPr>
          <w:lang w:val="fr-FR"/>
        </w:rPr>
        <w:t xml:space="preserve"> </w:t>
      </w:r>
      <w:r w:rsidR="00105175" w:rsidRPr="00C76109">
        <w:rPr>
          <w:lang w:val="fr-FR"/>
        </w:rPr>
        <w:t>l</w:t>
      </w:r>
      <w:r w:rsidR="00853A9D" w:rsidRPr="00C76109">
        <w:rPr>
          <w:lang w:val="fr-FR"/>
        </w:rPr>
        <w:t xml:space="preserve">e Bureau international pourra abandonner </w:t>
      </w:r>
      <w:r w:rsidR="00105175" w:rsidRPr="00C76109">
        <w:rPr>
          <w:lang w:val="fr-FR"/>
        </w:rPr>
        <w:t>l</w:t>
      </w:r>
      <w:r w:rsidR="00306570" w:rsidRPr="00C76109">
        <w:rPr>
          <w:lang w:val="fr-FR"/>
        </w:rPr>
        <w:t>’</w:t>
      </w:r>
      <w:r w:rsidR="00105175" w:rsidRPr="00C76109">
        <w:rPr>
          <w:lang w:val="fr-FR"/>
        </w:rPr>
        <w:t>un de ses</w:t>
      </w:r>
      <w:r w:rsidR="00853A9D" w:rsidRPr="00C76109">
        <w:rPr>
          <w:lang w:val="fr-FR"/>
        </w:rPr>
        <w:t xml:space="preserve"> anciens services, ce qui rendra l</w:t>
      </w:r>
      <w:r w:rsidR="00306570" w:rsidRPr="00C76109">
        <w:rPr>
          <w:lang w:val="fr-FR"/>
        </w:rPr>
        <w:t>’</w:t>
      </w:r>
      <w:r w:rsidR="00853A9D" w:rsidRPr="00C76109">
        <w:rPr>
          <w:lang w:val="fr-FR"/>
        </w:rPr>
        <w:t>ensemble des services plus facile</w:t>
      </w:r>
      <w:r w:rsidR="006F0155" w:rsidRPr="00C76109">
        <w:rPr>
          <w:lang w:val="fr-FR"/>
        </w:rPr>
        <w:t>s</w:t>
      </w:r>
      <w:r w:rsidR="00853A9D" w:rsidRPr="00C76109">
        <w:rPr>
          <w:lang w:val="fr-FR"/>
        </w:rPr>
        <w:t xml:space="preserve"> à mainten</w:t>
      </w:r>
      <w:r w:rsidR="00091022" w:rsidRPr="00C76109">
        <w:rPr>
          <w:lang w:val="fr-FR"/>
        </w:rPr>
        <w:t>ir.  Po</w:t>
      </w:r>
      <w:r w:rsidR="00853A9D" w:rsidRPr="00C76109">
        <w:rPr>
          <w:lang w:val="fr-FR"/>
        </w:rPr>
        <w:t>ur sept</w:t>
      </w:r>
      <w:r w:rsidR="00BE1E5C" w:rsidRPr="00C76109">
        <w:rPr>
          <w:lang w:val="fr-FR"/>
        </w:rPr>
        <w:t> </w:t>
      </w:r>
      <w:r w:rsidR="00853A9D" w:rsidRPr="00C76109">
        <w:rPr>
          <w:lang w:val="fr-FR"/>
        </w:rPr>
        <w:t xml:space="preserve">administrations chargées de la recherche internationale, eSearchCopy communique </w:t>
      </w:r>
      <w:r w:rsidR="00105175" w:rsidRPr="00C76109">
        <w:rPr>
          <w:lang w:val="fr-FR"/>
        </w:rPr>
        <w:t>l</w:t>
      </w:r>
      <w:r w:rsidR="00853A9D" w:rsidRPr="00C76109">
        <w:rPr>
          <w:lang w:val="fr-FR"/>
        </w:rPr>
        <w:t xml:space="preserve">es copies de recherche de tous les autres offices récepteurs </w:t>
      </w:r>
      <w:r w:rsidR="00105175" w:rsidRPr="00C76109">
        <w:rPr>
          <w:lang w:val="fr-FR"/>
        </w:rPr>
        <w:t>pour lesquels</w:t>
      </w:r>
      <w:r w:rsidR="00853A9D" w:rsidRPr="00C76109">
        <w:rPr>
          <w:lang w:val="fr-FR"/>
        </w:rPr>
        <w:t xml:space="preserve"> l</w:t>
      </w:r>
      <w:r w:rsidR="00306570" w:rsidRPr="00C76109">
        <w:rPr>
          <w:lang w:val="fr-FR"/>
        </w:rPr>
        <w:t>’</w:t>
      </w:r>
      <w:r w:rsidR="00853A9D" w:rsidRPr="00C76109">
        <w:rPr>
          <w:lang w:val="fr-FR"/>
        </w:rPr>
        <w:t>administration chargée de la recherche internationale considérée</w:t>
      </w:r>
      <w:r w:rsidR="00105175" w:rsidRPr="00C76109">
        <w:rPr>
          <w:lang w:val="fr-FR"/>
        </w:rPr>
        <w:t xml:space="preserve"> est compéten</w:t>
      </w:r>
      <w:r w:rsidR="00091022" w:rsidRPr="00C76109">
        <w:rPr>
          <w:lang w:val="fr-FR"/>
        </w:rPr>
        <w:t>te.  Po</w:t>
      </w:r>
      <w:r w:rsidR="00853A9D" w:rsidRPr="00C76109">
        <w:rPr>
          <w:lang w:val="fr-FR"/>
        </w:rPr>
        <w:t>ur huit</w:t>
      </w:r>
      <w:r w:rsidR="00BE1E5C" w:rsidRPr="00C76109">
        <w:rPr>
          <w:lang w:val="fr-FR"/>
        </w:rPr>
        <w:t> </w:t>
      </w:r>
      <w:r w:rsidR="00853A9D" w:rsidRPr="00C76109">
        <w:rPr>
          <w:lang w:val="fr-FR"/>
        </w:rPr>
        <w:t xml:space="preserve">autres administrations chargées de la recherche internationale, le service </w:t>
      </w:r>
      <w:r w:rsidR="00105175" w:rsidRPr="00C76109">
        <w:rPr>
          <w:lang w:val="fr-FR"/>
        </w:rPr>
        <w:t>est actif</w:t>
      </w:r>
      <w:r w:rsidR="00853A9D" w:rsidRPr="00C76109">
        <w:rPr>
          <w:lang w:val="fr-FR"/>
        </w:rPr>
        <w:t xml:space="preserve"> pour toutes les </w:t>
      </w:r>
      <w:r w:rsidR="00105175" w:rsidRPr="00C76109">
        <w:rPr>
          <w:lang w:val="fr-FR"/>
        </w:rPr>
        <w:t>voies de transmission</w:t>
      </w:r>
      <w:r w:rsidR="00853A9D" w:rsidRPr="00C76109">
        <w:rPr>
          <w:lang w:val="fr-FR"/>
        </w:rPr>
        <w:t xml:space="preserve"> utilisées par les déposants </w:t>
      </w:r>
      <w:r w:rsidR="00306570" w:rsidRPr="00C76109">
        <w:rPr>
          <w:lang w:val="fr-FR"/>
        </w:rPr>
        <w:t>en 2017</w:t>
      </w:r>
      <w:r w:rsidR="00105175" w:rsidRPr="00C76109">
        <w:rPr>
          <w:lang w:val="fr-FR"/>
        </w:rPr>
        <w:t xml:space="preserve"> et</w:t>
      </w:r>
      <w:r w:rsidR="00853A9D" w:rsidRPr="00C76109">
        <w:rPr>
          <w:lang w:val="fr-FR"/>
        </w:rPr>
        <w:t xml:space="preserve">, </w:t>
      </w:r>
      <w:r w:rsidR="00105175" w:rsidRPr="00C76109">
        <w:rPr>
          <w:lang w:val="fr-FR"/>
        </w:rPr>
        <w:t>en princip</w:t>
      </w:r>
      <w:r w:rsidR="00853A9D" w:rsidRPr="00C76109">
        <w:rPr>
          <w:lang w:val="fr-FR"/>
        </w:rPr>
        <w:t>e</w:t>
      </w:r>
      <w:r w:rsidR="00105175" w:rsidRPr="00C76109">
        <w:rPr>
          <w:lang w:val="fr-FR"/>
        </w:rPr>
        <w:t xml:space="preserve">, </w:t>
      </w:r>
      <w:r w:rsidR="00ED57C2" w:rsidRPr="00C76109">
        <w:rPr>
          <w:lang w:val="fr-FR"/>
        </w:rPr>
        <w:t>les copies sur support papier continuent d</w:t>
      </w:r>
      <w:r w:rsidR="00306570" w:rsidRPr="00C76109">
        <w:rPr>
          <w:lang w:val="fr-FR"/>
        </w:rPr>
        <w:t>’</w:t>
      </w:r>
      <w:r w:rsidR="00ED57C2" w:rsidRPr="00C76109">
        <w:rPr>
          <w:lang w:val="fr-FR"/>
        </w:rPr>
        <w:t xml:space="preserve">être envoyées uniquement pour </w:t>
      </w:r>
      <w:r w:rsidR="00105175" w:rsidRPr="00C76109">
        <w:rPr>
          <w:lang w:val="fr-FR"/>
        </w:rPr>
        <w:t>les</w:t>
      </w:r>
      <w:r w:rsidR="00853A9D" w:rsidRPr="00C76109">
        <w:rPr>
          <w:lang w:val="fr-FR"/>
        </w:rPr>
        <w:t xml:space="preserve"> </w:t>
      </w:r>
      <w:r w:rsidR="00ED57C2" w:rsidRPr="00C76109">
        <w:rPr>
          <w:lang w:val="fr-FR"/>
        </w:rPr>
        <w:t>options</w:t>
      </w:r>
      <w:r w:rsidR="00105175" w:rsidRPr="00C76109">
        <w:rPr>
          <w:lang w:val="fr-FR"/>
        </w:rPr>
        <w:t xml:space="preserve"> extrêmement peu utilisé</w:t>
      </w:r>
      <w:r w:rsidR="00091022" w:rsidRPr="00C76109">
        <w:rPr>
          <w:lang w:val="fr-FR"/>
        </w:rPr>
        <w:t>es.  Pa</w:t>
      </w:r>
      <w:r w:rsidR="00853A9D" w:rsidRPr="00C76109">
        <w:rPr>
          <w:lang w:val="fr-FR"/>
        </w:rPr>
        <w:t>rmi toutes les administrations chargées de la recherche internationale, seules trois</w:t>
      </w:r>
      <w:r w:rsidR="00BE1E5C" w:rsidRPr="00C76109">
        <w:rPr>
          <w:lang w:val="fr-FR"/>
        </w:rPr>
        <w:t> </w:t>
      </w:r>
      <w:r w:rsidR="00853A9D" w:rsidRPr="00C76109">
        <w:rPr>
          <w:lang w:val="fr-FR"/>
        </w:rPr>
        <w:t>(EP, RU et US) comptent des offices récepteurs pour lesquels elles sont compétentes mais</w:t>
      </w:r>
      <w:r w:rsidR="00841308" w:rsidRPr="00C76109">
        <w:rPr>
          <w:lang w:val="fr-FR"/>
        </w:rPr>
        <w:t xml:space="preserve"> qui</w:t>
      </w:r>
      <w:r w:rsidR="00853A9D" w:rsidRPr="00C76109">
        <w:rPr>
          <w:lang w:val="fr-FR"/>
        </w:rPr>
        <w:t xml:space="preserve"> n</w:t>
      </w:r>
      <w:r w:rsidR="00306570" w:rsidRPr="00C76109">
        <w:rPr>
          <w:lang w:val="fr-FR"/>
        </w:rPr>
        <w:t>’</w:t>
      </w:r>
      <w:r w:rsidR="00853A9D" w:rsidRPr="00C76109">
        <w:rPr>
          <w:lang w:val="fr-FR"/>
        </w:rPr>
        <w:t>envoient pas de copies de recherche au moyen d</w:t>
      </w:r>
      <w:r w:rsidR="00306570" w:rsidRPr="00C76109">
        <w:rPr>
          <w:lang w:val="fr-FR"/>
        </w:rPr>
        <w:t>’</w:t>
      </w:r>
      <w:r w:rsidR="00853A9D" w:rsidRPr="00C76109">
        <w:rPr>
          <w:lang w:val="fr-FR"/>
        </w:rPr>
        <w:t>eSearchCopy, de sorte qu</w:t>
      </w:r>
      <w:r w:rsidR="00306570" w:rsidRPr="00C76109">
        <w:rPr>
          <w:lang w:val="fr-FR"/>
        </w:rPr>
        <w:t>’</w:t>
      </w:r>
      <w:r w:rsidR="00853A9D" w:rsidRPr="00C76109">
        <w:rPr>
          <w:lang w:val="fr-FR"/>
        </w:rPr>
        <w:t xml:space="preserve">elles </w:t>
      </w:r>
      <w:r w:rsidR="00841308" w:rsidRPr="00C76109">
        <w:rPr>
          <w:lang w:val="fr-FR"/>
        </w:rPr>
        <w:t>doivent</w:t>
      </w:r>
      <w:r w:rsidR="00853A9D" w:rsidRPr="00C76109">
        <w:rPr>
          <w:lang w:val="fr-FR"/>
        </w:rPr>
        <w:t xml:space="preserve"> s</w:t>
      </w:r>
      <w:r w:rsidR="00306570" w:rsidRPr="00C76109">
        <w:rPr>
          <w:lang w:val="fr-FR"/>
        </w:rPr>
        <w:t>’</w:t>
      </w:r>
      <w:r w:rsidR="00853A9D" w:rsidRPr="00C76109">
        <w:rPr>
          <w:lang w:val="fr-FR"/>
        </w:rPr>
        <w:t>attendre à recevoir plus de 50 copies de recherche sur papier chaque ann</w:t>
      </w:r>
      <w:r w:rsidR="00091022" w:rsidRPr="00C76109">
        <w:rPr>
          <w:lang w:val="fr-FR"/>
        </w:rPr>
        <w:t>ée.  En</w:t>
      </w:r>
      <w:r w:rsidR="00D2626A" w:rsidRPr="00C76109">
        <w:rPr>
          <w:lang w:val="fr-FR"/>
        </w:rPr>
        <w:t> </w:t>
      </w:r>
      <w:r w:rsidR="00853A9D" w:rsidRPr="00C76109">
        <w:rPr>
          <w:lang w:val="fr-FR"/>
        </w:rPr>
        <w:t>conséquence, la plupart des administrations chargées de la recherche internationale sont désormais en mesure d</w:t>
      </w:r>
      <w:r w:rsidR="00306570" w:rsidRPr="00C76109">
        <w:rPr>
          <w:lang w:val="fr-FR"/>
        </w:rPr>
        <w:t>’</w:t>
      </w:r>
      <w:r w:rsidR="00853A9D" w:rsidRPr="00C76109">
        <w:rPr>
          <w:lang w:val="fr-FR"/>
        </w:rPr>
        <w:t>importer automatiquement la plupart ou la totalité des copies de recherche reçues sous un format unique et homogène.</w:t>
      </w:r>
    </w:p>
    <w:p w:rsidR="00637150" w:rsidRPr="00C76109" w:rsidRDefault="00293A81" w:rsidP="00853A9D">
      <w:pPr>
        <w:pStyle w:val="Heading3"/>
        <w:rPr>
          <w:lang w:val="fr-FR"/>
        </w:rPr>
      </w:pPr>
      <w:r w:rsidRPr="00C76109">
        <w:rPr>
          <w:lang w:val="fr-FR"/>
        </w:rPr>
        <w:t>Service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accès numérique aux documents de priorité (</w:t>
      </w:r>
      <w:r w:rsidR="00853A9D" w:rsidRPr="00C76109">
        <w:rPr>
          <w:lang w:val="fr-FR"/>
        </w:rPr>
        <w:t>DAS</w:t>
      </w:r>
      <w:r w:rsidRPr="00C76109">
        <w:rPr>
          <w:lang w:val="fr-FR"/>
        </w:rPr>
        <w:t>)</w:t>
      </w:r>
    </w:p>
    <w:p w:rsidR="00637150" w:rsidRPr="00C76109" w:rsidRDefault="00841308" w:rsidP="00DF6A22">
      <w:pPr>
        <w:pStyle w:val="ONUMFS"/>
        <w:rPr>
          <w:lang w:val="fr-FR"/>
        </w:rPr>
      </w:pPr>
      <w:r w:rsidRPr="00C76109">
        <w:rPr>
          <w:lang w:val="fr-FR"/>
        </w:rPr>
        <w:t>Le Service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accès numérique aux documents de priorité (DAS) a été envisagé au départ comme un service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appui aux demandes envoyées par la voie de Paris, mais il est dans les faits largement utilisé aux fins</w:t>
      </w:r>
      <w:r w:rsidR="00306570" w:rsidRPr="00C76109">
        <w:rPr>
          <w:lang w:val="fr-FR"/>
        </w:rPr>
        <w:t xml:space="preserve"> du PCT</w:t>
      </w:r>
      <w:r w:rsidRPr="00C76109">
        <w:rPr>
          <w:lang w:val="fr-FR"/>
        </w:rPr>
        <w:t>, pour 29% de tous les documents de priorité dans le cadre de la phase internationale.</w:t>
      </w:r>
    </w:p>
    <w:p w:rsidR="00637150" w:rsidRPr="00C76109" w:rsidRDefault="00841308" w:rsidP="00DF6A22">
      <w:pPr>
        <w:pStyle w:val="ONUMFS"/>
        <w:rPr>
          <w:lang w:val="fr-FR"/>
        </w:rPr>
      </w:pPr>
      <w:r w:rsidRPr="00C76109">
        <w:rPr>
          <w:lang w:val="fr-FR"/>
        </w:rPr>
        <w:t>Ce service offre un moyen de transmission effica</w:t>
      </w:r>
      <w:r w:rsidR="00091022" w:rsidRPr="00C76109">
        <w:rPr>
          <w:lang w:val="fr-FR"/>
        </w:rPr>
        <w:t>ce.  Le</w:t>
      </w:r>
      <w:r w:rsidRPr="00C76109">
        <w:rPr>
          <w:lang w:val="fr-FR"/>
        </w:rPr>
        <w:t xml:space="preserve"> temps moyen de réception du document de priorité par le Bureau international est inférieur à 19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jours à compter de la date de dépôt, par rapport à 52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 xml:space="preserve">jours pour les documents de priorité fournis par le déposant conformément à la </w:t>
      </w:r>
      <w:r w:rsidR="00306570" w:rsidRPr="00C76109">
        <w:rPr>
          <w:lang w:val="fr-FR"/>
        </w:rPr>
        <w:t>règle 1</w:t>
      </w:r>
      <w:r w:rsidRPr="00C76109">
        <w:rPr>
          <w:lang w:val="fr-FR"/>
        </w:rPr>
        <w:t>7.1.a), et de 32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jours pour les documents de priorité fournis par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office récepteur conformément à la </w:t>
      </w:r>
      <w:r w:rsidR="00306570" w:rsidRPr="00C76109">
        <w:rPr>
          <w:lang w:val="fr-FR"/>
        </w:rPr>
        <w:t>règle 1</w:t>
      </w:r>
      <w:r w:rsidRPr="00C76109">
        <w:rPr>
          <w:lang w:val="fr-FR"/>
        </w:rPr>
        <w:t>7.1.b) (bien que ce chiffre varie considérablement entre les offices récepteu</w:t>
      </w:r>
      <w:r w:rsidR="00091022" w:rsidRPr="00C76109">
        <w:rPr>
          <w:lang w:val="fr-FR"/>
        </w:rPr>
        <w:t>rs).  Qu</w:t>
      </w:r>
      <w:r w:rsidRPr="00C76109">
        <w:rPr>
          <w:lang w:val="fr-FR"/>
        </w:rPr>
        <w:t>atre</w:t>
      </w:r>
      <w:r w:rsidR="00A75C04" w:rsidRPr="00C76109">
        <w:rPr>
          <w:lang w:val="fr-FR"/>
        </w:rPr>
        <w:noBreakHyphen/>
      </w:r>
      <w:r w:rsidRPr="00C76109">
        <w:rPr>
          <w:lang w:val="fr-FR"/>
        </w:rPr>
        <w:t>vingt</w:t>
      </w:r>
      <w:r w:rsidR="00A75C04" w:rsidRPr="00C76109">
        <w:rPr>
          <w:lang w:val="fr-FR"/>
        </w:rPr>
        <w:noBreakHyphen/>
      </w:r>
      <w:r w:rsidRPr="00C76109">
        <w:rPr>
          <w:lang w:val="fr-FR"/>
        </w:rPr>
        <w:t>treize pour</w:t>
      </w:r>
      <w:r w:rsidR="00130590" w:rsidRPr="00C76109">
        <w:rPr>
          <w:lang w:val="fr-FR"/>
        </w:rPr>
        <w:t xml:space="preserve"> c</w:t>
      </w:r>
      <w:r w:rsidRPr="00C76109">
        <w:rPr>
          <w:lang w:val="fr-FR"/>
        </w:rPr>
        <w:t xml:space="preserve">ent des documents de priorité transmis par le service </w:t>
      </w:r>
      <w:r w:rsidR="00ED57C2" w:rsidRPr="00C76109">
        <w:rPr>
          <w:lang w:val="fr-FR"/>
        </w:rPr>
        <w:t>d</w:t>
      </w:r>
      <w:r w:rsidR="00306570" w:rsidRPr="00C76109">
        <w:rPr>
          <w:lang w:val="fr-FR"/>
        </w:rPr>
        <w:t>’</w:t>
      </w:r>
      <w:r w:rsidR="00ED57C2" w:rsidRPr="00C76109">
        <w:rPr>
          <w:lang w:val="fr-FR"/>
        </w:rPr>
        <w:t xml:space="preserve">accès numérique aux documents de priorité </w:t>
      </w:r>
      <w:r w:rsidR="00CF571F" w:rsidRPr="00C76109">
        <w:rPr>
          <w:lang w:val="fr-FR"/>
        </w:rPr>
        <w:t xml:space="preserve">le </w:t>
      </w:r>
      <w:r w:rsidRPr="00C76109">
        <w:rPr>
          <w:lang w:val="fr-FR"/>
        </w:rPr>
        <w:t>sont dans un délai de 30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jours à compter de la date de dép</w:t>
      </w:r>
      <w:r w:rsidR="00091022" w:rsidRPr="00C76109">
        <w:rPr>
          <w:lang w:val="fr-FR"/>
        </w:rPr>
        <w:t>ôt.  En</w:t>
      </w:r>
      <w:r w:rsidR="00293A81" w:rsidRPr="00C76109">
        <w:rPr>
          <w:lang w:val="fr-FR"/>
        </w:rPr>
        <w:t xml:space="preserve"> conséquence, ces documents </w:t>
      </w:r>
      <w:r w:rsidR="00CF571F" w:rsidRPr="00C76109">
        <w:rPr>
          <w:lang w:val="fr-FR"/>
        </w:rPr>
        <w:t>so</w:t>
      </w:r>
      <w:r w:rsidR="00293A81" w:rsidRPr="00C76109">
        <w:rPr>
          <w:lang w:val="fr-FR"/>
        </w:rPr>
        <w:t xml:space="preserve">nt généralement </w:t>
      </w:r>
      <w:r w:rsidR="00CF571F" w:rsidRPr="00C76109">
        <w:rPr>
          <w:lang w:val="fr-FR"/>
        </w:rPr>
        <w:t>disponibles pour un</w:t>
      </w:r>
      <w:r w:rsidR="00293A81" w:rsidRPr="00C76109">
        <w:rPr>
          <w:lang w:val="fr-FR"/>
        </w:rPr>
        <w:t xml:space="preserve"> exam</w:t>
      </w:r>
      <w:r w:rsidR="00CF571F" w:rsidRPr="00C76109">
        <w:rPr>
          <w:lang w:val="fr-FR"/>
        </w:rPr>
        <w:t>en</w:t>
      </w:r>
      <w:r w:rsidR="00293A81" w:rsidRPr="00C76109">
        <w:rPr>
          <w:lang w:val="fr-FR"/>
        </w:rPr>
        <w:t xml:space="preserve"> par l</w:t>
      </w:r>
      <w:r w:rsidR="00306570" w:rsidRPr="00C76109">
        <w:rPr>
          <w:lang w:val="fr-FR"/>
        </w:rPr>
        <w:t>’</w:t>
      </w:r>
      <w:r w:rsidR="00293A81" w:rsidRPr="00C76109">
        <w:rPr>
          <w:lang w:val="fr-FR"/>
        </w:rPr>
        <w:t>administration chargée de la recherche internationale si, compte tenu des antériorités découvertes, il est jugé souhaitable d</w:t>
      </w:r>
      <w:r w:rsidR="00306570" w:rsidRPr="00C76109">
        <w:rPr>
          <w:lang w:val="fr-FR"/>
        </w:rPr>
        <w:t>’</w:t>
      </w:r>
      <w:r w:rsidR="00293A81" w:rsidRPr="00C76109">
        <w:rPr>
          <w:lang w:val="fr-FR"/>
        </w:rPr>
        <w:t>examiner la validité des revendications de priorité.</w:t>
      </w:r>
    </w:p>
    <w:p w:rsidR="00637150" w:rsidRPr="00C76109" w:rsidRDefault="00293A81" w:rsidP="00DF6A22">
      <w:pPr>
        <w:pStyle w:val="ONUMFS"/>
        <w:rPr>
          <w:lang w:val="fr-FR"/>
        </w:rPr>
      </w:pPr>
      <w:r w:rsidRPr="00C76109">
        <w:rPr>
          <w:lang w:val="fr-FR"/>
        </w:rPr>
        <w:t>Cependant, seuls 18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 xml:space="preserve">offices participent actuellement à ce service, dont certains </w:t>
      </w:r>
      <w:r w:rsidR="00CF571F" w:rsidRPr="00C76109">
        <w:rPr>
          <w:lang w:val="fr-FR"/>
        </w:rPr>
        <w:t>dans</w:t>
      </w:r>
      <w:r w:rsidRPr="00C76109">
        <w:rPr>
          <w:lang w:val="fr-FR"/>
        </w:rPr>
        <w:t xml:space="preserve"> de très faibles </w:t>
      </w:r>
      <w:r w:rsidR="00CF571F" w:rsidRPr="00C76109">
        <w:rPr>
          <w:lang w:val="fr-FR"/>
        </w:rPr>
        <w:t>proportio</w:t>
      </w:r>
      <w:r w:rsidR="00091022" w:rsidRPr="00C76109">
        <w:rPr>
          <w:lang w:val="fr-FR"/>
        </w:rPr>
        <w:t>ns.  En</w:t>
      </w:r>
      <w:r w:rsidRPr="00C76109">
        <w:rPr>
          <w:lang w:val="fr-FR"/>
        </w:rPr>
        <w:t xml:space="preserve"> outre, la principale utilisation du service (plus de trois</w:t>
      </w:r>
      <w:r w:rsidR="00BE1E5C" w:rsidRPr="00C76109">
        <w:rPr>
          <w:lang w:val="fr-FR"/>
        </w:rPr>
        <w:t> </w:t>
      </w:r>
      <w:r w:rsidRPr="00C76109">
        <w:rPr>
          <w:lang w:val="fr-FR"/>
        </w:rPr>
        <w:t>quarts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utilisation</w:t>
      </w:r>
      <w:r w:rsidR="00306570" w:rsidRPr="00C76109">
        <w:rPr>
          <w:lang w:val="fr-FR"/>
        </w:rPr>
        <w:t xml:space="preserve"> du PCT</w:t>
      </w:r>
      <w:r w:rsidRPr="00C76109">
        <w:rPr>
          <w:lang w:val="fr-FR"/>
        </w:rPr>
        <w:t xml:space="preserve">) vise </w:t>
      </w:r>
      <w:r w:rsidR="00CF571F" w:rsidRPr="00C76109">
        <w:rPr>
          <w:lang w:val="fr-FR"/>
        </w:rPr>
        <w:t>le remplacement</w:t>
      </w:r>
      <w:r w:rsidRPr="00C76109">
        <w:rPr>
          <w:lang w:val="fr-FR"/>
        </w:rPr>
        <w:t xml:space="preserve"> </w:t>
      </w:r>
      <w:r w:rsidR="00CF571F" w:rsidRPr="00C76109">
        <w:rPr>
          <w:lang w:val="fr-FR"/>
        </w:rPr>
        <w:t>d</w:t>
      </w:r>
      <w:r w:rsidRPr="00C76109">
        <w:rPr>
          <w:lang w:val="fr-FR"/>
        </w:rPr>
        <w:t>es trans</w:t>
      </w:r>
      <w:r w:rsidR="00CF571F" w:rsidRPr="00C76109">
        <w:rPr>
          <w:lang w:val="fr-FR"/>
        </w:rPr>
        <w:t>mission</w:t>
      </w:r>
      <w:r w:rsidRPr="00C76109">
        <w:rPr>
          <w:lang w:val="fr-FR"/>
        </w:rPr>
        <w:t>s prévu</w:t>
      </w:r>
      <w:r w:rsidR="00CF571F" w:rsidRPr="00C76109">
        <w:rPr>
          <w:lang w:val="fr-FR"/>
        </w:rPr>
        <w:t>e</w:t>
      </w:r>
      <w:r w:rsidRPr="00C76109">
        <w:rPr>
          <w:lang w:val="fr-FR"/>
        </w:rPr>
        <w:t xml:space="preserve">s à la </w:t>
      </w:r>
      <w:r w:rsidR="00306570" w:rsidRPr="00C76109">
        <w:rPr>
          <w:lang w:val="fr-FR"/>
        </w:rPr>
        <w:t>règle 1</w:t>
      </w:r>
      <w:r w:rsidRPr="00C76109">
        <w:rPr>
          <w:lang w:val="fr-FR"/>
        </w:rPr>
        <w:t>7.1.b) (lorsque</w:t>
      </w:r>
      <w:r w:rsidR="00D2626A" w:rsidRPr="00C76109">
        <w:rPr>
          <w:lang w:val="fr-FR"/>
        </w:rPr>
        <w:t> </w:t>
      </w:r>
      <w:r w:rsidRPr="00C76109">
        <w:rPr>
          <w:lang w:val="fr-FR"/>
        </w:rPr>
        <w:t>le document de priorité est délivré par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office qui agit en qualité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office récepteur), plutôt que le cas dans lequel le document de priorité a été délivré par un autre offi</w:t>
      </w:r>
      <w:r w:rsidR="00091022" w:rsidRPr="00C76109">
        <w:rPr>
          <w:lang w:val="fr-FR"/>
        </w:rPr>
        <w:t>ce.  En</w:t>
      </w:r>
      <w:r w:rsidR="00D2626A" w:rsidRPr="00C76109">
        <w:rPr>
          <w:lang w:val="fr-FR"/>
        </w:rPr>
        <w:t> </w:t>
      </w:r>
      <w:r w:rsidRPr="00C76109">
        <w:rPr>
          <w:lang w:val="fr-FR"/>
        </w:rPr>
        <w:t>conséquence, il pourrait être intéressant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étudier davantage</w:t>
      </w:r>
      <w:r w:rsidR="00CF571F" w:rsidRPr="00C76109">
        <w:rPr>
          <w:lang w:val="fr-FR"/>
        </w:rPr>
        <w:t xml:space="preserve"> les possibilités</w:t>
      </w:r>
      <w:r w:rsidRPr="00C76109">
        <w:rPr>
          <w:lang w:val="fr-FR"/>
        </w:rPr>
        <w:t xml:space="preserve">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améliorations </w:t>
      </w:r>
      <w:r w:rsidR="006F0155" w:rsidRPr="00C76109">
        <w:rPr>
          <w:lang w:val="fr-FR"/>
        </w:rPr>
        <w:t>propres</w:t>
      </w:r>
      <w:r w:rsidR="00306570" w:rsidRPr="00C76109">
        <w:rPr>
          <w:lang w:val="fr-FR"/>
        </w:rPr>
        <w:t xml:space="preserve"> au PCT</w:t>
      </w:r>
      <w:r w:rsidRPr="00C76109">
        <w:rPr>
          <w:lang w:val="fr-FR"/>
        </w:rPr>
        <w:t xml:space="preserve"> </w:t>
      </w:r>
      <w:r w:rsidR="006F0155" w:rsidRPr="00C76109">
        <w:rPr>
          <w:lang w:val="fr-FR"/>
        </w:rPr>
        <w:t>s</w:t>
      </w:r>
      <w:r w:rsidR="00306570" w:rsidRPr="00C76109">
        <w:rPr>
          <w:lang w:val="fr-FR"/>
        </w:rPr>
        <w:t>’</w:t>
      </w:r>
      <w:r w:rsidR="006F0155" w:rsidRPr="00C76109">
        <w:rPr>
          <w:lang w:val="fr-FR"/>
        </w:rPr>
        <w:t>agissant</w:t>
      </w:r>
      <w:r w:rsidRPr="00C76109">
        <w:rPr>
          <w:lang w:val="fr-FR"/>
        </w:rPr>
        <w:t xml:space="preserve"> </w:t>
      </w:r>
      <w:r w:rsidR="006F0155" w:rsidRPr="00C76109">
        <w:rPr>
          <w:lang w:val="fr-FR"/>
        </w:rPr>
        <w:t>des</w:t>
      </w:r>
      <w:r w:rsidRPr="00C76109">
        <w:rPr>
          <w:lang w:val="fr-FR"/>
        </w:rPr>
        <w:t xml:space="preserve"> transmission</w:t>
      </w:r>
      <w:r w:rsidR="006F0155" w:rsidRPr="00C76109">
        <w:rPr>
          <w:lang w:val="fr-FR"/>
        </w:rPr>
        <w:t>s de</w:t>
      </w:r>
      <w:r w:rsidRPr="00C76109">
        <w:rPr>
          <w:lang w:val="fr-FR"/>
        </w:rPr>
        <w:t xml:space="preserve"> documents de priorité.</w:t>
      </w:r>
    </w:p>
    <w:p w:rsidR="00637150" w:rsidRPr="00C76109" w:rsidRDefault="00293A81" w:rsidP="00293A81">
      <w:pPr>
        <w:pStyle w:val="Heading3"/>
        <w:rPr>
          <w:lang w:val="fr-FR"/>
        </w:rPr>
      </w:pPr>
      <w:r w:rsidRPr="00C76109">
        <w:rPr>
          <w:lang w:val="fr-FR"/>
        </w:rPr>
        <w:t>Service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échange de données informatisées du Traité de coopération en matière de brevets (PCT</w:t>
      </w:r>
      <w:r w:rsidR="00A75C04" w:rsidRPr="00C76109">
        <w:rPr>
          <w:lang w:val="fr-FR"/>
        </w:rPr>
        <w:noBreakHyphen/>
      </w:r>
      <w:r w:rsidRPr="00C76109">
        <w:rPr>
          <w:lang w:val="fr-FR"/>
        </w:rPr>
        <w:t>EDI)</w:t>
      </w:r>
    </w:p>
    <w:p w:rsidR="00637150" w:rsidRPr="00C76109" w:rsidRDefault="00CF571F" w:rsidP="00DF6A22">
      <w:pPr>
        <w:pStyle w:val="ONUMFS"/>
        <w:rPr>
          <w:lang w:val="fr-FR"/>
        </w:rPr>
      </w:pPr>
      <w:r w:rsidRPr="00C76109">
        <w:rPr>
          <w:lang w:val="fr-FR"/>
        </w:rPr>
        <w:t>Le service PCT</w:t>
      </w:r>
      <w:r w:rsidR="00A75C04" w:rsidRPr="00C76109">
        <w:rPr>
          <w:lang w:val="fr-FR"/>
        </w:rPr>
        <w:noBreakHyphen/>
      </w:r>
      <w:r w:rsidRPr="00C76109">
        <w:rPr>
          <w:lang w:val="fr-FR"/>
        </w:rPr>
        <w:t>EDI continue de prendre en charge la plus grande partie des échanges de documents entre les offices nationaux et le Bureau international (et de mettre à disposition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infrastructure pour bon nombre des transactions effectuées au moyen des services eSearchCopy et DAS).</w:t>
      </w:r>
      <w:r w:rsidR="007535CD" w:rsidRPr="00C76109">
        <w:rPr>
          <w:lang w:val="fr-FR"/>
        </w:rPr>
        <w:t xml:space="preserve">  </w:t>
      </w:r>
      <w:r w:rsidRPr="00C76109">
        <w:rPr>
          <w:lang w:val="fr-FR"/>
        </w:rPr>
        <w:t>Il s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agit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un système fiable et dont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efficacité n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est plus à prouver, mais qui repose sur des opérations de traitement par lo</w:t>
      </w:r>
      <w:r w:rsidR="00091022" w:rsidRPr="00C76109">
        <w:rPr>
          <w:lang w:val="fr-FR"/>
        </w:rPr>
        <w:t>ts.  Ce</w:t>
      </w:r>
      <w:r w:rsidR="00994188" w:rsidRPr="00C76109">
        <w:rPr>
          <w:lang w:val="fr-FR"/>
        </w:rPr>
        <w:t xml:space="preserve">tte solution peut être avantageuse en ce sens que les communications ne dépendent pas de systèmes mis en tout temps à la </w:t>
      </w:r>
      <w:r w:rsidR="00994188" w:rsidRPr="00C76109">
        <w:rPr>
          <w:lang w:val="fr-FR"/>
        </w:rPr>
        <w:lastRenderedPageBreak/>
        <w:t>disposition des deux</w:t>
      </w:r>
      <w:r w:rsidR="00BE1E5C" w:rsidRPr="00C76109">
        <w:rPr>
          <w:lang w:val="fr-FR"/>
        </w:rPr>
        <w:t> </w:t>
      </w:r>
      <w:r w:rsidR="00994188" w:rsidRPr="00C76109">
        <w:rPr>
          <w:lang w:val="fr-FR"/>
        </w:rPr>
        <w:t>offices, mais elle peut également entraîner des retards de traitement et des différences de données entre les deux</w:t>
      </w:r>
      <w:r w:rsidR="00BE1E5C" w:rsidRPr="00C76109">
        <w:rPr>
          <w:lang w:val="fr-FR"/>
        </w:rPr>
        <w:t> </w:t>
      </w:r>
      <w:r w:rsidR="00994188" w:rsidRPr="00C76109">
        <w:rPr>
          <w:lang w:val="fr-FR"/>
        </w:rPr>
        <w:t>offices, particulièrement si les lots ne sont envoyés que chaque semai</w:t>
      </w:r>
      <w:r w:rsidR="00091022" w:rsidRPr="00C76109">
        <w:rPr>
          <w:lang w:val="fr-FR"/>
        </w:rPr>
        <w:t>ne.  En</w:t>
      </w:r>
      <w:r w:rsidR="00994188" w:rsidRPr="00C76109">
        <w:rPr>
          <w:lang w:val="fr-FR"/>
        </w:rPr>
        <w:t xml:space="preserve"> outre, avec ce système, le Bureau international n</w:t>
      </w:r>
      <w:r w:rsidR="00306570" w:rsidRPr="00C76109">
        <w:rPr>
          <w:lang w:val="fr-FR"/>
        </w:rPr>
        <w:t>’</w:t>
      </w:r>
      <w:r w:rsidR="00994188" w:rsidRPr="00C76109">
        <w:rPr>
          <w:lang w:val="fr-FR"/>
        </w:rPr>
        <w:t>a connaissance que des documents expressément transmis par l</w:t>
      </w:r>
      <w:r w:rsidR="00306570" w:rsidRPr="00C76109">
        <w:rPr>
          <w:lang w:val="fr-FR"/>
        </w:rPr>
        <w:t>’</w:t>
      </w:r>
      <w:r w:rsidR="00994188" w:rsidRPr="00C76109">
        <w:rPr>
          <w:lang w:val="fr-FR"/>
        </w:rPr>
        <w:t>office national</w:t>
      </w:r>
      <w:r w:rsidR="006F0155" w:rsidRPr="00C76109">
        <w:rPr>
          <w:lang w:val="fr-FR"/>
        </w:rPr>
        <w:t xml:space="preserve"> (et il ne peut mettre que ces documents à la disposition des déposants ou d</w:t>
      </w:r>
      <w:r w:rsidR="00306570" w:rsidRPr="00C76109">
        <w:rPr>
          <w:lang w:val="fr-FR"/>
        </w:rPr>
        <w:t>’</w:t>
      </w:r>
      <w:r w:rsidR="006F0155" w:rsidRPr="00C76109">
        <w:rPr>
          <w:lang w:val="fr-FR"/>
        </w:rPr>
        <w:t>autres offices)</w:t>
      </w:r>
      <w:r w:rsidR="00994188" w:rsidRPr="00C76109">
        <w:rPr>
          <w:lang w:val="fr-FR"/>
        </w:rPr>
        <w:t>, ce qui signifie que les déposants dépendent de la mise à disposition d</w:t>
      </w:r>
      <w:r w:rsidR="00306570" w:rsidRPr="00C76109">
        <w:rPr>
          <w:lang w:val="fr-FR"/>
        </w:rPr>
        <w:t>’</w:t>
      </w:r>
      <w:r w:rsidR="00994188" w:rsidRPr="00C76109">
        <w:rPr>
          <w:lang w:val="fr-FR"/>
        </w:rPr>
        <w:t>un service de consultation des dossiers par l</w:t>
      </w:r>
      <w:r w:rsidR="00306570" w:rsidRPr="00C76109">
        <w:rPr>
          <w:lang w:val="fr-FR"/>
        </w:rPr>
        <w:t>’</w:t>
      </w:r>
      <w:r w:rsidR="00994188" w:rsidRPr="00C76109">
        <w:rPr>
          <w:lang w:val="fr-FR"/>
        </w:rPr>
        <w:t>office national, en plus du service ePCT, afin de visualiser le dossier de l</w:t>
      </w:r>
      <w:r w:rsidR="006F0155" w:rsidRPr="00C76109">
        <w:rPr>
          <w:lang w:val="fr-FR"/>
        </w:rPr>
        <w:t>a demande dans son intégralité</w:t>
      </w:r>
      <w:r w:rsidR="00994188" w:rsidRPr="00C76109">
        <w:rPr>
          <w:lang w:val="fr-FR"/>
        </w:rPr>
        <w:t>.</w:t>
      </w:r>
    </w:p>
    <w:p w:rsidR="00637150" w:rsidRPr="00C76109" w:rsidRDefault="00306570" w:rsidP="00051335">
      <w:pPr>
        <w:pStyle w:val="Heading3"/>
        <w:rPr>
          <w:lang w:val="fr-FR"/>
        </w:rPr>
      </w:pPr>
      <w:r w:rsidRPr="00C76109">
        <w:rPr>
          <w:lang w:val="fr-FR"/>
        </w:rPr>
        <w:t>WIPO CASE</w:t>
      </w:r>
    </w:p>
    <w:p w:rsidR="00637150" w:rsidRPr="00C76109" w:rsidRDefault="00E14125" w:rsidP="00DF6A22">
      <w:pPr>
        <w:pStyle w:val="ONUMFS"/>
        <w:rPr>
          <w:lang w:val="fr-FR"/>
        </w:rPr>
      </w:pPr>
      <w:r w:rsidRPr="00C76109">
        <w:rPr>
          <w:lang w:val="fr-FR"/>
        </w:rPr>
        <w:t xml:space="preserve">Le système </w:t>
      </w:r>
      <w:r w:rsidR="00306570" w:rsidRPr="00C76109">
        <w:rPr>
          <w:lang w:val="fr-FR"/>
        </w:rPr>
        <w:t>WIPO CASE</w:t>
      </w:r>
      <w:r w:rsidRPr="00C76109">
        <w:rPr>
          <w:lang w:val="fr-FR"/>
        </w:rPr>
        <w:t xml:space="preserve"> (Accès centralisé aux résultats de la recherche et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examen) n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intervient pas directement dans le traitement dans la phase internationale, mais il offre aux offices désignés un accès aux rapports de recherche et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examen établis dans la phase internationale ainsi que dans la phase nationa</w:t>
      </w:r>
      <w:r w:rsidR="00091022" w:rsidRPr="00C76109">
        <w:rPr>
          <w:lang w:val="fr-FR"/>
        </w:rPr>
        <w:t>le.  Tr</w:t>
      </w:r>
      <w:r w:rsidRPr="00C76109">
        <w:rPr>
          <w:lang w:val="fr-FR"/>
        </w:rPr>
        <w:t>ente et un offices participent actuellement à ce système, et 14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entre eux fournissent des documents.</w:t>
      </w:r>
    </w:p>
    <w:p w:rsidR="00892A7C" w:rsidRPr="00892A7C" w:rsidRDefault="00E14125" w:rsidP="005C11F7">
      <w:pPr>
        <w:pStyle w:val="Heading1"/>
        <w:spacing w:before="360"/>
        <w:rPr>
          <w:lang w:val="fr-FR"/>
        </w:rPr>
      </w:pPr>
      <w:r w:rsidRPr="00C76109">
        <w:rPr>
          <w:lang w:val="fr-FR"/>
        </w:rPr>
        <w:t xml:space="preserve">Prochaines étapes pour le système </w:t>
      </w:r>
      <w:r w:rsidRPr="00C76109">
        <w:rPr>
          <w:rFonts w:ascii="arial bold" w:hAnsi="arial bold"/>
          <w:lang w:val="fr-FR"/>
        </w:rPr>
        <w:t>e</w:t>
      </w:r>
      <w:r w:rsidRPr="00C76109">
        <w:rPr>
          <w:lang w:val="fr-FR"/>
        </w:rPr>
        <w:t>PCT</w:t>
      </w:r>
    </w:p>
    <w:p w:rsidR="00637150" w:rsidRPr="00C76109" w:rsidRDefault="00E14125" w:rsidP="00DF6A22">
      <w:pPr>
        <w:pStyle w:val="ONUMFS"/>
        <w:rPr>
          <w:lang w:val="fr-FR"/>
        </w:rPr>
      </w:pPr>
      <w:r w:rsidRPr="00C76109">
        <w:rPr>
          <w:lang w:val="fr-FR"/>
        </w:rPr>
        <w:t>Le système ePCT va continuer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être amélioré, au bénéfice des déposants et des offic</w:t>
      </w:r>
      <w:r w:rsidR="00091022" w:rsidRPr="00C76109">
        <w:rPr>
          <w:lang w:val="fr-FR"/>
        </w:rPr>
        <w:t>es.  Ce</w:t>
      </w:r>
      <w:r w:rsidR="00D55AE1" w:rsidRPr="00C76109">
        <w:rPr>
          <w:lang w:val="fr-FR"/>
        </w:rPr>
        <w:t>rtains des principaux domaines de travail pour l</w:t>
      </w:r>
      <w:r w:rsidR="00306570" w:rsidRPr="00C76109">
        <w:rPr>
          <w:lang w:val="fr-FR"/>
        </w:rPr>
        <w:t>’</w:t>
      </w:r>
      <w:r w:rsidR="00D55AE1" w:rsidRPr="00C76109">
        <w:rPr>
          <w:lang w:val="fr-FR"/>
        </w:rPr>
        <w:t xml:space="preserve">année à venir </w:t>
      </w:r>
      <w:r w:rsidR="00D112D6" w:rsidRPr="00C76109">
        <w:rPr>
          <w:lang w:val="fr-FR"/>
        </w:rPr>
        <w:t>portent sur</w:t>
      </w:r>
      <w:r w:rsidR="00D55AE1" w:rsidRPr="00C76109">
        <w:rPr>
          <w:lang w:val="fr-FR"/>
        </w:rPr>
        <w:t xml:space="preserve"> les éléments suivants</w:t>
      </w:r>
      <w:r w:rsidR="00306570" w:rsidRPr="00C76109">
        <w:rPr>
          <w:lang w:val="fr-FR"/>
        </w:rPr>
        <w:t> :</w:t>
      </w:r>
    </w:p>
    <w:p w:rsidR="00637150" w:rsidRPr="00C76109" w:rsidRDefault="00E14125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amélioration du séquençage des tâches pour les offices, de sorte que des tâches individuelles puissent être assignées à des utilisateurs donnés et qu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il soit possible de définir les tâches de suivi;</w:t>
      </w:r>
    </w:p>
    <w:p w:rsidR="00637150" w:rsidRPr="00C76109" w:rsidRDefault="00D55AE1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 xml:space="preserve">amélioration des </w:t>
      </w:r>
      <w:r w:rsidR="00480A86" w:rsidRPr="00C76109">
        <w:rPr>
          <w:lang w:val="fr-FR"/>
        </w:rPr>
        <w:t>services fondés sur</w:t>
      </w:r>
      <w:r w:rsidRPr="00C76109">
        <w:rPr>
          <w:lang w:val="fr-FR"/>
        </w:rPr>
        <w:t xml:space="preserve"> navigateur pour générer des versions XML des rapports de recherche internationale, des opinions écrites et des documents connexes (notamment les rapports de recherche partielle qui peuvent être associés au formulaire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PCT/ISA/206 en cas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invitation à payer des taxes additionnelles), </w:t>
      </w:r>
      <w:r w:rsidR="00306570" w:rsidRPr="00C76109">
        <w:rPr>
          <w:lang w:val="fr-FR"/>
        </w:rPr>
        <w:t>y compris</w:t>
      </w:r>
      <w:r w:rsidRPr="00C76109">
        <w:rPr>
          <w:lang w:val="fr-FR"/>
        </w:rPr>
        <w:t xml:space="preserve"> une saisie de données facilitée et une réduction des doublons, à la fois au sein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un ensemble donné de rapports et entre les différentes étapes (invitation à payer des taxes additionnelles, rapport de recherche internationale et opinion écrite, opinion écrite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administration chargée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examen préliminaire international, rapport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examen préliminaire international);</w:t>
      </w:r>
    </w:p>
    <w:p w:rsidR="00637150" w:rsidRPr="00C76109" w:rsidRDefault="00D55AE1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extension des services Web en vue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une adoption plus large des services de poste à poste en temps quasi réel </w:t>
      </w:r>
      <w:r w:rsidR="00D112D6" w:rsidRPr="00C76109">
        <w:rPr>
          <w:lang w:val="fr-FR"/>
        </w:rPr>
        <w:t>p</w:t>
      </w:r>
      <w:r w:rsidRPr="00C76109">
        <w:rPr>
          <w:lang w:val="fr-FR"/>
        </w:rPr>
        <w:t>our les offices, et intégration avec les systèmes de ges</w:t>
      </w:r>
      <w:r w:rsidR="00D112D6" w:rsidRPr="00C76109">
        <w:rPr>
          <w:lang w:val="fr-FR"/>
        </w:rPr>
        <w:t>t</w:t>
      </w:r>
      <w:r w:rsidRPr="00C76109">
        <w:rPr>
          <w:lang w:val="fr-FR"/>
        </w:rPr>
        <w:t>ion des brevets des déposants;</w:t>
      </w:r>
    </w:p>
    <w:p w:rsidR="00637150" w:rsidRPr="00C76109" w:rsidRDefault="00D112D6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 xml:space="preserve">nouvelles améliorations relatives à une utilisation simplifiée du système de connexion, </w:t>
      </w:r>
      <w:r w:rsidR="00306570" w:rsidRPr="00C76109">
        <w:rPr>
          <w:lang w:val="fr-FR"/>
        </w:rPr>
        <w:t>y compris</w:t>
      </w:r>
      <w:r w:rsidRPr="00C76109">
        <w:rPr>
          <w:lang w:val="fr-FR"/>
        </w:rPr>
        <w:t xml:space="preserve"> un double facteur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authentification</w:t>
      </w:r>
      <w:r w:rsidR="006F0155" w:rsidRPr="00C76109">
        <w:rPr>
          <w:lang w:val="fr-FR"/>
        </w:rPr>
        <w:t xml:space="preserve"> encore</w:t>
      </w:r>
      <w:r w:rsidRPr="00C76109">
        <w:rPr>
          <w:lang w:val="fr-FR"/>
        </w:rPr>
        <w:t xml:space="preserve"> plus simple pour la connexion de tous les utilisateurs, et gestion des comptes et rôles des utilisateurs (sous</w:t>
      </w:r>
      <w:r w:rsidR="00D2626A" w:rsidRPr="00C76109">
        <w:rPr>
          <w:lang w:val="fr-FR"/>
        </w:rPr>
        <w:t> </w:t>
      </w:r>
      <w:r w:rsidRPr="00C76109">
        <w:rPr>
          <w:lang w:val="fr-FR"/>
        </w:rPr>
        <w:t>réserve de la réussite de certains examens techniques et en matière de sécurité);</w:t>
      </w:r>
    </w:p>
    <w:p w:rsidR="00637150" w:rsidRPr="00C76109" w:rsidRDefault="00D112D6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amélioration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homogénéité des services avec ceux offerts par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autres secteurs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OMPI, </w:t>
      </w:r>
      <w:r w:rsidR="00306570" w:rsidRPr="00C76109">
        <w:rPr>
          <w:lang w:val="fr-FR"/>
        </w:rPr>
        <w:t>y compris</w:t>
      </w:r>
      <w:r w:rsidRPr="00C76109">
        <w:rPr>
          <w:lang w:val="fr-FR"/>
        </w:rPr>
        <w:t xml:space="preserve"> possibilités de réduire les coûts ou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améliorer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expérience grâce au partage de services dans le cadre du projet de plateforme mondiale de propriété intellectuelle (voir l</w:t>
      </w:r>
      <w:r w:rsidR="00306570" w:rsidRPr="00C76109">
        <w:rPr>
          <w:lang w:val="fr-FR"/>
        </w:rPr>
        <w:t>’annexe I</w:t>
      </w:r>
      <w:r w:rsidRPr="00C76109">
        <w:rPr>
          <w:lang w:val="fr-FR"/>
        </w:rPr>
        <w:t>I du document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WO/PBC/27/9).</w:t>
      </w:r>
    </w:p>
    <w:p w:rsidR="00637150" w:rsidRPr="00C76109" w:rsidRDefault="00D112D6" w:rsidP="00DF6A22">
      <w:pPr>
        <w:pStyle w:val="ONUMFS"/>
        <w:rPr>
          <w:lang w:val="fr-FR"/>
        </w:rPr>
      </w:pPr>
      <w:r w:rsidRPr="00C76109">
        <w:rPr>
          <w:lang w:val="fr-FR"/>
        </w:rPr>
        <w:t xml:space="preserve">En </w:t>
      </w:r>
      <w:r w:rsidR="00480A86" w:rsidRPr="00C76109">
        <w:rPr>
          <w:lang w:val="fr-FR"/>
        </w:rPr>
        <w:t>plus de cela</w:t>
      </w:r>
      <w:r w:rsidRPr="00C76109">
        <w:rPr>
          <w:lang w:val="fr-FR"/>
        </w:rPr>
        <w:t xml:space="preserve">, </w:t>
      </w:r>
      <w:r w:rsidR="00480A86" w:rsidRPr="00C76109">
        <w:rPr>
          <w:lang w:val="fr-FR"/>
        </w:rPr>
        <w:t>d</w:t>
      </w:r>
      <w:r w:rsidRPr="00C76109">
        <w:rPr>
          <w:lang w:val="fr-FR"/>
        </w:rPr>
        <w:t>e</w:t>
      </w:r>
      <w:r w:rsidR="00480A86" w:rsidRPr="00C76109">
        <w:rPr>
          <w:lang w:val="fr-FR"/>
        </w:rPr>
        <w:t xml:space="preserve"> nouveaux</w:t>
      </w:r>
      <w:r w:rsidRPr="00C76109">
        <w:rPr>
          <w:lang w:val="fr-FR"/>
        </w:rPr>
        <w:t xml:space="preserve"> travaux seront </w:t>
      </w:r>
      <w:r w:rsidR="00480A86" w:rsidRPr="00C76109">
        <w:rPr>
          <w:lang w:val="fr-FR"/>
        </w:rPr>
        <w:t>menés</w:t>
      </w:r>
      <w:r w:rsidRPr="00C76109">
        <w:rPr>
          <w:lang w:val="fr-FR"/>
        </w:rPr>
        <w:t xml:space="preserve"> afin de déterminer les modalités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assistance que peut fournir le service ePCT pour faciliter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ouverture de la phase nationa</w:t>
      </w:r>
      <w:r w:rsidR="00091022" w:rsidRPr="00C76109">
        <w:rPr>
          <w:lang w:val="fr-FR"/>
        </w:rPr>
        <w:t>le.  Un</w:t>
      </w:r>
      <w:r w:rsidR="00D2626A" w:rsidRPr="00C76109">
        <w:rPr>
          <w:lang w:val="fr-FR"/>
        </w:rPr>
        <w:t> </w:t>
      </w:r>
      <w:r w:rsidR="00480A86" w:rsidRPr="00C76109">
        <w:rPr>
          <w:lang w:val="fr-FR"/>
        </w:rPr>
        <w:t>projet</w:t>
      </w:r>
      <w:r w:rsidRPr="00C76109">
        <w:rPr>
          <w:lang w:val="fr-FR"/>
        </w:rPr>
        <w:t xml:space="preserve"> pilote actuellement déployé dans le système de démonstration pour contribuer à la recherche et </w:t>
      </w:r>
      <w:r w:rsidR="000D5803" w:rsidRPr="00C76109">
        <w:rPr>
          <w:lang w:val="fr-FR"/>
        </w:rPr>
        <w:t xml:space="preserve">à </w:t>
      </w:r>
      <w:r w:rsidRPr="00C76109">
        <w:rPr>
          <w:lang w:val="fr-FR"/>
        </w:rPr>
        <w:t>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examen en collaboration devrait être lanc</w:t>
      </w:r>
      <w:r w:rsidR="000D5803" w:rsidRPr="00C76109">
        <w:rPr>
          <w:lang w:val="fr-FR"/>
        </w:rPr>
        <w:t>é</w:t>
      </w:r>
      <w:r w:rsidRPr="00C76109">
        <w:rPr>
          <w:lang w:val="fr-FR"/>
        </w:rPr>
        <w:t xml:space="preserve"> en situation réel</w:t>
      </w:r>
      <w:r w:rsidR="00091022" w:rsidRPr="00C76109">
        <w:rPr>
          <w:lang w:val="fr-FR"/>
        </w:rPr>
        <w:t>le.  En</w:t>
      </w:r>
      <w:r w:rsidRPr="00C76109">
        <w:rPr>
          <w:lang w:val="fr-FR"/>
        </w:rPr>
        <w:t xml:space="preserve"> outre, le projet pilote relatif à la mise en place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un mécanisme de compensation pour les transactions </w:t>
      </w:r>
      <w:r w:rsidRPr="00C76109">
        <w:rPr>
          <w:lang w:val="fr-FR"/>
        </w:rPr>
        <w:lastRenderedPageBreak/>
        <w:t>relatives aux taxes</w:t>
      </w:r>
      <w:r w:rsidR="00306570" w:rsidRPr="00C76109">
        <w:rPr>
          <w:lang w:val="fr-FR"/>
        </w:rPr>
        <w:t xml:space="preserve"> du PCT</w:t>
      </w:r>
      <w:r w:rsidRPr="00C76109">
        <w:rPr>
          <w:lang w:val="fr-FR"/>
        </w:rPr>
        <w:t xml:space="preserve"> sera suivi de </w:t>
      </w:r>
      <w:r w:rsidR="000D5803" w:rsidRPr="00C76109">
        <w:rPr>
          <w:lang w:val="fr-FR"/>
        </w:rPr>
        <w:t>p</w:t>
      </w:r>
      <w:r w:rsidRPr="00C76109">
        <w:rPr>
          <w:lang w:val="fr-FR"/>
        </w:rPr>
        <w:t xml:space="preserve">rès afin de déterminer si des paiements centralisés peuvent être autorisés pour les services des offices autres que le Bureau international, fournis </w:t>
      </w:r>
      <w:r w:rsidR="006F0155" w:rsidRPr="00C76109">
        <w:rPr>
          <w:lang w:val="fr-FR"/>
        </w:rPr>
        <w:t xml:space="preserve">au </w:t>
      </w:r>
      <w:r w:rsidRPr="00C76109">
        <w:rPr>
          <w:lang w:val="fr-FR"/>
        </w:rPr>
        <w:t>moyen du système ePCT.</w:t>
      </w:r>
    </w:p>
    <w:p w:rsidR="00637150" w:rsidRPr="00C76109" w:rsidRDefault="00D112D6" w:rsidP="0093382C">
      <w:pPr>
        <w:pStyle w:val="Heading1"/>
        <w:rPr>
          <w:lang w:val="fr-FR"/>
        </w:rPr>
      </w:pPr>
      <w:r w:rsidRPr="00C76109">
        <w:rPr>
          <w:lang w:val="fr-FR"/>
        </w:rPr>
        <w:t>Utilisation</w:t>
      </w:r>
      <w:r w:rsidR="00306570" w:rsidRPr="00C76109">
        <w:rPr>
          <w:lang w:val="fr-FR"/>
        </w:rPr>
        <w:t xml:space="preserve"> du XML</w:t>
      </w:r>
    </w:p>
    <w:p w:rsidR="00306570" w:rsidRPr="00C76109" w:rsidRDefault="00D112D6" w:rsidP="00D112D6">
      <w:pPr>
        <w:pStyle w:val="Heading3"/>
        <w:rPr>
          <w:lang w:val="fr-FR"/>
        </w:rPr>
      </w:pPr>
      <w:r w:rsidRPr="00C76109">
        <w:rPr>
          <w:lang w:val="fr-FR"/>
        </w:rPr>
        <w:t>Corps des demandes en XML</w:t>
      </w:r>
    </w:p>
    <w:p w:rsidR="00637150" w:rsidRPr="00C76109" w:rsidRDefault="000D5803" w:rsidP="00DF6A22">
      <w:pPr>
        <w:pStyle w:val="ONUMFS"/>
        <w:rPr>
          <w:lang w:val="fr-FR"/>
        </w:rPr>
      </w:pPr>
      <w:r w:rsidRPr="00C76109">
        <w:rPr>
          <w:lang w:val="fr-FR"/>
        </w:rPr>
        <w:t>Le but initial de la norme</w:t>
      </w:r>
      <w:r w:rsidR="00306570" w:rsidRPr="00C76109">
        <w:rPr>
          <w:lang w:val="fr-FR"/>
        </w:rPr>
        <w:t xml:space="preserve"> du PCT</w:t>
      </w:r>
      <w:r w:rsidRPr="00C76109">
        <w:rPr>
          <w:lang w:val="fr-FR"/>
        </w:rPr>
        <w:t xml:space="preserve"> sur le dépôt électronique était que les demandes soient déposées et traitées en texte intégr</w:t>
      </w:r>
      <w:r w:rsidR="00091022" w:rsidRPr="00C76109">
        <w:rPr>
          <w:lang w:val="fr-FR"/>
        </w:rPr>
        <w:t>al.  De</w:t>
      </w:r>
      <w:r w:rsidR="00480A86" w:rsidRPr="00C76109">
        <w:rPr>
          <w:lang w:val="fr-FR"/>
        </w:rPr>
        <w:t>puis de nombreuses années, les demandes au format</w:t>
      </w:r>
      <w:r w:rsidR="007535CD" w:rsidRPr="00C76109">
        <w:rPr>
          <w:lang w:val="fr-FR"/>
        </w:rPr>
        <w:t xml:space="preserve"> XML </w:t>
      </w:r>
      <w:r w:rsidR="00480A86" w:rsidRPr="00C76109">
        <w:rPr>
          <w:lang w:val="fr-FR"/>
        </w:rPr>
        <w:t>ne sont reçues en grande quantité que de la part des</w:t>
      </w:r>
      <w:r w:rsidR="007535CD" w:rsidRPr="00C76109">
        <w:rPr>
          <w:lang w:val="fr-FR"/>
        </w:rPr>
        <w:t xml:space="preserve"> </w:t>
      </w:r>
      <w:r w:rsidR="00480A86" w:rsidRPr="00C76109">
        <w:rPr>
          <w:lang w:val="fr-FR"/>
        </w:rPr>
        <w:t>o</w:t>
      </w:r>
      <w:r w:rsidR="007535CD" w:rsidRPr="00C76109">
        <w:rPr>
          <w:lang w:val="fr-FR"/>
        </w:rPr>
        <w:t xml:space="preserve">ffices </w:t>
      </w:r>
      <w:r w:rsidR="00480A86" w:rsidRPr="00C76109">
        <w:rPr>
          <w:lang w:val="fr-FR"/>
        </w:rPr>
        <w:t>récepteurs de la</w:t>
      </w:r>
      <w:r w:rsidR="007535CD" w:rsidRPr="00C76109">
        <w:rPr>
          <w:lang w:val="fr-FR"/>
        </w:rPr>
        <w:t xml:space="preserve"> Chin</w:t>
      </w:r>
      <w:r w:rsidR="00480A86" w:rsidRPr="00C76109">
        <w:rPr>
          <w:lang w:val="fr-FR"/>
        </w:rPr>
        <w:t>e</w:t>
      </w:r>
      <w:r w:rsidR="007535CD" w:rsidRPr="00C76109">
        <w:rPr>
          <w:lang w:val="fr-FR"/>
        </w:rPr>
        <w:t xml:space="preserve">, </w:t>
      </w:r>
      <w:r w:rsidR="00480A86" w:rsidRPr="00C76109">
        <w:rPr>
          <w:lang w:val="fr-FR"/>
        </w:rPr>
        <w:t xml:space="preserve">du </w:t>
      </w:r>
      <w:r w:rsidR="007535CD" w:rsidRPr="00C76109">
        <w:rPr>
          <w:lang w:val="fr-FR"/>
        </w:rPr>
        <w:t>Jap</w:t>
      </w:r>
      <w:r w:rsidR="00480A86" w:rsidRPr="00C76109">
        <w:rPr>
          <w:lang w:val="fr-FR"/>
        </w:rPr>
        <w:t>o</w:t>
      </w:r>
      <w:r w:rsidR="007535CD" w:rsidRPr="00C76109">
        <w:rPr>
          <w:lang w:val="fr-FR"/>
        </w:rPr>
        <w:t xml:space="preserve">n </w:t>
      </w:r>
      <w:r w:rsidR="00480A86" w:rsidRPr="00C76109">
        <w:rPr>
          <w:lang w:val="fr-FR"/>
        </w:rPr>
        <w:t>et de la</w:t>
      </w:r>
      <w:r w:rsidR="007535CD" w:rsidRPr="00C76109">
        <w:rPr>
          <w:lang w:val="fr-FR"/>
        </w:rPr>
        <w:t xml:space="preserve"> R</w:t>
      </w:r>
      <w:r w:rsidR="00480A86" w:rsidRPr="00C76109">
        <w:rPr>
          <w:lang w:val="fr-FR"/>
        </w:rPr>
        <w:t>é</w:t>
      </w:r>
      <w:r w:rsidR="007535CD" w:rsidRPr="00C76109">
        <w:rPr>
          <w:lang w:val="fr-FR"/>
        </w:rPr>
        <w:t>publi</w:t>
      </w:r>
      <w:r w:rsidR="00480A86" w:rsidRPr="00C76109">
        <w:rPr>
          <w:lang w:val="fr-FR"/>
        </w:rPr>
        <w:t>que de C</w:t>
      </w:r>
      <w:r w:rsidR="007535CD" w:rsidRPr="00C76109">
        <w:rPr>
          <w:lang w:val="fr-FR"/>
        </w:rPr>
        <w:t>or</w:t>
      </w:r>
      <w:r w:rsidR="00091022" w:rsidRPr="00C76109">
        <w:rPr>
          <w:lang w:val="fr-FR"/>
        </w:rPr>
        <w:t>ée.  D’a</w:t>
      </w:r>
      <w:r w:rsidR="00572BB6" w:rsidRPr="00C76109">
        <w:rPr>
          <w:lang w:val="fr-FR"/>
        </w:rPr>
        <w:t>utres offices ont la volonté croissante d</w:t>
      </w:r>
      <w:r w:rsidR="00306570" w:rsidRPr="00C76109">
        <w:rPr>
          <w:lang w:val="fr-FR"/>
        </w:rPr>
        <w:t>’</w:t>
      </w:r>
      <w:r w:rsidR="00572BB6" w:rsidRPr="00C76109">
        <w:rPr>
          <w:lang w:val="fr-FR"/>
        </w:rPr>
        <w:t>avancer dans ce domaine, notamment l</w:t>
      </w:r>
      <w:r w:rsidR="00306570" w:rsidRPr="00C76109">
        <w:rPr>
          <w:lang w:val="fr-FR"/>
        </w:rPr>
        <w:t>’</w:t>
      </w:r>
      <w:r w:rsidR="00572BB6" w:rsidRPr="00C76109">
        <w:rPr>
          <w:lang w:val="fr-FR"/>
        </w:rPr>
        <w:t>Office des brevets et des marques des États</w:t>
      </w:r>
      <w:r w:rsidR="00A75C04" w:rsidRPr="00C76109">
        <w:rPr>
          <w:lang w:val="fr-FR"/>
        </w:rPr>
        <w:noBreakHyphen/>
      </w:r>
      <w:r w:rsidR="00572BB6" w:rsidRPr="00C76109">
        <w:rPr>
          <w:lang w:val="fr-FR"/>
        </w:rPr>
        <w:t>Unis d</w:t>
      </w:r>
      <w:r w:rsidR="00306570" w:rsidRPr="00C76109">
        <w:rPr>
          <w:lang w:val="fr-FR"/>
        </w:rPr>
        <w:t>’</w:t>
      </w:r>
      <w:r w:rsidR="00572BB6" w:rsidRPr="00C76109">
        <w:rPr>
          <w:lang w:val="fr-FR"/>
        </w:rPr>
        <w:t>Amérique et l</w:t>
      </w:r>
      <w:r w:rsidR="00306570" w:rsidRPr="00C76109">
        <w:rPr>
          <w:lang w:val="fr-FR"/>
        </w:rPr>
        <w:t>’</w:t>
      </w:r>
      <w:r w:rsidR="00572BB6" w:rsidRPr="00C76109">
        <w:rPr>
          <w:lang w:val="fr-FR"/>
        </w:rPr>
        <w:t>Office européen des brevets qui mettent au point des convertisseurs pour transformer le format Office Open XML (DOCX) au format prévu par la norme</w:t>
      </w:r>
      <w:r w:rsidR="00BE1E5C" w:rsidRPr="00C76109">
        <w:rPr>
          <w:lang w:val="fr-FR"/>
        </w:rPr>
        <w:t> </w:t>
      </w:r>
      <w:r w:rsidR="00572BB6" w:rsidRPr="00C76109">
        <w:rPr>
          <w:lang w:val="fr-FR"/>
        </w:rPr>
        <w:t>ST.36 ou ST.96 XML, en plus de celui proposé dans le système ePCT depuis plusieurs années.</w:t>
      </w:r>
    </w:p>
    <w:p w:rsidR="00637150" w:rsidRPr="00C76109" w:rsidRDefault="00572BB6" w:rsidP="00DF6A22">
      <w:pPr>
        <w:pStyle w:val="ONUMFS"/>
        <w:rPr>
          <w:lang w:val="fr-FR"/>
        </w:rPr>
      </w:pPr>
      <w:r w:rsidRPr="00C76109">
        <w:rPr>
          <w:lang w:val="fr-FR"/>
        </w:rPr>
        <w:t>Le Bureau international travaille avec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Office européen des brevets et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autres offices pour élaborer une proposition de modification des instructions administratives</w:t>
      </w:r>
      <w:r w:rsidR="00306570" w:rsidRPr="00C76109">
        <w:rPr>
          <w:lang w:val="fr-FR"/>
        </w:rPr>
        <w:t xml:space="preserve"> du PCT</w:t>
      </w:r>
      <w:r w:rsidRPr="00C76109">
        <w:rPr>
          <w:lang w:val="fr-FR"/>
        </w:rPr>
        <w:t xml:space="preserve">, </w:t>
      </w:r>
      <w:r w:rsidR="000B401C" w:rsidRPr="00C76109">
        <w:rPr>
          <w:lang w:val="fr-FR"/>
        </w:rPr>
        <w:t>afin de favoriser le d</w:t>
      </w:r>
      <w:r w:rsidRPr="00C76109">
        <w:rPr>
          <w:lang w:val="fr-FR"/>
        </w:rPr>
        <w:t xml:space="preserve">épôt et le traitement des corps de demandes en texte intégral </w:t>
      </w:r>
      <w:r w:rsidR="000B401C" w:rsidRPr="00C76109">
        <w:rPr>
          <w:lang w:val="fr-FR"/>
        </w:rPr>
        <w:t>au</w:t>
      </w:r>
      <w:r w:rsidRPr="00C76109">
        <w:rPr>
          <w:lang w:val="fr-FR"/>
        </w:rPr>
        <w:t xml:space="preserve"> format DOCX et </w:t>
      </w:r>
      <w:r w:rsidR="000B401C" w:rsidRPr="00C76109">
        <w:rPr>
          <w:lang w:val="fr-FR"/>
        </w:rPr>
        <w:t>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en faire les documents de référence officie</w:t>
      </w:r>
      <w:r w:rsidR="00091022" w:rsidRPr="00C76109">
        <w:rPr>
          <w:lang w:val="fr-FR"/>
        </w:rPr>
        <w:t>ls.  Ce</w:t>
      </w:r>
      <w:r w:rsidRPr="00C76109">
        <w:rPr>
          <w:lang w:val="fr-FR"/>
        </w:rPr>
        <w:t xml:space="preserve">la devrait aboutir à un arrangement selon lequel tous les offices travaillant avec DOCX utiliseraient un instrument commun de conversion (avec des options permettant </w:t>
      </w:r>
      <w:r w:rsidR="000B401C" w:rsidRPr="00C76109">
        <w:rPr>
          <w:lang w:val="fr-FR"/>
        </w:rPr>
        <w:t>l</w:t>
      </w:r>
      <w:r w:rsidR="00306570" w:rsidRPr="00C76109">
        <w:rPr>
          <w:lang w:val="fr-FR"/>
        </w:rPr>
        <w:t>’</w:t>
      </w:r>
      <w:r w:rsidR="000B401C" w:rsidRPr="00C76109">
        <w:rPr>
          <w:lang w:val="fr-FR"/>
        </w:rPr>
        <w:t xml:space="preserve">exportation </w:t>
      </w:r>
      <w:r w:rsidRPr="00C76109">
        <w:rPr>
          <w:lang w:val="fr-FR"/>
        </w:rPr>
        <w:t>aux formats</w:t>
      </w:r>
      <w:r w:rsidR="000B401C" w:rsidRPr="00C76109">
        <w:rPr>
          <w:lang w:val="fr-FR"/>
        </w:rPr>
        <w:t xml:space="preserve"> prévus par la norme</w:t>
      </w:r>
      <w:r w:rsidR="00BE1E5C" w:rsidRPr="00C76109">
        <w:rPr>
          <w:lang w:val="fr-FR"/>
        </w:rPr>
        <w:t> </w:t>
      </w:r>
      <w:r w:rsidRPr="00C76109">
        <w:rPr>
          <w:lang w:val="fr-FR"/>
        </w:rPr>
        <w:t xml:space="preserve">ST.36 ou ST.96, </w:t>
      </w:r>
      <w:r w:rsidR="000B401C" w:rsidRPr="00C76109">
        <w:rPr>
          <w:lang w:val="fr-FR"/>
        </w:rPr>
        <w:t>d</w:t>
      </w:r>
      <w:r w:rsidR="00306570" w:rsidRPr="00C76109">
        <w:rPr>
          <w:lang w:val="fr-FR"/>
        </w:rPr>
        <w:t>’</w:t>
      </w:r>
      <w:r w:rsidR="000B401C" w:rsidRPr="00C76109">
        <w:rPr>
          <w:lang w:val="fr-FR"/>
        </w:rPr>
        <w:t>une manière qui garantisse la</w:t>
      </w:r>
      <w:r w:rsidRPr="00C76109">
        <w:rPr>
          <w:lang w:val="fr-FR"/>
        </w:rPr>
        <w:t xml:space="preserve"> possibilité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une conversion fiable entre les deux</w:t>
      </w:r>
      <w:r w:rsidR="00BE1E5C" w:rsidRPr="00C76109">
        <w:rPr>
          <w:lang w:val="fr-FR"/>
        </w:rPr>
        <w:t> </w:t>
      </w:r>
      <w:r w:rsidR="000B401C" w:rsidRPr="00C76109">
        <w:rPr>
          <w:lang w:val="fr-FR"/>
        </w:rPr>
        <w:t>à un stade ultérieur</w:t>
      </w:r>
      <w:r w:rsidRPr="00C76109">
        <w:rPr>
          <w:lang w:val="fr-FR"/>
        </w:rPr>
        <w:t>)</w:t>
      </w:r>
      <w:r w:rsidR="000B401C" w:rsidRPr="00C76109">
        <w:rPr>
          <w:lang w:val="fr-FR"/>
        </w:rPr>
        <w:t>,</w:t>
      </w:r>
      <w:r w:rsidRPr="00C76109">
        <w:rPr>
          <w:lang w:val="fr-FR"/>
        </w:rPr>
        <w:t xml:space="preserve"> et toutes les tâches correspondant à la phase internationale utilisant le corps de la demande seraient effectuées de façon </w:t>
      </w:r>
      <w:r w:rsidR="000B401C" w:rsidRPr="00C76109">
        <w:rPr>
          <w:lang w:val="fr-FR"/>
        </w:rPr>
        <w:t>identique</w:t>
      </w:r>
      <w:r w:rsidRPr="00C76109">
        <w:rPr>
          <w:lang w:val="fr-FR"/>
        </w:rPr>
        <w:t>, de sorte que les résultats puissent être échangés efficacement entre différents offices.</w:t>
      </w:r>
    </w:p>
    <w:p w:rsidR="00306570" w:rsidRPr="00C76109" w:rsidRDefault="00572BB6" w:rsidP="00572BB6">
      <w:pPr>
        <w:pStyle w:val="Heading3"/>
        <w:rPr>
          <w:lang w:val="fr-FR"/>
        </w:rPr>
      </w:pPr>
      <w:r w:rsidRPr="00C76109">
        <w:rPr>
          <w:lang w:val="fr-FR"/>
        </w:rPr>
        <w:t>Rapports de recherche internationale et opinions écrites au format XML</w:t>
      </w:r>
    </w:p>
    <w:p w:rsidR="00637150" w:rsidRPr="003601F7" w:rsidRDefault="003B2A8D" w:rsidP="00DF6A22">
      <w:pPr>
        <w:pStyle w:val="ONUMFS"/>
        <w:rPr>
          <w:spacing w:val="2"/>
          <w:lang w:val="fr-FR"/>
        </w:rPr>
      </w:pPr>
      <w:bookmarkStart w:id="5" w:name="_Ref503261127"/>
      <w:r w:rsidRPr="003601F7">
        <w:rPr>
          <w:spacing w:val="2"/>
          <w:lang w:val="fr-FR"/>
        </w:rPr>
        <w:t>Depuis quelque temps, le Bureau international reçoit des rapports de recherche internationale et des opinons écrites au format XML de trois</w:t>
      </w:r>
      <w:r w:rsidR="00BE1E5C" w:rsidRPr="003601F7">
        <w:rPr>
          <w:spacing w:val="2"/>
          <w:lang w:val="fr-FR"/>
        </w:rPr>
        <w:t> </w:t>
      </w:r>
      <w:r w:rsidRPr="003601F7">
        <w:rPr>
          <w:spacing w:val="2"/>
          <w:lang w:val="fr-FR"/>
        </w:rPr>
        <w:t>administrations chargées de la recherche internationale (l</w:t>
      </w:r>
      <w:r w:rsidR="00306570" w:rsidRPr="003601F7">
        <w:rPr>
          <w:spacing w:val="2"/>
          <w:lang w:val="fr-FR"/>
        </w:rPr>
        <w:t>’</w:t>
      </w:r>
      <w:r w:rsidRPr="003601F7">
        <w:rPr>
          <w:spacing w:val="2"/>
          <w:lang w:val="fr-FR"/>
        </w:rPr>
        <w:t>Office européen des brevets, l</w:t>
      </w:r>
      <w:r w:rsidR="00306570" w:rsidRPr="003601F7">
        <w:rPr>
          <w:spacing w:val="2"/>
          <w:lang w:val="fr-FR"/>
        </w:rPr>
        <w:t>’</w:t>
      </w:r>
      <w:r w:rsidRPr="003601F7">
        <w:rPr>
          <w:spacing w:val="2"/>
          <w:lang w:val="fr-FR"/>
        </w:rPr>
        <w:t>Office coréen de la propriété intellectuelle et l</w:t>
      </w:r>
      <w:r w:rsidR="00306570" w:rsidRPr="003601F7">
        <w:rPr>
          <w:spacing w:val="2"/>
          <w:lang w:val="fr-FR"/>
        </w:rPr>
        <w:t>’</w:t>
      </w:r>
      <w:r w:rsidRPr="003601F7">
        <w:rPr>
          <w:spacing w:val="2"/>
          <w:lang w:val="fr-FR"/>
        </w:rPr>
        <w:t>Office d</w:t>
      </w:r>
      <w:r w:rsidR="00306570" w:rsidRPr="003601F7">
        <w:rPr>
          <w:spacing w:val="2"/>
          <w:lang w:val="fr-FR"/>
        </w:rPr>
        <w:t>’</w:t>
      </w:r>
      <w:r w:rsidRPr="003601F7">
        <w:rPr>
          <w:spacing w:val="2"/>
          <w:lang w:val="fr-FR"/>
        </w:rPr>
        <w:t>État de la propriété intellectuelle de la République populaire de Chi</w:t>
      </w:r>
      <w:r w:rsidR="00091022" w:rsidRPr="003601F7">
        <w:rPr>
          <w:spacing w:val="2"/>
          <w:lang w:val="fr-FR"/>
        </w:rPr>
        <w:t>ne).  Si</w:t>
      </w:r>
      <w:r w:rsidR="00B44CE3" w:rsidRPr="003601F7">
        <w:rPr>
          <w:spacing w:val="2"/>
          <w:lang w:val="fr-FR"/>
        </w:rPr>
        <w:t xml:space="preserve"> les rapports de ces trois</w:t>
      </w:r>
      <w:r w:rsidR="00BE1E5C" w:rsidRPr="003601F7">
        <w:rPr>
          <w:spacing w:val="2"/>
          <w:lang w:val="fr-FR"/>
        </w:rPr>
        <w:t> </w:t>
      </w:r>
      <w:r w:rsidR="00B44CE3" w:rsidRPr="003601F7">
        <w:rPr>
          <w:spacing w:val="2"/>
          <w:lang w:val="fr-FR"/>
        </w:rPr>
        <w:t>administrations ont tous été établis conformément aux définitions types de document (DTD) fourni</w:t>
      </w:r>
      <w:r w:rsidR="003F3E70" w:rsidRPr="003601F7">
        <w:rPr>
          <w:spacing w:val="2"/>
          <w:lang w:val="fr-FR"/>
        </w:rPr>
        <w:t>e</w:t>
      </w:r>
      <w:r w:rsidR="00B44CE3" w:rsidRPr="003601F7">
        <w:rPr>
          <w:spacing w:val="2"/>
          <w:lang w:val="fr-FR"/>
        </w:rPr>
        <w:t>s à cette fin, de nombreuses difficultés ont été constatées et il a fallu bien plu</w:t>
      </w:r>
      <w:r w:rsidR="003F3E70" w:rsidRPr="003601F7">
        <w:rPr>
          <w:spacing w:val="2"/>
          <w:lang w:val="fr-FR"/>
        </w:rPr>
        <w:t>s</w:t>
      </w:r>
      <w:r w:rsidR="00B44CE3" w:rsidRPr="003601F7">
        <w:rPr>
          <w:spacing w:val="2"/>
          <w:lang w:val="fr-FR"/>
        </w:rPr>
        <w:t xml:space="preserve"> de temps que prévu pour importer et utiliser </w:t>
      </w:r>
      <w:r w:rsidR="003F3E70" w:rsidRPr="003601F7">
        <w:rPr>
          <w:spacing w:val="2"/>
          <w:lang w:val="fr-FR"/>
        </w:rPr>
        <w:t xml:space="preserve">efficacement </w:t>
      </w:r>
      <w:r w:rsidR="00B44CE3" w:rsidRPr="003601F7">
        <w:rPr>
          <w:spacing w:val="2"/>
          <w:lang w:val="fr-FR"/>
        </w:rPr>
        <w:t>les données</w:t>
      </w:r>
      <w:r w:rsidR="003F3E70" w:rsidRPr="003601F7">
        <w:rPr>
          <w:spacing w:val="2"/>
          <w:lang w:val="fr-FR"/>
        </w:rPr>
        <w:t xml:space="preserve"> </w:t>
      </w:r>
      <w:r w:rsidR="00091022" w:rsidRPr="003601F7">
        <w:rPr>
          <w:spacing w:val="2"/>
          <w:lang w:val="fr-FR"/>
        </w:rPr>
        <w:t>XML.  Ce</w:t>
      </w:r>
      <w:r w:rsidR="00B44CE3" w:rsidRPr="003601F7">
        <w:rPr>
          <w:spacing w:val="2"/>
          <w:lang w:val="fr-FR"/>
        </w:rPr>
        <w:t>la étant, les principales difficultés ont été surmonté</w:t>
      </w:r>
      <w:r w:rsidR="00091022" w:rsidRPr="003601F7">
        <w:rPr>
          <w:spacing w:val="2"/>
          <w:lang w:val="fr-FR"/>
        </w:rPr>
        <w:t>es.  Le</w:t>
      </w:r>
      <w:r w:rsidR="003F3E70" w:rsidRPr="003601F7">
        <w:rPr>
          <w:spacing w:val="2"/>
          <w:lang w:val="fr-FR"/>
        </w:rPr>
        <w:t xml:space="preserve"> format XML a contribué à l</w:t>
      </w:r>
      <w:r w:rsidR="00306570" w:rsidRPr="003601F7">
        <w:rPr>
          <w:spacing w:val="2"/>
          <w:lang w:val="fr-FR"/>
        </w:rPr>
        <w:t>’</w:t>
      </w:r>
      <w:r w:rsidR="003F3E70" w:rsidRPr="003601F7">
        <w:rPr>
          <w:spacing w:val="2"/>
          <w:lang w:val="fr-FR"/>
        </w:rPr>
        <w:t>examen de forme des rapports de recherche internationale et des opinions écrites au Bureau internation</w:t>
      </w:r>
      <w:r w:rsidR="00091022" w:rsidRPr="003601F7">
        <w:rPr>
          <w:spacing w:val="2"/>
          <w:lang w:val="fr-FR"/>
        </w:rPr>
        <w:t>al.  L’e</w:t>
      </w:r>
      <w:r w:rsidR="003F3E70" w:rsidRPr="003601F7">
        <w:rPr>
          <w:spacing w:val="2"/>
          <w:lang w:val="fr-FR"/>
        </w:rPr>
        <w:t>xamen de forme a été automatisé pour environ 70% des rapports de recherche internationale et 90% des opinions écrites des administrations chargées de la recherche internationa</w:t>
      </w:r>
      <w:r w:rsidR="00091022" w:rsidRPr="003601F7">
        <w:rPr>
          <w:spacing w:val="2"/>
          <w:lang w:val="fr-FR"/>
        </w:rPr>
        <w:t>le.  Ce</w:t>
      </w:r>
      <w:r w:rsidR="003F3E70" w:rsidRPr="003601F7">
        <w:rPr>
          <w:spacing w:val="2"/>
          <w:lang w:val="fr-FR"/>
        </w:rPr>
        <w:t>la a permis au Bureau international de continuer à traiter ces documents de manière productive et avec céléri</w:t>
      </w:r>
      <w:r w:rsidR="00091022" w:rsidRPr="003601F7">
        <w:rPr>
          <w:spacing w:val="2"/>
          <w:lang w:val="fr-FR"/>
        </w:rPr>
        <w:t>té.  Le</w:t>
      </w:r>
      <w:r w:rsidR="003F3E70" w:rsidRPr="003601F7">
        <w:rPr>
          <w:spacing w:val="2"/>
          <w:lang w:val="fr-FR"/>
        </w:rPr>
        <w:t xml:space="preserve"> format XML a aussi commencé à être utilisé aux fins d</w:t>
      </w:r>
      <w:r w:rsidR="00306570" w:rsidRPr="003601F7">
        <w:rPr>
          <w:spacing w:val="2"/>
          <w:lang w:val="fr-FR"/>
        </w:rPr>
        <w:t>’</w:t>
      </w:r>
      <w:r w:rsidR="003F3E70" w:rsidRPr="003601F7">
        <w:rPr>
          <w:spacing w:val="2"/>
          <w:lang w:val="fr-FR"/>
        </w:rPr>
        <w:t>aide à la traduction, et le format original ainsi que la traduction XML devraient rapidement être mis à la disposition des offices désignés et des utilisateurs de l</w:t>
      </w:r>
      <w:r w:rsidR="00306570" w:rsidRPr="003601F7">
        <w:rPr>
          <w:spacing w:val="2"/>
          <w:lang w:val="fr-FR"/>
        </w:rPr>
        <w:t>’</w:t>
      </w:r>
      <w:r w:rsidR="003F3E70" w:rsidRPr="003601F7">
        <w:rPr>
          <w:spacing w:val="2"/>
          <w:lang w:val="fr-FR"/>
        </w:rPr>
        <w:t>information en matière de brevets.</w:t>
      </w:r>
      <w:bookmarkEnd w:id="5"/>
    </w:p>
    <w:p w:rsidR="00637150" w:rsidRPr="003601F7" w:rsidRDefault="00DF45CB" w:rsidP="00DF6A22">
      <w:pPr>
        <w:pStyle w:val="ONUMFS"/>
        <w:rPr>
          <w:spacing w:val="2"/>
          <w:lang w:val="fr-FR"/>
        </w:rPr>
      </w:pPr>
      <w:r w:rsidRPr="003601F7">
        <w:rPr>
          <w:spacing w:val="2"/>
          <w:lang w:val="fr-FR"/>
        </w:rPr>
        <w:t>Le Bureau international espère lancer plusieurs nouveaux services dans le système ePCT et PATENTSCOPE pour les demandes internationales pour lesquelles le rapport de recherche internationale et l</w:t>
      </w:r>
      <w:r w:rsidR="00306570" w:rsidRPr="003601F7">
        <w:rPr>
          <w:spacing w:val="2"/>
          <w:lang w:val="fr-FR"/>
        </w:rPr>
        <w:t>’</w:t>
      </w:r>
      <w:r w:rsidRPr="003601F7">
        <w:rPr>
          <w:spacing w:val="2"/>
          <w:lang w:val="fr-FR"/>
        </w:rPr>
        <w:t xml:space="preserve">opinion écrite sont disponibles au format XML, </w:t>
      </w:r>
      <w:r w:rsidR="00306570" w:rsidRPr="003601F7">
        <w:rPr>
          <w:spacing w:val="2"/>
          <w:lang w:val="fr-FR"/>
        </w:rPr>
        <w:t>y compris</w:t>
      </w:r>
      <w:r w:rsidRPr="003601F7">
        <w:rPr>
          <w:spacing w:val="2"/>
          <w:lang w:val="fr-FR"/>
        </w:rPr>
        <w:t xml:space="preserve"> une traduction automatique efficace (utilisant des feuilles de styles dans la langue concernée pour une traduction “parfaite” du texte standard) et des liens vers les documents de brevet cités.</w:t>
      </w:r>
    </w:p>
    <w:p w:rsidR="00637150" w:rsidRPr="00C76109" w:rsidRDefault="00041FB3" w:rsidP="00A950FD">
      <w:pPr>
        <w:pStyle w:val="ONUMFS"/>
        <w:keepLines/>
        <w:rPr>
          <w:lang w:val="fr-FR"/>
        </w:rPr>
      </w:pPr>
      <w:r w:rsidRPr="003601F7">
        <w:rPr>
          <w:spacing w:val="2"/>
          <w:lang w:val="fr-FR"/>
        </w:rPr>
        <w:lastRenderedPageBreak/>
        <w:t>Ainsi qu</w:t>
      </w:r>
      <w:r w:rsidR="00306570" w:rsidRPr="003601F7">
        <w:rPr>
          <w:spacing w:val="2"/>
          <w:lang w:val="fr-FR"/>
        </w:rPr>
        <w:t>’</w:t>
      </w:r>
      <w:r w:rsidRPr="003601F7">
        <w:rPr>
          <w:spacing w:val="2"/>
          <w:lang w:val="fr-FR"/>
        </w:rPr>
        <w:t>il est mentionné plus haut, des travaux sont en cours pour améliorer l</w:t>
      </w:r>
      <w:r w:rsidR="00306570" w:rsidRPr="003601F7">
        <w:rPr>
          <w:spacing w:val="2"/>
          <w:lang w:val="fr-FR"/>
        </w:rPr>
        <w:t>’</w:t>
      </w:r>
      <w:r w:rsidRPr="003601F7">
        <w:rPr>
          <w:spacing w:val="2"/>
          <w:lang w:val="fr-FR"/>
        </w:rPr>
        <w:t>établissement des rapports de recherche internationale et des opinions écrites au format XML dans le cadre du système e</w:t>
      </w:r>
      <w:r w:rsidR="00091022" w:rsidRPr="003601F7">
        <w:rPr>
          <w:spacing w:val="2"/>
          <w:lang w:val="fr-FR"/>
        </w:rPr>
        <w:t>PCT.  De</w:t>
      </w:r>
      <w:r w:rsidRPr="003601F7">
        <w:rPr>
          <w:spacing w:val="2"/>
          <w:lang w:val="fr-FR"/>
        </w:rPr>
        <w:t xml:space="preserve"> ce fait, et compte tenu des efforts déployés pour importer des données XML qui sont mentionnés au paragraphe</w:t>
      </w:r>
      <w:r w:rsidR="00130590" w:rsidRPr="003601F7">
        <w:rPr>
          <w:spacing w:val="2"/>
          <w:lang w:val="fr-FR"/>
        </w:rPr>
        <w:t> </w:t>
      </w:r>
      <w:r w:rsidRPr="003601F7">
        <w:rPr>
          <w:spacing w:val="2"/>
          <w:lang w:val="fr-FR"/>
        </w:rPr>
        <w:fldChar w:fldCharType="begin"/>
      </w:r>
      <w:r w:rsidRPr="003601F7">
        <w:rPr>
          <w:spacing w:val="2"/>
          <w:lang w:val="fr-FR"/>
        </w:rPr>
        <w:instrText xml:space="preserve"> REF _Ref503261127 \r \h  \* MERGEFORMAT </w:instrText>
      </w:r>
      <w:r w:rsidRPr="003601F7">
        <w:rPr>
          <w:spacing w:val="2"/>
          <w:lang w:val="fr-FR"/>
        </w:rPr>
      </w:r>
      <w:r w:rsidRPr="003601F7">
        <w:rPr>
          <w:spacing w:val="2"/>
          <w:lang w:val="fr-FR"/>
        </w:rPr>
        <w:fldChar w:fldCharType="separate"/>
      </w:r>
      <w:r w:rsidR="00F01C38">
        <w:rPr>
          <w:spacing w:val="2"/>
          <w:lang w:val="fr-FR"/>
        </w:rPr>
        <w:t>18</w:t>
      </w:r>
      <w:r w:rsidRPr="003601F7">
        <w:rPr>
          <w:spacing w:val="2"/>
          <w:lang w:val="fr-FR"/>
        </w:rPr>
        <w:fldChar w:fldCharType="end"/>
      </w:r>
      <w:r w:rsidRPr="003601F7">
        <w:rPr>
          <w:spacing w:val="2"/>
          <w:lang w:val="fr-FR"/>
        </w:rPr>
        <w:t>, le Bureau international a pris conscience de certaines différences quant à la manière dont les normes actuelles sont mises en œuvre entre les offices, ainsi que du fait que les structures de données pour des informations équivalentes</w:t>
      </w:r>
      <w:r w:rsidR="00A37E2D" w:rsidRPr="003601F7">
        <w:rPr>
          <w:spacing w:val="2"/>
          <w:lang w:val="fr-FR"/>
        </w:rPr>
        <w:t xml:space="preserve"> n</w:t>
      </w:r>
      <w:r w:rsidR="00306570" w:rsidRPr="003601F7">
        <w:rPr>
          <w:spacing w:val="2"/>
          <w:lang w:val="fr-FR"/>
        </w:rPr>
        <w:t>’</w:t>
      </w:r>
      <w:r w:rsidR="00A37E2D" w:rsidRPr="003601F7">
        <w:rPr>
          <w:spacing w:val="2"/>
          <w:lang w:val="fr-FR"/>
        </w:rPr>
        <w:t>étaient pas toujours alignées</w:t>
      </w:r>
      <w:r w:rsidRPr="003601F7">
        <w:rPr>
          <w:spacing w:val="2"/>
          <w:lang w:val="fr-FR"/>
        </w:rPr>
        <w:t xml:space="preserve"> entre les différents formulaires (par</w:t>
      </w:r>
      <w:r w:rsidR="00D2626A" w:rsidRPr="003601F7">
        <w:rPr>
          <w:spacing w:val="2"/>
          <w:lang w:val="fr-FR"/>
        </w:rPr>
        <w:t> </w:t>
      </w:r>
      <w:r w:rsidRPr="003601F7">
        <w:rPr>
          <w:spacing w:val="2"/>
          <w:lang w:val="fr-FR"/>
        </w:rPr>
        <w:t>exemple,</w:t>
      </w:r>
      <w:r w:rsidRPr="00C76109">
        <w:rPr>
          <w:lang w:val="fr-FR"/>
        </w:rPr>
        <w:t xml:space="preserve"> PCT/ISA/206, 210, 237 et PCT/IPEA/408 et 409)</w:t>
      </w:r>
      <w:r w:rsidR="00A37E2D" w:rsidRPr="00C76109">
        <w:rPr>
          <w:lang w:val="fr-FR"/>
        </w:rPr>
        <w:t>.  Il est souhaitable que l</w:t>
      </w:r>
      <w:r w:rsidRPr="00C76109">
        <w:rPr>
          <w:lang w:val="fr-FR"/>
        </w:rPr>
        <w:t xml:space="preserve">es normes et leur utilisation </w:t>
      </w:r>
      <w:r w:rsidR="00A37E2D" w:rsidRPr="00C76109">
        <w:rPr>
          <w:lang w:val="fr-FR"/>
        </w:rPr>
        <w:t>puissent</w:t>
      </w:r>
      <w:r w:rsidRPr="00C76109">
        <w:rPr>
          <w:lang w:val="fr-FR"/>
        </w:rPr>
        <w:t xml:space="preserve"> être améliorées pour aboutir aux résultats ci</w:t>
      </w:r>
      <w:r w:rsidR="00A75C04" w:rsidRPr="00C76109">
        <w:rPr>
          <w:lang w:val="fr-FR"/>
        </w:rPr>
        <w:noBreakHyphen/>
      </w:r>
      <w:r w:rsidRPr="00C76109">
        <w:rPr>
          <w:lang w:val="fr-FR"/>
        </w:rPr>
        <w:t>après</w:t>
      </w:r>
      <w:r w:rsidR="00306570" w:rsidRPr="00C76109">
        <w:rPr>
          <w:lang w:val="fr-FR"/>
        </w:rPr>
        <w:t> :</w:t>
      </w:r>
    </w:p>
    <w:p w:rsidR="00637150" w:rsidRPr="00C76109" w:rsidRDefault="00041FB3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une réutilisation simple des données entre les différents stades de la recherche et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examen (rapport de recherche nationale – rapport de recherche internationale partielle – rapport de recherche internationale et opinion écrite – rapports selon le </w:t>
      </w:r>
      <w:r w:rsidR="00306570" w:rsidRPr="00C76109">
        <w:rPr>
          <w:lang w:val="fr-FR"/>
        </w:rPr>
        <w:t>chapitre I</w:t>
      </w:r>
      <w:r w:rsidRPr="00C76109">
        <w:rPr>
          <w:lang w:val="fr-FR"/>
        </w:rPr>
        <w:t xml:space="preserve">I – </w:t>
      </w:r>
      <w:r w:rsidR="00A37E2D" w:rsidRPr="00C76109">
        <w:rPr>
          <w:lang w:val="fr-FR"/>
        </w:rPr>
        <w:t>rapports relatifs à la phase nationale</w:t>
      </w:r>
      <w:r w:rsidRPr="00C76109">
        <w:rPr>
          <w:lang w:val="fr-FR"/>
        </w:rPr>
        <w:t>);</w:t>
      </w:r>
    </w:p>
    <w:p w:rsidR="00306570" w:rsidRPr="00C76109" w:rsidRDefault="00965922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des données de citations suffisamment riches et homogènes, afin de permettre des comparaisons efficaces et l</w:t>
      </w:r>
      <w:r w:rsidR="00306570" w:rsidRPr="00C76109">
        <w:rPr>
          <w:lang w:val="fr-FR"/>
        </w:rPr>
        <w:t>’</w:t>
      </w:r>
      <w:r w:rsidR="00A951D1" w:rsidRPr="00C76109">
        <w:rPr>
          <w:lang w:val="fr-FR"/>
        </w:rPr>
        <w:t>utilisation</w:t>
      </w:r>
      <w:r w:rsidRPr="00C76109">
        <w:rPr>
          <w:lang w:val="fr-FR"/>
        </w:rPr>
        <w:t xml:space="preserve"> des informations entre les différentes étapes sans qu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il soit diffic</w:t>
      </w:r>
      <w:r w:rsidR="00A951D1" w:rsidRPr="00C76109">
        <w:rPr>
          <w:lang w:val="fr-FR"/>
        </w:rPr>
        <w:t>ile de déte</w:t>
      </w:r>
      <w:r w:rsidRPr="00C76109">
        <w:rPr>
          <w:lang w:val="fr-FR"/>
        </w:rPr>
        <w:t>r</w:t>
      </w:r>
      <w:r w:rsidR="00A951D1" w:rsidRPr="00C76109">
        <w:rPr>
          <w:lang w:val="fr-FR"/>
        </w:rPr>
        <w:t>m</w:t>
      </w:r>
      <w:r w:rsidRPr="00C76109">
        <w:rPr>
          <w:lang w:val="fr-FR"/>
        </w:rPr>
        <w:t>iner si deux</w:t>
      </w:r>
      <w:r w:rsidR="00BE1E5C" w:rsidRPr="00C76109">
        <w:rPr>
          <w:lang w:val="fr-FR"/>
        </w:rPr>
        <w:t> </w:t>
      </w:r>
      <w:r w:rsidRPr="00C76109">
        <w:rPr>
          <w:lang w:val="fr-FR"/>
        </w:rPr>
        <w:t>citations sont les mêmes (ou s</w:t>
      </w:r>
      <w:r w:rsidR="00A37E2D" w:rsidRPr="00C76109">
        <w:rPr>
          <w:lang w:val="fr-FR"/>
        </w:rPr>
        <w:t>i elles s</w:t>
      </w:r>
      <w:r w:rsidRPr="00C76109">
        <w:rPr>
          <w:lang w:val="fr-FR"/>
        </w:rPr>
        <w:t>ont issues de la même famille de brevets);</w:t>
      </w:r>
    </w:p>
    <w:p w:rsidR="00637150" w:rsidRPr="00C76109" w:rsidRDefault="00A951D1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 xml:space="preserve">un examinateur ne devrait pas avoir à entrer des données équivalentes </w:t>
      </w:r>
      <w:r w:rsidR="00A37E2D" w:rsidRPr="00C76109">
        <w:rPr>
          <w:lang w:val="fr-FR"/>
        </w:rPr>
        <w:t xml:space="preserve">à </w:t>
      </w:r>
      <w:r w:rsidRPr="00C76109">
        <w:rPr>
          <w:lang w:val="fr-FR"/>
        </w:rPr>
        <w:t>deux</w:t>
      </w:r>
      <w:r w:rsidR="00BE1E5C" w:rsidRPr="00C76109">
        <w:rPr>
          <w:lang w:val="fr-FR"/>
        </w:rPr>
        <w:t> </w:t>
      </w:r>
      <w:r w:rsidR="00A37E2D" w:rsidRPr="00C76109">
        <w:rPr>
          <w:lang w:val="fr-FR"/>
        </w:rPr>
        <w:t xml:space="preserve">reprises </w:t>
      </w:r>
      <w:r w:rsidRPr="00C76109">
        <w:rPr>
          <w:lang w:val="fr-FR"/>
        </w:rPr>
        <w:t>au même stade (formats différents pour les revendications ne pouvant pas faire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objet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une recherche ou non examinées entre les formulaires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210 et 237;  nécessité de saisir les informations relatives aux citations dans les formulaires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210 et 237 dans des formats différents dans certain</w:t>
      </w:r>
      <w:r w:rsidR="00130590" w:rsidRPr="00C76109">
        <w:rPr>
          <w:lang w:val="fr-FR"/>
        </w:rPr>
        <w:t xml:space="preserve">s </w:t>
      </w:r>
      <w:r w:rsidRPr="00C76109">
        <w:rPr>
          <w:lang w:val="fr-FR"/>
        </w:rPr>
        <w:t>cas).</w:t>
      </w:r>
    </w:p>
    <w:p w:rsidR="00637150" w:rsidRPr="00C76109" w:rsidRDefault="00A951D1" w:rsidP="00DF6A22">
      <w:pPr>
        <w:pStyle w:val="ONUMFS"/>
        <w:rPr>
          <w:lang w:val="fr-FR"/>
        </w:rPr>
      </w:pPr>
      <w:r w:rsidRPr="00C76109">
        <w:rPr>
          <w:lang w:val="fr-FR"/>
        </w:rPr>
        <w:t>Dans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idéal, les travaux menés pour définir </w:t>
      </w:r>
      <w:r w:rsidR="00A37E2D" w:rsidRPr="00C76109">
        <w:rPr>
          <w:lang w:val="fr-FR"/>
        </w:rPr>
        <w:t>une</w:t>
      </w:r>
      <w:r w:rsidRPr="00C76109">
        <w:rPr>
          <w:lang w:val="fr-FR"/>
        </w:rPr>
        <w:t xml:space="preserve"> norme</w:t>
      </w:r>
      <w:r w:rsidR="00BE1E5C" w:rsidRPr="00C76109">
        <w:rPr>
          <w:lang w:val="fr-FR"/>
        </w:rPr>
        <w:t> </w:t>
      </w:r>
      <w:r w:rsidRPr="00C76109">
        <w:rPr>
          <w:lang w:val="fr-FR"/>
        </w:rPr>
        <w:t>ST.96 pour les rapports de recherche et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examen doivent être considérés comme une possibilité de garantir que les rapports </w:t>
      </w:r>
      <w:r w:rsidR="00A37E2D" w:rsidRPr="00C76109">
        <w:rPr>
          <w:lang w:val="fr-FR"/>
        </w:rPr>
        <w:t>pourront</w:t>
      </w:r>
      <w:r w:rsidRPr="00C76109">
        <w:rPr>
          <w:lang w:val="fr-FR"/>
        </w:rPr>
        <w:t xml:space="preserve"> être établis et réutilisés</w:t>
      </w:r>
      <w:r w:rsidR="00A37E2D" w:rsidRPr="00C76109">
        <w:rPr>
          <w:lang w:val="fr-FR"/>
        </w:rPr>
        <w:t>,</w:t>
      </w:r>
      <w:r w:rsidRPr="00C76109">
        <w:rPr>
          <w:lang w:val="fr-FR"/>
        </w:rPr>
        <w:t xml:space="preserve"> et que les examinateurs n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</w:t>
      </w:r>
      <w:r w:rsidR="00A37E2D" w:rsidRPr="00C76109">
        <w:rPr>
          <w:lang w:val="fr-FR"/>
        </w:rPr>
        <w:t>uro</w:t>
      </w:r>
      <w:r w:rsidRPr="00C76109">
        <w:rPr>
          <w:lang w:val="fr-FR"/>
        </w:rPr>
        <w:t>nt jamais à saisir des données équivalentes à deux</w:t>
      </w:r>
      <w:r w:rsidR="00BE1E5C" w:rsidRPr="00C76109">
        <w:rPr>
          <w:lang w:val="fr-FR"/>
        </w:rPr>
        <w:t> </w:t>
      </w:r>
      <w:r w:rsidRPr="00C76109">
        <w:rPr>
          <w:lang w:val="fr-FR"/>
        </w:rPr>
        <w:t xml:space="preserve">reprises en raison de structures de données différentes. </w:t>
      </w:r>
      <w:r w:rsidR="007535CD" w:rsidRPr="00C76109">
        <w:rPr>
          <w:lang w:val="fr-FR"/>
        </w:rPr>
        <w:t xml:space="preserve"> </w:t>
      </w:r>
      <w:r w:rsidRPr="00C76109">
        <w:rPr>
          <w:lang w:val="fr-FR"/>
        </w:rPr>
        <w:t>Dans</w:t>
      </w:r>
      <w:r w:rsidR="00D2626A" w:rsidRPr="00C76109">
        <w:rPr>
          <w:lang w:val="fr-FR"/>
        </w:rPr>
        <w:t> </w:t>
      </w:r>
      <w:r w:rsidRPr="00C76109">
        <w:rPr>
          <w:lang w:val="fr-FR"/>
        </w:rPr>
        <w:t>ce</w:t>
      </w:r>
      <w:r w:rsidR="00D2626A" w:rsidRPr="00C76109">
        <w:rPr>
          <w:lang w:val="fr-FR"/>
        </w:rPr>
        <w:t> </w:t>
      </w:r>
      <w:r w:rsidRPr="00C76109">
        <w:rPr>
          <w:lang w:val="fr-FR"/>
        </w:rPr>
        <w:t>contexte, les offices doivent être prêts à modifier la norme</w:t>
      </w:r>
      <w:r w:rsidR="00BE1E5C" w:rsidRPr="00C76109">
        <w:rPr>
          <w:lang w:val="fr-FR"/>
        </w:rPr>
        <w:t> </w:t>
      </w:r>
      <w:r w:rsidRPr="00C76109">
        <w:rPr>
          <w:lang w:val="fr-FR"/>
        </w:rPr>
        <w:t>ST.36 et les formulaires papier relatifs à la recherche</w:t>
      </w:r>
      <w:r w:rsidR="00A37E2D" w:rsidRPr="00C76109">
        <w:rPr>
          <w:lang w:val="fr-FR"/>
        </w:rPr>
        <w:t xml:space="preserve"> PCT</w:t>
      </w:r>
      <w:r w:rsidRPr="00C76109">
        <w:rPr>
          <w:lang w:val="fr-FR"/>
        </w:rPr>
        <w:t xml:space="preserve"> et aux opinions écrites si un meilleur résultat peut être </w:t>
      </w:r>
      <w:r w:rsidR="00A37E2D" w:rsidRPr="00C76109">
        <w:rPr>
          <w:lang w:val="fr-FR"/>
        </w:rPr>
        <w:t>obtenu pour la réutilisati</w:t>
      </w:r>
      <w:r w:rsidRPr="00C76109">
        <w:rPr>
          <w:lang w:val="fr-FR"/>
        </w:rPr>
        <w:t>on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information entre les phases nationale et internationale.</w:t>
      </w:r>
    </w:p>
    <w:p w:rsidR="00637150" w:rsidRPr="00C76109" w:rsidRDefault="00A951D1" w:rsidP="001370E3">
      <w:pPr>
        <w:pStyle w:val="Heading1"/>
        <w:spacing w:before="360"/>
        <w:rPr>
          <w:lang w:val="fr-FR"/>
        </w:rPr>
      </w:pPr>
      <w:r w:rsidRPr="00C76109">
        <w:rPr>
          <w:lang w:val="fr-FR"/>
        </w:rPr>
        <w:t>Autres questions</w:t>
      </w:r>
    </w:p>
    <w:p w:rsidR="00637150" w:rsidRPr="00C76109" w:rsidRDefault="00A951D1" w:rsidP="00A951D1">
      <w:pPr>
        <w:pStyle w:val="Heading3"/>
        <w:rPr>
          <w:lang w:val="fr-FR"/>
        </w:rPr>
      </w:pPr>
      <w:r w:rsidRPr="00C76109">
        <w:rPr>
          <w:lang w:val="fr-FR"/>
        </w:rPr>
        <w:t>Plateforme mondiale de propriété intellectuelle</w:t>
      </w:r>
    </w:p>
    <w:p w:rsidR="00637150" w:rsidRPr="00C76109" w:rsidRDefault="00A37E2D" w:rsidP="00DF6A22">
      <w:pPr>
        <w:pStyle w:val="ONUMFS"/>
        <w:rPr>
          <w:lang w:val="fr-FR"/>
        </w:rPr>
      </w:pPr>
      <w:r w:rsidRPr="00C76109">
        <w:rPr>
          <w:lang w:val="fr-FR"/>
        </w:rPr>
        <w:t>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OMPI a lancé une initiative visant à introduire une seule plateforme informatique commune (ci</w:t>
      </w:r>
      <w:r w:rsidR="00A75C04" w:rsidRPr="00C76109">
        <w:rPr>
          <w:lang w:val="fr-FR"/>
        </w:rPr>
        <w:noBreakHyphen/>
      </w:r>
      <w:r w:rsidRPr="00C76109">
        <w:rPr>
          <w:lang w:val="fr-FR"/>
        </w:rPr>
        <w:t>après appelée “plateforme mondiale de propriété intellectuelle”) reliant les multiples plateformes informatiques sur lesquelles reposent les systèmes mondiaux de propriété intellectuelle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OMPI (PCT, Madrid, </w:t>
      </w:r>
      <w:r w:rsidR="00306570" w:rsidRPr="00C76109">
        <w:rPr>
          <w:lang w:val="fr-FR"/>
        </w:rPr>
        <w:t>La Haye</w:t>
      </w:r>
      <w:r w:rsidRPr="00C76109">
        <w:rPr>
          <w:lang w:val="fr-FR"/>
        </w:rPr>
        <w:t xml:space="preserve"> et Lisbonne), et les services du Centre</w:t>
      </w:r>
      <w:r w:rsidR="00D2626A" w:rsidRPr="00C76109">
        <w:rPr>
          <w:lang w:val="fr-FR"/>
        </w:rPr>
        <w:t> </w:t>
      </w:r>
      <w:r w:rsidRPr="00C76109">
        <w:rPr>
          <w:lang w:val="fr-FR"/>
        </w:rPr>
        <w:t>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arbitrage et de médiation et des autres systèmes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</w:t>
      </w:r>
      <w:r w:rsidR="00091022" w:rsidRPr="00C76109">
        <w:rPr>
          <w:lang w:val="fr-FR"/>
        </w:rPr>
        <w:t>MPI.  La</w:t>
      </w:r>
      <w:r w:rsidRPr="00C76109">
        <w:rPr>
          <w:lang w:val="fr-FR"/>
        </w:rPr>
        <w:t xml:space="preserve"> plateforme mondiale de propriété intellectuelle offrira un portail unique aux utilisateurs de tous ces services, qui sera accessible à partir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un compte OMPI unique propre à chaque utilisateur, et s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appuiera sur une politique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utilisation conviviale, une interface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utilisateur commune et un portail de paiement centr</w:t>
      </w:r>
      <w:r w:rsidR="00091022" w:rsidRPr="00C76109">
        <w:rPr>
          <w:lang w:val="fr-FR"/>
        </w:rPr>
        <w:t>al.  L’a</w:t>
      </w:r>
      <w:r w:rsidRPr="00C76109">
        <w:rPr>
          <w:lang w:val="fr-FR"/>
        </w:rPr>
        <w:t>ccès au système se fera par un compte à authentification unique capable de cartographier les différents utilisateurs des services mondiaux de protection de la propriété intellectuelle de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OMPI ainsi que les entités qu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ils représente</w:t>
      </w:r>
      <w:r w:rsidR="00091022" w:rsidRPr="00C76109">
        <w:rPr>
          <w:lang w:val="fr-FR"/>
        </w:rPr>
        <w:t>nt.  Ce</w:t>
      </w:r>
      <w:r w:rsidRPr="00C76109">
        <w:rPr>
          <w:lang w:val="fr-FR"/>
        </w:rPr>
        <w:t>s services communs devraient offrir aux déposants et aux offices une plus large gamme de services, fournis de manière plus simple et plus cohérente.</w:t>
      </w:r>
    </w:p>
    <w:p w:rsidR="00306570" w:rsidRPr="00C76109" w:rsidRDefault="00A95AC5" w:rsidP="00DF6A22">
      <w:pPr>
        <w:pStyle w:val="ONUMFS"/>
        <w:rPr>
          <w:lang w:val="fr-FR"/>
        </w:rPr>
      </w:pPr>
      <w:r w:rsidRPr="00C76109">
        <w:rPr>
          <w:lang w:val="fr-FR"/>
        </w:rPr>
        <w:t>Il est demandé aux offices nationaux de propriété intellectuelle, parties prenantes essentielles de la plateforme mondiale de propriété intellectuelle, de chercher des moyens de favoriser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interopérabilité de leurs systèmes de gestion et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authentification des comptes et de </w:t>
      </w:r>
      <w:r w:rsidRPr="00C76109">
        <w:rPr>
          <w:lang w:val="fr-FR"/>
        </w:rPr>
        <w:lastRenderedPageBreak/>
        <w:t>la plateforme mondiale de propriété intellectuelle, ainsi que de s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interroger sur la manière dont le système pourrait mieux les aider, </w:t>
      </w:r>
      <w:r w:rsidR="00306570" w:rsidRPr="00C76109">
        <w:rPr>
          <w:lang w:val="fr-FR"/>
        </w:rPr>
        <w:t>y compris</w:t>
      </w:r>
      <w:r w:rsidRPr="00C76109">
        <w:rPr>
          <w:lang w:val="fr-FR"/>
        </w:rPr>
        <w:t xml:space="preserve"> avec de nouvelles interfaces de programmation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applications et de nouveaux services visant à garantir que les données sont échangées efficacement avec les systèmes nationaux, en tenant compte de questions communes aux dessins et modèles, aux marques et aux brevets.</w:t>
      </w:r>
    </w:p>
    <w:p w:rsidR="00637150" w:rsidRPr="00C76109" w:rsidRDefault="00A95AC5" w:rsidP="00A95AC5">
      <w:pPr>
        <w:pStyle w:val="Heading3"/>
        <w:rPr>
          <w:lang w:val="fr-FR"/>
        </w:rPr>
      </w:pPr>
      <w:r w:rsidRPr="00C76109">
        <w:rPr>
          <w:lang w:val="fr-FR"/>
        </w:rPr>
        <w:t>Dessins en couleur</w:t>
      </w:r>
    </w:p>
    <w:p w:rsidR="00637150" w:rsidRPr="00C76109" w:rsidRDefault="00CE4F8C" w:rsidP="00DF6A22">
      <w:pPr>
        <w:pStyle w:val="ONUMFS"/>
        <w:rPr>
          <w:lang w:val="fr-FR"/>
        </w:rPr>
      </w:pPr>
      <w:r w:rsidRPr="00C76109">
        <w:rPr>
          <w:lang w:val="fr-FR"/>
        </w:rPr>
        <w:t xml:space="preserve">La solution provisoire décrite aux </w:t>
      </w:r>
      <w:r w:rsidR="00306570" w:rsidRPr="00C76109">
        <w:rPr>
          <w:lang w:val="fr-FR"/>
        </w:rPr>
        <w:t>paragraphes 1</w:t>
      </w:r>
      <w:r w:rsidRPr="00C76109">
        <w:rPr>
          <w:lang w:val="fr-FR"/>
        </w:rPr>
        <w:t>1 à 15 du document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PCT/WG/9/19 est désormais disponible pour certaines voies de dépôt et certains offices récepteu</w:t>
      </w:r>
      <w:r w:rsidR="00091022" w:rsidRPr="00C76109">
        <w:rPr>
          <w:lang w:val="fr-FR"/>
        </w:rPr>
        <w:t>rs.  Po</w:t>
      </w:r>
      <w:r w:rsidRPr="00C76109">
        <w:rPr>
          <w:lang w:val="fr-FR"/>
        </w:rPr>
        <w:t>ur les demandes électroniques déposées auprès de certains offices récepteurs qui utilisent le logiciel PCT</w:t>
      </w:r>
      <w:r w:rsidR="00A75C04" w:rsidRPr="00C76109">
        <w:rPr>
          <w:lang w:val="fr-FR"/>
        </w:rPr>
        <w:noBreakHyphen/>
      </w:r>
      <w:r w:rsidRPr="00C76109">
        <w:rPr>
          <w:lang w:val="fr-FR"/>
        </w:rPr>
        <w:t>SAFE ou le système ePCT, il est dorénavant possible de cocher une case pour indiquer que la demande téléchargée au format XML ou PDF contient des images en coule</w:t>
      </w:r>
      <w:r w:rsidR="00091022" w:rsidRPr="00C76109">
        <w:rPr>
          <w:lang w:val="fr-FR"/>
        </w:rPr>
        <w:t>ur.  Si</w:t>
      </w:r>
      <w:r w:rsidRPr="00C76109">
        <w:rPr>
          <w:lang w:val="fr-FR"/>
        </w:rPr>
        <w:t xml:space="preserve"> cette case est cochée, une mention apparaît sur la page de couverture de la demande publiée, indiquant que le document original contenait des images en couleur et qu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il peut être téléchargé depuis PATENTSC</w:t>
      </w:r>
      <w:r w:rsidR="00091022" w:rsidRPr="00C76109">
        <w:rPr>
          <w:lang w:val="fr-FR"/>
        </w:rPr>
        <w:t>OPE.  Le</w:t>
      </w:r>
      <w:r w:rsidRPr="00C76109">
        <w:rPr>
          <w:lang w:val="fr-FR"/>
        </w:rPr>
        <w:t>s détails techniques requis pour les offices récepteurs souhaitant mettre en œuvre cet arrangement dans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autres logiciels sont indiqués dans le document PCT/EF/PFC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17/003.</w:t>
      </w:r>
    </w:p>
    <w:p w:rsidR="00637150" w:rsidRPr="00C76109" w:rsidRDefault="00CE4F8C" w:rsidP="00DF6A22">
      <w:pPr>
        <w:pStyle w:val="ONUMFS"/>
        <w:rPr>
          <w:lang w:val="fr-FR"/>
        </w:rPr>
      </w:pPr>
      <w:r w:rsidRPr="00C76109">
        <w:rPr>
          <w:lang w:val="fr-FR"/>
        </w:rPr>
        <w:t>Il convient de no</w:t>
      </w:r>
      <w:r w:rsidR="008A6BD4" w:rsidRPr="00C76109">
        <w:rPr>
          <w:lang w:val="fr-FR"/>
        </w:rPr>
        <w:t>t</w:t>
      </w:r>
      <w:r w:rsidRPr="00C76109">
        <w:rPr>
          <w:lang w:val="fr-FR"/>
        </w:rPr>
        <w:t>er que cette solution provisoire n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 aucun effet sur</w:t>
      </w:r>
      <w:r w:rsidR="00306570" w:rsidRPr="00C76109">
        <w:rPr>
          <w:lang w:val="fr-FR"/>
        </w:rPr>
        <w:t> :</w:t>
      </w:r>
    </w:p>
    <w:p w:rsidR="00637150" w:rsidRPr="00C76109" w:rsidRDefault="00CE4F8C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exigence selon laquelle, en principe, les dessins doivent toujours être fournis au trait en noir et blanc;</w:t>
      </w:r>
    </w:p>
    <w:p w:rsidR="00637150" w:rsidRPr="00C76109" w:rsidRDefault="008A6BD4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le fait que toute image en couleur (</w:t>
      </w:r>
      <w:r w:rsidR="00306570" w:rsidRPr="00C76109">
        <w:rPr>
          <w:lang w:val="fr-FR"/>
        </w:rPr>
        <w:t>y compris</w:t>
      </w:r>
      <w:r w:rsidRPr="00C76109">
        <w:rPr>
          <w:lang w:val="fr-FR"/>
        </w:rPr>
        <w:t xml:space="preserve"> avec des niveaux de gris) reçue continue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être convertie en format noir et blanc pour la publication officielle;  ou</w:t>
      </w:r>
    </w:p>
    <w:p w:rsidR="00637150" w:rsidRPr="00C76109" w:rsidRDefault="008A6BD4" w:rsidP="00DF6A22">
      <w:pPr>
        <w:pStyle w:val="ONUMFS"/>
        <w:numPr>
          <w:ilvl w:val="1"/>
          <w:numId w:val="6"/>
        </w:numPr>
        <w:rPr>
          <w:lang w:val="fr-FR"/>
        </w:rPr>
      </w:pPr>
      <w:r w:rsidRPr="00C76109">
        <w:rPr>
          <w:lang w:val="fr-FR"/>
        </w:rPr>
        <w:t>le droit des offices désignés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exiger des dessins au trait en noir et blanc durant la phase nationale.</w:t>
      </w:r>
    </w:p>
    <w:p w:rsidR="00637150" w:rsidRPr="00C76109" w:rsidRDefault="008A6BD4" w:rsidP="00DF6A22">
      <w:pPr>
        <w:pStyle w:val="ONUMFS"/>
        <w:rPr>
          <w:lang w:val="fr-FR"/>
        </w:rPr>
      </w:pPr>
      <w:r w:rsidRPr="00C76109">
        <w:rPr>
          <w:lang w:val="fr-FR"/>
        </w:rPr>
        <w:t>Le but de cette solution provisoire n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est pas de favoriser les images en couleur, mais de reconnaître que de nombreuses demandes internationales contiennent en fait des images en couleur</w:t>
      </w:r>
      <w:r w:rsidR="00B47A5B" w:rsidRPr="00C76109">
        <w:rPr>
          <w:lang w:val="fr-FR"/>
        </w:rPr>
        <w:t>,</w:t>
      </w:r>
      <w:r w:rsidRPr="00C76109">
        <w:rPr>
          <w:lang w:val="fr-FR"/>
        </w:rPr>
        <w:t xml:space="preserve"> et de permettre aux offices désignés qui autorisent les images en couleur d</w:t>
      </w:r>
      <w:r w:rsidR="00B47A5B" w:rsidRPr="00C76109">
        <w:rPr>
          <w:lang w:val="fr-FR"/>
        </w:rPr>
        <w:t>ans</w:t>
      </w:r>
      <w:r w:rsidRPr="00C76109">
        <w:rPr>
          <w:lang w:val="fr-FR"/>
        </w:rPr>
        <w:t xml:space="preserve"> leur phase nationale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accéder plus facilement au document origin</w:t>
      </w:r>
      <w:r w:rsidR="00091022" w:rsidRPr="00C76109">
        <w:rPr>
          <w:lang w:val="fr-FR"/>
        </w:rPr>
        <w:t>al.  Le</w:t>
      </w:r>
      <w:r w:rsidRPr="00C76109">
        <w:rPr>
          <w:lang w:val="fr-FR"/>
        </w:rPr>
        <w:t>s déposants qui soumettent des images en couleur doivent savoir qu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il peut souvent être difficile ou impossible de fournir des feuilles de remplacement appropriées en noir et blanc pour la phase nationale sans être confrontés à des objections quant aux objets ajoutés.</w:t>
      </w:r>
    </w:p>
    <w:p w:rsidR="00637150" w:rsidRPr="00C76109" w:rsidRDefault="00B47A5B" w:rsidP="00DF6A22">
      <w:pPr>
        <w:pStyle w:val="ONUMFS"/>
        <w:rPr>
          <w:lang w:val="fr-FR"/>
        </w:rPr>
      </w:pPr>
      <w:r w:rsidRPr="00C76109">
        <w:rPr>
          <w:lang w:val="fr-FR"/>
        </w:rPr>
        <w:t>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objectif du Bureau international reste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offrir un traitement intégral en couleur des demandes internationales pendant la phase internationale, ainsi qu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un cadre juridique efficace, afin que les dessins en couleur puissent être reconnus pendant la phase nationa</w:t>
      </w:r>
      <w:r w:rsidR="00091022" w:rsidRPr="00C76109">
        <w:rPr>
          <w:lang w:val="fr-FR"/>
        </w:rPr>
        <w:t>le.  Ce</w:t>
      </w:r>
      <w:r w:rsidRPr="00C76109">
        <w:rPr>
          <w:lang w:val="fr-FR"/>
        </w:rPr>
        <w:t>pendant, les difficultés techniques sont considérables et le coût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 xml:space="preserve">une mise en œuvre isolée serait élevé. </w:t>
      </w:r>
      <w:r w:rsidR="007535CD" w:rsidRPr="00C76109">
        <w:rPr>
          <w:lang w:val="fr-FR"/>
        </w:rPr>
        <w:t xml:space="preserve"> </w:t>
      </w:r>
      <w:r w:rsidRPr="00C76109">
        <w:rPr>
          <w:lang w:val="fr-FR"/>
        </w:rPr>
        <w:t>Ces travaux se poursuivent dans le cadre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un examen plus large des arrangements en matière de réception, de traitement, de modification et de publication des corps de demandes, tenant compte également du souhait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un traitement efficace en texte intégral.</w:t>
      </w:r>
    </w:p>
    <w:p w:rsidR="00637150" w:rsidRPr="00C76109" w:rsidRDefault="00B47A5B" w:rsidP="00B47A5B">
      <w:pPr>
        <w:pStyle w:val="Heading3"/>
        <w:rPr>
          <w:lang w:val="fr-FR"/>
        </w:rPr>
      </w:pPr>
      <w:r w:rsidRPr="00C76109">
        <w:rPr>
          <w:lang w:val="fr-FR"/>
        </w:rPr>
        <w:t>Entrée dans la phase nationale</w:t>
      </w:r>
    </w:p>
    <w:p w:rsidR="00637150" w:rsidRPr="00C76109" w:rsidRDefault="00025177" w:rsidP="00DF6A22">
      <w:pPr>
        <w:pStyle w:val="ONUMFS"/>
        <w:rPr>
          <w:lang w:val="fr-FR"/>
        </w:rPr>
      </w:pPr>
      <w:r w:rsidRPr="00C76109">
        <w:rPr>
          <w:lang w:val="fr-FR"/>
        </w:rPr>
        <w:t xml:space="preserve">À la suite de la modification de la </w:t>
      </w:r>
      <w:r w:rsidR="00306570" w:rsidRPr="00C76109">
        <w:rPr>
          <w:lang w:val="fr-FR"/>
        </w:rPr>
        <w:t>règle 9</w:t>
      </w:r>
      <w:r w:rsidRPr="00C76109">
        <w:rPr>
          <w:lang w:val="fr-FR"/>
        </w:rPr>
        <w:t>5 du règlement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exécution</w:t>
      </w:r>
      <w:r w:rsidR="00306570" w:rsidRPr="00C76109">
        <w:rPr>
          <w:lang w:val="fr-FR"/>
        </w:rPr>
        <w:t xml:space="preserve"> du PCT</w:t>
      </w:r>
      <w:r w:rsidRPr="00C76109">
        <w:rPr>
          <w:lang w:val="fr-FR"/>
        </w:rPr>
        <w:t>, exigeant la transmission régulière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informations sur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ouverture de la phase nationale, seuls 43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offices ont soumis des informations dans les six</w:t>
      </w:r>
      <w:r w:rsidR="00BE1E5C" w:rsidRPr="00C76109">
        <w:rPr>
          <w:lang w:val="fr-FR"/>
        </w:rPr>
        <w:t> </w:t>
      </w:r>
      <w:r w:rsidRPr="00C76109">
        <w:rPr>
          <w:lang w:val="fr-FR"/>
        </w:rPr>
        <w:t>mois suivant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entrée en vigueur de la règle modifiée, le</w:t>
      </w:r>
      <w:r w:rsidR="00306570" w:rsidRPr="00C76109">
        <w:rPr>
          <w:lang w:val="fr-FR"/>
        </w:rPr>
        <w:t xml:space="preserve"> 1</w:t>
      </w:r>
      <w:r w:rsidR="00306570" w:rsidRPr="00C76109">
        <w:rPr>
          <w:vertAlign w:val="superscript"/>
          <w:lang w:val="fr-FR"/>
        </w:rPr>
        <w:t>er</w:t>
      </w:r>
      <w:r w:rsidR="00306570" w:rsidRPr="00C76109">
        <w:rPr>
          <w:lang w:val="fr-FR"/>
        </w:rPr>
        <w:t> juillet 20</w:t>
      </w:r>
      <w:r w:rsidRPr="00C76109">
        <w:rPr>
          <w:lang w:val="fr-FR"/>
        </w:rPr>
        <w:t>17.</w:t>
      </w:r>
      <w:r w:rsidR="007535CD" w:rsidRPr="00C76109">
        <w:rPr>
          <w:lang w:val="fr-FR"/>
        </w:rPr>
        <w:t xml:space="preserve">  </w:t>
      </w:r>
      <w:r w:rsidRPr="00C76109">
        <w:rPr>
          <w:lang w:val="fr-FR"/>
        </w:rPr>
        <w:t>Sur ces 43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offices, moins de la moitié transmettent des données actualisées sur une base mensuelle, et bon nombre des lots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informations reçus n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ont pu être traités de manière automatique dans leur intégrali</w:t>
      </w:r>
      <w:r w:rsidR="00091022" w:rsidRPr="00C76109">
        <w:rPr>
          <w:lang w:val="fr-FR"/>
        </w:rPr>
        <w:t>té.  Le</w:t>
      </w:r>
      <w:r w:rsidRPr="00C76109">
        <w:rPr>
          <w:lang w:val="fr-FR"/>
        </w:rPr>
        <w:t xml:space="preserve"> Bureau international travaille en collaboration étroite avec bon nombre des offices désignés concernés pour résoudre ce problè</w:t>
      </w:r>
      <w:r w:rsidR="00091022" w:rsidRPr="00C76109">
        <w:rPr>
          <w:lang w:val="fr-FR"/>
        </w:rPr>
        <w:t>me.  Un</w:t>
      </w:r>
      <w:r w:rsidR="00D2626A" w:rsidRPr="00C76109">
        <w:rPr>
          <w:lang w:val="fr-FR"/>
        </w:rPr>
        <w:t> </w:t>
      </w:r>
      <w:r w:rsidRPr="00C76109">
        <w:rPr>
          <w:lang w:val="fr-FR"/>
        </w:rPr>
        <w:t>examen plus détaillé est contenu dans le document</w:t>
      </w:r>
      <w:r w:rsidR="00130590" w:rsidRPr="00C76109">
        <w:rPr>
          <w:lang w:val="fr-FR"/>
        </w:rPr>
        <w:t> </w:t>
      </w:r>
      <w:r w:rsidRPr="00C76109">
        <w:rPr>
          <w:lang w:val="fr-FR"/>
        </w:rPr>
        <w:t>PCT/WG/11/10.</w:t>
      </w:r>
    </w:p>
    <w:p w:rsidR="00306570" w:rsidRPr="00C76109" w:rsidRDefault="00025177" w:rsidP="00025177">
      <w:pPr>
        <w:pStyle w:val="Heading3"/>
        <w:rPr>
          <w:lang w:val="fr-FR"/>
        </w:rPr>
      </w:pPr>
      <w:r w:rsidRPr="00C76109">
        <w:rPr>
          <w:lang w:val="fr-FR"/>
        </w:rPr>
        <w:lastRenderedPageBreak/>
        <w:t>Listages de séquences</w:t>
      </w:r>
    </w:p>
    <w:p w:rsidR="00306570" w:rsidRDefault="00025177" w:rsidP="00DF6A22">
      <w:pPr>
        <w:pStyle w:val="ONUMFS"/>
        <w:rPr>
          <w:lang w:val="fr-FR"/>
        </w:rPr>
      </w:pPr>
      <w:r w:rsidRPr="00C76109">
        <w:rPr>
          <w:lang w:val="fr-FR"/>
        </w:rPr>
        <w:t>Le secteur</w:t>
      </w:r>
      <w:r w:rsidR="00306570" w:rsidRPr="00C76109">
        <w:rPr>
          <w:lang w:val="fr-FR"/>
        </w:rPr>
        <w:t xml:space="preserve"> du PCT</w:t>
      </w:r>
      <w:r w:rsidRPr="00C76109">
        <w:rPr>
          <w:lang w:val="fr-FR"/>
        </w:rPr>
        <w:t xml:space="preserve"> est étroitement associé à la mise au point de nouveaux outils visant à appuyer la nouvelle norme</w:t>
      </w:r>
      <w:r w:rsidR="00BE1E5C" w:rsidRPr="00C76109">
        <w:rPr>
          <w:lang w:val="fr-FR"/>
        </w:rPr>
        <w:t> </w:t>
      </w:r>
      <w:r w:rsidRPr="00C76109">
        <w:rPr>
          <w:lang w:val="fr-FR"/>
        </w:rPr>
        <w:t>ST.26 en XML pour les listages de séquences.</w:t>
      </w:r>
    </w:p>
    <w:p w:rsidR="00637150" w:rsidRPr="00C76109" w:rsidRDefault="00025177" w:rsidP="00025177">
      <w:pPr>
        <w:pStyle w:val="Heading3"/>
        <w:rPr>
          <w:lang w:val="fr-FR"/>
        </w:rPr>
      </w:pPr>
      <w:r w:rsidRPr="00C76109">
        <w:rPr>
          <w:lang w:val="fr-FR"/>
        </w:rPr>
        <w:t>Télécopies</w:t>
      </w:r>
    </w:p>
    <w:p w:rsidR="00637150" w:rsidRPr="00C76109" w:rsidRDefault="00637150" w:rsidP="00DF6A22">
      <w:pPr>
        <w:pStyle w:val="ONUMFS"/>
        <w:rPr>
          <w:lang w:val="fr-FR"/>
        </w:rPr>
      </w:pPr>
      <w:r w:rsidRPr="00C76109">
        <w:rPr>
          <w:lang w:val="fr-FR"/>
        </w:rPr>
        <w:t>Le Bureau international a récemment pris conscience du fait que les télécopies pouvaient être perdues ou corrompues, sans préavis à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expéditeur, lorsqu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une partie de la chaîne de connexion passait au réseau IP.</w:t>
      </w:r>
      <w:r w:rsidR="007535CD" w:rsidRPr="00C76109">
        <w:rPr>
          <w:lang w:val="fr-FR"/>
        </w:rPr>
        <w:t xml:space="preserve">  </w:t>
      </w:r>
      <w:r w:rsidRPr="00C76109">
        <w:rPr>
          <w:lang w:val="fr-FR"/>
        </w:rPr>
        <w:t>Ce problème est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autant plus important qu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un nombre croissant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entreprises et d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opérateurs de télécommunications abandonnent les services analogiqu</w:t>
      </w:r>
      <w:r w:rsidR="00091022" w:rsidRPr="00C76109">
        <w:rPr>
          <w:lang w:val="fr-FR"/>
        </w:rPr>
        <w:t>es.  De</w:t>
      </w:r>
      <w:r w:rsidRPr="00C76109">
        <w:rPr>
          <w:lang w:val="fr-FR"/>
        </w:rPr>
        <w:t>puis le</w:t>
      </w:r>
      <w:r w:rsidR="00306570" w:rsidRPr="00C76109">
        <w:rPr>
          <w:lang w:val="fr-FR"/>
        </w:rPr>
        <w:t xml:space="preserve"> 1</w:t>
      </w:r>
      <w:r w:rsidR="00306570" w:rsidRPr="00C76109">
        <w:rPr>
          <w:vertAlign w:val="superscript"/>
          <w:lang w:val="fr-FR"/>
        </w:rPr>
        <w:t>er</w:t>
      </w:r>
      <w:r w:rsidR="00306570" w:rsidRPr="00C76109">
        <w:rPr>
          <w:lang w:val="fr-FR"/>
        </w:rPr>
        <w:t> janvier 20</w:t>
      </w:r>
      <w:r w:rsidRPr="00C76109">
        <w:rPr>
          <w:lang w:val="fr-FR"/>
        </w:rPr>
        <w:t>18, l</w:t>
      </w:r>
      <w:r w:rsidR="00306570" w:rsidRPr="00C76109">
        <w:rPr>
          <w:lang w:val="fr-FR"/>
        </w:rPr>
        <w:t>’</w:t>
      </w:r>
      <w:r w:rsidRPr="00C76109">
        <w:rPr>
          <w:lang w:val="fr-FR"/>
        </w:rPr>
        <w:t>opérateur de télécommunications du Bureau</w:t>
      </w:r>
      <w:r w:rsidR="00D2626A" w:rsidRPr="00C76109">
        <w:rPr>
          <w:lang w:val="fr-FR"/>
        </w:rPr>
        <w:t> </w:t>
      </w:r>
      <w:r w:rsidRPr="00C76109">
        <w:rPr>
          <w:lang w:val="fr-FR"/>
        </w:rPr>
        <w:t>international a cessé de fournir des services analogiqu</w:t>
      </w:r>
      <w:r w:rsidR="00091022" w:rsidRPr="00C76109">
        <w:rPr>
          <w:lang w:val="fr-FR"/>
        </w:rPr>
        <w:t>es.  En</w:t>
      </w:r>
      <w:r w:rsidR="00A60CEF" w:rsidRPr="00C76109">
        <w:rPr>
          <w:lang w:val="fr-FR"/>
        </w:rPr>
        <w:t xml:space="preserve"> conséquence, le Bureau</w:t>
      </w:r>
      <w:r w:rsidR="00D2626A" w:rsidRPr="00C76109">
        <w:rPr>
          <w:lang w:val="fr-FR"/>
        </w:rPr>
        <w:t> </w:t>
      </w:r>
      <w:r w:rsidR="00A60CEF" w:rsidRPr="00C76109">
        <w:rPr>
          <w:lang w:val="fr-FR"/>
        </w:rPr>
        <w:t>international recommande vivement que les déposants et les offices cessent d</w:t>
      </w:r>
      <w:r w:rsidR="00306570" w:rsidRPr="00C76109">
        <w:rPr>
          <w:lang w:val="fr-FR"/>
        </w:rPr>
        <w:t>’</w:t>
      </w:r>
      <w:r w:rsidR="00A60CEF" w:rsidRPr="00C76109">
        <w:rPr>
          <w:lang w:val="fr-FR"/>
        </w:rPr>
        <w:t>envoyer des documents par télécopie au Bureau internation</w:t>
      </w:r>
      <w:r w:rsidR="00091022" w:rsidRPr="00C76109">
        <w:rPr>
          <w:lang w:val="fr-FR"/>
        </w:rPr>
        <w:t>al.  De</w:t>
      </w:r>
      <w:r w:rsidR="00A60CEF" w:rsidRPr="00C76109">
        <w:rPr>
          <w:lang w:val="fr-FR"/>
        </w:rPr>
        <w:t>s consultations seront prochainement menées concernant une proposition de retrait des services de télécopie pour les communications</w:t>
      </w:r>
      <w:r w:rsidR="00306570" w:rsidRPr="00C76109">
        <w:rPr>
          <w:lang w:val="fr-FR"/>
        </w:rPr>
        <w:t xml:space="preserve"> du PCT</w:t>
      </w:r>
      <w:r w:rsidR="00A60CEF" w:rsidRPr="00C76109">
        <w:rPr>
          <w:lang w:val="fr-FR"/>
        </w:rPr>
        <w:t xml:space="preserve"> au Bureau international à la fin de l</w:t>
      </w:r>
      <w:r w:rsidR="00306570" w:rsidRPr="00C76109">
        <w:rPr>
          <w:lang w:val="fr-FR"/>
        </w:rPr>
        <w:t>’</w:t>
      </w:r>
      <w:r w:rsidR="00A60CEF" w:rsidRPr="00C76109">
        <w:rPr>
          <w:lang w:val="fr-FR"/>
        </w:rPr>
        <w:t>année.</w:t>
      </w:r>
    </w:p>
    <w:p w:rsidR="00637150" w:rsidRPr="00DF6A22" w:rsidRDefault="00A60CEF" w:rsidP="00DF6A22">
      <w:pPr>
        <w:pStyle w:val="ONUMFS"/>
        <w:ind w:left="5534"/>
        <w:rPr>
          <w:i/>
          <w:lang w:val="fr-FR"/>
        </w:rPr>
      </w:pPr>
      <w:r w:rsidRPr="00DF6A22">
        <w:rPr>
          <w:i/>
          <w:lang w:val="fr-FR"/>
        </w:rPr>
        <w:t>Le groupe de travail est invité</w:t>
      </w:r>
    </w:p>
    <w:p w:rsidR="00637150" w:rsidRPr="00C76109" w:rsidRDefault="00A60CEF" w:rsidP="00A60CEF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  <w:lang w:val="fr-FR"/>
        </w:rPr>
      </w:pPr>
      <w:r w:rsidRPr="00C76109">
        <w:rPr>
          <w:i/>
          <w:lang w:val="fr-FR"/>
        </w:rPr>
        <w:t xml:space="preserve">i) </w:t>
      </w:r>
      <w:r w:rsidR="00E926EA">
        <w:rPr>
          <w:i/>
          <w:lang w:val="fr-FR"/>
        </w:rPr>
        <w:tab/>
      </w:r>
      <w:r w:rsidRPr="00C76109">
        <w:rPr>
          <w:i/>
          <w:lang w:val="fr-FR"/>
        </w:rPr>
        <w:t>à prendre note des faits nouveaux concernant les services en ligne</w:t>
      </w:r>
      <w:r w:rsidR="00306570" w:rsidRPr="00C76109">
        <w:rPr>
          <w:i/>
          <w:lang w:val="fr-FR"/>
        </w:rPr>
        <w:t xml:space="preserve"> du PCT</w:t>
      </w:r>
      <w:r w:rsidRPr="00C76109">
        <w:rPr>
          <w:i/>
          <w:lang w:val="fr-FR"/>
        </w:rPr>
        <w:t>;</w:t>
      </w:r>
    </w:p>
    <w:p w:rsidR="00637150" w:rsidRPr="00C76109" w:rsidRDefault="00A60CEF" w:rsidP="00A60CEF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  <w:lang w:val="fr-FR"/>
        </w:rPr>
      </w:pPr>
      <w:r w:rsidRPr="00C76109">
        <w:rPr>
          <w:lang w:val="fr-FR"/>
        </w:rPr>
        <w:t xml:space="preserve">ii) </w:t>
      </w:r>
      <w:r w:rsidR="00E926EA">
        <w:rPr>
          <w:lang w:val="fr-FR"/>
        </w:rPr>
        <w:tab/>
      </w:r>
      <w:r w:rsidRPr="00C76109">
        <w:rPr>
          <w:i/>
          <w:lang w:val="fr-FR"/>
        </w:rPr>
        <w:t>à faire part de ses observations sur les priorités proposées, pour suite à donner par le Bureau international;  et</w:t>
      </w:r>
    </w:p>
    <w:p w:rsidR="00637150" w:rsidRPr="00C76109" w:rsidRDefault="00A60CEF" w:rsidP="00A60CEF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  <w:iCs/>
          <w:lang w:val="fr-FR"/>
        </w:rPr>
      </w:pPr>
      <w:r w:rsidRPr="00C76109">
        <w:rPr>
          <w:i/>
          <w:iCs/>
          <w:lang w:val="fr-FR"/>
        </w:rPr>
        <w:t xml:space="preserve">iii) </w:t>
      </w:r>
      <w:r w:rsidR="00E926EA">
        <w:rPr>
          <w:i/>
          <w:iCs/>
          <w:lang w:val="fr-FR"/>
        </w:rPr>
        <w:tab/>
      </w:r>
      <w:r w:rsidRPr="00C76109">
        <w:rPr>
          <w:i/>
          <w:iCs/>
          <w:lang w:val="fr-FR"/>
        </w:rPr>
        <w:t>à déterminer quelles sont les autres questions qui devraient être traitées en priorité en ce qui concerne les services en ligne</w:t>
      </w:r>
      <w:r w:rsidR="00306570" w:rsidRPr="00C76109">
        <w:rPr>
          <w:i/>
          <w:iCs/>
          <w:lang w:val="fr-FR"/>
        </w:rPr>
        <w:t xml:space="preserve"> du PCT</w:t>
      </w:r>
      <w:r w:rsidRPr="00C76109">
        <w:rPr>
          <w:i/>
          <w:iCs/>
          <w:lang w:val="fr-FR"/>
        </w:rPr>
        <w:t>, pour aider les administrations internationales dans leurs travaux.</w:t>
      </w:r>
    </w:p>
    <w:p w:rsidR="00637150" w:rsidRDefault="00637150" w:rsidP="007535CD">
      <w:pPr>
        <w:rPr>
          <w:lang w:val="fr-FR"/>
        </w:rPr>
      </w:pPr>
    </w:p>
    <w:p w:rsidR="00AD1FB9" w:rsidRPr="00C76109" w:rsidRDefault="00AD1FB9" w:rsidP="007535CD">
      <w:pPr>
        <w:rPr>
          <w:lang w:val="fr-FR"/>
        </w:rPr>
      </w:pPr>
    </w:p>
    <w:p w:rsidR="00637150" w:rsidRPr="00C76109" w:rsidRDefault="00A60CEF" w:rsidP="005C11F7">
      <w:pPr>
        <w:pStyle w:val="Endofdocument-Annex"/>
        <w:rPr>
          <w:lang w:val="fr-FR"/>
        </w:rPr>
      </w:pPr>
      <w:r w:rsidRPr="00C76109">
        <w:rPr>
          <w:lang w:val="fr-FR"/>
        </w:rPr>
        <w:t>[Fin du document]</w:t>
      </w:r>
      <w:bookmarkStart w:id="6" w:name="_GoBack"/>
      <w:bookmarkEnd w:id="6"/>
    </w:p>
    <w:sectPr w:rsidR="00637150" w:rsidRPr="00C76109" w:rsidSect="009B4413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DD1" w:rsidRDefault="00261DD1">
      <w:r>
        <w:separator/>
      </w:r>
    </w:p>
  </w:endnote>
  <w:endnote w:type="continuationSeparator" w:id="0">
    <w:p w:rsidR="00261DD1" w:rsidRDefault="00261DD1" w:rsidP="003B38C1">
      <w:r>
        <w:separator/>
      </w:r>
    </w:p>
    <w:p w:rsidR="00261DD1" w:rsidRPr="003B38C1" w:rsidRDefault="00261D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61DD1" w:rsidRPr="003B38C1" w:rsidRDefault="00261D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DD1" w:rsidRDefault="00261DD1">
      <w:r>
        <w:separator/>
      </w:r>
    </w:p>
  </w:footnote>
  <w:footnote w:type="continuationSeparator" w:id="0">
    <w:p w:rsidR="00261DD1" w:rsidRDefault="00261DD1" w:rsidP="008B60B2">
      <w:r>
        <w:separator/>
      </w:r>
    </w:p>
    <w:p w:rsidR="00261DD1" w:rsidRPr="00ED77FB" w:rsidRDefault="00261D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61DD1" w:rsidRPr="00ED77FB" w:rsidRDefault="00261D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535CD" w:rsidP="00477D6B">
    <w:pPr>
      <w:jc w:val="right"/>
    </w:pPr>
    <w:bookmarkStart w:id="7" w:name="Code2"/>
    <w:bookmarkEnd w:id="7"/>
    <w:r>
      <w:t>P</w:t>
    </w:r>
    <w:r w:rsidR="00F81156">
      <w:t>CT/WG/11/9</w:t>
    </w:r>
  </w:p>
  <w:p w:rsidR="00EC4E49" w:rsidRDefault="00EC4E49" w:rsidP="00477D6B">
    <w:pPr>
      <w:jc w:val="right"/>
    </w:pPr>
    <w:r>
      <w:t>page</w:t>
    </w:r>
    <w:r w:rsidR="0013059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C11F7">
      <w:rPr>
        <w:noProof/>
      </w:rPr>
      <w:t>8</w:t>
    </w:r>
    <w:r>
      <w:fldChar w:fldCharType="end"/>
    </w:r>
  </w:p>
  <w:p w:rsidR="00EC4E49" w:rsidRDefault="00EC4E49" w:rsidP="00477D6B">
    <w:pPr>
      <w:jc w:val="right"/>
    </w:pPr>
  </w:p>
  <w:p w:rsidR="00A950FD" w:rsidRDefault="00A950F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31AFA6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392EEC4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7535CD"/>
    <w:rsid w:val="00014D92"/>
    <w:rsid w:val="00025177"/>
    <w:rsid w:val="00041FB3"/>
    <w:rsid w:val="00043CAA"/>
    <w:rsid w:val="00051335"/>
    <w:rsid w:val="00075432"/>
    <w:rsid w:val="00091022"/>
    <w:rsid w:val="000968ED"/>
    <w:rsid w:val="000A5338"/>
    <w:rsid w:val="000B401C"/>
    <w:rsid w:val="000D5803"/>
    <w:rsid w:val="000F5E56"/>
    <w:rsid w:val="00105175"/>
    <w:rsid w:val="00130590"/>
    <w:rsid w:val="001362EE"/>
    <w:rsid w:val="001370E3"/>
    <w:rsid w:val="00142E33"/>
    <w:rsid w:val="001647D5"/>
    <w:rsid w:val="001832A6"/>
    <w:rsid w:val="00193DF2"/>
    <w:rsid w:val="0021110D"/>
    <w:rsid w:val="0021217E"/>
    <w:rsid w:val="00216B3A"/>
    <w:rsid w:val="002219CB"/>
    <w:rsid w:val="0022482B"/>
    <w:rsid w:val="00234595"/>
    <w:rsid w:val="002453A2"/>
    <w:rsid w:val="00261DD1"/>
    <w:rsid w:val="002634C4"/>
    <w:rsid w:val="002928D3"/>
    <w:rsid w:val="002938E2"/>
    <w:rsid w:val="00293A81"/>
    <w:rsid w:val="002A023F"/>
    <w:rsid w:val="002A2CEF"/>
    <w:rsid w:val="002F1FE6"/>
    <w:rsid w:val="002F4E68"/>
    <w:rsid w:val="002F5253"/>
    <w:rsid w:val="00306570"/>
    <w:rsid w:val="00312F7F"/>
    <w:rsid w:val="003601F7"/>
    <w:rsid w:val="00361450"/>
    <w:rsid w:val="003627F4"/>
    <w:rsid w:val="003673CF"/>
    <w:rsid w:val="0037254A"/>
    <w:rsid w:val="003742F1"/>
    <w:rsid w:val="003845C1"/>
    <w:rsid w:val="003A6F89"/>
    <w:rsid w:val="003B2A8D"/>
    <w:rsid w:val="003B38C1"/>
    <w:rsid w:val="003F1CED"/>
    <w:rsid w:val="003F3E70"/>
    <w:rsid w:val="00423E3E"/>
    <w:rsid w:val="00427AF4"/>
    <w:rsid w:val="00455BBF"/>
    <w:rsid w:val="004647DA"/>
    <w:rsid w:val="0046699C"/>
    <w:rsid w:val="00474062"/>
    <w:rsid w:val="00477D6B"/>
    <w:rsid w:val="00480A86"/>
    <w:rsid w:val="004A1B9F"/>
    <w:rsid w:val="005019FF"/>
    <w:rsid w:val="00501EA2"/>
    <w:rsid w:val="00513B37"/>
    <w:rsid w:val="0053057A"/>
    <w:rsid w:val="00560A29"/>
    <w:rsid w:val="00572BB6"/>
    <w:rsid w:val="005C11F7"/>
    <w:rsid w:val="005C6649"/>
    <w:rsid w:val="005D4512"/>
    <w:rsid w:val="00603E00"/>
    <w:rsid w:val="00605827"/>
    <w:rsid w:val="00635887"/>
    <w:rsid w:val="00637150"/>
    <w:rsid w:val="00640B53"/>
    <w:rsid w:val="00642E18"/>
    <w:rsid w:val="00646050"/>
    <w:rsid w:val="006625C5"/>
    <w:rsid w:val="006713CA"/>
    <w:rsid w:val="00676C5C"/>
    <w:rsid w:val="00696A01"/>
    <w:rsid w:val="006B20C6"/>
    <w:rsid w:val="006B2276"/>
    <w:rsid w:val="006C4C0F"/>
    <w:rsid w:val="006F0155"/>
    <w:rsid w:val="00701116"/>
    <w:rsid w:val="007535CD"/>
    <w:rsid w:val="007D1613"/>
    <w:rsid w:val="007E4C0E"/>
    <w:rsid w:val="00841308"/>
    <w:rsid w:val="00845FBA"/>
    <w:rsid w:val="00853A9D"/>
    <w:rsid w:val="00892A7C"/>
    <w:rsid w:val="008A134B"/>
    <w:rsid w:val="008A27C1"/>
    <w:rsid w:val="008A6BD4"/>
    <w:rsid w:val="008A6EF9"/>
    <w:rsid w:val="008B2CC1"/>
    <w:rsid w:val="008B60B2"/>
    <w:rsid w:val="0090731E"/>
    <w:rsid w:val="009128F0"/>
    <w:rsid w:val="00916EE2"/>
    <w:rsid w:val="0092686B"/>
    <w:rsid w:val="0093382C"/>
    <w:rsid w:val="00955596"/>
    <w:rsid w:val="00963BA7"/>
    <w:rsid w:val="00965922"/>
    <w:rsid w:val="00966A22"/>
    <w:rsid w:val="0096722F"/>
    <w:rsid w:val="00974972"/>
    <w:rsid w:val="00980843"/>
    <w:rsid w:val="00994188"/>
    <w:rsid w:val="009B4413"/>
    <w:rsid w:val="009E2791"/>
    <w:rsid w:val="009E3F6F"/>
    <w:rsid w:val="009F499F"/>
    <w:rsid w:val="00A16A89"/>
    <w:rsid w:val="00A37342"/>
    <w:rsid w:val="00A378E8"/>
    <w:rsid w:val="00A37E2D"/>
    <w:rsid w:val="00A42DAF"/>
    <w:rsid w:val="00A45BD8"/>
    <w:rsid w:val="00A60CEF"/>
    <w:rsid w:val="00A75C04"/>
    <w:rsid w:val="00A869B7"/>
    <w:rsid w:val="00A950FD"/>
    <w:rsid w:val="00A951D1"/>
    <w:rsid w:val="00A95AC5"/>
    <w:rsid w:val="00AC205C"/>
    <w:rsid w:val="00AC2D5A"/>
    <w:rsid w:val="00AD1FB9"/>
    <w:rsid w:val="00AD7A3C"/>
    <w:rsid w:val="00AF0A6B"/>
    <w:rsid w:val="00B0380B"/>
    <w:rsid w:val="00B05A69"/>
    <w:rsid w:val="00B44CE3"/>
    <w:rsid w:val="00B47A5B"/>
    <w:rsid w:val="00B9734B"/>
    <w:rsid w:val="00BA30E2"/>
    <w:rsid w:val="00BC1352"/>
    <w:rsid w:val="00BE1E5C"/>
    <w:rsid w:val="00C001EF"/>
    <w:rsid w:val="00C11BFE"/>
    <w:rsid w:val="00C37B71"/>
    <w:rsid w:val="00C406FA"/>
    <w:rsid w:val="00C5068F"/>
    <w:rsid w:val="00C76109"/>
    <w:rsid w:val="00C81B39"/>
    <w:rsid w:val="00C86D74"/>
    <w:rsid w:val="00CD04F1"/>
    <w:rsid w:val="00CE10EB"/>
    <w:rsid w:val="00CE4F8C"/>
    <w:rsid w:val="00CF571F"/>
    <w:rsid w:val="00D112D6"/>
    <w:rsid w:val="00D14E93"/>
    <w:rsid w:val="00D2626A"/>
    <w:rsid w:val="00D45252"/>
    <w:rsid w:val="00D55AE1"/>
    <w:rsid w:val="00D71B4D"/>
    <w:rsid w:val="00D93D55"/>
    <w:rsid w:val="00DA39A0"/>
    <w:rsid w:val="00DF45CB"/>
    <w:rsid w:val="00DF6A22"/>
    <w:rsid w:val="00E14125"/>
    <w:rsid w:val="00E15015"/>
    <w:rsid w:val="00E335FE"/>
    <w:rsid w:val="00E519EC"/>
    <w:rsid w:val="00E52C73"/>
    <w:rsid w:val="00E926EA"/>
    <w:rsid w:val="00EA46F9"/>
    <w:rsid w:val="00EA7D6E"/>
    <w:rsid w:val="00EC4E49"/>
    <w:rsid w:val="00ED57C2"/>
    <w:rsid w:val="00ED77FB"/>
    <w:rsid w:val="00EE45FA"/>
    <w:rsid w:val="00F01C38"/>
    <w:rsid w:val="00F455B7"/>
    <w:rsid w:val="00F618BD"/>
    <w:rsid w:val="00F66152"/>
    <w:rsid w:val="00F81156"/>
    <w:rsid w:val="00F960DD"/>
    <w:rsid w:val="00FA1285"/>
    <w:rsid w:val="00FD1AB2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51335"/>
    <w:pPr>
      <w:keepNext/>
      <w:spacing w:before="240" w:after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rsid w:val="002F52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525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525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2F525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2F5253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0910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51335"/>
    <w:pPr>
      <w:keepNext/>
      <w:spacing w:before="240" w:after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rsid w:val="002F52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525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525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2F525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2F5253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091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03CB-DCC2-413F-A1EE-41FDD830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3</TotalTime>
  <Pages>8</Pages>
  <Words>3863</Words>
  <Characters>21867</Characters>
  <Application>Microsoft Office Word</Application>
  <DocSecurity>0</DocSecurity>
  <Lines>7289</Lines>
  <Paragraphs>1979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PCT/WG/11/9</vt:lpstr>
    </vt:vector>
  </TitlesOfParts>
  <Company>WIPO</Company>
  <LinksUpToDate>false</LinksUpToDate>
  <CharactersWithSpaces>23751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PCT/WG/11/9</dc:title>
  <dc:subject>PCT Online Services</dc:subject>
  <dc:creator>RICHARDSON Michael</dc:creator>
  <cp:lastModifiedBy>Marlow</cp:lastModifiedBy>
  <cp:revision>4</cp:revision>
  <cp:lastPrinted>2018-05-08T07:15:00Z</cp:lastPrinted>
  <dcterms:created xsi:type="dcterms:W3CDTF">2018-05-08T16:14:00Z</dcterms:created>
  <dcterms:modified xsi:type="dcterms:W3CDTF">2018-05-08T16:16:00Z</dcterms:modified>
</cp:coreProperties>
</file>