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26580" w:rsidRPr="008B2CC1" w:rsidTr="00C234D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26580" w:rsidRPr="008B2CC1" w:rsidRDefault="00B26580" w:rsidP="00C234D1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6580" w:rsidRPr="008B2CC1" w:rsidRDefault="00B26580" w:rsidP="00C234D1">
            <w:r>
              <w:rPr>
                <w:noProof/>
                <w:lang w:val="en-GB" w:eastAsia="en-GB"/>
              </w:rPr>
              <w:drawing>
                <wp:inline distT="0" distB="0" distL="0" distR="0" wp14:anchorId="585F5EFF" wp14:editId="5DCC330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6580" w:rsidRPr="008B2CC1" w:rsidRDefault="00B26580" w:rsidP="00C234D1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B26580" w:rsidRPr="001832A6" w:rsidTr="00C234D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26580" w:rsidRPr="0090731E" w:rsidRDefault="00B26580" w:rsidP="00C234D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PCT/WG/12/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17</w:t>
            </w:r>
          </w:p>
        </w:tc>
      </w:tr>
      <w:tr w:rsidR="00B26580" w:rsidRPr="001832A6" w:rsidTr="00C234D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26580" w:rsidRPr="0090731E" w:rsidRDefault="00B26580" w:rsidP="00C234D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902953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B26580" w:rsidRPr="001832A6" w:rsidTr="00C234D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26580" w:rsidRPr="0090731E" w:rsidRDefault="00B26580" w:rsidP="00C234D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902953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14 mai 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B26580" w:rsidRPr="008B2CC1" w:rsidRDefault="00B26580" w:rsidP="00B26580"/>
    <w:p w:rsidR="00B26580" w:rsidRPr="008B2CC1" w:rsidRDefault="00B26580" w:rsidP="00B26580"/>
    <w:p w:rsidR="00B26580" w:rsidRPr="008B2CC1" w:rsidRDefault="00B26580" w:rsidP="00B26580"/>
    <w:p w:rsidR="00B26580" w:rsidRPr="008B2CC1" w:rsidRDefault="00B26580" w:rsidP="00B26580"/>
    <w:p w:rsidR="00B26580" w:rsidRPr="008B2CC1" w:rsidRDefault="00B26580" w:rsidP="00B26580"/>
    <w:p w:rsidR="00B26580" w:rsidRPr="00B26580" w:rsidRDefault="00B26580" w:rsidP="00B26580">
      <w:pPr>
        <w:rPr>
          <w:b/>
          <w:sz w:val="28"/>
          <w:szCs w:val="28"/>
          <w:lang w:val="fr-CH"/>
        </w:rPr>
      </w:pPr>
      <w:r w:rsidRPr="00B26580">
        <w:rPr>
          <w:b/>
          <w:sz w:val="28"/>
          <w:szCs w:val="28"/>
          <w:lang w:val="fr-CH"/>
        </w:rPr>
        <w:t>Groupe de travail du Traité de coopération en matière de brevets (PCT)</w:t>
      </w:r>
    </w:p>
    <w:p w:rsidR="00B26580" w:rsidRPr="00B26580" w:rsidRDefault="00B26580" w:rsidP="00B26580">
      <w:pPr>
        <w:rPr>
          <w:lang w:val="fr-CH"/>
        </w:rPr>
      </w:pPr>
    </w:p>
    <w:p w:rsidR="00B26580" w:rsidRPr="00B26580" w:rsidRDefault="00B26580" w:rsidP="00B26580">
      <w:pPr>
        <w:rPr>
          <w:lang w:val="fr-CH"/>
        </w:rPr>
      </w:pPr>
    </w:p>
    <w:p w:rsidR="00B26580" w:rsidRPr="0004681B" w:rsidRDefault="00B26580" w:rsidP="00B26580">
      <w:pPr>
        <w:rPr>
          <w:b/>
          <w:sz w:val="24"/>
          <w:szCs w:val="24"/>
          <w:lang w:val="fr-CH"/>
        </w:rPr>
      </w:pPr>
      <w:r w:rsidRPr="0004681B">
        <w:rPr>
          <w:b/>
          <w:sz w:val="24"/>
          <w:szCs w:val="24"/>
          <w:lang w:val="fr-CH"/>
        </w:rPr>
        <w:t>Douz</w:t>
      </w:r>
      <w:r w:rsidR="00902953" w:rsidRPr="0004681B">
        <w:rPr>
          <w:b/>
          <w:sz w:val="24"/>
          <w:szCs w:val="24"/>
          <w:lang w:val="fr-CH"/>
        </w:rPr>
        <w:t>ième session</w:t>
      </w:r>
    </w:p>
    <w:p w:rsidR="00B26580" w:rsidRPr="0004681B" w:rsidRDefault="00B26580" w:rsidP="00B26580">
      <w:pPr>
        <w:rPr>
          <w:b/>
          <w:sz w:val="24"/>
          <w:szCs w:val="24"/>
          <w:lang w:val="fr-CH"/>
        </w:rPr>
      </w:pPr>
      <w:r w:rsidRPr="0004681B">
        <w:rPr>
          <w:b/>
          <w:sz w:val="24"/>
          <w:szCs w:val="24"/>
          <w:lang w:val="fr-CH"/>
        </w:rPr>
        <w:t>Genève, 11 – 1</w:t>
      </w:r>
      <w:r w:rsidR="00902953" w:rsidRPr="0004681B">
        <w:rPr>
          <w:b/>
          <w:sz w:val="24"/>
          <w:szCs w:val="24"/>
          <w:lang w:val="fr-CH"/>
        </w:rPr>
        <w:t>4 juin 20</w:t>
      </w:r>
      <w:r w:rsidRPr="0004681B">
        <w:rPr>
          <w:b/>
          <w:sz w:val="24"/>
          <w:szCs w:val="24"/>
          <w:lang w:val="fr-CH"/>
        </w:rPr>
        <w:t>19</w:t>
      </w:r>
    </w:p>
    <w:p w:rsidR="00557988" w:rsidRPr="0004681B" w:rsidRDefault="00557988" w:rsidP="008B2CC1">
      <w:pPr>
        <w:rPr>
          <w:lang w:val="fr-CH"/>
        </w:rPr>
      </w:pPr>
    </w:p>
    <w:p w:rsidR="00557988" w:rsidRPr="0004681B" w:rsidRDefault="00557988" w:rsidP="008B2CC1">
      <w:pPr>
        <w:rPr>
          <w:lang w:val="fr-CH"/>
        </w:rPr>
      </w:pPr>
    </w:p>
    <w:p w:rsidR="00557988" w:rsidRPr="0004681B" w:rsidRDefault="00557988" w:rsidP="008B2CC1">
      <w:pPr>
        <w:rPr>
          <w:lang w:val="fr-CH"/>
        </w:rPr>
      </w:pPr>
    </w:p>
    <w:p w:rsidR="00557988" w:rsidRPr="0004681B" w:rsidRDefault="00D24294" w:rsidP="00D24294">
      <w:pPr>
        <w:rPr>
          <w:caps/>
          <w:sz w:val="24"/>
          <w:lang w:val="fr-CH"/>
        </w:rPr>
      </w:pPr>
      <w:bookmarkStart w:id="4" w:name="TitleOfDoc"/>
      <w:bookmarkEnd w:id="4"/>
      <w:r w:rsidRPr="0004681B">
        <w:rPr>
          <w:caps/>
          <w:sz w:val="24"/>
          <w:lang w:val="fr-CH"/>
        </w:rPr>
        <w:t>Mesures de sauvegarde en cas d</w:t>
      </w:r>
      <w:r w:rsidR="00902953" w:rsidRPr="0004681B">
        <w:rPr>
          <w:caps/>
          <w:sz w:val="24"/>
          <w:lang w:val="fr-CH"/>
        </w:rPr>
        <w:t>’</w:t>
      </w:r>
      <w:r w:rsidRPr="0004681B">
        <w:rPr>
          <w:caps/>
          <w:sz w:val="24"/>
          <w:lang w:val="fr-CH"/>
        </w:rPr>
        <w:t>interruption de service affectant des offices</w:t>
      </w:r>
    </w:p>
    <w:p w:rsidR="00557988" w:rsidRDefault="00557988" w:rsidP="008B2CC1">
      <w:pPr>
        <w:rPr>
          <w:lang w:val="fr-CH"/>
        </w:rPr>
      </w:pPr>
    </w:p>
    <w:p w:rsidR="00557988" w:rsidRPr="0004681B" w:rsidRDefault="00D24294" w:rsidP="00D24294">
      <w:pPr>
        <w:rPr>
          <w:i/>
          <w:lang w:val="fr-CH"/>
        </w:rPr>
      </w:pPr>
      <w:bookmarkStart w:id="5" w:name="Prepared"/>
      <w:bookmarkEnd w:id="5"/>
      <w:r w:rsidRPr="0004681B">
        <w:rPr>
          <w:i/>
          <w:lang w:val="fr-CH"/>
        </w:rPr>
        <w:t>Document établi par l</w:t>
      </w:r>
      <w:r w:rsidR="00902953" w:rsidRPr="0004681B">
        <w:rPr>
          <w:i/>
          <w:lang w:val="fr-CH"/>
        </w:rPr>
        <w:t>’</w:t>
      </w:r>
      <w:r w:rsidRPr="0004681B">
        <w:rPr>
          <w:i/>
          <w:lang w:val="fr-CH"/>
        </w:rPr>
        <w:t>Office européen des brevets</w:t>
      </w:r>
    </w:p>
    <w:p w:rsidR="00557988" w:rsidRDefault="00557988">
      <w:pPr>
        <w:rPr>
          <w:lang w:val="fr-CH"/>
        </w:rPr>
      </w:pPr>
    </w:p>
    <w:p w:rsidR="00557988" w:rsidRDefault="00557988">
      <w:pPr>
        <w:rPr>
          <w:lang w:val="fr-CH"/>
        </w:rPr>
      </w:pPr>
    </w:p>
    <w:p w:rsidR="00557988" w:rsidRDefault="00557988">
      <w:pPr>
        <w:rPr>
          <w:lang w:val="fr-CH"/>
        </w:rPr>
      </w:pPr>
    </w:p>
    <w:p w:rsidR="00557988" w:rsidRDefault="00557988" w:rsidP="0053057A">
      <w:pPr>
        <w:rPr>
          <w:lang w:val="fr-CH"/>
        </w:rPr>
      </w:pPr>
    </w:p>
    <w:p w:rsidR="00557988" w:rsidRPr="0004681B" w:rsidRDefault="00D24294" w:rsidP="00D24294">
      <w:pPr>
        <w:pStyle w:val="Heading1"/>
      </w:pPr>
      <w:r w:rsidRPr="0004681B">
        <w:t>Résumé</w:t>
      </w:r>
    </w:p>
    <w:p w:rsidR="00557988" w:rsidRDefault="008379E9" w:rsidP="0004681B">
      <w:pPr>
        <w:pStyle w:val="ONUMFS"/>
        <w:rPr>
          <w:lang w:val="fr-CH"/>
        </w:rPr>
      </w:pPr>
      <w:r w:rsidRPr="008379E9">
        <w:rPr>
          <w:lang w:val="fr-CH"/>
        </w:rPr>
        <w:t xml:space="preserve">Le présent document </w:t>
      </w:r>
      <w:r w:rsidRPr="008379E9">
        <w:rPr>
          <w:color w:val="000000"/>
          <w:lang w:val="fr-CH"/>
        </w:rPr>
        <w:t xml:space="preserve">contient une proposition de modification du </w:t>
      </w:r>
      <w:r w:rsidRPr="008379E9">
        <w:rPr>
          <w:lang w:val="fr-CH"/>
        </w:rPr>
        <w:t>règlement d</w:t>
      </w:r>
      <w:r w:rsidR="00902953">
        <w:rPr>
          <w:lang w:val="fr-CH"/>
        </w:rPr>
        <w:t>’</w:t>
      </w:r>
      <w:r w:rsidRPr="008379E9">
        <w:rPr>
          <w:lang w:val="fr-CH"/>
        </w:rPr>
        <w:t>exécution</w:t>
      </w:r>
      <w:r w:rsidR="00821952" w:rsidRPr="008379E9">
        <w:rPr>
          <w:lang w:val="fr-CH"/>
        </w:rPr>
        <w:t xml:space="preserve"> du</w:t>
      </w:r>
      <w:r w:rsidR="00821952">
        <w:rPr>
          <w:lang w:val="fr-CH"/>
        </w:rPr>
        <w:t> </w:t>
      </w:r>
      <w:r w:rsidR="00821952" w:rsidRPr="008379E9">
        <w:rPr>
          <w:lang w:val="fr-CH"/>
        </w:rPr>
        <w:t>PCT</w:t>
      </w:r>
      <w:r w:rsidRPr="008379E9">
        <w:rPr>
          <w:color w:val="000000"/>
          <w:lang w:val="fr-CH"/>
        </w:rPr>
        <w:t xml:space="preserve"> ayant pour objet</w:t>
      </w:r>
      <w:r w:rsidRPr="008379E9">
        <w:rPr>
          <w:lang w:val="fr-CH"/>
        </w:rPr>
        <w:t xml:space="preserve"> </w:t>
      </w:r>
      <w:r w:rsidRPr="008379E9">
        <w:rPr>
          <w:color w:val="000000"/>
          <w:lang w:val="fr-CH"/>
        </w:rPr>
        <w:t>d</w:t>
      </w:r>
      <w:r w:rsidR="00902953">
        <w:rPr>
          <w:color w:val="000000"/>
          <w:lang w:val="fr-CH"/>
        </w:rPr>
        <w:t>’</w:t>
      </w:r>
      <w:r w:rsidRPr="008379E9">
        <w:rPr>
          <w:color w:val="000000"/>
          <w:lang w:val="fr-CH"/>
        </w:rPr>
        <w:t xml:space="preserve">introduire </w:t>
      </w:r>
      <w:r w:rsidRPr="008379E9">
        <w:rPr>
          <w:lang w:val="fr-CH"/>
        </w:rPr>
        <w:t>une</w:t>
      </w:r>
      <w:r w:rsidRPr="008379E9">
        <w:rPr>
          <w:color w:val="000000"/>
          <w:lang w:val="fr-CH"/>
        </w:rPr>
        <w:t xml:space="preserve"> </w:t>
      </w:r>
      <w:r w:rsidRPr="008379E9">
        <w:rPr>
          <w:lang w:val="fr-CH"/>
        </w:rPr>
        <w:t xml:space="preserve">nouvelle </w:t>
      </w:r>
      <w:r w:rsidR="00821952" w:rsidRPr="008379E9">
        <w:rPr>
          <w:lang w:val="fr-CH"/>
        </w:rPr>
        <w:t>règle</w:t>
      </w:r>
      <w:r w:rsidR="00821952">
        <w:rPr>
          <w:lang w:val="fr-CH"/>
        </w:rPr>
        <w:t> </w:t>
      </w:r>
      <w:r w:rsidR="00821952" w:rsidRPr="008379E9">
        <w:rPr>
          <w:lang w:val="fr-CH"/>
        </w:rPr>
        <w:t>8</w:t>
      </w:r>
      <w:r w:rsidRPr="008379E9">
        <w:rPr>
          <w:lang w:val="fr-CH"/>
        </w:rPr>
        <w:t>2</w:t>
      </w:r>
      <w:r w:rsidRPr="00A20275">
        <w:rPr>
          <w:i/>
          <w:lang w:val="fr-CH"/>
        </w:rPr>
        <w:t>quater</w:t>
      </w:r>
      <w:r w:rsidRPr="008379E9">
        <w:rPr>
          <w:lang w:val="fr-CH"/>
        </w:rPr>
        <w:t>.2 afin de</w:t>
      </w:r>
      <w:r w:rsidRPr="008379E9">
        <w:rPr>
          <w:color w:val="000000"/>
          <w:lang w:val="fr-CH"/>
        </w:rPr>
        <w:t xml:space="preserve"> doter</w:t>
      </w:r>
      <w:r w:rsidR="00821952" w:rsidRPr="008379E9">
        <w:rPr>
          <w:lang w:val="fr-CH"/>
        </w:rPr>
        <w:t xml:space="preserve"> le</w:t>
      </w:r>
      <w:r w:rsidR="00821952">
        <w:rPr>
          <w:lang w:val="fr-CH"/>
        </w:rPr>
        <w:t> </w:t>
      </w:r>
      <w:r w:rsidR="00821952" w:rsidRPr="008379E9">
        <w:rPr>
          <w:lang w:val="fr-CH"/>
        </w:rPr>
        <w:t>PCT</w:t>
      </w:r>
      <w:r w:rsidRPr="008379E9">
        <w:rPr>
          <w:lang w:val="fr-CH"/>
        </w:rPr>
        <w:t xml:space="preserve"> </w:t>
      </w:r>
      <w:r w:rsidRPr="008379E9">
        <w:rPr>
          <w:color w:val="000000"/>
          <w:lang w:val="fr-CH"/>
        </w:rPr>
        <w:t>d</w:t>
      </w:r>
      <w:r w:rsidR="00902953">
        <w:rPr>
          <w:color w:val="000000"/>
          <w:lang w:val="fr-CH"/>
        </w:rPr>
        <w:t>’</w:t>
      </w:r>
      <w:r w:rsidRPr="008379E9">
        <w:rPr>
          <w:lang w:val="fr-CH"/>
        </w:rPr>
        <w:t xml:space="preserve">une base juridique explicite permettant </w:t>
      </w:r>
      <w:r w:rsidRPr="008379E9">
        <w:rPr>
          <w:color w:val="000000"/>
          <w:lang w:val="fr-CH"/>
        </w:rPr>
        <w:t xml:space="preserve">à un office </w:t>
      </w:r>
      <w:r w:rsidRPr="008379E9">
        <w:rPr>
          <w:lang w:val="fr-CH"/>
        </w:rPr>
        <w:t>d</w:t>
      </w:r>
      <w:r w:rsidR="00902953">
        <w:rPr>
          <w:lang w:val="fr-CH"/>
        </w:rPr>
        <w:t>’</w:t>
      </w:r>
      <w:r w:rsidRPr="008379E9">
        <w:rPr>
          <w:lang w:val="fr-CH"/>
        </w:rPr>
        <w:t>excuser les retards dans l</w:t>
      </w:r>
      <w:r w:rsidR="00902953">
        <w:rPr>
          <w:lang w:val="fr-CH"/>
        </w:rPr>
        <w:t>’</w:t>
      </w:r>
      <w:r w:rsidRPr="008379E9">
        <w:rPr>
          <w:lang w:val="fr-CH"/>
        </w:rPr>
        <w:t>observation d</w:t>
      </w:r>
      <w:r w:rsidR="00902953">
        <w:rPr>
          <w:lang w:val="fr-CH"/>
        </w:rPr>
        <w:t>’</w:t>
      </w:r>
      <w:r w:rsidRPr="008379E9">
        <w:rPr>
          <w:lang w:val="fr-CH"/>
        </w:rPr>
        <w:t>un délai en raison de l</w:t>
      </w:r>
      <w:r w:rsidR="00902953">
        <w:rPr>
          <w:lang w:val="fr-CH"/>
        </w:rPr>
        <w:t>’</w:t>
      </w:r>
      <w:r w:rsidRPr="008379E9">
        <w:rPr>
          <w:lang w:val="fr-CH"/>
        </w:rPr>
        <w:t xml:space="preserve">indisponibilité </w:t>
      </w:r>
      <w:r w:rsidR="00041ECE">
        <w:rPr>
          <w:lang w:val="fr-CH"/>
        </w:rPr>
        <w:t>d</w:t>
      </w:r>
      <w:r w:rsidR="00902953">
        <w:rPr>
          <w:lang w:val="fr-CH"/>
        </w:rPr>
        <w:t>’</w:t>
      </w:r>
      <w:r w:rsidR="00041ECE">
        <w:rPr>
          <w:lang w:val="fr-CH"/>
        </w:rPr>
        <w:t>un</w:t>
      </w:r>
      <w:r w:rsidRPr="008379E9">
        <w:rPr>
          <w:lang w:val="fr-CH"/>
        </w:rPr>
        <w:t xml:space="preserve"> moyen électronique de communication autorisé pour le dépôt de documents ou le paiement de taxes </w:t>
      </w:r>
      <w:r w:rsidRPr="008379E9">
        <w:rPr>
          <w:color w:val="000000"/>
          <w:lang w:val="fr-CH"/>
        </w:rPr>
        <w:t>à l</w:t>
      </w:r>
      <w:r w:rsidR="00902953">
        <w:rPr>
          <w:color w:val="000000"/>
          <w:lang w:val="fr-CH"/>
        </w:rPr>
        <w:t>’</w:t>
      </w:r>
      <w:r w:rsidRPr="008379E9">
        <w:rPr>
          <w:color w:val="000000"/>
          <w:lang w:val="fr-CH"/>
        </w:rPr>
        <w:t>offi</w:t>
      </w:r>
      <w:r w:rsidR="0004681B" w:rsidRPr="008379E9">
        <w:rPr>
          <w:color w:val="000000"/>
          <w:lang w:val="fr-CH"/>
        </w:rPr>
        <w:t>ce</w:t>
      </w:r>
      <w:r w:rsidR="0004681B">
        <w:rPr>
          <w:color w:val="000000"/>
          <w:lang w:val="fr-CH"/>
        </w:rPr>
        <w:t xml:space="preserve">.  </w:t>
      </w:r>
      <w:r w:rsidR="0004681B" w:rsidRPr="008379E9">
        <w:rPr>
          <w:lang w:val="fr-CH"/>
        </w:rPr>
        <w:t>Ce</w:t>
      </w:r>
      <w:r w:rsidRPr="008379E9">
        <w:rPr>
          <w:lang w:val="fr-CH"/>
        </w:rPr>
        <w:t xml:space="preserve">tte indisponibilité peut être due à une maintenance </w:t>
      </w:r>
      <w:r w:rsidRPr="008379E9">
        <w:rPr>
          <w:color w:val="000000"/>
          <w:lang w:val="fr-CH"/>
        </w:rPr>
        <w:t>programmée</w:t>
      </w:r>
      <w:r w:rsidRPr="008379E9">
        <w:rPr>
          <w:lang w:val="fr-CH"/>
        </w:rPr>
        <w:t xml:space="preserve">, à </w:t>
      </w:r>
      <w:r w:rsidR="00416B07">
        <w:rPr>
          <w:lang w:val="fr-CH"/>
        </w:rPr>
        <w:t>une</w:t>
      </w:r>
      <w:r w:rsidRPr="008379E9">
        <w:rPr>
          <w:lang w:val="fr-CH"/>
        </w:rPr>
        <w:t xml:space="preserve"> </w:t>
      </w:r>
      <w:r w:rsidR="00416B07">
        <w:rPr>
          <w:color w:val="000000"/>
          <w:lang w:val="fr-CH"/>
        </w:rPr>
        <w:t>interruption</w:t>
      </w:r>
      <w:r w:rsidRPr="008379E9">
        <w:rPr>
          <w:color w:val="000000"/>
          <w:lang w:val="fr-CH"/>
        </w:rPr>
        <w:t xml:space="preserve"> de service</w:t>
      </w:r>
      <w:r w:rsidR="00416B07">
        <w:rPr>
          <w:lang w:val="fr-CH"/>
        </w:rPr>
        <w:t xml:space="preserve"> imprévue</w:t>
      </w:r>
      <w:r w:rsidRPr="008379E9">
        <w:rPr>
          <w:lang w:val="fr-CH"/>
        </w:rPr>
        <w:t xml:space="preserve"> ou à d</w:t>
      </w:r>
      <w:r w:rsidR="00902953">
        <w:rPr>
          <w:lang w:val="fr-CH"/>
        </w:rPr>
        <w:t>’</w:t>
      </w:r>
      <w:r w:rsidRPr="008379E9">
        <w:rPr>
          <w:lang w:val="fr-CH"/>
        </w:rPr>
        <w:t>autres raisons semblables.</w:t>
      </w:r>
    </w:p>
    <w:p w:rsidR="00557988" w:rsidRPr="0004681B" w:rsidRDefault="008379E9" w:rsidP="008379E9">
      <w:pPr>
        <w:pStyle w:val="Heading1"/>
      </w:pPr>
      <w:r w:rsidRPr="0004681B">
        <w:t>Rappel</w:t>
      </w:r>
    </w:p>
    <w:p w:rsidR="00557988" w:rsidRPr="0004681B" w:rsidRDefault="003B1964" w:rsidP="0004681B">
      <w:pPr>
        <w:pStyle w:val="ONUMFS"/>
        <w:rPr>
          <w:lang w:val="fr-CH"/>
        </w:rPr>
      </w:pPr>
      <w:r w:rsidRPr="0004681B">
        <w:rPr>
          <w:lang w:val="fr-CH"/>
        </w:rPr>
        <w:t>À la vingt</w:t>
      </w:r>
      <w:r w:rsidR="00902953" w:rsidRPr="0004681B">
        <w:rPr>
          <w:lang w:val="fr-CH"/>
        </w:rPr>
        <w:t>-</w:t>
      </w:r>
      <w:r w:rsidRPr="0004681B">
        <w:rPr>
          <w:lang w:val="fr-CH"/>
        </w:rPr>
        <w:t xml:space="preserve">sixième Réunion des administrations internationales tenue en </w:t>
      </w:r>
      <w:r w:rsidR="00821952" w:rsidRPr="0004681B">
        <w:rPr>
          <w:lang w:val="fr-CH"/>
        </w:rPr>
        <w:t>février 20</w:t>
      </w:r>
      <w:r w:rsidRPr="0004681B">
        <w:rPr>
          <w:lang w:val="fr-CH"/>
        </w:rPr>
        <w:t>19, 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Office européen des brevets (OEB) a présenté une propos</w:t>
      </w:r>
      <w:r w:rsidR="00BA6390" w:rsidRPr="0004681B">
        <w:rPr>
          <w:lang w:val="fr-CH"/>
        </w:rPr>
        <w:t>i</w:t>
      </w:r>
      <w:r w:rsidRPr="0004681B">
        <w:rPr>
          <w:lang w:val="fr-CH"/>
        </w:rPr>
        <w:t>tion visant à proroger un délai au sein d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un office en cas d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 xml:space="preserve">interruption des communications électroniques ayant une incidence sur le dépôt de documents (document PCT/MIA/26/5, voir les </w:t>
      </w:r>
      <w:r w:rsidR="00821952" w:rsidRPr="0004681B">
        <w:rPr>
          <w:lang w:val="fr-CH"/>
        </w:rPr>
        <w:t>paragraphes 2</w:t>
      </w:r>
      <w:r w:rsidRPr="0004681B">
        <w:rPr>
          <w:lang w:val="fr-CH"/>
        </w:rPr>
        <w:t>4 à 32 du résumé présenté par le président de la session (document PCT/MIA/26/13), reproduit dans 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annexe du document PCT/WG/12/2).</w:t>
      </w:r>
      <w:r w:rsidR="003F1EFB" w:rsidRPr="0004681B">
        <w:rPr>
          <w:lang w:val="fr-CH"/>
        </w:rPr>
        <w:t xml:space="preserve"> </w:t>
      </w:r>
      <w:r w:rsidR="002746BC" w:rsidRPr="0004681B">
        <w:rPr>
          <w:lang w:val="fr-CH"/>
        </w:rPr>
        <w:t xml:space="preserve"> </w:t>
      </w:r>
      <w:r w:rsidR="00FC4524" w:rsidRPr="0004681B">
        <w:rPr>
          <w:lang w:val="fr-CH"/>
        </w:rPr>
        <w:t>Auparavant, l</w:t>
      </w:r>
      <w:r w:rsidR="00902953" w:rsidRPr="0004681B">
        <w:rPr>
          <w:lang w:val="fr-CH"/>
        </w:rPr>
        <w:t>’</w:t>
      </w:r>
      <w:r w:rsidR="00FC4524" w:rsidRPr="0004681B">
        <w:rPr>
          <w:lang w:val="fr-CH"/>
        </w:rPr>
        <w:t>OEB avait entamé des discussions sur ce thème lors d</w:t>
      </w:r>
      <w:r w:rsidR="00902953" w:rsidRPr="0004681B">
        <w:rPr>
          <w:lang w:val="fr-CH"/>
        </w:rPr>
        <w:t>’</w:t>
      </w:r>
      <w:r w:rsidR="00FC4524" w:rsidRPr="0004681B">
        <w:rPr>
          <w:lang w:val="fr-CH"/>
        </w:rPr>
        <w:t>une réunion des offices de l</w:t>
      </w:r>
      <w:r w:rsidR="00902953" w:rsidRPr="0004681B">
        <w:rPr>
          <w:lang w:val="fr-CH"/>
        </w:rPr>
        <w:t>’</w:t>
      </w:r>
      <w:r w:rsidR="00FC4524" w:rsidRPr="0004681B">
        <w:rPr>
          <w:lang w:val="fr-CH"/>
        </w:rPr>
        <w:t xml:space="preserve">IP5 tenue à Tokyo en </w:t>
      </w:r>
      <w:r w:rsidR="00821952" w:rsidRPr="0004681B">
        <w:rPr>
          <w:lang w:val="fr-CH"/>
        </w:rPr>
        <w:t>novembre 20</w:t>
      </w:r>
      <w:r w:rsidR="00FC4524" w:rsidRPr="0004681B">
        <w:rPr>
          <w:lang w:val="fr-CH"/>
        </w:rPr>
        <w:t>17, qui s</w:t>
      </w:r>
      <w:r w:rsidR="00902953" w:rsidRPr="0004681B">
        <w:rPr>
          <w:lang w:val="fr-CH"/>
        </w:rPr>
        <w:t>’</w:t>
      </w:r>
      <w:r w:rsidR="00FC4524" w:rsidRPr="0004681B">
        <w:rPr>
          <w:lang w:val="fr-CH"/>
        </w:rPr>
        <w:t>étaient poursuivies lors de la vingt</w:t>
      </w:r>
      <w:r w:rsidR="00902953" w:rsidRPr="0004681B">
        <w:rPr>
          <w:lang w:val="fr-CH"/>
        </w:rPr>
        <w:t>-</w:t>
      </w:r>
      <w:r w:rsidR="00FC4524" w:rsidRPr="0004681B">
        <w:rPr>
          <w:lang w:val="fr-CH"/>
        </w:rPr>
        <w:t>cinqu</w:t>
      </w:r>
      <w:r w:rsidR="00902953" w:rsidRPr="0004681B">
        <w:rPr>
          <w:lang w:val="fr-CH"/>
        </w:rPr>
        <w:t>ième session</w:t>
      </w:r>
      <w:r w:rsidR="00FC4524" w:rsidRPr="0004681B">
        <w:rPr>
          <w:lang w:val="fr-CH"/>
        </w:rPr>
        <w:t xml:space="preserve"> de la Réunion des administrations internationales (voir les </w:t>
      </w:r>
      <w:r w:rsidR="00821952" w:rsidRPr="0004681B">
        <w:rPr>
          <w:lang w:val="fr-CH"/>
        </w:rPr>
        <w:t>paragraphes 2</w:t>
      </w:r>
      <w:r w:rsidR="00FC4524" w:rsidRPr="0004681B">
        <w:rPr>
          <w:lang w:val="fr-CH"/>
        </w:rPr>
        <w:t>9 à 34 du résumé présenté par le président de la session (document PCT/MIA/25/12)), et de la onz</w:t>
      </w:r>
      <w:r w:rsidR="00902953" w:rsidRPr="0004681B">
        <w:rPr>
          <w:lang w:val="fr-CH"/>
        </w:rPr>
        <w:t>ième session</w:t>
      </w:r>
      <w:r w:rsidR="00FC4524" w:rsidRPr="0004681B">
        <w:rPr>
          <w:lang w:val="fr-CH"/>
        </w:rPr>
        <w:t xml:space="preserve"> du Groupe de travail</w:t>
      </w:r>
      <w:r w:rsidR="00821952" w:rsidRPr="0004681B">
        <w:rPr>
          <w:lang w:val="fr-CH"/>
        </w:rPr>
        <w:t xml:space="preserve"> du PCT</w:t>
      </w:r>
      <w:r w:rsidR="00FC4524" w:rsidRPr="0004681B">
        <w:rPr>
          <w:lang w:val="fr-CH"/>
        </w:rPr>
        <w:t xml:space="preserve"> (document PCT/WG/11/19</w:t>
      </w:r>
      <w:r w:rsidR="00B04088" w:rsidRPr="0004681B">
        <w:rPr>
          <w:lang w:val="fr-CH"/>
        </w:rPr>
        <w:t>)</w:t>
      </w:r>
      <w:r w:rsidR="00FC4524" w:rsidRPr="0004681B">
        <w:rPr>
          <w:lang w:val="fr-CH"/>
        </w:rPr>
        <w:t xml:space="preserve"> et </w:t>
      </w:r>
      <w:r w:rsidR="00821952" w:rsidRPr="0004681B">
        <w:rPr>
          <w:lang w:val="fr-CH"/>
        </w:rPr>
        <w:t>paragraphes 2</w:t>
      </w:r>
      <w:r w:rsidR="00FC4524" w:rsidRPr="0004681B">
        <w:rPr>
          <w:lang w:val="fr-CH"/>
        </w:rPr>
        <w:t xml:space="preserve">64 à 281 du </w:t>
      </w:r>
      <w:r w:rsidR="0073181A" w:rsidRPr="0004681B">
        <w:rPr>
          <w:lang w:val="fr-CH"/>
        </w:rPr>
        <w:t xml:space="preserve">rapport </w:t>
      </w:r>
      <w:r w:rsidR="00FC4524" w:rsidRPr="0004681B">
        <w:rPr>
          <w:lang w:val="fr-CH"/>
        </w:rPr>
        <w:t>(document PCT/WG/11/27))</w:t>
      </w:r>
      <w:r w:rsidR="002746BC" w:rsidRPr="0004681B">
        <w:rPr>
          <w:lang w:val="fr-CH"/>
        </w:rPr>
        <w:t>.</w:t>
      </w:r>
    </w:p>
    <w:p w:rsidR="00557988" w:rsidRPr="0004681B" w:rsidRDefault="00FC4524" w:rsidP="0004681B">
      <w:pPr>
        <w:pStyle w:val="ONUMFS"/>
        <w:rPr>
          <w:lang w:val="fr-CH"/>
        </w:rPr>
      </w:pPr>
      <w:r w:rsidRPr="0004681B">
        <w:rPr>
          <w:lang w:val="fr-CH"/>
        </w:rPr>
        <w:lastRenderedPageBreak/>
        <w:t xml:space="preserve">Les </w:t>
      </w:r>
      <w:r w:rsidR="00470E2C" w:rsidRPr="0004681B">
        <w:rPr>
          <w:lang w:val="fr-CH"/>
        </w:rPr>
        <w:t>moyens</w:t>
      </w:r>
      <w:r w:rsidRPr="0004681B">
        <w:rPr>
          <w:lang w:val="fr-CH"/>
        </w:rPr>
        <w:t xml:space="preserve"> de communication électronique sont primordiaux pour les offices dans leurs échanges avec les utilisateu</w:t>
      </w:r>
      <w:r w:rsidR="0004681B" w:rsidRPr="0004681B">
        <w:rPr>
          <w:lang w:val="fr-CH"/>
        </w:rPr>
        <w:t>rs.  Or</w:t>
      </w:r>
      <w:r w:rsidR="00D702A7" w:rsidRPr="0004681B">
        <w:rPr>
          <w:lang w:val="fr-CH"/>
        </w:rPr>
        <w:t>, ces moyens de communication peuvent cesser de fonctionne</w:t>
      </w:r>
      <w:r w:rsidR="0048643D" w:rsidRPr="0004681B">
        <w:rPr>
          <w:lang w:val="fr-CH"/>
        </w:rPr>
        <w:t>r</w:t>
      </w:r>
      <w:r w:rsidR="00D702A7" w:rsidRPr="0004681B">
        <w:rPr>
          <w:lang w:val="fr-CH"/>
        </w:rPr>
        <w:t xml:space="preserve"> dans les offices en raison d</w:t>
      </w:r>
      <w:r w:rsidR="00902953" w:rsidRPr="0004681B">
        <w:rPr>
          <w:lang w:val="fr-CH"/>
        </w:rPr>
        <w:t>’</w:t>
      </w:r>
      <w:r w:rsidR="00D702A7" w:rsidRPr="0004681B">
        <w:rPr>
          <w:lang w:val="fr-CH"/>
        </w:rPr>
        <w:t>une maintenance ou d</w:t>
      </w:r>
      <w:r w:rsidR="00902953" w:rsidRPr="0004681B">
        <w:rPr>
          <w:lang w:val="fr-CH"/>
        </w:rPr>
        <w:t>’</w:t>
      </w:r>
      <w:r w:rsidR="00D702A7" w:rsidRPr="0004681B">
        <w:rPr>
          <w:lang w:val="fr-CH"/>
        </w:rPr>
        <w:t xml:space="preserve">interruptions de service (provoquées par des cyberattaques ou par </w:t>
      </w:r>
      <w:r w:rsidR="0073181A" w:rsidRPr="0004681B">
        <w:rPr>
          <w:lang w:val="fr-CH"/>
        </w:rPr>
        <w:t xml:space="preserve">un </w:t>
      </w:r>
      <w:r w:rsidR="00D702A7" w:rsidRPr="0004681B">
        <w:rPr>
          <w:lang w:val="fr-CH"/>
        </w:rPr>
        <w:t>problème techniq</w:t>
      </w:r>
      <w:r w:rsidR="0004681B" w:rsidRPr="0004681B">
        <w:rPr>
          <w:lang w:val="fr-CH"/>
        </w:rPr>
        <w:t>ue).  Ré</w:t>
      </w:r>
      <w:r w:rsidR="002F3546" w:rsidRPr="0004681B">
        <w:rPr>
          <w:lang w:val="fr-CH"/>
        </w:rPr>
        <w:t xml:space="preserve">cemment, par exemple, la </w:t>
      </w:r>
      <w:r w:rsidR="00E1613F" w:rsidRPr="0004681B">
        <w:rPr>
          <w:lang w:val="fr-CH"/>
        </w:rPr>
        <w:t>“</w:t>
      </w:r>
      <w:r w:rsidR="002F3546" w:rsidRPr="0004681B">
        <w:rPr>
          <w:lang w:val="fr-CH"/>
        </w:rPr>
        <w:t>panne imprévue et de grande envergure du système de com</w:t>
      </w:r>
      <w:r w:rsidR="000266E5" w:rsidRPr="0004681B">
        <w:rPr>
          <w:lang w:val="fr-CH"/>
        </w:rPr>
        <w:t>m</w:t>
      </w:r>
      <w:r w:rsidR="002F3546" w:rsidRPr="0004681B">
        <w:rPr>
          <w:lang w:val="fr-CH"/>
        </w:rPr>
        <w:t>erce électronique</w:t>
      </w:r>
      <w:r w:rsidR="00E1613F" w:rsidRPr="0004681B">
        <w:rPr>
          <w:lang w:val="fr-CH"/>
        </w:rPr>
        <w:t>”</w:t>
      </w:r>
      <w:r w:rsidR="002F3546" w:rsidRPr="0004681B">
        <w:rPr>
          <w:lang w:val="fr-CH"/>
        </w:rPr>
        <w:t xml:space="preserve"> de l</w:t>
      </w:r>
      <w:r w:rsidR="00902953" w:rsidRPr="0004681B">
        <w:rPr>
          <w:lang w:val="fr-CH"/>
        </w:rPr>
        <w:t>’</w:t>
      </w:r>
      <w:r w:rsidR="002F3546" w:rsidRPr="0004681B">
        <w:rPr>
          <w:lang w:val="fr-CH"/>
        </w:rPr>
        <w:t>Office des brevets et des marques des États</w:t>
      </w:r>
      <w:r w:rsidR="00902953" w:rsidRPr="0004681B">
        <w:rPr>
          <w:lang w:val="fr-CH"/>
        </w:rPr>
        <w:t>-</w:t>
      </w:r>
      <w:r w:rsidR="002F3546" w:rsidRPr="0004681B">
        <w:rPr>
          <w:lang w:val="fr-CH"/>
        </w:rPr>
        <w:t>Unis d</w:t>
      </w:r>
      <w:r w:rsidR="00902953" w:rsidRPr="0004681B">
        <w:rPr>
          <w:lang w:val="fr-CH"/>
        </w:rPr>
        <w:t>’</w:t>
      </w:r>
      <w:r w:rsidR="002F3546" w:rsidRPr="0004681B">
        <w:rPr>
          <w:lang w:val="fr-CH"/>
        </w:rPr>
        <w:t>Amérique (USPTO) l</w:t>
      </w:r>
      <w:r w:rsidR="00902953" w:rsidRPr="0004681B">
        <w:rPr>
          <w:lang w:val="fr-CH"/>
        </w:rPr>
        <w:t>’</w:t>
      </w:r>
      <w:r w:rsidR="002F3546" w:rsidRPr="0004681B">
        <w:rPr>
          <w:lang w:val="fr-CH"/>
        </w:rPr>
        <w:t>a empêché d</w:t>
      </w:r>
      <w:r w:rsidR="00902953" w:rsidRPr="0004681B">
        <w:rPr>
          <w:lang w:val="fr-CH"/>
        </w:rPr>
        <w:t>’</w:t>
      </w:r>
      <w:r w:rsidR="002F3546" w:rsidRPr="0004681B">
        <w:rPr>
          <w:lang w:val="fr-CH"/>
        </w:rPr>
        <w:t>accepter les demandes internationales déposées par voie électronique entre le 15 et le 2</w:t>
      </w:r>
      <w:r w:rsidR="00821952" w:rsidRPr="0004681B">
        <w:rPr>
          <w:lang w:val="fr-CH"/>
        </w:rPr>
        <w:t>3 août 20</w:t>
      </w:r>
      <w:r w:rsidR="002F3546" w:rsidRPr="0004681B">
        <w:rPr>
          <w:lang w:val="fr-CH"/>
        </w:rPr>
        <w:t>18</w:t>
      </w:r>
      <w:r w:rsidR="002F3546" w:rsidRPr="0004681B">
        <w:rPr>
          <w:rStyle w:val="FootnoteReference"/>
          <w:lang w:val="fr-CH"/>
        </w:rPr>
        <w:footnoteReference w:id="2"/>
      </w:r>
      <w:r w:rsidR="002F3546" w:rsidRPr="0004681B">
        <w:rPr>
          <w:lang w:val="fr-CH"/>
        </w:rPr>
        <w:t>.</w:t>
      </w:r>
    </w:p>
    <w:p w:rsidR="00557988" w:rsidRPr="0004681B" w:rsidRDefault="002F3546" w:rsidP="0004681B">
      <w:pPr>
        <w:pStyle w:val="ONUMFS"/>
        <w:rPr>
          <w:lang w:val="fr-CH"/>
        </w:rPr>
      </w:pPr>
      <w:r w:rsidRPr="0004681B">
        <w:rPr>
          <w:lang w:val="fr-CH"/>
        </w:rPr>
        <w:t xml:space="preserve">Une maintenance régulière des systèmes électroniques est nécessaire pour améliorer la qualité des services </w:t>
      </w:r>
      <w:r w:rsidR="0073181A" w:rsidRPr="0004681B">
        <w:rPr>
          <w:lang w:val="fr-CH"/>
        </w:rPr>
        <w:t xml:space="preserve">fournis </w:t>
      </w:r>
      <w:r w:rsidRPr="0004681B">
        <w:rPr>
          <w:lang w:val="fr-CH"/>
        </w:rPr>
        <w:t>en lig</w:t>
      </w:r>
      <w:r w:rsidR="0004681B" w:rsidRPr="0004681B">
        <w:rPr>
          <w:lang w:val="fr-CH"/>
        </w:rPr>
        <w:t>ne.  Ce</w:t>
      </w:r>
      <w:r w:rsidRPr="0004681B">
        <w:rPr>
          <w:lang w:val="fr-CH"/>
        </w:rPr>
        <w:t xml:space="preserve">la peut parfois avoir une incidence sur la capacité des utilisateurs </w:t>
      </w:r>
      <w:r w:rsidR="0073181A" w:rsidRPr="0004681B">
        <w:rPr>
          <w:lang w:val="fr-CH"/>
        </w:rPr>
        <w:t>d</w:t>
      </w:r>
      <w:r w:rsidR="00902953" w:rsidRPr="0004681B">
        <w:rPr>
          <w:lang w:val="fr-CH"/>
        </w:rPr>
        <w:t>’</w:t>
      </w:r>
      <w:r w:rsidR="0073181A" w:rsidRPr="0004681B">
        <w:rPr>
          <w:lang w:val="fr-CH"/>
        </w:rPr>
        <w:t>utiliser</w:t>
      </w:r>
      <w:r w:rsidRPr="0004681B">
        <w:rPr>
          <w:lang w:val="fr-CH"/>
        </w:rPr>
        <w:t xml:space="preserve"> pleinement ces servic</w:t>
      </w:r>
      <w:r w:rsidR="0004681B" w:rsidRPr="0004681B">
        <w:rPr>
          <w:lang w:val="fr-CH"/>
        </w:rPr>
        <w:t>es.  Le</w:t>
      </w:r>
      <w:r w:rsidRPr="0004681B">
        <w:rPr>
          <w:lang w:val="fr-CH"/>
        </w:rPr>
        <w:t>s opérations de maintenance sont normalement programmées pendant le week</w:t>
      </w:r>
      <w:r w:rsidR="00902953" w:rsidRPr="0004681B">
        <w:rPr>
          <w:lang w:val="fr-CH"/>
        </w:rPr>
        <w:t>-</w:t>
      </w:r>
      <w:r w:rsidRPr="0004681B">
        <w:rPr>
          <w:lang w:val="fr-CH"/>
        </w:rPr>
        <w:t>end afin d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éviter tout désagrément aux usage</w:t>
      </w:r>
      <w:r w:rsidR="0004681B" w:rsidRPr="0004681B">
        <w:rPr>
          <w:lang w:val="fr-CH"/>
        </w:rPr>
        <w:t xml:space="preserve">rs.  À </w:t>
      </w:r>
      <w:r w:rsidR="009F3EB3" w:rsidRPr="0004681B">
        <w:rPr>
          <w:lang w:val="fr-CH"/>
        </w:rPr>
        <w:t>titre</w:t>
      </w:r>
      <w:r w:rsidRPr="0004681B">
        <w:rPr>
          <w:lang w:val="fr-CH"/>
        </w:rPr>
        <w:t xml:space="preserve"> </w:t>
      </w:r>
      <w:r w:rsidR="009F3EB3" w:rsidRPr="0004681B">
        <w:rPr>
          <w:lang w:val="fr-CH"/>
        </w:rPr>
        <w:t>d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exemple, 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OEB publie, plusieurs jours avant toute période d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indisponibilité due à ces opérations, un avertissement sur une page dédiée de son site</w:t>
      </w:r>
      <w:r w:rsidR="002746BC" w:rsidRPr="0004681B">
        <w:rPr>
          <w:lang w:val="fr-CH"/>
        </w:rPr>
        <w:t> </w:t>
      </w:r>
      <w:r w:rsidRPr="0004681B">
        <w:rPr>
          <w:lang w:val="fr-CH"/>
        </w:rPr>
        <w:t>W</w:t>
      </w:r>
      <w:r w:rsidR="0004681B" w:rsidRPr="0004681B">
        <w:rPr>
          <w:lang w:val="fr-CH"/>
        </w:rPr>
        <w:t>eb.  Il</w:t>
      </w:r>
      <w:r w:rsidRPr="0004681B">
        <w:rPr>
          <w:lang w:val="fr-CH"/>
        </w:rPr>
        <w:t xml:space="preserve"> recommande aux parties intéressées de consulter régulièrement le site</w:t>
      </w:r>
      <w:r w:rsidR="002746BC" w:rsidRPr="0004681B">
        <w:rPr>
          <w:lang w:val="fr-CH"/>
        </w:rPr>
        <w:t> </w:t>
      </w:r>
      <w:r w:rsidRPr="0004681B">
        <w:rPr>
          <w:lang w:val="fr-CH"/>
        </w:rPr>
        <w:t>Web pour leur éviter d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être prises au dépourvu par des interruptions dues à des opérations de maintenance annoncées à 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avan</w:t>
      </w:r>
      <w:r w:rsidR="0004681B" w:rsidRPr="0004681B">
        <w:rPr>
          <w:lang w:val="fr-CH"/>
        </w:rPr>
        <w:t>ce.  To</w:t>
      </w:r>
      <w:r w:rsidR="00646693" w:rsidRPr="0004681B">
        <w:rPr>
          <w:lang w:val="fr-CH"/>
        </w:rPr>
        <w:t>utefois, cette mesure de précaution peut ne pas toujours suffire.</w:t>
      </w:r>
    </w:p>
    <w:p w:rsidR="00557988" w:rsidRDefault="00DB2816" w:rsidP="0004681B">
      <w:pPr>
        <w:pStyle w:val="ONUMFS"/>
        <w:rPr>
          <w:lang w:val="fr-CH"/>
        </w:rPr>
      </w:pPr>
      <w:r w:rsidRPr="00DB2816">
        <w:rPr>
          <w:lang w:val="fr-CH"/>
        </w:rPr>
        <w:t>Les déposants peuvent être excusés en cas d</w:t>
      </w:r>
      <w:r w:rsidR="00902953">
        <w:rPr>
          <w:lang w:val="fr-CH"/>
        </w:rPr>
        <w:t>’</w:t>
      </w:r>
      <w:r w:rsidRPr="00DB2816">
        <w:rPr>
          <w:lang w:val="fr-CH"/>
        </w:rPr>
        <w:t>indisponibilité des moyens de communication électronique</w:t>
      </w:r>
      <w:r w:rsidRPr="00DB2816">
        <w:rPr>
          <w:color w:val="000000"/>
          <w:lang w:val="fr-CH"/>
        </w:rPr>
        <w:t xml:space="preserve"> de leur côté,</w:t>
      </w:r>
      <w:r w:rsidRPr="00DB2816">
        <w:rPr>
          <w:lang w:val="fr-CH"/>
        </w:rPr>
        <w:t xml:space="preserve"> dans des circonstances particulières visées à la </w:t>
      </w:r>
      <w:r w:rsidR="00821952" w:rsidRPr="00DB2816">
        <w:rPr>
          <w:lang w:val="fr-CH"/>
        </w:rPr>
        <w:t>règle</w:t>
      </w:r>
      <w:r w:rsidR="00821952">
        <w:rPr>
          <w:lang w:val="fr-CH"/>
        </w:rPr>
        <w:t> </w:t>
      </w:r>
      <w:r w:rsidR="00821952" w:rsidRPr="00DB2816">
        <w:rPr>
          <w:lang w:val="fr-CH"/>
        </w:rPr>
        <w:t>8</w:t>
      </w:r>
      <w:r w:rsidRPr="00DB2816">
        <w:rPr>
          <w:lang w:val="fr-CH"/>
        </w:rPr>
        <w:t>2</w:t>
      </w:r>
      <w:r w:rsidRPr="00DB2816">
        <w:rPr>
          <w:i/>
          <w:lang w:val="fr-CH"/>
        </w:rPr>
        <w:t>quater</w:t>
      </w:r>
      <w:r w:rsidRPr="00DB2816">
        <w:rPr>
          <w:lang w:val="fr-CH"/>
        </w:rPr>
        <w:t>.1, pour autant que des preuves soient fournies</w:t>
      </w:r>
      <w:r w:rsidRPr="00DB2816">
        <w:rPr>
          <w:color w:val="000000"/>
          <w:lang w:val="fr-CH"/>
        </w:rPr>
        <w:t xml:space="preserve"> pour </w:t>
      </w:r>
      <w:r w:rsidRPr="00DB2816">
        <w:rPr>
          <w:lang w:val="fr-CH"/>
        </w:rPr>
        <w:t>chaque cas particuli</w:t>
      </w:r>
      <w:r w:rsidR="0004681B" w:rsidRPr="00DB2816">
        <w:rPr>
          <w:lang w:val="fr-CH"/>
        </w:rPr>
        <w:t>er</w:t>
      </w:r>
      <w:r w:rsidR="0004681B">
        <w:rPr>
          <w:lang w:val="fr-CH"/>
        </w:rPr>
        <w:t xml:space="preserve">.  </w:t>
      </w:r>
      <w:r w:rsidR="0004681B" w:rsidRPr="00DB2816">
        <w:rPr>
          <w:lang w:val="fr-CH"/>
        </w:rPr>
        <w:t>Ce</w:t>
      </w:r>
      <w:r w:rsidRPr="00DB2816">
        <w:rPr>
          <w:lang w:val="fr-CH"/>
        </w:rPr>
        <w:t xml:space="preserve">la représente une charge pour les </w:t>
      </w:r>
      <w:r w:rsidRPr="00DB2816">
        <w:rPr>
          <w:color w:val="000000"/>
          <w:lang w:val="fr-CH"/>
        </w:rPr>
        <w:t>o</w:t>
      </w:r>
      <w:r w:rsidRPr="00DB2816">
        <w:rPr>
          <w:lang w:val="fr-CH"/>
        </w:rPr>
        <w:t>ffices qui doivent évaluer ces c</w:t>
      </w:r>
      <w:r w:rsidR="0004681B" w:rsidRPr="00DB2816">
        <w:rPr>
          <w:lang w:val="fr-CH"/>
        </w:rPr>
        <w:t>as</w:t>
      </w:r>
      <w:r w:rsidR="0004681B">
        <w:rPr>
          <w:lang w:val="fr-CH"/>
        </w:rPr>
        <w:t xml:space="preserve">.  </w:t>
      </w:r>
      <w:r w:rsidR="0004681B" w:rsidRPr="00DB2816">
        <w:rPr>
          <w:lang w:val="fr-CH"/>
        </w:rPr>
        <w:t>Ce</w:t>
      </w:r>
      <w:r w:rsidRPr="00DB2816">
        <w:rPr>
          <w:lang w:val="fr-CH"/>
        </w:rPr>
        <w:t>pendant,</w:t>
      </w:r>
      <w:r w:rsidR="00821952" w:rsidRPr="00DB2816">
        <w:rPr>
          <w:lang w:val="fr-CH"/>
        </w:rPr>
        <w:t xml:space="preserve"> le</w:t>
      </w:r>
      <w:r w:rsidR="00821952">
        <w:rPr>
          <w:lang w:val="fr-CH"/>
        </w:rPr>
        <w:t> </w:t>
      </w:r>
      <w:r w:rsidR="00821952" w:rsidRPr="00DB2816">
        <w:rPr>
          <w:lang w:val="fr-CH"/>
        </w:rPr>
        <w:t>PCT</w:t>
      </w:r>
      <w:r w:rsidRPr="00DB2816">
        <w:rPr>
          <w:lang w:val="fr-CH"/>
        </w:rPr>
        <w:t xml:space="preserve"> ne </w:t>
      </w:r>
      <w:r w:rsidRPr="00DB2816">
        <w:rPr>
          <w:color w:val="000000"/>
          <w:lang w:val="fr-CH"/>
        </w:rPr>
        <w:t>prévoit aucune mesure de</w:t>
      </w:r>
      <w:r w:rsidRPr="00DB2816">
        <w:rPr>
          <w:lang w:val="fr-CH"/>
        </w:rPr>
        <w:t xml:space="preserve"> sauvegarde en cas d</w:t>
      </w:r>
      <w:r w:rsidR="00902953">
        <w:rPr>
          <w:lang w:val="fr-CH"/>
        </w:rPr>
        <w:t>’</w:t>
      </w:r>
      <w:r w:rsidRPr="00DB2816">
        <w:rPr>
          <w:lang w:val="fr-CH"/>
        </w:rPr>
        <w:t xml:space="preserve">indisponibilité des services de communication électronique pour des raisons imputables aux </w:t>
      </w:r>
      <w:r w:rsidRPr="00DB2816">
        <w:rPr>
          <w:color w:val="000000"/>
          <w:lang w:val="fr-CH"/>
        </w:rPr>
        <w:t>o</w:t>
      </w:r>
      <w:r w:rsidRPr="00DB2816">
        <w:rPr>
          <w:lang w:val="fr-CH"/>
        </w:rPr>
        <w:t>ffices de</w:t>
      </w:r>
      <w:r w:rsidRPr="00DB2816">
        <w:rPr>
          <w:color w:val="000000"/>
          <w:lang w:val="fr-CH"/>
        </w:rPr>
        <w:t>s</w:t>
      </w:r>
      <w:r w:rsidRPr="00DB2816">
        <w:rPr>
          <w:lang w:val="fr-CH"/>
        </w:rPr>
        <w:t xml:space="preserve"> brevets.</w:t>
      </w:r>
    </w:p>
    <w:p w:rsidR="00557988" w:rsidRPr="0004681B" w:rsidRDefault="00B77731" w:rsidP="0004681B">
      <w:pPr>
        <w:pStyle w:val="ONUMFS"/>
        <w:rPr>
          <w:lang w:val="fr-CH"/>
        </w:rPr>
      </w:pPr>
      <w:r w:rsidRPr="0004681B">
        <w:rPr>
          <w:lang w:val="fr-CH"/>
        </w:rPr>
        <w:t xml:space="preserve">La </w:t>
      </w:r>
      <w:r w:rsidR="00821952" w:rsidRPr="0004681B">
        <w:rPr>
          <w:lang w:val="fr-CH"/>
        </w:rPr>
        <w:t>règle 1</w:t>
      </w:r>
      <w:r w:rsidRPr="0004681B">
        <w:rPr>
          <w:lang w:val="fr-CH"/>
        </w:rPr>
        <w:t>34.1) de la Convention sur le brevet européen (CBE) protège les utilisateurs de 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OEB en cas d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indisponibilité de tout moyen de communication électronique le dernier jour du délai imparti pour accomplir des actes de procédu</w:t>
      </w:r>
      <w:r w:rsidR="0004681B" w:rsidRPr="0004681B">
        <w:rPr>
          <w:lang w:val="fr-CH"/>
        </w:rPr>
        <w:t>re.  El</w:t>
      </w:r>
      <w:r w:rsidR="00E16C8B" w:rsidRPr="0004681B">
        <w:rPr>
          <w:lang w:val="fr-CH"/>
        </w:rPr>
        <w:t>le le fait en prorogeant ce délai jusqu</w:t>
      </w:r>
      <w:r w:rsidR="00902953" w:rsidRPr="0004681B">
        <w:rPr>
          <w:lang w:val="fr-CH"/>
        </w:rPr>
        <w:t>’</w:t>
      </w:r>
      <w:r w:rsidR="00E16C8B" w:rsidRPr="0004681B">
        <w:rPr>
          <w:lang w:val="fr-CH"/>
        </w:rPr>
        <w:t>au premier jour ouvrable où tous ces moyens sont disponibl</w:t>
      </w:r>
      <w:r w:rsidR="0004681B" w:rsidRPr="0004681B">
        <w:rPr>
          <w:lang w:val="fr-CH"/>
        </w:rPr>
        <w:t>es.  Ce</w:t>
      </w:r>
      <w:r w:rsidR="00E16C8B" w:rsidRPr="0004681B">
        <w:rPr>
          <w:lang w:val="fr-CH"/>
        </w:rPr>
        <w:t>tte prorogation n</w:t>
      </w:r>
      <w:r w:rsidR="00902953" w:rsidRPr="0004681B">
        <w:rPr>
          <w:lang w:val="fr-CH"/>
        </w:rPr>
        <w:t>’</w:t>
      </w:r>
      <w:r w:rsidR="00E16C8B" w:rsidRPr="0004681B">
        <w:rPr>
          <w:lang w:val="fr-CH"/>
        </w:rPr>
        <w:t>est possible que si l</w:t>
      </w:r>
      <w:r w:rsidR="00902953" w:rsidRPr="0004681B">
        <w:rPr>
          <w:lang w:val="fr-CH"/>
        </w:rPr>
        <w:t>’</w:t>
      </w:r>
      <w:r w:rsidR="00E16C8B" w:rsidRPr="0004681B">
        <w:rPr>
          <w:lang w:val="fr-CH"/>
        </w:rPr>
        <w:t>indisponibilité est imputable à l</w:t>
      </w:r>
      <w:r w:rsidR="00902953" w:rsidRPr="0004681B">
        <w:rPr>
          <w:lang w:val="fr-CH"/>
        </w:rPr>
        <w:t>’</w:t>
      </w:r>
      <w:r w:rsidR="0004681B" w:rsidRPr="0004681B">
        <w:rPr>
          <w:lang w:val="fr-CH"/>
        </w:rPr>
        <w:t>OEB.  En</w:t>
      </w:r>
      <w:r w:rsidR="00E16C8B" w:rsidRPr="0004681B">
        <w:rPr>
          <w:lang w:val="fr-CH"/>
        </w:rPr>
        <w:t xml:space="preserve"> l</w:t>
      </w:r>
      <w:r w:rsidR="00902953" w:rsidRPr="0004681B">
        <w:rPr>
          <w:lang w:val="fr-CH"/>
        </w:rPr>
        <w:t>’</w:t>
      </w:r>
      <w:r w:rsidR="00E16C8B" w:rsidRPr="0004681B">
        <w:rPr>
          <w:lang w:val="fr-CH"/>
        </w:rPr>
        <w:t>absence de toute disposition correspondante dans</w:t>
      </w:r>
      <w:r w:rsidR="00821952" w:rsidRPr="0004681B">
        <w:rPr>
          <w:lang w:val="fr-CH"/>
        </w:rPr>
        <w:t xml:space="preserve"> le PCT</w:t>
      </w:r>
      <w:r w:rsidR="00E16C8B" w:rsidRPr="0004681B">
        <w:rPr>
          <w:lang w:val="fr-CH"/>
        </w:rPr>
        <w:t>, l</w:t>
      </w:r>
      <w:r w:rsidR="00902953" w:rsidRPr="0004681B">
        <w:rPr>
          <w:lang w:val="fr-CH"/>
        </w:rPr>
        <w:t>’</w:t>
      </w:r>
      <w:r w:rsidR="00E16C8B" w:rsidRPr="0004681B">
        <w:rPr>
          <w:lang w:val="fr-CH"/>
        </w:rPr>
        <w:t xml:space="preserve">OEB applique actuellement la </w:t>
      </w:r>
      <w:r w:rsidR="00821952" w:rsidRPr="0004681B">
        <w:rPr>
          <w:lang w:val="fr-CH"/>
        </w:rPr>
        <w:t>règle 1</w:t>
      </w:r>
      <w:r w:rsidR="00E16C8B" w:rsidRPr="0004681B">
        <w:rPr>
          <w:lang w:val="fr-CH"/>
        </w:rPr>
        <w:t>34.1) de</w:t>
      </w:r>
      <w:r w:rsidR="00821952" w:rsidRPr="0004681B">
        <w:rPr>
          <w:lang w:val="fr-CH"/>
        </w:rPr>
        <w:t xml:space="preserve"> la CBE</w:t>
      </w:r>
      <w:r w:rsidR="00E16C8B" w:rsidRPr="0004681B">
        <w:rPr>
          <w:lang w:val="fr-CH"/>
        </w:rPr>
        <w:t xml:space="preserve"> à titre complémentaire, conformément</w:t>
      </w:r>
      <w:r w:rsidR="00015F7B" w:rsidRPr="0004681B">
        <w:rPr>
          <w:lang w:val="fr-CH"/>
        </w:rPr>
        <w:t xml:space="preserve"> à </w:t>
      </w:r>
      <w:r w:rsidR="00E16C8B" w:rsidRPr="0004681B">
        <w:rPr>
          <w:lang w:val="fr-CH"/>
        </w:rPr>
        <w:t>l</w:t>
      </w:r>
      <w:r w:rsidR="00902953" w:rsidRPr="0004681B">
        <w:rPr>
          <w:lang w:val="fr-CH"/>
        </w:rPr>
        <w:t>’</w:t>
      </w:r>
      <w:r w:rsidR="00E16C8B" w:rsidRPr="0004681B">
        <w:rPr>
          <w:lang w:val="fr-CH"/>
        </w:rPr>
        <w:t>article 150</w:t>
      </w:r>
      <w:r w:rsidR="00015F7B" w:rsidRPr="0004681B">
        <w:rPr>
          <w:lang w:val="fr-CH"/>
        </w:rPr>
        <w:t>.2)</w:t>
      </w:r>
      <w:r w:rsidR="00E16C8B" w:rsidRPr="0004681B">
        <w:rPr>
          <w:lang w:val="fr-CH"/>
        </w:rPr>
        <w:t xml:space="preserve"> de</w:t>
      </w:r>
      <w:r w:rsidR="00821952" w:rsidRPr="0004681B">
        <w:rPr>
          <w:lang w:val="fr-CH"/>
        </w:rPr>
        <w:t xml:space="preserve"> la </w:t>
      </w:r>
      <w:r w:rsidR="0004681B" w:rsidRPr="0004681B">
        <w:rPr>
          <w:lang w:val="fr-CH"/>
        </w:rPr>
        <w:t>CBE.  To</w:t>
      </w:r>
      <w:r w:rsidR="00A371E3" w:rsidRPr="0004681B">
        <w:rPr>
          <w:lang w:val="fr-CH"/>
        </w:rPr>
        <w:t>utefois, si d</w:t>
      </w:r>
      <w:r w:rsidR="00902953" w:rsidRPr="0004681B">
        <w:rPr>
          <w:lang w:val="fr-CH"/>
        </w:rPr>
        <w:t>’</w:t>
      </w:r>
      <w:r w:rsidR="00E16C8B" w:rsidRPr="0004681B">
        <w:rPr>
          <w:lang w:val="fr-CH"/>
        </w:rPr>
        <w:t xml:space="preserve">autres offices suivent une approche similaire, </w:t>
      </w:r>
      <w:r w:rsidR="00A371E3" w:rsidRPr="0004681B">
        <w:rPr>
          <w:lang w:val="fr-CH"/>
        </w:rPr>
        <w:t>ce n</w:t>
      </w:r>
      <w:r w:rsidR="00902953" w:rsidRPr="0004681B">
        <w:rPr>
          <w:lang w:val="fr-CH"/>
        </w:rPr>
        <w:t>’</w:t>
      </w:r>
      <w:r w:rsidR="00A371E3" w:rsidRPr="0004681B">
        <w:rPr>
          <w:lang w:val="fr-CH"/>
        </w:rPr>
        <w:t>est pas le cas de to</w:t>
      </w:r>
      <w:r w:rsidR="0004681B" w:rsidRPr="0004681B">
        <w:rPr>
          <w:lang w:val="fr-CH"/>
        </w:rPr>
        <w:t>us.  Pa</w:t>
      </w:r>
      <w:r w:rsidR="005621E4" w:rsidRPr="0004681B">
        <w:rPr>
          <w:lang w:val="fr-CH"/>
        </w:rPr>
        <w:t>r conséquent, il n</w:t>
      </w:r>
      <w:r w:rsidR="00902953" w:rsidRPr="0004681B">
        <w:rPr>
          <w:lang w:val="fr-CH"/>
        </w:rPr>
        <w:t>’</w:t>
      </w:r>
      <w:r w:rsidR="005621E4" w:rsidRPr="0004681B">
        <w:rPr>
          <w:lang w:val="fr-CH"/>
        </w:rPr>
        <w:t xml:space="preserve">est pas facile pour les </w:t>
      </w:r>
      <w:r w:rsidR="009F21CD" w:rsidRPr="0004681B">
        <w:rPr>
          <w:lang w:val="fr-CH"/>
        </w:rPr>
        <w:t>o</w:t>
      </w:r>
      <w:r w:rsidR="005621E4" w:rsidRPr="0004681B">
        <w:rPr>
          <w:lang w:val="fr-CH"/>
        </w:rPr>
        <w:t xml:space="preserve">ffices désignés de comprendre sur quelle base un délai spécifique a été </w:t>
      </w:r>
      <w:r w:rsidR="002D7EC0" w:rsidRPr="0004681B">
        <w:rPr>
          <w:lang w:val="fr-CH"/>
        </w:rPr>
        <w:t xml:space="preserve">prorogé </w:t>
      </w:r>
      <w:r w:rsidR="005621E4" w:rsidRPr="0004681B">
        <w:rPr>
          <w:lang w:val="fr-CH"/>
        </w:rPr>
        <w:t>au cours de la phase internationale.</w:t>
      </w:r>
    </w:p>
    <w:p w:rsidR="00557988" w:rsidRPr="0004681B" w:rsidRDefault="005621E4" w:rsidP="005621E4">
      <w:pPr>
        <w:pStyle w:val="Heading1"/>
      </w:pPr>
      <w:r w:rsidRPr="0004681B">
        <w:t>Proposition</w:t>
      </w:r>
    </w:p>
    <w:p w:rsidR="00557988" w:rsidRDefault="00D3492B" w:rsidP="0004681B">
      <w:pPr>
        <w:pStyle w:val="ONUMFS"/>
        <w:rPr>
          <w:lang w:val="fr-CH"/>
        </w:rPr>
      </w:pPr>
      <w:r w:rsidRPr="00D3492B">
        <w:rPr>
          <w:lang w:val="fr-CH"/>
        </w:rPr>
        <w:t>Afin d</w:t>
      </w:r>
      <w:r w:rsidR="00902953">
        <w:rPr>
          <w:lang w:val="fr-CH"/>
        </w:rPr>
        <w:t>’</w:t>
      </w:r>
      <w:r w:rsidRPr="00D3492B">
        <w:rPr>
          <w:lang w:val="fr-CH"/>
        </w:rPr>
        <w:t xml:space="preserve">assurer une plus grande transparence et une plus grande fiabilité et </w:t>
      </w:r>
      <w:r w:rsidR="009F21CD">
        <w:rPr>
          <w:color w:val="000000"/>
          <w:lang w:val="fr-CH"/>
        </w:rPr>
        <w:t>pour favoriser la</w:t>
      </w:r>
      <w:r w:rsidRPr="00D3492B">
        <w:rPr>
          <w:color w:val="000000"/>
          <w:lang w:val="fr-CH"/>
        </w:rPr>
        <w:t xml:space="preserve"> c</w:t>
      </w:r>
      <w:r w:rsidRPr="00D3492B">
        <w:rPr>
          <w:lang w:val="fr-CH"/>
        </w:rPr>
        <w:t xml:space="preserve">onvergence des pratiques entre les </w:t>
      </w:r>
      <w:r w:rsidRPr="00D3492B">
        <w:rPr>
          <w:color w:val="000000"/>
          <w:lang w:val="fr-CH"/>
        </w:rPr>
        <w:t>o</w:t>
      </w:r>
      <w:r w:rsidRPr="00D3492B">
        <w:rPr>
          <w:lang w:val="fr-CH"/>
        </w:rPr>
        <w:t>ffices récepteurs, il est souhaitable</w:t>
      </w:r>
      <w:r w:rsidRPr="00D3492B">
        <w:rPr>
          <w:color w:val="000000"/>
          <w:lang w:val="fr-CH"/>
        </w:rPr>
        <w:t xml:space="preserve"> que</w:t>
      </w:r>
      <w:r w:rsidR="00821952" w:rsidRPr="00D3492B">
        <w:rPr>
          <w:lang w:val="fr-CH"/>
        </w:rPr>
        <w:t xml:space="preserve"> </w:t>
      </w:r>
      <w:r w:rsidR="00821952" w:rsidRPr="00D3492B">
        <w:rPr>
          <w:color w:val="000000"/>
          <w:lang w:val="fr-CH"/>
        </w:rPr>
        <w:t>le</w:t>
      </w:r>
      <w:r w:rsidR="00821952">
        <w:rPr>
          <w:lang w:val="fr-CH"/>
        </w:rPr>
        <w:t> </w:t>
      </w:r>
      <w:r w:rsidR="00821952" w:rsidRPr="00D3492B">
        <w:rPr>
          <w:lang w:val="fr-CH"/>
        </w:rPr>
        <w:t>PCT</w:t>
      </w:r>
      <w:r w:rsidRPr="00D3492B">
        <w:rPr>
          <w:color w:val="000000"/>
          <w:lang w:val="fr-CH"/>
        </w:rPr>
        <w:t xml:space="preserve"> dispose d</w:t>
      </w:r>
      <w:r w:rsidR="00902953">
        <w:rPr>
          <w:color w:val="000000"/>
          <w:lang w:val="fr-CH"/>
        </w:rPr>
        <w:t>’</w:t>
      </w:r>
      <w:r w:rsidRPr="00D3492B">
        <w:rPr>
          <w:color w:val="000000"/>
          <w:lang w:val="fr-CH"/>
        </w:rPr>
        <w:t>une base juridique appropri</w:t>
      </w:r>
      <w:r w:rsidR="0004681B" w:rsidRPr="00D3492B">
        <w:rPr>
          <w:color w:val="000000"/>
          <w:lang w:val="fr-CH"/>
        </w:rPr>
        <w:t>ée</w:t>
      </w:r>
      <w:r w:rsidR="0004681B">
        <w:rPr>
          <w:color w:val="000000"/>
          <w:lang w:val="fr-CH"/>
        </w:rPr>
        <w:t xml:space="preserve">.  </w:t>
      </w:r>
      <w:r w:rsidR="0004681B" w:rsidRPr="006A5FFF">
        <w:rPr>
          <w:lang w:val="fr-CH"/>
        </w:rPr>
        <w:t>Ce</w:t>
      </w:r>
      <w:r w:rsidR="006A5FFF" w:rsidRPr="006A5FFF">
        <w:rPr>
          <w:lang w:val="fr-CH"/>
        </w:rPr>
        <w:t xml:space="preserve">la profiterait </w:t>
      </w:r>
      <w:r w:rsidR="006A5FFF" w:rsidRPr="006A5FFF">
        <w:rPr>
          <w:color w:val="000000"/>
          <w:lang w:val="fr-CH"/>
        </w:rPr>
        <w:t>également</w:t>
      </w:r>
      <w:r w:rsidR="006A5FFF" w:rsidRPr="006A5FFF">
        <w:rPr>
          <w:lang w:val="fr-CH"/>
        </w:rPr>
        <w:t xml:space="preserve"> aux grands </w:t>
      </w:r>
      <w:r w:rsidR="006A5FFF" w:rsidRPr="006A5FFF">
        <w:rPr>
          <w:color w:val="000000"/>
          <w:lang w:val="fr-CH"/>
        </w:rPr>
        <w:t>o</w:t>
      </w:r>
      <w:r w:rsidR="006A5FFF" w:rsidRPr="006A5FFF">
        <w:rPr>
          <w:lang w:val="fr-CH"/>
        </w:rPr>
        <w:t xml:space="preserve">ffices qui reçoivent des demandes internationales émanant de nombreux </w:t>
      </w:r>
      <w:r w:rsidR="006A5FFF" w:rsidRPr="006A5FFF">
        <w:rPr>
          <w:color w:val="000000"/>
          <w:lang w:val="fr-CH"/>
        </w:rPr>
        <w:t>o</w:t>
      </w:r>
      <w:r w:rsidR="006A5FFF" w:rsidRPr="006A5FFF">
        <w:rPr>
          <w:lang w:val="fr-CH"/>
        </w:rPr>
        <w:t xml:space="preserve">ffices récepteurs différents, </w:t>
      </w:r>
      <w:r w:rsidR="002D7EC0" w:rsidRPr="006A5FFF">
        <w:rPr>
          <w:lang w:val="fr-CH"/>
        </w:rPr>
        <w:t>appliqu</w:t>
      </w:r>
      <w:r w:rsidR="002D7EC0">
        <w:rPr>
          <w:lang w:val="fr-CH"/>
        </w:rPr>
        <w:t>a</w:t>
      </w:r>
      <w:r w:rsidR="002D7EC0" w:rsidRPr="006A5FFF">
        <w:rPr>
          <w:lang w:val="fr-CH"/>
        </w:rPr>
        <w:t xml:space="preserve">nt </w:t>
      </w:r>
      <w:r w:rsidR="006A5FFF" w:rsidRPr="006A5FFF">
        <w:rPr>
          <w:lang w:val="fr-CH"/>
        </w:rPr>
        <w:t>actuellement leur</w:t>
      </w:r>
      <w:r w:rsidR="006A5FFF" w:rsidRPr="006A5FFF">
        <w:rPr>
          <w:color w:val="000000"/>
          <w:lang w:val="fr-CH"/>
        </w:rPr>
        <w:t xml:space="preserve">s </w:t>
      </w:r>
      <w:r w:rsidR="00821952">
        <w:rPr>
          <w:lang w:val="fr-CH"/>
        </w:rPr>
        <w:t>“</w:t>
      </w:r>
      <w:r w:rsidR="00821952" w:rsidRPr="006A5FFF">
        <w:rPr>
          <w:lang w:val="fr-CH"/>
        </w:rPr>
        <w:t>p</w:t>
      </w:r>
      <w:r w:rsidR="006A5FFF" w:rsidRPr="006A5FFF">
        <w:rPr>
          <w:lang w:val="fr-CH"/>
        </w:rPr>
        <w:t>ropre</w:t>
      </w:r>
      <w:r w:rsidR="00821952" w:rsidRPr="006A5FFF">
        <w:rPr>
          <w:color w:val="000000"/>
          <w:lang w:val="fr-CH"/>
        </w:rPr>
        <w:t>s</w:t>
      </w:r>
      <w:r w:rsidR="00821952">
        <w:rPr>
          <w:color w:val="000000"/>
          <w:lang w:val="fr-CH"/>
        </w:rPr>
        <w:t>”</w:t>
      </w:r>
      <w:r w:rsidR="006A5FFF" w:rsidRPr="006A5FFF">
        <w:rPr>
          <w:lang w:val="fr-CH"/>
        </w:rPr>
        <w:t xml:space="preserve"> pratique</w:t>
      </w:r>
      <w:r w:rsidR="006A5FFF" w:rsidRPr="006A5FFF">
        <w:rPr>
          <w:color w:val="000000"/>
          <w:lang w:val="fr-CH"/>
        </w:rPr>
        <w:t>s</w:t>
      </w:r>
      <w:r w:rsidR="006A5FFF" w:rsidRPr="006A5FFF">
        <w:rPr>
          <w:lang w:val="fr-CH"/>
        </w:rPr>
        <w:t xml:space="preserve"> nationale</w:t>
      </w:r>
      <w:r w:rsidR="006A5FFF" w:rsidRPr="006A5FFF">
        <w:rPr>
          <w:color w:val="000000"/>
          <w:lang w:val="fr-CH"/>
        </w:rPr>
        <w:t>s</w:t>
      </w:r>
      <w:r w:rsidR="006A5FFF" w:rsidRPr="006A5FFF">
        <w:rPr>
          <w:lang w:val="fr-CH"/>
        </w:rPr>
        <w:t xml:space="preserve"> en cas d</w:t>
      </w:r>
      <w:r w:rsidR="00902953">
        <w:rPr>
          <w:lang w:val="fr-CH"/>
        </w:rPr>
        <w:t>’</w:t>
      </w:r>
      <w:r w:rsidR="006A5FFF" w:rsidRPr="006A5FFF">
        <w:rPr>
          <w:lang w:val="fr-CH"/>
        </w:rPr>
        <w:t>indisponibilité de leurs</w:t>
      </w:r>
      <w:r w:rsidR="006A5FFF" w:rsidRPr="006A5FFF">
        <w:rPr>
          <w:color w:val="000000"/>
          <w:lang w:val="fr-CH"/>
        </w:rPr>
        <w:t xml:space="preserve"> services</w:t>
      </w:r>
      <w:r w:rsidR="006A5FFF" w:rsidRPr="006A5FFF">
        <w:rPr>
          <w:lang w:val="fr-CH"/>
        </w:rPr>
        <w:t xml:space="preserve"> de dépôt électronique.</w:t>
      </w:r>
    </w:p>
    <w:p w:rsidR="00557988" w:rsidRPr="0004681B" w:rsidRDefault="00395D29" w:rsidP="0004681B">
      <w:pPr>
        <w:pStyle w:val="ONUMFS"/>
        <w:rPr>
          <w:lang w:val="fr-CH"/>
        </w:rPr>
      </w:pPr>
      <w:r w:rsidRPr="0004681B">
        <w:rPr>
          <w:lang w:val="fr-CH"/>
        </w:rPr>
        <w:t>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OEB propose donc 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introduction d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 xml:space="preserve">une nouvelle </w:t>
      </w:r>
      <w:r w:rsidR="00821952" w:rsidRPr="0004681B">
        <w:rPr>
          <w:lang w:val="fr-CH"/>
        </w:rPr>
        <w:t>règle 8</w:t>
      </w:r>
      <w:r w:rsidRPr="0004681B">
        <w:rPr>
          <w:lang w:val="fr-CH"/>
        </w:rPr>
        <w:t>2</w:t>
      </w:r>
      <w:r w:rsidRPr="0004681B">
        <w:rPr>
          <w:i/>
          <w:lang w:val="fr-CH"/>
        </w:rPr>
        <w:t>quater</w:t>
      </w:r>
      <w:r w:rsidRPr="0004681B">
        <w:rPr>
          <w:lang w:val="fr-CH"/>
        </w:rPr>
        <w:t>.2 (voir 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annexe) afin d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excuser les retards en cas de problèmes techniques affectant les moyens officiels de communication électronique, qu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ils soient programmés (maintenance) ou non (interruptions de service) par 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office concer</w:t>
      </w:r>
      <w:r w:rsidR="0004681B" w:rsidRPr="0004681B">
        <w:rPr>
          <w:lang w:val="fr-CH"/>
        </w:rPr>
        <w:t>né.  Le</w:t>
      </w:r>
      <w:r w:rsidRPr="0004681B">
        <w:rPr>
          <w:lang w:val="fr-CH"/>
        </w:rPr>
        <w:t>s délais peuvent être prorogés jusqu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au jour ouvrable suivant</w:t>
      </w:r>
      <w:r w:rsidR="005B21F0" w:rsidRPr="0004681B">
        <w:rPr>
          <w:lang w:val="fr-CH"/>
        </w:rPr>
        <w:t xml:space="preserve"> celui</w:t>
      </w:r>
      <w:r w:rsidRPr="0004681B">
        <w:rPr>
          <w:lang w:val="fr-CH"/>
        </w:rPr>
        <w:t xml:space="preserve"> </w:t>
      </w:r>
      <w:r w:rsidR="005B21F0" w:rsidRPr="0004681B">
        <w:rPr>
          <w:lang w:val="fr-CH"/>
        </w:rPr>
        <w:t xml:space="preserve">où </w:t>
      </w:r>
      <w:r w:rsidRPr="0004681B">
        <w:rPr>
          <w:lang w:val="fr-CH"/>
        </w:rPr>
        <w:t>tous les moyens de communication électronique autorisés sont de nouveau disponibles.</w:t>
      </w:r>
    </w:p>
    <w:p w:rsidR="00557988" w:rsidRPr="0004681B" w:rsidRDefault="00190A3B" w:rsidP="0004681B">
      <w:pPr>
        <w:pStyle w:val="ONUMFS"/>
        <w:rPr>
          <w:lang w:val="fr-CH"/>
        </w:rPr>
      </w:pPr>
      <w:r w:rsidRPr="0004681B">
        <w:rPr>
          <w:lang w:val="fr-CH"/>
        </w:rPr>
        <w:lastRenderedPageBreak/>
        <w:t xml:space="preserve">En vertu de la nouvelle </w:t>
      </w:r>
      <w:r w:rsidR="00821952" w:rsidRPr="0004681B">
        <w:rPr>
          <w:lang w:val="fr-CH"/>
        </w:rPr>
        <w:t>règle 8</w:t>
      </w:r>
      <w:r w:rsidRPr="0004681B">
        <w:rPr>
          <w:lang w:val="fr-CH"/>
        </w:rPr>
        <w:t>2</w:t>
      </w:r>
      <w:r w:rsidRPr="0004681B">
        <w:rPr>
          <w:i/>
          <w:lang w:val="fr-CH"/>
        </w:rPr>
        <w:t>quater</w:t>
      </w:r>
      <w:r w:rsidRPr="0004681B">
        <w:rPr>
          <w:lang w:val="fr-CH"/>
        </w:rPr>
        <w:t xml:space="preserve">.2 proposée, contrairement aux dispositions de la </w:t>
      </w:r>
      <w:r w:rsidR="00821952" w:rsidRPr="0004681B">
        <w:rPr>
          <w:lang w:val="fr-CH"/>
        </w:rPr>
        <w:t>règle 8</w:t>
      </w:r>
      <w:r w:rsidRPr="0004681B">
        <w:rPr>
          <w:lang w:val="fr-CH"/>
        </w:rPr>
        <w:t>2</w:t>
      </w:r>
      <w:r w:rsidRPr="0004681B">
        <w:rPr>
          <w:i/>
          <w:lang w:val="fr-CH"/>
        </w:rPr>
        <w:t>quater</w:t>
      </w:r>
      <w:r w:rsidRPr="0004681B">
        <w:rPr>
          <w:lang w:val="fr-CH"/>
        </w:rPr>
        <w:t>.1, les déposants ne seraient pas tenus de soumettre des éléments de preu</w:t>
      </w:r>
      <w:r w:rsidR="0004681B" w:rsidRPr="0004681B">
        <w:rPr>
          <w:lang w:val="fr-CH"/>
        </w:rPr>
        <w:t>ve.  La</w:t>
      </w:r>
      <w:r w:rsidRPr="0004681B">
        <w:rPr>
          <w:lang w:val="fr-CH"/>
        </w:rPr>
        <w:t xml:space="preserve"> mention de 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indisponibilité des moyens de communication électronique suffirait et le non</w:t>
      </w:r>
      <w:r w:rsidR="00902953" w:rsidRPr="0004681B">
        <w:rPr>
          <w:lang w:val="fr-CH"/>
        </w:rPr>
        <w:t>-</w:t>
      </w:r>
      <w:r w:rsidRPr="0004681B">
        <w:rPr>
          <w:lang w:val="fr-CH"/>
        </w:rPr>
        <w:t>respect d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un délai dans un cas donné serait excusé sans autre évaluation par 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office, ce qui permettrait de rationaliser les</w:t>
      </w:r>
      <w:r w:rsidR="009F21CD" w:rsidRPr="0004681B">
        <w:rPr>
          <w:lang w:val="fr-CH"/>
        </w:rPr>
        <w:t xml:space="preserve"> procédures et soulagerait les o</w:t>
      </w:r>
      <w:r w:rsidRPr="0004681B">
        <w:rPr>
          <w:lang w:val="fr-CH"/>
        </w:rPr>
        <w:t>ffices de la charge que représente l</w:t>
      </w:r>
      <w:r w:rsidR="00902953" w:rsidRPr="0004681B">
        <w:rPr>
          <w:lang w:val="fr-CH"/>
        </w:rPr>
        <w:t>’</w:t>
      </w:r>
      <w:r w:rsidRPr="0004681B">
        <w:rPr>
          <w:lang w:val="fr-CH"/>
        </w:rPr>
        <w:t>évaluation de chaque c</w:t>
      </w:r>
      <w:r w:rsidR="0004681B" w:rsidRPr="0004681B">
        <w:rPr>
          <w:lang w:val="fr-CH"/>
        </w:rPr>
        <w:t>as.  Le</w:t>
      </w:r>
      <w:r w:rsidR="00D52DB3" w:rsidRPr="0004681B">
        <w:rPr>
          <w:lang w:val="fr-CH"/>
        </w:rPr>
        <w:t xml:space="preserve"> libellé proposé pour le nouvel </w:t>
      </w:r>
      <w:r w:rsidR="00821952" w:rsidRPr="0004681B">
        <w:rPr>
          <w:lang w:val="fr-CH"/>
        </w:rPr>
        <w:t>alinéa b)</w:t>
      </w:r>
      <w:r w:rsidR="00D52DB3" w:rsidRPr="0004681B">
        <w:rPr>
          <w:lang w:val="fr-CH"/>
        </w:rPr>
        <w:t xml:space="preserve"> de la </w:t>
      </w:r>
      <w:r w:rsidR="00821952" w:rsidRPr="0004681B">
        <w:rPr>
          <w:lang w:val="fr-CH"/>
        </w:rPr>
        <w:t>règle 8</w:t>
      </w:r>
      <w:r w:rsidR="00B26580" w:rsidRPr="0004681B">
        <w:rPr>
          <w:lang w:val="fr-CH"/>
        </w:rPr>
        <w:t>2</w:t>
      </w:r>
      <w:r w:rsidR="00D52DB3" w:rsidRPr="0004681B">
        <w:rPr>
          <w:i/>
          <w:lang w:val="fr-CH"/>
        </w:rPr>
        <w:t>quater</w:t>
      </w:r>
      <w:r w:rsidR="00D52DB3" w:rsidRPr="0004681B">
        <w:rPr>
          <w:lang w:val="fr-CH"/>
        </w:rPr>
        <w:t>.2 a le même objet que l</w:t>
      </w:r>
      <w:r w:rsidR="00902953" w:rsidRPr="0004681B">
        <w:rPr>
          <w:lang w:val="fr-CH"/>
        </w:rPr>
        <w:t>’</w:t>
      </w:r>
      <w:r w:rsidR="00821952" w:rsidRPr="0004681B">
        <w:rPr>
          <w:lang w:val="fr-CH"/>
        </w:rPr>
        <w:t>alinéa c)</w:t>
      </w:r>
      <w:r w:rsidR="00D52DB3" w:rsidRPr="0004681B">
        <w:rPr>
          <w:lang w:val="fr-CH"/>
        </w:rPr>
        <w:t xml:space="preserve"> de la </w:t>
      </w:r>
      <w:r w:rsidR="00821952" w:rsidRPr="0004681B">
        <w:rPr>
          <w:lang w:val="fr-CH"/>
        </w:rPr>
        <w:t>règle 8</w:t>
      </w:r>
      <w:r w:rsidR="00D52DB3" w:rsidRPr="0004681B">
        <w:rPr>
          <w:lang w:val="fr-CH"/>
        </w:rPr>
        <w:t>2</w:t>
      </w:r>
      <w:r w:rsidR="00D52DB3" w:rsidRPr="0004681B">
        <w:rPr>
          <w:i/>
          <w:lang w:val="fr-CH"/>
        </w:rPr>
        <w:t>quater</w:t>
      </w:r>
      <w:r w:rsidR="00D52DB3" w:rsidRPr="0004681B">
        <w:rPr>
          <w:lang w:val="fr-CH"/>
        </w:rPr>
        <w:t>.1 et est donc aligné sur celui</w:t>
      </w:r>
      <w:r w:rsidR="00902953" w:rsidRPr="0004681B">
        <w:rPr>
          <w:lang w:val="fr-CH"/>
        </w:rPr>
        <w:t>-</w:t>
      </w:r>
      <w:r w:rsidR="0004681B" w:rsidRPr="0004681B">
        <w:rPr>
          <w:lang w:val="fr-CH"/>
        </w:rPr>
        <w:t>ci.  L’o</w:t>
      </w:r>
      <w:r w:rsidR="005530D4" w:rsidRPr="0004681B">
        <w:rPr>
          <w:lang w:val="fr-CH"/>
        </w:rPr>
        <w:t>bjectif est de faire en sorte que les offices désignés ne soient pas liés par des décisions prises par d</w:t>
      </w:r>
      <w:r w:rsidR="00902953" w:rsidRPr="0004681B">
        <w:rPr>
          <w:lang w:val="fr-CH"/>
        </w:rPr>
        <w:t>’</w:t>
      </w:r>
      <w:r w:rsidR="005530D4" w:rsidRPr="0004681B">
        <w:rPr>
          <w:lang w:val="fr-CH"/>
        </w:rPr>
        <w:t xml:space="preserve">autres administrations après </w:t>
      </w:r>
      <w:r w:rsidR="002D7EC0" w:rsidRPr="0004681B">
        <w:rPr>
          <w:lang w:val="fr-CH"/>
        </w:rPr>
        <w:t>l</w:t>
      </w:r>
      <w:r w:rsidR="00902953" w:rsidRPr="0004681B">
        <w:rPr>
          <w:lang w:val="fr-CH"/>
        </w:rPr>
        <w:t>’</w:t>
      </w:r>
      <w:r w:rsidR="002D7EC0" w:rsidRPr="0004681B">
        <w:rPr>
          <w:lang w:val="fr-CH"/>
        </w:rPr>
        <w:t>ouverture de</w:t>
      </w:r>
      <w:r w:rsidR="005530D4" w:rsidRPr="0004681B">
        <w:rPr>
          <w:lang w:val="fr-CH"/>
        </w:rPr>
        <w:t xml:space="preserve"> leur phase nationale.</w:t>
      </w:r>
    </w:p>
    <w:p w:rsidR="00557988" w:rsidRDefault="00F755A9" w:rsidP="0004681B">
      <w:pPr>
        <w:pStyle w:val="ONUMFS"/>
        <w:rPr>
          <w:lang w:val="fr-CH"/>
        </w:rPr>
      </w:pPr>
      <w:r w:rsidRPr="00F755A9">
        <w:rPr>
          <w:lang w:val="fr-CH"/>
        </w:rPr>
        <w:t xml:space="preserve">En outre, </w:t>
      </w:r>
      <w:r w:rsidRPr="00F755A9">
        <w:rPr>
          <w:color w:val="000000"/>
          <w:lang w:val="fr-CH"/>
        </w:rPr>
        <w:t xml:space="preserve">selon </w:t>
      </w:r>
      <w:r w:rsidRPr="00F755A9">
        <w:rPr>
          <w:lang w:val="fr-CH"/>
        </w:rPr>
        <w:t>l</w:t>
      </w:r>
      <w:r w:rsidR="00902953">
        <w:rPr>
          <w:lang w:val="fr-CH"/>
        </w:rPr>
        <w:t>’</w:t>
      </w:r>
      <w:r w:rsidRPr="00F755A9">
        <w:rPr>
          <w:lang w:val="fr-CH"/>
        </w:rPr>
        <w:t>expérience</w:t>
      </w:r>
      <w:r w:rsidRPr="00F755A9">
        <w:rPr>
          <w:color w:val="000000"/>
          <w:lang w:val="fr-CH"/>
        </w:rPr>
        <w:t xml:space="preserve"> que </w:t>
      </w:r>
      <w:r w:rsidRPr="00F755A9">
        <w:rPr>
          <w:lang w:val="fr-CH"/>
        </w:rPr>
        <w:t>l</w:t>
      </w:r>
      <w:r w:rsidR="00902953">
        <w:rPr>
          <w:lang w:val="fr-CH"/>
        </w:rPr>
        <w:t>’</w:t>
      </w:r>
      <w:r w:rsidRPr="00F755A9">
        <w:rPr>
          <w:lang w:val="fr-CH"/>
        </w:rPr>
        <w:t xml:space="preserve">OEB </w:t>
      </w:r>
      <w:r w:rsidRPr="00F755A9">
        <w:rPr>
          <w:color w:val="000000"/>
          <w:lang w:val="fr-CH"/>
        </w:rPr>
        <w:t xml:space="preserve">a de </w:t>
      </w:r>
      <w:r w:rsidRPr="00F755A9">
        <w:rPr>
          <w:lang w:val="fr-CH"/>
        </w:rPr>
        <w:t xml:space="preserve">la </w:t>
      </w:r>
      <w:r w:rsidR="00821952" w:rsidRPr="00F755A9">
        <w:rPr>
          <w:lang w:val="fr-CH"/>
        </w:rPr>
        <w:t>règle</w:t>
      </w:r>
      <w:r w:rsidR="00821952">
        <w:rPr>
          <w:lang w:val="fr-CH"/>
        </w:rPr>
        <w:t> </w:t>
      </w:r>
      <w:r w:rsidR="00821952" w:rsidRPr="00F755A9">
        <w:rPr>
          <w:lang w:val="fr-CH"/>
        </w:rPr>
        <w:t>1</w:t>
      </w:r>
      <w:r w:rsidRPr="00F755A9">
        <w:rPr>
          <w:lang w:val="fr-CH"/>
        </w:rPr>
        <w:t>34</w:t>
      </w:r>
      <w:r w:rsidRPr="00F755A9">
        <w:rPr>
          <w:color w:val="000000"/>
          <w:lang w:val="fr-CH"/>
        </w:rPr>
        <w:t>.</w:t>
      </w:r>
      <w:r w:rsidRPr="00F755A9">
        <w:rPr>
          <w:lang w:val="fr-CH"/>
        </w:rPr>
        <w:t>1) de</w:t>
      </w:r>
      <w:r w:rsidR="00821952" w:rsidRPr="00F755A9">
        <w:rPr>
          <w:lang w:val="fr-CH"/>
        </w:rPr>
        <w:t xml:space="preserve"> la</w:t>
      </w:r>
      <w:r w:rsidR="00821952">
        <w:rPr>
          <w:lang w:val="fr-CH"/>
        </w:rPr>
        <w:t> </w:t>
      </w:r>
      <w:r w:rsidR="00821952" w:rsidRPr="00F755A9">
        <w:rPr>
          <w:lang w:val="fr-CH"/>
        </w:rPr>
        <w:t>CBE</w:t>
      </w:r>
      <w:r w:rsidRPr="00F755A9">
        <w:rPr>
          <w:color w:val="000000"/>
          <w:lang w:val="fr-CH"/>
        </w:rPr>
        <w:t>,</w:t>
      </w:r>
      <w:r w:rsidRPr="00F755A9">
        <w:rPr>
          <w:lang w:val="fr-CH"/>
        </w:rPr>
        <w:t xml:space="preserve"> </w:t>
      </w:r>
      <w:r w:rsidR="002D7EC0">
        <w:rPr>
          <w:lang w:val="fr-CH"/>
        </w:rPr>
        <w:t>une utilisation</w:t>
      </w:r>
      <w:r w:rsidR="002D7EC0" w:rsidRPr="00F755A9">
        <w:rPr>
          <w:lang w:val="fr-CH"/>
        </w:rPr>
        <w:t xml:space="preserve"> </w:t>
      </w:r>
      <w:r w:rsidRPr="00F755A9">
        <w:rPr>
          <w:lang w:val="fr-CH"/>
        </w:rPr>
        <w:t>abus</w:t>
      </w:r>
      <w:r w:rsidR="002D7EC0">
        <w:rPr>
          <w:lang w:val="fr-CH"/>
        </w:rPr>
        <w:t>ive</w:t>
      </w:r>
      <w:r w:rsidRPr="00F755A9">
        <w:rPr>
          <w:lang w:val="fr-CH"/>
        </w:rPr>
        <w:t xml:space="preserve"> du système est très peu probab</w:t>
      </w:r>
      <w:r w:rsidR="0004681B" w:rsidRPr="00F755A9">
        <w:rPr>
          <w:lang w:val="fr-CH"/>
        </w:rPr>
        <w:t>le</w:t>
      </w:r>
      <w:r w:rsidR="0004681B">
        <w:rPr>
          <w:lang w:val="fr-CH"/>
        </w:rPr>
        <w:t xml:space="preserve">.  </w:t>
      </w:r>
      <w:r w:rsidR="0004681B" w:rsidRPr="0041010A">
        <w:rPr>
          <w:lang w:val="fr-CH"/>
        </w:rPr>
        <w:t>Le</w:t>
      </w:r>
      <w:r w:rsidR="0041010A" w:rsidRPr="0041010A">
        <w:rPr>
          <w:lang w:val="fr-CH"/>
        </w:rPr>
        <w:t>s déposants ne peuvent pas anticiper l</w:t>
      </w:r>
      <w:r w:rsidR="00902953">
        <w:rPr>
          <w:lang w:val="fr-CH"/>
        </w:rPr>
        <w:t>’</w:t>
      </w:r>
      <w:r w:rsidR="0041010A" w:rsidRPr="0041010A">
        <w:rPr>
          <w:lang w:val="fr-CH"/>
        </w:rPr>
        <w:t xml:space="preserve">indisponibilité des systèmes </w:t>
      </w:r>
      <w:r w:rsidR="0041010A" w:rsidRPr="0041010A">
        <w:rPr>
          <w:color w:val="000000"/>
          <w:lang w:val="fr-CH"/>
        </w:rPr>
        <w:t xml:space="preserve">du côté </w:t>
      </w:r>
      <w:r w:rsidR="0041010A" w:rsidRPr="0041010A">
        <w:rPr>
          <w:lang w:val="fr-CH"/>
        </w:rPr>
        <w:t xml:space="preserve">des </w:t>
      </w:r>
      <w:r w:rsidR="0041010A" w:rsidRPr="0041010A">
        <w:rPr>
          <w:color w:val="000000"/>
          <w:lang w:val="fr-CH"/>
        </w:rPr>
        <w:t>o</w:t>
      </w:r>
      <w:r w:rsidR="0041010A" w:rsidRPr="0041010A">
        <w:rPr>
          <w:lang w:val="fr-CH"/>
        </w:rPr>
        <w:t>ffices, qu</w:t>
      </w:r>
      <w:r w:rsidR="00902953">
        <w:rPr>
          <w:lang w:val="fr-CH"/>
        </w:rPr>
        <w:t>’</w:t>
      </w:r>
      <w:r w:rsidR="0041010A" w:rsidRPr="0041010A">
        <w:rPr>
          <w:color w:val="000000"/>
          <w:lang w:val="fr-CH"/>
        </w:rPr>
        <w:t>elle</w:t>
      </w:r>
      <w:r w:rsidR="0041010A" w:rsidRPr="0041010A">
        <w:rPr>
          <w:lang w:val="fr-CH"/>
        </w:rPr>
        <w:t xml:space="preserve"> soit d</w:t>
      </w:r>
      <w:r w:rsidR="0041010A" w:rsidRPr="0041010A">
        <w:rPr>
          <w:color w:val="000000"/>
          <w:lang w:val="fr-CH"/>
        </w:rPr>
        <w:t>ue</w:t>
      </w:r>
      <w:r w:rsidR="0041010A" w:rsidRPr="0041010A">
        <w:rPr>
          <w:lang w:val="fr-CH"/>
        </w:rPr>
        <w:t xml:space="preserve"> à </w:t>
      </w:r>
      <w:r w:rsidR="0041010A" w:rsidRPr="0041010A">
        <w:rPr>
          <w:color w:val="000000"/>
          <w:lang w:val="fr-CH"/>
        </w:rPr>
        <w:t xml:space="preserve">une maintenance </w:t>
      </w:r>
      <w:r w:rsidR="0041010A" w:rsidRPr="0041010A">
        <w:rPr>
          <w:lang w:val="fr-CH"/>
        </w:rPr>
        <w:t xml:space="preserve">ou à </w:t>
      </w:r>
      <w:r w:rsidR="0041010A" w:rsidRPr="0041010A">
        <w:rPr>
          <w:color w:val="000000"/>
          <w:lang w:val="fr-CH"/>
        </w:rPr>
        <w:t xml:space="preserve">une </w:t>
      </w:r>
      <w:r w:rsidR="0041010A" w:rsidRPr="0041010A">
        <w:rPr>
          <w:lang w:val="fr-CH"/>
        </w:rPr>
        <w:t>interruption de service et</w:t>
      </w:r>
      <w:r w:rsidR="0041010A" w:rsidRPr="0041010A">
        <w:rPr>
          <w:color w:val="000000"/>
          <w:lang w:val="fr-CH"/>
        </w:rPr>
        <w:t xml:space="preserve">, </w:t>
      </w:r>
      <w:r w:rsidR="0041010A" w:rsidRPr="0041010A">
        <w:rPr>
          <w:lang w:val="fr-CH"/>
        </w:rPr>
        <w:t>par conséquent</w:t>
      </w:r>
      <w:r w:rsidR="0041010A" w:rsidRPr="0041010A">
        <w:rPr>
          <w:color w:val="000000"/>
          <w:lang w:val="fr-CH"/>
        </w:rPr>
        <w:t>, ils ne peuvent pas faire un</w:t>
      </w:r>
      <w:r w:rsidR="0041010A" w:rsidRPr="0041010A">
        <w:rPr>
          <w:lang w:val="fr-CH"/>
        </w:rPr>
        <w:t xml:space="preserve"> usage </w:t>
      </w:r>
      <w:r w:rsidR="0041010A" w:rsidRPr="0041010A">
        <w:rPr>
          <w:color w:val="000000"/>
          <w:lang w:val="fr-CH"/>
        </w:rPr>
        <w:t>excessif des</w:t>
      </w:r>
      <w:r w:rsidR="0041010A" w:rsidRPr="0041010A">
        <w:rPr>
          <w:lang w:val="fr-CH"/>
        </w:rPr>
        <w:t xml:space="preserve"> prorogation</w:t>
      </w:r>
      <w:r w:rsidR="0041010A" w:rsidRPr="0041010A">
        <w:rPr>
          <w:color w:val="000000"/>
          <w:lang w:val="fr-CH"/>
        </w:rPr>
        <w:t>s</w:t>
      </w:r>
      <w:r w:rsidR="0041010A" w:rsidRPr="0041010A">
        <w:rPr>
          <w:lang w:val="fr-CH"/>
        </w:rPr>
        <w:t xml:space="preserve"> de déla</w:t>
      </w:r>
      <w:r w:rsidR="0004681B" w:rsidRPr="0041010A">
        <w:rPr>
          <w:lang w:val="fr-CH"/>
        </w:rPr>
        <w:t>is</w:t>
      </w:r>
      <w:r w:rsidR="0004681B">
        <w:rPr>
          <w:lang w:val="fr-CH"/>
        </w:rPr>
        <w:t xml:space="preserve">.  </w:t>
      </w:r>
      <w:r w:rsidR="0004681B" w:rsidRPr="009A6C5D">
        <w:rPr>
          <w:lang w:val="fr-CH"/>
        </w:rPr>
        <w:t>De</w:t>
      </w:r>
      <w:r w:rsidR="009A6C5D" w:rsidRPr="009A6C5D">
        <w:rPr>
          <w:lang w:val="fr-CH"/>
        </w:rPr>
        <w:t xml:space="preserve"> même, la maintenance </w:t>
      </w:r>
      <w:r w:rsidR="009A6C5D" w:rsidRPr="009A6C5D">
        <w:rPr>
          <w:color w:val="000000"/>
          <w:lang w:val="fr-CH"/>
        </w:rPr>
        <w:t>entre</w:t>
      </w:r>
      <w:r w:rsidR="009A6C5D" w:rsidRPr="009A6C5D">
        <w:rPr>
          <w:lang w:val="fr-CH"/>
        </w:rPr>
        <w:t xml:space="preserve"> dans le champ d</w:t>
      </w:r>
      <w:r w:rsidR="00902953">
        <w:rPr>
          <w:lang w:val="fr-CH"/>
        </w:rPr>
        <w:t>’</w:t>
      </w:r>
      <w:r w:rsidR="009A6C5D" w:rsidRPr="009A6C5D">
        <w:rPr>
          <w:lang w:val="fr-CH"/>
        </w:rPr>
        <w:t>application de la nouvelle disposition</w:t>
      </w:r>
      <w:r w:rsidR="00821952" w:rsidRPr="009A6C5D">
        <w:rPr>
          <w:lang w:val="fr-CH"/>
        </w:rPr>
        <w:t xml:space="preserve"> du</w:t>
      </w:r>
      <w:r w:rsidR="00821952">
        <w:rPr>
          <w:lang w:val="fr-CH"/>
        </w:rPr>
        <w:t> </w:t>
      </w:r>
      <w:r w:rsidR="00821952" w:rsidRPr="009A6C5D">
        <w:rPr>
          <w:lang w:val="fr-CH"/>
        </w:rPr>
        <w:t>PCT</w:t>
      </w:r>
      <w:r w:rsidR="009A6C5D" w:rsidRPr="009A6C5D">
        <w:rPr>
          <w:color w:val="000000"/>
          <w:lang w:val="fr-CH"/>
        </w:rPr>
        <w:t xml:space="preserve"> </w:t>
      </w:r>
      <w:r w:rsidR="009A6C5D" w:rsidRPr="009A6C5D">
        <w:rPr>
          <w:lang w:val="fr-CH"/>
        </w:rPr>
        <w:t>proposée, étant donné qu</w:t>
      </w:r>
      <w:r w:rsidR="00902953">
        <w:rPr>
          <w:lang w:val="fr-CH"/>
        </w:rPr>
        <w:t>’</w:t>
      </w:r>
      <w:r w:rsidR="009A6C5D" w:rsidRPr="009A6C5D">
        <w:rPr>
          <w:lang w:val="fr-CH"/>
        </w:rPr>
        <w:t>à défaut, les déposants seraient tenus de s</w:t>
      </w:r>
      <w:r w:rsidR="00902953">
        <w:rPr>
          <w:lang w:val="fr-CH"/>
        </w:rPr>
        <w:t>’</w:t>
      </w:r>
      <w:r w:rsidR="009A6C5D" w:rsidRPr="009A6C5D">
        <w:rPr>
          <w:lang w:val="fr-CH"/>
        </w:rPr>
        <w:t>acquitter de leurs obligations avant les délais effectifs fixés dans le règlement d</w:t>
      </w:r>
      <w:r w:rsidR="00902953">
        <w:rPr>
          <w:lang w:val="fr-CH"/>
        </w:rPr>
        <w:t>’</w:t>
      </w:r>
      <w:r w:rsidR="009A6C5D" w:rsidRPr="009A6C5D">
        <w:rPr>
          <w:lang w:val="fr-CH"/>
        </w:rPr>
        <w:t>exécution</w:t>
      </w:r>
      <w:r w:rsidR="00821952" w:rsidRPr="009A6C5D">
        <w:rPr>
          <w:lang w:val="fr-CH"/>
        </w:rPr>
        <w:t xml:space="preserve"> du</w:t>
      </w:r>
      <w:r w:rsidR="00821952">
        <w:rPr>
          <w:lang w:val="fr-CH"/>
        </w:rPr>
        <w:t> </w:t>
      </w:r>
      <w:r w:rsidR="0004681B" w:rsidRPr="009A6C5D">
        <w:rPr>
          <w:lang w:val="fr-CH"/>
        </w:rPr>
        <w:t>PCT</w:t>
      </w:r>
      <w:r w:rsidR="0004681B">
        <w:rPr>
          <w:lang w:val="fr-CH"/>
        </w:rPr>
        <w:t xml:space="preserve">.  </w:t>
      </w:r>
      <w:r w:rsidR="0004681B" w:rsidRPr="009A6C5D">
        <w:rPr>
          <w:lang w:val="fr-CH"/>
        </w:rPr>
        <w:t>Ce</w:t>
      </w:r>
      <w:r w:rsidR="009A6C5D" w:rsidRPr="009A6C5D">
        <w:rPr>
          <w:lang w:val="fr-CH"/>
        </w:rPr>
        <w:t>tte charge supplémentaire pour les déposants ne serait pas acceptable.</w:t>
      </w:r>
    </w:p>
    <w:p w:rsidR="00557988" w:rsidRDefault="00B95393" w:rsidP="0004681B">
      <w:pPr>
        <w:pStyle w:val="ONUMFS"/>
        <w:rPr>
          <w:lang w:val="fr-CH"/>
        </w:rPr>
      </w:pPr>
      <w:r w:rsidRPr="00B95393">
        <w:rPr>
          <w:lang w:val="fr-CH"/>
        </w:rPr>
        <w:t>La proposition couvrirait tous les délais fixés dans le règlement d</w:t>
      </w:r>
      <w:r w:rsidR="00902953">
        <w:rPr>
          <w:lang w:val="fr-CH"/>
        </w:rPr>
        <w:t>’</w:t>
      </w:r>
      <w:r w:rsidRPr="00B95393">
        <w:rPr>
          <w:lang w:val="fr-CH"/>
        </w:rPr>
        <w:t>exécution</w:t>
      </w:r>
      <w:r w:rsidR="00821952" w:rsidRPr="00B95393">
        <w:rPr>
          <w:lang w:val="fr-CH"/>
        </w:rPr>
        <w:t xml:space="preserve"> du</w:t>
      </w:r>
      <w:r w:rsidR="00821952">
        <w:rPr>
          <w:lang w:val="fr-CH"/>
        </w:rPr>
        <w:t> </w:t>
      </w:r>
      <w:r w:rsidR="00821952" w:rsidRPr="00B95393">
        <w:rPr>
          <w:lang w:val="fr-CH"/>
        </w:rPr>
        <w:t>PCT</w:t>
      </w:r>
      <w:r w:rsidRPr="00B95393">
        <w:rPr>
          <w:color w:val="000000"/>
          <w:lang w:val="fr-CH"/>
        </w:rPr>
        <w:t xml:space="preserve"> concernant </w:t>
      </w:r>
      <w:r w:rsidRPr="00B95393">
        <w:rPr>
          <w:lang w:val="fr-CH"/>
        </w:rPr>
        <w:t>l</w:t>
      </w:r>
      <w:r w:rsidR="00902953">
        <w:rPr>
          <w:lang w:val="fr-CH"/>
        </w:rPr>
        <w:t>’</w:t>
      </w:r>
      <w:r w:rsidRPr="00B95393">
        <w:rPr>
          <w:lang w:val="fr-CH"/>
        </w:rPr>
        <w:t>accomplissement d</w:t>
      </w:r>
      <w:r w:rsidR="00902953">
        <w:rPr>
          <w:lang w:val="fr-CH"/>
        </w:rPr>
        <w:t>’</w:t>
      </w:r>
      <w:r w:rsidRPr="00B95393">
        <w:rPr>
          <w:lang w:val="fr-CH"/>
        </w:rPr>
        <w:t>un acte devant</w:t>
      </w:r>
      <w:r w:rsidRPr="00B95393">
        <w:rPr>
          <w:color w:val="000000"/>
          <w:lang w:val="fr-CH"/>
        </w:rPr>
        <w:t xml:space="preserve"> d</w:t>
      </w:r>
      <w:r w:rsidRPr="00B95393">
        <w:rPr>
          <w:lang w:val="fr-CH"/>
        </w:rPr>
        <w:t xml:space="preserve">es </w:t>
      </w:r>
      <w:r w:rsidRPr="00B95393">
        <w:rPr>
          <w:color w:val="000000"/>
          <w:lang w:val="fr-CH"/>
        </w:rPr>
        <w:t>o</w:t>
      </w:r>
      <w:r w:rsidRPr="00B95393">
        <w:rPr>
          <w:lang w:val="fr-CH"/>
        </w:rPr>
        <w:t xml:space="preserve">ffices, </w:t>
      </w:r>
      <w:r w:rsidR="00902953">
        <w:rPr>
          <w:lang w:val="fr-CH"/>
        </w:rPr>
        <w:t>y compris</w:t>
      </w:r>
      <w:r w:rsidRPr="00B95393">
        <w:rPr>
          <w:lang w:val="fr-CH"/>
        </w:rPr>
        <w:t xml:space="preserve"> </w:t>
      </w:r>
      <w:r w:rsidRPr="00B95393">
        <w:rPr>
          <w:color w:val="000000"/>
          <w:lang w:val="fr-CH"/>
        </w:rPr>
        <w:t>le</w:t>
      </w:r>
      <w:r>
        <w:rPr>
          <w:lang w:val="fr-CH"/>
        </w:rPr>
        <w:t xml:space="preserve"> paiement</w:t>
      </w:r>
      <w:r w:rsidRPr="00B95393">
        <w:rPr>
          <w:lang w:val="fr-CH"/>
        </w:rPr>
        <w:t xml:space="preserve"> de taxes, étant donné que le non</w:t>
      </w:r>
      <w:r w:rsidR="00902953">
        <w:rPr>
          <w:lang w:val="fr-CH"/>
        </w:rPr>
        <w:t>-</w:t>
      </w:r>
      <w:r w:rsidRPr="00B95393">
        <w:rPr>
          <w:lang w:val="fr-CH"/>
        </w:rPr>
        <w:t>paiement des taxes dans les délais applicables peut également entraîner la perte de</w:t>
      </w:r>
      <w:r w:rsidRPr="00B95393">
        <w:rPr>
          <w:color w:val="000000"/>
          <w:lang w:val="fr-CH"/>
        </w:rPr>
        <w:t>s</w:t>
      </w:r>
      <w:r w:rsidRPr="00B95393">
        <w:rPr>
          <w:lang w:val="fr-CH"/>
        </w:rPr>
        <w:t xml:space="preserve"> droi</w:t>
      </w:r>
      <w:r w:rsidR="0004681B" w:rsidRPr="00B95393">
        <w:rPr>
          <w:lang w:val="fr-CH"/>
        </w:rPr>
        <w:t>ts</w:t>
      </w:r>
      <w:r w:rsidR="0004681B">
        <w:rPr>
          <w:lang w:val="fr-CH"/>
        </w:rPr>
        <w:t xml:space="preserve">.  </w:t>
      </w:r>
      <w:r w:rsidR="0004681B" w:rsidRPr="00853FD2">
        <w:rPr>
          <w:lang w:val="fr-CH"/>
        </w:rPr>
        <w:t>Co</w:t>
      </w:r>
      <w:r w:rsidR="00853FD2" w:rsidRPr="00853FD2">
        <w:rPr>
          <w:color w:val="000000"/>
          <w:lang w:val="fr-CH"/>
        </w:rPr>
        <w:t xml:space="preserve">mme </w:t>
      </w:r>
      <w:r w:rsidR="0048487E">
        <w:rPr>
          <w:color w:val="000000"/>
          <w:lang w:val="fr-CH"/>
        </w:rPr>
        <w:t>pour</w:t>
      </w:r>
      <w:r w:rsidR="00853FD2" w:rsidRPr="00853FD2">
        <w:rPr>
          <w:lang w:val="fr-CH"/>
        </w:rPr>
        <w:t xml:space="preserve"> la </w:t>
      </w:r>
      <w:r w:rsidR="00821952" w:rsidRPr="00853FD2">
        <w:rPr>
          <w:lang w:val="fr-CH"/>
        </w:rPr>
        <w:t>règle</w:t>
      </w:r>
      <w:r w:rsidR="00821952">
        <w:rPr>
          <w:lang w:val="fr-CH"/>
        </w:rPr>
        <w:t> </w:t>
      </w:r>
      <w:r w:rsidR="00821952" w:rsidRPr="00853FD2">
        <w:rPr>
          <w:lang w:val="fr-CH"/>
        </w:rPr>
        <w:t>8</w:t>
      </w:r>
      <w:r w:rsidR="00853FD2" w:rsidRPr="00853FD2">
        <w:rPr>
          <w:lang w:val="fr-CH"/>
        </w:rPr>
        <w:t>2</w:t>
      </w:r>
      <w:r w:rsidR="00853FD2" w:rsidRPr="00853FD2">
        <w:rPr>
          <w:i/>
          <w:lang w:val="fr-CH"/>
        </w:rPr>
        <w:t>quater</w:t>
      </w:r>
      <w:r w:rsidR="00853FD2" w:rsidRPr="00853FD2">
        <w:rPr>
          <w:lang w:val="fr-CH"/>
        </w:rPr>
        <w:t>.1, la nouvelle</w:t>
      </w:r>
      <w:r w:rsidR="00853FD2" w:rsidRPr="00853FD2">
        <w:rPr>
          <w:color w:val="000000"/>
          <w:lang w:val="fr-CH"/>
        </w:rPr>
        <w:t xml:space="preserve"> mesure</w:t>
      </w:r>
      <w:r w:rsidR="00853FD2" w:rsidRPr="00853FD2">
        <w:rPr>
          <w:lang w:val="fr-CH"/>
        </w:rPr>
        <w:t xml:space="preserve"> de sauvegarde proposée dans la </w:t>
      </w:r>
      <w:r w:rsidR="00821952" w:rsidRPr="00853FD2">
        <w:rPr>
          <w:lang w:val="fr-CH"/>
        </w:rPr>
        <w:t>règle</w:t>
      </w:r>
      <w:r w:rsidR="00821952">
        <w:rPr>
          <w:lang w:val="fr-CH"/>
        </w:rPr>
        <w:t> </w:t>
      </w:r>
      <w:r w:rsidR="00821952" w:rsidRPr="00853FD2">
        <w:rPr>
          <w:lang w:val="fr-CH"/>
        </w:rPr>
        <w:t>8</w:t>
      </w:r>
      <w:r w:rsidR="00853FD2" w:rsidRPr="00853FD2">
        <w:rPr>
          <w:lang w:val="fr-CH"/>
        </w:rPr>
        <w:t>2</w:t>
      </w:r>
      <w:r w:rsidR="00853FD2" w:rsidRPr="00A20275">
        <w:rPr>
          <w:i/>
          <w:lang w:val="fr-CH"/>
        </w:rPr>
        <w:t>quater</w:t>
      </w:r>
      <w:r w:rsidR="00853FD2" w:rsidRPr="00853FD2">
        <w:rPr>
          <w:lang w:val="fr-CH"/>
        </w:rPr>
        <w:t>.2 ne s</w:t>
      </w:r>
      <w:r w:rsidR="00902953">
        <w:rPr>
          <w:lang w:val="fr-CH"/>
        </w:rPr>
        <w:t>’</w:t>
      </w:r>
      <w:r w:rsidR="00853FD2" w:rsidRPr="00853FD2">
        <w:rPr>
          <w:lang w:val="fr-CH"/>
        </w:rPr>
        <w:t xml:space="preserve">appliquerait pas au délai de priorité, étant donné </w:t>
      </w:r>
      <w:r w:rsidR="00853FD2" w:rsidRPr="00853FD2">
        <w:rPr>
          <w:color w:val="000000"/>
          <w:lang w:val="fr-CH"/>
        </w:rPr>
        <w:t>que celui</w:t>
      </w:r>
      <w:r w:rsidR="00902953">
        <w:rPr>
          <w:color w:val="000000"/>
          <w:lang w:val="fr-CH"/>
        </w:rPr>
        <w:t>-</w:t>
      </w:r>
      <w:r w:rsidR="00853FD2" w:rsidRPr="00853FD2">
        <w:rPr>
          <w:color w:val="000000"/>
          <w:lang w:val="fr-CH"/>
        </w:rPr>
        <w:t>ci n</w:t>
      </w:r>
      <w:r w:rsidR="00902953">
        <w:rPr>
          <w:color w:val="000000"/>
          <w:lang w:val="fr-CH"/>
        </w:rPr>
        <w:t>’</w:t>
      </w:r>
      <w:r w:rsidR="00853FD2" w:rsidRPr="00853FD2">
        <w:rPr>
          <w:color w:val="000000"/>
          <w:lang w:val="fr-CH"/>
        </w:rPr>
        <w:t>est pas</w:t>
      </w:r>
      <w:r w:rsidR="00853FD2" w:rsidRPr="00853FD2">
        <w:rPr>
          <w:lang w:val="fr-CH"/>
        </w:rPr>
        <w:t xml:space="preserve"> fixé dans le règlement d</w:t>
      </w:r>
      <w:r w:rsidR="00902953">
        <w:rPr>
          <w:lang w:val="fr-CH"/>
        </w:rPr>
        <w:t>’</w:t>
      </w:r>
      <w:r w:rsidR="00853FD2" w:rsidRPr="00853FD2">
        <w:rPr>
          <w:lang w:val="fr-CH"/>
        </w:rPr>
        <w:t>exécuti</w:t>
      </w:r>
      <w:r w:rsidR="0004681B" w:rsidRPr="00853FD2">
        <w:rPr>
          <w:lang w:val="fr-CH"/>
        </w:rPr>
        <w:t>on</w:t>
      </w:r>
      <w:r w:rsidR="0004681B">
        <w:rPr>
          <w:lang w:val="fr-CH"/>
        </w:rPr>
        <w:t xml:space="preserve">.  </w:t>
      </w:r>
      <w:r w:rsidR="0004681B" w:rsidRPr="00407ACF">
        <w:rPr>
          <w:lang w:val="fr-CH"/>
        </w:rPr>
        <w:t>Le</w:t>
      </w:r>
      <w:r w:rsidR="00853FD2" w:rsidRPr="00407ACF">
        <w:rPr>
          <w:lang w:val="fr-CH"/>
        </w:rPr>
        <w:t>s déposants peuvent toutefois demander l</w:t>
      </w:r>
      <w:r w:rsidR="00853FD2" w:rsidRPr="00407ACF">
        <w:rPr>
          <w:color w:val="000000"/>
          <w:lang w:val="fr-CH"/>
        </w:rPr>
        <w:t>e rétablissement</w:t>
      </w:r>
      <w:r w:rsidR="00853FD2" w:rsidRPr="00407ACF">
        <w:rPr>
          <w:lang w:val="fr-CH"/>
        </w:rPr>
        <w:t xml:space="preserve"> du droit de priorité </w:t>
      </w:r>
      <w:r w:rsidR="00853FD2" w:rsidRPr="00407ACF">
        <w:rPr>
          <w:color w:val="000000"/>
          <w:lang w:val="fr-CH"/>
        </w:rPr>
        <w:t xml:space="preserve">en vertu de </w:t>
      </w:r>
      <w:r w:rsidR="00853FD2" w:rsidRPr="00407ACF">
        <w:rPr>
          <w:lang w:val="fr-CH"/>
        </w:rPr>
        <w:t xml:space="preserve">la </w:t>
      </w:r>
      <w:r w:rsidR="00821952" w:rsidRPr="00407ACF">
        <w:rPr>
          <w:lang w:val="fr-CH"/>
        </w:rPr>
        <w:t>règle</w:t>
      </w:r>
      <w:r w:rsidR="00821952">
        <w:rPr>
          <w:lang w:val="fr-CH"/>
        </w:rPr>
        <w:t> </w:t>
      </w:r>
      <w:r w:rsidR="00821952" w:rsidRPr="00407ACF">
        <w:rPr>
          <w:lang w:val="fr-CH"/>
        </w:rPr>
        <w:t>2</w:t>
      </w:r>
      <w:r w:rsidR="00853FD2" w:rsidRPr="00407ACF">
        <w:rPr>
          <w:lang w:val="fr-CH"/>
        </w:rPr>
        <w:t>6</w:t>
      </w:r>
      <w:r w:rsidR="00853FD2" w:rsidRPr="00407ACF">
        <w:rPr>
          <w:i/>
          <w:lang w:val="fr-CH"/>
        </w:rPr>
        <w:t>bis</w:t>
      </w:r>
      <w:r w:rsidR="00853FD2" w:rsidRPr="00407ACF">
        <w:rPr>
          <w:color w:val="000000"/>
          <w:lang w:val="fr-CH"/>
        </w:rPr>
        <w:t>.</w:t>
      </w:r>
      <w:r w:rsidR="00853FD2" w:rsidRPr="00407ACF">
        <w:rPr>
          <w:lang w:val="fr-CH"/>
        </w:rPr>
        <w:t>3</w:t>
      </w:r>
      <w:r w:rsidR="00853FD2" w:rsidRPr="00407ACF">
        <w:rPr>
          <w:color w:val="000000"/>
          <w:lang w:val="fr-CH"/>
        </w:rPr>
        <w:t>.</w:t>
      </w:r>
      <w:r w:rsidR="003F1EFB" w:rsidRPr="00A20275">
        <w:rPr>
          <w:color w:val="000000"/>
          <w:lang w:val="fr-CH"/>
        </w:rPr>
        <w:t xml:space="preserve">  </w:t>
      </w:r>
      <w:r w:rsidR="002E45EE" w:rsidRPr="00407ACF">
        <w:rPr>
          <w:color w:val="000000"/>
          <w:lang w:val="fr-CH"/>
        </w:rPr>
        <w:t>Si</w:t>
      </w:r>
      <w:r w:rsidR="002E45EE" w:rsidRPr="00407ACF">
        <w:rPr>
          <w:lang w:val="fr-CH"/>
        </w:rPr>
        <w:t xml:space="preserve"> la règle proposée </w:t>
      </w:r>
      <w:r w:rsidR="002E45EE" w:rsidRPr="00407ACF">
        <w:rPr>
          <w:color w:val="000000"/>
          <w:lang w:val="fr-CH"/>
        </w:rPr>
        <w:t xml:space="preserve">est </w:t>
      </w:r>
      <w:r w:rsidR="002E45EE" w:rsidRPr="00407ACF">
        <w:rPr>
          <w:lang w:val="fr-CH"/>
        </w:rPr>
        <w:t>appliquée, l</w:t>
      </w:r>
      <w:r w:rsidR="00902953">
        <w:rPr>
          <w:lang w:val="fr-CH"/>
        </w:rPr>
        <w:t>’</w:t>
      </w:r>
      <w:r w:rsidR="002E45EE" w:rsidRPr="00407ACF">
        <w:rPr>
          <w:color w:val="000000"/>
          <w:lang w:val="fr-CH"/>
        </w:rPr>
        <w:t>o</w:t>
      </w:r>
      <w:r w:rsidR="002E45EE" w:rsidRPr="00407ACF">
        <w:rPr>
          <w:lang w:val="fr-CH"/>
        </w:rPr>
        <w:t xml:space="preserve">ffice concerné </w:t>
      </w:r>
      <w:r w:rsidR="002E45EE" w:rsidRPr="00407ACF">
        <w:rPr>
          <w:color w:val="000000"/>
          <w:lang w:val="fr-CH"/>
        </w:rPr>
        <w:t xml:space="preserve">communiquera </w:t>
      </w:r>
      <w:r w:rsidR="002E45EE" w:rsidRPr="00407ACF">
        <w:rPr>
          <w:lang w:val="fr-CH"/>
        </w:rPr>
        <w:t xml:space="preserve">les informations pertinentes au Bureau </w:t>
      </w:r>
      <w:r w:rsidR="00E85431">
        <w:rPr>
          <w:lang w:val="fr-CH"/>
        </w:rPr>
        <w:t>i</w:t>
      </w:r>
      <w:r w:rsidR="002E45EE" w:rsidRPr="00407ACF">
        <w:rPr>
          <w:lang w:val="fr-CH"/>
        </w:rPr>
        <w:t>nternational afin de s</w:t>
      </w:r>
      <w:r w:rsidR="00902953">
        <w:rPr>
          <w:lang w:val="fr-CH"/>
        </w:rPr>
        <w:t>’</w:t>
      </w:r>
      <w:r w:rsidR="002E45EE" w:rsidRPr="00407ACF">
        <w:rPr>
          <w:lang w:val="fr-CH"/>
        </w:rPr>
        <w:t xml:space="preserve">assurer que le public et les autres </w:t>
      </w:r>
      <w:r w:rsidR="002E45EE" w:rsidRPr="00407ACF">
        <w:rPr>
          <w:color w:val="000000"/>
          <w:lang w:val="fr-CH"/>
        </w:rPr>
        <w:t>o</w:t>
      </w:r>
      <w:r w:rsidR="002E45EE" w:rsidRPr="00407ACF">
        <w:rPr>
          <w:lang w:val="fr-CH"/>
        </w:rPr>
        <w:t>ffices so</w:t>
      </w:r>
      <w:r w:rsidR="0048487E">
        <w:rPr>
          <w:lang w:val="fr-CH"/>
        </w:rPr>
        <w:t>ie</w:t>
      </w:r>
      <w:r w:rsidR="002E45EE" w:rsidRPr="00407ACF">
        <w:rPr>
          <w:lang w:val="fr-CH"/>
        </w:rPr>
        <w:t>nt correctement informés,</w:t>
      </w:r>
      <w:r w:rsidR="002E45EE" w:rsidRPr="00407ACF">
        <w:rPr>
          <w:color w:val="000000"/>
          <w:lang w:val="fr-CH"/>
        </w:rPr>
        <w:t xml:space="preserve"> </w:t>
      </w:r>
      <w:r w:rsidR="002E45EE" w:rsidRPr="00407ACF">
        <w:rPr>
          <w:lang w:val="fr-CH"/>
        </w:rPr>
        <w:t xml:space="preserve">par exemple </w:t>
      </w:r>
      <w:r w:rsidR="0048487E">
        <w:rPr>
          <w:lang w:val="fr-CH"/>
        </w:rPr>
        <w:t>par l</w:t>
      </w:r>
      <w:r w:rsidR="00902953">
        <w:rPr>
          <w:lang w:val="fr-CH"/>
        </w:rPr>
        <w:t>’</w:t>
      </w:r>
      <w:r w:rsidR="0048487E">
        <w:rPr>
          <w:lang w:val="fr-CH"/>
        </w:rPr>
        <w:t>intermédiaire de</w:t>
      </w:r>
      <w:r w:rsidR="0048487E" w:rsidRPr="00407ACF">
        <w:rPr>
          <w:lang w:val="fr-CH"/>
        </w:rPr>
        <w:t xml:space="preserve"> </w:t>
      </w:r>
      <w:r w:rsidR="00821952" w:rsidRPr="00407ACF">
        <w:rPr>
          <w:lang w:val="fr-CH"/>
        </w:rPr>
        <w:t>l</w:t>
      </w:r>
      <w:r w:rsidR="00821952" w:rsidRPr="00407ACF">
        <w:rPr>
          <w:color w:val="000000"/>
          <w:lang w:val="fr-CH"/>
        </w:rPr>
        <w:t>a</w:t>
      </w:r>
      <w:r w:rsidR="00821952">
        <w:rPr>
          <w:lang w:val="fr-CH"/>
        </w:rPr>
        <w:t> </w:t>
      </w:r>
      <w:r w:rsidR="00821952" w:rsidRPr="00407ACF">
        <w:rPr>
          <w:lang w:val="fr-CH"/>
        </w:rPr>
        <w:t>PCT</w:t>
      </w:r>
      <w:r w:rsidR="002E45EE" w:rsidRPr="00407ACF">
        <w:rPr>
          <w:lang w:val="fr-CH"/>
        </w:rPr>
        <w:t xml:space="preserve"> Newslett</w:t>
      </w:r>
      <w:r w:rsidR="0004681B" w:rsidRPr="00407ACF">
        <w:rPr>
          <w:lang w:val="fr-CH"/>
        </w:rPr>
        <w:t>er</w:t>
      </w:r>
      <w:r w:rsidR="0004681B">
        <w:rPr>
          <w:lang w:val="fr-CH"/>
        </w:rPr>
        <w:t xml:space="preserve">.  </w:t>
      </w:r>
      <w:r w:rsidR="0004681B" w:rsidRPr="00407ACF">
        <w:rPr>
          <w:lang w:val="fr-CH"/>
        </w:rPr>
        <w:t>De</w:t>
      </w:r>
      <w:r w:rsidR="00407ACF" w:rsidRPr="00407ACF">
        <w:rPr>
          <w:lang w:val="fr-CH"/>
        </w:rPr>
        <w:t xml:space="preserve">s </w:t>
      </w:r>
      <w:r w:rsidR="00407ACF" w:rsidRPr="00407ACF">
        <w:rPr>
          <w:color w:val="000000"/>
          <w:lang w:val="fr-CH"/>
        </w:rPr>
        <w:t>informations complémentaires</w:t>
      </w:r>
      <w:r w:rsidR="00407ACF" w:rsidRPr="00407ACF">
        <w:rPr>
          <w:lang w:val="fr-CH"/>
        </w:rPr>
        <w:t xml:space="preserve"> concernant la mise en œuvre de la nouvelle règle proposée pourraient être</w:t>
      </w:r>
      <w:r w:rsidR="00407ACF" w:rsidRPr="00407ACF">
        <w:rPr>
          <w:color w:val="000000"/>
          <w:lang w:val="fr-CH"/>
        </w:rPr>
        <w:t xml:space="preserve"> intégrées </w:t>
      </w:r>
      <w:r w:rsidR="00407ACF" w:rsidRPr="00407ACF">
        <w:rPr>
          <w:lang w:val="fr-CH"/>
        </w:rPr>
        <w:t>dans les Directives à l</w:t>
      </w:r>
      <w:r w:rsidR="00902953">
        <w:rPr>
          <w:lang w:val="fr-CH"/>
        </w:rPr>
        <w:t>’</w:t>
      </w:r>
      <w:r w:rsidR="00407ACF" w:rsidRPr="00407ACF">
        <w:rPr>
          <w:lang w:val="fr-CH"/>
        </w:rPr>
        <w:t>usage des offices récepteurs</w:t>
      </w:r>
      <w:r w:rsidR="00821952" w:rsidRPr="00407ACF">
        <w:rPr>
          <w:lang w:val="fr-CH"/>
        </w:rPr>
        <w:t xml:space="preserve"> du</w:t>
      </w:r>
      <w:r w:rsidR="00821952">
        <w:rPr>
          <w:lang w:val="fr-CH"/>
        </w:rPr>
        <w:t> </w:t>
      </w:r>
      <w:r w:rsidR="00821952" w:rsidRPr="00407ACF">
        <w:rPr>
          <w:lang w:val="fr-CH"/>
        </w:rPr>
        <w:t>PCT</w:t>
      </w:r>
      <w:r w:rsidR="00407ACF" w:rsidRPr="00407ACF">
        <w:rPr>
          <w:lang w:val="fr-CH"/>
        </w:rPr>
        <w:t xml:space="preserve">, </w:t>
      </w:r>
      <w:r w:rsidR="00902953">
        <w:rPr>
          <w:lang w:val="fr-CH"/>
        </w:rPr>
        <w:t>y compris</w:t>
      </w:r>
      <w:r w:rsidR="00407ACF" w:rsidRPr="00407ACF">
        <w:rPr>
          <w:color w:val="000000"/>
          <w:lang w:val="fr-CH"/>
        </w:rPr>
        <w:t xml:space="preserve"> </w:t>
      </w:r>
      <w:r w:rsidR="00407ACF" w:rsidRPr="00407ACF">
        <w:rPr>
          <w:lang w:val="fr-CH"/>
        </w:rPr>
        <w:t>sur les effets juridiques du non</w:t>
      </w:r>
      <w:r w:rsidR="00902953">
        <w:rPr>
          <w:lang w:val="fr-CH"/>
        </w:rPr>
        <w:t>-</w:t>
      </w:r>
      <w:r w:rsidR="00407ACF" w:rsidRPr="00407ACF">
        <w:rPr>
          <w:lang w:val="fr-CH"/>
        </w:rPr>
        <w:t>respect des délais, afin de s</w:t>
      </w:r>
      <w:r w:rsidR="00902953">
        <w:rPr>
          <w:lang w:val="fr-CH"/>
        </w:rPr>
        <w:t>’</w:t>
      </w:r>
      <w:r w:rsidR="00407ACF" w:rsidRPr="00407ACF">
        <w:rPr>
          <w:lang w:val="fr-CH"/>
        </w:rPr>
        <w:t>assurer que les déposants ne soient pas induits en erreur quant aux conséquences d</w:t>
      </w:r>
      <w:r w:rsidR="00407ACF" w:rsidRPr="00407ACF">
        <w:rPr>
          <w:color w:val="000000"/>
          <w:lang w:val="fr-CH"/>
        </w:rPr>
        <w:t>u non</w:t>
      </w:r>
      <w:r w:rsidR="00902953">
        <w:rPr>
          <w:color w:val="000000"/>
          <w:lang w:val="fr-CH"/>
        </w:rPr>
        <w:t>-</w:t>
      </w:r>
      <w:r w:rsidR="00407ACF" w:rsidRPr="00407ACF">
        <w:rPr>
          <w:color w:val="000000"/>
          <w:lang w:val="fr-CH"/>
        </w:rPr>
        <w:t>respect de ces derniers</w:t>
      </w:r>
      <w:r w:rsidR="00407ACF" w:rsidRPr="00407ACF">
        <w:rPr>
          <w:lang w:val="fr-CH"/>
        </w:rPr>
        <w:t>.</w:t>
      </w:r>
    </w:p>
    <w:p w:rsidR="00557988" w:rsidRDefault="00BF12AB" w:rsidP="0004681B">
      <w:pPr>
        <w:pStyle w:val="ONUMFS"/>
        <w:rPr>
          <w:lang w:val="fr-CH"/>
        </w:rPr>
      </w:pPr>
      <w:r w:rsidRPr="00BF12AB">
        <w:rPr>
          <w:lang w:val="fr-CH"/>
        </w:rPr>
        <w:t>La présente proposition rendrait le système</w:t>
      </w:r>
      <w:r w:rsidRPr="00BF12AB">
        <w:rPr>
          <w:color w:val="000000"/>
          <w:lang w:val="fr-CH"/>
        </w:rPr>
        <w:t xml:space="preserve"> d</w:t>
      </w:r>
      <w:r w:rsidR="00902953">
        <w:rPr>
          <w:color w:val="000000"/>
          <w:lang w:val="fr-CH"/>
        </w:rPr>
        <w:t>’</w:t>
      </w:r>
      <w:r w:rsidRPr="00BF12AB">
        <w:rPr>
          <w:color w:val="000000"/>
          <w:lang w:val="fr-CH"/>
        </w:rPr>
        <w:t>excuse</w:t>
      </w:r>
      <w:r w:rsidRPr="00BF12AB">
        <w:rPr>
          <w:lang w:val="fr-CH"/>
        </w:rPr>
        <w:t xml:space="preserve"> des retards</w:t>
      </w:r>
      <w:r w:rsidR="00821952" w:rsidRPr="00BF12AB">
        <w:rPr>
          <w:lang w:val="fr-CH"/>
        </w:rPr>
        <w:t xml:space="preserve"> </w:t>
      </w:r>
      <w:r w:rsidR="00821952" w:rsidRPr="00BF12AB">
        <w:rPr>
          <w:color w:val="000000"/>
          <w:lang w:val="fr-CH"/>
        </w:rPr>
        <w:t>du</w:t>
      </w:r>
      <w:r w:rsidR="00821952">
        <w:rPr>
          <w:lang w:val="fr-CH"/>
        </w:rPr>
        <w:t> </w:t>
      </w:r>
      <w:r w:rsidR="00821952" w:rsidRPr="00BF12AB">
        <w:rPr>
          <w:lang w:val="fr-CH"/>
        </w:rPr>
        <w:t>PCT</w:t>
      </w:r>
      <w:r w:rsidRPr="00BF12AB">
        <w:rPr>
          <w:lang w:val="fr-CH"/>
        </w:rPr>
        <w:t xml:space="preserve"> plus fiabl</w:t>
      </w:r>
      <w:r w:rsidRPr="00BF12AB">
        <w:rPr>
          <w:color w:val="000000"/>
          <w:lang w:val="fr-CH"/>
        </w:rPr>
        <w:t>e</w:t>
      </w:r>
      <w:r w:rsidRPr="00BF12AB">
        <w:rPr>
          <w:lang w:val="fr-CH"/>
        </w:rPr>
        <w:t xml:space="preserve"> et transparent pour les utilisateurs, les</w:t>
      </w:r>
      <w:r w:rsidRPr="00BF12AB">
        <w:rPr>
          <w:color w:val="000000"/>
          <w:lang w:val="fr-CH"/>
        </w:rPr>
        <w:t xml:space="preserve"> </w:t>
      </w:r>
      <w:r w:rsidRPr="00BF12AB">
        <w:rPr>
          <w:lang w:val="fr-CH"/>
        </w:rPr>
        <w:t>offices désignés et les tiers</w:t>
      </w:r>
      <w:r w:rsidRPr="00BF12AB">
        <w:rPr>
          <w:color w:val="000000"/>
          <w:lang w:val="fr-CH"/>
        </w:rPr>
        <w:t xml:space="preserve"> et en améliorerait la traçabili</w:t>
      </w:r>
      <w:r w:rsidR="0004681B" w:rsidRPr="00BF12AB">
        <w:rPr>
          <w:color w:val="000000"/>
          <w:lang w:val="fr-CH"/>
        </w:rPr>
        <w:t>té</w:t>
      </w:r>
      <w:r w:rsidR="0004681B">
        <w:rPr>
          <w:color w:val="000000"/>
          <w:lang w:val="fr-CH"/>
        </w:rPr>
        <w:t xml:space="preserve">.  </w:t>
      </w:r>
      <w:r w:rsidR="0004681B" w:rsidRPr="00CA6007">
        <w:rPr>
          <w:lang w:val="fr-CH"/>
        </w:rPr>
        <w:t>Il</w:t>
      </w:r>
      <w:r w:rsidR="00CA6007" w:rsidRPr="00CA6007">
        <w:rPr>
          <w:lang w:val="fr-CH"/>
        </w:rPr>
        <w:t xml:space="preserve"> est entendu que tous les </w:t>
      </w:r>
      <w:r w:rsidR="00CA6007">
        <w:rPr>
          <w:color w:val="000000"/>
          <w:lang w:val="fr-CH"/>
        </w:rPr>
        <w:t>o</w:t>
      </w:r>
      <w:r w:rsidR="00CA6007" w:rsidRPr="00CA6007">
        <w:rPr>
          <w:lang w:val="fr-CH"/>
        </w:rPr>
        <w:t xml:space="preserve">ffices ne </w:t>
      </w:r>
      <w:r w:rsidR="0048487E" w:rsidRPr="00CA6007">
        <w:rPr>
          <w:lang w:val="fr-CH"/>
        </w:rPr>
        <w:t>pourr</w:t>
      </w:r>
      <w:r w:rsidR="0048487E">
        <w:rPr>
          <w:color w:val="000000"/>
          <w:lang w:val="fr-CH"/>
        </w:rPr>
        <w:t>aient</w:t>
      </w:r>
      <w:r w:rsidR="0048487E" w:rsidRPr="00CA6007">
        <w:rPr>
          <w:lang w:val="fr-CH"/>
        </w:rPr>
        <w:t xml:space="preserve"> </w:t>
      </w:r>
      <w:r w:rsidR="00CA6007" w:rsidRPr="00CA6007">
        <w:rPr>
          <w:lang w:val="fr-CH"/>
        </w:rPr>
        <w:t xml:space="preserve">pas </w:t>
      </w:r>
      <w:r w:rsidR="0048487E">
        <w:rPr>
          <w:color w:val="000000"/>
          <w:lang w:val="fr-CH"/>
        </w:rPr>
        <w:t xml:space="preserve">appliquer </w:t>
      </w:r>
      <w:r w:rsidR="00CA6007">
        <w:rPr>
          <w:color w:val="000000"/>
          <w:lang w:val="fr-CH"/>
        </w:rPr>
        <w:t>la nouvelle</w:t>
      </w:r>
      <w:r w:rsidR="00CA6007" w:rsidRPr="00CA6007">
        <w:rPr>
          <w:lang w:val="fr-CH"/>
        </w:rPr>
        <w:t xml:space="preserve"> disposition</w:t>
      </w:r>
      <w:r w:rsidR="00CA6007">
        <w:rPr>
          <w:color w:val="000000"/>
          <w:lang w:val="fr-CH"/>
        </w:rPr>
        <w:t>,</w:t>
      </w:r>
      <w:r w:rsidR="00CA6007" w:rsidRPr="00CA6007">
        <w:rPr>
          <w:lang w:val="fr-CH"/>
        </w:rPr>
        <w:t xml:space="preserve"> compte tenu des différentes pratiques</w:t>
      </w:r>
      <w:r w:rsidR="00CA6007">
        <w:rPr>
          <w:color w:val="000000"/>
          <w:lang w:val="fr-CH"/>
        </w:rPr>
        <w:t xml:space="preserve"> en vigueur en vertu de</w:t>
      </w:r>
      <w:r w:rsidR="00CA6007" w:rsidRPr="00CA6007">
        <w:rPr>
          <w:lang w:val="fr-CH"/>
        </w:rPr>
        <w:t xml:space="preserve"> leurs législations nationales respectives et que, par conséquent, </w:t>
      </w:r>
      <w:r w:rsidR="00CA6007">
        <w:rPr>
          <w:color w:val="000000"/>
          <w:lang w:val="fr-CH"/>
        </w:rPr>
        <w:t>ils</w:t>
      </w:r>
      <w:r w:rsidR="00CA6007" w:rsidRPr="00CA6007">
        <w:rPr>
          <w:lang w:val="fr-CH"/>
        </w:rPr>
        <w:t xml:space="preserve"> seraient toujours libres de décider s</w:t>
      </w:r>
      <w:r w:rsidR="00902953">
        <w:rPr>
          <w:color w:val="000000"/>
          <w:lang w:val="fr-CH"/>
        </w:rPr>
        <w:t>’</w:t>
      </w:r>
      <w:r w:rsidR="00CA6007">
        <w:rPr>
          <w:color w:val="000000"/>
          <w:lang w:val="fr-CH"/>
        </w:rPr>
        <w:t>ils</w:t>
      </w:r>
      <w:r w:rsidR="00CA6007" w:rsidRPr="00CA6007">
        <w:rPr>
          <w:lang w:val="fr-CH"/>
        </w:rPr>
        <w:t xml:space="preserve"> excuse</w:t>
      </w:r>
      <w:r w:rsidR="00CA6007">
        <w:rPr>
          <w:color w:val="000000"/>
          <w:lang w:val="fr-CH"/>
        </w:rPr>
        <w:t>nt</w:t>
      </w:r>
      <w:r w:rsidR="00CA6007" w:rsidRPr="00CA6007">
        <w:rPr>
          <w:lang w:val="fr-CH"/>
        </w:rPr>
        <w:t xml:space="preserve"> les retards dans l</w:t>
      </w:r>
      <w:r w:rsidR="00902953">
        <w:rPr>
          <w:lang w:val="fr-CH"/>
        </w:rPr>
        <w:t>’</w:t>
      </w:r>
      <w:r w:rsidR="00CA6007" w:rsidRPr="00CA6007">
        <w:rPr>
          <w:lang w:val="fr-CH"/>
        </w:rPr>
        <w:t xml:space="preserve">observation des délais </w:t>
      </w:r>
      <w:r w:rsidR="00CA6007">
        <w:rPr>
          <w:color w:val="000000"/>
          <w:lang w:val="fr-CH"/>
        </w:rPr>
        <w:t>au</w:t>
      </w:r>
      <w:r w:rsidR="00902953">
        <w:rPr>
          <w:color w:val="000000"/>
          <w:lang w:val="fr-CH"/>
        </w:rPr>
        <w:t>-</w:t>
      </w:r>
      <w:r w:rsidR="00CA6007">
        <w:rPr>
          <w:color w:val="000000"/>
          <w:lang w:val="fr-CH"/>
        </w:rPr>
        <w:t>delà</w:t>
      </w:r>
      <w:r w:rsidR="00CA6007" w:rsidRPr="00CA6007">
        <w:rPr>
          <w:lang w:val="fr-CH"/>
        </w:rPr>
        <w:t xml:space="preserve"> </w:t>
      </w:r>
      <w:r w:rsidR="00CA6007">
        <w:rPr>
          <w:color w:val="000000"/>
          <w:lang w:val="fr-CH"/>
        </w:rPr>
        <w:t>d</w:t>
      </w:r>
      <w:r w:rsidR="00902953">
        <w:rPr>
          <w:color w:val="000000"/>
          <w:lang w:val="fr-CH"/>
        </w:rPr>
        <w:t>’</w:t>
      </w:r>
      <w:r w:rsidR="00CA6007">
        <w:rPr>
          <w:color w:val="000000"/>
          <w:lang w:val="fr-CH"/>
        </w:rPr>
        <w:t>un laps de temps déterminé et de quelle manière ils entendent le faire, et s</w:t>
      </w:r>
      <w:r w:rsidR="00902953">
        <w:rPr>
          <w:color w:val="000000"/>
          <w:lang w:val="fr-CH"/>
        </w:rPr>
        <w:t>’</w:t>
      </w:r>
      <w:r w:rsidR="00CA6007">
        <w:rPr>
          <w:color w:val="000000"/>
          <w:lang w:val="fr-CH"/>
        </w:rPr>
        <w:t xml:space="preserve">ils </w:t>
      </w:r>
      <w:r w:rsidR="00CA6007" w:rsidRPr="00CA6007">
        <w:rPr>
          <w:lang w:val="fr-CH"/>
        </w:rPr>
        <w:t>communique</w:t>
      </w:r>
      <w:r w:rsidR="00CA6007">
        <w:rPr>
          <w:color w:val="000000"/>
          <w:lang w:val="fr-CH"/>
        </w:rPr>
        <w:t>nt</w:t>
      </w:r>
      <w:r w:rsidR="00CA6007" w:rsidRPr="00CA6007">
        <w:rPr>
          <w:lang w:val="fr-CH"/>
        </w:rPr>
        <w:t xml:space="preserve"> cette décision aux utilisateurs conformément à leur</w:t>
      </w:r>
      <w:r w:rsidR="00470E2C">
        <w:rPr>
          <w:lang w:val="fr-CH"/>
        </w:rPr>
        <w:t>s</w:t>
      </w:r>
      <w:r w:rsidR="00CA6007" w:rsidRPr="00CA6007">
        <w:rPr>
          <w:lang w:val="fr-CH"/>
        </w:rPr>
        <w:t xml:space="preserve"> propre</w:t>
      </w:r>
      <w:r w:rsidR="00470E2C">
        <w:rPr>
          <w:lang w:val="fr-CH"/>
        </w:rPr>
        <w:t>s</w:t>
      </w:r>
      <w:r w:rsidR="00CA6007" w:rsidRPr="00CA6007">
        <w:rPr>
          <w:lang w:val="fr-CH"/>
        </w:rPr>
        <w:t xml:space="preserve"> pratiq</w:t>
      </w:r>
      <w:r w:rsidR="00AC6F63" w:rsidRPr="00CA6007">
        <w:rPr>
          <w:lang w:val="fr-CH"/>
        </w:rPr>
        <w:t>u</w:t>
      </w:r>
      <w:r w:rsidR="0004681B" w:rsidRPr="00CA6007">
        <w:rPr>
          <w:lang w:val="fr-CH"/>
        </w:rPr>
        <w:t>e</w:t>
      </w:r>
      <w:r w:rsidR="0004681B">
        <w:rPr>
          <w:lang w:val="fr-CH"/>
        </w:rPr>
        <w:t xml:space="preserve">s.  </w:t>
      </w:r>
      <w:r w:rsidR="0004681B" w:rsidRPr="00877C45">
        <w:rPr>
          <w:lang w:val="fr-CH"/>
        </w:rPr>
        <w:t>L</w:t>
      </w:r>
      <w:r w:rsidR="0004681B">
        <w:rPr>
          <w:lang w:val="fr-CH"/>
        </w:rPr>
        <w:t>’</w:t>
      </w:r>
      <w:r w:rsidR="0004681B" w:rsidRPr="00877C45">
        <w:rPr>
          <w:lang w:val="fr-CH"/>
        </w:rPr>
        <w:t>i</w:t>
      </w:r>
      <w:r w:rsidR="00877C45" w:rsidRPr="00877C45">
        <w:rPr>
          <w:lang w:val="fr-CH"/>
        </w:rPr>
        <w:t>ntroduction de cette disposition dans</w:t>
      </w:r>
      <w:r w:rsidR="000D7126" w:rsidRPr="00877C45">
        <w:rPr>
          <w:lang w:val="fr-CH"/>
        </w:rPr>
        <w:t xml:space="preserve"> le</w:t>
      </w:r>
      <w:r w:rsidR="000D7126">
        <w:rPr>
          <w:lang w:val="fr-CH"/>
        </w:rPr>
        <w:t> </w:t>
      </w:r>
      <w:r w:rsidR="000D7126" w:rsidRPr="00877C45">
        <w:rPr>
          <w:lang w:val="fr-CH"/>
        </w:rPr>
        <w:t>PCT</w:t>
      </w:r>
      <w:r w:rsidR="00877C45" w:rsidRPr="00877C45">
        <w:rPr>
          <w:lang w:val="fr-CH"/>
        </w:rPr>
        <w:t xml:space="preserve"> représenterait néanmoins une étape importante vers une convergence des pratiques </w:t>
      </w:r>
      <w:r w:rsidR="00877C45" w:rsidRPr="00877C45">
        <w:rPr>
          <w:color w:val="000000"/>
          <w:lang w:val="fr-CH"/>
        </w:rPr>
        <w:t>des o</w:t>
      </w:r>
      <w:r w:rsidR="00877C45" w:rsidRPr="00877C45">
        <w:rPr>
          <w:lang w:val="fr-CH"/>
        </w:rPr>
        <w:t xml:space="preserve">ffices </w:t>
      </w:r>
      <w:r w:rsidR="00877C45" w:rsidRPr="00877C45">
        <w:rPr>
          <w:color w:val="000000"/>
          <w:lang w:val="fr-CH"/>
        </w:rPr>
        <w:t xml:space="preserve">dont la législation nationale prévoit que </w:t>
      </w:r>
      <w:r w:rsidR="00877C45" w:rsidRPr="00877C45">
        <w:rPr>
          <w:lang w:val="fr-CH"/>
        </w:rPr>
        <w:t>les retards</w:t>
      </w:r>
      <w:r w:rsidR="00877C45" w:rsidRPr="00877C45">
        <w:rPr>
          <w:color w:val="000000"/>
          <w:lang w:val="fr-CH"/>
        </w:rPr>
        <w:t xml:space="preserve"> soient excusés </w:t>
      </w:r>
      <w:r w:rsidR="00877C45" w:rsidRPr="00877C45">
        <w:rPr>
          <w:lang w:val="fr-CH"/>
        </w:rPr>
        <w:t>dans de telles circonstances.</w:t>
      </w:r>
    </w:p>
    <w:p w:rsidR="00557988" w:rsidRPr="0004681B" w:rsidRDefault="005621E4" w:rsidP="0004681B">
      <w:pPr>
        <w:pStyle w:val="ONUMFS"/>
        <w:ind w:left="5533"/>
        <w:rPr>
          <w:i/>
          <w:lang w:val="fr-CH"/>
        </w:rPr>
      </w:pPr>
      <w:r w:rsidRPr="0004681B">
        <w:rPr>
          <w:i/>
          <w:lang w:val="fr-CH"/>
        </w:rPr>
        <w:t>Le groupe de travail est invité à formuler des observations sur les propositions de modification du règlement d</w:t>
      </w:r>
      <w:r w:rsidR="00902953" w:rsidRPr="0004681B">
        <w:rPr>
          <w:i/>
          <w:lang w:val="fr-CH"/>
        </w:rPr>
        <w:t>’</w:t>
      </w:r>
      <w:r w:rsidRPr="0004681B">
        <w:rPr>
          <w:i/>
          <w:lang w:val="fr-CH"/>
        </w:rPr>
        <w:t>exécution figurant dans l</w:t>
      </w:r>
      <w:r w:rsidR="00902953" w:rsidRPr="0004681B">
        <w:rPr>
          <w:i/>
          <w:lang w:val="fr-CH"/>
        </w:rPr>
        <w:t>’</w:t>
      </w:r>
      <w:r w:rsidRPr="0004681B">
        <w:rPr>
          <w:i/>
          <w:lang w:val="fr-CH"/>
        </w:rPr>
        <w:t>annexe du présent document.</w:t>
      </w:r>
    </w:p>
    <w:p w:rsidR="00557988" w:rsidRDefault="00557988" w:rsidP="003F1EFB">
      <w:pPr>
        <w:pStyle w:val="ONUME"/>
        <w:numPr>
          <w:ilvl w:val="0"/>
          <w:numId w:val="0"/>
        </w:numPr>
        <w:rPr>
          <w:lang w:val="fr-CH"/>
        </w:rPr>
      </w:pPr>
    </w:p>
    <w:p w:rsidR="003F1EFB" w:rsidRPr="005621E4" w:rsidRDefault="00CA6007" w:rsidP="00CA6007">
      <w:pPr>
        <w:pStyle w:val="Endofdocument-Annex"/>
        <w:rPr>
          <w:lang w:val="fr-CH"/>
        </w:rPr>
        <w:sectPr w:rsidR="003F1EFB" w:rsidRPr="005621E4" w:rsidSect="00C17E6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4681B">
        <w:rPr>
          <w:lang w:val="fr-CH"/>
        </w:rPr>
        <w:t>[</w:t>
      </w:r>
      <w:r w:rsidR="0048487E" w:rsidRPr="0004681B">
        <w:rPr>
          <w:lang w:val="fr-CH"/>
        </w:rPr>
        <w:t>L</w:t>
      </w:r>
      <w:r w:rsidR="00902953" w:rsidRPr="0004681B">
        <w:rPr>
          <w:lang w:val="fr-CH"/>
        </w:rPr>
        <w:t>’</w:t>
      </w:r>
      <w:r w:rsidR="0048487E" w:rsidRPr="0004681B">
        <w:rPr>
          <w:lang w:val="fr-CH"/>
        </w:rPr>
        <w:t>a</w:t>
      </w:r>
      <w:r w:rsidRPr="0004681B">
        <w:rPr>
          <w:lang w:val="fr-CH"/>
        </w:rPr>
        <w:t>nnex</w:t>
      </w:r>
      <w:r w:rsidR="0048487E" w:rsidRPr="0004681B">
        <w:rPr>
          <w:lang w:val="fr-CH"/>
        </w:rPr>
        <w:t>e</w:t>
      </w:r>
      <w:r w:rsidRPr="0004681B">
        <w:rPr>
          <w:lang w:val="fr-CH"/>
        </w:rPr>
        <w:t xml:space="preserve"> </w:t>
      </w:r>
      <w:r w:rsidR="0048487E" w:rsidRPr="0004681B">
        <w:rPr>
          <w:lang w:val="fr-CH"/>
        </w:rPr>
        <w:t>suit</w:t>
      </w:r>
      <w:r w:rsidRPr="0004681B">
        <w:rPr>
          <w:lang w:val="fr-CH"/>
        </w:rPr>
        <w:t>]</w:t>
      </w:r>
    </w:p>
    <w:p w:rsidR="00557988" w:rsidRDefault="00557988" w:rsidP="003F1EFB">
      <w:pPr>
        <w:jc w:val="center"/>
        <w:rPr>
          <w:caps/>
          <w:lang w:val="fr-CH"/>
        </w:rPr>
      </w:pPr>
    </w:p>
    <w:p w:rsidR="00557988" w:rsidRPr="0004681B" w:rsidRDefault="005621E4" w:rsidP="005621E4">
      <w:pPr>
        <w:jc w:val="center"/>
        <w:rPr>
          <w:caps/>
          <w:lang w:val="fr-CH"/>
        </w:rPr>
      </w:pPr>
      <w:r w:rsidRPr="0004681B">
        <w:rPr>
          <w:caps/>
          <w:lang w:val="fr-CH"/>
        </w:rPr>
        <w:t>Propositions de modification du règlement d</w:t>
      </w:r>
      <w:r w:rsidR="00902953" w:rsidRPr="0004681B">
        <w:rPr>
          <w:caps/>
          <w:lang w:val="fr-CH"/>
        </w:rPr>
        <w:t>’</w:t>
      </w:r>
      <w:r w:rsidRPr="0004681B">
        <w:rPr>
          <w:caps/>
          <w:lang w:val="fr-CH"/>
        </w:rPr>
        <w:t>exécution du pct</w:t>
      </w:r>
      <w:r w:rsidRPr="0004681B">
        <w:rPr>
          <w:rStyle w:val="FootnoteReference"/>
          <w:caps/>
        </w:rPr>
        <w:footnoteReference w:id="3"/>
      </w:r>
    </w:p>
    <w:p w:rsidR="00557988" w:rsidRDefault="00557988" w:rsidP="003F1EFB">
      <w:pPr>
        <w:pStyle w:val="ONUME"/>
        <w:numPr>
          <w:ilvl w:val="0"/>
          <w:numId w:val="0"/>
        </w:numPr>
        <w:tabs>
          <w:tab w:val="left" w:pos="720"/>
        </w:tabs>
        <w:spacing w:after="0"/>
        <w:jc w:val="center"/>
        <w:rPr>
          <w:caps/>
          <w:lang w:val="fr-CH"/>
        </w:rPr>
      </w:pPr>
    </w:p>
    <w:p w:rsidR="00557988" w:rsidRDefault="00557988" w:rsidP="003F1EFB">
      <w:pPr>
        <w:pStyle w:val="ONUME"/>
        <w:numPr>
          <w:ilvl w:val="0"/>
          <w:numId w:val="0"/>
        </w:numPr>
        <w:tabs>
          <w:tab w:val="left" w:pos="720"/>
        </w:tabs>
        <w:spacing w:after="0"/>
        <w:jc w:val="center"/>
        <w:rPr>
          <w:caps/>
          <w:lang w:val="fr-CH"/>
        </w:rPr>
      </w:pPr>
    </w:p>
    <w:p w:rsidR="00557988" w:rsidRDefault="00557988" w:rsidP="003F1EFB">
      <w:pPr>
        <w:rPr>
          <w:lang w:val="fr-CH"/>
        </w:rPr>
      </w:pPr>
    </w:p>
    <w:p w:rsidR="00557988" w:rsidRPr="0004681B" w:rsidRDefault="005621E4" w:rsidP="005621E4">
      <w:pPr>
        <w:jc w:val="center"/>
        <w:rPr>
          <w:caps/>
          <w:lang w:val="fr-CH"/>
        </w:rPr>
      </w:pPr>
      <w:r w:rsidRPr="0004681B">
        <w:rPr>
          <w:caps/>
          <w:lang w:val="fr-CH"/>
        </w:rPr>
        <w:t>Table des matières</w:t>
      </w:r>
    </w:p>
    <w:p w:rsidR="00557988" w:rsidRDefault="00557988" w:rsidP="003F1EFB">
      <w:pPr>
        <w:jc w:val="center"/>
        <w:rPr>
          <w:caps/>
          <w:lang w:val="fr-CH"/>
        </w:rPr>
      </w:pPr>
    </w:p>
    <w:p w:rsidR="00557988" w:rsidRDefault="00557988" w:rsidP="003F1EFB">
      <w:pPr>
        <w:jc w:val="center"/>
        <w:rPr>
          <w:caps/>
          <w:lang w:val="fr-CH"/>
        </w:rPr>
      </w:pPr>
    </w:p>
    <w:p w:rsidR="009629B0" w:rsidRDefault="003F1EF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rPr>
          <w:caps/>
        </w:rPr>
        <w:fldChar w:fldCharType="begin"/>
      </w:r>
      <w:r w:rsidRPr="009F3EB3">
        <w:rPr>
          <w:caps/>
        </w:rPr>
        <w:instrText xml:space="preserve"> TOC \h \z \t </w:instrText>
      </w:r>
      <w:r w:rsidR="00821952" w:rsidRPr="009F3EB3">
        <w:rPr>
          <w:caps/>
        </w:rPr>
        <w:instrText>“L</w:instrText>
      </w:r>
      <w:r w:rsidRPr="009F3EB3">
        <w:rPr>
          <w:caps/>
        </w:rPr>
        <w:instrText>eg # Title,1,Leg SubRule #,</w:instrText>
      </w:r>
      <w:r w:rsidR="00821952" w:rsidRPr="009F3EB3">
        <w:rPr>
          <w:caps/>
        </w:rPr>
        <w:instrText>2”</w:instrText>
      </w:r>
      <w:r w:rsidRPr="009F3EB3">
        <w:rPr>
          <w:caps/>
        </w:rPr>
        <w:instrText xml:space="preserve"> </w:instrText>
      </w:r>
      <w:r>
        <w:rPr>
          <w:caps/>
        </w:rPr>
        <w:fldChar w:fldCharType="separate"/>
      </w:r>
      <w:hyperlink w:anchor="_Toc9606515" w:history="1">
        <w:r w:rsidR="009629B0" w:rsidRPr="002C14ED">
          <w:rPr>
            <w:rStyle w:val="Hyperlink"/>
            <w:noProof/>
            <w:lang w:val="fr-CH"/>
          </w:rPr>
          <w:t>Règle 8</w:t>
        </w:r>
        <w:r w:rsidR="000E0129" w:rsidRPr="002C14ED">
          <w:rPr>
            <w:rStyle w:val="Hyperlink"/>
            <w:noProof/>
            <w:lang w:val="fr-CH"/>
          </w:rPr>
          <w:t>2</w:t>
        </w:r>
        <w:r w:rsidR="000E0129" w:rsidRPr="000E0129">
          <w:rPr>
            <w:rStyle w:val="Hyperlink"/>
            <w:i/>
            <w:noProof/>
            <w:lang w:val="fr-CH"/>
          </w:rPr>
          <w:t>quater</w:t>
        </w:r>
        <w:r w:rsidR="009629B0" w:rsidRPr="002C14ED">
          <w:rPr>
            <w:rStyle w:val="Hyperlink"/>
            <w:i/>
            <w:noProof/>
            <w:lang w:val="fr-CH"/>
          </w:rPr>
          <w:t xml:space="preserve"> </w:t>
        </w:r>
        <w:r w:rsidR="009629B0" w:rsidRPr="002C14ED">
          <w:rPr>
            <w:rStyle w:val="Hyperlink"/>
            <w:noProof/>
            <w:lang w:val="fr-CH"/>
          </w:rPr>
          <w:t>Excuse de retard dans l</w:t>
        </w:r>
        <w:r w:rsidR="00902953">
          <w:rPr>
            <w:rStyle w:val="Hyperlink"/>
            <w:noProof/>
            <w:lang w:val="fr-CH"/>
          </w:rPr>
          <w:t>’</w:t>
        </w:r>
        <w:r w:rsidR="009629B0" w:rsidRPr="002C14ED">
          <w:rPr>
            <w:rStyle w:val="Hyperlink"/>
            <w:noProof/>
            <w:lang w:val="fr-CH"/>
          </w:rPr>
          <w:t>observation de délais</w:t>
        </w:r>
        <w:r w:rsidR="009629B0">
          <w:rPr>
            <w:noProof/>
            <w:webHidden/>
          </w:rPr>
          <w:tab/>
        </w:r>
        <w:r w:rsidR="009629B0">
          <w:rPr>
            <w:noProof/>
            <w:webHidden/>
          </w:rPr>
          <w:fldChar w:fldCharType="begin"/>
        </w:r>
        <w:r w:rsidR="009629B0">
          <w:rPr>
            <w:noProof/>
            <w:webHidden/>
          </w:rPr>
          <w:instrText xml:space="preserve"> PAGEREF _Toc9606515 \h </w:instrText>
        </w:r>
        <w:r w:rsidR="009629B0">
          <w:rPr>
            <w:noProof/>
            <w:webHidden/>
          </w:rPr>
        </w:r>
        <w:r w:rsidR="009629B0">
          <w:rPr>
            <w:noProof/>
            <w:webHidden/>
          </w:rPr>
          <w:fldChar w:fldCharType="separate"/>
        </w:r>
        <w:r w:rsidR="00E17666">
          <w:rPr>
            <w:noProof/>
            <w:webHidden/>
          </w:rPr>
          <w:t>2</w:t>
        </w:r>
        <w:r w:rsidR="009629B0">
          <w:rPr>
            <w:noProof/>
            <w:webHidden/>
          </w:rPr>
          <w:fldChar w:fldCharType="end"/>
        </w:r>
      </w:hyperlink>
    </w:p>
    <w:p w:rsidR="009629B0" w:rsidRDefault="006A7DB0">
      <w:pPr>
        <w:pStyle w:val="TOC2"/>
        <w:tabs>
          <w:tab w:val="left" w:pos="1783"/>
        </w:tabs>
        <w:rPr>
          <w:rFonts w:asciiTheme="minorHAnsi" w:eastAsiaTheme="minorEastAsia" w:hAnsiTheme="minorHAnsi" w:cstheme="minorBidi"/>
          <w:i w:val="0"/>
          <w:szCs w:val="22"/>
          <w:lang w:eastAsia="en-US"/>
        </w:rPr>
      </w:pPr>
      <w:hyperlink w:anchor="_Toc9606516" w:history="1">
        <w:r w:rsidR="009629B0" w:rsidRPr="002C14ED">
          <w:rPr>
            <w:rStyle w:val="Hyperlink"/>
            <w:lang w:val="fr-CH"/>
          </w:rPr>
          <w:t>8</w:t>
        </w:r>
        <w:r w:rsidR="000E0129" w:rsidRPr="002C14ED">
          <w:rPr>
            <w:rStyle w:val="Hyperlink"/>
            <w:lang w:val="fr-CH"/>
          </w:rPr>
          <w:t>2</w:t>
        </w:r>
        <w:r w:rsidR="000E0129" w:rsidRPr="000E0129">
          <w:rPr>
            <w:rStyle w:val="Hyperlink"/>
            <w:lang w:val="fr-CH"/>
          </w:rPr>
          <w:t>quater</w:t>
        </w:r>
        <w:r w:rsidR="009629B0" w:rsidRPr="002C14ED">
          <w:rPr>
            <w:rStyle w:val="Hyperlink"/>
            <w:lang w:val="fr-CH"/>
          </w:rPr>
          <w:t>.1</w:t>
        </w:r>
        <w:r w:rsidR="009629B0">
          <w:rPr>
            <w:rFonts w:asciiTheme="minorHAnsi" w:eastAsiaTheme="minorEastAsia" w:hAnsiTheme="minorHAnsi" w:cstheme="minorBidi"/>
            <w:i w:val="0"/>
            <w:szCs w:val="22"/>
            <w:lang w:eastAsia="en-US"/>
          </w:rPr>
          <w:tab/>
        </w:r>
        <w:r w:rsidR="009629B0" w:rsidRPr="002C14ED">
          <w:rPr>
            <w:rStyle w:val="Hyperlink"/>
            <w:lang w:val="fr-CH"/>
          </w:rPr>
          <w:t>Excuse de retard dans l</w:t>
        </w:r>
        <w:r w:rsidR="00902953">
          <w:rPr>
            <w:rStyle w:val="Hyperlink"/>
            <w:lang w:val="fr-CH"/>
          </w:rPr>
          <w:t>’</w:t>
        </w:r>
        <w:r w:rsidR="009629B0" w:rsidRPr="002C14ED">
          <w:rPr>
            <w:rStyle w:val="Hyperlink"/>
            <w:lang w:val="fr-CH"/>
          </w:rPr>
          <w:t>observation de délais</w:t>
        </w:r>
        <w:r w:rsidR="009629B0">
          <w:rPr>
            <w:webHidden/>
          </w:rPr>
          <w:tab/>
        </w:r>
        <w:r w:rsidR="009629B0">
          <w:rPr>
            <w:webHidden/>
          </w:rPr>
          <w:fldChar w:fldCharType="begin"/>
        </w:r>
        <w:r w:rsidR="009629B0">
          <w:rPr>
            <w:webHidden/>
          </w:rPr>
          <w:instrText xml:space="preserve"> PAGEREF _Toc9606516 \h </w:instrText>
        </w:r>
        <w:r w:rsidR="009629B0">
          <w:rPr>
            <w:webHidden/>
          </w:rPr>
        </w:r>
        <w:r w:rsidR="009629B0">
          <w:rPr>
            <w:webHidden/>
          </w:rPr>
          <w:fldChar w:fldCharType="separate"/>
        </w:r>
        <w:r w:rsidR="00E17666">
          <w:rPr>
            <w:webHidden/>
          </w:rPr>
          <w:t>2</w:t>
        </w:r>
        <w:r w:rsidR="009629B0">
          <w:rPr>
            <w:webHidden/>
          </w:rPr>
          <w:fldChar w:fldCharType="end"/>
        </w:r>
      </w:hyperlink>
    </w:p>
    <w:p w:rsidR="009629B0" w:rsidRDefault="006A7DB0">
      <w:pPr>
        <w:pStyle w:val="TOC2"/>
        <w:tabs>
          <w:tab w:val="left" w:pos="1783"/>
        </w:tabs>
        <w:rPr>
          <w:rFonts w:asciiTheme="minorHAnsi" w:eastAsiaTheme="minorEastAsia" w:hAnsiTheme="minorHAnsi" w:cstheme="minorBidi"/>
          <w:i w:val="0"/>
          <w:szCs w:val="22"/>
          <w:lang w:eastAsia="en-US"/>
        </w:rPr>
      </w:pPr>
      <w:hyperlink w:anchor="_Toc9606517" w:history="1">
        <w:r w:rsidR="009629B0" w:rsidRPr="002C14ED">
          <w:rPr>
            <w:rStyle w:val="Hyperlink"/>
            <w:lang w:val="fr-CH"/>
          </w:rPr>
          <w:t>8</w:t>
        </w:r>
        <w:r w:rsidR="000E0129" w:rsidRPr="002C14ED">
          <w:rPr>
            <w:rStyle w:val="Hyperlink"/>
            <w:lang w:val="fr-CH"/>
          </w:rPr>
          <w:t>2</w:t>
        </w:r>
        <w:r w:rsidR="000E0129" w:rsidRPr="000E0129">
          <w:rPr>
            <w:rStyle w:val="Hyperlink"/>
            <w:lang w:val="fr-CH"/>
          </w:rPr>
          <w:t>quater</w:t>
        </w:r>
        <w:r w:rsidR="009629B0" w:rsidRPr="002C14ED">
          <w:rPr>
            <w:rStyle w:val="Hyperlink"/>
            <w:lang w:val="fr-CH"/>
          </w:rPr>
          <w:t>.2</w:t>
        </w:r>
        <w:r w:rsidR="009629B0">
          <w:rPr>
            <w:rFonts w:asciiTheme="minorHAnsi" w:eastAsiaTheme="minorEastAsia" w:hAnsiTheme="minorHAnsi" w:cstheme="minorBidi"/>
            <w:i w:val="0"/>
            <w:szCs w:val="22"/>
            <w:lang w:eastAsia="en-US"/>
          </w:rPr>
          <w:tab/>
        </w:r>
        <w:r w:rsidR="009629B0" w:rsidRPr="002C14ED">
          <w:rPr>
            <w:rStyle w:val="Hyperlink"/>
            <w:lang w:val="fr-CH"/>
          </w:rPr>
          <w:t>Indisponibilité des moyens de communication électronique dans l</w:t>
        </w:r>
        <w:r w:rsidR="00902953">
          <w:rPr>
            <w:rStyle w:val="Hyperlink"/>
            <w:lang w:val="fr-CH"/>
          </w:rPr>
          <w:t>’</w:t>
        </w:r>
        <w:r w:rsidR="009629B0" w:rsidRPr="002C14ED">
          <w:rPr>
            <w:rStyle w:val="Hyperlink"/>
            <w:lang w:val="fr-CH"/>
          </w:rPr>
          <w:t>office</w:t>
        </w:r>
        <w:r w:rsidR="009629B0">
          <w:rPr>
            <w:webHidden/>
          </w:rPr>
          <w:tab/>
        </w:r>
        <w:r w:rsidR="009629B0">
          <w:rPr>
            <w:webHidden/>
          </w:rPr>
          <w:fldChar w:fldCharType="begin"/>
        </w:r>
        <w:r w:rsidR="009629B0">
          <w:rPr>
            <w:webHidden/>
          </w:rPr>
          <w:instrText xml:space="preserve"> PAGEREF _Toc9606517 \h </w:instrText>
        </w:r>
        <w:r w:rsidR="009629B0">
          <w:rPr>
            <w:webHidden/>
          </w:rPr>
        </w:r>
        <w:r w:rsidR="009629B0">
          <w:rPr>
            <w:webHidden/>
          </w:rPr>
          <w:fldChar w:fldCharType="separate"/>
        </w:r>
        <w:r w:rsidR="00E17666">
          <w:rPr>
            <w:webHidden/>
          </w:rPr>
          <w:t>2</w:t>
        </w:r>
        <w:r w:rsidR="009629B0">
          <w:rPr>
            <w:webHidden/>
          </w:rPr>
          <w:fldChar w:fldCharType="end"/>
        </w:r>
      </w:hyperlink>
    </w:p>
    <w:p w:rsidR="00557988" w:rsidRPr="009F3EB3" w:rsidRDefault="003F1EFB" w:rsidP="003F1EFB">
      <w:pPr>
        <w:jc w:val="center"/>
        <w:rPr>
          <w:caps/>
        </w:rPr>
      </w:pPr>
      <w:r>
        <w:rPr>
          <w:caps/>
        </w:rPr>
        <w:fldChar w:fldCharType="end"/>
      </w:r>
    </w:p>
    <w:p w:rsidR="00557988" w:rsidRPr="009F3EB3" w:rsidRDefault="00557988" w:rsidP="003F1EFB">
      <w:pPr>
        <w:jc w:val="center"/>
        <w:rPr>
          <w:caps/>
        </w:rPr>
      </w:pPr>
    </w:p>
    <w:p w:rsidR="00557988" w:rsidRPr="0024095F" w:rsidRDefault="00821952" w:rsidP="005621E4">
      <w:pPr>
        <w:pStyle w:val="LegTitle"/>
        <w:rPr>
          <w:lang w:val="fr-CH"/>
        </w:rPr>
      </w:pPr>
      <w:bookmarkStart w:id="7" w:name="_Toc9606515"/>
      <w:r w:rsidRPr="0024095F">
        <w:rPr>
          <w:lang w:val="fr-CH"/>
        </w:rPr>
        <w:lastRenderedPageBreak/>
        <w:t>Règle 8</w:t>
      </w:r>
      <w:r w:rsidR="005621E4" w:rsidRPr="0024095F">
        <w:rPr>
          <w:lang w:val="fr-CH"/>
        </w:rPr>
        <w:t>2</w:t>
      </w:r>
      <w:r w:rsidR="005621E4" w:rsidRPr="0024095F">
        <w:rPr>
          <w:i/>
          <w:lang w:val="fr-CH"/>
        </w:rPr>
        <w:t>quater</w:t>
      </w:r>
      <w:r w:rsidR="005621E4" w:rsidRPr="0024095F">
        <w:rPr>
          <w:i/>
          <w:lang w:val="fr-CH"/>
        </w:rPr>
        <w:br/>
      </w:r>
      <w:r w:rsidR="005621E4" w:rsidRPr="0024095F">
        <w:rPr>
          <w:lang w:val="fr-CH"/>
        </w:rPr>
        <w:t>Excuse de retard dans l</w:t>
      </w:r>
      <w:r w:rsidR="00902953" w:rsidRPr="0024095F">
        <w:rPr>
          <w:lang w:val="fr-CH"/>
        </w:rPr>
        <w:t>’</w:t>
      </w:r>
      <w:r w:rsidR="005621E4" w:rsidRPr="0024095F">
        <w:rPr>
          <w:lang w:val="fr-CH"/>
        </w:rPr>
        <w:t>observation de délais</w:t>
      </w:r>
      <w:bookmarkEnd w:id="7"/>
    </w:p>
    <w:p w:rsidR="00557988" w:rsidRPr="0024095F" w:rsidRDefault="005621E4" w:rsidP="005621E4">
      <w:pPr>
        <w:pStyle w:val="LegSubRule"/>
        <w:rPr>
          <w:i/>
          <w:lang w:val="fr-CH"/>
        </w:rPr>
      </w:pPr>
      <w:bookmarkStart w:id="8" w:name="_Toc9606516"/>
      <w:r w:rsidRPr="0024095F">
        <w:rPr>
          <w:lang w:val="fr-CH"/>
        </w:rPr>
        <w:t>82</w:t>
      </w:r>
      <w:r w:rsidRPr="0024095F">
        <w:rPr>
          <w:i/>
          <w:lang w:val="fr-CH"/>
        </w:rPr>
        <w:t>quater</w:t>
      </w:r>
      <w:r w:rsidRPr="0024095F">
        <w:rPr>
          <w:lang w:val="fr-CH"/>
        </w:rPr>
        <w:t>.1</w:t>
      </w:r>
      <w:r w:rsidRPr="0024095F">
        <w:rPr>
          <w:lang w:val="fr-CH"/>
        </w:rPr>
        <w:tab/>
      </w:r>
      <w:r w:rsidRPr="0024095F">
        <w:rPr>
          <w:i/>
          <w:lang w:val="fr-CH"/>
        </w:rPr>
        <w:t>Excuse de retard dans l</w:t>
      </w:r>
      <w:r w:rsidR="00902953" w:rsidRPr="0024095F">
        <w:rPr>
          <w:i/>
          <w:lang w:val="fr-CH"/>
        </w:rPr>
        <w:t>’</w:t>
      </w:r>
      <w:r w:rsidRPr="0024095F">
        <w:rPr>
          <w:i/>
          <w:lang w:val="fr-CH"/>
        </w:rPr>
        <w:t>observation de délais</w:t>
      </w:r>
      <w:bookmarkEnd w:id="8"/>
    </w:p>
    <w:p w:rsidR="00557988" w:rsidRPr="0024095F" w:rsidRDefault="005621E4" w:rsidP="005621E4">
      <w:pPr>
        <w:pStyle w:val="Lega"/>
        <w:rPr>
          <w:i/>
          <w:lang w:val="fr-CH"/>
        </w:rPr>
      </w:pPr>
      <w:r w:rsidRPr="0024095F">
        <w:rPr>
          <w:lang w:val="fr-CH"/>
        </w:rPr>
        <w:t xml:space="preserve">a) à c) </w:t>
      </w:r>
      <w:r w:rsidRPr="0024095F">
        <w:rPr>
          <w:i/>
          <w:lang w:val="fr-CH"/>
        </w:rPr>
        <w:t>[Sans changement]</w:t>
      </w:r>
    </w:p>
    <w:p w:rsidR="00557988" w:rsidRPr="0024095F" w:rsidRDefault="00CA6007" w:rsidP="00CA6007">
      <w:pPr>
        <w:pStyle w:val="LegSubRule"/>
        <w:rPr>
          <w:i/>
          <w:color w:val="0000FF"/>
          <w:u w:val="single"/>
          <w:lang w:val="fr-CH"/>
        </w:rPr>
      </w:pPr>
      <w:bookmarkStart w:id="9" w:name="_Toc9606517"/>
      <w:r w:rsidRPr="0024095F">
        <w:rPr>
          <w:color w:val="0000FF"/>
          <w:u w:val="single"/>
          <w:lang w:val="fr-CH"/>
        </w:rPr>
        <w:t>82</w:t>
      </w:r>
      <w:r w:rsidRPr="0024095F">
        <w:rPr>
          <w:i/>
          <w:color w:val="0000FF"/>
          <w:u w:val="single"/>
          <w:lang w:val="fr-CH"/>
        </w:rPr>
        <w:t>quater</w:t>
      </w:r>
      <w:r w:rsidRPr="0024095F">
        <w:rPr>
          <w:color w:val="0000FF"/>
          <w:u w:val="single"/>
          <w:lang w:val="fr-CH"/>
        </w:rPr>
        <w:t>.2</w:t>
      </w:r>
      <w:r w:rsidRPr="0024095F">
        <w:rPr>
          <w:color w:val="0000FF"/>
          <w:u w:val="single"/>
          <w:lang w:val="fr-CH"/>
        </w:rPr>
        <w:tab/>
        <w:t>Indisponibilité des moyens de communication électronique dans l</w:t>
      </w:r>
      <w:r w:rsidR="00902953" w:rsidRPr="0024095F">
        <w:rPr>
          <w:color w:val="0000FF"/>
          <w:u w:val="single"/>
          <w:lang w:val="fr-CH"/>
        </w:rPr>
        <w:t>’</w:t>
      </w:r>
      <w:r w:rsidRPr="0024095F">
        <w:rPr>
          <w:color w:val="0000FF"/>
          <w:u w:val="single"/>
          <w:lang w:val="fr-CH"/>
        </w:rPr>
        <w:t>office</w:t>
      </w:r>
      <w:bookmarkEnd w:id="9"/>
    </w:p>
    <w:p w:rsidR="00557988" w:rsidRPr="0024095F" w:rsidRDefault="003F1EFB" w:rsidP="00416B07">
      <w:pPr>
        <w:pStyle w:val="Lega"/>
        <w:tabs>
          <w:tab w:val="left" w:pos="284"/>
        </w:tabs>
        <w:ind w:left="0"/>
        <w:rPr>
          <w:color w:val="0000FF"/>
          <w:u w:val="single"/>
          <w:lang w:val="fr-CH"/>
        </w:rPr>
      </w:pPr>
      <w:r w:rsidRPr="0024095F">
        <w:rPr>
          <w:rStyle w:val="LegInsertedText"/>
          <w:u w:val="none"/>
          <w:lang w:val="fr-CH"/>
        </w:rPr>
        <w:tab/>
      </w:r>
      <w:r w:rsidR="000B0EF5" w:rsidRPr="0024095F">
        <w:rPr>
          <w:rStyle w:val="LegInsertedText"/>
          <w:u w:val="none"/>
          <w:lang w:val="fr-CH"/>
        </w:rPr>
        <w:t>a)</w:t>
      </w:r>
      <w:r w:rsidR="000B0EF5" w:rsidRPr="0024095F">
        <w:rPr>
          <w:rStyle w:val="LegInsertedText"/>
          <w:u w:val="none"/>
          <w:lang w:val="fr-CH"/>
        </w:rPr>
        <w:tab/>
      </w:r>
      <w:r w:rsidR="000B0EF5" w:rsidRPr="0024095F">
        <w:rPr>
          <w:rStyle w:val="LegInsertedText"/>
          <w:lang w:val="fr-CH"/>
        </w:rPr>
        <w:t>Tout office national ou organisation intergouvernementale peut prévoir que, lorsqu</w:t>
      </w:r>
      <w:r w:rsidR="00902953" w:rsidRPr="0024095F">
        <w:rPr>
          <w:rStyle w:val="LegInsertedText"/>
          <w:lang w:val="fr-CH"/>
        </w:rPr>
        <w:t>’</w:t>
      </w:r>
      <w:r w:rsidR="000B0EF5" w:rsidRPr="0024095F">
        <w:rPr>
          <w:rStyle w:val="LegInsertedText"/>
          <w:lang w:val="fr-CH"/>
        </w:rPr>
        <w:t>un délai prévu dans le règlement d</w:t>
      </w:r>
      <w:r w:rsidR="00902953" w:rsidRPr="0024095F">
        <w:rPr>
          <w:rStyle w:val="LegInsertedText"/>
          <w:lang w:val="fr-CH"/>
        </w:rPr>
        <w:t>’</w:t>
      </w:r>
      <w:r w:rsidR="000B0EF5" w:rsidRPr="0024095F">
        <w:rPr>
          <w:rStyle w:val="LegInsertedText"/>
          <w:lang w:val="fr-CH"/>
        </w:rPr>
        <w:t>exécution pour l</w:t>
      </w:r>
      <w:r w:rsidR="00902953" w:rsidRPr="0024095F">
        <w:rPr>
          <w:rStyle w:val="LegInsertedText"/>
          <w:lang w:val="fr-CH"/>
        </w:rPr>
        <w:t>’</w:t>
      </w:r>
      <w:r w:rsidR="000B0EF5" w:rsidRPr="0024095F">
        <w:rPr>
          <w:rStyle w:val="LegInsertedText"/>
          <w:lang w:val="fr-CH"/>
        </w:rPr>
        <w:t>accomplissement d</w:t>
      </w:r>
      <w:r w:rsidR="00902953" w:rsidRPr="0024095F">
        <w:rPr>
          <w:rStyle w:val="LegInsertedText"/>
          <w:lang w:val="fr-CH"/>
        </w:rPr>
        <w:t>’</w:t>
      </w:r>
      <w:r w:rsidR="000B0EF5" w:rsidRPr="0024095F">
        <w:rPr>
          <w:rStyle w:val="LegInsertedText"/>
          <w:lang w:val="fr-CH"/>
        </w:rPr>
        <w:t>un acte devant cet office ou cette organisation n</w:t>
      </w:r>
      <w:r w:rsidR="00902953" w:rsidRPr="0024095F">
        <w:rPr>
          <w:rStyle w:val="LegInsertedText"/>
          <w:lang w:val="fr-CH"/>
        </w:rPr>
        <w:t>’</w:t>
      </w:r>
      <w:r w:rsidR="000B0EF5" w:rsidRPr="0024095F">
        <w:rPr>
          <w:rStyle w:val="LegInsertedText"/>
          <w:lang w:val="fr-CH"/>
        </w:rPr>
        <w:t>est pas observé en raison de l</w:t>
      </w:r>
      <w:r w:rsidR="00902953" w:rsidRPr="0024095F">
        <w:rPr>
          <w:rStyle w:val="LegInsertedText"/>
          <w:lang w:val="fr-CH"/>
        </w:rPr>
        <w:t>’</w:t>
      </w:r>
      <w:r w:rsidR="000B0EF5" w:rsidRPr="0024095F">
        <w:rPr>
          <w:rStyle w:val="LegInsertedText"/>
          <w:lang w:val="fr-CH"/>
        </w:rPr>
        <w:t xml:space="preserve">indisponibilité </w:t>
      </w:r>
      <w:r w:rsidR="00041ECE" w:rsidRPr="0024095F">
        <w:rPr>
          <w:rStyle w:val="LegInsertedText"/>
          <w:lang w:val="fr-CH"/>
        </w:rPr>
        <w:t>d</w:t>
      </w:r>
      <w:r w:rsidR="00902953" w:rsidRPr="0024095F">
        <w:rPr>
          <w:rStyle w:val="LegInsertedText"/>
          <w:lang w:val="fr-CH"/>
        </w:rPr>
        <w:t>’</w:t>
      </w:r>
      <w:r w:rsidR="00041ECE" w:rsidRPr="0024095F">
        <w:rPr>
          <w:rStyle w:val="LegInsertedText"/>
          <w:lang w:val="fr-CH"/>
        </w:rPr>
        <w:t>un</w:t>
      </w:r>
      <w:r w:rsidR="000B0EF5" w:rsidRPr="0024095F">
        <w:rPr>
          <w:rStyle w:val="LegInsertedText"/>
          <w:lang w:val="fr-CH"/>
        </w:rPr>
        <w:t xml:space="preserve"> moyen de communication électronique autorisé au sein de cet office ou de cette organisation, </w:t>
      </w:r>
      <w:r w:rsidR="00FC76EF" w:rsidRPr="0024095F">
        <w:rPr>
          <w:rStyle w:val="LegInsertedText"/>
          <w:lang w:val="fr-CH"/>
        </w:rPr>
        <w:t>le</w:t>
      </w:r>
      <w:r w:rsidR="000B0EF5" w:rsidRPr="0024095F">
        <w:rPr>
          <w:rStyle w:val="LegInsertedText"/>
          <w:lang w:val="fr-CH"/>
        </w:rPr>
        <w:t xml:space="preserve"> retard dans l</w:t>
      </w:r>
      <w:r w:rsidR="00902953" w:rsidRPr="0024095F">
        <w:rPr>
          <w:rStyle w:val="LegInsertedText"/>
          <w:lang w:val="fr-CH"/>
        </w:rPr>
        <w:t>’</w:t>
      </w:r>
      <w:r w:rsidR="000B0EF5" w:rsidRPr="0024095F">
        <w:rPr>
          <w:rStyle w:val="LegInsertedText"/>
          <w:lang w:val="fr-CH"/>
        </w:rPr>
        <w:t xml:space="preserve">observation de ce délai est excusé, à condition que cet acte soit accompli le jour ouvrable suivant </w:t>
      </w:r>
      <w:r w:rsidR="00E912BD" w:rsidRPr="0024095F">
        <w:rPr>
          <w:rStyle w:val="LegInsertedText"/>
          <w:lang w:val="fr-CH"/>
        </w:rPr>
        <w:t>celui où le</w:t>
      </w:r>
      <w:r w:rsidR="000B0EF5" w:rsidRPr="0024095F">
        <w:rPr>
          <w:rStyle w:val="LegInsertedText"/>
          <w:lang w:val="fr-CH"/>
        </w:rPr>
        <w:t>dit moyen de communication électroniq</w:t>
      </w:r>
      <w:r w:rsidR="00AC6F63" w:rsidRPr="0024095F">
        <w:rPr>
          <w:rStyle w:val="LegInsertedText"/>
          <w:lang w:val="fr-CH"/>
        </w:rPr>
        <w:t>ue</w:t>
      </w:r>
      <w:r w:rsidR="00E912BD" w:rsidRPr="0024095F">
        <w:rPr>
          <w:rStyle w:val="LegInsertedText"/>
          <w:lang w:val="fr-CH"/>
        </w:rPr>
        <w:t xml:space="preserve"> n</w:t>
      </w:r>
      <w:r w:rsidR="00902953" w:rsidRPr="0024095F">
        <w:rPr>
          <w:rStyle w:val="LegInsertedText"/>
          <w:lang w:val="fr-CH"/>
        </w:rPr>
        <w:t>’</w:t>
      </w:r>
      <w:r w:rsidR="00E912BD" w:rsidRPr="0024095F">
        <w:rPr>
          <w:rStyle w:val="LegInsertedText"/>
          <w:lang w:val="fr-CH"/>
        </w:rPr>
        <w:t>était plus indisponib</w:t>
      </w:r>
      <w:r w:rsidR="0004681B" w:rsidRPr="0024095F">
        <w:rPr>
          <w:rStyle w:val="LegInsertedText"/>
          <w:lang w:val="fr-CH"/>
        </w:rPr>
        <w:t>le.  Ce</w:t>
      </w:r>
      <w:r w:rsidR="00416B07" w:rsidRPr="0024095F">
        <w:rPr>
          <w:rStyle w:val="LegInsertedText"/>
          <w:lang w:val="fr-CH"/>
        </w:rPr>
        <w:t>tte indisponibilité peut être occasionnée par une maintenance programmée, une interruption de service imprévue ou d</w:t>
      </w:r>
      <w:r w:rsidR="00902953" w:rsidRPr="0024095F">
        <w:rPr>
          <w:rStyle w:val="LegInsertedText"/>
          <w:lang w:val="fr-CH"/>
        </w:rPr>
        <w:t>’</w:t>
      </w:r>
      <w:r w:rsidR="00416B07" w:rsidRPr="0024095F">
        <w:rPr>
          <w:rStyle w:val="LegInsertedText"/>
          <w:lang w:val="fr-CH"/>
        </w:rPr>
        <w:t>autres raisons semblabl</w:t>
      </w:r>
      <w:r w:rsidR="0004681B" w:rsidRPr="0024095F">
        <w:rPr>
          <w:rStyle w:val="LegInsertedText"/>
          <w:lang w:val="fr-CH"/>
        </w:rPr>
        <w:t>es.  L’o</w:t>
      </w:r>
      <w:r w:rsidR="00416B07" w:rsidRPr="0024095F">
        <w:rPr>
          <w:rStyle w:val="LegInsertedText"/>
          <w:lang w:val="fr-CH"/>
        </w:rPr>
        <w:t>ffice ou l</w:t>
      </w:r>
      <w:r w:rsidR="00902953" w:rsidRPr="0024095F">
        <w:rPr>
          <w:rStyle w:val="LegInsertedText"/>
          <w:lang w:val="fr-CH"/>
        </w:rPr>
        <w:t>’</w:t>
      </w:r>
      <w:r w:rsidR="00416B07" w:rsidRPr="0024095F">
        <w:rPr>
          <w:rStyle w:val="LegInsertedText"/>
          <w:lang w:val="fr-CH"/>
        </w:rPr>
        <w:t xml:space="preserve">organisation concerné publie des informations sur </w:t>
      </w:r>
      <w:r w:rsidR="00041ECE" w:rsidRPr="0024095F">
        <w:rPr>
          <w:rStyle w:val="LegInsertedText"/>
          <w:lang w:val="fr-CH"/>
        </w:rPr>
        <w:t xml:space="preserve">ladite </w:t>
      </w:r>
      <w:r w:rsidR="00416B07" w:rsidRPr="0024095F">
        <w:rPr>
          <w:rStyle w:val="LegInsertedText"/>
          <w:lang w:val="fr-CH"/>
        </w:rPr>
        <w:t xml:space="preserve">indisponibilité, notamment </w:t>
      </w:r>
      <w:r w:rsidR="00041ECE" w:rsidRPr="0024095F">
        <w:rPr>
          <w:rStyle w:val="LegInsertedText"/>
          <w:lang w:val="fr-CH"/>
        </w:rPr>
        <w:t xml:space="preserve">en ce qui </w:t>
      </w:r>
      <w:r w:rsidR="00416B07" w:rsidRPr="0024095F">
        <w:rPr>
          <w:rStyle w:val="LegInsertedText"/>
          <w:lang w:val="fr-CH"/>
        </w:rPr>
        <w:t>concern</w:t>
      </w:r>
      <w:r w:rsidR="00041ECE" w:rsidRPr="0024095F">
        <w:rPr>
          <w:rStyle w:val="LegInsertedText"/>
          <w:lang w:val="fr-CH"/>
        </w:rPr>
        <w:t>e</w:t>
      </w:r>
      <w:r w:rsidR="00416B07" w:rsidRPr="0024095F">
        <w:rPr>
          <w:rStyle w:val="LegInsertedText"/>
          <w:lang w:val="fr-CH"/>
        </w:rPr>
        <w:t xml:space="preserve"> sa durée, et en informe le Bureau </w:t>
      </w:r>
      <w:r w:rsidR="00E85431" w:rsidRPr="0024095F">
        <w:rPr>
          <w:rStyle w:val="LegInsertedText"/>
          <w:lang w:val="fr-CH"/>
        </w:rPr>
        <w:t>i</w:t>
      </w:r>
      <w:r w:rsidR="00416B07" w:rsidRPr="0024095F">
        <w:rPr>
          <w:rStyle w:val="LegInsertedText"/>
          <w:lang w:val="fr-CH"/>
        </w:rPr>
        <w:t>nternational.</w:t>
      </w:r>
    </w:p>
    <w:p w:rsidR="00557988" w:rsidRPr="0024095F" w:rsidRDefault="003F1EFB" w:rsidP="000D7126">
      <w:pPr>
        <w:pStyle w:val="Lega"/>
        <w:tabs>
          <w:tab w:val="left" w:pos="284"/>
        </w:tabs>
        <w:ind w:left="0"/>
        <w:rPr>
          <w:color w:val="0000FF"/>
          <w:u w:val="single"/>
          <w:lang w:val="fr-CH"/>
        </w:rPr>
      </w:pPr>
      <w:r w:rsidRPr="0024095F">
        <w:rPr>
          <w:rStyle w:val="LegInsertedText"/>
          <w:u w:val="none"/>
          <w:lang w:val="fr-CH"/>
        </w:rPr>
        <w:tab/>
      </w:r>
      <w:r w:rsidR="0004681B" w:rsidRPr="0024095F">
        <w:rPr>
          <w:rStyle w:val="LegInsertedText"/>
          <w:lang w:val="fr-CH"/>
        </w:rPr>
        <w:t>b)</w:t>
      </w:r>
      <w:r w:rsidR="0004681B" w:rsidRPr="0024095F">
        <w:rPr>
          <w:rStyle w:val="LegInsertedText"/>
          <w:lang w:val="fr-CH"/>
        </w:rPr>
        <w:tab/>
      </w:r>
      <w:r w:rsidR="000D7126" w:rsidRPr="0024095F">
        <w:rPr>
          <w:rStyle w:val="LegInsertedText"/>
          <w:lang w:val="fr-CH"/>
        </w:rPr>
        <w:t>L</w:t>
      </w:r>
      <w:r w:rsidR="00902953" w:rsidRPr="0024095F">
        <w:rPr>
          <w:rStyle w:val="LegInsertedText"/>
          <w:lang w:val="fr-CH"/>
        </w:rPr>
        <w:t>’</w:t>
      </w:r>
      <w:r w:rsidR="000D7126" w:rsidRPr="0024095F">
        <w:rPr>
          <w:rStyle w:val="LegInsertedText"/>
          <w:lang w:val="fr-CH"/>
        </w:rPr>
        <w:t>excuse du retard dans l</w:t>
      </w:r>
      <w:r w:rsidR="00902953" w:rsidRPr="0024095F">
        <w:rPr>
          <w:rStyle w:val="LegInsertedText"/>
          <w:lang w:val="fr-CH"/>
        </w:rPr>
        <w:t>’</w:t>
      </w:r>
      <w:r w:rsidR="000D7126" w:rsidRPr="0024095F">
        <w:rPr>
          <w:rStyle w:val="LegInsertedText"/>
          <w:lang w:val="fr-CH"/>
        </w:rPr>
        <w:t>observation d</w:t>
      </w:r>
      <w:r w:rsidR="00902953" w:rsidRPr="0024095F">
        <w:rPr>
          <w:rStyle w:val="LegInsertedText"/>
          <w:lang w:val="fr-CH"/>
        </w:rPr>
        <w:t>’</w:t>
      </w:r>
      <w:r w:rsidR="000D7126" w:rsidRPr="0024095F">
        <w:rPr>
          <w:rStyle w:val="LegInsertedText"/>
          <w:lang w:val="fr-CH"/>
        </w:rPr>
        <w:t>un délai en vertu de l</w:t>
      </w:r>
      <w:r w:rsidR="00902953" w:rsidRPr="0024095F">
        <w:rPr>
          <w:rStyle w:val="LegInsertedText"/>
          <w:lang w:val="fr-CH"/>
        </w:rPr>
        <w:t>’</w:t>
      </w:r>
      <w:r w:rsidR="000D7126" w:rsidRPr="0024095F">
        <w:rPr>
          <w:rStyle w:val="LegInsertedText"/>
          <w:lang w:val="fr-CH"/>
        </w:rPr>
        <w:t>alinéa a) n</w:t>
      </w:r>
      <w:r w:rsidR="00902953" w:rsidRPr="0024095F">
        <w:rPr>
          <w:rStyle w:val="LegInsertedText"/>
          <w:lang w:val="fr-CH"/>
        </w:rPr>
        <w:t>’</w:t>
      </w:r>
      <w:r w:rsidR="000D7126" w:rsidRPr="0024095F">
        <w:rPr>
          <w:rStyle w:val="LegInsertedText"/>
          <w:lang w:val="fr-CH"/>
        </w:rPr>
        <w:t xml:space="preserve">a pas à être prise en considération par </w:t>
      </w:r>
      <w:r w:rsidR="00041ECE" w:rsidRPr="0024095F">
        <w:rPr>
          <w:rStyle w:val="LegInsertedText"/>
          <w:lang w:val="fr-CH"/>
        </w:rPr>
        <w:t xml:space="preserve">un </w:t>
      </w:r>
      <w:r w:rsidR="000D7126" w:rsidRPr="0024095F">
        <w:rPr>
          <w:rStyle w:val="LegInsertedText"/>
          <w:lang w:val="fr-CH"/>
        </w:rPr>
        <w:t>office désigné ou élu devant lequel le déposant, au moment de la publication des informations visées à l</w:t>
      </w:r>
      <w:r w:rsidR="00902953" w:rsidRPr="0024095F">
        <w:rPr>
          <w:rStyle w:val="LegInsertedText"/>
          <w:lang w:val="fr-CH"/>
        </w:rPr>
        <w:t>’</w:t>
      </w:r>
      <w:r w:rsidR="000D7126" w:rsidRPr="0024095F">
        <w:rPr>
          <w:rStyle w:val="LegInsertedText"/>
          <w:lang w:val="fr-CH"/>
        </w:rPr>
        <w:t>alinéa a), a déjà accompli les actes visés à l</w:t>
      </w:r>
      <w:r w:rsidR="00902953" w:rsidRPr="0024095F">
        <w:rPr>
          <w:rStyle w:val="LegInsertedText"/>
          <w:lang w:val="fr-CH"/>
        </w:rPr>
        <w:t>’</w:t>
      </w:r>
      <w:r w:rsidR="000D7126" w:rsidRPr="0024095F">
        <w:rPr>
          <w:rStyle w:val="LegInsertedText"/>
          <w:lang w:val="fr-CH"/>
        </w:rPr>
        <w:t>article 22 ou à l</w:t>
      </w:r>
      <w:r w:rsidR="00902953" w:rsidRPr="0024095F">
        <w:rPr>
          <w:rStyle w:val="LegInsertedText"/>
          <w:lang w:val="fr-CH"/>
        </w:rPr>
        <w:t>’</w:t>
      </w:r>
      <w:r w:rsidR="000D7126" w:rsidRPr="0024095F">
        <w:rPr>
          <w:rStyle w:val="LegInsertedText"/>
          <w:lang w:val="fr-CH"/>
        </w:rPr>
        <w:t>article 39.</w:t>
      </w:r>
    </w:p>
    <w:p w:rsidR="00557988" w:rsidRPr="0024095F" w:rsidRDefault="00557988" w:rsidP="003F1EFB">
      <w:pPr>
        <w:pStyle w:val="Lega"/>
        <w:rPr>
          <w:lang w:val="fr-CH"/>
        </w:rPr>
      </w:pPr>
    </w:p>
    <w:p w:rsidR="00557988" w:rsidRPr="0024095F" w:rsidRDefault="000D7126" w:rsidP="000D7126">
      <w:pPr>
        <w:pStyle w:val="Endofdocument-Annex"/>
        <w:rPr>
          <w:lang w:val="fr-CH"/>
        </w:rPr>
      </w:pPr>
      <w:r w:rsidRPr="0024095F">
        <w:rPr>
          <w:lang w:val="fr-CH"/>
        </w:rPr>
        <w:t>[Fin de l</w:t>
      </w:r>
      <w:r w:rsidR="00902953" w:rsidRPr="0024095F">
        <w:rPr>
          <w:lang w:val="fr-CH"/>
        </w:rPr>
        <w:t>’</w:t>
      </w:r>
      <w:r w:rsidRPr="0024095F">
        <w:rPr>
          <w:lang w:val="fr-CH"/>
        </w:rPr>
        <w:t>annexe et du document</w:t>
      </w:r>
      <w:r w:rsidR="002F7233" w:rsidRPr="0024095F">
        <w:rPr>
          <w:lang w:val="fr-CH"/>
        </w:rPr>
        <w:t>]</w:t>
      </w:r>
    </w:p>
    <w:p w:rsidR="00557988" w:rsidRPr="0024095F" w:rsidRDefault="00557988" w:rsidP="003F1EFB">
      <w:pPr>
        <w:pStyle w:val="Endofdocument-Annex"/>
        <w:rPr>
          <w:lang w:val="fr-CH"/>
        </w:rPr>
      </w:pPr>
    </w:p>
    <w:p w:rsidR="003F1EFB" w:rsidRPr="0024095F" w:rsidRDefault="003F1EFB" w:rsidP="0024095F">
      <w:pPr>
        <w:pStyle w:val="Endofdocument-Annex"/>
        <w:rPr>
          <w:lang w:val="fr-CH"/>
        </w:rPr>
      </w:pPr>
    </w:p>
    <w:sectPr w:rsidR="003F1EFB" w:rsidRPr="0024095F" w:rsidSect="003F1EFB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B0" w:rsidRDefault="006A7DB0">
      <w:r>
        <w:separator/>
      </w:r>
    </w:p>
  </w:endnote>
  <w:endnote w:type="continuationSeparator" w:id="0">
    <w:p w:rsidR="006A7DB0" w:rsidRDefault="006A7DB0" w:rsidP="003B38C1">
      <w:r>
        <w:separator/>
      </w:r>
    </w:p>
    <w:p w:rsidR="006A7DB0" w:rsidRPr="003B38C1" w:rsidRDefault="006A7D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A7DB0" w:rsidRPr="003B38C1" w:rsidRDefault="006A7D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B0" w:rsidRDefault="006A7DB0">
      <w:r>
        <w:separator/>
      </w:r>
    </w:p>
  </w:footnote>
  <w:footnote w:type="continuationSeparator" w:id="0">
    <w:p w:rsidR="006A7DB0" w:rsidRDefault="006A7DB0" w:rsidP="008B60B2">
      <w:r>
        <w:separator/>
      </w:r>
    </w:p>
    <w:p w:rsidR="006A7DB0" w:rsidRPr="00ED77FB" w:rsidRDefault="006A7D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A7DB0" w:rsidRPr="00ED77FB" w:rsidRDefault="006A7D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F3546" w:rsidRPr="002F3546" w:rsidRDefault="002F3546" w:rsidP="002F3546">
      <w:pPr>
        <w:pStyle w:val="FootnoteText"/>
        <w:rPr>
          <w:lang w:val="fr-CH"/>
        </w:rPr>
      </w:pPr>
      <w:r w:rsidRPr="0004681B">
        <w:rPr>
          <w:rStyle w:val="FootnoteReference"/>
        </w:rPr>
        <w:footnoteRef/>
      </w:r>
      <w:r w:rsidRPr="0004681B">
        <w:rPr>
          <w:lang w:val="fr-CH"/>
        </w:rPr>
        <w:t xml:space="preserve"> </w:t>
      </w:r>
      <w:r w:rsidRPr="0004681B">
        <w:rPr>
          <w:lang w:val="fr-CH"/>
        </w:rPr>
        <w:tab/>
        <w:t>Voir</w:t>
      </w:r>
      <w:r w:rsidR="0028319B" w:rsidRPr="0004681B">
        <w:rPr>
          <w:lang w:val="fr-CH"/>
        </w:rPr>
        <w:t xml:space="preserve"> la PCT</w:t>
      </w:r>
      <w:r w:rsidRPr="0004681B">
        <w:rPr>
          <w:lang w:val="fr-CH"/>
        </w:rPr>
        <w:t xml:space="preserve"> Newsletter de </w:t>
      </w:r>
      <w:r w:rsidR="0028319B" w:rsidRPr="0004681B">
        <w:rPr>
          <w:lang w:val="fr-CH"/>
        </w:rPr>
        <w:t>septembre 20</w:t>
      </w:r>
      <w:r w:rsidRPr="0004681B">
        <w:rPr>
          <w:lang w:val="fr-CH"/>
        </w:rPr>
        <w:t>18, disponible sur le site</w:t>
      </w:r>
      <w:r w:rsidR="002746BC" w:rsidRPr="0004681B">
        <w:rPr>
          <w:lang w:val="fr-CH"/>
        </w:rPr>
        <w:t> </w:t>
      </w:r>
      <w:r w:rsidRPr="0004681B">
        <w:rPr>
          <w:lang w:val="fr-CH"/>
        </w:rPr>
        <w:t>Web de l</w:t>
      </w:r>
      <w:r w:rsidR="002540B9" w:rsidRPr="0004681B">
        <w:rPr>
          <w:lang w:val="fr-CH"/>
        </w:rPr>
        <w:t>’</w:t>
      </w:r>
      <w:r w:rsidRPr="0004681B">
        <w:rPr>
          <w:lang w:val="fr-CH"/>
        </w:rPr>
        <w:t>OMPI à l</w:t>
      </w:r>
      <w:r w:rsidR="002540B9" w:rsidRPr="0004681B">
        <w:rPr>
          <w:lang w:val="fr-CH"/>
        </w:rPr>
        <w:t>’</w:t>
      </w:r>
      <w:r w:rsidRPr="0004681B">
        <w:rPr>
          <w:lang w:val="fr-CH"/>
        </w:rPr>
        <w:t>adresse suivante</w:t>
      </w:r>
      <w:r w:rsidR="002540B9" w:rsidRPr="0004681B">
        <w:rPr>
          <w:lang w:val="fr-CH"/>
        </w:rPr>
        <w:t> :</w:t>
      </w:r>
      <w:r w:rsidR="00901C53">
        <w:rPr>
          <w:lang w:val="fr-CH"/>
        </w:rPr>
        <w:t xml:space="preserve"> www.wipo.int/edocs/pctndocs/en</w:t>
      </w:r>
      <w:r w:rsidRPr="0004681B">
        <w:rPr>
          <w:lang w:val="fr-CH"/>
        </w:rPr>
        <w:t xml:space="preserve">/2018/pct_news_2018_9.pdf. </w:t>
      </w:r>
      <w:r w:rsidR="002746BC" w:rsidRPr="0004681B">
        <w:rPr>
          <w:lang w:val="fr-CH"/>
        </w:rPr>
        <w:t xml:space="preserve"> </w:t>
      </w:r>
    </w:p>
  </w:footnote>
  <w:footnote w:id="3">
    <w:p w:rsidR="005621E4" w:rsidRPr="0004681B" w:rsidRDefault="005621E4" w:rsidP="005621E4">
      <w:pPr>
        <w:pStyle w:val="FootnoteText"/>
        <w:rPr>
          <w:lang w:val="fr-CH"/>
        </w:rPr>
      </w:pPr>
      <w:r w:rsidRPr="0004681B">
        <w:rPr>
          <w:rStyle w:val="FootnoteReference"/>
        </w:rPr>
        <w:footnoteRef/>
      </w:r>
      <w:r w:rsidRPr="0004681B">
        <w:rPr>
          <w:lang w:val="fr-CH"/>
        </w:rPr>
        <w:t xml:space="preserve"> </w:t>
      </w:r>
      <w:r w:rsidRPr="0004681B">
        <w:rPr>
          <w:lang w:val="fr-CH"/>
        </w:rPr>
        <w:tab/>
        <w:t>Le texte qu</w:t>
      </w:r>
      <w:r w:rsidR="002540B9" w:rsidRPr="0004681B">
        <w:rPr>
          <w:lang w:val="fr-CH"/>
        </w:rPr>
        <w:t>’</w:t>
      </w:r>
      <w:r w:rsidRPr="0004681B">
        <w:rPr>
          <w:lang w:val="fr-CH"/>
        </w:rPr>
        <w:t>il est proposé d</w:t>
      </w:r>
      <w:r w:rsidR="002540B9" w:rsidRPr="0004681B">
        <w:rPr>
          <w:lang w:val="fr-CH"/>
        </w:rPr>
        <w:t>’</w:t>
      </w:r>
      <w:r w:rsidRPr="0004681B">
        <w:rPr>
          <w:lang w:val="fr-CH"/>
        </w:rPr>
        <w:t>ajouter est souligné et le texte qu</w:t>
      </w:r>
      <w:r w:rsidR="002540B9" w:rsidRPr="0004681B">
        <w:rPr>
          <w:lang w:val="fr-CH"/>
        </w:rPr>
        <w:t>’</w:t>
      </w:r>
      <w:r w:rsidRPr="0004681B">
        <w:rPr>
          <w:lang w:val="fr-CH"/>
        </w:rPr>
        <w:t>il est proposé de supprimer est biffé.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17E6A" w:rsidP="00477D6B">
    <w:pPr>
      <w:jc w:val="right"/>
    </w:pPr>
    <w:bookmarkStart w:id="6" w:name="Code2"/>
    <w:bookmarkEnd w:id="6"/>
    <w:r>
      <w:t>PCT/WG/12/17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17666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FB" w:rsidRDefault="003F1EFB" w:rsidP="00477D6B">
    <w:pPr>
      <w:jc w:val="right"/>
    </w:pPr>
    <w:r>
      <w:t>PCT/WG/12/17</w:t>
    </w:r>
  </w:p>
  <w:p w:rsidR="003F1EFB" w:rsidRPr="0024095F" w:rsidRDefault="003F1EFB" w:rsidP="00477D6B">
    <w:pPr>
      <w:jc w:val="right"/>
      <w:rPr>
        <w:lang w:val="fr-CH"/>
      </w:rPr>
    </w:pPr>
    <w:r w:rsidRPr="0024095F">
      <w:rPr>
        <w:lang w:val="fr-CH"/>
      </w:rPr>
      <w:t>Annex</w:t>
    </w:r>
    <w:r w:rsidR="00586CBC" w:rsidRPr="0024095F">
      <w:rPr>
        <w:lang w:val="fr-CH"/>
      </w:rPr>
      <w:t>e</w:t>
    </w:r>
    <w:r w:rsidRPr="0024095F">
      <w:rPr>
        <w:lang w:val="fr-CH"/>
      </w:rPr>
      <w:t xml:space="preserve">, page </w:t>
    </w:r>
    <w:r w:rsidRPr="0024095F">
      <w:rPr>
        <w:lang w:val="fr-CH"/>
      </w:rPr>
      <w:fldChar w:fldCharType="begin"/>
    </w:r>
    <w:r w:rsidRPr="0024095F">
      <w:rPr>
        <w:lang w:val="fr-CH"/>
      </w:rPr>
      <w:instrText xml:space="preserve"> PAGE  \* MERGEFORMAT </w:instrText>
    </w:r>
    <w:r w:rsidRPr="0024095F">
      <w:rPr>
        <w:lang w:val="fr-CH"/>
      </w:rPr>
      <w:fldChar w:fldCharType="separate"/>
    </w:r>
    <w:r w:rsidR="00E17666">
      <w:rPr>
        <w:noProof/>
        <w:lang w:val="fr-CH"/>
      </w:rPr>
      <w:t>2</w:t>
    </w:r>
    <w:r w:rsidRPr="0024095F">
      <w:rPr>
        <w:lang w:val="fr-CH"/>
      </w:rPr>
      <w:fldChar w:fldCharType="end"/>
    </w:r>
  </w:p>
  <w:p w:rsidR="003F1EFB" w:rsidRDefault="003F1EFB" w:rsidP="00477D6B">
    <w:pPr>
      <w:jc w:val="right"/>
    </w:pPr>
  </w:p>
  <w:p w:rsidR="003F1EFB" w:rsidRDefault="003F1E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FB" w:rsidRDefault="003F1EFB" w:rsidP="003F1EFB">
    <w:pPr>
      <w:pStyle w:val="Header"/>
      <w:jc w:val="right"/>
    </w:pPr>
    <w:r>
      <w:t>PCT/WG/12/17</w:t>
    </w:r>
  </w:p>
  <w:p w:rsidR="003F1EFB" w:rsidRDefault="003F1EFB" w:rsidP="003F1EFB">
    <w:pPr>
      <w:pStyle w:val="Header"/>
      <w:jc w:val="right"/>
    </w:pPr>
    <w:r>
      <w:t>ANNEX</w:t>
    </w:r>
    <w:r w:rsidR="00586CBC">
      <w:t>E</w:t>
    </w:r>
  </w:p>
  <w:p w:rsidR="003F1EFB" w:rsidRDefault="003F1EFB">
    <w:pPr>
      <w:pStyle w:val="Header"/>
    </w:pPr>
  </w:p>
  <w:p w:rsidR="003F1EFB" w:rsidRDefault="003F1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3DFA04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PC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17E6A"/>
    <w:rsid w:val="00006E34"/>
    <w:rsid w:val="00014D92"/>
    <w:rsid w:val="00015F7B"/>
    <w:rsid w:val="000266E5"/>
    <w:rsid w:val="00041ECE"/>
    <w:rsid w:val="00043CAA"/>
    <w:rsid w:val="0004681B"/>
    <w:rsid w:val="00075432"/>
    <w:rsid w:val="000968ED"/>
    <w:rsid w:val="000B0EF5"/>
    <w:rsid w:val="000C6CD0"/>
    <w:rsid w:val="000D7126"/>
    <w:rsid w:val="000E0129"/>
    <w:rsid w:val="000F5E56"/>
    <w:rsid w:val="001362EE"/>
    <w:rsid w:val="001647D5"/>
    <w:rsid w:val="001832A6"/>
    <w:rsid w:val="00190A3B"/>
    <w:rsid w:val="0021217E"/>
    <w:rsid w:val="0024095F"/>
    <w:rsid w:val="002540B9"/>
    <w:rsid w:val="00255751"/>
    <w:rsid w:val="002634C4"/>
    <w:rsid w:val="002746BC"/>
    <w:rsid w:val="0028319B"/>
    <w:rsid w:val="002928D3"/>
    <w:rsid w:val="002938B2"/>
    <w:rsid w:val="002D7EC0"/>
    <w:rsid w:val="002E45EE"/>
    <w:rsid w:val="002F1FE6"/>
    <w:rsid w:val="002F3546"/>
    <w:rsid w:val="002F4E68"/>
    <w:rsid w:val="002F7233"/>
    <w:rsid w:val="00312F7F"/>
    <w:rsid w:val="0032284D"/>
    <w:rsid w:val="00361450"/>
    <w:rsid w:val="003673CF"/>
    <w:rsid w:val="003845C1"/>
    <w:rsid w:val="00395D29"/>
    <w:rsid w:val="003A6F89"/>
    <w:rsid w:val="003B1964"/>
    <w:rsid w:val="003B38C1"/>
    <w:rsid w:val="003D04C5"/>
    <w:rsid w:val="003D5922"/>
    <w:rsid w:val="003F1EFB"/>
    <w:rsid w:val="00407ACF"/>
    <w:rsid w:val="0041010A"/>
    <w:rsid w:val="004149DA"/>
    <w:rsid w:val="00416B07"/>
    <w:rsid w:val="00423E3E"/>
    <w:rsid w:val="00427AF4"/>
    <w:rsid w:val="00446EBC"/>
    <w:rsid w:val="004647DA"/>
    <w:rsid w:val="00470E2C"/>
    <w:rsid w:val="00474062"/>
    <w:rsid w:val="00477D6B"/>
    <w:rsid w:val="0048227B"/>
    <w:rsid w:val="0048487E"/>
    <w:rsid w:val="0048643D"/>
    <w:rsid w:val="005019FF"/>
    <w:rsid w:val="00514DFA"/>
    <w:rsid w:val="0053057A"/>
    <w:rsid w:val="005530D4"/>
    <w:rsid w:val="00557988"/>
    <w:rsid w:val="00560A29"/>
    <w:rsid w:val="005621E4"/>
    <w:rsid w:val="00586CBC"/>
    <w:rsid w:val="005A2D98"/>
    <w:rsid w:val="005B21F0"/>
    <w:rsid w:val="005C6649"/>
    <w:rsid w:val="00605827"/>
    <w:rsid w:val="0061620B"/>
    <w:rsid w:val="00646050"/>
    <w:rsid w:val="00646693"/>
    <w:rsid w:val="006713CA"/>
    <w:rsid w:val="00676C5C"/>
    <w:rsid w:val="00690BD6"/>
    <w:rsid w:val="006A5FFF"/>
    <w:rsid w:val="006A7DB0"/>
    <w:rsid w:val="0073181A"/>
    <w:rsid w:val="00743FBE"/>
    <w:rsid w:val="00751A6D"/>
    <w:rsid w:val="00764CB8"/>
    <w:rsid w:val="00791FFB"/>
    <w:rsid w:val="007D1613"/>
    <w:rsid w:val="007D4B52"/>
    <w:rsid w:val="007E4C0E"/>
    <w:rsid w:val="00821952"/>
    <w:rsid w:val="008379D8"/>
    <w:rsid w:val="008379E9"/>
    <w:rsid w:val="00853FD2"/>
    <w:rsid w:val="00877C45"/>
    <w:rsid w:val="00886B02"/>
    <w:rsid w:val="008A134B"/>
    <w:rsid w:val="008B2CC1"/>
    <w:rsid w:val="008B60B2"/>
    <w:rsid w:val="00901C53"/>
    <w:rsid w:val="00902953"/>
    <w:rsid w:val="0090731E"/>
    <w:rsid w:val="00907955"/>
    <w:rsid w:val="00916EE2"/>
    <w:rsid w:val="009629B0"/>
    <w:rsid w:val="00966A22"/>
    <w:rsid w:val="0096722F"/>
    <w:rsid w:val="00980843"/>
    <w:rsid w:val="009A6C5D"/>
    <w:rsid w:val="009C5938"/>
    <w:rsid w:val="009D5BA7"/>
    <w:rsid w:val="009E2791"/>
    <w:rsid w:val="009E3F6F"/>
    <w:rsid w:val="009F21CD"/>
    <w:rsid w:val="009F3EB3"/>
    <w:rsid w:val="009F499F"/>
    <w:rsid w:val="00A20275"/>
    <w:rsid w:val="00A371E3"/>
    <w:rsid w:val="00A37342"/>
    <w:rsid w:val="00A42DAF"/>
    <w:rsid w:val="00A45BD8"/>
    <w:rsid w:val="00A869B7"/>
    <w:rsid w:val="00AC205C"/>
    <w:rsid w:val="00AC6F63"/>
    <w:rsid w:val="00AF0A6B"/>
    <w:rsid w:val="00AF6F22"/>
    <w:rsid w:val="00B04088"/>
    <w:rsid w:val="00B05A69"/>
    <w:rsid w:val="00B24C32"/>
    <w:rsid w:val="00B26580"/>
    <w:rsid w:val="00B370FE"/>
    <w:rsid w:val="00B5602D"/>
    <w:rsid w:val="00B75F8B"/>
    <w:rsid w:val="00B77731"/>
    <w:rsid w:val="00B95393"/>
    <w:rsid w:val="00B9734B"/>
    <w:rsid w:val="00BA30E2"/>
    <w:rsid w:val="00BA6390"/>
    <w:rsid w:val="00BF12AB"/>
    <w:rsid w:val="00C11BFE"/>
    <w:rsid w:val="00C17E6A"/>
    <w:rsid w:val="00C31D89"/>
    <w:rsid w:val="00C3603A"/>
    <w:rsid w:val="00C5068F"/>
    <w:rsid w:val="00C52FCB"/>
    <w:rsid w:val="00C86D74"/>
    <w:rsid w:val="00CA6007"/>
    <w:rsid w:val="00CA65E0"/>
    <w:rsid w:val="00CD04F1"/>
    <w:rsid w:val="00D04AE0"/>
    <w:rsid w:val="00D24294"/>
    <w:rsid w:val="00D3492B"/>
    <w:rsid w:val="00D45252"/>
    <w:rsid w:val="00D52DB3"/>
    <w:rsid w:val="00D702A7"/>
    <w:rsid w:val="00D71B4D"/>
    <w:rsid w:val="00D9022D"/>
    <w:rsid w:val="00D93D55"/>
    <w:rsid w:val="00DA65B3"/>
    <w:rsid w:val="00DB2816"/>
    <w:rsid w:val="00DB61B7"/>
    <w:rsid w:val="00DD3045"/>
    <w:rsid w:val="00DD51DD"/>
    <w:rsid w:val="00DD74A9"/>
    <w:rsid w:val="00DE0A99"/>
    <w:rsid w:val="00E15015"/>
    <w:rsid w:val="00E1613F"/>
    <w:rsid w:val="00E16C8B"/>
    <w:rsid w:val="00E17666"/>
    <w:rsid w:val="00E335FE"/>
    <w:rsid w:val="00E377B0"/>
    <w:rsid w:val="00E85431"/>
    <w:rsid w:val="00E912BD"/>
    <w:rsid w:val="00EA4AE1"/>
    <w:rsid w:val="00EA7D6E"/>
    <w:rsid w:val="00EC4E49"/>
    <w:rsid w:val="00ED4259"/>
    <w:rsid w:val="00ED77FB"/>
    <w:rsid w:val="00EE45FA"/>
    <w:rsid w:val="00F1354B"/>
    <w:rsid w:val="00F66152"/>
    <w:rsid w:val="00F755A9"/>
    <w:rsid w:val="00F8349C"/>
    <w:rsid w:val="00F960DD"/>
    <w:rsid w:val="00FC4524"/>
    <w:rsid w:val="00FC76EF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B2AFD0-C744-4BC4-9142-AEF2ABE8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3F1E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F1EFB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3F1EFB"/>
    <w:rPr>
      <w:rFonts w:ascii="Arial" w:eastAsia="SimSun" w:hAnsi="Arial" w:cs="Arial"/>
      <w:sz w:val="18"/>
      <w:lang w:val="en-US" w:eastAsia="zh-CN"/>
    </w:rPr>
  </w:style>
  <w:style w:type="paragraph" w:customStyle="1" w:styleId="LegTitle">
    <w:name w:val="Leg # Title"/>
    <w:basedOn w:val="Normal"/>
    <w:next w:val="Normal"/>
    <w:rsid w:val="003F1EFB"/>
    <w:pPr>
      <w:keepNext/>
      <w:keepLines/>
      <w:pageBreakBefore/>
      <w:snapToGrid w:val="0"/>
      <w:spacing w:before="240" w:line="480" w:lineRule="auto"/>
      <w:jc w:val="center"/>
    </w:pPr>
    <w:rPr>
      <w:rFonts w:eastAsia="Arial Unicode MS" w:cs="Times New Roman"/>
      <w:b/>
      <w:lang w:eastAsia="en-US"/>
    </w:rPr>
  </w:style>
  <w:style w:type="paragraph" w:customStyle="1" w:styleId="LegSubRule">
    <w:name w:val="Leg SubRule #"/>
    <w:basedOn w:val="Normal"/>
    <w:rsid w:val="003F1EFB"/>
    <w:pPr>
      <w:keepNext/>
      <w:keepLines/>
      <w:tabs>
        <w:tab w:val="left" w:pos="510"/>
      </w:tabs>
      <w:snapToGrid w:val="0"/>
      <w:spacing w:before="480" w:line="480" w:lineRule="auto"/>
      <w:ind w:left="533" w:hanging="533"/>
    </w:pPr>
    <w:rPr>
      <w:rFonts w:eastAsia="Arial Unicode MS" w:cs="Times New Roman"/>
      <w:lang w:eastAsia="en-US"/>
    </w:rPr>
  </w:style>
  <w:style w:type="character" w:customStyle="1" w:styleId="LegaChar">
    <w:name w:val="Leg (a) Char"/>
    <w:basedOn w:val="DefaultParagraphFont"/>
    <w:link w:val="Lega"/>
    <w:locked/>
    <w:rsid w:val="003F1EFB"/>
    <w:rPr>
      <w:rFonts w:ascii="Arial" w:hAnsi="Arial" w:cs="Arial"/>
      <w:sz w:val="22"/>
      <w:lang w:val="en-US" w:eastAsia="en-US"/>
    </w:rPr>
  </w:style>
  <w:style w:type="paragraph" w:customStyle="1" w:styleId="Lega">
    <w:name w:val="Leg (a)"/>
    <w:basedOn w:val="Normal"/>
    <w:link w:val="LegaChar"/>
    <w:rsid w:val="003F1EFB"/>
    <w:pPr>
      <w:tabs>
        <w:tab w:val="left" w:pos="454"/>
      </w:tabs>
      <w:snapToGrid w:val="0"/>
      <w:spacing w:before="240" w:after="240" w:line="480" w:lineRule="auto"/>
      <w:ind w:left="284"/>
    </w:pPr>
    <w:rPr>
      <w:rFonts w:eastAsia="Times New Roman"/>
      <w:lang w:eastAsia="en-US"/>
    </w:rPr>
  </w:style>
  <w:style w:type="character" w:customStyle="1" w:styleId="LegInsertedText">
    <w:name w:val="LegInsertedText"/>
    <w:basedOn w:val="DefaultParagraphFont"/>
    <w:rsid w:val="003F1EF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F1EFB"/>
    <w:pPr>
      <w:tabs>
        <w:tab w:val="right" w:leader="dot" w:pos="9345"/>
      </w:tabs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F1EFB"/>
    <w:pPr>
      <w:tabs>
        <w:tab w:val="right" w:leader="dot" w:pos="9345"/>
      </w:tabs>
      <w:spacing w:after="100"/>
      <w:ind w:left="284" w:firstLine="227"/>
      <w:mirrorIndents/>
    </w:pPr>
    <w:rPr>
      <w:i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E404-FA60-4663-BF30-39124F18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12 (E)</Template>
  <TotalTime>106</TotalTime>
  <Pages>5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PCT/WG/12/17</vt:lpstr>
    </vt:vector>
  </TitlesOfParts>
  <Company>WIPO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PCT/WG/12/17</dc:title>
  <dc:creator>WIPO</dc:creator>
  <cp:keywords>PCT Regulations;Excuse of Delay;Electronic Communications</cp:keywords>
  <cp:lastModifiedBy>BAUDIN Claudine</cp:lastModifiedBy>
  <cp:revision>13</cp:revision>
  <cp:lastPrinted>2019-05-24T08:21:00Z</cp:lastPrinted>
  <dcterms:created xsi:type="dcterms:W3CDTF">2019-05-27T09:00:00Z</dcterms:created>
  <dcterms:modified xsi:type="dcterms:W3CDTF">2019-06-04T08:42:00Z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